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7D995">
      <w:pPr>
        <w:pStyle w:val="3"/>
        <w:numPr>
          <w:ilvl w:val="0"/>
          <w:numId w:val="0"/>
        </w:numPr>
        <w:ind w:left="425"/>
        <w:jc w:val="center"/>
      </w:pPr>
      <w:bookmarkStart w:id="0" w:name="_Toc63785461"/>
      <w:r>
        <w:rPr>
          <w:rFonts w:hint="eastAsia"/>
        </w:rPr>
        <w:t>上海“数字法院”（一期）——综合安全管理子系统建设项目采购需求</w:t>
      </w:r>
    </w:p>
    <w:p w14:paraId="077BE938">
      <w:pPr>
        <w:ind w:firstLine="482"/>
        <w:jc w:val="center"/>
        <w:rPr>
          <w:b/>
          <w:bCs/>
        </w:rPr>
      </w:pPr>
    </w:p>
    <w:p w14:paraId="6805591F">
      <w:pPr>
        <w:pStyle w:val="3"/>
      </w:pPr>
      <w:r>
        <w:rPr>
          <w:rFonts w:hint="eastAsia"/>
        </w:rPr>
        <w:t>项目概况</w:t>
      </w:r>
      <w:bookmarkEnd w:id="0"/>
    </w:p>
    <w:p w14:paraId="681BFE4D">
      <w:pPr>
        <w:pStyle w:val="21"/>
        <w:ind w:firstLine="480"/>
      </w:pPr>
      <w:r>
        <w:rPr>
          <w:rFonts w:hint="eastAsia"/>
        </w:rPr>
        <w:t>上海法院已初步建立了覆盖云、网、端、应用的信息安全保障体系，形成了以安全通信网络、安全区域边界、安全计算环境、安全管理中心组成的法院系统安全保护环境。在安全区域边界方面，已具备区域边界访问控制、入侵防范、恶意代码防范、网络及数据库审计能力。在安全通信网络方面，已具备通信网络数据传输的保密性和完整性保护能力。在安全计算环境方面，已具备用户身份鉴别、访问控制、防病毒等能力。在安全管理中心方面，已具备系统管理、安全管理、审计管理能力。随着数字法院的快速推进落实，提出了基于分析联动的主动防御和</w:t>
      </w:r>
      <w:r>
        <w:t>对安全事件的风险</w:t>
      </w:r>
      <w:r>
        <w:rPr>
          <w:rFonts w:hint="eastAsia"/>
        </w:rPr>
        <w:t>防范</w:t>
      </w:r>
      <w:r>
        <w:t>、应急响应、处置恢复能力</w:t>
      </w:r>
      <w:r>
        <w:rPr>
          <w:rFonts w:hint="eastAsia"/>
        </w:rPr>
        <w:t>的要求。上海法院综合安全管理子系统是构建“数字法院”主动安全防御体系的关键组成部分，是上海“数字法院”的支撑保障体系，是上海法院依法依规持续满足安全合规并在数字化转型过程中不断提升综合安全管控能力的背景下提出的建设需求。</w:t>
      </w:r>
    </w:p>
    <w:p w14:paraId="5BA92D0F">
      <w:pPr>
        <w:spacing w:line="560" w:lineRule="exact"/>
      </w:pPr>
      <w:bookmarkStart w:id="1" w:name="_Toc47532255"/>
      <w:bookmarkEnd w:id="1"/>
      <w:bookmarkStart w:id="2" w:name="_Toc47539070"/>
      <w:bookmarkEnd w:id="2"/>
      <w:bookmarkStart w:id="3" w:name="_Toc47531634"/>
      <w:bookmarkEnd w:id="3"/>
      <w:bookmarkStart w:id="4" w:name="_Toc47537134"/>
      <w:bookmarkEnd w:id="4"/>
      <w:bookmarkStart w:id="5" w:name="_Toc47536272"/>
      <w:bookmarkEnd w:id="5"/>
      <w:bookmarkStart w:id="6" w:name="_Toc47536644"/>
      <w:bookmarkEnd w:id="6"/>
      <w:bookmarkStart w:id="7" w:name="_Toc47533256"/>
      <w:bookmarkEnd w:id="7"/>
      <w:bookmarkStart w:id="8" w:name="_Toc47532891"/>
      <w:bookmarkEnd w:id="8"/>
      <w:bookmarkStart w:id="9" w:name="_Toc63785463"/>
      <w:bookmarkStart w:id="10" w:name="_Toc48223882"/>
      <w:r>
        <w:t>是否按信创要求建设：是</w:t>
      </w:r>
    </w:p>
    <w:p w14:paraId="3838CA2B">
      <w:pPr>
        <w:pStyle w:val="3"/>
      </w:pPr>
      <w:r>
        <w:rPr>
          <w:rFonts w:hint="eastAsia"/>
        </w:rPr>
        <w:t>建设目标</w:t>
      </w:r>
      <w:bookmarkEnd w:id="9"/>
      <w:bookmarkEnd w:id="10"/>
    </w:p>
    <w:p w14:paraId="2D4C96C0">
      <w:r>
        <w:rPr>
          <w:rFonts w:hint="eastAsia"/>
        </w:rPr>
        <w:t>从上海法院综合安全管理子系统架构层面，通过汇集全网各类安全事件，采集、汇总和分析网络流量、安全日志、安全告警信息，实现对上海法院专网中部署的安全设备的集中统一监管，形成安全态势感知、预警告警、应急处置，起到提升综合安全管控能力，逐步形成基于安全态势分析研判的主动防御能力，全面支撑法院安全运营的作用；同时通过主机及终端安全、移动安全，运维终端数据防泄漏建设，实现提升主机及终端安全防护水平，补强移动安全防护能力，落实运维终端数据保护要求，起到持续加强等级保护合规，构建支撑新时代数字法院建设的信息安全保障体系的作用。</w:t>
      </w:r>
    </w:p>
    <w:p w14:paraId="5D972942">
      <w:r>
        <w:rPr>
          <w:rFonts w:hint="eastAsia"/>
        </w:rPr>
        <w:t>以下是本项目拟实现的技术指标和绩效目标：</w:t>
      </w:r>
    </w:p>
    <w:p w14:paraId="543241E2">
      <w:pPr>
        <w:pStyle w:val="4"/>
        <w:numPr>
          <w:ilvl w:val="1"/>
          <w:numId w:val="0"/>
        </w:numPr>
        <w:ind w:left="845"/>
      </w:pPr>
      <w:r>
        <w:rPr>
          <w:rFonts w:hint="eastAsia"/>
        </w:rPr>
        <w:t>1.技术指标</w:t>
      </w:r>
    </w:p>
    <w:tbl>
      <w:tblPr>
        <w:tblStyle w:val="16"/>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197"/>
        <w:gridCol w:w="1491"/>
        <w:gridCol w:w="3271"/>
        <w:gridCol w:w="3020"/>
      </w:tblGrid>
      <w:tr w14:paraId="59901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99" w:type="dxa"/>
            <w:vMerge w:val="restart"/>
            <w:vAlign w:val="center"/>
          </w:tcPr>
          <w:p w14:paraId="4CBF9B3D">
            <w:pPr>
              <w:pStyle w:val="11"/>
              <w:ind w:firstLine="0" w:firstLineChars="0"/>
              <w:rPr>
                <w:rFonts w:ascii="Times New Roman" w:hAnsi="Times New Roman"/>
                <w:color w:val="auto"/>
                <w:szCs w:val="24"/>
              </w:rPr>
            </w:pPr>
            <w:r>
              <w:rPr>
                <w:rFonts w:hint="eastAsia" w:ascii="Times New Roman" w:hAnsi="Times New Roman"/>
                <w:color w:val="auto"/>
                <w:szCs w:val="24"/>
              </w:rPr>
              <w:t>项目</w:t>
            </w:r>
          </w:p>
          <w:p w14:paraId="6D5862D8">
            <w:pPr>
              <w:pStyle w:val="11"/>
              <w:ind w:firstLine="0" w:firstLineChars="0"/>
              <w:rPr>
                <w:rFonts w:ascii="Times New Roman" w:hAnsi="Times New Roman"/>
                <w:color w:val="auto"/>
                <w:szCs w:val="24"/>
              </w:rPr>
            </w:pPr>
            <w:r>
              <w:rPr>
                <w:rFonts w:hint="eastAsia" w:ascii="Times New Roman" w:hAnsi="Times New Roman"/>
                <w:color w:val="auto"/>
                <w:szCs w:val="24"/>
              </w:rPr>
              <w:t>绩效</w:t>
            </w:r>
          </w:p>
          <w:p w14:paraId="732CBBB3">
            <w:pPr>
              <w:pStyle w:val="11"/>
              <w:ind w:firstLine="0" w:firstLineChars="0"/>
              <w:rPr>
                <w:rFonts w:ascii="Times New Roman" w:hAnsi="Times New Roman"/>
                <w:color w:val="auto"/>
                <w:szCs w:val="24"/>
              </w:rPr>
            </w:pPr>
            <w:r>
              <w:rPr>
                <w:rFonts w:hint="eastAsia" w:ascii="Times New Roman" w:hAnsi="Times New Roman"/>
                <w:color w:val="auto"/>
                <w:szCs w:val="24"/>
              </w:rPr>
              <w:t>目标</w:t>
            </w:r>
          </w:p>
        </w:tc>
        <w:tc>
          <w:tcPr>
            <w:tcW w:w="5959" w:type="dxa"/>
            <w:gridSpan w:val="3"/>
            <w:vAlign w:val="center"/>
          </w:tcPr>
          <w:p w14:paraId="58F9AFB3">
            <w:pPr>
              <w:pStyle w:val="11"/>
              <w:ind w:firstLine="480"/>
              <w:rPr>
                <w:rFonts w:ascii="Times New Roman" w:hAnsi="Times New Roman"/>
                <w:color w:val="auto"/>
                <w:szCs w:val="24"/>
              </w:rPr>
            </w:pPr>
            <w:r>
              <w:rPr>
                <w:rFonts w:hint="eastAsia" w:ascii="Times New Roman" w:hAnsi="Times New Roman"/>
                <w:color w:val="auto"/>
                <w:szCs w:val="24"/>
              </w:rPr>
              <w:t>项目总目标</w:t>
            </w:r>
            <w:r>
              <w:rPr>
                <w:rFonts w:hint="eastAsia" w:ascii="Times New Roman" w:hAnsi="Times New Roman"/>
                <w:color w:val="auto"/>
                <w:szCs w:val="24"/>
              </w:rPr>
              <w:br w:type="textWrapping"/>
            </w:r>
            <w:r>
              <w:rPr>
                <w:rFonts w:hint="eastAsia" w:ascii="Times New Roman" w:hAnsi="Times New Roman"/>
                <w:color w:val="auto"/>
                <w:szCs w:val="24"/>
              </w:rPr>
              <w:t>（2024年-2027年）</w:t>
            </w:r>
          </w:p>
        </w:tc>
        <w:tc>
          <w:tcPr>
            <w:tcW w:w="3020" w:type="dxa"/>
            <w:vAlign w:val="center"/>
          </w:tcPr>
          <w:p w14:paraId="6838835A">
            <w:pPr>
              <w:pStyle w:val="11"/>
              <w:ind w:firstLine="480"/>
              <w:rPr>
                <w:rFonts w:ascii="Times New Roman" w:hAnsi="Times New Roman"/>
                <w:color w:val="auto"/>
                <w:szCs w:val="24"/>
              </w:rPr>
            </w:pPr>
            <w:r>
              <w:rPr>
                <w:rFonts w:hint="eastAsia" w:ascii="Times New Roman" w:hAnsi="Times New Roman"/>
                <w:color w:val="auto"/>
                <w:szCs w:val="24"/>
              </w:rPr>
              <w:t>年度总体目标</w:t>
            </w:r>
          </w:p>
          <w:p w14:paraId="0057F3F9">
            <w:pPr>
              <w:pStyle w:val="11"/>
              <w:ind w:firstLine="480"/>
              <w:rPr>
                <w:rFonts w:ascii="Times New Roman" w:hAnsi="Times New Roman"/>
                <w:color w:val="auto"/>
                <w:szCs w:val="24"/>
              </w:rPr>
            </w:pPr>
            <w:r>
              <w:rPr>
                <w:rFonts w:hint="eastAsia" w:ascii="Times New Roman" w:hAnsi="Times New Roman"/>
                <w:color w:val="auto"/>
                <w:szCs w:val="24"/>
              </w:rPr>
              <w:t>（2024年）</w:t>
            </w:r>
          </w:p>
        </w:tc>
      </w:tr>
      <w:tr w14:paraId="55C0E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99" w:type="dxa"/>
            <w:vMerge w:val="continue"/>
          </w:tcPr>
          <w:p w14:paraId="17A67D9C">
            <w:pPr>
              <w:pStyle w:val="11"/>
              <w:ind w:firstLine="480"/>
              <w:rPr>
                <w:rFonts w:ascii="Times New Roman" w:hAnsi="Times New Roman"/>
                <w:color w:val="auto"/>
                <w:szCs w:val="24"/>
              </w:rPr>
            </w:pPr>
          </w:p>
        </w:tc>
        <w:tc>
          <w:tcPr>
            <w:tcW w:w="5959" w:type="dxa"/>
            <w:gridSpan w:val="3"/>
            <w:vAlign w:val="center"/>
          </w:tcPr>
          <w:p w14:paraId="7A647F39">
            <w:pPr>
              <w:pStyle w:val="11"/>
              <w:ind w:firstLine="480"/>
              <w:rPr>
                <w:rFonts w:ascii="Times New Roman" w:hAnsi="Times New Roman"/>
                <w:color w:val="auto"/>
                <w:szCs w:val="24"/>
              </w:rPr>
            </w:pPr>
            <w:r>
              <w:rPr>
                <w:rFonts w:hint="eastAsia" w:ascii="Times New Roman" w:hAnsi="Times New Roman"/>
                <w:color w:val="auto"/>
                <w:szCs w:val="24"/>
              </w:rPr>
              <w:t>一、建设上海法院专网安全监管中心，包括两个本地数据中心和两个云数据中心的全流量采集探针；政务云虚拟化服务器流量分析；形成覆盖高院、法官培训中心两个本地数据中心和两个政务云数据中心的态势感知分析平台及其日志集中分析平台。</w:t>
            </w:r>
          </w:p>
          <w:p w14:paraId="46B82B24">
            <w:pPr>
              <w:pStyle w:val="11"/>
              <w:ind w:firstLine="480"/>
              <w:rPr>
                <w:rFonts w:ascii="Times New Roman" w:hAnsi="Times New Roman"/>
                <w:color w:val="auto"/>
                <w:szCs w:val="24"/>
              </w:rPr>
            </w:pPr>
            <w:r>
              <w:rPr>
                <w:rFonts w:hint="eastAsia" w:ascii="Times New Roman" w:hAnsi="Times New Roman"/>
                <w:color w:val="auto"/>
                <w:szCs w:val="24"/>
              </w:rPr>
              <w:t>二、主机和终端安全</w:t>
            </w:r>
          </w:p>
          <w:p w14:paraId="6AFA8FF6">
            <w:pPr>
              <w:pStyle w:val="11"/>
              <w:ind w:firstLine="480"/>
              <w:rPr>
                <w:rFonts w:ascii="Times New Roman" w:hAnsi="Times New Roman"/>
                <w:color w:val="auto"/>
                <w:szCs w:val="24"/>
              </w:rPr>
            </w:pPr>
            <w:r>
              <w:rPr>
                <w:rFonts w:hint="eastAsia" w:ascii="Times New Roman" w:hAnsi="Times New Roman"/>
                <w:color w:val="auto"/>
                <w:szCs w:val="24"/>
              </w:rPr>
              <w:t>针对上海高院法院专网和互联网本地及云端服务器，在服务器身份鉴别、访问控制、入侵防范、恶意代码防范、安全审计等方面达到等级保护三级标准，最终完成上海高院法院专网和互联网本地及云端服务器的安全加固。针对全市法院专网本地办公终端，完成全市法院专网本地办公终端的终端安全管理系统（控制台）的国产化替代与升级，以及终端安全管理系统统一管理平台建设（终端安全管理系统客户端已完成国产化替代与升级）。</w:t>
            </w:r>
          </w:p>
          <w:p w14:paraId="46F39C3E">
            <w:pPr>
              <w:pStyle w:val="11"/>
              <w:ind w:firstLine="480"/>
              <w:rPr>
                <w:rFonts w:ascii="Times New Roman" w:hAnsi="Times New Roman"/>
                <w:color w:val="auto"/>
                <w:szCs w:val="24"/>
              </w:rPr>
            </w:pPr>
            <w:r>
              <w:rPr>
                <w:rFonts w:hint="eastAsia" w:ascii="Times New Roman" w:hAnsi="Times New Roman"/>
                <w:color w:val="auto"/>
                <w:szCs w:val="24"/>
              </w:rPr>
              <w:t>三、移动安全防护</w:t>
            </w:r>
          </w:p>
          <w:p w14:paraId="57215858">
            <w:pPr>
              <w:pStyle w:val="11"/>
              <w:ind w:firstLine="480"/>
              <w:rPr>
                <w:rFonts w:ascii="Times New Roman" w:hAnsi="Times New Roman"/>
                <w:color w:val="auto"/>
                <w:szCs w:val="24"/>
              </w:rPr>
            </w:pPr>
            <w:r>
              <w:rPr>
                <w:rFonts w:hint="eastAsia" w:ascii="Times New Roman" w:hAnsi="Times New Roman"/>
                <w:color w:val="auto"/>
                <w:szCs w:val="24"/>
              </w:rPr>
              <w:t>针对上海高院移动端业务，在安全通信网络、安全计算环境方面达到等级保护三级标准。实现边界控制、身份认证、隔离交换、移动设备管理、移动应用管理和移动数据防泄露等功能，建设移动办公的网络通信链路以及建立移动办公终端安全管理平台。</w:t>
            </w:r>
          </w:p>
          <w:p w14:paraId="684D7D2B">
            <w:pPr>
              <w:pStyle w:val="11"/>
              <w:ind w:firstLine="480"/>
              <w:rPr>
                <w:rFonts w:ascii="Times New Roman" w:hAnsi="Times New Roman"/>
                <w:color w:val="auto"/>
                <w:szCs w:val="24"/>
              </w:rPr>
            </w:pPr>
            <w:r>
              <w:rPr>
                <w:rFonts w:hint="eastAsia" w:ascii="Times New Roman" w:hAnsi="Times New Roman"/>
                <w:color w:val="auto"/>
                <w:szCs w:val="24"/>
              </w:rPr>
              <w:t>四、运维终端数据防泄漏</w:t>
            </w:r>
          </w:p>
          <w:p w14:paraId="1C3FE602">
            <w:pPr>
              <w:pStyle w:val="11"/>
              <w:ind w:firstLine="480"/>
              <w:rPr>
                <w:rFonts w:ascii="Times New Roman" w:hAnsi="Times New Roman"/>
                <w:color w:val="auto"/>
                <w:szCs w:val="24"/>
              </w:rPr>
            </w:pPr>
            <w:r>
              <w:rPr>
                <w:rFonts w:hint="eastAsia" w:ascii="Times New Roman" w:hAnsi="Times New Roman"/>
                <w:color w:val="auto"/>
                <w:szCs w:val="24"/>
              </w:rPr>
              <w:t>针对上海高院法院专网和互联网本地运维终端，实现运维终端数据防泄露功能。</w:t>
            </w:r>
          </w:p>
        </w:tc>
        <w:tc>
          <w:tcPr>
            <w:tcW w:w="3020" w:type="dxa"/>
            <w:vAlign w:val="center"/>
          </w:tcPr>
          <w:p w14:paraId="4F1B862D">
            <w:pPr>
              <w:pStyle w:val="11"/>
              <w:ind w:firstLine="0" w:firstLineChars="0"/>
              <w:rPr>
                <w:rFonts w:ascii="Times New Roman" w:hAnsi="Times New Roman"/>
                <w:color w:val="auto"/>
                <w:szCs w:val="24"/>
              </w:rPr>
            </w:pPr>
            <w:r>
              <w:rPr>
                <w:rFonts w:hint="eastAsia" w:ascii="Times New Roman" w:hAnsi="Times New Roman"/>
                <w:color w:val="auto"/>
                <w:szCs w:val="24"/>
              </w:rPr>
              <w:t>项目建设周期：合同签署后半年。</w:t>
            </w:r>
          </w:p>
          <w:p w14:paraId="1ADF86FB">
            <w:pPr>
              <w:pStyle w:val="11"/>
              <w:ind w:firstLine="480"/>
              <w:rPr>
                <w:rFonts w:ascii="Times New Roman" w:hAnsi="Times New Roman"/>
                <w:color w:val="auto"/>
                <w:szCs w:val="24"/>
              </w:rPr>
            </w:pPr>
          </w:p>
        </w:tc>
      </w:tr>
      <w:tr w14:paraId="450F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99" w:type="dxa"/>
            <w:vMerge w:val="restart"/>
            <w:textDirection w:val="tbRlV"/>
            <w:vAlign w:val="center"/>
          </w:tcPr>
          <w:p w14:paraId="35E035B5">
            <w:pPr>
              <w:pStyle w:val="11"/>
              <w:ind w:firstLine="0" w:firstLineChars="0"/>
              <w:rPr>
                <w:rFonts w:ascii="Times New Roman" w:hAnsi="Times New Roman"/>
                <w:color w:val="auto"/>
                <w:szCs w:val="24"/>
              </w:rPr>
            </w:pPr>
            <w:r>
              <w:rPr>
                <w:rFonts w:hint="eastAsia" w:ascii="Times New Roman" w:hAnsi="Times New Roman"/>
                <w:color w:val="auto"/>
                <w:szCs w:val="24"/>
              </w:rPr>
              <w:t>绩效指标</w:t>
            </w:r>
          </w:p>
        </w:tc>
        <w:tc>
          <w:tcPr>
            <w:tcW w:w="1197" w:type="dxa"/>
            <w:vAlign w:val="center"/>
          </w:tcPr>
          <w:p w14:paraId="26432DF7">
            <w:pPr>
              <w:pStyle w:val="11"/>
              <w:ind w:firstLine="0" w:firstLineChars="0"/>
              <w:rPr>
                <w:rFonts w:ascii="Times New Roman" w:hAnsi="Times New Roman"/>
                <w:color w:val="auto"/>
                <w:szCs w:val="24"/>
              </w:rPr>
            </w:pPr>
            <w:r>
              <w:rPr>
                <w:rFonts w:hint="eastAsia" w:ascii="Times New Roman" w:hAnsi="Times New Roman"/>
                <w:color w:val="auto"/>
                <w:szCs w:val="24"/>
              </w:rPr>
              <w:t>一级指标</w:t>
            </w:r>
          </w:p>
        </w:tc>
        <w:tc>
          <w:tcPr>
            <w:tcW w:w="1491" w:type="dxa"/>
            <w:vAlign w:val="center"/>
          </w:tcPr>
          <w:p w14:paraId="39214900">
            <w:pPr>
              <w:pStyle w:val="11"/>
              <w:ind w:firstLine="0" w:firstLineChars="0"/>
              <w:rPr>
                <w:rFonts w:ascii="Times New Roman" w:hAnsi="Times New Roman"/>
                <w:color w:val="auto"/>
                <w:szCs w:val="24"/>
              </w:rPr>
            </w:pPr>
            <w:r>
              <w:rPr>
                <w:rFonts w:hint="eastAsia" w:ascii="Times New Roman" w:hAnsi="Times New Roman"/>
                <w:color w:val="auto"/>
                <w:szCs w:val="24"/>
              </w:rPr>
              <w:t>二级指标</w:t>
            </w:r>
          </w:p>
        </w:tc>
        <w:tc>
          <w:tcPr>
            <w:tcW w:w="3271" w:type="dxa"/>
            <w:vAlign w:val="center"/>
          </w:tcPr>
          <w:p w14:paraId="59FDC414">
            <w:pPr>
              <w:pStyle w:val="11"/>
              <w:ind w:firstLine="480"/>
              <w:rPr>
                <w:rFonts w:ascii="Times New Roman" w:hAnsi="Times New Roman"/>
                <w:color w:val="auto"/>
                <w:szCs w:val="24"/>
              </w:rPr>
            </w:pPr>
            <w:r>
              <w:rPr>
                <w:rFonts w:hint="eastAsia" w:ascii="Times New Roman" w:hAnsi="Times New Roman"/>
                <w:color w:val="auto"/>
                <w:szCs w:val="24"/>
              </w:rPr>
              <w:t>三级指标</w:t>
            </w:r>
          </w:p>
        </w:tc>
        <w:tc>
          <w:tcPr>
            <w:tcW w:w="3020" w:type="dxa"/>
            <w:vAlign w:val="center"/>
          </w:tcPr>
          <w:p w14:paraId="45CBCC27">
            <w:pPr>
              <w:pStyle w:val="11"/>
              <w:ind w:firstLine="480"/>
              <w:rPr>
                <w:rFonts w:ascii="Times New Roman" w:hAnsi="Times New Roman"/>
                <w:color w:val="auto"/>
                <w:szCs w:val="24"/>
              </w:rPr>
            </w:pPr>
            <w:r>
              <w:rPr>
                <w:rFonts w:hint="eastAsia" w:ascii="Times New Roman" w:hAnsi="Times New Roman"/>
                <w:color w:val="auto"/>
                <w:szCs w:val="24"/>
              </w:rPr>
              <w:t>年度指标值</w:t>
            </w:r>
          </w:p>
        </w:tc>
      </w:tr>
      <w:tr w14:paraId="49A4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9" w:type="dxa"/>
            <w:vMerge w:val="continue"/>
            <w:vAlign w:val="center"/>
          </w:tcPr>
          <w:p w14:paraId="62D87785">
            <w:pPr>
              <w:pStyle w:val="11"/>
              <w:ind w:firstLine="480"/>
              <w:rPr>
                <w:rFonts w:ascii="Times New Roman" w:hAnsi="Times New Roman"/>
                <w:color w:val="auto"/>
                <w:szCs w:val="24"/>
              </w:rPr>
            </w:pPr>
          </w:p>
        </w:tc>
        <w:tc>
          <w:tcPr>
            <w:tcW w:w="1197" w:type="dxa"/>
            <w:vMerge w:val="restart"/>
            <w:vAlign w:val="center"/>
          </w:tcPr>
          <w:p w14:paraId="5961A8EC">
            <w:pPr>
              <w:pStyle w:val="11"/>
              <w:ind w:firstLine="0" w:firstLineChars="0"/>
              <w:rPr>
                <w:rFonts w:ascii="Times New Roman" w:hAnsi="Times New Roman"/>
                <w:color w:val="auto"/>
                <w:szCs w:val="24"/>
              </w:rPr>
            </w:pPr>
            <w:r>
              <w:rPr>
                <w:rFonts w:hint="eastAsia" w:ascii="Times New Roman" w:hAnsi="Times New Roman"/>
                <w:color w:val="auto"/>
                <w:szCs w:val="24"/>
              </w:rPr>
              <w:t>产出指标</w:t>
            </w:r>
          </w:p>
        </w:tc>
        <w:tc>
          <w:tcPr>
            <w:tcW w:w="1491" w:type="dxa"/>
            <w:vMerge w:val="restart"/>
            <w:vAlign w:val="center"/>
          </w:tcPr>
          <w:p w14:paraId="56F88E69">
            <w:pPr>
              <w:pStyle w:val="11"/>
              <w:ind w:firstLine="0" w:firstLineChars="0"/>
              <w:rPr>
                <w:rFonts w:ascii="Times New Roman" w:hAnsi="Times New Roman"/>
                <w:color w:val="auto"/>
                <w:szCs w:val="24"/>
              </w:rPr>
            </w:pPr>
            <w:r>
              <w:rPr>
                <w:rFonts w:hint="eastAsia" w:ascii="Times New Roman" w:hAnsi="Times New Roman"/>
                <w:color w:val="auto"/>
                <w:szCs w:val="24"/>
              </w:rPr>
              <w:t>数量指标</w:t>
            </w:r>
          </w:p>
        </w:tc>
        <w:tc>
          <w:tcPr>
            <w:tcW w:w="3271" w:type="dxa"/>
            <w:vAlign w:val="center"/>
          </w:tcPr>
          <w:p w14:paraId="04CF5770">
            <w:pPr>
              <w:pStyle w:val="11"/>
              <w:ind w:firstLine="480"/>
              <w:rPr>
                <w:rFonts w:ascii="Times New Roman" w:hAnsi="Times New Roman"/>
                <w:color w:val="auto"/>
                <w:szCs w:val="24"/>
              </w:rPr>
            </w:pPr>
            <w:r>
              <w:rPr>
                <w:rFonts w:hint="eastAsia" w:ascii="Times New Roman" w:hAnsi="Times New Roman"/>
                <w:color w:val="auto"/>
                <w:szCs w:val="24"/>
              </w:rPr>
              <w:t>系统建设数量</w:t>
            </w:r>
          </w:p>
        </w:tc>
        <w:tc>
          <w:tcPr>
            <w:tcW w:w="3020" w:type="dxa"/>
            <w:noWrap/>
            <w:vAlign w:val="center"/>
          </w:tcPr>
          <w:p w14:paraId="3510D480">
            <w:pPr>
              <w:pStyle w:val="11"/>
              <w:ind w:firstLine="480"/>
              <w:rPr>
                <w:rFonts w:ascii="Times New Roman" w:hAnsi="Times New Roman"/>
                <w:color w:val="auto"/>
                <w:szCs w:val="24"/>
              </w:rPr>
            </w:pPr>
            <w:r>
              <w:rPr>
                <w:rFonts w:hint="eastAsia" w:ascii="Times New Roman" w:hAnsi="Times New Roman"/>
                <w:color w:val="auto"/>
                <w:szCs w:val="24"/>
              </w:rPr>
              <w:t>4</w:t>
            </w:r>
          </w:p>
        </w:tc>
      </w:tr>
      <w:tr w14:paraId="6465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9" w:type="dxa"/>
            <w:vMerge w:val="continue"/>
            <w:vAlign w:val="center"/>
          </w:tcPr>
          <w:p w14:paraId="3D81BE1E">
            <w:pPr>
              <w:pStyle w:val="11"/>
              <w:ind w:firstLine="480"/>
              <w:rPr>
                <w:rFonts w:ascii="Times New Roman" w:hAnsi="Times New Roman"/>
                <w:color w:val="auto"/>
                <w:szCs w:val="24"/>
              </w:rPr>
            </w:pPr>
          </w:p>
        </w:tc>
        <w:tc>
          <w:tcPr>
            <w:tcW w:w="1197" w:type="dxa"/>
            <w:vMerge w:val="continue"/>
            <w:vAlign w:val="center"/>
          </w:tcPr>
          <w:p w14:paraId="3F28DA70">
            <w:pPr>
              <w:pStyle w:val="11"/>
              <w:ind w:firstLine="480"/>
              <w:rPr>
                <w:rFonts w:ascii="Times New Roman" w:hAnsi="Times New Roman"/>
                <w:color w:val="auto"/>
                <w:szCs w:val="24"/>
              </w:rPr>
            </w:pPr>
          </w:p>
        </w:tc>
        <w:tc>
          <w:tcPr>
            <w:tcW w:w="1491" w:type="dxa"/>
            <w:vMerge w:val="continue"/>
            <w:vAlign w:val="center"/>
          </w:tcPr>
          <w:p w14:paraId="2F7C7BF6">
            <w:pPr>
              <w:pStyle w:val="11"/>
              <w:ind w:firstLine="480"/>
              <w:rPr>
                <w:rFonts w:ascii="Times New Roman" w:hAnsi="Times New Roman"/>
                <w:color w:val="auto"/>
                <w:szCs w:val="24"/>
              </w:rPr>
            </w:pPr>
          </w:p>
        </w:tc>
        <w:tc>
          <w:tcPr>
            <w:tcW w:w="3271" w:type="dxa"/>
            <w:vAlign w:val="center"/>
          </w:tcPr>
          <w:p w14:paraId="53D9862A">
            <w:pPr>
              <w:pStyle w:val="11"/>
              <w:ind w:firstLine="480"/>
              <w:rPr>
                <w:rFonts w:ascii="Times New Roman" w:hAnsi="Times New Roman"/>
                <w:color w:val="auto"/>
                <w:szCs w:val="24"/>
              </w:rPr>
            </w:pPr>
            <w:r>
              <w:rPr>
                <w:rFonts w:hint="eastAsia" w:ascii="Times New Roman" w:hAnsi="Times New Roman"/>
                <w:color w:val="auto"/>
                <w:szCs w:val="24"/>
              </w:rPr>
              <w:t>覆盖法院数量</w:t>
            </w:r>
          </w:p>
        </w:tc>
        <w:tc>
          <w:tcPr>
            <w:tcW w:w="3020" w:type="dxa"/>
            <w:noWrap/>
            <w:vAlign w:val="center"/>
          </w:tcPr>
          <w:p w14:paraId="0D145004">
            <w:pPr>
              <w:pStyle w:val="11"/>
              <w:ind w:firstLine="480"/>
              <w:rPr>
                <w:rFonts w:ascii="Times New Roman" w:hAnsi="Times New Roman"/>
                <w:color w:val="auto"/>
                <w:szCs w:val="24"/>
              </w:rPr>
            </w:pPr>
            <w:r>
              <w:rPr>
                <w:rFonts w:hint="eastAsia" w:ascii="Times New Roman" w:hAnsi="Times New Roman"/>
                <w:color w:val="auto"/>
                <w:szCs w:val="24"/>
              </w:rPr>
              <w:t>23</w:t>
            </w:r>
          </w:p>
        </w:tc>
      </w:tr>
      <w:tr w14:paraId="74CD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9" w:type="dxa"/>
            <w:vMerge w:val="continue"/>
            <w:vAlign w:val="center"/>
          </w:tcPr>
          <w:p w14:paraId="780C3973">
            <w:pPr>
              <w:pStyle w:val="11"/>
              <w:ind w:firstLine="480"/>
              <w:rPr>
                <w:rFonts w:ascii="Times New Roman" w:hAnsi="Times New Roman"/>
                <w:color w:val="auto"/>
                <w:szCs w:val="24"/>
              </w:rPr>
            </w:pPr>
          </w:p>
        </w:tc>
        <w:tc>
          <w:tcPr>
            <w:tcW w:w="1197" w:type="dxa"/>
            <w:vMerge w:val="continue"/>
            <w:vAlign w:val="center"/>
          </w:tcPr>
          <w:p w14:paraId="7AF832A9">
            <w:pPr>
              <w:pStyle w:val="11"/>
              <w:ind w:firstLine="480"/>
              <w:rPr>
                <w:rFonts w:ascii="Times New Roman" w:hAnsi="Times New Roman"/>
                <w:color w:val="auto"/>
                <w:szCs w:val="24"/>
              </w:rPr>
            </w:pPr>
          </w:p>
        </w:tc>
        <w:tc>
          <w:tcPr>
            <w:tcW w:w="1491" w:type="dxa"/>
            <w:vMerge w:val="restart"/>
            <w:vAlign w:val="center"/>
          </w:tcPr>
          <w:p w14:paraId="3616E390">
            <w:pPr>
              <w:pStyle w:val="11"/>
              <w:ind w:firstLine="0" w:firstLineChars="0"/>
              <w:rPr>
                <w:rFonts w:ascii="Times New Roman" w:hAnsi="Times New Roman"/>
                <w:color w:val="auto"/>
                <w:szCs w:val="24"/>
              </w:rPr>
            </w:pPr>
            <w:r>
              <w:rPr>
                <w:rFonts w:hint="eastAsia" w:ascii="Times New Roman" w:hAnsi="Times New Roman"/>
                <w:color w:val="auto"/>
                <w:szCs w:val="24"/>
              </w:rPr>
              <w:t>质量指标</w:t>
            </w:r>
          </w:p>
        </w:tc>
        <w:tc>
          <w:tcPr>
            <w:tcW w:w="3271" w:type="dxa"/>
            <w:vAlign w:val="center"/>
          </w:tcPr>
          <w:p w14:paraId="73634A9D">
            <w:pPr>
              <w:pStyle w:val="11"/>
              <w:ind w:firstLine="0" w:firstLineChars="0"/>
              <w:rPr>
                <w:rFonts w:ascii="Times New Roman" w:hAnsi="Times New Roman"/>
                <w:color w:val="auto"/>
                <w:szCs w:val="24"/>
              </w:rPr>
            </w:pPr>
            <w:r>
              <w:rPr>
                <w:rFonts w:hint="eastAsia" w:ascii="Times New Roman" w:hAnsi="Times New Roman"/>
                <w:color w:val="auto"/>
                <w:szCs w:val="24"/>
              </w:rPr>
              <w:t>等级保护安全管理中心要求符合度</w:t>
            </w:r>
          </w:p>
        </w:tc>
        <w:tc>
          <w:tcPr>
            <w:tcW w:w="3020" w:type="dxa"/>
            <w:noWrap/>
            <w:vAlign w:val="center"/>
          </w:tcPr>
          <w:p w14:paraId="4CBB2560">
            <w:pPr>
              <w:pStyle w:val="11"/>
              <w:ind w:firstLine="0" w:firstLineChars="0"/>
              <w:rPr>
                <w:rFonts w:ascii="Times New Roman" w:hAnsi="Times New Roman"/>
                <w:color w:val="auto"/>
                <w:szCs w:val="24"/>
              </w:rPr>
            </w:pPr>
            <w:r>
              <w:rPr>
                <w:rFonts w:hint="eastAsia" w:ascii="Times New Roman" w:hAnsi="Times New Roman"/>
                <w:color w:val="auto"/>
                <w:szCs w:val="24"/>
              </w:rPr>
              <w:t>实现法院专网高院、法官培训中心、政务云法院VPC等4个节点的集中管控要求合规。</w:t>
            </w:r>
          </w:p>
        </w:tc>
      </w:tr>
      <w:tr w14:paraId="60C0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9" w:type="dxa"/>
            <w:vMerge w:val="continue"/>
            <w:vAlign w:val="center"/>
          </w:tcPr>
          <w:p w14:paraId="764A12B6">
            <w:pPr>
              <w:pStyle w:val="11"/>
              <w:ind w:firstLine="480"/>
              <w:rPr>
                <w:rFonts w:ascii="Times New Roman" w:hAnsi="Times New Roman"/>
                <w:color w:val="auto"/>
                <w:szCs w:val="24"/>
              </w:rPr>
            </w:pPr>
          </w:p>
        </w:tc>
        <w:tc>
          <w:tcPr>
            <w:tcW w:w="1197" w:type="dxa"/>
            <w:vMerge w:val="continue"/>
            <w:vAlign w:val="center"/>
          </w:tcPr>
          <w:p w14:paraId="296E9936">
            <w:pPr>
              <w:pStyle w:val="11"/>
              <w:ind w:firstLine="480"/>
              <w:rPr>
                <w:rFonts w:ascii="Times New Roman" w:hAnsi="Times New Roman"/>
                <w:color w:val="auto"/>
                <w:szCs w:val="24"/>
              </w:rPr>
            </w:pPr>
          </w:p>
        </w:tc>
        <w:tc>
          <w:tcPr>
            <w:tcW w:w="1491" w:type="dxa"/>
            <w:vMerge w:val="continue"/>
            <w:vAlign w:val="center"/>
          </w:tcPr>
          <w:p w14:paraId="092EDDD7">
            <w:pPr>
              <w:pStyle w:val="11"/>
              <w:ind w:firstLine="480"/>
              <w:rPr>
                <w:rFonts w:ascii="Times New Roman" w:hAnsi="Times New Roman"/>
                <w:color w:val="auto"/>
                <w:szCs w:val="24"/>
              </w:rPr>
            </w:pPr>
          </w:p>
        </w:tc>
        <w:tc>
          <w:tcPr>
            <w:tcW w:w="3271" w:type="dxa"/>
            <w:vAlign w:val="center"/>
          </w:tcPr>
          <w:p w14:paraId="2EBE99B4">
            <w:pPr>
              <w:pStyle w:val="11"/>
              <w:ind w:firstLine="0" w:firstLineChars="0"/>
              <w:rPr>
                <w:rFonts w:ascii="Times New Roman" w:hAnsi="Times New Roman"/>
                <w:color w:val="auto"/>
                <w:szCs w:val="24"/>
              </w:rPr>
            </w:pPr>
            <w:r>
              <w:rPr>
                <w:rFonts w:hint="eastAsia" w:ascii="Times New Roman" w:hAnsi="Times New Roman"/>
                <w:color w:val="auto"/>
                <w:szCs w:val="24"/>
              </w:rPr>
              <w:t>等级保护安全计算环境要求服务度</w:t>
            </w:r>
          </w:p>
        </w:tc>
        <w:tc>
          <w:tcPr>
            <w:tcW w:w="3020" w:type="dxa"/>
            <w:noWrap/>
            <w:vAlign w:val="center"/>
          </w:tcPr>
          <w:p w14:paraId="1095EC7E">
            <w:pPr>
              <w:pStyle w:val="11"/>
              <w:ind w:firstLine="0" w:firstLineChars="0"/>
              <w:rPr>
                <w:rFonts w:ascii="Times New Roman" w:hAnsi="Times New Roman"/>
                <w:color w:val="auto"/>
                <w:szCs w:val="24"/>
              </w:rPr>
            </w:pPr>
            <w:r>
              <w:rPr>
                <w:rFonts w:hint="eastAsia" w:ascii="Times New Roman" w:hAnsi="Times New Roman"/>
                <w:color w:val="auto"/>
                <w:szCs w:val="24"/>
              </w:rPr>
              <w:t>实现高院法院专网本地数据中心和政务云法院VPC服务器的入侵防范要求合规。</w:t>
            </w:r>
          </w:p>
          <w:p w14:paraId="3EBB249E">
            <w:pPr>
              <w:pStyle w:val="11"/>
              <w:ind w:firstLine="0" w:firstLineChars="0"/>
              <w:rPr>
                <w:rFonts w:ascii="Times New Roman" w:hAnsi="Times New Roman"/>
                <w:color w:val="auto"/>
                <w:szCs w:val="24"/>
              </w:rPr>
            </w:pPr>
            <w:r>
              <w:rPr>
                <w:rFonts w:hint="eastAsia" w:ascii="Times New Roman" w:hAnsi="Times New Roman"/>
                <w:color w:val="auto"/>
                <w:szCs w:val="24"/>
              </w:rPr>
              <w:t>实现高院互联网和政务云互联网区法院VPC服务器的入侵防范要求合规。</w:t>
            </w:r>
          </w:p>
          <w:p w14:paraId="0EAE2091">
            <w:pPr>
              <w:pStyle w:val="11"/>
              <w:ind w:firstLine="0" w:firstLineChars="0"/>
              <w:rPr>
                <w:rFonts w:ascii="Times New Roman" w:hAnsi="Times New Roman"/>
                <w:color w:val="auto"/>
                <w:szCs w:val="24"/>
              </w:rPr>
            </w:pPr>
            <w:r>
              <w:rPr>
                <w:rFonts w:hint="eastAsia" w:ascii="Times New Roman" w:hAnsi="Times New Roman"/>
                <w:color w:val="auto"/>
                <w:szCs w:val="24"/>
              </w:rPr>
              <w:t>实现上海法院专网全部办公终端的身份鉴别、安全审计要求合规。</w:t>
            </w:r>
          </w:p>
        </w:tc>
      </w:tr>
      <w:tr w14:paraId="6AAA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9" w:type="dxa"/>
            <w:vMerge w:val="continue"/>
            <w:vAlign w:val="center"/>
          </w:tcPr>
          <w:p w14:paraId="228A7432">
            <w:pPr>
              <w:pStyle w:val="11"/>
              <w:ind w:firstLine="480"/>
              <w:rPr>
                <w:rFonts w:ascii="Times New Roman" w:hAnsi="Times New Roman"/>
                <w:color w:val="auto"/>
                <w:szCs w:val="24"/>
              </w:rPr>
            </w:pPr>
          </w:p>
        </w:tc>
        <w:tc>
          <w:tcPr>
            <w:tcW w:w="1197" w:type="dxa"/>
            <w:vMerge w:val="continue"/>
            <w:vAlign w:val="center"/>
          </w:tcPr>
          <w:p w14:paraId="0A8E7223">
            <w:pPr>
              <w:pStyle w:val="11"/>
              <w:ind w:firstLine="480"/>
              <w:rPr>
                <w:rFonts w:ascii="Times New Roman" w:hAnsi="Times New Roman"/>
                <w:color w:val="auto"/>
                <w:szCs w:val="24"/>
              </w:rPr>
            </w:pPr>
          </w:p>
        </w:tc>
        <w:tc>
          <w:tcPr>
            <w:tcW w:w="1491" w:type="dxa"/>
            <w:vMerge w:val="continue"/>
            <w:vAlign w:val="center"/>
          </w:tcPr>
          <w:p w14:paraId="126D3CD0">
            <w:pPr>
              <w:pStyle w:val="11"/>
              <w:ind w:firstLine="480"/>
              <w:rPr>
                <w:rFonts w:ascii="Times New Roman" w:hAnsi="Times New Roman"/>
                <w:color w:val="auto"/>
                <w:szCs w:val="24"/>
              </w:rPr>
            </w:pPr>
          </w:p>
        </w:tc>
        <w:tc>
          <w:tcPr>
            <w:tcW w:w="3271" w:type="dxa"/>
            <w:vAlign w:val="center"/>
          </w:tcPr>
          <w:p w14:paraId="28AF2F1A">
            <w:pPr>
              <w:pStyle w:val="11"/>
              <w:ind w:firstLine="0" w:firstLineChars="0"/>
              <w:rPr>
                <w:rFonts w:ascii="Times New Roman" w:hAnsi="Times New Roman"/>
                <w:color w:val="auto"/>
                <w:szCs w:val="24"/>
              </w:rPr>
            </w:pPr>
            <w:r>
              <w:rPr>
                <w:rFonts w:hint="eastAsia" w:ascii="Times New Roman" w:hAnsi="Times New Roman"/>
                <w:color w:val="auto"/>
                <w:szCs w:val="24"/>
              </w:rPr>
              <w:t>移动互联等级保护要求符合度</w:t>
            </w:r>
          </w:p>
        </w:tc>
        <w:tc>
          <w:tcPr>
            <w:tcW w:w="3020" w:type="dxa"/>
            <w:noWrap/>
            <w:vAlign w:val="center"/>
          </w:tcPr>
          <w:p w14:paraId="2273A24F">
            <w:pPr>
              <w:pStyle w:val="11"/>
              <w:ind w:firstLine="0" w:firstLineChars="0"/>
              <w:rPr>
                <w:rFonts w:ascii="Times New Roman" w:hAnsi="Times New Roman"/>
                <w:color w:val="auto"/>
                <w:szCs w:val="24"/>
              </w:rPr>
            </w:pPr>
            <w:r>
              <w:rPr>
                <w:rFonts w:hint="eastAsia" w:ascii="Times New Roman" w:hAnsi="Times New Roman"/>
                <w:color w:val="auto"/>
                <w:szCs w:val="24"/>
              </w:rPr>
              <w:t>实现移动办公办案安全通信网络要求合规。</w:t>
            </w:r>
          </w:p>
          <w:p w14:paraId="0D489D7C">
            <w:pPr>
              <w:pStyle w:val="11"/>
              <w:ind w:firstLine="0" w:firstLineChars="0"/>
              <w:rPr>
                <w:rFonts w:ascii="Times New Roman" w:hAnsi="Times New Roman"/>
                <w:color w:val="auto"/>
                <w:szCs w:val="24"/>
              </w:rPr>
            </w:pPr>
            <w:r>
              <w:rPr>
                <w:rFonts w:hint="eastAsia" w:ascii="Times New Roman" w:hAnsi="Times New Roman"/>
                <w:color w:val="auto"/>
                <w:szCs w:val="24"/>
              </w:rPr>
              <w:t>实现移动办公办案移动互联安全扩展要求中安全计算环境要求合规。</w:t>
            </w:r>
          </w:p>
        </w:tc>
      </w:tr>
      <w:tr w14:paraId="1E16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9" w:type="dxa"/>
            <w:vMerge w:val="continue"/>
            <w:vAlign w:val="center"/>
          </w:tcPr>
          <w:p w14:paraId="3BA19EE6">
            <w:pPr>
              <w:pStyle w:val="11"/>
              <w:ind w:firstLine="480"/>
              <w:rPr>
                <w:rFonts w:ascii="Times New Roman" w:hAnsi="Times New Roman"/>
                <w:color w:val="auto"/>
                <w:szCs w:val="24"/>
              </w:rPr>
            </w:pPr>
          </w:p>
        </w:tc>
        <w:tc>
          <w:tcPr>
            <w:tcW w:w="1197" w:type="dxa"/>
            <w:vMerge w:val="continue"/>
            <w:vAlign w:val="center"/>
          </w:tcPr>
          <w:p w14:paraId="0E87CFBA">
            <w:pPr>
              <w:pStyle w:val="11"/>
              <w:ind w:firstLine="480"/>
              <w:rPr>
                <w:rFonts w:ascii="Times New Roman" w:hAnsi="Times New Roman"/>
                <w:color w:val="auto"/>
                <w:szCs w:val="24"/>
              </w:rPr>
            </w:pPr>
          </w:p>
        </w:tc>
        <w:tc>
          <w:tcPr>
            <w:tcW w:w="1491" w:type="dxa"/>
            <w:vAlign w:val="center"/>
          </w:tcPr>
          <w:p w14:paraId="06DFBB22">
            <w:pPr>
              <w:pStyle w:val="11"/>
              <w:ind w:firstLine="0" w:firstLineChars="0"/>
              <w:rPr>
                <w:rFonts w:ascii="Times New Roman" w:hAnsi="Times New Roman"/>
                <w:color w:val="auto"/>
                <w:szCs w:val="24"/>
              </w:rPr>
            </w:pPr>
            <w:r>
              <w:rPr>
                <w:rFonts w:hint="eastAsia" w:ascii="Times New Roman" w:hAnsi="Times New Roman"/>
                <w:color w:val="auto"/>
                <w:szCs w:val="24"/>
              </w:rPr>
              <w:t>时效指标</w:t>
            </w:r>
          </w:p>
        </w:tc>
        <w:tc>
          <w:tcPr>
            <w:tcW w:w="3271" w:type="dxa"/>
            <w:vAlign w:val="center"/>
          </w:tcPr>
          <w:p w14:paraId="73D52094">
            <w:pPr>
              <w:pStyle w:val="11"/>
              <w:ind w:firstLine="0" w:firstLineChars="0"/>
              <w:rPr>
                <w:rFonts w:ascii="Times New Roman" w:hAnsi="Times New Roman"/>
                <w:color w:val="auto"/>
                <w:szCs w:val="24"/>
              </w:rPr>
            </w:pPr>
            <w:r>
              <w:rPr>
                <w:rFonts w:hint="eastAsia" w:ascii="Times New Roman" w:hAnsi="Times New Roman"/>
                <w:color w:val="auto"/>
                <w:szCs w:val="24"/>
              </w:rPr>
              <w:t>项目进度安排</w:t>
            </w:r>
          </w:p>
        </w:tc>
        <w:tc>
          <w:tcPr>
            <w:tcW w:w="3020" w:type="dxa"/>
            <w:noWrap/>
            <w:vAlign w:val="center"/>
          </w:tcPr>
          <w:p w14:paraId="6272C9D3">
            <w:pPr>
              <w:pStyle w:val="11"/>
              <w:ind w:firstLine="0" w:firstLineChars="0"/>
              <w:rPr>
                <w:rFonts w:ascii="Times New Roman" w:hAnsi="Times New Roman"/>
                <w:color w:val="auto"/>
                <w:szCs w:val="24"/>
              </w:rPr>
            </w:pPr>
            <w:r>
              <w:rPr>
                <w:rFonts w:hint="eastAsia" w:ascii="Times New Roman" w:hAnsi="Times New Roman"/>
                <w:color w:val="auto"/>
                <w:szCs w:val="24"/>
              </w:rPr>
              <w:t>合同签订后半年内完成项目建设</w:t>
            </w:r>
          </w:p>
        </w:tc>
      </w:tr>
      <w:tr w14:paraId="1557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99" w:type="dxa"/>
            <w:vMerge w:val="continue"/>
            <w:vAlign w:val="center"/>
          </w:tcPr>
          <w:p w14:paraId="55DD39EC">
            <w:pPr>
              <w:pStyle w:val="11"/>
              <w:ind w:firstLine="480"/>
              <w:rPr>
                <w:rFonts w:ascii="Times New Roman" w:hAnsi="Times New Roman"/>
                <w:color w:val="auto"/>
                <w:szCs w:val="24"/>
              </w:rPr>
            </w:pPr>
          </w:p>
        </w:tc>
        <w:tc>
          <w:tcPr>
            <w:tcW w:w="1197" w:type="dxa"/>
            <w:vMerge w:val="continue"/>
            <w:vAlign w:val="center"/>
          </w:tcPr>
          <w:p w14:paraId="6EA60525">
            <w:pPr>
              <w:pStyle w:val="11"/>
              <w:ind w:firstLine="480"/>
              <w:rPr>
                <w:rFonts w:ascii="Times New Roman" w:hAnsi="Times New Roman"/>
                <w:color w:val="auto"/>
                <w:szCs w:val="24"/>
              </w:rPr>
            </w:pPr>
          </w:p>
        </w:tc>
        <w:tc>
          <w:tcPr>
            <w:tcW w:w="1491" w:type="dxa"/>
            <w:vAlign w:val="center"/>
          </w:tcPr>
          <w:p w14:paraId="42BA2BE3">
            <w:pPr>
              <w:pStyle w:val="11"/>
              <w:ind w:firstLine="0" w:firstLineChars="0"/>
              <w:rPr>
                <w:rFonts w:ascii="Times New Roman" w:hAnsi="Times New Roman"/>
                <w:color w:val="auto"/>
                <w:szCs w:val="24"/>
              </w:rPr>
            </w:pPr>
            <w:r>
              <w:rPr>
                <w:rFonts w:hint="eastAsia" w:ascii="Times New Roman" w:hAnsi="Times New Roman"/>
                <w:color w:val="auto"/>
                <w:szCs w:val="24"/>
              </w:rPr>
              <w:t>成本指标</w:t>
            </w:r>
          </w:p>
        </w:tc>
        <w:tc>
          <w:tcPr>
            <w:tcW w:w="3271" w:type="dxa"/>
            <w:vAlign w:val="center"/>
          </w:tcPr>
          <w:p w14:paraId="56BBD182">
            <w:pPr>
              <w:pStyle w:val="11"/>
              <w:ind w:firstLine="480"/>
              <w:rPr>
                <w:rFonts w:ascii="Times New Roman" w:hAnsi="Times New Roman"/>
                <w:color w:val="auto"/>
                <w:szCs w:val="24"/>
              </w:rPr>
            </w:pPr>
            <w:r>
              <w:rPr>
                <w:rFonts w:hint="eastAsia" w:ascii="Times New Roman" w:hAnsi="Times New Roman"/>
                <w:color w:val="auto"/>
                <w:szCs w:val="24"/>
              </w:rPr>
              <w:t>建设成本</w:t>
            </w:r>
          </w:p>
        </w:tc>
        <w:tc>
          <w:tcPr>
            <w:tcW w:w="3020" w:type="dxa"/>
            <w:noWrap/>
            <w:vAlign w:val="center"/>
          </w:tcPr>
          <w:p w14:paraId="762ECEF8">
            <w:pPr>
              <w:pStyle w:val="11"/>
              <w:ind w:firstLine="0" w:firstLineChars="0"/>
              <w:rPr>
                <w:rFonts w:ascii="Times New Roman" w:hAnsi="Times New Roman"/>
                <w:color w:val="auto"/>
                <w:szCs w:val="24"/>
              </w:rPr>
            </w:pPr>
            <w:r>
              <w:rPr>
                <w:rFonts w:hint="eastAsia" w:ascii="Times New Roman" w:hAnsi="Times New Roman"/>
                <w:color w:val="auto"/>
                <w:szCs w:val="24"/>
              </w:rPr>
              <w:t>建设成本不超过预算</w:t>
            </w:r>
          </w:p>
        </w:tc>
      </w:tr>
      <w:tr w14:paraId="42BA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9" w:type="dxa"/>
            <w:vMerge w:val="continue"/>
            <w:vAlign w:val="center"/>
          </w:tcPr>
          <w:p w14:paraId="253B161A">
            <w:pPr>
              <w:pStyle w:val="11"/>
              <w:ind w:firstLine="480"/>
              <w:rPr>
                <w:rFonts w:ascii="Times New Roman" w:hAnsi="Times New Roman"/>
                <w:color w:val="auto"/>
                <w:szCs w:val="24"/>
              </w:rPr>
            </w:pPr>
          </w:p>
        </w:tc>
        <w:tc>
          <w:tcPr>
            <w:tcW w:w="1197" w:type="dxa"/>
            <w:vAlign w:val="center"/>
          </w:tcPr>
          <w:p w14:paraId="149C927C">
            <w:pPr>
              <w:pStyle w:val="11"/>
              <w:ind w:firstLine="0" w:firstLineChars="0"/>
              <w:rPr>
                <w:rFonts w:ascii="Times New Roman" w:hAnsi="Times New Roman"/>
                <w:color w:val="auto"/>
                <w:szCs w:val="24"/>
              </w:rPr>
            </w:pPr>
            <w:r>
              <w:rPr>
                <w:rFonts w:hint="eastAsia" w:ascii="Times New Roman" w:hAnsi="Times New Roman"/>
                <w:color w:val="auto"/>
                <w:szCs w:val="24"/>
              </w:rPr>
              <w:t>效益指标</w:t>
            </w:r>
          </w:p>
        </w:tc>
        <w:tc>
          <w:tcPr>
            <w:tcW w:w="1491" w:type="dxa"/>
            <w:vAlign w:val="center"/>
          </w:tcPr>
          <w:p w14:paraId="3901872B">
            <w:pPr>
              <w:pStyle w:val="11"/>
              <w:ind w:firstLine="0" w:firstLineChars="0"/>
              <w:rPr>
                <w:rFonts w:ascii="Times New Roman" w:hAnsi="Times New Roman"/>
                <w:color w:val="auto"/>
                <w:szCs w:val="24"/>
              </w:rPr>
            </w:pPr>
            <w:r>
              <w:rPr>
                <w:rFonts w:hint="eastAsia" w:ascii="Times New Roman" w:hAnsi="Times New Roman"/>
                <w:color w:val="auto"/>
                <w:szCs w:val="24"/>
              </w:rPr>
              <w:t>经济效益指标</w:t>
            </w:r>
          </w:p>
        </w:tc>
        <w:tc>
          <w:tcPr>
            <w:tcW w:w="3271" w:type="dxa"/>
            <w:vAlign w:val="center"/>
          </w:tcPr>
          <w:p w14:paraId="0ADA15AC">
            <w:pPr>
              <w:pStyle w:val="11"/>
              <w:ind w:firstLine="480"/>
              <w:rPr>
                <w:rFonts w:ascii="Times New Roman" w:hAnsi="Times New Roman"/>
                <w:color w:val="auto"/>
                <w:szCs w:val="24"/>
              </w:rPr>
            </w:pPr>
            <w:r>
              <w:rPr>
                <w:rFonts w:hint="eastAsia" w:ascii="Times New Roman" w:hAnsi="Times New Roman"/>
                <w:color w:val="auto"/>
                <w:szCs w:val="24"/>
              </w:rPr>
              <w:t>全市法院使用覆盖率</w:t>
            </w:r>
          </w:p>
        </w:tc>
        <w:tc>
          <w:tcPr>
            <w:tcW w:w="3020" w:type="dxa"/>
            <w:noWrap/>
          </w:tcPr>
          <w:p w14:paraId="7264A83A">
            <w:pPr>
              <w:pStyle w:val="11"/>
              <w:ind w:firstLine="480"/>
              <w:rPr>
                <w:rFonts w:ascii="Times New Roman" w:hAnsi="Times New Roman"/>
                <w:color w:val="auto"/>
                <w:szCs w:val="24"/>
              </w:rPr>
            </w:pPr>
            <w:r>
              <w:rPr>
                <w:rFonts w:hint="eastAsia" w:ascii="Times New Roman" w:hAnsi="Times New Roman"/>
                <w:color w:val="auto"/>
                <w:szCs w:val="24"/>
              </w:rPr>
              <w:t>安全监管中心覆盖高院、法官培训中心、政务云XC区和X86区法院VPC。</w:t>
            </w:r>
          </w:p>
          <w:p w14:paraId="027DD968">
            <w:pPr>
              <w:pStyle w:val="11"/>
              <w:ind w:firstLine="480"/>
              <w:rPr>
                <w:rFonts w:ascii="Times New Roman" w:hAnsi="Times New Roman"/>
                <w:color w:val="auto"/>
                <w:szCs w:val="24"/>
              </w:rPr>
            </w:pPr>
            <w:r>
              <w:rPr>
                <w:rFonts w:hint="eastAsia" w:ascii="Times New Roman" w:hAnsi="Times New Roman"/>
                <w:color w:val="auto"/>
                <w:szCs w:val="24"/>
              </w:rPr>
              <w:t>主机安全防护覆盖上海法院专网350台服务器，上海法院互联网150台服务器。</w:t>
            </w:r>
          </w:p>
          <w:p w14:paraId="1A3519AF">
            <w:pPr>
              <w:pStyle w:val="11"/>
              <w:ind w:firstLine="480"/>
              <w:rPr>
                <w:rFonts w:ascii="Times New Roman" w:hAnsi="Times New Roman"/>
                <w:color w:val="auto"/>
                <w:szCs w:val="24"/>
              </w:rPr>
            </w:pPr>
            <w:r>
              <w:rPr>
                <w:rFonts w:hint="eastAsia" w:ascii="Times New Roman" w:hAnsi="Times New Roman"/>
                <w:color w:val="auto"/>
                <w:szCs w:val="24"/>
              </w:rPr>
              <w:t>终端安全覆盖上海法院专网100%终端。</w:t>
            </w:r>
          </w:p>
          <w:p w14:paraId="2A2117BD">
            <w:pPr>
              <w:pStyle w:val="11"/>
              <w:ind w:firstLine="480"/>
              <w:rPr>
                <w:rFonts w:ascii="Times New Roman" w:hAnsi="Times New Roman"/>
                <w:color w:val="auto"/>
                <w:szCs w:val="24"/>
              </w:rPr>
            </w:pPr>
            <w:r>
              <w:rPr>
                <w:rFonts w:hint="eastAsia" w:ascii="Times New Roman" w:hAnsi="Times New Roman"/>
                <w:color w:val="auto"/>
                <w:szCs w:val="24"/>
              </w:rPr>
              <w:t>移动办公办案覆盖所有移动终端访问通信链路安全、后台服务交互链路安全和隔离交换通道的扩容、高院600台办公手机防护。</w:t>
            </w:r>
          </w:p>
          <w:p w14:paraId="724D17E9">
            <w:pPr>
              <w:pStyle w:val="11"/>
              <w:ind w:firstLine="480"/>
              <w:rPr>
                <w:rFonts w:ascii="Times New Roman" w:hAnsi="Times New Roman"/>
                <w:color w:val="auto"/>
                <w:szCs w:val="24"/>
              </w:rPr>
            </w:pPr>
            <w:r>
              <w:rPr>
                <w:rFonts w:hint="eastAsia" w:ascii="Times New Roman" w:hAnsi="Times New Roman"/>
                <w:color w:val="auto"/>
                <w:szCs w:val="24"/>
              </w:rPr>
              <w:t>运维终端数据防泄漏覆盖高院法院专网本地200台和互联网本地25台运维终端。</w:t>
            </w:r>
          </w:p>
        </w:tc>
      </w:tr>
      <w:tr w14:paraId="037F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99" w:type="dxa"/>
            <w:vAlign w:val="center"/>
          </w:tcPr>
          <w:p w14:paraId="20B2E5BC">
            <w:pPr>
              <w:pStyle w:val="11"/>
              <w:ind w:firstLine="480"/>
              <w:rPr>
                <w:rFonts w:ascii="Times New Roman" w:hAnsi="Times New Roman"/>
                <w:color w:val="auto"/>
                <w:szCs w:val="24"/>
              </w:rPr>
            </w:pPr>
          </w:p>
        </w:tc>
        <w:tc>
          <w:tcPr>
            <w:tcW w:w="1197" w:type="dxa"/>
            <w:vAlign w:val="center"/>
          </w:tcPr>
          <w:p w14:paraId="4FE51575">
            <w:pPr>
              <w:pStyle w:val="11"/>
              <w:ind w:firstLine="0" w:firstLineChars="0"/>
              <w:rPr>
                <w:rFonts w:ascii="Times New Roman" w:hAnsi="Times New Roman"/>
                <w:color w:val="auto"/>
                <w:szCs w:val="24"/>
              </w:rPr>
            </w:pPr>
            <w:r>
              <w:rPr>
                <w:rFonts w:hint="eastAsia" w:ascii="Times New Roman" w:hAnsi="Times New Roman"/>
                <w:color w:val="auto"/>
                <w:szCs w:val="24"/>
              </w:rPr>
              <w:t>满意度指标</w:t>
            </w:r>
          </w:p>
        </w:tc>
        <w:tc>
          <w:tcPr>
            <w:tcW w:w="1491" w:type="dxa"/>
            <w:vAlign w:val="center"/>
          </w:tcPr>
          <w:p w14:paraId="11498C88">
            <w:pPr>
              <w:pStyle w:val="11"/>
              <w:ind w:firstLine="0" w:firstLineChars="0"/>
              <w:rPr>
                <w:rFonts w:ascii="Times New Roman" w:hAnsi="Times New Roman"/>
                <w:color w:val="auto"/>
                <w:szCs w:val="24"/>
              </w:rPr>
            </w:pPr>
            <w:r>
              <w:rPr>
                <w:rFonts w:hint="eastAsia" w:ascii="Times New Roman" w:hAnsi="Times New Roman"/>
                <w:color w:val="auto"/>
                <w:szCs w:val="24"/>
              </w:rPr>
              <w:t>服务对象满意度指标</w:t>
            </w:r>
          </w:p>
        </w:tc>
        <w:tc>
          <w:tcPr>
            <w:tcW w:w="3271" w:type="dxa"/>
            <w:vAlign w:val="center"/>
          </w:tcPr>
          <w:p w14:paraId="2BAC99B2">
            <w:pPr>
              <w:pStyle w:val="11"/>
              <w:ind w:firstLine="480"/>
              <w:rPr>
                <w:rFonts w:ascii="Times New Roman" w:hAnsi="Times New Roman"/>
                <w:color w:val="auto"/>
                <w:szCs w:val="24"/>
              </w:rPr>
            </w:pPr>
            <w:r>
              <w:rPr>
                <w:rFonts w:hint="eastAsia" w:ascii="Times New Roman" w:hAnsi="Times New Roman"/>
                <w:color w:val="auto"/>
                <w:szCs w:val="24"/>
              </w:rPr>
              <w:t>用户满意度</w:t>
            </w:r>
          </w:p>
        </w:tc>
        <w:tc>
          <w:tcPr>
            <w:tcW w:w="3020" w:type="dxa"/>
            <w:noWrap/>
          </w:tcPr>
          <w:p w14:paraId="21A2DDB3">
            <w:pPr>
              <w:pStyle w:val="11"/>
              <w:ind w:firstLine="480"/>
              <w:rPr>
                <w:rFonts w:ascii="Times New Roman" w:hAnsi="Times New Roman"/>
                <w:color w:val="auto"/>
                <w:szCs w:val="24"/>
              </w:rPr>
            </w:pPr>
            <w:r>
              <w:rPr>
                <w:rFonts w:hint="eastAsia" w:ascii="Times New Roman" w:hAnsi="Times New Roman"/>
                <w:color w:val="auto"/>
                <w:szCs w:val="24"/>
              </w:rPr>
              <w:t>≥90%</w:t>
            </w:r>
          </w:p>
        </w:tc>
      </w:tr>
    </w:tbl>
    <w:p w14:paraId="50590554">
      <w:pPr>
        <w:ind w:firstLine="0" w:firstLineChars="0"/>
      </w:pPr>
    </w:p>
    <w:p w14:paraId="5E4E2864">
      <w:pPr>
        <w:pStyle w:val="4"/>
        <w:numPr>
          <w:ilvl w:val="1"/>
          <w:numId w:val="0"/>
        </w:numPr>
        <w:ind w:left="845"/>
      </w:pPr>
      <w:r>
        <w:rPr>
          <w:rFonts w:hint="eastAsia"/>
        </w:rPr>
        <w:t>2.绩效目标</w:t>
      </w:r>
    </w:p>
    <w:tbl>
      <w:tblPr>
        <w:tblStyle w:val="16"/>
        <w:tblW w:w="9878" w:type="dxa"/>
        <w:jc w:val="center"/>
        <w:tblLayout w:type="autofit"/>
        <w:tblCellMar>
          <w:top w:w="0" w:type="dxa"/>
          <w:left w:w="108" w:type="dxa"/>
          <w:bottom w:w="0" w:type="dxa"/>
          <w:right w:w="108" w:type="dxa"/>
        </w:tblCellMar>
      </w:tblPr>
      <w:tblGrid>
        <w:gridCol w:w="976"/>
        <w:gridCol w:w="1581"/>
        <w:gridCol w:w="4661"/>
        <w:gridCol w:w="2660"/>
      </w:tblGrid>
      <w:tr w14:paraId="373A4AE2">
        <w:tblPrEx>
          <w:tblCellMar>
            <w:top w:w="0" w:type="dxa"/>
            <w:left w:w="108" w:type="dxa"/>
            <w:bottom w:w="0" w:type="dxa"/>
            <w:right w:w="108" w:type="dxa"/>
          </w:tblCellMar>
        </w:tblPrEx>
        <w:trPr>
          <w:trHeight w:val="630"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B326">
            <w:pPr>
              <w:pStyle w:val="11"/>
              <w:ind w:firstLine="0" w:firstLineChars="0"/>
              <w:rPr>
                <w:rFonts w:ascii="Times New Roman" w:hAnsi="Times New Roman"/>
                <w:color w:val="auto"/>
                <w:szCs w:val="24"/>
              </w:rPr>
            </w:pPr>
            <w:r>
              <w:rPr>
                <w:rFonts w:hint="eastAsia" w:ascii="Times New Roman" w:hAnsi="Times New Roman"/>
                <w:color w:val="auto"/>
                <w:szCs w:val="24"/>
              </w:rPr>
              <w:t>序号</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C902">
            <w:pPr>
              <w:pStyle w:val="11"/>
              <w:ind w:firstLine="0" w:firstLineChars="0"/>
              <w:rPr>
                <w:rFonts w:ascii="Times New Roman" w:hAnsi="Times New Roman"/>
                <w:color w:val="auto"/>
                <w:szCs w:val="24"/>
              </w:rPr>
            </w:pPr>
            <w:r>
              <w:rPr>
                <w:rFonts w:hint="eastAsia" w:ascii="Times New Roman" w:hAnsi="Times New Roman"/>
                <w:color w:val="auto"/>
                <w:szCs w:val="24"/>
              </w:rPr>
              <w:t>绩效目标</w:t>
            </w:r>
          </w:p>
        </w:tc>
        <w:tc>
          <w:tcPr>
            <w:tcW w:w="73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0E166">
            <w:pPr>
              <w:pStyle w:val="11"/>
              <w:ind w:firstLine="480"/>
              <w:rPr>
                <w:rFonts w:ascii="Times New Roman" w:hAnsi="Times New Roman"/>
                <w:color w:val="auto"/>
                <w:szCs w:val="24"/>
              </w:rPr>
            </w:pPr>
            <w:r>
              <w:rPr>
                <w:rFonts w:hint="eastAsia" w:ascii="Times New Roman" w:hAnsi="Times New Roman"/>
                <w:color w:val="auto"/>
                <w:szCs w:val="24"/>
              </w:rPr>
              <w:t>目标值</w:t>
            </w:r>
          </w:p>
        </w:tc>
      </w:tr>
      <w:tr w14:paraId="6CDB0ECD">
        <w:tblPrEx>
          <w:tblCellMar>
            <w:top w:w="0" w:type="dxa"/>
            <w:left w:w="108" w:type="dxa"/>
            <w:bottom w:w="0" w:type="dxa"/>
            <w:right w:w="108" w:type="dxa"/>
          </w:tblCellMar>
        </w:tblPrEx>
        <w:trPr>
          <w:trHeight w:val="400" w:hRule="atLeast"/>
          <w:jc w:val="center"/>
        </w:trPr>
        <w:tc>
          <w:tcPr>
            <w:tcW w:w="7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ADFCB9">
            <w:pPr>
              <w:pStyle w:val="11"/>
              <w:ind w:firstLine="480"/>
              <w:rPr>
                <w:rFonts w:ascii="Times New Roman" w:hAnsi="Times New Roman"/>
                <w:color w:val="auto"/>
                <w:szCs w:val="24"/>
              </w:rPr>
            </w:pPr>
            <w:r>
              <w:rPr>
                <w:rFonts w:hint="eastAsia" w:ascii="Times New Roman" w:hAnsi="Times New Roman"/>
                <w:color w:val="auto"/>
                <w:szCs w:val="24"/>
              </w:rPr>
              <w:t>产出目标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52E2">
            <w:pPr>
              <w:pStyle w:val="11"/>
              <w:ind w:firstLine="480"/>
              <w:rPr>
                <w:rFonts w:ascii="Times New Roman" w:hAnsi="Times New Roman"/>
                <w:color w:val="auto"/>
                <w:szCs w:val="24"/>
              </w:rPr>
            </w:pPr>
            <w:r>
              <w:rPr>
                <w:rFonts w:hint="eastAsia" w:ascii="Times New Roman" w:hAnsi="Times New Roman"/>
                <w:color w:val="auto"/>
                <w:szCs w:val="24"/>
              </w:rPr>
              <w:t>项目效果</w:t>
            </w:r>
          </w:p>
        </w:tc>
      </w:tr>
      <w:tr w14:paraId="012FDA83">
        <w:tblPrEx>
          <w:tblCellMar>
            <w:top w:w="0" w:type="dxa"/>
            <w:left w:w="108" w:type="dxa"/>
            <w:bottom w:w="0" w:type="dxa"/>
            <w:right w:w="108" w:type="dxa"/>
          </w:tblCellMar>
        </w:tblPrEx>
        <w:trPr>
          <w:trHeight w:val="4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1CDE">
            <w:pPr>
              <w:pStyle w:val="11"/>
              <w:ind w:firstLine="480"/>
              <w:rPr>
                <w:rFonts w:ascii="Times New Roman" w:hAnsi="Times New Roman"/>
                <w:color w:val="auto"/>
                <w:szCs w:val="24"/>
              </w:rPr>
            </w:pPr>
            <w:r>
              <w:rPr>
                <w:rFonts w:hint="eastAsia" w:ascii="Times New Roman" w:hAnsi="Times New Roman"/>
                <w:color w:val="auto"/>
                <w:szCs w:val="24"/>
              </w:rPr>
              <w:t>1</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1528DE">
            <w:pPr>
              <w:pStyle w:val="11"/>
              <w:ind w:firstLine="0" w:firstLineChars="0"/>
              <w:rPr>
                <w:rFonts w:ascii="Times New Roman" w:hAnsi="Times New Roman"/>
                <w:color w:val="auto"/>
                <w:szCs w:val="24"/>
              </w:rPr>
            </w:pPr>
            <w:r>
              <w:rPr>
                <w:rFonts w:hint="eastAsia" w:ascii="Times New Roman" w:hAnsi="Times New Roman"/>
                <w:color w:val="auto"/>
                <w:szCs w:val="24"/>
              </w:rPr>
              <w:t>建设上海法院专网安全监管中心</w:t>
            </w:r>
          </w:p>
        </w:tc>
        <w:tc>
          <w:tcPr>
            <w:tcW w:w="4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13916">
            <w:pPr>
              <w:pStyle w:val="11"/>
              <w:ind w:firstLine="480"/>
              <w:rPr>
                <w:rFonts w:ascii="Times New Roman" w:hAnsi="Times New Roman"/>
                <w:color w:val="auto"/>
                <w:szCs w:val="24"/>
              </w:rPr>
            </w:pPr>
            <w:r>
              <w:rPr>
                <w:rFonts w:hint="eastAsia" w:ascii="Times New Roman" w:hAnsi="Times New Roman"/>
                <w:color w:val="auto"/>
                <w:szCs w:val="24"/>
              </w:rPr>
              <w:t>两个本地数据中心和两个云数据中心的全流量采集探针；政务云虚拟化服务器流量分析；形成覆盖高院、法官培训中心两个本地数据中心和两个政务云数据中心的态势感知分析平台及其日志集中分析平台。</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6DC60">
            <w:pPr>
              <w:pStyle w:val="11"/>
              <w:ind w:firstLine="0" w:firstLineChars="0"/>
              <w:rPr>
                <w:rFonts w:ascii="Times New Roman" w:hAnsi="Times New Roman"/>
                <w:color w:val="auto"/>
                <w:szCs w:val="24"/>
              </w:rPr>
            </w:pPr>
            <w:r>
              <w:rPr>
                <w:rFonts w:hint="eastAsia" w:ascii="Times New Roman" w:hAnsi="Times New Roman"/>
                <w:color w:val="auto"/>
                <w:szCs w:val="24"/>
              </w:rPr>
              <w:t>上海法院专网达到等保三级要求</w:t>
            </w:r>
          </w:p>
        </w:tc>
      </w:tr>
      <w:tr w14:paraId="476FA6EB">
        <w:tblPrEx>
          <w:tblCellMar>
            <w:top w:w="0" w:type="dxa"/>
            <w:left w:w="108" w:type="dxa"/>
            <w:bottom w:w="0" w:type="dxa"/>
            <w:right w:w="108" w:type="dxa"/>
          </w:tblCellMar>
        </w:tblPrEx>
        <w:trPr>
          <w:trHeight w:val="4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DE74">
            <w:pPr>
              <w:pStyle w:val="11"/>
              <w:ind w:firstLine="480"/>
              <w:rPr>
                <w:rFonts w:ascii="Times New Roman" w:hAnsi="Times New Roman"/>
                <w:color w:val="auto"/>
                <w:szCs w:val="24"/>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84926">
            <w:pPr>
              <w:pStyle w:val="11"/>
              <w:ind w:firstLine="480"/>
              <w:rPr>
                <w:rFonts w:ascii="Times New Roman" w:hAnsi="Times New Roman"/>
                <w:color w:val="auto"/>
                <w:szCs w:val="24"/>
              </w:rPr>
            </w:pPr>
          </w:p>
        </w:tc>
        <w:tc>
          <w:tcPr>
            <w:tcW w:w="4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BE7DB">
            <w:pPr>
              <w:pStyle w:val="11"/>
              <w:ind w:firstLine="480"/>
              <w:rPr>
                <w:rFonts w:ascii="Times New Roman" w:hAnsi="Times New Roman"/>
                <w:color w:val="auto"/>
                <w:szCs w:val="24"/>
              </w:rPr>
            </w:pP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7D51A">
            <w:pPr>
              <w:pStyle w:val="11"/>
              <w:ind w:firstLine="480"/>
              <w:rPr>
                <w:rFonts w:ascii="Times New Roman" w:hAnsi="Times New Roman"/>
                <w:color w:val="auto"/>
                <w:szCs w:val="24"/>
              </w:rPr>
            </w:pPr>
          </w:p>
        </w:tc>
      </w:tr>
      <w:tr w14:paraId="75919806">
        <w:tblPrEx>
          <w:tblCellMar>
            <w:top w:w="0" w:type="dxa"/>
            <w:left w:w="108" w:type="dxa"/>
            <w:bottom w:w="0" w:type="dxa"/>
            <w:right w:w="108" w:type="dxa"/>
          </w:tblCellMar>
        </w:tblPrEx>
        <w:trPr>
          <w:trHeight w:val="4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1794">
            <w:pPr>
              <w:pStyle w:val="11"/>
              <w:ind w:firstLine="480"/>
              <w:rPr>
                <w:rFonts w:ascii="Times New Roman" w:hAnsi="Times New Roman"/>
                <w:color w:val="auto"/>
                <w:szCs w:val="24"/>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D3279">
            <w:pPr>
              <w:pStyle w:val="11"/>
              <w:ind w:firstLine="480"/>
              <w:rPr>
                <w:rFonts w:ascii="Times New Roman" w:hAnsi="Times New Roman"/>
                <w:color w:val="auto"/>
                <w:szCs w:val="24"/>
              </w:rPr>
            </w:pPr>
          </w:p>
        </w:tc>
        <w:tc>
          <w:tcPr>
            <w:tcW w:w="4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5827">
            <w:pPr>
              <w:pStyle w:val="11"/>
              <w:ind w:firstLine="480"/>
              <w:rPr>
                <w:rFonts w:ascii="Times New Roman" w:hAnsi="Times New Roman"/>
                <w:color w:val="auto"/>
                <w:szCs w:val="24"/>
              </w:rPr>
            </w:pP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FE7F6">
            <w:pPr>
              <w:pStyle w:val="11"/>
              <w:ind w:firstLine="480"/>
              <w:rPr>
                <w:rFonts w:ascii="Times New Roman" w:hAnsi="Times New Roman"/>
                <w:color w:val="auto"/>
                <w:szCs w:val="24"/>
              </w:rPr>
            </w:pPr>
          </w:p>
        </w:tc>
      </w:tr>
      <w:tr w14:paraId="0A5BE5F2">
        <w:tblPrEx>
          <w:tblCellMar>
            <w:top w:w="0" w:type="dxa"/>
            <w:left w:w="108" w:type="dxa"/>
            <w:bottom w:w="0" w:type="dxa"/>
            <w:right w:w="108" w:type="dxa"/>
          </w:tblCellMar>
        </w:tblPrEx>
        <w:trPr>
          <w:trHeight w:val="4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E6EC">
            <w:pPr>
              <w:pStyle w:val="11"/>
              <w:ind w:firstLine="480"/>
              <w:rPr>
                <w:rFonts w:ascii="Times New Roman" w:hAnsi="Times New Roman"/>
                <w:color w:val="auto"/>
                <w:szCs w:val="24"/>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02FFA">
            <w:pPr>
              <w:pStyle w:val="11"/>
              <w:ind w:firstLine="480"/>
              <w:rPr>
                <w:rFonts w:ascii="Times New Roman" w:hAnsi="Times New Roman"/>
                <w:color w:val="auto"/>
                <w:szCs w:val="24"/>
              </w:rPr>
            </w:pPr>
          </w:p>
        </w:tc>
        <w:tc>
          <w:tcPr>
            <w:tcW w:w="4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76C25">
            <w:pPr>
              <w:pStyle w:val="11"/>
              <w:ind w:firstLine="480"/>
              <w:rPr>
                <w:rFonts w:ascii="Times New Roman" w:hAnsi="Times New Roman"/>
                <w:color w:val="auto"/>
                <w:szCs w:val="24"/>
              </w:rPr>
            </w:pP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39C46">
            <w:pPr>
              <w:pStyle w:val="11"/>
              <w:ind w:firstLine="480"/>
              <w:rPr>
                <w:rFonts w:ascii="Times New Roman" w:hAnsi="Times New Roman"/>
                <w:color w:val="auto"/>
                <w:szCs w:val="24"/>
              </w:rPr>
            </w:pPr>
          </w:p>
        </w:tc>
      </w:tr>
      <w:tr w14:paraId="7C8B2857">
        <w:tblPrEx>
          <w:tblCellMar>
            <w:top w:w="0" w:type="dxa"/>
            <w:left w:w="108" w:type="dxa"/>
            <w:bottom w:w="0" w:type="dxa"/>
            <w:right w:w="108" w:type="dxa"/>
          </w:tblCellMar>
        </w:tblPrEx>
        <w:trPr>
          <w:trHeight w:val="4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4B70">
            <w:pPr>
              <w:pStyle w:val="11"/>
              <w:ind w:firstLine="480"/>
              <w:rPr>
                <w:rFonts w:ascii="Times New Roman" w:hAnsi="Times New Roman"/>
                <w:color w:val="auto"/>
                <w:szCs w:val="24"/>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89E1A">
            <w:pPr>
              <w:pStyle w:val="11"/>
              <w:ind w:firstLine="480"/>
              <w:rPr>
                <w:rFonts w:ascii="Times New Roman" w:hAnsi="Times New Roman"/>
                <w:color w:val="auto"/>
                <w:szCs w:val="24"/>
              </w:rPr>
            </w:pPr>
          </w:p>
        </w:tc>
        <w:tc>
          <w:tcPr>
            <w:tcW w:w="4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660E6">
            <w:pPr>
              <w:pStyle w:val="11"/>
              <w:ind w:firstLine="480"/>
              <w:rPr>
                <w:rFonts w:ascii="Times New Roman" w:hAnsi="Times New Roman"/>
                <w:color w:val="auto"/>
                <w:szCs w:val="24"/>
              </w:rPr>
            </w:pP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708C9">
            <w:pPr>
              <w:pStyle w:val="11"/>
              <w:ind w:firstLine="480"/>
              <w:rPr>
                <w:rFonts w:ascii="Times New Roman" w:hAnsi="Times New Roman"/>
                <w:color w:val="auto"/>
                <w:szCs w:val="24"/>
              </w:rPr>
            </w:pPr>
          </w:p>
        </w:tc>
      </w:tr>
      <w:tr w14:paraId="60C2F8D2">
        <w:tblPrEx>
          <w:tblCellMar>
            <w:top w:w="0" w:type="dxa"/>
            <w:left w:w="108" w:type="dxa"/>
            <w:bottom w:w="0" w:type="dxa"/>
            <w:right w:w="108" w:type="dxa"/>
          </w:tblCellMar>
        </w:tblPrEx>
        <w:trPr>
          <w:trHeight w:val="48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F039">
            <w:pPr>
              <w:pStyle w:val="11"/>
              <w:ind w:firstLine="480"/>
              <w:rPr>
                <w:rFonts w:ascii="Times New Roman" w:hAnsi="Times New Roman"/>
                <w:color w:val="auto"/>
                <w:szCs w:val="24"/>
              </w:rPr>
            </w:pPr>
            <w:r>
              <w:rPr>
                <w:rFonts w:hint="eastAsia" w:ascii="Times New Roman" w:hAnsi="Times New Roman"/>
                <w:color w:val="auto"/>
                <w:szCs w:val="24"/>
              </w:rPr>
              <w:t>2</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3034F">
            <w:pPr>
              <w:pStyle w:val="11"/>
              <w:ind w:firstLine="0" w:firstLineChars="0"/>
              <w:rPr>
                <w:rFonts w:ascii="Times New Roman" w:hAnsi="Times New Roman"/>
                <w:color w:val="auto"/>
                <w:szCs w:val="24"/>
              </w:rPr>
            </w:pPr>
            <w:r>
              <w:rPr>
                <w:rFonts w:hint="eastAsia" w:ascii="Times New Roman" w:hAnsi="Times New Roman"/>
                <w:color w:val="auto"/>
                <w:szCs w:val="24"/>
              </w:rPr>
              <w:t>完成主机安全建设</w:t>
            </w:r>
          </w:p>
        </w:tc>
        <w:tc>
          <w:tcPr>
            <w:tcW w:w="46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794759">
            <w:pPr>
              <w:pStyle w:val="11"/>
              <w:ind w:firstLine="480"/>
              <w:rPr>
                <w:rFonts w:ascii="Times New Roman" w:hAnsi="Times New Roman"/>
                <w:color w:val="auto"/>
                <w:szCs w:val="24"/>
              </w:rPr>
            </w:pPr>
            <w:r>
              <w:rPr>
                <w:rFonts w:hint="eastAsia" w:ascii="Times New Roman" w:hAnsi="Times New Roman"/>
                <w:color w:val="auto"/>
                <w:szCs w:val="24"/>
              </w:rPr>
              <w:t>针对上海高院法院专网和互联网本地及云端服务器，在服务器身份鉴别、访问控制、入侵防范、恶意代码防范、安全审计等方面达到等级保护三级标准，最终完成上海高院法院专网和互联网本地及云端服务器的安全加固。</w:t>
            </w:r>
          </w:p>
        </w:tc>
        <w:tc>
          <w:tcPr>
            <w:tcW w:w="2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E2D6B">
            <w:pPr>
              <w:pStyle w:val="11"/>
              <w:ind w:firstLine="0" w:firstLineChars="0"/>
              <w:rPr>
                <w:rFonts w:ascii="Times New Roman" w:hAnsi="Times New Roman"/>
                <w:color w:val="auto"/>
                <w:szCs w:val="24"/>
              </w:rPr>
            </w:pPr>
            <w:r>
              <w:rPr>
                <w:rFonts w:hint="eastAsia" w:ascii="Times New Roman" w:hAnsi="Times New Roman"/>
                <w:color w:val="auto"/>
                <w:szCs w:val="24"/>
              </w:rPr>
              <w:t>加强主机层安全防护措施</w:t>
            </w:r>
          </w:p>
        </w:tc>
      </w:tr>
      <w:tr w14:paraId="0BCDB0C2">
        <w:tblPrEx>
          <w:tblCellMar>
            <w:top w:w="0" w:type="dxa"/>
            <w:left w:w="108" w:type="dxa"/>
            <w:bottom w:w="0" w:type="dxa"/>
            <w:right w:w="108" w:type="dxa"/>
          </w:tblCellMar>
        </w:tblPrEx>
        <w:trPr>
          <w:trHeight w:val="48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D48A">
            <w:pPr>
              <w:pStyle w:val="11"/>
              <w:ind w:firstLine="480"/>
              <w:rPr>
                <w:rFonts w:ascii="Times New Roman" w:hAnsi="Times New Roman"/>
                <w:color w:val="auto"/>
                <w:szCs w:val="24"/>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CE8F9">
            <w:pPr>
              <w:pStyle w:val="11"/>
              <w:ind w:firstLine="480"/>
              <w:rPr>
                <w:rFonts w:ascii="Times New Roman" w:hAnsi="Times New Roman"/>
                <w:color w:val="auto"/>
                <w:szCs w:val="24"/>
              </w:rPr>
            </w:pPr>
          </w:p>
        </w:tc>
        <w:tc>
          <w:tcPr>
            <w:tcW w:w="4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E6759">
            <w:pPr>
              <w:pStyle w:val="11"/>
              <w:ind w:firstLine="480"/>
              <w:rPr>
                <w:rFonts w:ascii="Times New Roman" w:hAnsi="Times New Roman"/>
                <w:color w:val="auto"/>
                <w:szCs w:val="24"/>
              </w:rPr>
            </w:pP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408DF">
            <w:pPr>
              <w:pStyle w:val="11"/>
              <w:ind w:firstLine="480"/>
              <w:rPr>
                <w:rFonts w:ascii="Times New Roman" w:hAnsi="Times New Roman"/>
                <w:color w:val="auto"/>
                <w:szCs w:val="24"/>
              </w:rPr>
            </w:pPr>
          </w:p>
        </w:tc>
      </w:tr>
      <w:tr w14:paraId="150D0F4A">
        <w:tblPrEx>
          <w:tblCellMar>
            <w:top w:w="0" w:type="dxa"/>
            <w:left w:w="108" w:type="dxa"/>
            <w:bottom w:w="0" w:type="dxa"/>
            <w:right w:w="108" w:type="dxa"/>
          </w:tblCellMar>
        </w:tblPrEx>
        <w:trPr>
          <w:trHeight w:val="72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E24E">
            <w:pPr>
              <w:pStyle w:val="11"/>
              <w:ind w:firstLine="480"/>
              <w:rPr>
                <w:rFonts w:ascii="Times New Roman" w:hAnsi="Times New Roman"/>
                <w:color w:val="auto"/>
                <w:szCs w:val="24"/>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01E35">
            <w:pPr>
              <w:pStyle w:val="11"/>
              <w:ind w:firstLine="480"/>
              <w:rPr>
                <w:rFonts w:ascii="Times New Roman" w:hAnsi="Times New Roman"/>
                <w:color w:val="auto"/>
                <w:szCs w:val="24"/>
              </w:rPr>
            </w:pPr>
          </w:p>
        </w:tc>
        <w:tc>
          <w:tcPr>
            <w:tcW w:w="46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C70EC">
            <w:pPr>
              <w:pStyle w:val="11"/>
              <w:ind w:firstLine="480"/>
              <w:rPr>
                <w:rFonts w:ascii="Times New Roman" w:hAnsi="Times New Roman"/>
                <w:color w:val="auto"/>
                <w:szCs w:val="24"/>
              </w:rPr>
            </w:pPr>
          </w:p>
        </w:tc>
        <w:tc>
          <w:tcPr>
            <w:tcW w:w="2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BACA6">
            <w:pPr>
              <w:pStyle w:val="11"/>
              <w:ind w:firstLine="480"/>
              <w:rPr>
                <w:rFonts w:ascii="Times New Roman" w:hAnsi="Times New Roman"/>
                <w:color w:val="auto"/>
                <w:szCs w:val="24"/>
              </w:rPr>
            </w:pPr>
          </w:p>
        </w:tc>
      </w:tr>
      <w:tr w14:paraId="20DF2952">
        <w:tblPrEx>
          <w:tblCellMar>
            <w:top w:w="0" w:type="dxa"/>
            <w:left w:w="108" w:type="dxa"/>
            <w:bottom w:w="0" w:type="dxa"/>
            <w:right w:w="108" w:type="dxa"/>
          </w:tblCellMar>
        </w:tblPrEx>
        <w:trPr>
          <w:trHeight w:val="18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A477">
            <w:pPr>
              <w:pStyle w:val="11"/>
              <w:ind w:firstLine="480"/>
              <w:rPr>
                <w:rFonts w:ascii="Times New Roman" w:hAnsi="Times New Roman"/>
                <w:color w:val="auto"/>
                <w:szCs w:val="24"/>
              </w:rPr>
            </w:pPr>
            <w:r>
              <w:rPr>
                <w:rFonts w:hint="eastAsia" w:ascii="Times New Roman" w:hAnsi="Times New Roman"/>
                <w:color w:val="auto"/>
                <w:szCs w:val="24"/>
              </w:rPr>
              <w:t>3</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0833">
            <w:pPr>
              <w:pStyle w:val="11"/>
              <w:ind w:firstLine="0" w:firstLineChars="0"/>
              <w:rPr>
                <w:rFonts w:ascii="Times New Roman" w:hAnsi="Times New Roman"/>
                <w:color w:val="auto"/>
                <w:szCs w:val="24"/>
              </w:rPr>
            </w:pPr>
            <w:r>
              <w:rPr>
                <w:rFonts w:hint="eastAsia" w:ascii="Times New Roman" w:hAnsi="Times New Roman"/>
                <w:color w:val="auto"/>
                <w:szCs w:val="24"/>
              </w:rPr>
              <w:t>完成终端安全建设</w:t>
            </w:r>
          </w:p>
        </w:tc>
        <w:tc>
          <w:tcPr>
            <w:tcW w:w="4663" w:type="dxa"/>
            <w:tcBorders>
              <w:top w:val="nil"/>
              <w:left w:val="single" w:color="000000" w:sz="4" w:space="0"/>
              <w:bottom w:val="single" w:color="000000" w:sz="4" w:space="0"/>
              <w:right w:val="single" w:color="000000" w:sz="4" w:space="0"/>
            </w:tcBorders>
            <w:shd w:val="clear" w:color="auto" w:fill="auto"/>
            <w:vAlign w:val="center"/>
          </w:tcPr>
          <w:p w14:paraId="1B30EC63">
            <w:pPr>
              <w:pStyle w:val="11"/>
              <w:ind w:firstLine="480"/>
              <w:rPr>
                <w:rFonts w:ascii="Times New Roman" w:hAnsi="Times New Roman"/>
                <w:color w:val="auto"/>
                <w:szCs w:val="24"/>
              </w:rPr>
            </w:pPr>
            <w:r>
              <w:rPr>
                <w:rFonts w:hint="eastAsia" w:ascii="Times New Roman" w:hAnsi="Times New Roman"/>
                <w:color w:val="auto"/>
                <w:szCs w:val="24"/>
              </w:rPr>
              <w:t>针对全市法院专网本地办公终端，完成全市法院专网本地办公终端的终端安全管理系统（控制台）的国产化替代与升级，以及终端安全管理系统统一管理平台建设（终端安全管理系统客户端已完成国产化替代与升级）。</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55D2">
            <w:pPr>
              <w:pStyle w:val="11"/>
              <w:ind w:firstLine="0" w:firstLineChars="0"/>
              <w:rPr>
                <w:rFonts w:ascii="Times New Roman" w:hAnsi="Times New Roman"/>
                <w:color w:val="auto"/>
                <w:szCs w:val="24"/>
              </w:rPr>
            </w:pPr>
            <w:r>
              <w:rPr>
                <w:rFonts w:hint="eastAsia" w:ascii="Times New Roman" w:hAnsi="Times New Roman"/>
                <w:color w:val="auto"/>
                <w:szCs w:val="24"/>
              </w:rPr>
              <w:t>实现上海法院专网全市XC终端统一管理</w:t>
            </w:r>
          </w:p>
        </w:tc>
      </w:tr>
      <w:tr w14:paraId="0F89ACB8">
        <w:tblPrEx>
          <w:tblCellMar>
            <w:top w:w="0" w:type="dxa"/>
            <w:left w:w="108" w:type="dxa"/>
            <w:bottom w:w="0" w:type="dxa"/>
            <w:right w:w="108" w:type="dxa"/>
          </w:tblCellMar>
        </w:tblPrEx>
        <w:trPr>
          <w:trHeight w:val="28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DE23">
            <w:pPr>
              <w:pStyle w:val="11"/>
              <w:ind w:firstLine="480"/>
              <w:rPr>
                <w:rFonts w:ascii="Times New Roman" w:hAnsi="Times New Roman"/>
                <w:color w:val="auto"/>
                <w:szCs w:val="24"/>
              </w:rPr>
            </w:pPr>
            <w:r>
              <w:rPr>
                <w:rFonts w:hint="eastAsia" w:ascii="Times New Roman" w:hAnsi="Times New Roman"/>
                <w:color w:val="auto"/>
                <w:szCs w:val="24"/>
              </w:rPr>
              <w:t>4</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A7A9">
            <w:pPr>
              <w:pStyle w:val="11"/>
              <w:ind w:firstLine="0" w:firstLineChars="0"/>
              <w:rPr>
                <w:rFonts w:ascii="Times New Roman" w:hAnsi="Times New Roman"/>
                <w:color w:val="auto"/>
                <w:szCs w:val="24"/>
              </w:rPr>
            </w:pPr>
            <w:r>
              <w:rPr>
                <w:rFonts w:hint="eastAsia" w:ascii="Times New Roman" w:hAnsi="Times New Roman"/>
                <w:color w:val="auto"/>
                <w:szCs w:val="24"/>
              </w:rPr>
              <w:t>完成移动安全防护建设</w:t>
            </w:r>
          </w:p>
        </w:tc>
        <w:tc>
          <w:tcPr>
            <w:tcW w:w="4663" w:type="dxa"/>
            <w:tcBorders>
              <w:top w:val="nil"/>
              <w:left w:val="single" w:color="000000" w:sz="4" w:space="0"/>
              <w:bottom w:val="single" w:color="000000" w:sz="4" w:space="0"/>
              <w:right w:val="single" w:color="000000" w:sz="4" w:space="0"/>
            </w:tcBorders>
            <w:shd w:val="clear" w:color="auto" w:fill="auto"/>
            <w:vAlign w:val="center"/>
          </w:tcPr>
          <w:p w14:paraId="0963B301">
            <w:pPr>
              <w:pStyle w:val="11"/>
              <w:ind w:firstLine="480"/>
              <w:rPr>
                <w:rFonts w:ascii="Times New Roman" w:hAnsi="Times New Roman"/>
                <w:color w:val="auto"/>
                <w:szCs w:val="24"/>
              </w:rPr>
            </w:pPr>
            <w:r>
              <w:rPr>
                <w:rFonts w:hint="eastAsia" w:ascii="Times New Roman" w:hAnsi="Times New Roman"/>
                <w:color w:val="auto"/>
                <w:szCs w:val="24"/>
              </w:rPr>
              <w:t>针对上海高院移动端业务（目前运行在高院互联网链路中），在安全通信网络、安全计算环境方面达到等级保护三级标准。实现边界控制、身份认证、隔离交换、移动设备管理、移动应用管理和移动数据防泄露等功能，建设支持全市法院移动办公的网络通信链路以及建立全市法院移动办公终端安全管理平台（各中基层法院按需接入），为全市法院移动办公办案提供安全合规运行环境。</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2F2B">
            <w:pPr>
              <w:pStyle w:val="11"/>
              <w:ind w:firstLine="0" w:firstLineChars="0"/>
              <w:rPr>
                <w:rFonts w:ascii="Times New Roman" w:hAnsi="Times New Roman"/>
                <w:color w:val="auto"/>
                <w:szCs w:val="24"/>
              </w:rPr>
            </w:pPr>
            <w:r>
              <w:rPr>
                <w:rFonts w:hint="eastAsia" w:ascii="Times New Roman" w:hAnsi="Times New Roman"/>
                <w:color w:val="auto"/>
                <w:szCs w:val="24"/>
              </w:rPr>
              <w:t>健全补强移动通信安全和安全计算环境</w:t>
            </w:r>
          </w:p>
        </w:tc>
      </w:tr>
      <w:tr w14:paraId="0B5A9002">
        <w:tblPrEx>
          <w:tblCellMar>
            <w:top w:w="0" w:type="dxa"/>
            <w:left w:w="108" w:type="dxa"/>
            <w:bottom w:w="0" w:type="dxa"/>
            <w:right w:w="108" w:type="dxa"/>
          </w:tblCellMar>
        </w:tblPrEx>
        <w:trPr>
          <w:trHeight w:val="1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D925">
            <w:pPr>
              <w:pStyle w:val="11"/>
              <w:ind w:firstLine="480"/>
              <w:rPr>
                <w:rFonts w:ascii="Times New Roman" w:hAnsi="Times New Roman"/>
                <w:color w:val="auto"/>
                <w:szCs w:val="24"/>
              </w:rPr>
            </w:pPr>
            <w:r>
              <w:rPr>
                <w:rFonts w:hint="eastAsia" w:ascii="Times New Roman" w:hAnsi="Times New Roman"/>
                <w:color w:val="auto"/>
                <w:szCs w:val="24"/>
              </w:rPr>
              <w:t>5</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4737">
            <w:pPr>
              <w:pStyle w:val="11"/>
              <w:ind w:firstLine="0" w:firstLineChars="0"/>
              <w:rPr>
                <w:rFonts w:ascii="Times New Roman" w:hAnsi="Times New Roman"/>
                <w:color w:val="auto"/>
                <w:szCs w:val="24"/>
              </w:rPr>
            </w:pPr>
            <w:r>
              <w:rPr>
                <w:rFonts w:hint="eastAsia" w:ascii="Times New Roman" w:hAnsi="Times New Roman"/>
                <w:color w:val="auto"/>
                <w:szCs w:val="24"/>
              </w:rPr>
              <w:t>完成运维终端数据防泄漏建设</w:t>
            </w:r>
          </w:p>
        </w:tc>
        <w:tc>
          <w:tcPr>
            <w:tcW w:w="4663" w:type="dxa"/>
            <w:tcBorders>
              <w:top w:val="nil"/>
              <w:left w:val="single" w:color="000000" w:sz="4" w:space="0"/>
              <w:bottom w:val="single" w:color="000000" w:sz="4" w:space="0"/>
              <w:right w:val="single" w:color="000000" w:sz="4" w:space="0"/>
            </w:tcBorders>
            <w:shd w:val="clear" w:color="auto" w:fill="auto"/>
            <w:vAlign w:val="center"/>
          </w:tcPr>
          <w:p w14:paraId="630E76D1">
            <w:pPr>
              <w:pStyle w:val="11"/>
              <w:ind w:firstLine="480"/>
              <w:rPr>
                <w:rFonts w:ascii="Times New Roman" w:hAnsi="Times New Roman"/>
                <w:color w:val="auto"/>
                <w:szCs w:val="24"/>
              </w:rPr>
            </w:pPr>
            <w:r>
              <w:rPr>
                <w:rFonts w:hint="eastAsia" w:ascii="Times New Roman" w:hAnsi="Times New Roman"/>
                <w:color w:val="auto"/>
                <w:szCs w:val="24"/>
              </w:rPr>
              <w:t>针对上海高院法院专网和互联网本地运维终端，实现运维终端数据防泄露功能，最终完成上海高院法院专网和互联网本地运维终端数据安全能力提升。</w:t>
            </w:r>
          </w:p>
        </w:tc>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4599E">
            <w:pPr>
              <w:pStyle w:val="11"/>
              <w:ind w:firstLine="0" w:firstLineChars="0"/>
              <w:rPr>
                <w:rFonts w:ascii="Times New Roman" w:hAnsi="Times New Roman"/>
                <w:color w:val="auto"/>
                <w:szCs w:val="24"/>
              </w:rPr>
            </w:pPr>
            <w:r>
              <w:rPr>
                <w:rFonts w:hint="eastAsia" w:ascii="Times New Roman" w:hAnsi="Times New Roman"/>
                <w:color w:val="auto"/>
                <w:szCs w:val="24"/>
              </w:rPr>
              <w:t>加强运维终端数据防泄露能力</w:t>
            </w:r>
          </w:p>
        </w:tc>
      </w:tr>
    </w:tbl>
    <w:p w14:paraId="4DF5D3D9">
      <w:pPr>
        <w:ind w:firstLine="0" w:firstLineChars="0"/>
      </w:pPr>
    </w:p>
    <w:p w14:paraId="3036B1AD">
      <w:pPr>
        <w:pStyle w:val="3"/>
      </w:pPr>
      <w:bookmarkStart w:id="11" w:name="_Toc47536676"/>
      <w:bookmarkEnd w:id="11"/>
      <w:bookmarkStart w:id="12" w:name="_Toc47536304"/>
      <w:bookmarkEnd w:id="12"/>
      <w:bookmarkStart w:id="13" w:name="_Toc47532923"/>
      <w:bookmarkEnd w:id="13"/>
      <w:bookmarkStart w:id="14" w:name="_Toc47539102"/>
      <w:bookmarkEnd w:id="14"/>
      <w:bookmarkStart w:id="15" w:name="_Toc47537166"/>
      <w:bookmarkEnd w:id="15"/>
      <w:bookmarkStart w:id="16" w:name="_Toc47533288"/>
      <w:bookmarkEnd w:id="16"/>
      <w:r>
        <w:rPr>
          <w:rFonts w:hint="eastAsia"/>
        </w:rPr>
        <w:t>项目建设内容</w:t>
      </w:r>
    </w:p>
    <w:p w14:paraId="6AA37410">
      <w:pPr>
        <w:pStyle w:val="3"/>
        <w:numPr>
          <w:ilvl w:val="0"/>
          <w:numId w:val="0"/>
        </w:numPr>
        <w:ind w:left="425"/>
      </w:pPr>
      <w:r>
        <w:rPr>
          <w:rFonts w:hint="eastAsia"/>
        </w:rPr>
        <w:t>（一）建设内容</w:t>
      </w:r>
    </w:p>
    <w:p w14:paraId="7AB5D090">
      <w:pPr>
        <w:pStyle w:val="21"/>
        <w:snapToGrid/>
        <w:ind w:firstLine="480"/>
      </w:pPr>
      <w:r>
        <w:rPr>
          <w:rFonts w:hint="eastAsia"/>
        </w:rPr>
        <w:t>本期项目建立法院安全监管中心，初步形成覆盖法院专网本地和政务云</w:t>
      </w:r>
      <w:r>
        <w:t>4个数据中心</w:t>
      </w:r>
      <w:r>
        <w:rPr>
          <w:rFonts w:hint="eastAsia"/>
        </w:rPr>
        <w:t>等</w:t>
      </w:r>
      <w:r>
        <w:t>节点的云网安全态势感知能力，实现集中安全</w:t>
      </w:r>
      <w:r>
        <w:rPr>
          <w:rFonts w:hint="eastAsia"/>
        </w:rPr>
        <w:t>风险</w:t>
      </w:r>
      <w:r>
        <w:t>管控，集中安全事件处理</w:t>
      </w:r>
      <w:r>
        <w:rPr>
          <w:rFonts w:hint="eastAsia"/>
        </w:rPr>
        <w:t>，</w:t>
      </w:r>
      <w:r>
        <w:t>集中安全审计；通过主机</w:t>
      </w:r>
      <w:r>
        <w:rPr>
          <w:rFonts w:hint="eastAsia"/>
        </w:rPr>
        <w:t>及终端</w:t>
      </w:r>
      <w:r>
        <w:t>安全建设，提升法院专网、互联网服务器的安全防护能力，完成法院专网XC终端安全管理系统的替换，并实现终端监控与审计功能；建设移动互联安全通信链路，扩充法院专网到互联网的隔离交换通道和后台服务通道VPN性能，实现移动终端与法院专网内部数据和服务的安全通信和交换能力。建立高院互联网和法院专网的运维终端的数据防泄露系统，落实运维数据安全要求</w:t>
      </w:r>
      <w:r>
        <w:rPr>
          <w:rFonts w:hint="eastAsia"/>
        </w:rPr>
        <w:t>。具体内容如下：</w:t>
      </w:r>
    </w:p>
    <w:p w14:paraId="78B88FBF">
      <w:pPr>
        <w:pStyle w:val="5"/>
        <w:spacing w:line="360" w:lineRule="auto"/>
        <w:ind w:firstLine="562"/>
        <w:rPr>
          <w:sz w:val="28"/>
          <w:szCs w:val="28"/>
        </w:rPr>
      </w:pPr>
      <w:bookmarkStart w:id="17" w:name="_Toc19331"/>
      <w:bookmarkStart w:id="18" w:name="_Toc161989521"/>
      <w:bookmarkStart w:id="19" w:name="_Hlk161733449"/>
      <w:r>
        <w:rPr>
          <w:rFonts w:hint="eastAsia"/>
          <w:sz w:val="28"/>
          <w:szCs w:val="28"/>
        </w:rPr>
        <w:t>1.安全监管中心</w:t>
      </w:r>
      <w:bookmarkEnd w:id="17"/>
      <w:bookmarkEnd w:id="18"/>
    </w:p>
    <w:p w14:paraId="36560D07">
      <w:pPr>
        <w:pStyle w:val="21"/>
        <w:snapToGrid/>
        <w:ind w:firstLine="480"/>
      </w:pPr>
      <w:r>
        <w:rPr>
          <w:rFonts w:hint="eastAsia"/>
        </w:rPr>
        <w:t>1.1安全监管运营平台</w:t>
      </w:r>
    </w:p>
    <w:p w14:paraId="14667839">
      <w:pPr>
        <w:pStyle w:val="21"/>
        <w:ind w:firstLine="480"/>
      </w:pPr>
      <w:r>
        <w:rPr>
          <w:rFonts w:hint="eastAsia"/>
        </w:rPr>
        <w:t>实现</w:t>
      </w:r>
      <w:r>
        <w:t>安全态势分析</w:t>
      </w:r>
      <w:r>
        <w:rPr>
          <w:rFonts w:hint="eastAsia"/>
        </w:rPr>
        <w:t>，形成安全态势的可视化能力，可以协助进行安全状况的全局性掌控、安全概览，提供安全态势展示。实现资产安全风险评估与管理，通过对接资产管理系统或主动采集建立资产数据库，对资产的来源、风险状态、安全事件进行持续地跟踪和管理，并通过资产识别、脆弱性识别和威胁识别得出安全现状分析。实现安全威胁分析，通过收集和加工从主机、网络、安全设备采集上来的流量、安全日志，采用关联分析引擎的流式分析能力，将资产指纹信息、资产脆弱性、网络流量、安全日志等的信息关联起来，发现更复杂的、更具价值的威胁事件。实现安全告警响应处置，为安全运营人员提供的处置闭环的能力。利用自动化编排技术通过整合联动现有安全防护系统，实现事件自动化处置的目标。</w:t>
      </w:r>
    </w:p>
    <w:bookmarkEnd w:id="19"/>
    <w:p w14:paraId="260B4DD2">
      <w:pPr>
        <w:pStyle w:val="21"/>
        <w:ind w:firstLine="480"/>
      </w:pPr>
      <w:bookmarkStart w:id="20" w:name="_Hlk161733468"/>
      <w:r>
        <w:rPr>
          <w:rFonts w:hint="eastAsia"/>
        </w:rPr>
        <w:t>1.2网络流量采集及分析</w:t>
      </w:r>
    </w:p>
    <w:p w14:paraId="05BEFAB1">
      <w:pPr>
        <w:pStyle w:val="21"/>
        <w:ind w:firstLine="480"/>
      </w:pPr>
      <w:r>
        <w:rPr>
          <w:rFonts w:hint="eastAsia"/>
        </w:rPr>
        <w:t>实现法院专网流量采集、还原及检测，基于探针的安全检测能力进行安全检测、反病毒、漏洞防护、防间谍软件、</w:t>
      </w:r>
      <w:r>
        <w:t>IOC情报检测等威胁分析，并将基于流量被动发现的资产信息数据、威胁分析产生的威胁日志等数据，上传至</w:t>
      </w:r>
      <w:r>
        <w:rPr>
          <w:rFonts w:hint="eastAsia"/>
        </w:rPr>
        <w:t>安全监管运营平台。流量采集包括：法院专网高院数据中心、法官培训基地第二数据中心、政务云</w:t>
      </w:r>
      <w:r>
        <w:t>XC区、政务云X</w:t>
      </w:r>
      <w:r>
        <w:rPr>
          <w:rFonts w:hint="eastAsia"/>
        </w:rPr>
        <w:t>86</w:t>
      </w:r>
      <w:r>
        <w:t>区</w:t>
      </w:r>
      <w:r>
        <w:rPr>
          <w:rFonts w:hint="eastAsia"/>
        </w:rPr>
        <w:t>四</w:t>
      </w:r>
      <w:r>
        <w:t>个核心节点</w:t>
      </w:r>
      <w:r>
        <w:rPr>
          <w:rFonts w:hint="eastAsia"/>
        </w:rPr>
        <w:t>及一级网接入区域，高院信访办</w:t>
      </w:r>
      <w:r>
        <w:t>法院专网入口</w:t>
      </w:r>
      <w:r>
        <w:rPr>
          <w:rFonts w:hint="eastAsia"/>
        </w:rPr>
        <w:t>的网络</w:t>
      </w:r>
      <w:r>
        <w:t>流量采集</w:t>
      </w:r>
      <w:r>
        <w:rPr>
          <w:rFonts w:hint="eastAsia"/>
        </w:rPr>
        <w:t>。</w:t>
      </w:r>
    </w:p>
    <w:p w14:paraId="4EB4560C">
      <w:pPr>
        <w:pStyle w:val="21"/>
        <w:ind w:firstLine="480"/>
      </w:pPr>
      <w:r>
        <w:rPr>
          <w:rFonts w:hint="eastAsia"/>
        </w:rPr>
        <w:t>1.3日志集中收集与分析</w:t>
      </w:r>
    </w:p>
    <w:p w14:paraId="4C8366EF">
      <w:pPr>
        <w:pStyle w:val="21"/>
        <w:ind w:firstLine="480"/>
      </w:pPr>
      <w:r>
        <w:rPr>
          <w:rFonts w:hint="eastAsia"/>
        </w:rPr>
        <w:t>实现法院专网日志集中收集与分析，对高院所属专网节点的网络设备、安全设备、主机系统的日志进行集中收集，并对所收集的日志进行自动解析、过滤、富化、范式化预处理，方便对日志数据进行实时关联分析和数据分析。</w:t>
      </w:r>
    </w:p>
    <w:p w14:paraId="7A44E453">
      <w:pPr>
        <w:pStyle w:val="21"/>
        <w:ind w:firstLine="480"/>
      </w:pPr>
      <w:r>
        <w:rPr>
          <w:rFonts w:hint="eastAsia"/>
        </w:rPr>
        <w:t>建立高院互联网本地+云的日志集中收集和分析系统，将来自不同厂商的安全设备、网络设备、主机系统的日志信息进行汇集和集中存储，满足基于日志的安全审计需求。</w:t>
      </w:r>
    </w:p>
    <w:p w14:paraId="4DA05F4C">
      <w:pPr>
        <w:pStyle w:val="21"/>
        <w:ind w:firstLine="480"/>
      </w:pPr>
      <w:r>
        <w:rPr>
          <w:rFonts w:hint="eastAsia"/>
        </w:rPr>
        <w:t>1.4威胁情报中心</w:t>
      </w:r>
    </w:p>
    <w:p w14:paraId="7D2747A4">
      <w:pPr>
        <w:pStyle w:val="21"/>
        <w:ind w:firstLine="480"/>
      </w:pPr>
      <w:r>
        <w:rPr>
          <w:rFonts w:hint="eastAsia"/>
        </w:rPr>
        <w:t>安全监管运营平台配置并集成本地威胁情报库，将威胁情报样本作为数据分析来源，可以在多数据关联分析和威胁溯源中，快速补充攻击者上下文信息，提升威胁分析、溯源效率；也可以使用不同日志数据检测内部主机连接远程</w:t>
      </w:r>
      <w:r>
        <w:t>C&amp;C服务器，发现失陷主机，从而迅速做出响应，防止由于失陷带来的数据泄密、系统破坏等关键风险。</w:t>
      </w:r>
    </w:p>
    <w:bookmarkEnd w:id="20"/>
    <w:p w14:paraId="2B2F53C7">
      <w:pPr>
        <w:pStyle w:val="5"/>
        <w:ind w:firstLine="643"/>
      </w:pPr>
      <w:bookmarkStart w:id="21" w:name="_Toc32596"/>
      <w:bookmarkStart w:id="22" w:name="_Toc161989522"/>
      <w:r>
        <w:rPr>
          <w:rFonts w:hint="eastAsia"/>
        </w:rPr>
        <w:t>2.主机及终端安全</w:t>
      </w:r>
      <w:bookmarkEnd w:id="21"/>
      <w:bookmarkEnd w:id="22"/>
    </w:p>
    <w:p w14:paraId="7DFB51E4">
      <w:pPr>
        <w:pStyle w:val="21"/>
        <w:ind w:firstLine="480"/>
      </w:pPr>
      <w:r>
        <w:rPr>
          <w:rFonts w:hint="eastAsia"/>
        </w:rPr>
        <w:t>2.1主机安全</w:t>
      </w:r>
    </w:p>
    <w:p w14:paraId="562C5B1C">
      <w:pPr>
        <w:pStyle w:val="21"/>
        <w:ind w:firstLine="480"/>
      </w:pPr>
      <w:r>
        <w:t>为上海高院法院专网</w:t>
      </w:r>
      <w:r>
        <w:rPr>
          <w:rFonts w:hint="eastAsia"/>
        </w:rPr>
        <w:t>和互联网</w:t>
      </w:r>
      <w:r>
        <w:t>（含本地与云端）主机部署主机安全</w:t>
      </w:r>
      <w:r>
        <w:rPr>
          <w:rFonts w:hint="eastAsia"/>
        </w:rPr>
        <w:t>管控</w:t>
      </w:r>
      <w:r>
        <w:t>系统，</w:t>
      </w:r>
      <w:r>
        <w:rPr>
          <w:rFonts w:hint="eastAsia"/>
        </w:rPr>
        <w:t>实现</w:t>
      </w:r>
      <w:r>
        <w:t>主机资产管理、入侵检测、访问控制、安全加固等功能；</w:t>
      </w:r>
    </w:p>
    <w:p w14:paraId="1FEB3BDC">
      <w:pPr>
        <w:pStyle w:val="21"/>
        <w:ind w:firstLine="480"/>
      </w:pPr>
      <w:r>
        <w:rPr>
          <w:rFonts w:hint="eastAsia"/>
        </w:rPr>
        <w:t>2.2终端安全</w:t>
      </w:r>
    </w:p>
    <w:p w14:paraId="2673C581">
      <w:pPr>
        <w:pStyle w:val="21"/>
        <w:ind w:firstLine="480"/>
      </w:pPr>
      <w:r>
        <w:t>建设全市法院专网终端安全管理系统统一管理平台，对终端安全管理系统进行统一管理，实现全网终端、设备数据集中汇总、分析与展示，感知系统运行状态，对系统进行统一策略下</w:t>
      </w:r>
      <w:r>
        <w:rPr>
          <w:rFonts w:hint="eastAsia"/>
        </w:rPr>
        <w:t>发。</w:t>
      </w:r>
    </w:p>
    <w:p w14:paraId="66EF3C24">
      <w:pPr>
        <w:pStyle w:val="21"/>
        <w:ind w:firstLine="480"/>
      </w:pPr>
      <w:r>
        <w:rPr>
          <w:rFonts w:hint="eastAsia"/>
        </w:rPr>
        <w:t>实现</w:t>
      </w:r>
      <w:r>
        <w:t>各法院终端安全管理系统升级，将当前网络安全终端安全产品的载体替换为XC服务器，实现全市法院专网本地办公终端终端安全管理系统的国产化替代与升级</w:t>
      </w:r>
      <w:r>
        <w:rPr>
          <w:rFonts w:hint="eastAsia"/>
        </w:rPr>
        <w:t>，以及</w:t>
      </w:r>
      <w:r>
        <w:t>终端管理业务系统的平滑迁移。</w:t>
      </w:r>
    </w:p>
    <w:p w14:paraId="2C234A83">
      <w:pPr>
        <w:pStyle w:val="5"/>
        <w:ind w:firstLine="643"/>
      </w:pPr>
      <w:bookmarkStart w:id="23" w:name="_Toc14739"/>
      <w:bookmarkStart w:id="24" w:name="_Toc161989523"/>
      <w:r>
        <w:rPr>
          <w:rFonts w:hint="eastAsia"/>
        </w:rPr>
        <w:t>3.移动安全</w:t>
      </w:r>
      <w:bookmarkEnd w:id="23"/>
      <w:bookmarkEnd w:id="24"/>
    </w:p>
    <w:p w14:paraId="446A4AF6">
      <w:pPr>
        <w:pStyle w:val="21"/>
        <w:ind w:firstLine="480"/>
      </w:pPr>
      <w:r>
        <w:rPr>
          <w:rFonts w:hint="eastAsia"/>
        </w:rPr>
        <w:t>3.1移动通信链路安全</w:t>
      </w:r>
    </w:p>
    <w:p w14:paraId="181C1D50">
      <w:pPr>
        <w:pStyle w:val="21"/>
        <w:ind w:firstLine="480"/>
      </w:pPr>
      <w:r>
        <w:t>建立移动办公工作人员与移动办公办案应用的网络通信链路：采购零信任网关和零信任控制中心，为全市法院工作人员访问上海高院移动办公办案云端应用建立安全通信信道，为移动终端接入提供安全防护。主要针对工作人员使用移动设备，借助互联网络，实现基于国家商用密码算法体系，为法院干警移动办公提供涵盖网络连接、信道加密、认证接入、访问控制等多重安全措施的移动安全接入服务。</w:t>
      </w:r>
    </w:p>
    <w:p w14:paraId="72DD74B9">
      <w:pPr>
        <w:pStyle w:val="21"/>
        <w:ind w:firstLine="480"/>
      </w:pPr>
      <w:r>
        <w:rPr>
          <w:rFonts w:hint="eastAsia"/>
        </w:rPr>
        <w:t>3.2隔离交互通道安全</w:t>
      </w:r>
    </w:p>
    <w:p w14:paraId="46CCFCB6">
      <w:pPr>
        <w:pStyle w:val="21"/>
        <w:ind w:firstLine="480"/>
      </w:pPr>
      <w:r>
        <w:rPr>
          <w:rFonts w:hint="eastAsia"/>
        </w:rPr>
        <w:t>实现</w:t>
      </w:r>
      <w:r>
        <w:t>上海高院移动办公办案互联网本地与云端（上海市大数据中心）的安全通信信道</w:t>
      </w:r>
      <w:r>
        <w:rPr>
          <w:rFonts w:hint="eastAsia"/>
        </w:rPr>
        <w:t>，</w:t>
      </w:r>
      <w:r>
        <w:t>建立移动办</w:t>
      </w:r>
      <w:r>
        <w:rPr>
          <w:rFonts w:hint="eastAsia"/>
        </w:rPr>
        <w:t>公办案互联网应用区与移动办公办案本地应用区之间的网络通信链路；</w:t>
      </w:r>
      <w:r>
        <w:t>扩建跨网隔离交换安全平台，为上海高院移动办公办案的跨网数据交互建立安全的数据交换平台</w:t>
      </w:r>
      <w:r>
        <w:rPr>
          <w:rFonts w:hint="eastAsia"/>
        </w:rPr>
        <w:t>。</w:t>
      </w:r>
    </w:p>
    <w:p w14:paraId="4C6A083E">
      <w:pPr>
        <w:pStyle w:val="21"/>
        <w:ind w:firstLine="480"/>
      </w:pPr>
      <w:r>
        <w:rPr>
          <w:rFonts w:hint="eastAsia"/>
        </w:rPr>
        <w:t>3.3移动终端安全管理</w:t>
      </w:r>
    </w:p>
    <w:p w14:paraId="42AF8965">
      <w:pPr>
        <w:pStyle w:val="21"/>
        <w:ind w:firstLine="480"/>
      </w:pPr>
      <w:r>
        <w:t>建立支持全市法院移动办公安全防护的移动终端安全管理系统，实现移动</w:t>
      </w:r>
      <w:r>
        <w:rPr>
          <w:rFonts w:hint="eastAsia"/>
        </w:rPr>
        <w:t>设备管理、移动应用管理和移动数据防泄露等功能，为上海法院移动办公办案应用提供安全合规运行环境。</w:t>
      </w:r>
    </w:p>
    <w:p w14:paraId="2011EB8A">
      <w:pPr>
        <w:pStyle w:val="5"/>
        <w:ind w:firstLine="643"/>
      </w:pPr>
      <w:bookmarkStart w:id="25" w:name="_Toc31603"/>
      <w:bookmarkStart w:id="26" w:name="_Toc161989524"/>
      <w:r>
        <w:rPr>
          <w:rFonts w:hint="eastAsia"/>
        </w:rPr>
        <w:t>4.运维终端数据防泄漏</w:t>
      </w:r>
      <w:bookmarkEnd w:id="25"/>
      <w:bookmarkEnd w:id="26"/>
    </w:p>
    <w:p w14:paraId="6C8943B0">
      <w:pPr>
        <w:widowControl/>
        <w:snapToGrid w:val="0"/>
        <w:spacing w:line="440" w:lineRule="exact"/>
        <w:jc w:val="left"/>
      </w:pPr>
      <w:r>
        <w:rPr>
          <w:rFonts w:hint="eastAsia"/>
        </w:rPr>
        <w:t>为上海高院法院专网本地和互联网本地</w:t>
      </w:r>
      <w:r>
        <w:t>运维终端部署数据防泄露系统，</w:t>
      </w:r>
      <w:r>
        <w:rPr>
          <w:rFonts w:hint="eastAsia"/>
        </w:rPr>
        <w:t>实现</w:t>
      </w:r>
      <w:r>
        <w:t>运维终端数据防泄露功能</w:t>
      </w:r>
      <w:r>
        <w:rPr>
          <w:rFonts w:hint="eastAsia"/>
        </w:rPr>
        <w:t>。</w:t>
      </w:r>
    </w:p>
    <w:p w14:paraId="3905EA66">
      <w:pPr>
        <w:pStyle w:val="3"/>
        <w:numPr>
          <w:ilvl w:val="0"/>
          <w:numId w:val="0"/>
        </w:numPr>
        <w:ind w:left="425"/>
      </w:pPr>
      <w:r>
        <w:rPr>
          <w:rFonts w:hint="eastAsia"/>
        </w:rPr>
        <w:t>（二）采购清单</w:t>
      </w:r>
    </w:p>
    <w:p w14:paraId="1BC6D91F">
      <w:pPr>
        <w:pStyle w:val="5"/>
        <w:ind w:left="1134" w:firstLine="0" w:firstLineChars="0"/>
      </w:pPr>
      <w:r>
        <w:rPr>
          <w:rFonts w:hint="eastAsia"/>
        </w:rPr>
        <w:t>1.产品软件购置清单</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68"/>
        <w:gridCol w:w="4586"/>
        <w:gridCol w:w="657"/>
        <w:gridCol w:w="659"/>
        <w:gridCol w:w="659"/>
      </w:tblGrid>
      <w:tr w14:paraId="73E1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41266A9A">
            <w:pPr>
              <w:ind w:firstLine="0" w:firstLineChars="0"/>
              <w:jc w:val="center"/>
              <w:rPr>
                <w:rFonts w:cs="宋体"/>
                <w:b/>
                <w:bCs/>
              </w:rPr>
            </w:pPr>
            <w:r>
              <w:rPr>
                <w:rFonts w:hint="eastAsia" w:cs="宋体"/>
                <w:b/>
                <w:bCs/>
              </w:rPr>
              <w:t>序号</w:t>
            </w:r>
          </w:p>
        </w:tc>
        <w:tc>
          <w:tcPr>
            <w:tcW w:w="744" w:type="pct"/>
            <w:shd w:val="clear" w:color="auto" w:fill="auto"/>
            <w:vAlign w:val="center"/>
          </w:tcPr>
          <w:p w14:paraId="2B688D70">
            <w:pPr>
              <w:ind w:firstLine="0" w:firstLineChars="0"/>
              <w:jc w:val="center"/>
              <w:rPr>
                <w:rFonts w:cs="宋体"/>
                <w:b/>
                <w:bCs/>
              </w:rPr>
            </w:pPr>
            <w:r>
              <w:rPr>
                <w:rFonts w:hint="eastAsia" w:cs="宋体"/>
                <w:b/>
                <w:bCs/>
              </w:rPr>
              <w:t>软件名称</w:t>
            </w:r>
          </w:p>
        </w:tc>
        <w:tc>
          <w:tcPr>
            <w:tcW w:w="2688" w:type="pct"/>
            <w:shd w:val="clear" w:color="auto" w:fill="auto"/>
            <w:vAlign w:val="center"/>
          </w:tcPr>
          <w:p w14:paraId="496141F0">
            <w:pPr>
              <w:ind w:firstLine="0" w:firstLineChars="0"/>
              <w:jc w:val="center"/>
              <w:rPr>
                <w:rFonts w:cs="宋体"/>
                <w:b/>
                <w:bCs/>
              </w:rPr>
            </w:pPr>
            <w:r>
              <w:rPr>
                <w:rFonts w:hint="eastAsia" w:cs="宋体"/>
                <w:b/>
                <w:bCs/>
              </w:rPr>
              <w:t>功能说明</w:t>
            </w:r>
            <w:r>
              <w:rPr>
                <w:rFonts w:cs="宋体"/>
                <w:b/>
                <w:bCs/>
              </w:rPr>
              <w:t>/配置要求</w:t>
            </w:r>
          </w:p>
        </w:tc>
        <w:tc>
          <w:tcPr>
            <w:tcW w:w="385" w:type="pct"/>
            <w:shd w:val="clear" w:color="auto" w:fill="auto"/>
            <w:vAlign w:val="center"/>
          </w:tcPr>
          <w:p w14:paraId="16D6737B">
            <w:pPr>
              <w:ind w:firstLine="0" w:firstLineChars="0"/>
              <w:jc w:val="center"/>
              <w:rPr>
                <w:rFonts w:cs="宋体"/>
                <w:b/>
                <w:bCs/>
              </w:rPr>
            </w:pPr>
            <w:r>
              <w:rPr>
                <w:rFonts w:hint="eastAsia" w:cs="宋体"/>
                <w:b/>
                <w:bCs/>
              </w:rPr>
              <w:t>数量</w:t>
            </w:r>
          </w:p>
        </w:tc>
        <w:tc>
          <w:tcPr>
            <w:tcW w:w="386" w:type="pct"/>
            <w:shd w:val="clear" w:color="auto" w:fill="auto"/>
            <w:vAlign w:val="center"/>
          </w:tcPr>
          <w:p w14:paraId="0FC1752E">
            <w:pPr>
              <w:ind w:firstLine="0" w:firstLineChars="0"/>
              <w:jc w:val="center"/>
              <w:rPr>
                <w:rFonts w:cs="宋体"/>
                <w:b/>
                <w:bCs/>
              </w:rPr>
            </w:pPr>
            <w:r>
              <w:rPr>
                <w:rFonts w:hint="eastAsia" w:cs="宋体"/>
                <w:b/>
                <w:bCs/>
              </w:rPr>
              <w:t>单位</w:t>
            </w:r>
          </w:p>
        </w:tc>
        <w:tc>
          <w:tcPr>
            <w:tcW w:w="386" w:type="pct"/>
            <w:shd w:val="clear" w:color="auto" w:fill="auto"/>
            <w:vAlign w:val="center"/>
          </w:tcPr>
          <w:p w14:paraId="7B420D34">
            <w:pPr>
              <w:ind w:firstLine="0" w:firstLineChars="0"/>
              <w:jc w:val="center"/>
              <w:rPr>
                <w:rFonts w:cs="宋体"/>
                <w:b/>
                <w:bCs/>
              </w:rPr>
            </w:pPr>
            <w:r>
              <w:rPr>
                <w:rFonts w:hint="eastAsia" w:cs="宋体"/>
                <w:b/>
                <w:bCs/>
              </w:rPr>
              <w:t>备注</w:t>
            </w:r>
          </w:p>
        </w:tc>
      </w:tr>
      <w:tr w14:paraId="6B54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736A4C4C">
            <w:pPr>
              <w:ind w:firstLine="0" w:firstLineChars="0"/>
              <w:jc w:val="center"/>
              <w:rPr>
                <w:rFonts w:cs="宋体"/>
              </w:rPr>
            </w:pPr>
            <w:r>
              <w:rPr>
                <w:rFonts w:cs="宋体"/>
              </w:rPr>
              <w:t>1</w:t>
            </w:r>
          </w:p>
        </w:tc>
        <w:tc>
          <w:tcPr>
            <w:tcW w:w="744" w:type="pct"/>
            <w:shd w:val="clear" w:color="auto" w:fill="auto"/>
            <w:vAlign w:val="center"/>
          </w:tcPr>
          <w:p w14:paraId="04DB80CD">
            <w:pPr>
              <w:ind w:firstLine="0" w:firstLineChars="0"/>
              <w:jc w:val="center"/>
              <w:rPr>
                <w:rFonts w:cs="宋体"/>
              </w:rPr>
            </w:pPr>
            <w:r>
              <w:rPr>
                <w:rFonts w:hint="eastAsia" w:cs="宋体"/>
                <w:color w:val="000000"/>
                <w:kern w:val="0"/>
                <w:szCs w:val="21"/>
              </w:rPr>
              <w:t>安全监管中心</w:t>
            </w:r>
          </w:p>
        </w:tc>
        <w:tc>
          <w:tcPr>
            <w:tcW w:w="2688" w:type="pct"/>
            <w:shd w:val="clear" w:color="auto" w:fill="auto"/>
            <w:vAlign w:val="center"/>
          </w:tcPr>
          <w:p w14:paraId="2619EC94">
            <w:pPr>
              <w:ind w:firstLine="0" w:firstLineChars="0"/>
              <w:jc w:val="center"/>
              <w:rPr>
                <w:rFonts w:cs="宋体"/>
              </w:rPr>
            </w:pPr>
          </w:p>
        </w:tc>
        <w:tc>
          <w:tcPr>
            <w:tcW w:w="385" w:type="pct"/>
            <w:shd w:val="clear" w:color="auto" w:fill="auto"/>
            <w:vAlign w:val="center"/>
          </w:tcPr>
          <w:p w14:paraId="485A33E0">
            <w:pPr>
              <w:ind w:firstLine="0" w:firstLineChars="0"/>
              <w:jc w:val="center"/>
              <w:rPr>
                <w:rFonts w:cs="宋体"/>
              </w:rPr>
            </w:pPr>
          </w:p>
        </w:tc>
        <w:tc>
          <w:tcPr>
            <w:tcW w:w="386" w:type="pct"/>
            <w:shd w:val="clear" w:color="auto" w:fill="auto"/>
            <w:vAlign w:val="center"/>
          </w:tcPr>
          <w:p w14:paraId="79232240">
            <w:pPr>
              <w:ind w:firstLine="0" w:firstLineChars="0"/>
              <w:jc w:val="center"/>
              <w:rPr>
                <w:rFonts w:cs="宋体"/>
              </w:rPr>
            </w:pPr>
          </w:p>
        </w:tc>
        <w:tc>
          <w:tcPr>
            <w:tcW w:w="386" w:type="pct"/>
            <w:shd w:val="clear" w:color="auto" w:fill="auto"/>
            <w:vAlign w:val="center"/>
          </w:tcPr>
          <w:p w14:paraId="0FD7F283">
            <w:pPr>
              <w:ind w:firstLine="0" w:firstLineChars="0"/>
              <w:jc w:val="center"/>
              <w:rPr>
                <w:rFonts w:cs="宋体"/>
              </w:rPr>
            </w:pPr>
          </w:p>
        </w:tc>
      </w:tr>
      <w:tr w14:paraId="6EDC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6BF1ECCD">
            <w:pPr>
              <w:ind w:firstLine="0" w:firstLineChars="0"/>
              <w:jc w:val="center"/>
              <w:rPr>
                <w:rFonts w:cs="宋体"/>
              </w:rPr>
            </w:pPr>
            <w:r>
              <w:rPr>
                <w:rFonts w:hint="eastAsia" w:cs="宋体"/>
              </w:rPr>
              <w:t>1.1</w:t>
            </w:r>
          </w:p>
        </w:tc>
        <w:tc>
          <w:tcPr>
            <w:tcW w:w="744" w:type="pct"/>
            <w:shd w:val="clear" w:color="auto" w:fill="auto"/>
            <w:vAlign w:val="center"/>
          </w:tcPr>
          <w:p w14:paraId="0BDC0C76">
            <w:pPr>
              <w:widowControl/>
              <w:ind w:firstLine="0" w:firstLineChars="0"/>
              <w:jc w:val="center"/>
              <w:rPr>
                <w:rFonts w:cs="宋体"/>
                <w:color w:val="000000"/>
                <w:kern w:val="0"/>
                <w:szCs w:val="21"/>
              </w:rPr>
            </w:pPr>
            <w:r>
              <w:rPr>
                <w:rFonts w:hint="eastAsia" w:cs="宋体"/>
                <w:color w:val="000000"/>
                <w:kern w:val="0"/>
                <w:szCs w:val="21"/>
              </w:rPr>
              <w:t>安全监管运营平台</w:t>
            </w:r>
          </w:p>
        </w:tc>
        <w:tc>
          <w:tcPr>
            <w:tcW w:w="2688" w:type="pct"/>
            <w:shd w:val="clear" w:color="auto" w:fill="auto"/>
            <w:vAlign w:val="center"/>
          </w:tcPr>
          <w:p w14:paraId="7FBA70E3">
            <w:pPr>
              <w:ind w:firstLine="0" w:firstLineChars="0"/>
              <w:jc w:val="center"/>
              <w:rPr>
                <w:rFonts w:cs="宋体"/>
              </w:rPr>
            </w:pPr>
            <w:r>
              <w:rPr>
                <w:rFonts w:hint="eastAsia" w:cs="宋体"/>
                <w:color w:val="000000"/>
                <w:kern w:val="0"/>
                <w:szCs w:val="21"/>
              </w:rPr>
              <w:t>包括安全态势、资产发现、资产指纹、风险评估、数据采集、威胁分析、响应处置功能模块</w:t>
            </w:r>
          </w:p>
        </w:tc>
        <w:tc>
          <w:tcPr>
            <w:tcW w:w="385" w:type="pct"/>
            <w:shd w:val="clear" w:color="auto" w:fill="auto"/>
            <w:vAlign w:val="center"/>
          </w:tcPr>
          <w:p w14:paraId="54D2C413">
            <w:pPr>
              <w:widowControl/>
              <w:ind w:firstLine="0" w:firstLineChars="0"/>
              <w:jc w:val="center"/>
              <w:rPr>
                <w:rFonts w:cs="宋体"/>
                <w:color w:val="000000"/>
                <w:kern w:val="0"/>
                <w:szCs w:val="21"/>
              </w:rPr>
            </w:pPr>
            <w:r>
              <w:rPr>
                <w:rFonts w:hint="eastAsia" w:cs="宋体"/>
                <w:color w:val="000000"/>
                <w:kern w:val="0"/>
                <w:szCs w:val="21"/>
              </w:rPr>
              <w:t>1</w:t>
            </w:r>
          </w:p>
        </w:tc>
        <w:tc>
          <w:tcPr>
            <w:tcW w:w="386" w:type="pct"/>
            <w:shd w:val="clear" w:color="auto" w:fill="auto"/>
            <w:vAlign w:val="center"/>
          </w:tcPr>
          <w:p w14:paraId="09B6AD4A">
            <w:pPr>
              <w:ind w:firstLine="0" w:firstLineChars="0"/>
              <w:jc w:val="center"/>
              <w:rPr>
                <w:rFonts w:cs="宋体"/>
              </w:rPr>
            </w:pPr>
            <w:r>
              <w:rPr>
                <w:rFonts w:hint="eastAsia" w:cs="宋体"/>
              </w:rPr>
              <w:t>套</w:t>
            </w:r>
          </w:p>
        </w:tc>
        <w:tc>
          <w:tcPr>
            <w:tcW w:w="386" w:type="pct"/>
            <w:vMerge w:val="restart"/>
            <w:shd w:val="clear" w:color="auto" w:fill="auto"/>
            <w:vAlign w:val="center"/>
          </w:tcPr>
          <w:p w14:paraId="7B8BD7F4">
            <w:pPr>
              <w:ind w:firstLine="0" w:firstLineChars="0"/>
              <w:jc w:val="center"/>
              <w:rPr>
                <w:rFonts w:cs="宋体"/>
              </w:rPr>
            </w:pPr>
            <w:r>
              <w:rPr>
                <w:rFonts w:hint="eastAsia" w:cs="宋体"/>
                <w:color w:val="000000"/>
                <w:kern w:val="0"/>
                <w:szCs w:val="21"/>
              </w:rPr>
              <w:t>中心平台</w:t>
            </w:r>
          </w:p>
        </w:tc>
      </w:tr>
      <w:tr w14:paraId="1116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vAlign w:val="center"/>
          </w:tcPr>
          <w:p w14:paraId="50E1BC59">
            <w:pPr>
              <w:ind w:firstLine="0" w:firstLineChars="0"/>
              <w:jc w:val="center"/>
              <w:rPr>
                <w:rFonts w:cs="宋体"/>
              </w:rPr>
            </w:pPr>
            <w:r>
              <w:rPr>
                <w:rFonts w:hint="eastAsia" w:cs="宋体"/>
              </w:rPr>
              <w:t>1.2</w:t>
            </w:r>
          </w:p>
        </w:tc>
        <w:tc>
          <w:tcPr>
            <w:tcW w:w="744" w:type="pct"/>
            <w:shd w:val="clear" w:color="auto" w:fill="auto"/>
            <w:vAlign w:val="center"/>
          </w:tcPr>
          <w:p w14:paraId="2550D90E">
            <w:pPr>
              <w:widowControl/>
              <w:ind w:firstLine="0" w:firstLineChars="0"/>
              <w:jc w:val="center"/>
              <w:rPr>
                <w:rFonts w:cs="宋体"/>
                <w:color w:val="000000"/>
                <w:kern w:val="0"/>
                <w:szCs w:val="21"/>
              </w:rPr>
            </w:pPr>
            <w:r>
              <w:rPr>
                <w:rFonts w:hint="eastAsia" w:cs="宋体"/>
                <w:color w:val="000000"/>
                <w:kern w:val="0"/>
                <w:szCs w:val="21"/>
              </w:rPr>
              <w:t>日志分析管理</w:t>
            </w:r>
          </w:p>
        </w:tc>
        <w:tc>
          <w:tcPr>
            <w:tcW w:w="2688" w:type="pct"/>
            <w:shd w:val="clear" w:color="auto" w:fill="auto"/>
            <w:vAlign w:val="center"/>
          </w:tcPr>
          <w:p w14:paraId="72AEC298">
            <w:pPr>
              <w:ind w:firstLine="0" w:firstLineChars="0"/>
              <w:jc w:val="center"/>
              <w:rPr>
                <w:rFonts w:cs="宋体"/>
                <w:color w:val="000000"/>
                <w:kern w:val="0"/>
                <w:szCs w:val="21"/>
              </w:rPr>
            </w:pPr>
            <w:r>
              <w:rPr>
                <w:rFonts w:hint="eastAsia" w:cs="宋体"/>
                <w:color w:val="000000"/>
                <w:kern w:val="0"/>
                <w:szCs w:val="21"/>
              </w:rPr>
              <w:t>包括日志集中收集、处理、关联分析、检索查询、可视化运营功能模块</w:t>
            </w:r>
          </w:p>
        </w:tc>
        <w:tc>
          <w:tcPr>
            <w:tcW w:w="385" w:type="pct"/>
            <w:shd w:val="clear" w:color="auto" w:fill="auto"/>
            <w:vAlign w:val="center"/>
          </w:tcPr>
          <w:p w14:paraId="53B7B22C">
            <w:pPr>
              <w:widowControl/>
              <w:ind w:firstLine="0" w:firstLineChars="0"/>
              <w:jc w:val="center"/>
              <w:rPr>
                <w:rFonts w:cs="宋体"/>
                <w:color w:val="000000"/>
                <w:kern w:val="0"/>
                <w:szCs w:val="21"/>
              </w:rPr>
            </w:pPr>
            <w:r>
              <w:rPr>
                <w:rFonts w:hint="eastAsia" w:cs="宋体"/>
                <w:color w:val="000000"/>
                <w:kern w:val="0"/>
                <w:szCs w:val="21"/>
              </w:rPr>
              <w:t>1</w:t>
            </w:r>
          </w:p>
        </w:tc>
        <w:tc>
          <w:tcPr>
            <w:tcW w:w="386" w:type="pct"/>
            <w:shd w:val="clear" w:color="auto" w:fill="auto"/>
            <w:vAlign w:val="center"/>
          </w:tcPr>
          <w:p w14:paraId="651A45EE">
            <w:pPr>
              <w:ind w:firstLine="0" w:firstLineChars="0"/>
              <w:jc w:val="center"/>
              <w:rPr>
                <w:rFonts w:cs="宋体"/>
              </w:rPr>
            </w:pPr>
            <w:r>
              <w:rPr>
                <w:rFonts w:hint="eastAsia" w:cs="宋体"/>
              </w:rPr>
              <w:t>套</w:t>
            </w:r>
          </w:p>
        </w:tc>
        <w:tc>
          <w:tcPr>
            <w:tcW w:w="386" w:type="pct"/>
            <w:vMerge w:val="continue"/>
            <w:shd w:val="clear" w:color="auto" w:fill="auto"/>
            <w:vAlign w:val="center"/>
          </w:tcPr>
          <w:p w14:paraId="5D5BB735">
            <w:pPr>
              <w:ind w:firstLine="0" w:firstLineChars="0"/>
              <w:jc w:val="center"/>
              <w:rPr>
                <w:rFonts w:cs="宋体"/>
              </w:rPr>
            </w:pPr>
          </w:p>
        </w:tc>
      </w:tr>
      <w:tr w14:paraId="0415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6DE9D41E">
            <w:pPr>
              <w:ind w:firstLine="0" w:firstLineChars="0"/>
              <w:jc w:val="center"/>
              <w:rPr>
                <w:rFonts w:cs="宋体"/>
              </w:rPr>
            </w:pPr>
            <w:r>
              <w:rPr>
                <w:rFonts w:hint="eastAsia" w:cs="宋体"/>
              </w:rPr>
              <w:t>1.3</w:t>
            </w:r>
          </w:p>
        </w:tc>
        <w:tc>
          <w:tcPr>
            <w:tcW w:w="744" w:type="pct"/>
            <w:shd w:val="clear" w:color="auto" w:fill="auto"/>
            <w:vAlign w:val="center"/>
          </w:tcPr>
          <w:p w14:paraId="75370184">
            <w:pPr>
              <w:widowControl/>
              <w:ind w:firstLine="0" w:firstLineChars="0"/>
              <w:jc w:val="center"/>
              <w:rPr>
                <w:rFonts w:cs="宋体"/>
                <w:color w:val="000000"/>
                <w:kern w:val="0"/>
                <w:szCs w:val="21"/>
              </w:rPr>
            </w:pPr>
            <w:r>
              <w:rPr>
                <w:rFonts w:hint="eastAsia" w:cs="宋体"/>
                <w:color w:val="000000"/>
                <w:kern w:val="0"/>
                <w:szCs w:val="21"/>
              </w:rPr>
              <w:t>自动化编排与响应</w:t>
            </w:r>
          </w:p>
        </w:tc>
        <w:tc>
          <w:tcPr>
            <w:tcW w:w="2688" w:type="pct"/>
            <w:shd w:val="clear" w:color="auto" w:fill="auto"/>
            <w:vAlign w:val="center"/>
          </w:tcPr>
          <w:p w14:paraId="19289CF1">
            <w:pPr>
              <w:ind w:firstLine="0" w:firstLineChars="0"/>
              <w:jc w:val="center"/>
              <w:rPr>
                <w:rFonts w:cs="宋体"/>
                <w:color w:val="000000"/>
                <w:kern w:val="0"/>
                <w:szCs w:val="21"/>
              </w:rPr>
            </w:pPr>
            <w:r>
              <w:rPr>
                <w:rFonts w:hint="eastAsia" w:cs="宋体"/>
                <w:color w:val="000000"/>
                <w:kern w:val="0"/>
                <w:szCs w:val="21"/>
              </w:rPr>
              <w:t>包括编排与自动化管理、高级告警分析、案例管理、工单管理、平台支撑管理功能模块</w:t>
            </w:r>
          </w:p>
        </w:tc>
        <w:tc>
          <w:tcPr>
            <w:tcW w:w="385" w:type="pct"/>
            <w:shd w:val="clear" w:color="auto" w:fill="auto"/>
            <w:vAlign w:val="center"/>
          </w:tcPr>
          <w:p w14:paraId="2A1F84D1">
            <w:pPr>
              <w:widowControl/>
              <w:ind w:firstLine="0" w:firstLineChars="0"/>
              <w:jc w:val="center"/>
              <w:rPr>
                <w:rFonts w:cs="宋体"/>
                <w:color w:val="000000"/>
                <w:kern w:val="0"/>
                <w:szCs w:val="21"/>
              </w:rPr>
            </w:pPr>
            <w:r>
              <w:rPr>
                <w:rFonts w:hint="eastAsia" w:cs="宋体"/>
                <w:color w:val="000000"/>
                <w:kern w:val="0"/>
                <w:szCs w:val="21"/>
              </w:rPr>
              <w:t>1</w:t>
            </w:r>
          </w:p>
        </w:tc>
        <w:tc>
          <w:tcPr>
            <w:tcW w:w="386" w:type="pct"/>
            <w:shd w:val="clear" w:color="auto" w:fill="auto"/>
            <w:vAlign w:val="center"/>
          </w:tcPr>
          <w:p w14:paraId="5CFE0AFB">
            <w:pPr>
              <w:ind w:firstLine="0" w:firstLineChars="0"/>
              <w:jc w:val="center"/>
              <w:rPr>
                <w:rFonts w:cs="宋体"/>
              </w:rPr>
            </w:pPr>
            <w:r>
              <w:rPr>
                <w:rFonts w:hint="eastAsia" w:cs="宋体"/>
              </w:rPr>
              <w:t>套</w:t>
            </w:r>
          </w:p>
        </w:tc>
        <w:tc>
          <w:tcPr>
            <w:tcW w:w="386" w:type="pct"/>
            <w:vMerge w:val="continue"/>
            <w:shd w:val="clear" w:color="auto" w:fill="auto"/>
            <w:vAlign w:val="center"/>
          </w:tcPr>
          <w:p w14:paraId="654AC222">
            <w:pPr>
              <w:ind w:firstLine="0" w:firstLineChars="0"/>
              <w:jc w:val="center"/>
              <w:rPr>
                <w:rFonts w:cs="宋体"/>
              </w:rPr>
            </w:pPr>
          </w:p>
        </w:tc>
      </w:tr>
      <w:tr w14:paraId="5790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36F0CC47">
            <w:pPr>
              <w:ind w:firstLine="0" w:firstLineChars="0"/>
              <w:jc w:val="center"/>
              <w:rPr>
                <w:rFonts w:cs="宋体"/>
              </w:rPr>
            </w:pPr>
            <w:r>
              <w:rPr>
                <w:rFonts w:hint="eastAsia" w:cs="宋体"/>
              </w:rPr>
              <w:t>1.4</w:t>
            </w:r>
          </w:p>
        </w:tc>
        <w:tc>
          <w:tcPr>
            <w:tcW w:w="744" w:type="pct"/>
            <w:shd w:val="clear" w:color="auto" w:fill="auto"/>
            <w:vAlign w:val="center"/>
          </w:tcPr>
          <w:p w14:paraId="32CD4062">
            <w:pPr>
              <w:widowControl/>
              <w:ind w:firstLine="0" w:firstLineChars="0"/>
              <w:jc w:val="center"/>
              <w:rPr>
                <w:rFonts w:cs="宋体"/>
                <w:kern w:val="0"/>
                <w:szCs w:val="21"/>
              </w:rPr>
            </w:pPr>
            <w:r>
              <w:rPr>
                <w:rFonts w:hint="eastAsia" w:cs="宋体"/>
                <w:kern w:val="0"/>
                <w:szCs w:val="21"/>
              </w:rPr>
              <w:t>虚拟流量分析</w:t>
            </w:r>
          </w:p>
        </w:tc>
        <w:tc>
          <w:tcPr>
            <w:tcW w:w="2688" w:type="pct"/>
            <w:shd w:val="clear" w:color="auto" w:fill="auto"/>
            <w:vAlign w:val="center"/>
          </w:tcPr>
          <w:p w14:paraId="0C891532">
            <w:pPr>
              <w:ind w:firstLine="0" w:firstLineChars="0"/>
              <w:jc w:val="center"/>
              <w:rPr>
                <w:rFonts w:cs="宋体"/>
                <w:color w:val="000000"/>
                <w:kern w:val="0"/>
                <w:szCs w:val="21"/>
              </w:rPr>
            </w:pPr>
            <w:r>
              <w:rPr>
                <w:rFonts w:hint="eastAsia" w:cs="宋体"/>
                <w:color w:val="000000"/>
                <w:kern w:val="0"/>
                <w:szCs w:val="21"/>
              </w:rPr>
              <w:t>云内虚拟机之间流量采集，基于流量的应用识别、对入侵、漏洞利用、web入侵和病毒等检测</w:t>
            </w:r>
          </w:p>
        </w:tc>
        <w:tc>
          <w:tcPr>
            <w:tcW w:w="385" w:type="pct"/>
            <w:shd w:val="clear" w:color="auto" w:fill="auto"/>
            <w:vAlign w:val="center"/>
          </w:tcPr>
          <w:p w14:paraId="258BAB1F">
            <w:pPr>
              <w:widowControl/>
              <w:ind w:firstLine="0" w:firstLineChars="0"/>
              <w:jc w:val="center"/>
              <w:rPr>
                <w:rFonts w:cs="宋体"/>
                <w:color w:val="000000"/>
                <w:kern w:val="0"/>
                <w:szCs w:val="21"/>
              </w:rPr>
            </w:pPr>
            <w:r>
              <w:rPr>
                <w:rFonts w:hint="eastAsia" w:cs="宋体"/>
                <w:color w:val="000000"/>
                <w:kern w:val="0"/>
                <w:szCs w:val="21"/>
              </w:rPr>
              <w:t>6</w:t>
            </w:r>
          </w:p>
        </w:tc>
        <w:tc>
          <w:tcPr>
            <w:tcW w:w="386" w:type="pct"/>
            <w:shd w:val="clear" w:color="auto" w:fill="auto"/>
            <w:vAlign w:val="center"/>
          </w:tcPr>
          <w:p w14:paraId="2B706824">
            <w:pPr>
              <w:ind w:firstLine="0" w:firstLineChars="0"/>
              <w:jc w:val="center"/>
              <w:rPr>
                <w:rFonts w:cs="宋体"/>
              </w:rPr>
            </w:pPr>
            <w:r>
              <w:rPr>
                <w:rFonts w:hint="eastAsia" w:cs="宋体"/>
              </w:rPr>
              <w:t>套</w:t>
            </w:r>
          </w:p>
        </w:tc>
        <w:tc>
          <w:tcPr>
            <w:tcW w:w="386" w:type="pct"/>
            <w:vMerge w:val="continue"/>
            <w:shd w:val="clear" w:color="auto" w:fill="auto"/>
            <w:vAlign w:val="center"/>
          </w:tcPr>
          <w:p w14:paraId="330F508F">
            <w:pPr>
              <w:ind w:firstLine="0" w:firstLineChars="0"/>
              <w:jc w:val="center"/>
              <w:rPr>
                <w:rFonts w:cs="宋体"/>
              </w:rPr>
            </w:pPr>
          </w:p>
        </w:tc>
      </w:tr>
      <w:tr w14:paraId="15F0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0C322710">
            <w:pPr>
              <w:ind w:firstLine="0" w:firstLineChars="0"/>
              <w:jc w:val="center"/>
              <w:rPr>
                <w:rFonts w:cs="宋体"/>
              </w:rPr>
            </w:pPr>
            <w:r>
              <w:rPr>
                <w:rFonts w:hint="eastAsia" w:cs="宋体"/>
              </w:rPr>
              <w:t>1.5</w:t>
            </w:r>
          </w:p>
        </w:tc>
        <w:tc>
          <w:tcPr>
            <w:tcW w:w="744" w:type="pct"/>
            <w:shd w:val="clear" w:color="auto" w:fill="auto"/>
            <w:vAlign w:val="center"/>
          </w:tcPr>
          <w:p w14:paraId="1727D157">
            <w:pPr>
              <w:widowControl/>
              <w:ind w:firstLine="0" w:firstLineChars="0"/>
              <w:jc w:val="center"/>
              <w:rPr>
                <w:rFonts w:cs="宋体"/>
                <w:kern w:val="0"/>
                <w:szCs w:val="21"/>
              </w:rPr>
            </w:pPr>
            <w:r>
              <w:rPr>
                <w:rFonts w:hint="eastAsia" w:cs="宋体"/>
                <w:kern w:val="0"/>
                <w:szCs w:val="21"/>
              </w:rPr>
              <w:t>威胁情报</w:t>
            </w:r>
          </w:p>
        </w:tc>
        <w:tc>
          <w:tcPr>
            <w:tcW w:w="2688" w:type="pct"/>
            <w:shd w:val="clear" w:color="auto" w:fill="auto"/>
            <w:vAlign w:val="center"/>
          </w:tcPr>
          <w:p w14:paraId="52E4DA3A">
            <w:pPr>
              <w:ind w:firstLine="0" w:firstLineChars="0"/>
              <w:jc w:val="center"/>
              <w:rPr>
                <w:rFonts w:cs="宋体"/>
                <w:color w:val="000000"/>
                <w:kern w:val="0"/>
                <w:szCs w:val="21"/>
              </w:rPr>
            </w:pPr>
            <w:r>
              <w:rPr>
                <w:rFonts w:hint="eastAsia" w:cs="宋体"/>
                <w:color w:val="000000"/>
                <w:kern w:val="0"/>
                <w:szCs w:val="21"/>
              </w:rPr>
              <w:t>威胁情报许可，一年</w:t>
            </w:r>
          </w:p>
        </w:tc>
        <w:tc>
          <w:tcPr>
            <w:tcW w:w="385" w:type="pct"/>
            <w:shd w:val="clear" w:color="auto" w:fill="auto"/>
            <w:vAlign w:val="center"/>
          </w:tcPr>
          <w:p w14:paraId="3BCB52B9">
            <w:pPr>
              <w:widowControl/>
              <w:ind w:firstLine="0" w:firstLineChars="0"/>
              <w:jc w:val="center"/>
              <w:rPr>
                <w:rFonts w:cs="宋体"/>
                <w:color w:val="000000"/>
                <w:kern w:val="0"/>
                <w:szCs w:val="21"/>
              </w:rPr>
            </w:pPr>
            <w:r>
              <w:rPr>
                <w:rFonts w:hint="eastAsia" w:cs="宋体"/>
                <w:color w:val="000000"/>
                <w:kern w:val="0"/>
                <w:szCs w:val="21"/>
              </w:rPr>
              <w:t>3</w:t>
            </w:r>
          </w:p>
        </w:tc>
        <w:tc>
          <w:tcPr>
            <w:tcW w:w="386" w:type="pct"/>
            <w:shd w:val="clear" w:color="auto" w:fill="auto"/>
            <w:vAlign w:val="center"/>
          </w:tcPr>
          <w:p w14:paraId="52A6D33A">
            <w:pPr>
              <w:ind w:firstLine="0" w:firstLineChars="0"/>
              <w:jc w:val="center"/>
              <w:rPr>
                <w:rFonts w:cs="宋体"/>
              </w:rPr>
            </w:pPr>
            <w:r>
              <w:rPr>
                <w:rFonts w:hint="eastAsia" w:cs="宋体"/>
              </w:rPr>
              <w:t>套</w:t>
            </w:r>
          </w:p>
        </w:tc>
        <w:tc>
          <w:tcPr>
            <w:tcW w:w="386" w:type="pct"/>
            <w:vMerge w:val="continue"/>
            <w:shd w:val="clear" w:color="auto" w:fill="auto"/>
            <w:vAlign w:val="center"/>
          </w:tcPr>
          <w:p w14:paraId="570C3ACD">
            <w:pPr>
              <w:ind w:firstLine="0" w:firstLineChars="0"/>
              <w:jc w:val="center"/>
              <w:rPr>
                <w:rFonts w:cs="宋体"/>
              </w:rPr>
            </w:pPr>
          </w:p>
        </w:tc>
      </w:tr>
      <w:tr w14:paraId="1DE7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vAlign w:val="center"/>
          </w:tcPr>
          <w:p w14:paraId="76BFCF84">
            <w:pPr>
              <w:ind w:firstLine="0" w:firstLineChars="0"/>
              <w:jc w:val="center"/>
              <w:rPr>
                <w:rFonts w:cs="宋体"/>
              </w:rPr>
            </w:pPr>
            <w:r>
              <w:rPr>
                <w:rFonts w:hint="eastAsia" w:cs="宋体"/>
              </w:rPr>
              <w:t>1.6</w:t>
            </w:r>
          </w:p>
        </w:tc>
        <w:tc>
          <w:tcPr>
            <w:tcW w:w="744" w:type="pct"/>
            <w:shd w:val="clear" w:color="auto" w:fill="auto"/>
            <w:vAlign w:val="center"/>
          </w:tcPr>
          <w:p w14:paraId="6A27895C">
            <w:pPr>
              <w:widowControl/>
              <w:ind w:firstLine="0" w:firstLineChars="0"/>
              <w:jc w:val="center"/>
              <w:rPr>
                <w:rFonts w:cs="宋体"/>
                <w:kern w:val="0"/>
                <w:szCs w:val="21"/>
              </w:rPr>
            </w:pPr>
            <w:r>
              <w:rPr>
                <w:rFonts w:hint="eastAsia" w:cs="宋体"/>
                <w:kern w:val="0"/>
                <w:szCs w:val="21"/>
              </w:rPr>
              <w:t>硬件日志源的数据分析授权</w:t>
            </w:r>
          </w:p>
        </w:tc>
        <w:tc>
          <w:tcPr>
            <w:tcW w:w="2688" w:type="pct"/>
            <w:shd w:val="clear" w:color="auto" w:fill="auto"/>
            <w:vAlign w:val="center"/>
          </w:tcPr>
          <w:p w14:paraId="501CAF80">
            <w:pPr>
              <w:ind w:firstLine="0" w:firstLineChars="0"/>
              <w:jc w:val="center"/>
              <w:rPr>
                <w:rFonts w:cs="宋体"/>
                <w:color w:val="000000"/>
                <w:kern w:val="0"/>
                <w:szCs w:val="21"/>
              </w:rPr>
            </w:pPr>
            <w:r>
              <w:rPr>
                <w:rFonts w:hint="eastAsia" w:cs="宋体"/>
                <w:color w:val="000000"/>
                <w:kern w:val="0"/>
                <w:szCs w:val="21"/>
              </w:rPr>
              <w:t>满足100个日志数据源（硬件）的数据分析授权</w:t>
            </w:r>
          </w:p>
        </w:tc>
        <w:tc>
          <w:tcPr>
            <w:tcW w:w="385" w:type="pct"/>
            <w:shd w:val="clear" w:color="auto" w:fill="auto"/>
            <w:vAlign w:val="center"/>
          </w:tcPr>
          <w:p w14:paraId="03C9E7A1">
            <w:pPr>
              <w:widowControl/>
              <w:ind w:firstLine="0" w:firstLineChars="0"/>
              <w:jc w:val="center"/>
              <w:rPr>
                <w:rFonts w:cs="宋体"/>
                <w:color w:val="000000"/>
                <w:kern w:val="0"/>
                <w:szCs w:val="21"/>
              </w:rPr>
            </w:pPr>
            <w:r>
              <w:rPr>
                <w:rFonts w:hint="eastAsia" w:cs="宋体"/>
                <w:color w:val="000000"/>
                <w:kern w:val="0"/>
                <w:szCs w:val="21"/>
              </w:rPr>
              <w:t>1</w:t>
            </w:r>
          </w:p>
        </w:tc>
        <w:tc>
          <w:tcPr>
            <w:tcW w:w="386" w:type="pct"/>
            <w:shd w:val="clear" w:color="auto" w:fill="auto"/>
            <w:vAlign w:val="center"/>
          </w:tcPr>
          <w:p w14:paraId="529A0728">
            <w:pPr>
              <w:ind w:firstLine="0" w:firstLineChars="0"/>
              <w:jc w:val="center"/>
              <w:rPr>
                <w:rFonts w:cs="宋体"/>
              </w:rPr>
            </w:pPr>
            <w:r>
              <w:rPr>
                <w:rFonts w:hint="eastAsia" w:cs="宋体"/>
              </w:rPr>
              <w:t>套</w:t>
            </w:r>
          </w:p>
        </w:tc>
        <w:tc>
          <w:tcPr>
            <w:tcW w:w="386" w:type="pct"/>
            <w:vMerge w:val="continue"/>
            <w:shd w:val="clear" w:color="auto" w:fill="auto"/>
            <w:vAlign w:val="center"/>
          </w:tcPr>
          <w:p w14:paraId="3F5F604A">
            <w:pPr>
              <w:ind w:firstLine="0" w:firstLineChars="0"/>
              <w:jc w:val="center"/>
              <w:rPr>
                <w:rFonts w:cs="宋体"/>
              </w:rPr>
            </w:pPr>
          </w:p>
        </w:tc>
      </w:tr>
      <w:tr w14:paraId="2B99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65652CF0">
            <w:pPr>
              <w:ind w:firstLine="0" w:firstLineChars="0"/>
              <w:jc w:val="center"/>
              <w:rPr>
                <w:rFonts w:cs="宋体"/>
              </w:rPr>
            </w:pPr>
            <w:r>
              <w:rPr>
                <w:rFonts w:hint="eastAsia" w:cs="宋体"/>
              </w:rPr>
              <w:t>1.7</w:t>
            </w:r>
          </w:p>
        </w:tc>
        <w:tc>
          <w:tcPr>
            <w:tcW w:w="744" w:type="pct"/>
            <w:shd w:val="clear" w:color="auto" w:fill="auto"/>
            <w:vAlign w:val="center"/>
          </w:tcPr>
          <w:p w14:paraId="69EA7185">
            <w:pPr>
              <w:widowControl/>
              <w:ind w:firstLine="0" w:firstLineChars="0"/>
              <w:jc w:val="center"/>
              <w:rPr>
                <w:rFonts w:cs="宋体"/>
                <w:color w:val="000000"/>
                <w:kern w:val="0"/>
                <w:szCs w:val="21"/>
              </w:rPr>
            </w:pPr>
            <w:r>
              <w:rPr>
                <w:rFonts w:hint="eastAsia" w:cs="宋体"/>
                <w:color w:val="000000"/>
                <w:kern w:val="0"/>
                <w:szCs w:val="21"/>
              </w:rPr>
              <w:t>互联网云日志审计</w:t>
            </w:r>
          </w:p>
        </w:tc>
        <w:tc>
          <w:tcPr>
            <w:tcW w:w="2688" w:type="pct"/>
            <w:shd w:val="clear" w:color="auto" w:fill="auto"/>
            <w:vAlign w:val="center"/>
          </w:tcPr>
          <w:p w14:paraId="3353554D">
            <w:pPr>
              <w:ind w:firstLine="0" w:firstLineChars="0"/>
              <w:jc w:val="center"/>
              <w:rPr>
                <w:rFonts w:cs="宋体"/>
                <w:color w:val="000000"/>
                <w:kern w:val="0"/>
                <w:szCs w:val="21"/>
              </w:rPr>
            </w:pPr>
            <w:r>
              <w:rPr>
                <w:rFonts w:hint="eastAsia" w:cs="宋体"/>
                <w:color w:val="000000"/>
                <w:kern w:val="0"/>
                <w:szCs w:val="21"/>
              </w:rPr>
              <w:t>互联网云日志审计,对政务云互联网区法院VPC的设备日志进行统一收集与分析</w:t>
            </w:r>
          </w:p>
        </w:tc>
        <w:tc>
          <w:tcPr>
            <w:tcW w:w="385" w:type="pct"/>
            <w:shd w:val="clear" w:color="auto" w:fill="auto"/>
            <w:vAlign w:val="center"/>
          </w:tcPr>
          <w:p w14:paraId="44C17535">
            <w:pPr>
              <w:widowControl/>
              <w:ind w:firstLine="0" w:firstLineChars="0"/>
              <w:jc w:val="center"/>
              <w:rPr>
                <w:rFonts w:cs="宋体"/>
                <w:color w:val="000000"/>
                <w:kern w:val="0"/>
                <w:szCs w:val="21"/>
              </w:rPr>
            </w:pPr>
            <w:r>
              <w:rPr>
                <w:rFonts w:hint="eastAsia" w:cs="宋体"/>
                <w:color w:val="000000"/>
                <w:kern w:val="0"/>
                <w:szCs w:val="21"/>
              </w:rPr>
              <w:t>1</w:t>
            </w:r>
          </w:p>
        </w:tc>
        <w:tc>
          <w:tcPr>
            <w:tcW w:w="386" w:type="pct"/>
            <w:shd w:val="clear" w:color="auto" w:fill="auto"/>
            <w:vAlign w:val="center"/>
          </w:tcPr>
          <w:p w14:paraId="77ECFE63">
            <w:pPr>
              <w:ind w:firstLine="0" w:firstLineChars="0"/>
              <w:jc w:val="center"/>
              <w:rPr>
                <w:rFonts w:cs="宋体"/>
              </w:rPr>
            </w:pPr>
            <w:r>
              <w:rPr>
                <w:rFonts w:hint="eastAsia" w:cs="宋体"/>
              </w:rPr>
              <w:t>套</w:t>
            </w:r>
          </w:p>
        </w:tc>
        <w:tc>
          <w:tcPr>
            <w:tcW w:w="386" w:type="pct"/>
            <w:shd w:val="clear" w:color="auto" w:fill="auto"/>
            <w:vAlign w:val="center"/>
          </w:tcPr>
          <w:p w14:paraId="444E9B49">
            <w:pPr>
              <w:ind w:firstLine="0" w:firstLineChars="0"/>
              <w:jc w:val="center"/>
              <w:rPr>
                <w:rFonts w:cs="宋体"/>
              </w:rPr>
            </w:pPr>
          </w:p>
        </w:tc>
      </w:tr>
      <w:tr w14:paraId="3DA7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79FA4399">
            <w:pPr>
              <w:ind w:firstLine="0" w:firstLineChars="0"/>
              <w:jc w:val="center"/>
              <w:rPr>
                <w:rFonts w:cs="宋体"/>
              </w:rPr>
            </w:pPr>
            <w:r>
              <w:rPr>
                <w:rFonts w:hint="eastAsia" w:cs="宋体"/>
              </w:rPr>
              <w:t>1.8</w:t>
            </w:r>
          </w:p>
        </w:tc>
        <w:tc>
          <w:tcPr>
            <w:tcW w:w="744" w:type="pct"/>
            <w:shd w:val="clear" w:color="auto" w:fill="auto"/>
            <w:vAlign w:val="center"/>
          </w:tcPr>
          <w:p w14:paraId="545844F7">
            <w:pPr>
              <w:widowControl/>
              <w:ind w:firstLine="0" w:firstLineChars="0"/>
              <w:jc w:val="center"/>
              <w:rPr>
                <w:rFonts w:cs="宋体"/>
                <w:color w:val="000000"/>
                <w:kern w:val="0"/>
                <w:szCs w:val="21"/>
              </w:rPr>
            </w:pPr>
            <w:r>
              <w:rPr>
                <w:rFonts w:hint="eastAsia" w:cs="宋体"/>
                <w:color w:val="000000"/>
                <w:kern w:val="0"/>
                <w:szCs w:val="21"/>
              </w:rPr>
              <w:t>系统对接及定制</w:t>
            </w:r>
          </w:p>
        </w:tc>
        <w:tc>
          <w:tcPr>
            <w:tcW w:w="2688" w:type="pct"/>
            <w:shd w:val="clear" w:color="auto" w:fill="auto"/>
            <w:vAlign w:val="center"/>
          </w:tcPr>
          <w:p w14:paraId="0824D83A">
            <w:pPr>
              <w:ind w:firstLine="0" w:firstLineChars="0"/>
              <w:jc w:val="center"/>
              <w:rPr>
                <w:rFonts w:cs="宋体"/>
                <w:color w:val="000000"/>
                <w:kern w:val="0"/>
                <w:szCs w:val="21"/>
              </w:rPr>
            </w:pPr>
            <w:r>
              <w:rPr>
                <w:rFonts w:hint="eastAsia" w:cs="宋体"/>
                <w:color w:val="000000"/>
                <w:kern w:val="0"/>
                <w:szCs w:val="21"/>
              </w:rPr>
              <w:t>安全设备告警日志格式解析适配、威胁响应处理流程定制、安全策略下发接口对接、跨光闸数据传输格式定制。</w:t>
            </w:r>
          </w:p>
        </w:tc>
        <w:tc>
          <w:tcPr>
            <w:tcW w:w="385" w:type="pct"/>
            <w:shd w:val="clear" w:color="auto" w:fill="auto"/>
            <w:vAlign w:val="center"/>
          </w:tcPr>
          <w:p w14:paraId="3567020F">
            <w:pPr>
              <w:widowControl/>
              <w:ind w:firstLine="0" w:firstLineChars="0"/>
              <w:jc w:val="center"/>
              <w:rPr>
                <w:rFonts w:cs="宋体"/>
                <w:color w:val="000000"/>
                <w:kern w:val="0"/>
                <w:szCs w:val="21"/>
              </w:rPr>
            </w:pPr>
            <w:r>
              <w:rPr>
                <w:rFonts w:hint="eastAsia" w:cs="宋体"/>
                <w:color w:val="000000"/>
                <w:kern w:val="0"/>
                <w:szCs w:val="21"/>
              </w:rPr>
              <w:t>1</w:t>
            </w:r>
          </w:p>
        </w:tc>
        <w:tc>
          <w:tcPr>
            <w:tcW w:w="386" w:type="pct"/>
            <w:shd w:val="clear" w:color="auto" w:fill="auto"/>
            <w:vAlign w:val="center"/>
          </w:tcPr>
          <w:p w14:paraId="561DF43D">
            <w:pPr>
              <w:ind w:firstLine="0" w:firstLineChars="0"/>
              <w:jc w:val="center"/>
              <w:rPr>
                <w:rFonts w:cs="宋体"/>
              </w:rPr>
            </w:pPr>
            <w:r>
              <w:rPr>
                <w:rFonts w:hint="eastAsia" w:cs="宋体"/>
              </w:rPr>
              <w:t>套</w:t>
            </w:r>
          </w:p>
        </w:tc>
        <w:tc>
          <w:tcPr>
            <w:tcW w:w="386" w:type="pct"/>
            <w:shd w:val="clear" w:color="auto" w:fill="auto"/>
            <w:vAlign w:val="center"/>
          </w:tcPr>
          <w:p w14:paraId="5457651F">
            <w:pPr>
              <w:ind w:firstLine="0" w:firstLineChars="0"/>
              <w:jc w:val="center"/>
              <w:rPr>
                <w:rFonts w:cs="宋体"/>
              </w:rPr>
            </w:pPr>
          </w:p>
        </w:tc>
      </w:tr>
      <w:tr w14:paraId="5B32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7901F21B">
            <w:pPr>
              <w:ind w:firstLine="0" w:firstLineChars="0"/>
              <w:jc w:val="center"/>
              <w:rPr>
                <w:rFonts w:cs="宋体"/>
              </w:rPr>
            </w:pPr>
            <w:r>
              <w:rPr>
                <w:rFonts w:hint="eastAsia" w:cs="宋体"/>
              </w:rPr>
              <w:t>2</w:t>
            </w:r>
          </w:p>
        </w:tc>
        <w:tc>
          <w:tcPr>
            <w:tcW w:w="744" w:type="pct"/>
            <w:shd w:val="clear" w:color="auto" w:fill="auto"/>
            <w:vAlign w:val="center"/>
          </w:tcPr>
          <w:p w14:paraId="36AD3F58">
            <w:pPr>
              <w:ind w:firstLine="0" w:firstLineChars="0"/>
              <w:jc w:val="center"/>
              <w:rPr>
                <w:rFonts w:cs="宋体"/>
              </w:rPr>
            </w:pPr>
            <w:r>
              <w:rPr>
                <w:rFonts w:hint="eastAsia" w:cs="宋体"/>
                <w:color w:val="000000"/>
                <w:kern w:val="0"/>
                <w:szCs w:val="21"/>
              </w:rPr>
              <w:t>主机及终端安全</w:t>
            </w:r>
          </w:p>
        </w:tc>
        <w:tc>
          <w:tcPr>
            <w:tcW w:w="2688" w:type="pct"/>
            <w:shd w:val="clear" w:color="auto" w:fill="auto"/>
            <w:vAlign w:val="center"/>
          </w:tcPr>
          <w:p w14:paraId="55328D24">
            <w:pPr>
              <w:ind w:firstLine="0" w:firstLineChars="0"/>
              <w:jc w:val="center"/>
              <w:rPr>
                <w:rFonts w:cs="宋体"/>
              </w:rPr>
            </w:pPr>
          </w:p>
        </w:tc>
        <w:tc>
          <w:tcPr>
            <w:tcW w:w="385" w:type="pct"/>
            <w:shd w:val="clear" w:color="auto" w:fill="auto"/>
            <w:vAlign w:val="center"/>
          </w:tcPr>
          <w:p w14:paraId="02ADE627">
            <w:pPr>
              <w:ind w:firstLine="0" w:firstLineChars="0"/>
              <w:jc w:val="center"/>
              <w:rPr>
                <w:rFonts w:cs="宋体"/>
              </w:rPr>
            </w:pPr>
          </w:p>
        </w:tc>
        <w:tc>
          <w:tcPr>
            <w:tcW w:w="386" w:type="pct"/>
            <w:shd w:val="clear" w:color="auto" w:fill="auto"/>
            <w:vAlign w:val="center"/>
          </w:tcPr>
          <w:p w14:paraId="5D265E34">
            <w:pPr>
              <w:ind w:firstLine="0" w:firstLineChars="0"/>
              <w:jc w:val="center"/>
              <w:rPr>
                <w:rFonts w:cs="宋体"/>
              </w:rPr>
            </w:pPr>
          </w:p>
        </w:tc>
        <w:tc>
          <w:tcPr>
            <w:tcW w:w="386" w:type="pct"/>
            <w:shd w:val="clear" w:color="auto" w:fill="auto"/>
            <w:vAlign w:val="center"/>
          </w:tcPr>
          <w:p w14:paraId="433B526A">
            <w:pPr>
              <w:ind w:firstLine="0" w:firstLineChars="0"/>
              <w:jc w:val="center"/>
              <w:rPr>
                <w:rFonts w:cs="宋体"/>
              </w:rPr>
            </w:pPr>
          </w:p>
        </w:tc>
      </w:tr>
      <w:tr w14:paraId="483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vAlign w:val="center"/>
          </w:tcPr>
          <w:p w14:paraId="3ABCE759">
            <w:pPr>
              <w:ind w:firstLine="0" w:firstLineChars="0"/>
              <w:jc w:val="center"/>
              <w:rPr>
                <w:rFonts w:cs="宋体"/>
              </w:rPr>
            </w:pPr>
            <w:r>
              <w:rPr>
                <w:rFonts w:hint="eastAsia" w:cs="宋体"/>
              </w:rPr>
              <w:t>2.1</w:t>
            </w:r>
          </w:p>
        </w:tc>
        <w:tc>
          <w:tcPr>
            <w:tcW w:w="744" w:type="pct"/>
            <w:shd w:val="clear" w:color="auto" w:fill="auto"/>
            <w:vAlign w:val="center"/>
          </w:tcPr>
          <w:p w14:paraId="3A6C114C">
            <w:pPr>
              <w:ind w:firstLine="0" w:firstLineChars="0"/>
              <w:jc w:val="center"/>
              <w:rPr>
                <w:rFonts w:cs="宋体"/>
                <w:color w:val="000000"/>
                <w:kern w:val="0"/>
                <w:szCs w:val="21"/>
              </w:rPr>
            </w:pPr>
            <w:r>
              <w:rPr>
                <w:rFonts w:hint="eastAsia" w:cs="宋体"/>
                <w:color w:val="000000"/>
                <w:kern w:val="0"/>
                <w:szCs w:val="21"/>
              </w:rPr>
              <w:t>互联网主机安全管控系统控制台（云端）</w:t>
            </w:r>
          </w:p>
        </w:tc>
        <w:tc>
          <w:tcPr>
            <w:tcW w:w="2688" w:type="pct"/>
            <w:shd w:val="clear" w:color="auto" w:fill="auto"/>
            <w:vAlign w:val="center"/>
          </w:tcPr>
          <w:p w14:paraId="74C73493">
            <w:pPr>
              <w:ind w:firstLine="0" w:firstLineChars="0"/>
              <w:jc w:val="center"/>
              <w:rPr>
                <w:rFonts w:cs="宋体"/>
              </w:rPr>
            </w:pPr>
            <w:r>
              <w:rPr>
                <w:rFonts w:hint="eastAsia" w:cs="宋体"/>
                <w:color w:val="000000"/>
                <w:kern w:val="0"/>
                <w:szCs w:val="21"/>
              </w:rPr>
              <w:t>提供主机安全统一管控，功能包括：主机管理、实时监控、告警通知、系统审计、策略配置等。</w:t>
            </w:r>
          </w:p>
        </w:tc>
        <w:tc>
          <w:tcPr>
            <w:tcW w:w="385" w:type="pct"/>
            <w:shd w:val="clear" w:color="auto" w:fill="auto"/>
            <w:vAlign w:val="center"/>
          </w:tcPr>
          <w:p w14:paraId="745F31F4">
            <w:pPr>
              <w:ind w:firstLine="0" w:firstLineChars="0"/>
              <w:jc w:val="center"/>
              <w:rPr>
                <w:rFonts w:cs="宋体"/>
              </w:rPr>
            </w:pPr>
            <w:r>
              <w:rPr>
                <w:rFonts w:hint="eastAsia" w:cs="宋体"/>
              </w:rPr>
              <w:t>1</w:t>
            </w:r>
          </w:p>
        </w:tc>
        <w:tc>
          <w:tcPr>
            <w:tcW w:w="386" w:type="pct"/>
            <w:shd w:val="clear" w:color="auto" w:fill="auto"/>
            <w:vAlign w:val="center"/>
          </w:tcPr>
          <w:p w14:paraId="2811FFED">
            <w:pPr>
              <w:ind w:firstLine="0" w:firstLineChars="0"/>
              <w:jc w:val="center"/>
              <w:rPr>
                <w:rFonts w:cs="宋体"/>
              </w:rPr>
            </w:pPr>
            <w:r>
              <w:rPr>
                <w:rFonts w:hint="eastAsia" w:cs="宋体"/>
              </w:rPr>
              <w:t>套</w:t>
            </w:r>
          </w:p>
        </w:tc>
        <w:tc>
          <w:tcPr>
            <w:tcW w:w="386" w:type="pct"/>
            <w:shd w:val="clear" w:color="auto" w:fill="auto"/>
            <w:vAlign w:val="center"/>
          </w:tcPr>
          <w:p w14:paraId="1DA9D02D">
            <w:pPr>
              <w:ind w:firstLine="0" w:firstLineChars="0"/>
              <w:jc w:val="center"/>
              <w:rPr>
                <w:rFonts w:cs="宋体"/>
              </w:rPr>
            </w:pPr>
          </w:p>
        </w:tc>
      </w:tr>
      <w:tr w14:paraId="38E4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0A99E784">
            <w:pPr>
              <w:ind w:firstLine="0" w:firstLineChars="0"/>
              <w:jc w:val="center"/>
              <w:rPr>
                <w:rFonts w:cs="宋体"/>
              </w:rPr>
            </w:pPr>
            <w:r>
              <w:rPr>
                <w:rFonts w:hint="eastAsia" w:cs="宋体"/>
              </w:rPr>
              <w:t>2.2</w:t>
            </w:r>
          </w:p>
        </w:tc>
        <w:tc>
          <w:tcPr>
            <w:tcW w:w="744" w:type="pct"/>
            <w:shd w:val="clear" w:color="auto" w:fill="auto"/>
            <w:vAlign w:val="center"/>
          </w:tcPr>
          <w:p w14:paraId="269BCAC1">
            <w:pPr>
              <w:ind w:firstLine="0" w:firstLineChars="0"/>
              <w:jc w:val="center"/>
              <w:rPr>
                <w:rFonts w:cs="宋体"/>
                <w:color w:val="000000"/>
                <w:kern w:val="0"/>
                <w:szCs w:val="21"/>
              </w:rPr>
            </w:pPr>
            <w:r>
              <w:rPr>
                <w:rFonts w:hint="eastAsia" w:cs="宋体"/>
                <w:color w:val="000000"/>
                <w:kern w:val="0"/>
                <w:szCs w:val="21"/>
              </w:rPr>
              <w:t>互联网主机安全管控系统客户端（本地+云）</w:t>
            </w:r>
          </w:p>
        </w:tc>
        <w:tc>
          <w:tcPr>
            <w:tcW w:w="2688" w:type="pct"/>
            <w:shd w:val="clear" w:color="auto" w:fill="auto"/>
            <w:vAlign w:val="center"/>
          </w:tcPr>
          <w:p w14:paraId="4418EA57">
            <w:pPr>
              <w:ind w:firstLine="0" w:firstLineChars="0"/>
              <w:jc w:val="center"/>
              <w:rPr>
                <w:rFonts w:cs="宋体"/>
              </w:rPr>
            </w:pPr>
            <w:r>
              <w:rPr>
                <w:rFonts w:hint="eastAsia" w:cs="宋体"/>
                <w:color w:val="000000"/>
                <w:kern w:val="0"/>
                <w:szCs w:val="21"/>
              </w:rPr>
              <w:t>主机自适应安全Agent授权：部署客户端，提供资产清点、风险评估、入侵检测、合规基线、主机隔离等。</w:t>
            </w:r>
          </w:p>
        </w:tc>
        <w:tc>
          <w:tcPr>
            <w:tcW w:w="385" w:type="pct"/>
            <w:shd w:val="clear" w:color="auto" w:fill="auto"/>
            <w:vAlign w:val="center"/>
          </w:tcPr>
          <w:p w14:paraId="7E3033AF">
            <w:pPr>
              <w:ind w:firstLine="0" w:firstLineChars="0"/>
              <w:jc w:val="center"/>
              <w:rPr>
                <w:rFonts w:cs="宋体"/>
              </w:rPr>
            </w:pPr>
            <w:r>
              <w:rPr>
                <w:rFonts w:hint="eastAsia" w:cs="宋体"/>
              </w:rPr>
              <w:t>150</w:t>
            </w:r>
          </w:p>
        </w:tc>
        <w:tc>
          <w:tcPr>
            <w:tcW w:w="386" w:type="pct"/>
            <w:shd w:val="clear" w:color="auto" w:fill="auto"/>
            <w:vAlign w:val="center"/>
          </w:tcPr>
          <w:p w14:paraId="20E2E631">
            <w:pPr>
              <w:ind w:firstLine="0" w:firstLineChars="0"/>
              <w:jc w:val="center"/>
              <w:rPr>
                <w:rFonts w:cs="宋体"/>
              </w:rPr>
            </w:pPr>
            <w:r>
              <w:rPr>
                <w:rFonts w:hint="eastAsia" w:cs="宋体"/>
              </w:rPr>
              <w:t>套</w:t>
            </w:r>
          </w:p>
        </w:tc>
        <w:tc>
          <w:tcPr>
            <w:tcW w:w="386" w:type="pct"/>
            <w:shd w:val="clear" w:color="auto" w:fill="auto"/>
            <w:vAlign w:val="center"/>
          </w:tcPr>
          <w:p w14:paraId="693637F9">
            <w:pPr>
              <w:ind w:firstLine="0" w:firstLineChars="0"/>
              <w:jc w:val="center"/>
              <w:rPr>
                <w:rFonts w:cs="宋体"/>
              </w:rPr>
            </w:pPr>
          </w:p>
        </w:tc>
      </w:tr>
      <w:tr w14:paraId="5C63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7D3CC772">
            <w:pPr>
              <w:ind w:firstLine="0" w:firstLineChars="0"/>
              <w:jc w:val="center"/>
              <w:rPr>
                <w:rFonts w:cs="宋体"/>
              </w:rPr>
            </w:pPr>
            <w:r>
              <w:rPr>
                <w:rFonts w:hint="eastAsia" w:cs="宋体"/>
              </w:rPr>
              <w:t>2.3</w:t>
            </w:r>
          </w:p>
        </w:tc>
        <w:tc>
          <w:tcPr>
            <w:tcW w:w="744" w:type="pct"/>
            <w:shd w:val="clear" w:color="auto" w:fill="auto"/>
            <w:vAlign w:val="center"/>
          </w:tcPr>
          <w:p w14:paraId="476A06F4">
            <w:pPr>
              <w:ind w:firstLine="0" w:firstLineChars="0"/>
              <w:jc w:val="center"/>
              <w:rPr>
                <w:rFonts w:cs="宋体"/>
                <w:color w:val="000000"/>
                <w:kern w:val="0"/>
                <w:szCs w:val="21"/>
              </w:rPr>
            </w:pPr>
            <w:r>
              <w:rPr>
                <w:rFonts w:hint="eastAsia" w:cs="宋体"/>
                <w:color w:val="000000"/>
                <w:kern w:val="0"/>
                <w:szCs w:val="21"/>
              </w:rPr>
              <w:t>法院专网主机安全管控系统控制台（云端）</w:t>
            </w:r>
          </w:p>
        </w:tc>
        <w:tc>
          <w:tcPr>
            <w:tcW w:w="2688" w:type="pct"/>
            <w:shd w:val="clear" w:color="auto" w:fill="auto"/>
            <w:vAlign w:val="center"/>
          </w:tcPr>
          <w:p w14:paraId="69892F87">
            <w:pPr>
              <w:ind w:firstLine="0" w:firstLineChars="0"/>
              <w:jc w:val="center"/>
              <w:rPr>
                <w:rFonts w:cs="宋体"/>
                <w:color w:val="000000"/>
                <w:kern w:val="0"/>
                <w:szCs w:val="21"/>
              </w:rPr>
            </w:pPr>
            <w:r>
              <w:rPr>
                <w:rFonts w:hint="eastAsia" w:cs="宋体"/>
                <w:color w:val="000000"/>
                <w:kern w:val="0"/>
                <w:szCs w:val="21"/>
              </w:rPr>
              <w:t>提供主机安全统一管控，功能包括：主机管理、实时监控、告警通知、系统审计、策略配置等。</w:t>
            </w:r>
          </w:p>
        </w:tc>
        <w:tc>
          <w:tcPr>
            <w:tcW w:w="385" w:type="pct"/>
            <w:shd w:val="clear" w:color="auto" w:fill="auto"/>
            <w:vAlign w:val="center"/>
          </w:tcPr>
          <w:p w14:paraId="58602AC5">
            <w:pPr>
              <w:ind w:firstLine="0" w:firstLineChars="0"/>
              <w:jc w:val="center"/>
              <w:rPr>
                <w:rFonts w:cs="宋体"/>
              </w:rPr>
            </w:pPr>
            <w:r>
              <w:rPr>
                <w:rFonts w:hint="eastAsia" w:cs="宋体"/>
                <w:color w:val="000000"/>
                <w:kern w:val="0"/>
                <w:szCs w:val="21"/>
              </w:rPr>
              <w:t>1</w:t>
            </w:r>
          </w:p>
        </w:tc>
        <w:tc>
          <w:tcPr>
            <w:tcW w:w="386" w:type="pct"/>
            <w:shd w:val="clear" w:color="auto" w:fill="auto"/>
            <w:vAlign w:val="center"/>
          </w:tcPr>
          <w:p w14:paraId="4AB8B35B">
            <w:pPr>
              <w:ind w:firstLine="0" w:firstLineChars="0"/>
              <w:jc w:val="center"/>
              <w:rPr>
                <w:rFonts w:cs="宋体"/>
              </w:rPr>
            </w:pPr>
            <w:r>
              <w:rPr>
                <w:rFonts w:hint="eastAsia" w:cs="宋体"/>
              </w:rPr>
              <w:t>套</w:t>
            </w:r>
          </w:p>
        </w:tc>
        <w:tc>
          <w:tcPr>
            <w:tcW w:w="386" w:type="pct"/>
            <w:shd w:val="clear" w:color="auto" w:fill="auto"/>
            <w:vAlign w:val="center"/>
          </w:tcPr>
          <w:p w14:paraId="7D82C75D">
            <w:pPr>
              <w:ind w:firstLine="0" w:firstLineChars="0"/>
              <w:jc w:val="center"/>
              <w:rPr>
                <w:rFonts w:cs="宋体"/>
              </w:rPr>
            </w:pPr>
          </w:p>
        </w:tc>
      </w:tr>
      <w:tr w14:paraId="604A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7D4CA5E1">
            <w:pPr>
              <w:ind w:firstLine="0" w:firstLineChars="0"/>
              <w:jc w:val="center"/>
              <w:rPr>
                <w:rFonts w:cs="宋体"/>
              </w:rPr>
            </w:pPr>
            <w:r>
              <w:rPr>
                <w:rFonts w:hint="eastAsia" w:cs="宋体"/>
              </w:rPr>
              <w:t>2.4</w:t>
            </w:r>
          </w:p>
        </w:tc>
        <w:tc>
          <w:tcPr>
            <w:tcW w:w="744" w:type="pct"/>
            <w:shd w:val="clear" w:color="auto" w:fill="auto"/>
            <w:vAlign w:val="center"/>
          </w:tcPr>
          <w:p w14:paraId="5592989F">
            <w:pPr>
              <w:ind w:firstLine="0" w:firstLineChars="0"/>
              <w:jc w:val="center"/>
              <w:rPr>
                <w:rFonts w:cs="宋体"/>
              </w:rPr>
            </w:pPr>
            <w:r>
              <w:rPr>
                <w:rFonts w:hint="eastAsia" w:cs="宋体"/>
                <w:color w:val="000000"/>
                <w:kern w:val="0"/>
                <w:szCs w:val="21"/>
              </w:rPr>
              <w:t>法院专网主机安全管控系统客户端（本地+云）</w:t>
            </w:r>
          </w:p>
        </w:tc>
        <w:tc>
          <w:tcPr>
            <w:tcW w:w="2688" w:type="pct"/>
            <w:shd w:val="clear" w:color="auto" w:fill="auto"/>
            <w:vAlign w:val="center"/>
          </w:tcPr>
          <w:p w14:paraId="005F3911">
            <w:pPr>
              <w:ind w:firstLine="0" w:firstLineChars="0"/>
              <w:jc w:val="center"/>
              <w:rPr>
                <w:rFonts w:cs="宋体"/>
              </w:rPr>
            </w:pPr>
            <w:r>
              <w:rPr>
                <w:rFonts w:hint="eastAsia" w:cs="宋体"/>
                <w:color w:val="000000"/>
                <w:kern w:val="0"/>
                <w:szCs w:val="21"/>
              </w:rPr>
              <w:t>主机自适应安全Agent授权：部署客户端，提供资产清点、风险评估、入侵检测、合规基线、主机隔离等。</w:t>
            </w:r>
          </w:p>
        </w:tc>
        <w:tc>
          <w:tcPr>
            <w:tcW w:w="385" w:type="pct"/>
            <w:shd w:val="clear" w:color="auto" w:fill="auto"/>
            <w:vAlign w:val="center"/>
          </w:tcPr>
          <w:p w14:paraId="4402252C">
            <w:pPr>
              <w:ind w:firstLine="0" w:firstLineChars="0"/>
              <w:jc w:val="center"/>
              <w:rPr>
                <w:rFonts w:cs="宋体"/>
              </w:rPr>
            </w:pPr>
            <w:r>
              <w:rPr>
                <w:rFonts w:hint="eastAsia" w:cs="宋体"/>
                <w:color w:val="000000"/>
                <w:kern w:val="0"/>
                <w:szCs w:val="21"/>
              </w:rPr>
              <w:t>350</w:t>
            </w:r>
          </w:p>
        </w:tc>
        <w:tc>
          <w:tcPr>
            <w:tcW w:w="386" w:type="pct"/>
            <w:shd w:val="clear" w:color="auto" w:fill="auto"/>
            <w:vAlign w:val="center"/>
          </w:tcPr>
          <w:p w14:paraId="56A831FA">
            <w:pPr>
              <w:ind w:firstLine="0" w:firstLineChars="0"/>
              <w:jc w:val="center"/>
              <w:rPr>
                <w:rFonts w:cs="宋体"/>
              </w:rPr>
            </w:pPr>
            <w:r>
              <w:rPr>
                <w:rFonts w:hint="eastAsia" w:cs="宋体"/>
              </w:rPr>
              <w:t>套</w:t>
            </w:r>
          </w:p>
        </w:tc>
        <w:tc>
          <w:tcPr>
            <w:tcW w:w="386" w:type="pct"/>
            <w:shd w:val="clear" w:color="auto" w:fill="auto"/>
            <w:vAlign w:val="center"/>
          </w:tcPr>
          <w:p w14:paraId="716B9869">
            <w:pPr>
              <w:ind w:firstLine="0" w:firstLineChars="0"/>
              <w:jc w:val="center"/>
              <w:rPr>
                <w:rFonts w:cs="宋体"/>
              </w:rPr>
            </w:pPr>
          </w:p>
        </w:tc>
      </w:tr>
      <w:tr w14:paraId="0BAA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vAlign w:val="center"/>
          </w:tcPr>
          <w:p w14:paraId="633E49E8">
            <w:pPr>
              <w:ind w:firstLine="0" w:firstLineChars="0"/>
              <w:jc w:val="center"/>
              <w:rPr>
                <w:rFonts w:cs="宋体"/>
              </w:rPr>
            </w:pPr>
            <w:r>
              <w:rPr>
                <w:rFonts w:hint="eastAsia" w:cs="宋体"/>
              </w:rPr>
              <w:t>2.5</w:t>
            </w:r>
          </w:p>
        </w:tc>
        <w:tc>
          <w:tcPr>
            <w:tcW w:w="744" w:type="pct"/>
            <w:shd w:val="clear" w:color="auto" w:fill="auto"/>
            <w:vAlign w:val="center"/>
          </w:tcPr>
          <w:p w14:paraId="3BE18068">
            <w:pPr>
              <w:ind w:firstLine="0" w:firstLineChars="0"/>
              <w:jc w:val="center"/>
              <w:rPr>
                <w:rFonts w:cs="宋体"/>
              </w:rPr>
            </w:pPr>
            <w:r>
              <w:rPr>
                <w:rFonts w:hint="eastAsia" w:cs="宋体"/>
                <w:color w:val="000000"/>
                <w:kern w:val="0"/>
                <w:szCs w:val="21"/>
              </w:rPr>
              <w:t>XC网络终端安全管理系统统一管理平台-分级权限管理</w:t>
            </w:r>
          </w:p>
        </w:tc>
        <w:tc>
          <w:tcPr>
            <w:tcW w:w="2688" w:type="pct"/>
            <w:shd w:val="clear" w:color="auto" w:fill="auto"/>
            <w:vAlign w:val="center"/>
          </w:tcPr>
          <w:p w14:paraId="59D6CFBC">
            <w:pPr>
              <w:ind w:firstLine="0" w:firstLineChars="0"/>
              <w:jc w:val="center"/>
              <w:rPr>
                <w:rFonts w:cs="宋体"/>
                <w:color w:val="000000"/>
                <w:kern w:val="0"/>
                <w:szCs w:val="21"/>
              </w:rPr>
            </w:pPr>
            <w:r>
              <w:rPr>
                <w:rFonts w:hint="eastAsia" w:cs="宋体"/>
                <w:color w:val="000000"/>
                <w:kern w:val="0"/>
                <w:szCs w:val="21"/>
              </w:rPr>
              <w:t>XC网络终端安全管理系统统一管理平台-分级权限管理,</w:t>
            </w:r>
          </w:p>
          <w:p w14:paraId="30C08F39">
            <w:pPr>
              <w:ind w:firstLine="0" w:firstLineChars="0"/>
              <w:jc w:val="center"/>
              <w:rPr>
                <w:rFonts w:cs="宋体"/>
                <w:color w:val="000000"/>
                <w:kern w:val="0"/>
                <w:szCs w:val="21"/>
              </w:rPr>
            </w:pPr>
            <w:r>
              <w:rPr>
                <w:rFonts w:hint="eastAsia" w:cs="宋体"/>
                <w:color w:val="000000"/>
                <w:kern w:val="0"/>
                <w:szCs w:val="21"/>
              </w:rPr>
              <w:t>分级分权限管理：采用三全分立，支持高院、分院两级管理模式分权。</w:t>
            </w:r>
          </w:p>
          <w:p w14:paraId="2033AD9B">
            <w:pPr>
              <w:ind w:firstLine="0" w:firstLineChars="0"/>
              <w:jc w:val="center"/>
              <w:rPr>
                <w:rFonts w:cs="宋体"/>
                <w:color w:val="000000"/>
                <w:kern w:val="0"/>
                <w:szCs w:val="21"/>
              </w:rPr>
            </w:pPr>
            <w:r>
              <w:rPr>
                <w:rFonts w:hint="eastAsia" w:cs="宋体"/>
                <w:color w:val="000000"/>
                <w:kern w:val="0"/>
                <w:szCs w:val="21"/>
              </w:rPr>
              <w:t>1）后台支持配置管理员不同的管理范围权限和不同的功能权限。</w:t>
            </w:r>
          </w:p>
          <w:p w14:paraId="239C8F28">
            <w:pPr>
              <w:ind w:firstLine="0" w:firstLineChars="0"/>
              <w:jc w:val="center"/>
              <w:rPr>
                <w:rFonts w:cs="宋体"/>
              </w:rPr>
            </w:pPr>
            <w:r>
              <w:rPr>
                <w:rFonts w:hint="eastAsia" w:cs="宋体"/>
                <w:color w:val="000000"/>
                <w:kern w:val="0"/>
                <w:szCs w:val="21"/>
              </w:rPr>
              <w:t>2）市级法院系统管理员集中管理，可以集中管理所有区县法院机器情况、管理策略。区法院管理员分级自治，界面只显示在管理范围内的机器情况，管理策略等等。</w:t>
            </w:r>
          </w:p>
        </w:tc>
        <w:tc>
          <w:tcPr>
            <w:tcW w:w="385" w:type="pct"/>
            <w:shd w:val="clear" w:color="auto" w:fill="auto"/>
            <w:vAlign w:val="center"/>
          </w:tcPr>
          <w:p w14:paraId="474A182C">
            <w:pPr>
              <w:ind w:firstLine="0" w:firstLineChars="0"/>
              <w:jc w:val="center"/>
              <w:rPr>
                <w:rFonts w:cs="宋体"/>
              </w:rPr>
            </w:pPr>
            <w:r>
              <w:rPr>
                <w:rFonts w:hint="eastAsia" w:cs="宋体"/>
              </w:rPr>
              <w:t>1</w:t>
            </w:r>
          </w:p>
        </w:tc>
        <w:tc>
          <w:tcPr>
            <w:tcW w:w="386" w:type="pct"/>
            <w:shd w:val="clear" w:color="auto" w:fill="auto"/>
            <w:vAlign w:val="center"/>
          </w:tcPr>
          <w:p w14:paraId="30F074A5">
            <w:pPr>
              <w:ind w:firstLine="0" w:firstLineChars="0"/>
              <w:jc w:val="center"/>
              <w:rPr>
                <w:rFonts w:cs="宋体"/>
              </w:rPr>
            </w:pPr>
            <w:r>
              <w:rPr>
                <w:rFonts w:hint="eastAsia" w:cs="宋体"/>
              </w:rPr>
              <w:t>套</w:t>
            </w:r>
          </w:p>
        </w:tc>
        <w:tc>
          <w:tcPr>
            <w:tcW w:w="386" w:type="pct"/>
            <w:shd w:val="clear" w:color="auto" w:fill="auto"/>
            <w:vAlign w:val="center"/>
          </w:tcPr>
          <w:p w14:paraId="65BA3097">
            <w:pPr>
              <w:ind w:firstLine="0" w:firstLineChars="0"/>
              <w:jc w:val="center"/>
              <w:rPr>
                <w:rFonts w:cs="宋体"/>
              </w:rPr>
            </w:pPr>
          </w:p>
        </w:tc>
      </w:tr>
      <w:tr w14:paraId="7683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2958E084">
            <w:pPr>
              <w:ind w:firstLine="0" w:firstLineChars="0"/>
              <w:jc w:val="center"/>
              <w:rPr>
                <w:rFonts w:cs="宋体"/>
              </w:rPr>
            </w:pPr>
            <w:r>
              <w:rPr>
                <w:rFonts w:hint="eastAsia" w:cs="宋体"/>
              </w:rPr>
              <w:t>2.6</w:t>
            </w:r>
          </w:p>
        </w:tc>
        <w:tc>
          <w:tcPr>
            <w:tcW w:w="744" w:type="pct"/>
            <w:shd w:val="clear" w:color="auto" w:fill="auto"/>
            <w:vAlign w:val="center"/>
          </w:tcPr>
          <w:p w14:paraId="20F80660">
            <w:pPr>
              <w:ind w:firstLine="0" w:firstLineChars="0"/>
              <w:jc w:val="center"/>
              <w:rPr>
                <w:rFonts w:cs="宋体"/>
              </w:rPr>
            </w:pPr>
            <w:r>
              <w:rPr>
                <w:rFonts w:hint="eastAsia" w:cs="宋体"/>
                <w:color w:val="000000"/>
                <w:kern w:val="0"/>
                <w:szCs w:val="21"/>
              </w:rPr>
              <w:t>XC网络终端安全管理系统统一管理平台-系统监控管理</w:t>
            </w:r>
          </w:p>
        </w:tc>
        <w:tc>
          <w:tcPr>
            <w:tcW w:w="2688" w:type="pct"/>
            <w:shd w:val="clear" w:color="auto" w:fill="auto"/>
            <w:vAlign w:val="center"/>
          </w:tcPr>
          <w:p w14:paraId="724E4A9B">
            <w:pPr>
              <w:ind w:firstLine="0" w:firstLineChars="0"/>
              <w:jc w:val="center"/>
              <w:rPr>
                <w:rFonts w:cs="宋体"/>
              </w:rPr>
            </w:pPr>
            <w:r>
              <w:rPr>
                <w:rFonts w:hint="eastAsia" w:cs="宋体"/>
              </w:rPr>
              <w:t>XC网络终端安全管理系统统一管理平台-系统监控管理,系统监控：各分院终端安全管理系统运行状态监控，异常状态报警及输出。</w:t>
            </w:r>
          </w:p>
          <w:p w14:paraId="51332E60">
            <w:pPr>
              <w:ind w:firstLine="0" w:firstLineChars="0"/>
              <w:jc w:val="center"/>
              <w:rPr>
                <w:rFonts w:cs="宋体"/>
              </w:rPr>
            </w:pPr>
            <w:r>
              <w:rPr>
                <w:rFonts w:hint="eastAsia" w:cs="宋体"/>
              </w:rPr>
              <w:t>1）系统运行状态监控：监测终端安全管理系统运行是否正常，如异常则报警；</w:t>
            </w:r>
          </w:p>
          <w:p w14:paraId="7081938D">
            <w:pPr>
              <w:ind w:firstLine="0" w:firstLineChars="0"/>
              <w:jc w:val="center"/>
              <w:rPr>
                <w:rFonts w:cs="宋体"/>
              </w:rPr>
            </w:pPr>
            <w:r>
              <w:rPr>
                <w:rFonts w:hint="eastAsia" w:cs="宋体"/>
              </w:rPr>
              <w:t>2）资源使用状态监控：监测终端安全管理系统CPU、内存、系统空间、备份空间，如超过80%则报警；</w:t>
            </w:r>
          </w:p>
          <w:p w14:paraId="201B30BE">
            <w:pPr>
              <w:ind w:firstLine="0" w:firstLineChars="0"/>
              <w:jc w:val="center"/>
              <w:rPr>
                <w:rFonts w:cs="宋体"/>
              </w:rPr>
            </w:pPr>
            <w:r>
              <w:rPr>
                <w:rFonts w:hint="eastAsia" w:cs="宋体"/>
              </w:rPr>
              <w:t>3）系统服务状态监控：监测终端安全管理系统服务运行状态，如异常则报警；</w:t>
            </w:r>
          </w:p>
          <w:p w14:paraId="57F4C9D9">
            <w:pPr>
              <w:ind w:firstLine="0" w:firstLineChars="0"/>
              <w:jc w:val="center"/>
              <w:rPr>
                <w:rFonts w:cs="宋体"/>
              </w:rPr>
            </w:pPr>
            <w:r>
              <w:rPr>
                <w:rFonts w:hint="eastAsia" w:cs="宋体"/>
              </w:rPr>
              <w:t>4）异常报警展示及输出：报警通过首页展示，采用SYSLOG及短信输出</w:t>
            </w:r>
          </w:p>
        </w:tc>
        <w:tc>
          <w:tcPr>
            <w:tcW w:w="385" w:type="pct"/>
            <w:shd w:val="clear" w:color="auto" w:fill="auto"/>
            <w:vAlign w:val="center"/>
          </w:tcPr>
          <w:p w14:paraId="1A4981C8">
            <w:pPr>
              <w:ind w:firstLine="0" w:firstLineChars="0"/>
              <w:jc w:val="center"/>
              <w:rPr>
                <w:rFonts w:cs="宋体"/>
              </w:rPr>
            </w:pPr>
            <w:r>
              <w:rPr>
                <w:rFonts w:hint="eastAsia" w:cs="宋体"/>
              </w:rPr>
              <w:t>1</w:t>
            </w:r>
          </w:p>
        </w:tc>
        <w:tc>
          <w:tcPr>
            <w:tcW w:w="386" w:type="pct"/>
            <w:shd w:val="clear" w:color="auto" w:fill="auto"/>
            <w:vAlign w:val="center"/>
          </w:tcPr>
          <w:p w14:paraId="6FE6E8D5">
            <w:pPr>
              <w:ind w:firstLine="0" w:firstLineChars="0"/>
              <w:jc w:val="center"/>
              <w:rPr>
                <w:rFonts w:cs="宋体"/>
              </w:rPr>
            </w:pPr>
            <w:r>
              <w:rPr>
                <w:rFonts w:hint="eastAsia" w:cs="宋体"/>
              </w:rPr>
              <w:t>套</w:t>
            </w:r>
          </w:p>
        </w:tc>
        <w:tc>
          <w:tcPr>
            <w:tcW w:w="386" w:type="pct"/>
            <w:shd w:val="clear" w:color="auto" w:fill="auto"/>
            <w:vAlign w:val="center"/>
          </w:tcPr>
          <w:p w14:paraId="59F08396">
            <w:pPr>
              <w:ind w:firstLine="0" w:firstLineChars="0"/>
              <w:jc w:val="center"/>
              <w:rPr>
                <w:rFonts w:cs="宋体"/>
              </w:rPr>
            </w:pPr>
          </w:p>
        </w:tc>
      </w:tr>
      <w:tr w14:paraId="059E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599CE719">
            <w:pPr>
              <w:ind w:firstLine="0" w:firstLineChars="0"/>
              <w:jc w:val="center"/>
              <w:rPr>
                <w:rFonts w:cs="宋体"/>
              </w:rPr>
            </w:pPr>
            <w:r>
              <w:rPr>
                <w:rFonts w:hint="eastAsia" w:cs="宋体"/>
              </w:rPr>
              <w:t>2.7</w:t>
            </w:r>
          </w:p>
        </w:tc>
        <w:tc>
          <w:tcPr>
            <w:tcW w:w="744" w:type="pct"/>
            <w:shd w:val="clear" w:color="auto" w:fill="auto"/>
            <w:vAlign w:val="center"/>
          </w:tcPr>
          <w:p w14:paraId="04D3FCA4">
            <w:pPr>
              <w:ind w:firstLine="0" w:firstLineChars="0"/>
              <w:jc w:val="center"/>
              <w:rPr>
                <w:rFonts w:cs="宋体"/>
              </w:rPr>
            </w:pPr>
            <w:r>
              <w:rPr>
                <w:rFonts w:hint="eastAsia" w:cs="宋体"/>
                <w:color w:val="000000"/>
                <w:kern w:val="0"/>
                <w:szCs w:val="21"/>
              </w:rPr>
              <w:t>XC网络终端安全管理系统统一管理平台-终端汇总管理</w:t>
            </w:r>
          </w:p>
        </w:tc>
        <w:tc>
          <w:tcPr>
            <w:tcW w:w="2688" w:type="pct"/>
            <w:shd w:val="clear" w:color="auto" w:fill="auto"/>
            <w:vAlign w:val="center"/>
          </w:tcPr>
          <w:p w14:paraId="7BCA1EDD">
            <w:pPr>
              <w:ind w:firstLine="0" w:firstLineChars="0"/>
              <w:jc w:val="center"/>
              <w:rPr>
                <w:rFonts w:cs="宋体"/>
              </w:rPr>
            </w:pPr>
            <w:r>
              <w:rPr>
                <w:rFonts w:hint="eastAsia" w:cs="宋体"/>
              </w:rPr>
              <w:t>XC网络终端安全管理系统统一管理平台-终端汇总管理,终端数据汇总：采集各分院终端信息，汇总统一报表。</w:t>
            </w:r>
          </w:p>
          <w:p w14:paraId="372C9E21">
            <w:pPr>
              <w:ind w:firstLine="0" w:firstLineChars="0"/>
              <w:jc w:val="center"/>
              <w:rPr>
                <w:rFonts w:cs="宋体"/>
              </w:rPr>
            </w:pPr>
            <w:r>
              <w:rPr>
                <w:rFonts w:hint="eastAsia" w:cs="宋体"/>
              </w:rPr>
              <w:t>1）采集各分院的终端基本信息，包括不限于IP、MAC、使用人、部门等，集中到统一管理平台汇总；</w:t>
            </w:r>
          </w:p>
          <w:p w14:paraId="6E1DD626">
            <w:pPr>
              <w:ind w:firstLine="0" w:firstLineChars="0"/>
              <w:jc w:val="center"/>
              <w:rPr>
                <w:rFonts w:cs="宋体"/>
              </w:rPr>
            </w:pPr>
            <w:r>
              <w:rPr>
                <w:rFonts w:hint="eastAsia" w:cs="宋体"/>
              </w:rPr>
              <w:t>2）采集各分院的终端硬件信息，集中到统一管理平台汇；</w:t>
            </w:r>
          </w:p>
          <w:p w14:paraId="09206BFD">
            <w:pPr>
              <w:ind w:firstLine="0" w:firstLineChars="0"/>
              <w:jc w:val="center"/>
              <w:rPr>
                <w:rFonts w:cs="宋体"/>
              </w:rPr>
            </w:pPr>
            <w:r>
              <w:rPr>
                <w:rFonts w:hint="eastAsia" w:cs="宋体"/>
              </w:rPr>
              <w:t>3）采集各分院的终端软件信息，集中到统一管理平台汇；</w:t>
            </w:r>
          </w:p>
          <w:p w14:paraId="41147D25">
            <w:pPr>
              <w:ind w:firstLine="0" w:firstLineChars="0"/>
              <w:jc w:val="center"/>
              <w:rPr>
                <w:rFonts w:cs="宋体"/>
              </w:rPr>
            </w:pPr>
            <w:r>
              <w:rPr>
                <w:rFonts w:hint="eastAsia" w:cs="宋体"/>
              </w:rPr>
              <w:t>4）采集各分院的终端的违规情况，集中到统一管理平台汇；</w:t>
            </w:r>
          </w:p>
        </w:tc>
        <w:tc>
          <w:tcPr>
            <w:tcW w:w="385" w:type="pct"/>
            <w:shd w:val="clear" w:color="auto" w:fill="auto"/>
            <w:vAlign w:val="center"/>
          </w:tcPr>
          <w:p w14:paraId="43C8DD4A">
            <w:pPr>
              <w:ind w:firstLine="0" w:firstLineChars="0"/>
              <w:jc w:val="center"/>
              <w:rPr>
                <w:rFonts w:cs="宋体"/>
              </w:rPr>
            </w:pPr>
            <w:r>
              <w:rPr>
                <w:rFonts w:hint="eastAsia" w:cs="宋体"/>
              </w:rPr>
              <w:t>1</w:t>
            </w:r>
          </w:p>
        </w:tc>
        <w:tc>
          <w:tcPr>
            <w:tcW w:w="386" w:type="pct"/>
            <w:shd w:val="clear" w:color="auto" w:fill="auto"/>
            <w:vAlign w:val="center"/>
          </w:tcPr>
          <w:p w14:paraId="2B411299">
            <w:pPr>
              <w:ind w:firstLine="0" w:firstLineChars="0"/>
              <w:jc w:val="center"/>
              <w:rPr>
                <w:rFonts w:cs="宋体"/>
              </w:rPr>
            </w:pPr>
            <w:r>
              <w:rPr>
                <w:rFonts w:hint="eastAsia" w:cs="宋体"/>
              </w:rPr>
              <w:t>套</w:t>
            </w:r>
          </w:p>
        </w:tc>
        <w:tc>
          <w:tcPr>
            <w:tcW w:w="386" w:type="pct"/>
            <w:shd w:val="clear" w:color="auto" w:fill="auto"/>
            <w:vAlign w:val="center"/>
          </w:tcPr>
          <w:p w14:paraId="404F1433">
            <w:pPr>
              <w:ind w:firstLine="0" w:firstLineChars="0"/>
              <w:jc w:val="center"/>
              <w:rPr>
                <w:rFonts w:cs="宋体"/>
              </w:rPr>
            </w:pPr>
          </w:p>
        </w:tc>
      </w:tr>
      <w:tr w14:paraId="28CDB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3D3AE780">
            <w:pPr>
              <w:ind w:firstLine="0" w:firstLineChars="0"/>
              <w:jc w:val="center"/>
              <w:rPr>
                <w:rFonts w:cs="宋体"/>
              </w:rPr>
            </w:pPr>
            <w:r>
              <w:rPr>
                <w:rFonts w:hint="eastAsia" w:cs="宋体"/>
              </w:rPr>
              <w:t>2.8</w:t>
            </w:r>
          </w:p>
        </w:tc>
        <w:tc>
          <w:tcPr>
            <w:tcW w:w="744" w:type="pct"/>
            <w:shd w:val="clear" w:color="auto" w:fill="auto"/>
            <w:vAlign w:val="center"/>
          </w:tcPr>
          <w:p w14:paraId="07B284F8">
            <w:pPr>
              <w:ind w:firstLine="0" w:firstLineChars="0"/>
              <w:jc w:val="center"/>
              <w:rPr>
                <w:rFonts w:cs="宋体"/>
              </w:rPr>
            </w:pPr>
            <w:r>
              <w:rPr>
                <w:rFonts w:hint="eastAsia" w:cs="宋体"/>
                <w:color w:val="000000"/>
                <w:kern w:val="0"/>
                <w:szCs w:val="21"/>
              </w:rPr>
              <w:t>XC网络终端安全管理系统统一管理平台-策略统一管理</w:t>
            </w:r>
          </w:p>
        </w:tc>
        <w:tc>
          <w:tcPr>
            <w:tcW w:w="2688" w:type="pct"/>
            <w:shd w:val="clear" w:color="auto" w:fill="auto"/>
            <w:vAlign w:val="center"/>
          </w:tcPr>
          <w:p w14:paraId="2A4102BB">
            <w:pPr>
              <w:ind w:firstLine="0" w:firstLineChars="0"/>
              <w:jc w:val="center"/>
              <w:rPr>
                <w:rFonts w:cs="宋体"/>
              </w:rPr>
            </w:pPr>
            <w:r>
              <w:rPr>
                <w:rFonts w:hint="eastAsia" w:cs="宋体"/>
              </w:rPr>
              <w:t>XC网络终端安全管理系统统一管理平台-策略统一管理,策略汇总：建立策略统一下发机制，高院对各分院进行统一策略下发。</w:t>
            </w:r>
          </w:p>
          <w:p w14:paraId="1BD33AE6">
            <w:pPr>
              <w:ind w:firstLine="0" w:firstLineChars="0"/>
              <w:jc w:val="center"/>
              <w:rPr>
                <w:rFonts w:cs="宋体"/>
              </w:rPr>
            </w:pPr>
            <w:r>
              <w:rPr>
                <w:rFonts w:hint="eastAsia" w:cs="宋体"/>
              </w:rPr>
              <w:t>1）支持以树状结构对部门信息进行层级展示；</w:t>
            </w:r>
          </w:p>
          <w:p w14:paraId="78543F6D">
            <w:pPr>
              <w:ind w:firstLine="0" w:firstLineChars="0"/>
              <w:jc w:val="center"/>
              <w:rPr>
                <w:rFonts w:cs="宋体"/>
              </w:rPr>
            </w:pPr>
            <w:r>
              <w:rPr>
                <w:rFonts w:hint="eastAsia" w:cs="宋体"/>
              </w:rPr>
              <w:t>2）支持策略执行结果的统一汇总；</w:t>
            </w:r>
          </w:p>
          <w:p w14:paraId="583F3B52">
            <w:pPr>
              <w:ind w:firstLine="0" w:firstLineChars="0"/>
              <w:jc w:val="center"/>
              <w:rPr>
                <w:rFonts w:cs="宋体"/>
              </w:rPr>
            </w:pPr>
            <w:r>
              <w:rPr>
                <w:rFonts w:hint="eastAsia" w:cs="宋体"/>
              </w:rPr>
              <w:t>3）支持策略告警的统一展示；</w:t>
            </w:r>
          </w:p>
        </w:tc>
        <w:tc>
          <w:tcPr>
            <w:tcW w:w="385" w:type="pct"/>
            <w:shd w:val="clear" w:color="auto" w:fill="auto"/>
            <w:vAlign w:val="center"/>
          </w:tcPr>
          <w:p w14:paraId="33D18217">
            <w:pPr>
              <w:ind w:firstLine="0" w:firstLineChars="0"/>
              <w:jc w:val="center"/>
              <w:rPr>
                <w:rFonts w:cs="宋体"/>
              </w:rPr>
            </w:pPr>
            <w:r>
              <w:rPr>
                <w:rFonts w:hint="eastAsia" w:cs="宋体"/>
              </w:rPr>
              <w:t>1</w:t>
            </w:r>
          </w:p>
        </w:tc>
        <w:tc>
          <w:tcPr>
            <w:tcW w:w="386" w:type="pct"/>
            <w:shd w:val="clear" w:color="auto" w:fill="auto"/>
            <w:vAlign w:val="center"/>
          </w:tcPr>
          <w:p w14:paraId="76998F75">
            <w:pPr>
              <w:ind w:firstLine="0" w:firstLineChars="0"/>
              <w:jc w:val="center"/>
              <w:rPr>
                <w:rFonts w:cs="宋体"/>
              </w:rPr>
            </w:pPr>
            <w:r>
              <w:rPr>
                <w:rFonts w:hint="eastAsia" w:cs="宋体"/>
              </w:rPr>
              <w:t>套</w:t>
            </w:r>
          </w:p>
        </w:tc>
        <w:tc>
          <w:tcPr>
            <w:tcW w:w="386" w:type="pct"/>
            <w:shd w:val="clear" w:color="auto" w:fill="auto"/>
            <w:vAlign w:val="center"/>
          </w:tcPr>
          <w:p w14:paraId="48F6C6C1">
            <w:pPr>
              <w:ind w:firstLine="0" w:firstLineChars="0"/>
              <w:jc w:val="center"/>
              <w:rPr>
                <w:rFonts w:cs="宋体"/>
              </w:rPr>
            </w:pPr>
          </w:p>
        </w:tc>
      </w:tr>
      <w:tr w14:paraId="735D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vAlign w:val="center"/>
          </w:tcPr>
          <w:p w14:paraId="547A8CAD">
            <w:pPr>
              <w:ind w:firstLine="0" w:firstLineChars="0"/>
              <w:jc w:val="center"/>
              <w:rPr>
                <w:rFonts w:cs="宋体"/>
              </w:rPr>
            </w:pPr>
            <w:r>
              <w:rPr>
                <w:rFonts w:hint="eastAsia" w:cs="宋体"/>
              </w:rPr>
              <w:t>2.9</w:t>
            </w:r>
          </w:p>
        </w:tc>
        <w:tc>
          <w:tcPr>
            <w:tcW w:w="744" w:type="pct"/>
            <w:shd w:val="clear" w:color="auto" w:fill="auto"/>
            <w:vAlign w:val="center"/>
          </w:tcPr>
          <w:p w14:paraId="12A9FE06">
            <w:pPr>
              <w:ind w:firstLine="0" w:firstLineChars="0"/>
              <w:jc w:val="center"/>
              <w:rPr>
                <w:rFonts w:cs="宋体"/>
              </w:rPr>
            </w:pPr>
            <w:r>
              <w:rPr>
                <w:rFonts w:hint="eastAsia" w:cs="宋体"/>
                <w:color w:val="000000"/>
                <w:kern w:val="0"/>
                <w:szCs w:val="21"/>
              </w:rPr>
              <w:t>XC网络终端安全管理系统统一管理平台-日志审计管理</w:t>
            </w:r>
          </w:p>
        </w:tc>
        <w:tc>
          <w:tcPr>
            <w:tcW w:w="2688" w:type="pct"/>
            <w:shd w:val="clear" w:color="auto" w:fill="auto"/>
            <w:vAlign w:val="center"/>
          </w:tcPr>
          <w:p w14:paraId="793A95A5">
            <w:pPr>
              <w:ind w:firstLine="0" w:firstLineChars="0"/>
              <w:jc w:val="center"/>
              <w:rPr>
                <w:rFonts w:cs="宋体"/>
              </w:rPr>
            </w:pPr>
            <w:r>
              <w:rPr>
                <w:rFonts w:hint="eastAsia" w:cs="宋体"/>
              </w:rPr>
              <w:t>XC网络终端安全管理系统统一管理平台-日志审计管理,审计汇总管理：对分院终端的文件操作行为进行审计汇总，包括但不限于以下操作如新建、修改、移动、改名、彻底删除、放入回收站、还原、清空；</w:t>
            </w:r>
          </w:p>
          <w:p w14:paraId="0C473F4F">
            <w:pPr>
              <w:ind w:firstLine="0" w:firstLineChars="0"/>
              <w:jc w:val="center"/>
              <w:rPr>
                <w:rFonts w:cs="宋体"/>
              </w:rPr>
            </w:pPr>
            <w:r>
              <w:rPr>
                <w:rFonts w:hint="eastAsia" w:cs="宋体"/>
              </w:rPr>
              <w:t>1）支持汇总常用软件产生的文件变动行为审计；</w:t>
            </w:r>
          </w:p>
          <w:p w14:paraId="6CA47696">
            <w:pPr>
              <w:ind w:firstLine="0" w:firstLineChars="0"/>
              <w:jc w:val="center"/>
              <w:rPr>
                <w:rFonts w:cs="宋体"/>
              </w:rPr>
            </w:pPr>
            <w:r>
              <w:rPr>
                <w:rFonts w:hint="eastAsia" w:cs="宋体"/>
              </w:rPr>
              <w:t>2）支持汇总用户访问的网站进行审计记录，汇总各分院网站审计列表，包括：设备名称、远程IP、远程端口、域名、进程路径、标题、网址、设备IP；</w:t>
            </w:r>
          </w:p>
          <w:p w14:paraId="2B193239">
            <w:pPr>
              <w:ind w:firstLine="0" w:firstLineChars="0"/>
              <w:jc w:val="center"/>
              <w:rPr>
                <w:rFonts w:cs="宋体"/>
              </w:rPr>
            </w:pPr>
            <w:r>
              <w:rPr>
                <w:rFonts w:hint="eastAsia" w:cs="宋体"/>
              </w:rPr>
              <w:t>3）汇总各分院终端系统上当前运行的进程及状态进行监控和审计。</w:t>
            </w:r>
          </w:p>
          <w:p w14:paraId="314AB938">
            <w:pPr>
              <w:ind w:firstLine="0" w:firstLineChars="0"/>
              <w:jc w:val="center"/>
              <w:rPr>
                <w:rFonts w:cs="宋体"/>
              </w:rPr>
            </w:pPr>
            <w:r>
              <w:rPr>
                <w:rFonts w:hint="eastAsia" w:cs="宋体"/>
              </w:rPr>
              <w:t>4）汇总各分院终端用户的文档打印行为、光盘刻录行为用于审计、记录；</w:t>
            </w:r>
          </w:p>
          <w:p w14:paraId="55AF0250">
            <w:pPr>
              <w:ind w:firstLine="0" w:firstLineChars="0"/>
              <w:jc w:val="center"/>
              <w:rPr>
                <w:rFonts w:cs="宋体"/>
              </w:rPr>
            </w:pPr>
            <w:r>
              <w:rPr>
                <w:rFonts w:hint="eastAsia" w:cs="宋体"/>
              </w:rPr>
              <w:t>5）汇总各分院终端系统上相关服务及启用、停止等状态进行监控和审计。</w:t>
            </w:r>
          </w:p>
          <w:p w14:paraId="4EA5D5DE">
            <w:pPr>
              <w:ind w:firstLine="0" w:firstLineChars="0"/>
              <w:jc w:val="center"/>
              <w:rPr>
                <w:rFonts w:cs="宋体"/>
              </w:rPr>
            </w:pPr>
            <w:r>
              <w:rPr>
                <w:rFonts w:hint="eastAsia" w:cs="宋体"/>
              </w:rPr>
              <w:t>6）汇总各分院终端系统上的共享目录进行监控和审计。</w:t>
            </w:r>
          </w:p>
          <w:p w14:paraId="1508011E">
            <w:pPr>
              <w:ind w:firstLine="0" w:firstLineChars="0"/>
              <w:jc w:val="center"/>
              <w:rPr>
                <w:rFonts w:cs="宋体"/>
              </w:rPr>
            </w:pPr>
            <w:r>
              <w:rPr>
                <w:rFonts w:hint="eastAsia" w:cs="宋体"/>
              </w:rPr>
              <w:t>7）汇总各分院终端上的用户账户进行监控和审计</w:t>
            </w:r>
          </w:p>
          <w:p w14:paraId="4CAE001E">
            <w:pPr>
              <w:ind w:firstLine="0" w:firstLineChars="0"/>
              <w:jc w:val="center"/>
              <w:rPr>
                <w:rFonts w:cs="宋体"/>
              </w:rPr>
            </w:pPr>
            <w:r>
              <w:rPr>
                <w:rFonts w:hint="eastAsia" w:cs="宋体"/>
              </w:rPr>
              <w:t>8）汇总各分院终端上的开机启动项进行监控和审计，监控的内容包括启动项的添加、删除和修改等操作。</w:t>
            </w:r>
          </w:p>
          <w:p w14:paraId="6C529CA2">
            <w:pPr>
              <w:ind w:firstLine="0" w:firstLineChars="0"/>
              <w:jc w:val="center"/>
              <w:rPr>
                <w:rFonts w:cs="宋体"/>
              </w:rPr>
            </w:pPr>
            <w:r>
              <w:rPr>
                <w:rFonts w:hint="eastAsia" w:cs="宋体"/>
              </w:rPr>
              <w:t>9）汇总各分院指定目录下的注册表项，监控的内容包括注册表项的添加、删除和修改等操作。</w:t>
            </w:r>
          </w:p>
          <w:p w14:paraId="45B66047">
            <w:pPr>
              <w:ind w:firstLine="0" w:firstLineChars="0"/>
              <w:jc w:val="center"/>
              <w:rPr>
                <w:rFonts w:cs="宋体"/>
              </w:rPr>
            </w:pPr>
            <w:r>
              <w:rPr>
                <w:rFonts w:hint="eastAsia" w:cs="宋体"/>
              </w:rPr>
              <w:t>10）汇总各分院网络流量使用情况</w:t>
            </w:r>
          </w:p>
        </w:tc>
        <w:tc>
          <w:tcPr>
            <w:tcW w:w="385" w:type="pct"/>
            <w:shd w:val="clear" w:color="auto" w:fill="auto"/>
            <w:vAlign w:val="center"/>
          </w:tcPr>
          <w:p w14:paraId="0B035568">
            <w:pPr>
              <w:ind w:firstLine="0" w:firstLineChars="0"/>
              <w:jc w:val="center"/>
              <w:rPr>
                <w:rFonts w:cs="宋体"/>
              </w:rPr>
            </w:pPr>
            <w:r>
              <w:rPr>
                <w:rFonts w:hint="eastAsia" w:cs="宋体"/>
              </w:rPr>
              <w:t>1</w:t>
            </w:r>
          </w:p>
        </w:tc>
        <w:tc>
          <w:tcPr>
            <w:tcW w:w="386" w:type="pct"/>
            <w:shd w:val="clear" w:color="auto" w:fill="auto"/>
            <w:vAlign w:val="center"/>
          </w:tcPr>
          <w:p w14:paraId="05AB2B6B">
            <w:pPr>
              <w:ind w:firstLine="0" w:firstLineChars="0"/>
              <w:jc w:val="center"/>
              <w:rPr>
                <w:rFonts w:cs="宋体"/>
              </w:rPr>
            </w:pPr>
            <w:r>
              <w:rPr>
                <w:rFonts w:hint="eastAsia" w:cs="宋体"/>
              </w:rPr>
              <w:t>套</w:t>
            </w:r>
          </w:p>
        </w:tc>
        <w:tc>
          <w:tcPr>
            <w:tcW w:w="386" w:type="pct"/>
            <w:shd w:val="clear" w:color="auto" w:fill="auto"/>
            <w:vAlign w:val="center"/>
          </w:tcPr>
          <w:p w14:paraId="7FD3E9CC">
            <w:pPr>
              <w:ind w:firstLine="0" w:firstLineChars="0"/>
              <w:jc w:val="center"/>
              <w:rPr>
                <w:rFonts w:cs="宋体"/>
              </w:rPr>
            </w:pPr>
          </w:p>
        </w:tc>
      </w:tr>
      <w:tr w14:paraId="6B0E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21DB1F1D">
            <w:pPr>
              <w:ind w:firstLine="0" w:firstLineChars="0"/>
              <w:jc w:val="center"/>
              <w:rPr>
                <w:rFonts w:cs="宋体"/>
              </w:rPr>
            </w:pPr>
            <w:r>
              <w:rPr>
                <w:rFonts w:hint="eastAsia" w:cs="宋体"/>
              </w:rPr>
              <w:t>2.10</w:t>
            </w:r>
          </w:p>
        </w:tc>
        <w:tc>
          <w:tcPr>
            <w:tcW w:w="744" w:type="pct"/>
            <w:shd w:val="clear" w:color="auto" w:fill="auto"/>
            <w:vAlign w:val="center"/>
          </w:tcPr>
          <w:p w14:paraId="012DA706">
            <w:pPr>
              <w:ind w:firstLine="0" w:firstLineChars="0"/>
              <w:jc w:val="center"/>
              <w:rPr>
                <w:rFonts w:cs="宋体"/>
              </w:rPr>
            </w:pPr>
            <w:r>
              <w:rPr>
                <w:rFonts w:hint="eastAsia" w:cs="宋体"/>
                <w:color w:val="000000"/>
                <w:kern w:val="0"/>
                <w:szCs w:val="21"/>
              </w:rPr>
              <w:t>XC网络终端安全管理系统统一管理平台-数据展示管理</w:t>
            </w:r>
          </w:p>
        </w:tc>
        <w:tc>
          <w:tcPr>
            <w:tcW w:w="2688" w:type="pct"/>
            <w:shd w:val="clear" w:color="auto" w:fill="auto"/>
            <w:vAlign w:val="center"/>
          </w:tcPr>
          <w:p w14:paraId="52F068DA">
            <w:pPr>
              <w:ind w:firstLine="0" w:firstLineChars="0"/>
              <w:jc w:val="center"/>
              <w:rPr>
                <w:rFonts w:cs="宋体"/>
              </w:rPr>
            </w:pPr>
            <w:r>
              <w:rPr>
                <w:rFonts w:hint="eastAsia" w:cs="宋体"/>
              </w:rPr>
              <w:t>XC网络终端安全管理系统统一管理平台-数据展示管理,整体展示管理：对于高院及下属各区县的终端统一管理要求，进行数据统一管理和分析</w:t>
            </w:r>
          </w:p>
          <w:p w14:paraId="2359A6F9">
            <w:pPr>
              <w:ind w:firstLine="0" w:firstLineChars="0"/>
              <w:jc w:val="center"/>
              <w:rPr>
                <w:rFonts w:cs="宋体"/>
              </w:rPr>
            </w:pPr>
            <w:r>
              <w:rPr>
                <w:rFonts w:hint="eastAsia" w:cs="宋体"/>
              </w:rPr>
              <w:t>1）展示各分院违规情况，以地图形式在后台直观展示</w:t>
            </w:r>
          </w:p>
          <w:p w14:paraId="419F6C49">
            <w:pPr>
              <w:ind w:firstLine="0" w:firstLineChars="0"/>
              <w:jc w:val="center"/>
              <w:rPr>
                <w:rFonts w:cs="宋体"/>
              </w:rPr>
            </w:pPr>
            <w:r>
              <w:rPr>
                <w:rFonts w:hint="eastAsia" w:cs="宋体"/>
              </w:rPr>
              <w:t>2）违规地区以标志性亮点，显示违规情况，可以点击查看分院更多违规详</w:t>
            </w:r>
          </w:p>
          <w:p w14:paraId="065D7C8B">
            <w:pPr>
              <w:ind w:firstLine="0" w:firstLineChars="0"/>
              <w:jc w:val="center"/>
              <w:rPr>
                <w:rFonts w:cs="宋体"/>
              </w:rPr>
            </w:pPr>
            <w:r>
              <w:rPr>
                <w:rFonts w:hint="eastAsia" w:cs="宋体"/>
              </w:rPr>
              <w:t>3）对于高院及下属各区县分院之间实时链路、流量状况，以及终端在线率，终端设备合规率排行、安检项通过率、文档操作等报表信息通过投射大屏的方式进行实时、直观展现</w:t>
            </w:r>
          </w:p>
        </w:tc>
        <w:tc>
          <w:tcPr>
            <w:tcW w:w="385" w:type="pct"/>
            <w:shd w:val="clear" w:color="auto" w:fill="auto"/>
            <w:vAlign w:val="center"/>
          </w:tcPr>
          <w:p w14:paraId="7AFA57BA">
            <w:pPr>
              <w:ind w:firstLine="0" w:firstLineChars="0"/>
              <w:jc w:val="center"/>
              <w:rPr>
                <w:rFonts w:cs="宋体"/>
              </w:rPr>
            </w:pPr>
            <w:r>
              <w:rPr>
                <w:rFonts w:hint="eastAsia" w:cs="宋体"/>
              </w:rPr>
              <w:t>1</w:t>
            </w:r>
          </w:p>
        </w:tc>
        <w:tc>
          <w:tcPr>
            <w:tcW w:w="386" w:type="pct"/>
            <w:shd w:val="clear" w:color="auto" w:fill="auto"/>
            <w:vAlign w:val="center"/>
          </w:tcPr>
          <w:p w14:paraId="41E833AE">
            <w:pPr>
              <w:ind w:firstLine="0" w:firstLineChars="0"/>
              <w:jc w:val="center"/>
              <w:rPr>
                <w:rFonts w:cs="宋体"/>
              </w:rPr>
            </w:pPr>
            <w:r>
              <w:rPr>
                <w:rFonts w:hint="eastAsia" w:cs="宋体"/>
              </w:rPr>
              <w:t>套</w:t>
            </w:r>
          </w:p>
        </w:tc>
        <w:tc>
          <w:tcPr>
            <w:tcW w:w="386" w:type="pct"/>
            <w:shd w:val="clear" w:color="auto" w:fill="auto"/>
            <w:vAlign w:val="center"/>
          </w:tcPr>
          <w:p w14:paraId="7277BD07">
            <w:pPr>
              <w:ind w:firstLine="0" w:firstLineChars="0"/>
              <w:jc w:val="center"/>
              <w:rPr>
                <w:rFonts w:cs="宋体"/>
              </w:rPr>
            </w:pPr>
          </w:p>
        </w:tc>
      </w:tr>
      <w:tr w14:paraId="411C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0455145F">
            <w:pPr>
              <w:ind w:firstLine="0" w:firstLineChars="0"/>
              <w:jc w:val="center"/>
              <w:rPr>
                <w:rFonts w:cs="宋体"/>
              </w:rPr>
            </w:pPr>
            <w:r>
              <w:rPr>
                <w:rFonts w:hint="eastAsia" w:cs="宋体"/>
              </w:rPr>
              <w:t>2.11</w:t>
            </w:r>
          </w:p>
        </w:tc>
        <w:tc>
          <w:tcPr>
            <w:tcW w:w="744" w:type="pct"/>
            <w:shd w:val="clear" w:color="auto" w:fill="auto"/>
            <w:vAlign w:val="center"/>
          </w:tcPr>
          <w:p w14:paraId="27EFACC9">
            <w:pPr>
              <w:ind w:firstLine="0" w:firstLineChars="0"/>
              <w:jc w:val="center"/>
              <w:rPr>
                <w:rFonts w:cs="宋体"/>
              </w:rPr>
            </w:pPr>
            <w:r>
              <w:rPr>
                <w:rFonts w:hint="eastAsia" w:cs="宋体"/>
                <w:color w:val="000000"/>
                <w:kern w:val="0"/>
                <w:szCs w:val="21"/>
              </w:rPr>
              <w:t>XC网络终端安全管理系统统一管理平台-系统报警管理</w:t>
            </w:r>
          </w:p>
        </w:tc>
        <w:tc>
          <w:tcPr>
            <w:tcW w:w="2688" w:type="pct"/>
            <w:shd w:val="clear" w:color="auto" w:fill="auto"/>
            <w:vAlign w:val="center"/>
          </w:tcPr>
          <w:p w14:paraId="11BFED50">
            <w:pPr>
              <w:ind w:firstLine="0" w:firstLineChars="0"/>
              <w:jc w:val="center"/>
              <w:rPr>
                <w:rFonts w:cs="宋体"/>
              </w:rPr>
            </w:pPr>
            <w:r>
              <w:rPr>
                <w:rFonts w:hint="eastAsia" w:cs="宋体"/>
              </w:rPr>
              <w:t>XC网络终端安全管理系统统一管理平台-系统报警管理,系统报警：多采用多种类型告警方式，以方便管理员快捷、及时、准确的了解每个终端以及平台自身的运行状况。</w:t>
            </w:r>
          </w:p>
          <w:p w14:paraId="57D6ADE8">
            <w:pPr>
              <w:ind w:firstLine="0" w:firstLineChars="0"/>
              <w:jc w:val="center"/>
              <w:rPr>
                <w:rFonts w:cs="宋体"/>
              </w:rPr>
            </w:pPr>
            <w:r>
              <w:rPr>
                <w:rFonts w:hint="eastAsia" w:cs="宋体"/>
              </w:rPr>
              <w:t>1）支持不同的类别的告警自动分级，便于管理员及时迅速的了解这些系统意外状况；</w:t>
            </w:r>
          </w:p>
          <w:p w14:paraId="2DB3978F">
            <w:pPr>
              <w:ind w:firstLine="0" w:firstLineChars="0"/>
              <w:jc w:val="center"/>
              <w:rPr>
                <w:rFonts w:cs="宋体"/>
              </w:rPr>
            </w:pPr>
            <w:r>
              <w:rPr>
                <w:rFonts w:hint="eastAsia" w:cs="宋体"/>
              </w:rPr>
              <w:t>2）支持syslog输出报警</w:t>
            </w:r>
          </w:p>
          <w:p w14:paraId="58339618">
            <w:pPr>
              <w:ind w:firstLine="0" w:firstLineChars="0"/>
              <w:jc w:val="center"/>
              <w:rPr>
                <w:rFonts w:cs="宋体"/>
              </w:rPr>
            </w:pPr>
            <w:r>
              <w:rPr>
                <w:rFonts w:hint="eastAsia" w:cs="宋体"/>
              </w:rPr>
              <w:t>3）支持EMAIL、手机短信等更为及时告警方式，以帮助管理员能够在第一时间发现问题；</w:t>
            </w:r>
          </w:p>
        </w:tc>
        <w:tc>
          <w:tcPr>
            <w:tcW w:w="385" w:type="pct"/>
            <w:shd w:val="clear" w:color="auto" w:fill="auto"/>
            <w:vAlign w:val="center"/>
          </w:tcPr>
          <w:p w14:paraId="002D196B">
            <w:pPr>
              <w:ind w:firstLine="0" w:firstLineChars="0"/>
              <w:jc w:val="center"/>
              <w:rPr>
                <w:rFonts w:cs="宋体"/>
              </w:rPr>
            </w:pPr>
            <w:r>
              <w:rPr>
                <w:rFonts w:hint="eastAsia" w:cs="宋体"/>
              </w:rPr>
              <w:t>1</w:t>
            </w:r>
          </w:p>
        </w:tc>
        <w:tc>
          <w:tcPr>
            <w:tcW w:w="386" w:type="pct"/>
            <w:shd w:val="clear" w:color="auto" w:fill="auto"/>
            <w:vAlign w:val="center"/>
          </w:tcPr>
          <w:p w14:paraId="00F73D2F">
            <w:pPr>
              <w:ind w:firstLine="0" w:firstLineChars="0"/>
              <w:jc w:val="center"/>
              <w:rPr>
                <w:rFonts w:cs="宋体"/>
              </w:rPr>
            </w:pPr>
            <w:r>
              <w:rPr>
                <w:rFonts w:hint="eastAsia" w:cs="宋体"/>
              </w:rPr>
              <w:t>套</w:t>
            </w:r>
          </w:p>
        </w:tc>
        <w:tc>
          <w:tcPr>
            <w:tcW w:w="386" w:type="pct"/>
            <w:shd w:val="clear" w:color="auto" w:fill="auto"/>
            <w:vAlign w:val="center"/>
          </w:tcPr>
          <w:p w14:paraId="3D00723F">
            <w:pPr>
              <w:ind w:firstLine="0" w:firstLineChars="0"/>
              <w:jc w:val="center"/>
              <w:rPr>
                <w:rFonts w:cs="宋体"/>
              </w:rPr>
            </w:pPr>
          </w:p>
        </w:tc>
      </w:tr>
      <w:tr w14:paraId="1AE4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2435E757">
            <w:pPr>
              <w:ind w:firstLine="0" w:firstLineChars="0"/>
              <w:jc w:val="center"/>
              <w:rPr>
                <w:rFonts w:cs="宋体"/>
              </w:rPr>
            </w:pPr>
            <w:r>
              <w:rPr>
                <w:rFonts w:hint="eastAsia" w:cs="宋体"/>
              </w:rPr>
              <w:t>3</w:t>
            </w:r>
          </w:p>
        </w:tc>
        <w:tc>
          <w:tcPr>
            <w:tcW w:w="744" w:type="pct"/>
            <w:shd w:val="clear" w:color="auto" w:fill="auto"/>
            <w:vAlign w:val="center"/>
          </w:tcPr>
          <w:p w14:paraId="31A52CAA">
            <w:pPr>
              <w:ind w:firstLine="0" w:firstLineChars="0"/>
              <w:jc w:val="center"/>
              <w:rPr>
                <w:rFonts w:cs="宋体"/>
              </w:rPr>
            </w:pPr>
            <w:r>
              <w:rPr>
                <w:rFonts w:hint="eastAsia" w:cs="宋体"/>
                <w:color w:val="000000"/>
                <w:kern w:val="0"/>
                <w:szCs w:val="21"/>
              </w:rPr>
              <w:t>移动安全</w:t>
            </w:r>
          </w:p>
        </w:tc>
        <w:tc>
          <w:tcPr>
            <w:tcW w:w="2688" w:type="pct"/>
            <w:shd w:val="clear" w:color="auto" w:fill="auto"/>
            <w:vAlign w:val="center"/>
          </w:tcPr>
          <w:p w14:paraId="11E3A706">
            <w:pPr>
              <w:ind w:firstLine="0" w:firstLineChars="0"/>
              <w:jc w:val="center"/>
              <w:rPr>
                <w:rFonts w:cs="宋体"/>
              </w:rPr>
            </w:pPr>
          </w:p>
        </w:tc>
        <w:tc>
          <w:tcPr>
            <w:tcW w:w="385" w:type="pct"/>
            <w:shd w:val="clear" w:color="auto" w:fill="auto"/>
            <w:vAlign w:val="center"/>
          </w:tcPr>
          <w:p w14:paraId="20446FAF">
            <w:pPr>
              <w:ind w:firstLine="0" w:firstLineChars="0"/>
              <w:jc w:val="center"/>
              <w:rPr>
                <w:rFonts w:cs="宋体"/>
              </w:rPr>
            </w:pPr>
          </w:p>
        </w:tc>
        <w:tc>
          <w:tcPr>
            <w:tcW w:w="386" w:type="pct"/>
            <w:shd w:val="clear" w:color="auto" w:fill="auto"/>
            <w:vAlign w:val="center"/>
          </w:tcPr>
          <w:p w14:paraId="5C4D6287">
            <w:pPr>
              <w:ind w:firstLine="0" w:firstLineChars="0"/>
              <w:jc w:val="center"/>
              <w:rPr>
                <w:rFonts w:cs="宋体"/>
              </w:rPr>
            </w:pPr>
          </w:p>
        </w:tc>
        <w:tc>
          <w:tcPr>
            <w:tcW w:w="386" w:type="pct"/>
            <w:shd w:val="clear" w:color="auto" w:fill="auto"/>
            <w:vAlign w:val="center"/>
          </w:tcPr>
          <w:p w14:paraId="5E63DE6D">
            <w:pPr>
              <w:ind w:firstLine="0" w:firstLineChars="0"/>
              <w:jc w:val="center"/>
              <w:rPr>
                <w:rFonts w:cs="宋体"/>
              </w:rPr>
            </w:pPr>
          </w:p>
        </w:tc>
      </w:tr>
      <w:tr w14:paraId="2CA9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vAlign w:val="center"/>
          </w:tcPr>
          <w:p w14:paraId="1A39C187">
            <w:pPr>
              <w:ind w:firstLine="0" w:firstLineChars="0"/>
              <w:jc w:val="center"/>
              <w:rPr>
                <w:rFonts w:cs="宋体"/>
              </w:rPr>
            </w:pPr>
            <w:r>
              <w:rPr>
                <w:rFonts w:hint="eastAsia" w:cs="宋体"/>
              </w:rPr>
              <w:t>3.1</w:t>
            </w:r>
          </w:p>
        </w:tc>
        <w:tc>
          <w:tcPr>
            <w:tcW w:w="744" w:type="pct"/>
            <w:shd w:val="clear" w:color="auto" w:fill="auto"/>
            <w:vAlign w:val="center"/>
          </w:tcPr>
          <w:p w14:paraId="7CCFD852">
            <w:pPr>
              <w:ind w:firstLine="0" w:firstLineChars="0"/>
              <w:jc w:val="center"/>
              <w:rPr>
                <w:rFonts w:cs="宋体"/>
              </w:rPr>
            </w:pPr>
            <w:r>
              <w:rPr>
                <w:rFonts w:hint="eastAsia" w:cs="宋体"/>
                <w:color w:val="000000"/>
                <w:kern w:val="0"/>
                <w:szCs w:val="21"/>
              </w:rPr>
              <w:t>移动终端安全管理平台</w:t>
            </w:r>
          </w:p>
        </w:tc>
        <w:tc>
          <w:tcPr>
            <w:tcW w:w="2688" w:type="pct"/>
            <w:shd w:val="clear" w:color="auto" w:fill="auto"/>
            <w:vAlign w:val="center"/>
          </w:tcPr>
          <w:p w14:paraId="6B495BF6">
            <w:pPr>
              <w:ind w:firstLine="0" w:firstLineChars="0"/>
              <w:jc w:val="center"/>
              <w:rPr>
                <w:rFonts w:cs="宋体"/>
              </w:rPr>
            </w:pPr>
            <w:r>
              <w:rPr>
                <w:rFonts w:hint="eastAsia" w:cs="宋体"/>
                <w:color w:val="000000"/>
                <w:kern w:val="0"/>
                <w:szCs w:val="21"/>
              </w:rPr>
              <w:t>移动终端安全管理平台,包含移动设备管理、移动应用管理、移动内容管理和移动数据防泄露（沙箱）</w:t>
            </w:r>
          </w:p>
        </w:tc>
        <w:tc>
          <w:tcPr>
            <w:tcW w:w="385" w:type="pct"/>
            <w:shd w:val="clear" w:color="auto" w:fill="auto"/>
            <w:vAlign w:val="center"/>
          </w:tcPr>
          <w:p w14:paraId="028811DA">
            <w:pPr>
              <w:ind w:firstLine="0" w:firstLineChars="0"/>
              <w:jc w:val="center"/>
              <w:rPr>
                <w:rFonts w:cs="宋体"/>
              </w:rPr>
            </w:pPr>
            <w:r>
              <w:rPr>
                <w:rFonts w:hint="eastAsia" w:cs="宋体"/>
              </w:rPr>
              <w:t>1</w:t>
            </w:r>
          </w:p>
        </w:tc>
        <w:tc>
          <w:tcPr>
            <w:tcW w:w="386" w:type="pct"/>
            <w:shd w:val="clear" w:color="auto" w:fill="auto"/>
            <w:vAlign w:val="center"/>
          </w:tcPr>
          <w:p w14:paraId="14AD0D2A">
            <w:pPr>
              <w:ind w:firstLine="0" w:firstLineChars="0"/>
              <w:jc w:val="center"/>
              <w:rPr>
                <w:rFonts w:cs="宋体"/>
              </w:rPr>
            </w:pPr>
            <w:r>
              <w:rPr>
                <w:rFonts w:hint="eastAsia" w:cs="宋体"/>
              </w:rPr>
              <w:t>套</w:t>
            </w:r>
          </w:p>
        </w:tc>
        <w:tc>
          <w:tcPr>
            <w:tcW w:w="386" w:type="pct"/>
            <w:shd w:val="clear" w:color="auto" w:fill="auto"/>
            <w:vAlign w:val="center"/>
          </w:tcPr>
          <w:p w14:paraId="765E1CBA">
            <w:pPr>
              <w:ind w:firstLine="0" w:firstLineChars="0"/>
              <w:jc w:val="center"/>
              <w:rPr>
                <w:rFonts w:cs="宋体"/>
              </w:rPr>
            </w:pPr>
          </w:p>
        </w:tc>
      </w:tr>
      <w:tr w14:paraId="7B50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657C3B1F">
            <w:pPr>
              <w:ind w:firstLine="0" w:firstLineChars="0"/>
              <w:jc w:val="center"/>
              <w:rPr>
                <w:rFonts w:cs="宋体"/>
              </w:rPr>
            </w:pPr>
            <w:r>
              <w:rPr>
                <w:rFonts w:hint="eastAsia" w:cs="宋体"/>
              </w:rPr>
              <w:t>4</w:t>
            </w:r>
          </w:p>
        </w:tc>
        <w:tc>
          <w:tcPr>
            <w:tcW w:w="744" w:type="pct"/>
            <w:shd w:val="clear" w:color="auto" w:fill="auto"/>
            <w:vAlign w:val="center"/>
          </w:tcPr>
          <w:p w14:paraId="44FC01A8">
            <w:pPr>
              <w:ind w:firstLine="0" w:firstLineChars="0"/>
              <w:jc w:val="center"/>
              <w:rPr>
                <w:rFonts w:cs="宋体"/>
              </w:rPr>
            </w:pPr>
            <w:r>
              <w:rPr>
                <w:rFonts w:hint="eastAsia" w:cs="宋体"/>
                <w:color w:val="000000"/>
                <w:kern w:val="0"/>
                <w:szCs w:val="21"/>
              </w:rPr>
              <w:t>运维终端数据防泄漏</w:t>
            </w:r>
          </w:p>
        </w:tc>
        <w:tc>
          <w:tcPr>
            <w:tcW w:w="2688" w:type="pct"/>
            <w:shd w:val="clear" w:color="auto" w:fill="auto"/>
            <w:vAlign w:val="center"/>
          </w:tcPr>
          <w:p w14:paraId="4D8A7F82">
            <w:pPr>
              <w:ind w:firstLine="0" w:firstLineChars="0"/>
              <w:jc w:val="center"/>
              <w:rPr>
                <w:rFonts w:cs="宋体"/>
              </w:rPr>
            </w:pPr>
          </w:p>
        </w:tc>
        <w:tc>
          <w:tcPr>
            <w:tcW w:w="385" w:type="pct"/>
            <w:shd w:val="clear" w:color="auto" w:fill="auto"/>
            <w:vAlign w:val="center"/>
          </w:tcPr>
          <w:p w14:paraId="7D593B78">
            <w:pPr>
              <w:ind w:firstLine="0" w:firstLineChars="0"/>
              <w:jc w:val="center"/>
              <w:rPr>
                <w:rFonts w:cs="宋体"/>
              </w:rPr>
            </w:pPr>
          </w:p>
        </w:tc>
        <w:tc>
          <w:tcPr>
            <w:tcW w:w="386" w:type="pct"/>
            <w:shd w:val="clear" w:color="auto" w:fill="auto"/>
            <w:vAlign w:val="center"/>
          </w:tcPr>
          <w:p w14:paraId="69DC16E9">
            <w:pPr>
              <w:ind w:firstLine="0" w:firstLineChars="0"/>
              <w:jc w:val="center"/>
              <w:rPr>
                <w:rFonts w:cs="宋体"/>
              </w:rPr>
            </w:pPr>
          </w:p>
        </w:tc>
        <w:tc>
          <w:tcPr>
            <w:tcW w:w="386" w:type="pct"/>
            <w:shd w:val="clear" w:color="auto" w:fill="auto"/>
            <w:vAlign w:val="center"/>
          </w:tcPr>
          <w:p w14:paraId="14E65652">
            <w:pPr>
              <w:ind w:firstLine="0" w:firstLineChars="0"/>
              <w:jc w:val="center"/>
              <w:rPr>
                <w:rFonts w:cs="宋体"/>
              </w:rPr>
            </w:pPr>
          </w:p>
        </w:tc>
      </w:tr>
      <w:tr w14:paraId="5440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1D01D9FA">
            <w:pPr>
              <w:ind w:firstLine="0" w:firstLineChars="0"/>
              <w:jc w:val="center"/>
              <w:rPr>
                <w:rFonts w:cs="宋体"/>
              </w:rPr>
            </w:pPr>
            <w:r>
              <w:rPr>
                <w:rFonts w:hint="eastAsia" w:cs="宋体"/>
              </w:rPr>
              <w:t>4.1</w:t>
            </w:r>
          </w:p>
        </w:tc>
        <w:tc>
          <w:tcPr>
            <w:tcW w:w="744" w:type="pct"/>
            <w:shd w:val="clear" w:color="auto" w:fill="auto"/>
            <w:vAlign w:val="center"/>
          </w:tcPr>
          <w:p w14:paraId="0B7F0415">
            <w:pPr>
              <w:ind w:firstLine="0" w:firstLineChars="0"/>
              <w:jc w:val="center"/>
              <w:rPr>
                <w:rFonts w:cs="宋体"/>
              </w:rPr>
            </w:pPr>
            <w:r>
              <w:rPr>
                <w:rFonts w:hint="eastAsia" w:cs="宋体"/>
                <w:color w:val="000000"/>
                <w:kern w:val="0"/>
                <w:szCs w:val="21"/>
              </w:rPr>
              <w:t>互联网数据防泄露控制台</w:t>
            </w:r>
          </w:p>
        </w:tc>
        <w:tc>
          <w:tcPr>
            <w:tcW w:w="2688" w:type="pct"/>
            <w:shd w:val="clear" w:color="auto" w:fill="auto"/>
            <w:vAlign w:val="center"/>
          </w:tcPr>
          <w:p w14:paraId="6770E54A">
            <w:pPr>
              <w:ind w:firstLine="0" w:firstLineChars="0"/>
              <w:jc w:val="center"/>
              <w:rPr>
                <w:rFonts w:cs="宋体"/>
              </w:rPr>
            </w:pPr>
            <w:r>
              <w:rPr>
                <w:rFonts w:hint="eastAsia" w:cs="宋体"/>
                <w:color w:val="000000"/>
                <w:kern w:val="0"/>
                <w:szCs w:val="21"/>
              </w:rPr>
              <w:t>互联网数据防泄露控制台,DLP系统的管理中心，进行安全策略设置、事件管理、用户、日志等管理</w:t>
            </w:r>
          </w:p>
        </w:tc>
        <w:tc>
          <w:tcPr>
            <w:tcW w:w="385" w:type="pct"/>
            <w:shd w:val="clear" w:color="auto" w:fill="auto"/>
            <w:vAlign w:val="center"/>
          </w:tcPr>
          <w:p w14:paraId="104D6A3E">
            <w:pPr>
              <w:ind w:firstLine="0" w:firstLineChars="0"/>
              <w:jc w:val="center"/>
              <w:rPr>
                <w:rFonts w:cs="宋体"/>
              </w:rPr>
            </w:pPr>
            <w:r>
              <w:rPr>
                <w:rFonts w:hint="eastAsia" w:cs="宋体"/>
              </w:rPr>
              <w:t>1</w:t>
            </w:r>
          </w:p>
        </w:tc>
        <w:tc>
          <w:tcPr>
            <w:tcW w:w="386" w:type="pct"/>
            <w:shd w:val="clear" w:color="auto" w:fill="auto"/>
            <w:vAlign w:val="center"/>
          </w:tcPr>
          <w:p w14:paraId="6793E4CC">
            <w:pPr>
              <w:ind w:firstLine="0" w:firstLineChars="0"/>
              <w:jc w:val="center"/>
              <w:rPr>
                <w:rFonts w:cs="宋体"/>
              </w:rPr>
            </w:pPr>
            <w:r>
              <w:rPr>
                <w:rFonts w:hint="eastAsia" w:cs="宋体"/>
              </w:rPr>
              <w:t>套</w:t>
            </w:r>
          </w:p>
        </w:tc>
        <w:tc>
          <w:tcPr>
            <w:tcW w:w="386" w:type="pct"/>
            <w:shd w:val="clear" w:color="auto" w:fill="auto"/>
            <w:vAlign w:val="center"/>
          </w:tcPr>
          <w:p w14:paraId="04CBFE8B">
            <w:pPr>
              <w:ind w:firstLine="0" w:firstLineChars="0"/>
              <w:jc w:val="center"/>
              <w:rPr>
                <w:rFonts w:cs="宋体"/>
              </w:rPr>
            </w:pPr>
          </w:p>
        </w:tc>
      </w:tr>
      <w:tr w14:paraId="747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7282DC66">
            <w:pPr>
              <w:ind w:firstLine="0" w:firstLineChars="0"/>
              <w:jc w:val="center"/>
              <w:rPr>
                <w:rFonts w:cs="宋体"/>
              </w:rPr>
            </w:pPr>
            <w:r>
              <w:rPr>
                <w:rFonts w:hint="eastAsia" w:cs="宋体"/>
              </w:rPr>
              <w:t>4.2</w:t>
            </w:r>
          </w:p>
        </w:tc>
        <w:tc>
          <w:tcPr>
            <w:tcW w:w="744" w:type="pct"/>
            <w:shd w:val="clear" w:color="auto" w:fill="auto"/>
            <w:vAlign w:val="center"/>
          </w:tcPr>
          <w:p w14:paraId="31A420EF">
            <w:pPr>
              <w:ind w:firstLine="0" w:firstLineChars="0"/>
              <w:jc w:val="center"/>
              <w:rPr>
                <w:rFonts w:cs="宋体"/>
              </w:rPr>
            </w:pPr>
            <w:r>
              <w:rPr>
                <w:rFonts w:hint="eastAsia" w:cs="宋体"/>
                <w:color w:val="000000"/>
                <w:kern w:val="0"/>
                <w:szCs w:val="21"/>
              </w:rPr>
              <w:t>互联网数据防泄露客户端</w:t>
            </w:r>
          </w:p>
        </w:tc>
        <w:tc>
          <w:tcPr>
            <w:tcW w:w="2688" w:type="pct"/>
            <w:shd w:val="clear" w:color="auto" w:fill="auto"/>
            <w:vAlign w:val="center"/>
          </w:tcPr>
          <w:p w14:paraId="19F849CC">
            <w:pPr>
              <w:ind w:firstLine="0" w:firstLineChars="0"/>
              <w:jc w:val="center"/>
              <w:rPr>
                <w:rFonts w:cs="宋体"/>
              </w:rPr>
            </w:pPr>
            <w:r>
              <w:rPr>
                <w:rFonts w:hint="eastAsia" w:cs="宋体"/>
                <w:color w:val="000000"/>
                <w:kern w:val="0"/>
                <w:szCs w:val="21"/>
              </w:rPr>
              <w:t>互联网数据防泄露客户端,发现、识别、监控终端中的敏感数据，对终端数据资产分布、终端敏感数据的违规存储进行展现；对终端敏感数据的违规使用、扩散等敏感行为进行策略响应控制。</w:t>
            </w:r>
          </w:p>
        </w:tc>
        <w:tc>
          <w:tcPr>
            <w:tcW w:w="385" w:type="pct"/>
            <w:shd w:val="clear" w:color="auto" w:fill="auto"/>
            <w:vAlign w:val="center"/>
          </w:tcPr>
          <w:p w14:paraId="5FA4D893">
            <w:pPr>
              <w:ind w:firstLine="0" w:firstLineChars="0"/>
              <w:jc w:val="center"/>
              <w:rPr>
                <w:rFonts w:cs="宋体"/>
              </w:rPr>
            </w:pPr>
            <w:r>
              <w:rPr>
                <w:rFonts w:hint="eastAsia" w:cs="宋体"/>
              </w:rPr>
              <w:t>25</w:t>
            </w:r>
          </w:p>
        </w:tc>
        <w:tc>
          <w:tcPr>
            <w:tcW w:w="386" w:type="pct"/>
            <w:shd w:val="clear" w:color="auto" w:fill="auto"/>
            <w:vAlign w:val="center"/>
          </w:tcPr>
          <w:p w14:paraId="04CEEF9D">
            <w:pPr>
              <w:ind w:firstLine="0" w:firstLineChars="0"/>
              <w:jc w:val="center"/>
              <w:rPr>
                <w:rFonts w:cs="宋体"/>
              </w:rPr>
            </w:pPr>
            <w:r>
              <w:rPr>
                <w:rFonts w:hint="eastAsia" w:cs="宋体"/>
              </w:rPr>
              <w:t>套</w:t>
            </w:r>
          </w:p>
        </w:tc>
        <w:tc>
          <w:tcPr>
            <w:tcW w:w="386" w:type="pct"/>
            <w:shd w:val="clear" w:color="auto" w:fill="auto"/>
            <w:vAlign w:val="center"/>
          </w:tcPr>
          <w:p w14:paraId="3859797C">
            <w:pPr>
              <w:ind w:firstLine="0" w:firstLineChars="0"/>
              <w:jc w:val="center"/>
              <w:rPr>
                <w:rFonts w:cs="宋体"/>
              </w:rPr>
            </w:pPr>
          </w:p>
        </w:tc>
      </w:tr>
      <w:tr w14:paraId="3A8F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8" w:type="pct"/>
            <w:shd w:val="clear" w:color="auto" w:fill="auto"/>
            <w:vAlign w:val="center"/>
          </w:tcPr>
          <w:p w14:paraId="25B295B5">
            <w:pPr>
              <w:ind w:firstLine="0" w:firstLineChars="0"/>
              <w:jc w:val="center"/>
              <w:rPr>
                <w:rFonts w:cs="宋体"/>
              </w:rPr>
            </w:pPr>
            <w:r>
              <w:rPr>
                <w:rFonts w:hint="eastAsia" w:cs="宋体"/>
              </w:rPr>
              <w:t>4.3</w:t>
            </w:r>
          </w:p>
        </w:tc>
        <w:tc>
          <w:tcPr>
            <w:tcW w:w="744" w:type="pct"/>
            <w:shd w:val="clear" w:color="auto" w:fill="auto"/>
            <w:vAlign w:val="center"/>
          </w:tcPr>
          <w:p w14:paraId="48A6A521">
            <w:pPr>
              <w:ind w:firstLine="0" w:firstLineChars="0"/>
              <w:jc w:val="center"/>
              <w:rPr>
                <w:rFonts w:cs="宋体"/>
              </w:rPr>
            </w:pPr>
            <w:r>
              <w:rPr>
                <w:rFonts w:hint="eastAsia" w:cs="宋体"/>
                <w:color w:val="000000"/>
                <w:kern w:val="0"/>
                <w:szCs w:val="21"/>
              </w:rPr>
              <w:t>法院专网数据防泄露控制台</w:t>
            </w:r>
          </w:p>
        </w:tc>
        <w:tc>
          <w:tcPr>
            <w:tcW w:w="2688" w:type="pct"/>
            <w:shd w:val="clear" w:color="auto" w:fill="auto"/>
            <w:vAlign w:val="center"/>
          </w:tcPr>
          <w:p w14:paraId="1EC9CBD4">
            <w:pPr>
              <w:ind w:firstLine="0" w:firstLineChars="0"/>
              <w:jc w:val="center"/>
              <w:rPr>
                <w:rFonts w:cs="宋体"/>
              </w:rPr>
            </w:pPr>
            <w:r>
              <w:rPr>
                <w:rFonts w:hint="eastAsia" w:cs="宋体"/>
                <w:color w:val="000000"/>
                <w:kern w:val="0"/>
                <w:szCs w:val="21"/>
              </w:rPr>
              <w:t>法院专网数据防泄露控制台,DLP系统的管理中心，进行安全策略设置、事件管理、用户、日志等管理</w:t>
            </w:r>
          </w:p>
        </w:tc>
        <w:tc>
          <w:tcPr>
            <w:tcW w:w="385" w:type="pct"/>
            <w:shd w:val="clear" w:color="auto" w:fill="auto"/>
            <w:vAlign w:val="center"/>
          </w:tcPr>
          <w:p w14:paraId="686BC290">
            <w:pPr>
              <w:ind w:firstLine="0" w:firstLineChars="0"/>
              <w:jc w:val="center"/>
              <w:rPr>
                <w:rFonts w:cs="宋体"/>
              </w:rPr>
            </w:pPr>
            <w:r>
              <w:rPr>
                <w:rFonts w:hint="eastAsia" w:cs="宋体"/>
              </w:rPr>
              <w:t>1</w:t>
            </w:r>
          </w:p>
        </w:tc>
        <w:tc>
          <w:tcPr>
            <w:tcW w:w="386" w:type="pct"/>
            <w:shd w:val="clear" w:color="auto" w:fill="auto"/>
            <w:vAlign w:val="center"/>
          </w:tcPr>
          <w:p w14:paraId="51E60833">
            <w:pPr>
              <w:ind w:firstLine="0" w:firstLineChars="0"/>
              <w:jc w:val="center"/>
              <w:rPr>
                <w:rFonts w:cs="宋体"/>
              </w:rPr>
            </w:pPr>
            <w:r>
              <w:rPr>
                <w:rFonts w:hint="eastAsia" w:cs="宋体"/>
              </w:rPr>
              <w:t>套</w:t>
            </w:r>
          </w:p>
        </w:tc>
        <w:tc>
          <w:tcPr>
            <w:tcW w:w="386" w:type="pct"/>
            <w:shd w:val="clear" w:color="auto" w:fill="auto"/>
            <w:vAlign w:val="center"/>
          </w:tcPr>
          <w:p w14:paraId="426D1BD5">
            <w:pPr>
              <w:ind w:firstLine="0" w:firstLineChars="0"/>
              <w:jc w:val="center"/>
              <w:rPr>
                <w:rFonts w:cs="宋体"/>
              </w:rPr>
            </w:pPr>
          </w:p>
        </w:tc>
      </w:tr>
      <w:tr w14:paraId="7C9F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8" w:type="pct"/>
            <w:shd w:val="clear" w:color="auto" w:fill="auto"/>
            <w:vAlign w:val="center"/>
          </w:tcPr>
          <w:p w14:paraId="21AF7D90">
            <w:pPr>
              <w:ind w:firstLine="0" w:firstLineChars="0"/>
              <w:jc w:val="center"/>
              <w:rPr>
                <w:rFonts w:cs="宋体"/>
              </w:rPr>
            </w:pPr>
            <w:r>
              <w:rPr>
                <w:rFonts w:hint="eastAsia" w:cs="宋体"/>
              </w:rPr>
              <w:t>4.4</w:t>
            </w:r>
          </w:p>
        </w:tc>
        <w:tc>
          <w:tcPr>
            <w:tcW w:w="744" w:type="pct"/>
            <w:shd w:val="clear" w:color="auto" w:fill="auto"/>
            <w:vAlign w:val="center"/>
          </w:tcPr>
          <w:p w14:paraId="150B6725">
            <w:pPr>
              <w:ind w:firstLine="0" w:firstLineChars="0"/>
              <w:jc w:val="center"/>
              <w:rPr>
                <w:rFonts w:cs="宋体"/>
              </w:rPr>
            </w:pPr>
            <w:r>
              <w:rPr>
                <w:rFonts w:hint="eastAsia" w:cs="宋体"/>
                <w:color w:val="000000"/>
                <w:kern w:val="0"/>
                <w:szCs w:val="21"/>
              </w:rPr>
              <w:t>法院专网数据防泄露客户端</w:t>
            </w:r>
          </w:p>
        </w:tc>
        <w:tc>
          <w:tcPr>
            <w:tcW w:w="2688" w:type="pct"/>
            <w:shd w:val="clear" w:color="auto" w:fill="auto"/>
            <w:vAlign w:val="center"/>
          </w:tcPr>
          <w:p w14:paraId="734899C4">
            <w:pPr>
              <w:ind w:firstLine="0" w:firstLineChars="0"/>
              <w:jc w:val="center"/>
              <w:rPr>
                <w:rFonts w:cs="宋体"/>
              </w:rPr>
            </w:pPr>
            <w:r>
              <w:rPr>
                <w:rFonts w:hint="eastAsia" w:cs="宋体"/>
                <w:color w:val="000000"/>
                <w:kern w:val="0"/>
                <w:szCs w:val="21"/>
              </w:rPr>
              <w:t>法院专网数据防泄露客户端,发现、识别、监控终端中的敏感数据，对终端数据资产分布、终端敏感数据的违规存储进行展现；对终端敏感数据的违规使用、扩散等敏感行为进行策略响应控制。</w:t>
            </w:r>
          </w:p>
        </w:tc>
        <w:tc>
          <w:tcPr>
            <w:tcW w:w="385" w:type="pct"/>
            <w:shd w:val="clear" w:color="auto" w:fill="auto"/>
            <w:vAlign w:val="center"/>
          </w:tcPr>
          <w:p w14:paraId="02528033">
            <w:pPr>
              <w:ind w:firstLine="0" w:firstLineChars="0"/>
              <w:jc w:val="center"/>
              <w:rPr>
                <w:rFonts w:cs="宋体"/>
              </w:rPr>
            </w:pPr>
            <w:r>
              <w:rPr>
                <w:rFonts w:hint="eastAsia" w:cs="宋体"/>
                <w:color w:val="000000"/>
                <w:kern w:val="0"/>
                <w:szCs w:val="21"/>
              </w:rPr>
              <w:t>200</w:t>
            </w:r>
          </w:p>
        </w:tc>
        <w:tc>
          <w:tcPr>
            <w:tcW w:w="386" w:type="pct"/>
            <w:shd w:val="clear" w:color="auto" w:fill="auto"/>
            <w:vAlign w:val="center"/>
          </w:tcPr>
          <w:p w14:paraId="0E250B1F">
            <w:pPr>
              <w:ind w:firstLine="0" w:firstLineChars="0"/>
              <w:jc w:val="center"/>
              <w:rPr>
                <w:rFonts w:cs="宋体"/>
              </w:rPr>
            </w:pPr>
            <w:r>
              <w:rPr>
                <w:rFonts w:hint="eastAsia" w:cs="宋体"/>
              </w:rPr>
              <w:t>套</w:t>
            </w:r>
          </w:p>
        </w:tc>
        <w:tc>
          <w:tcPr>
            <w:tcW w:w="386" w:type="pct"/>
            <w:shd w:val="clear" w:color="auto" w:fill="auto"/>
            <w:vAlign w:val="center"/>
          </w:tcPr>
          <w:p w14:paraId="311E226E">
            <w:pPr>
              <w:ind w:firstLine="0" w:firstLineChars="0"/>
              <w:jc w:val="center"/>
              <w:rPr>
                <w:rFonts w:cs="宋体"/>
              </w:rPr>
            </w:pPr>
          </w:p>
        </w:tc>
      </w:tr>
    </w:tbl>
    <w:p w14:paraId="38083C9D">
      <w:pPr>
        <w:pStyle w:val="5"/>
        <w:ind w:left="1134" w:firstLine="0" w:firstLineChars="0"/>
      </w:pPr>
      <w:r>
        <w:rPr>
          <w:rFonts w:hint="eastAsia"/>
        </w:rPr>
        <w:t>2.安全产品购置清单</w:t>
      </w:r>
    </w:p>
    <w:tbl>
      <w:tblPr>
        <w:tblStyle w:val="16"/>
        <w:tblW w:w="4970" w:type="pct"/>
        <w:tblInd w:w="0" w:type="dxa"/>
        <w:tblLayout w:type="autofit"/>
        <w:tblCellMar>
          <w:top w:w="0" w:type="dxa"/>
          <w:left w:w="0" w:type="dxa"/>
          <w:bottom w:w="0" w:type="dxa"/>
          <w:right w:w="0" w:type="dxa"/>
        </w:tblCellMar>
      </w:tblPr>
      <w:tblGrid>
        <w:gridCol w:w="532"/>
        <w:gridCol w:w="1666"/>
        <w:gridCol w:w="1185"/>
        <w:gridCol w:w="3849"/>
        <w:gridCol w:w="535"/>
        <w:gridCol w:w="515"/>
      </w:tblGrid>
      <w:tr w14:paraId="6BDD0B9E">
        <w:tblPrEx>
          <w:tblCellMar>
            <w:top w:w="0" w:type="dxa"/>
            <w:left w:w="0" w:type="dxa"/>
            <w:bottom w:w="0" w:type="dxa"/>
            <w:right w:w="0" w:type="dxa"/>
          </w:tblCellMar>
        </w:tblPrEx>
        <w:trPr>
          <w:trHeight w:val="270" w:hRule="atLeast"/>
        </w:trPr>
        <w:tc>
          <w:tcPr>
            <w:tcW w:w="321" w:type="pct"/>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8022F13">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序号</w:t>
            </w:r>
          </w:p>
        </w:tc>
        <w:tc>
          <w:tcPr>
            <w:tcW w:w="100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D5DB">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名称</w:t>
            </w:r>
          </w:p>
        </w:tc>
        <w:tc>
          <w:tcPr>
            <w:tcW w:w="71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D4B3">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类别</w:t>
            </w:r>
          </w:p>
        </w:tc>
        <w:tc>
          <w:tcPr>
            <w:tcW w:w="232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F56F">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功能说明/配置要求</w:t>
            </w:r>
          </w:p>
        </w:tc>
        <w:tc>
          <w:tcPr>
            <w:tcW w:w="323" w:type="pct"/>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07BCD15">
            <w:pPr>
              <w:widowControl/>
              <w:spacing w:line="240" w:lineRule="auto"/>
              <w:ind w:firstLine="0" w:firstLineChars="0"/>
              <w:jc w:val="center"/>
              <w:textAlignment w:val="center"/>
              <w:rPr>
                <w:rFonts w:cs="宋体"/>
                <w:b/>
                <w:bCs/>
                <w:color w:val="000000"/>
                <w:sz w:val="22"/>
                <w:szCs w:val="22"/>
              </w:rPr>
            </w:pPr>
            <w:r>
              <w:rPr>
                <w:rFonts w:hint="eastAsia" w:cs="宋体"/>
                <w:b/>
                <w:bCs/>
                <w:color w:val="000000"/>
                <w:kern w:val="0"/>
                <w:sz w:val="22"/>
                <w:szCs w:val="22"/>
              </w:rPr>
              <w:t>数量</w:t>
            </w:r>
          </w:p>
        </w:tc>
        <w:tc>
          <w:tcPr>
            <w:tcW w:w="310" w:type="pct"/>
            <w:tcBorders>
              <w:top w:val="single" w:color="auto" w:sz="4" w:space="0"/>
              <w:left w:val="single" w:color="000000" w:sz="4" w:space="0"/>
              <w:bottom w:val="single" w:color="000000" w:sz="4" w:space="0"/>
              <w:right w:val="single" w:color="auto" w:sz="4" w:space="0"/>
            </w:tcBorders>
            <w:vAlign w:val="center"/>
          </w:tcPr>
          <w:p w14:paraId="7C5570EA">
            <w:pPr>
              <w:widowControl/>
              <w:spacing w:line="240" w:lineRule="auto"/>
              <w:ind w:firstLine="0" w:firstLineChars="0"/>
              <w:jc w:val="center"/>
              <w:textAlignment w:val="center"/>
              <w:rPr>
                <w:rFonts w:cs="宋体"/>
                <w:b/>
                <w:bCs/>
                <w:color w:val="000000"/>
                <w:kern w:val="0"/>
                <w:sz w:val="22"/>
                <w:szCs w:val="22"/>
              </w:rPr>
            </w:pPr>
            <w:r>
              <w:rPr>
                <w:rFonts w:hint="eastAsia" w:cs="宋体"/>
                <w:b/>
                <w:bCs/>
                <w:color w:val="000000"/>
                <w:kern w:val="0"/>
                <w:sz w:val="22"/>
                <w:szCs w:val="22"/>
              </w:rPr>
              <w:t>单位</w:t>
            </w:r>
          </w:p>
        </w:tc>
      </w:tr>
      <w:tr w14:paraId="64251ED9">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478A5D0">
            <w:pPr>
              <w:widowControl/>
              <w:spacing w:line="240" w:lineRule="auto"/>
              <w:ind w:firstLine="0" w:firstLineChars="0"/>
              <w:jc w:val="center"/>
              <w:textAlignment w:val="center"/>
              <w:rPr>
                <w:rFonts w:cs="宋体"/>
                <w:color w:val="000000"/>
                <w:sz w:val="22"/>
                <w:szCs w:val="22"/>
              </w:rPr>
            </w:pPr>
            <w:r>
              <w:rPr>
                <w:rFonts w:hint="eastAsia" w:cs="宋体"/>
                <w:color w:val="000000"/>
                <w:kern w:val="0"/>
                <w:sz w:val="22"/>
                <w:szCs w:val="22"/>
              </w:rPr>
              <w:t>1</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01C1">
            <w:pPr>
              <w:ind w:firstLine="0" w:firstLineChars="0"/>
              <w:jc w:val="center"/>
            </w:pPr>
            <w:r>
              <w:rPr>
                <w:rFonts w:hint="eastAsia" w:cs="宋体"/>
                <w:color w:val="000000"/>
                <w:kern w:val="0"/>
                <w:szCs w:val="21"/>
              </w:rPr>
              <w:t>安全监管中心</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CAEB">
            <w:pPr>
              <w:ind w:firstLine="0" w:firstLineChars="0"/>
              <w:jc w:val="center"/>
            </w:pP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A2DE">
            <w:pPr>
              <w:spacing w:line="240" w:lineRule="auto"/>
              <w:ind w:firstLine="0" w:firstLineChars="0"/>
              <w:jc w:val="center"/>
              <w:rPr>
                <w:rFonts w:cs="宋体"/>
                <w:color w:val="000000"/>
                <w:sz w:val="22"/>
                <w:szCs w:val="22"/>
              </w:rPr>
            </w:pP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4A30957">
            <w:pPr>
              <w:widowControl/>
              <w:spacing w:line="240" w:lineRule="auto"/>
              <w:ind w:firstLine="0" w:firstLineChars="0"/>
              <w:jc w:val="center"/>
              <w:textAlignment w:val="center"/>
              <w:rPr>
                <w:rFonts w:cs="宋体"/>
                <w:color w:val="000000"/>
                <w:sz w:val="22"/>
                <w:szCs w:val="22"/>
              </w:rPr>
            </w:pPr>
          </w:p>
        </w:tc>
        <w:tc>
          <w:tcPr>
            <w:tcW w:w="310" w:type="pct"/>
            <w:tcBorders>
              <w:top w:val="single" w:color="000000" w:sz="4" w:space="0"/>
              <w:left w:val="single" w:color="000000" w:sz="4" w:space="0"/>
              <w:bottom w:val="single" w:color="000000" w:sz="4" w:space="0"/>
              <w:right w:val="single" w:color="auto" w:sz="4" w:space="0"/>
            </w:tcBorders>
            <w:vAlign w:val="center"/>
          </w:tcPr>
          <w:p w14:paraId="4D3D5239">
            <w:pPr>
              <w:widowControl/>
              <w:spacing w:line="240" w:lineRule="auto"/>
              <w:ind w:firstLine="0" w:firstLineChars="0"/>
              <w:jc w:val="center"/>
              <w:textAlignment w:val="center"/>
              <w:rPr>
                <w:rFonts w:cs="宋体"/>
                <w:color w:val="000000"/>
                <w:kern w:val="0"/>
                <w:sz w:val="22"/>
                <w:szCs w:val="22"/>
              </w:rPr>
            </w:pPr>
          </w:p>
        </w:tc>
      </w:tr>
      <w:tr w14:paraId="15532582">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434D47C">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1.1</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6C830">
            <w:pPr>
              <w:ind w:firstLine="0" w:firstLineChars="0"/>
              <w:jc w:val="center"/>
              <w:rPr>
                <w:rFonts w:cs="宋体"/>
                <w:color w:val="000000"/>
                <w:kern w:val="0"/>
                <w:szCs w:val="21"/>
              </w:rPr>
            </w:pPr>
            <w:r>
              <w:rPr>
                <w:rFonts w:hint="eastAsia" w:cs="宋体"/>
                <w:color w:val="000000"/>
                <w:kern w:val="0"/>
                <w:szCs w:val="21"/>
              </w:rPr>
              <w:t>核心节点网络流量采集探针</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7950">
            <w:pPr>
              <w:ind w:firstLine="0" w:firstLineChars="0"/>
              <w:jc w:val="center"/>
            </w:pPr>
            <w:r>
              <w:rPr>
                <w:rFonts w:hint="eastAsia"/>
              </w:rPr>
              <w:t>安全管理平台产品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B48D">
            <w:pPr>
              <w:widowControl/>
              <w:ind w:firstLine="0" w:firstLineChars="0"/>
              <w:jc w:val="center"/>
              <w:rPr>
                <w:rFonts w:cs="宋体"/>
                <w:color w:val="000000"/>
                <w:kern w:val="0"/>
                <w:szCs w:val="21"/>
              </w:rPr>
            </w:pPr>
            <w:r>
              <w:rPr>
                <w:rFonts w:hint="eastAsia" w:cs="宋体"/>
                <w:color w:val="000000"/>
                <w:kern w:val="0"/>
                <w:szCs w:val="21"/>
              </w:rPr>
              <w:t>同时开启网络流量采集、威胁数据采集和日志上报功能情况下混合流（模拟企业级网络真实场景流量）吞吐量3Gbps，HTTP并发连接数400万，HTTP新建连接速率15万/秒,6个10/100/1000M自适应千兆电口，两个万兆光口（含短波长光纤模块）</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1BED7C79">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5</w:t>
            </w:r>
          </w:p>
        </w:tc>
        <w:tc>
          <w:tcPr>
            <w:tcW w:w="310" w:type="pct"/>
            <w:tcBorders>
              <w:top w:val="single" w:color="000000" w:sz="4" w:space="0"/>
              <w:left w:val="single" w:color="000000" w:sz="4" w:space="0"/>
              <w:bottom w:val="single" w:color="000000" w:sz="4" w:space="0"/>
              <w:right w:val="single" w:color="auto" w:sz="4" w:space="0"/>
            </w:tcBorders>
            <w:vAlign w:val="center"/>
          </w:tcPr>
          <w:p w14:paraId="1471956D">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721D953C">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F0B370">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1.2</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8800">
            <w:pPr>
              <w:ind w:firstLine="0" w:firstLineChars="0"/>
              <w:jc w:val="center"/>
              <w:rPr>
                <w:rFonts w:cs="宋体"/>
                <w:color w:val="000000"/>
                <w:kern w:val="0"/>
                <w:szCs w:val="21"/>
              </w:rPr>
            </w:pPr>
            <w:r>
              <w:rPr>
                <w:rFonts w:hint="eastAsia" w:cs="宋体"/>
                <w:color w:val="000000"/>
                <w:kern w:val="0"/>
                <w:szCs w:val="21"/>
              </w:rPr>
              <w:t>信访办网络流量采集探针</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C3FF9">
            <w:pPr>
              <w:ind w:firstLine="0" w:firstLineChars="0"/>
              <w:jc w:val="center"/>
            </w:pPr>
            <w:r>
              <w:rPr>
                <w:rFonts w:hint="eastAsia"/>
              </w:rPr>
              <w:t>安全管理平台产品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46DD3">
            <w:pPr>
              <w:widowControl/>
              <w:ind w:firstLine="0" w:firstLineChars="0"/>
              <w:jc w:val="center"/>
              <w:rPr>
                <w:rFonts w:cs="宋体"/>
                <w:color w:val="000000"/>
                <w:kern w:val="0"/>
                <w:szCs w:val="21"/>
              </w:rPr>
            </w:pPr>
            <w:r>
              <w:rPr>
                <w:rFonts w:hint="eastAsia" w:cs="宋体"/>
                <w:color w:val="000000"/>
                <w:kern w:val="0"/>
                <w:szCs w:val="21"/>
              </w:rPr>
              <w:t>同时开启网络流量采集、威胁数据采集和日志上报功能情况下混合流（模拟企业级网络真实场景流量）吞吐量1Gbps，HTTP并发连接数300万，HTTP新建连接速率10万/秒，6个10/100/1000M自适应千兆电口</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2F75CD8">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1</w:t>
            </w:r>
          </w:p>
        </w:tc>
        <w:tc>
          <w:tcPr>
            <w:tcW w:w="310" w:type="pct"/>
            <w:tcBorders>
              <w:top w:val="single" w:color="000000" w:sz="4" w:space="0"/>
              <w:left w:val="single" w:color="000000" w:sz="4" w:space="0"/>
              <w:bottom w:val="single" w:color="000000" w:sz="4" w:space="0"/>
              <w:right w:val="single" w:color="auto" w:sz="4" w:space="0"/>
            </w:tcBorders>
            <w:vAlign w:val="center"/>
          </w:tcPr>
          <w:p w14:paraId="296863E4">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04D13F8B">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49DC06AE">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1.3</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60618">
            <w:pPr>
              <w:ind w:firstLine="0" w:firstLineChars="0"/>
              <w:jc w:val="center"/>
              <w:rPr>
                <w:rFonts w:cs="宋体"/>
                <w:color w:val="000000"/>
                <w:kern w:val="0"/>
                <w:szCs w:val="21"/>
              </w:rPr>
            </w:pPr>
            <w:r>
              <w:rPr>
                <w:rFonts w:hint="eastAsia" w:cs="宋体"/>
                <w:color w:val="000000"/>
                <w:kern w:val="0"/>
                <w:szCs w:val="21"/>
              </w:rPr>
              <w:t>互联网本地日志审计</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85AB">
            <w:pPr>
              <w:ind w:firstLine="0" w:firstLineChars="0"/>
              <w:jc w:val="center"/>
            </w:pPr>
            <w:r>
              <w:rPr>
                <w:rFonts w:hint="eastAsia"/>
              </w:rPr>
              <w:t>安全审计产品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7E0F2">
            <w:pPr>
              <w:widowControl/>
              <w:ind w:firstLine="0" w:firstLineChars="0"/>
              <w:jc w:val="center"/>
              <w:rPr>
                <w:rFonts w:cs="宋体"/>
                <w:color w:val="000000"/>
                <w:kern w:val="0"/>
                <w:szCs w:val="21"/>
              </w:rPr>
            </w:pPr>
            <w:r>
              <w:rPr>
                <w:rFonts w:hint="eastAsia" w:cs="宋体"/>
                <w:color w:val="000000"/>
                <w:kern w:val="0"/>
                <w:szCs w:val="21"/>
              </w:rPr>
              <w:t>互联网本地日志审计,对高院本地互联网的设备日志进行统一收集与分析</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A97D67D">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1</w:t>
            </w:r>
          </w:p>
        </w:tc>
        <w:tc>
          <w:tcPr>
            <w:tcW w:w="310" w:type="pct"/>
            <w:tcBorders>
              <w:top w:val="single" w:color="000000" w:sz="4" w:space="0"/>
              <w:left w:val="single" w:color="000000" w:sz="4" w:space="0"/>
              <w:bottom w:val="single" w:color="000000" w:sz="4" w:space="0"/>
              <w:right w:val="single" w:color="auto" w:sz="4" w:space="0"/>
            </w:tcBorders>
            <w:vAlign w:val="center"/>
          </w:tcPr>
          <w:p w14:paraId="49CD4DA6">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5A7F1E99">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09479D1">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2</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C7189">
            <w:pPr>
              <w:ind w:firstLine="0" w:firstLineChars="0"/>
              <w:jc w:val="center"/>
            </w:pPr>
            <w:r>
              <w:rPr>
                <w:rFonts w:hint="eastAsia" w:cs="宋体"/>
                <w:color w:val="000000"/>
                <w:kern w:val="0"/>
                <w:szCs w:val="21"/>
              </w:rPr>
              <w:t>主机及终端安全</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E99A">
            <w:pPr>
              <w:ind w:firstLine="0" w:firstLineChars="0"/>
              <w:jc w:val="center"/>
            </w:pP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5FBF1">
            <w:pPr>
              <w:spacing w:line="240" w:lineRule="auto"/>
              <w:ind w:firstLine="0" w:firstLineChars="0"/>
              <w:jc w:val="center"/>
              <w:rPr>
                <w:rFonts w:cs="宋体"/>
                <w:color w:val="000000"/>
                <w:kern w:val="0"/>
                <w:sz w:val="22"/>
                <w:szCs w:val="22"/>
              </w:rPr>
            </w:pP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3852946">
            <w:pPr>
              <w:widowControl/>
              <w:spacing w:line="240" w:lineRule="auto"/>
              <w:ind w:firstLine="0" w:firstLineChars="0"/>
              <w:jc w:val="center"/>
              <w:textAlignment w:val="center"/>
              <w:rPr>
                <w:rFonts w:cs="宋体"/>
                <w:color w:val="000000"/>
                <w:kern w:val="0"/>
                <w:sz w:val="22"/>
                <w:szCs w:val="22"/>
              </w:rPr>
            </w:pPr>
          </w:p>
        </w:tc>
        <w:tc>
          <w:tcPr>
            <w:tcW w:w="310" w:type="pct"/>
            <w:tcBorders>
              <w:top w:val="single" w:color="000000" w:sz="4" w:space="0"/>
              <w:left w:val="single" w:color="000000" w:sz="4" w:space="0"/>
              <w:bottom w:val="single" w:color="000000" w:sz="4" w:space="0"/>
              <w:right w:val="single" w:color="auto" w:sz="4" w:space="0"/>
            </w:tcBorders>
            <w:vAlign w:val="center"/>
          </w:tcPr>
          <w:p w14:paraId="047FE34B">
            <w:pPr>
              <w:widowControl/>
              <w:spacing w:line="240" w:lineRule="auto"/>
              <w:ind w:firstLine="0" w:firstLineChars="0"/>
              <w:jc w:val="center"/>
              <w:textAlignment w:val="center"/>
              <w:rPr>
                <w:rFonts w:cs="宋体"/>
                <w:color w:val="000000"/>
                <w:kern w:val="0"/>
                <w:sz w:val="22"/>
                <w:szCs w:val="22"/>
              </w:rPr>
            </w:pPr>
          </w:p>
        </w:tc>
      </w:tr>
      <w:tr w14:paraId="7283DC78">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12D2C866">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2.1</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9459B">
            <w:pPr>
              <w:ind w:firstLine="0" w:firstLineChars="0"/>
              <w:jc w:val="center"/>
            </w:pPr>
            <w:r>
              <w:rPr>
                <w:rFonts w:hint="eastAsia" w:cs="宋体"/>
                <w:color w:val="000000"/>
                <w:kern w:val="0"/>
                <w:szCs w:val="21"/>
              </w:rPr>
              <w:t>XC网络终端安全管理系统</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F2B9A">
            <w:pPr>
              <w:ind w:firstLine="0" w:firstLineChars="0"/>
              <w:jc w:val="center"/>
            </w:pPr>
            <w:r>
              <w:rPr>
                <w:rFonts w:hint="eastAsia"/>
              </w:rPr>
              <w:t>安全管理平台产品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DA40">
            <w:pPr>
              <w:spacing w:line="240" w:lineRule="auto"/>
              <w:ind w:firstLine="0" w:firstLineChars="0"/>
              <w:jc w:val="center"/>
              <w:rPr>
                <w:rFonts w:cs="宋体"/>
                <w:color w:val="000000"/>
                <w:kern w:val="0"/>
                <w:sz w:val="22"/>
                <w:szCs w:val="22"/>
              </w:rPr>
            </w:pPr>
            <w:r>
              <w:rPr>
                <w:rFonts w:hint="eastAsia" w:cs="宋体"/>
                <w:color w:val="000000"/>
                <w:kern w:val="0"/>
                <w:sz w:val="22"/>
                <w:szCs w:val="22"/>
              </w:rPr>
              <w:t>XC网络终端安全管理系统,产品CPU:龙芯3A3000（1.4GHz，4核）；操作系统：中标麒麟 V7.0（服务器版）；内存：8GB；硬盘：240GB；网络接口:1个管理口、4个千兆电口和4个千兆光口；整机规格：1U机箱。</w:t>
            </w:r>
          </w:p>
          <w:p w14:paraId="60B801F8">
            <w:pPr>
              <w:spacing w:line="240" w:lineRule="auto"/>
              <w:ind w:firstLine="0" w:firstLineChars="0"/>
              <w:jc w:val="center"/>
              <w:rPr>
                <w:rFonts w:cs="宋体"/>
                <w:color w:val="000000"/>
                <w:kern w:val="0"/>
                <w:sz w:val="22"/>
                <w:szCs w:val="22"/>
              </w:rPr>
            </w:pPr>
            <w:r>
              <w:rPr>
                <w:rFonts w:hint="eastAsia" w:cs="宋体"/>
                <w:color w:val="000000"/>
                <w:kern w:val="0"/>
                <w:sz w:val="22"/>
                <w:szCs w:val="22"/>
              </w:rPr>
              <w:t>产品包含服务端和客户端程序，支持通过客户端代理对受控主机状态、系统资源、软件情况、运行进程、网络端口、文件打印情况、非授权外联情况和文件操作行为等进行监测，支持对受控主机进行控制，包括进程开启/关闭、移动存储介质的使用和USB接口的使用等。默认包含50个点的终端管控授权</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F45862B">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23</w:t>
            </w:r>
          </w:p>
        </w:tc>
        <w:tc>
          <w:tcPr>
            <w:tcW w:w="310" w:type="pct"/>
            <w:tcBorders>
              <w:top w:val="single" w:color="000000" w:sz="4" w:space="0"/>
              <w:left w:val="single" w:color="000000" w:sz="4" w:space="0"/>
              <w:bottom w:val="single" w:color="000000" w:sz="4" w:space="0"/>
              <w:right w:val="single" w:color="auto" w:sz="4" w:space="0"/>
            </w:tcBorders>
            <w:vAlign w:val="center"/>
          </w:tcPr>
          <w:p w14:paraId="5AEF48A1">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2A92A4E2">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F9B22F7">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3</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D8289">
            <w:pPr>
              <w:ind w:firstLine="0" w:firstLineChars="0"/>
              <w:jc w:val="center"/>
            </w:pPr>
            <w:r>
              <w:rPr>
                <w:rFonts w:hint="eastAsia" w:cs="宋体"/>
                <w:color w:val="000000"/>
                <w:kern w:val="0"/>
                <w:szCs w:val="21"/>
              </w:rPr>
              <w:t>移动安全</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85ED3">
            <w:pPr>
              <w:ind w:firstLine="0" w:firstLineChars="0"/>
              <w:jc w:val="center"/>
            </w:pP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FBB94">
            <w:pPr>
              <w:spacing w:line="240" w:lineRule="auto"/>
              <w:ind w:firstLine="0" w:firstLineChars="0"/>
              <w:jc w:val="center"/>
              <w:rPr>
                <w:rFonts w:cs="宋体"/>
                <w:color w:val="000000"/>
                <w:kern w:val="0"/>
                <w:sz w:val="22"/>
                <w:szCs w:val="22"/>
              </w:rPr>
            </w:pP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E91E132">
            <w:pPr>
              <w:widowControl/>
              <w:spacing w:line="240" w:lineRule="auto"/>
              <w:ind w:firstLine="0" w:firstLineChars="0"/>
              <w:jc w:val="center"/>
              <w:textAlignment w:val="center"/>
              <w:rPr>
                <w:rFonts w:cs="宋体"/>
                <w:color w:val="000000"/>
                <w:kern w:val="0"/>
                <w:sz w:val="22"/>
                <w:szCs w:val="22"/>
              </w:rPr>
            </w:pPr>
          </w:p>
        </w:tc>
        <w:tc>
          <w:tcPr>
            <w:tcW w:w="310" w:type="pct"/>
            <w:tcBorders>
              <w:top w:val="single" w:color="000000" w:sz="4" w:space="0"/>
              <w:left w:val="single" w:color="000000" w:sz="4" w:space="0"/>
              <w:bottom w:val="single" w:color="000000" w:sz="4" w:space="0"/>
              <w:right w:val="single" w:color="auto" w:sz="4" w:space="0"/>
            </w:tcBorders>
            <w:vAlign w:val="center"/>
          </w:tcPr>
          <w:p w14:paraId="32E891F8">
            <w:pPr>
              <w:widowControl/>
              <w:spacing w:line="240" w:lineRule="auto"/>
              <w:ind w:firstLine="0" w:firstLineChars="0"/>
              <w:jc w:val="center"/>
              <w:textAlignment w:val="center"/>
              <w:rPr>
                <w:rFonts w:cs="宋体"/>
                <w:color w:val="000000"/>
                <w:kern w:val="0"/>
                <w:sz w:val="22"/>
                <w:szCs w:val="22"/>
              </w:rPr>
            </w:pPr>
          </w:p>
        </w:tc>
      </w:tr>
      <w:tr w14:paraId="65EBDF56">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6A2A72D">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3.1</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2FFBB">
            <w:pPr>
              <w:ind w:firstLine="0" w:firstLineChars="0"/>
              <w:jc w:val="center"/>
            </w:pPr>
            <w:r>
              <w:rPr>
                <w:rFonts w:hint="eastAsia" w:cs="宋体"/>
                <w:color w:val="000000"/>
                <w:kern w:val="0"/>
                <w:szCs w:val="21"/>
              </w:rPr>
              <w:t>零信任控制中心</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D20FF">
            <w:pPr>
              <w:ind w:firstLine="0" w:firstLineChars="0"/>
              <w:jc w:val="center"/>
            </w:pPr>
            <w:r>
              <w:rPr>
                <w:rFonts w:hint="eastAsia"/>
              </w:rPr>
              <w:t>安全产品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9A90">
            <w:pPr>
              <w:spacing w:line="240" w:lineRule="auto"/>
              <w:ind w:firstLine="0" w:firstLineChars="0"/>
              <w:jc w:val="center"/>
              <w:rPr>
                <w:rFonts w:cs="宋体"/>
                <w:color w:val="000000"/>
                <w:kern w:val="0"/>
                <w:sz w:val="22"/>
                <w:szCs w:val="22"/>
              </w:rPr>
            </w:pPr>
            <w:r>
              <w:rPr>
                <w:rFonts w:hint="eastAsia" w:cs="宋体"/>
                <w:color w:val="000000"/>
                <w:kern w:val="0"/>
                <w:sz w:val="22"/>
                <w:szCs w:val="22"/>
              </w:rPr>
              <w:t>零信任控制中心,性能参数：最大并发用户数（个）10000。</w:t>
            </w:r>
          </w:p>
          <w:p w14:paraId="7DE0BA77">
            <w:pPr>
              <w:spacing w:line="240" w:lineRule="auto"/>
              <w:ind w:firstLine="0" w:firstLineChars="0"/>
              <w:jc w:val="center"/>
              <w:rPr>
                <w:rFonts w:cs="宋体"/>
                <w:color w:val="000000"/>
                <w:kern w:val="0"/>
                <w:sz w:val="22"/>
                <w:szCs w:val="22"/>
              </w:rPr>
            </w:pPr>
            <w:r>
              <w:rPr>
                <w:rFonts w:hint="eastAsia" w:cs="宋体"/>
                <w:color w:val="000000"/>
                <w:kern w:val="0"/>
                <w:sz w:val="22"/>
                <w:szCs w:val="22"/>
              </w:rPr>
              <w:t>硬件参数：内存大小：16G，硬盘容量：480G SSD，电源：冗余电源，接口：6千兆电口+4千兆光口SFP+2万兆光口SFP+。</w:t>
            </w:r>
          </w:p>
          <w:p w14:paraId="52982185">
            <w:pPr>
              <w:spacing w:line="240" w:lineRule="auto"/>
              <w:ind w:firstLine="0" w:firstLineChars="0"/>
              <w:jc w:val="center"/>
              <w:rPr>
                <w:rFonts w:cs="宋体"/>
                <w:color w:val="000000"/>
                <w:kern w:val="0"/>
                <w:sz w:val="22"/>
                <w:szCs w:val="22"/>
              </w:rPr>
            </w:pPr>
            <w:r>
              <w:rPr>
                <w:rFonts w:hint="eastAsia" w:cs="宋体"/>
                <w:color w:val="000000"/>
                <w:kern w:val="0"/>
                <w:sz w:val="22"/>
                <w:szCs w:val="22"/>
              </w:rPr>
              <w:t>功能描述：采用国家密码管理局颁布的SM1、SM2、SM3、SM4密码算法及其协议，支持多种身份认证方式、访问权限控制等主要功能，保证远程系统接入的用户身份安全、终端/数据安全、传输安全、应用权限安全和审计安全</w:t>
            </w:r>
          </w:p>
          <w:p w14:paraId="437BCCE9">
            <w:pPr>
              <w:spacing w:line="240" w:lineRule="auto"/>
              <w:ind w:firstLine="0" w:firstLineChars="0"/>
              <w:jc w:val="center"/>
              <w:rPr>
                <w:rFonts w:cs="宋体"/>
                <w:color w:val="000000"/>
                <w:kern w:val="0"/>
                <w:sz w:val="22"/>
                <w:szCs w:val="22"/>
              </w:rPr>
            </w:pPr>
            <w:r>
              <w:rPr>
                <w:rFonts w:hint="eastAsia" w:cs="宋体"/>
                <w:color w:val="000000"/>
                <w:kern w:val="0"/>
                <w:sz w:val="22"/>
                <w:szCs w:val="22"/>
              </w:rPr>
              <w:t>包含加密传输、接入、认证、日志审计等功能。</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D44F4B1">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1</w:t>
            </w:r>
          </w:p>
        </w:tc>
        <w:tc>
          <w:tcPr>
            <w:tcW w:w="310" w:type="pct"/>
            <w:tcBorders>
              <w:top w:val="single" w:color="000000" w:sz="4" w:space="0"/>
              <w:left w:val="single" w:color="000000" w:sz="4" w:space="0"/>
              <w:bottom w:val="single" w:color="000000" w:sz="4" w:space="0"/>
              <w:right w:val="single" w:color="auto" w:sz="4" w:space="0"/>
            </w:tcBorders>
            <w:vAlign w:val="center"/>
          </w:tcPr>
          <w:p w14:paraId="00F399A9">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41646529">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4215436">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3.2</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760CB">
            <w:pPr>
              <w:ind w:firstLine="0" w:firstLineChars="0"/>
              <w:jc w:val="center"/>
            </w:pPr>
            <w:r>
              <w:rPr>
                <w:rFonts w:hint="eastAsia" w:cs="宋体"/>
                <w:color w:val="000000"/>
                <w:kern w:val="0"/>
                <w:szCs w:val="21"/>
              </w:rPr>
              <w:t>零信任网关</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DBCC">
            <w:pPr>
              <w:ind w:firstLine="0" w:firstLineChars="0"/>
              <w:jc w:val="center"/>
            </w:pPr>
            <w:r>
              <w:rPr>
                <w:rFonts w:hint="eastAsia"/>
              </w:rPr>
              <w:t>安全产品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CC844">
            <w:pPr>
              <w:spacing w:line="240" w:lineRule="auto"/>
              <w:ind w:firstLine="0" w:firstLineChars="0"/>
              <w:jc w:val="center"/>
              <w:rPr>
                <w:rFonts w:cs="宋体"/>
                <w:color w:val="000000"/>
                <w:kern w:val="0"/>
                <w:sz w:val="22"/>
                <w:szCs w:val="22"/>
              </w:rPr>
            </w:pPr>
            <w:r>
              <w:rPr>
                <w:rFonts w:hint="eastAsia" w:cs="宋体"/>
                <w:color w:val="000000"/>
                <w:kern w:val="0"/>
                <w:sz w:val="22"/>
                <w:szCs w:val="22"/>
              </w:rPr>
              <w:t>零信任网关,性能参数：最大理论加密流量：2.1Gbps，最大理论并发用户数（个）：20000。</w:t>
            </w:r>
          </w:p>
          <w:p w14:paraId="0859CF3C">
            <w:pPr>
              <w:spacing w:line="240" w:lineRule="auto"/>
              <w:ind w:firstLine="0" w:firstLineChars="0"/>
              <w:jc w:val="center"/>
              <w:rPr>
                <w:rFonts w:cs="宋体"/>
                <w:color w:val="000000"/>
                <w:kern w:val="0"/>
                <w:sz w:val="22"/>
                <w:szCs w:val="22"/>
              </w:rPr>
            </w:pPr>
            <w:r>
              <w:rPr>
                <w:rFonts w:hint="eastAsia" w:cs="宋体"/>
                <w:color w:val="000000"/>
                <w:kern w:val="0"/>
                <w:sz w:val="22"/>
                <w:szCs w:val="22"/>
              </w:rPr>
              <w:t>硬件参数：内存大小：32G，硬盘容量：480G SSD，电源：冗余电源，接口：4千兆电口+4千兆光口SFP+4万兆光口SFP+。</w:t>
            </w:r>
          </w:p>
          <w:p w14:paraId="5E298C99">
            <w:pPr>
              <w:spacing w:line="240" w:lineRule="auto"/>
              <w:ind w:firstLine="0" w:firstLineChars="0"/>
              <w:jc w:val="center"/>
              <w:rPr>
                <w:rFonts w:cs="宋体"/>
                <w:color w:val="000000"/>
                <w:kern w:val="0"/>
                <w:sz w:val="22"/>
                <w:szCs w:val="22"/>
              </w:rPr>
            </w:pPr>
            <w:r>
              <w:rPr>
                <w:rFonts w:hint="eastAsia" w:cs="宋体"/>
                <w:color w:val="000000"/>
                <w:kern w:val="0"/>
                <w:sz w:val="22"/>
                <w:szCs w:val="22"/>
              </w:rPr>
              <w:t>功能描述：采用国家密码管理局颁布的SM1、SM2、SM3、SM4密码算法及其协议，支持多种身份认证方式、访问权限控制等主要功能，保证远程系统接入的用户身份安全、终端/数据安全、传输安全、应用权限安全和审计安全</w:t>
            </w:r>
          </w:p>
          <w:p w14:paraId="368D83B3">
            <w:pPr>
              <w:spacing w:line="240" w:lineRule="auto"/>
              <w:ind w:firstLine="0" w:firstLineChars="0"/>
              <w:jc w:val="center"/>
              <w:rPr>
                <w:rFonts w:cs="宋体"/>
                <w:color w:val="000000"/>
                <w:kern w:val="0"/>
                <w:sz w:val="22"/>
                <w:szCs w:val="22"/>
              </w:rPr>
            </w:pPr>
            <w:r>
              <w:rPr>
                <w:rFonts w:hint="eastAsia" w:cs="宋体"/>
                <w:color w:val="000000"/>
                <w:kern w:val="0"/>
                <w:sz w:val="22"/>
                <w:szCs w:val="22"/>
              </w:rPr>
              <w:t>负责建立、监视及切断零信任客户端和业务应用之间的隧道连接，并对经过代理网关转发的流量进行加密。支持三层、四层、七层等多种访问协议代理，可以满足多种类型应用的发布。</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AA65DD3">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2</w:t>
            </w:r>
          </w:p>
        </w:tc>
        <w:tc>
          <w:tcPr>
            <w:tcW w:w="310" w:type="pct"/>
            <w:tcBorders>
              <w:top w:val="single" w:color="000000" w:sz="4" w:space="0"/>
              <w:left w:val="single" w:color="000000" w:sz="4" w:space="0"/>
              <w:bottom w:val="single" w:color="000000" w:sz="4" w:space="0"/>
              <w:right w:val="single" w:color="auto" w:sz="4" w:space="0"/>
            </w:tcBorders>
            <w:vAlign w:val="center"/>
          </w:tcPr>
          <w:p w14:paraId="189ABA67">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1F281092">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18A9A96">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3.3</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8CCBA">
            <w:pPr>
              <w:ind w:firstLine="0" w:firstLineChars="0"/>
              <w:jc w:val="center"/>
            </w:pPr>
            <w:r>
              <w:rPr>
                <w:rFonts w:hint="eastAsia" w:cs="宋体"/>
                <w:color w:val="000000"/>
                <w:kern w:val="0"/>
                <w:szCs w:val="21"/>
              </w:rPr>
              <w:t>IPSec VPN网关</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07AD7">
            <w:pPr>
              <w:ind w:firstLine="0" w:firstLineChars="0"/>
              <w:jc w:val="center"/>
            </w:pPr>
            <w:r>
              <w:rPr>
                <w:rFonts w:hint="eastAsia"/>
              </w:rPr>
              <w:t>VPN</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3443C">
            <w:pPr>
              <w:spacing w:line="240" w:lineRule="auto"/>
              <w:ind w:firstLine="0" w:firstLineChars="0"/>
              <w:jc w:val="center"/>
              <w:rPr>
                <w:rFonts w:cs="宋体"/>
                <w:color w:val="000000"/>
                <w:kern w:val="0"/>
                <w:sz w:val="22"/>
                <w:szCs w:val="22"/>
              </w:rPr>
            </w:pPr>
            <w:r>
              <w:rPr>
                <w:rFonts w:hint="eastAsia" w:cs="宋体"/>
                <w:color w:val="000000"/>
                <w:kern w:val="0"/>
                <w:szCs w:val="21"/>
              </w:rPr>
              <w:t>网络层吞吐量：40Gbps，应用层吞吐量：30Gbps，并发连接数：4000万，新建连接数（CPS）：23万。IPSEC吞吐量：2Gbps</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AE76555">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2</w:t>
            </w:r>
          </w:p>
        </w:tc>
        <w:tc>
          <w:tcPr>
            <w:tcW w:w="310" w:type="pct"/>
            <w:tcBorders>
              <w:top w:val="single" w:color="000000" w:sz="4" w:space="0"/>
              <w:left w:val="single" w:color="000000" w:sz="4" w:space="0"/>
              <w:bottom w:val="single" w:color="000000" w:sz="4" w:space="0"/>
              <w:right w:val="single" w:color="auto" w:sz="4" w:space="0"/>
            </w:tcBorders>
            <w:vAlign w:val="center"/>
          </w:tcPr>
          <w:p w14:paraId="2644E50E">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6874BF73">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D178F2A">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3.4</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AEEB1">
            <w:pPr>
              <w:ind w:firstLine="0" w:firstLineChars="0"/>
              <w:jc w:val="center"/>
            </w:pPr>
            <w:r>
              <w:rPr>
                <w:rFonts w:hint="eastAsia" w:cs="宋体"/>
                <w:color w:val="000000"/>
                <w:kern w:val="0"/>
                <w:szCs w:val="21"/>
              </w:rPr>
              <w:t>服务调用交换平台</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14179">
            <w:pPr>
              <w:ind w:firstLine="0" w:firstLineChars="0"/>
              <w:jc w:val="center"/>
            </w:pPr>
            <w:r>
              <w:rPr>
                <w:rFonts w:hint="eastAsia"/>
              </w:rPr>
              <w:t>安全隔离与信息交换产品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433EA">
            <w:pPr>
              <w:spacing w:line="240" w:lineRule="auto"/>
              <w:ind w:firstLine="0" w:firstLineChars="0"/>
              <w:jc w:val="center"/>
              <w:rPr>
                <w:rFonts w:cs="宋体"/>
                <w:color w:val="000000"/>
                <w:kern w:val="0"/>
                <w:sz w:val="22"/>
                <w:szCs w:val="22"/>
              </w:rPr>
            </w:pPr>
            <w:r>
              <w:rPr>
                <w:rFonts w:hint="eastAsia" w:cs="宋体"/>
                <w:color w:val="000000"/>
                <w:kern w:val="0"/>
                <w:szCs w:val="21"/>
              </w:rPr>
              <w:t>最大吞吐量≥8Gbps数据库交换数量（100Kb/条）≥3000条/秒；数据库交换最大并发数无限制；文件数据处理数量（100Kb/个）≥5000个/秒；</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AEA3973">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1</w:t>
            </w:r>
          </w:p>
        </w:tc>
        <w:tc>
          <w:tcPr>
            <w:tcW w:w="310" w:type="pct"/>
            <w:tcBorders>
              <w:top w:val="single" w:color="000000" w:sz="4" w:space="0"/>
              <w:left w:val="single" w:color="000000" w:sz="4" w:space="0"/>
              <w:bottom w:val="single" w:color="000000" w:sz="4" w:space="0"/>
              <w:right w:val="single" w:color="auto" w:sz="4" w:space="0"/>
            </w:tcBorders>
            <w:vAlign w:val="center"/>
          </w:tcPr>
          <w:p w14:paraId="5F26B0C9">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r w14:paraId="74963719">
        <w:tblPrEx>
          <w:tblCellMar>
            <w:top w:w="0" w:type="dxa"/>
            <w:left w:w="0" w:type="dxa"/>
            <w:bottom w:w="0" w:type="dxa"/>
            <w:right w:w="0" w:type="dxa"/>
          </w:tblCellMar>
        </w:tblPrEx>
        <w:trPr>
          <w:trHeight w:val="825" w:hRule="atLeast"/>
        </w:trPr>
        <w:tc>
          <w:tcPr>
            <w:tcW w:w="321"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7E559A0">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3.5</w:t>
            </w:r>
          </w:p>
        </w:tc>
        <w:tc>
          <w:tcPr>
            <w:tcW w:w="10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30C9">
            <w:pPr>
              <w:ind w:firstLine="0" w:firstLineChars="0"/>
              <w:jc w:val="center"/>
            </w:pPr>
            <w:r>
              <w:rPr>
                <w:rFonts w:hint="eastAsia" w:cs="宋体"/>
                <w:color w:val="000000"/>
                <w:kern w:val="0"/>
                <w:szCs w:val="21"/>
              </w:rPr>
              <w:t>单向光闸</w:t>
            </w:r>
          </w:p>
        </w:tc>
        <w:tc>
          <w:tcPr>
            <w:tcW w:w="7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1F488">
            <w:pPr>
              <w:ind w:firstLine="0" w:firstLineChars="0"/>
              <w:jc w:val="center"/>
            </w:pPr>
            <w:r>
              <w:rPr>
                <w:rFonts w:hint="eastAsia"/>
              </w:rPr>
              <w:t>安全隔离与信息交换产品</w:t>
            </w:r>
          </w:p>
        </w:tc>
        <w:tc>
          <w:tcPr>
            <w:tcW w:w="23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0ECF6">
            <w:pPr>
              <w:spacing w:line="240" w:lineRule="auto"/>
              <w:ind w:firstLine="0" w:firstLineChars="0"/>
              <w:jc w:val="center"/>
              <w:rPr>
                <w:rFonts w:cs="宋体"/>
                <w:color w:val="000000"/>
                <w:kern w:val="0"/>
                <w:sz w:val="22"/>
                <w:szCs w:val="22"/>
              </w:rPr>
            </w:pPr>
            <w:r>
              <w:rPr>
                <w:rFonts w:hint="eastAsia" w:cs="宋体"/>
                <w:color w:val="000000"/>
                <w:kern w:val="0"/>
                <w:szCs w:val="21"/>
              </w:rPr>
              <w:t>应用层单向UDP吞吐≥5Gbps；支持国产芯片及操作系统，产品包含数据库单向导入、文件单向导入、单向协议导入、异常告警等</w:t>
            </w:r>
          </w:p>
        </w:tc>
        <w:tc>
          <w:tcPr>
            <w:tcW w:w="323"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5B653A40">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2</w:t>
            </w:r>
          </w:p>
        </w:tc>
        <w:tc>
          <w:tcPr>
            <w:tcW w:w="310" w:type="pct"/>
            <w:tcBorders>
              <w:top w:val="single" w:color="000000" w:sz="4" w:space="0"/>
              <w:left w:val="single" w:color="000000" w:sz="4" w:space="0"/>
              <w:bottom w:val="single" w:color="000000" w:sz="4" w:space="0"/>
              <w:right w:val="single" w:color="auto" w:sz="4" w:space="0"/>
            </w:tcBorders>
            <w:vAlign w:val="center"/>
          </w:tcPr>
          <w:p w14:paraId="679930DE">
            <w:pPr>
              <w:widowControl/>
              <w:spacing w:line="240" w:lineRule="auto"/>
              <w:ind w:firstLine="0" w:firstLineChars="0"/>
              <w:jc w:val="center"/>
              <w:textAlignment w:val="center"/>
              <w:rPr>
                <w:rFonts w:cs="宋体"/>
                <w:color w:val="000000"/>
                <w:kern w:val="0"/>
                <w:sz w:val="22"/>
                <w:szCs w:val="22"/>
              </w:rPr>
            </w:pPr>
            <w:r>
              <w:rPr>
                <w:rFonts w:hint="eastAsia" w:cs="宋体"/>
                <w:color w:val="000000"/>
                <w:kern w:val="0"/>
                <w:sz w:val="22"/>
                <w:szCs w:val="22"/>
              </w:rPr>
              <w:t>台</w:t>
            </w:r>
          </w:p>
        </w:tc>
      </w:tr>
    </w:tbl>
    <w:p w14:paraId="060DEA80"/>
    <w:p w14:paraId="2C00B742">
      <w:pPr>
        <w:pStyle w:val="3"/>
        <w:numPr>
          <w:ilvl w:val="0"/>
          <w:numId w:val="0"/>
        </w:numPr>
        <w:ind w:left="425"/>
      </w:pPr>
      <w:bookmarkStart w:id="27" w:name="_Toc16187"/>
      <w:bookmarkStart w:id="28" w:name="_Toc161989553"/>
      <w:r>
        <w:rPr>
          <w:rFonts w:hint="eastAsia"/>
        </w:rPr>
        <w:t>（三）技术指标要求</w:t>
      </w:r>
      <w:bookmarkEnd w:id="27"/>
      <w:bookmarkEnd w:id="28"/>
    </w:p>
    <w:p w14:paraId="4A7243FC">
      <w:pPr>
        <w:pStyle w:val="5"/>
        <w:ind w:firstLine="0" w:firstLineChars="0"/>
      </w:pPr>
      <w:bookmarkStart w:id="29" w:name="_Toc161989554"/>
      <w:bookmarkStart w:id="30" w:name="_Toc24237"/>
      <w:bookmarkStart w:id="31" w:name="_Toc161989560"/>
      <w:bookmarkStart w:id="32" w:name="_Toc28879"/>
      <w:r>
        <w:rPr>
          <w:rFonts w:hint="eastAsia"/>
        </w:rPr>
        <w:t>1、安全监管中心</w:t>
      </w:r>
      <w:bookmarkEnd w:id="29"/>
      <w:bookmarkEnd w:id="30"/>
    </w:p>
    <w:p w14:paraId="4FBF8F59">
      <w:pPr>
        <w:pStyle w:val="6"/>
        <w:numPr>
          <w:ilvl w:val="3"/>
          <w:numId w:val="0"/>
        </w:numPr>
        <w:spacing w:line="413" w:lineRule="auto"/>
      </w:pPr>
      <w:bookmarkStart w:id="33" w:name="_Toc161989555"/>
      <w:bookmarkStart w:id="34" w:name="_Toc3589"/>
      <w:r>
        <w:rPr>
          <w:rFonts w:hint="eastAsia"/>
        </w:rPr>
        <w:t>1.1中心平台</w:t>
      </w:r>
      <w:bookmarkEnd w:id="33"/>
      <w:bookmarkEnd w:id="34"/>
    </w:p>
    <w:p w14:paraId="3817EDD4">
      <w:pPr>
        <w:pStyle w:val="7"/>
        <w:numPr>
          <w:ilvl w:val="3"/>
          <w:numId w:val="0"/>
        </w:numPr>
        <w:spacing w:line="413" w:lineRule="auto"/>
      </w:pPr>
      <w:r>
        <w:rPr>
          <w:rFonts w:hint="eastAsia"/>
        </w:rPr>
        <w:t>1.1.1功能要求</w:t>
      </w:r>
    </w:p>
    <w:p w14:paraId="44A98D65">
      <w:pPr>
        <w:pStyle w:val="9"/>
        <w:ind w:left="482" w:firstLine="0" w:firstLineChars="0"/>
      </w:pPr>
      <w:r>
        <w:rPr>
          <w:rFonts w:hint="eastAsia"/>
        </w:rPr>
        <w:t>1.安全运营管理</w:t>
      </w:r>
    </w:p>
    <w:p w14:paraId="6B74425C">
      <w:pPr>
        <w:pStyle w:val="21"/>
        <w:ind w:firstLine="480"/>
      </w:pPr>
      <w:r>
        <w:rPr>
          <w:rFonts w:hint="eastAsia"/>
        </w:rPr>
        <w:t>安全运营管理功能模块，通过事前的资产梳理、资产风险识别，事中的高级威胁检测，发现内部的安全风险和高级威胁入侵行为；通过事后的追踪溯源，形成安全运营的闭环，提升安全运营效率。</w:t>
      </w:r>
    </w:p>
    <w:p w14:paraId="1B88DE66">
      <w:pPr>
        <w:pStyle w:val="21"/>
        <w:ind w:firstLine="480"/>
      </w:pPr>
      <w:r>
        <w:rPr>
          <w:rFonts w:hint="eastAsia"/>
        </w:rPr>
        <w:t>安全运营管理功能模块应实现：安全态势、资产管理、资产指纹、风险评估、数据采集、威胁分析和响应处置等功能。</w:t>
      </w:r>
    </w:p>
    <w:p w14:paraId="1E9CA5F9">
      <w:pPr>
        <w:pStyle w:val="10"/>
      </w:pPr>
      <w:r>
        <w:rPr>
          <w:rFonts w:hint="eastAsia"/>
        </w:rPr>
        <w:t>（1）</w:t>
      </w:r>
      <w:r>
        <w:rPr>
          <w:rFonts w:hint="eastAsia"/>
          <w:b/>
        </w:rPr>
        <w:t>安全态势</w:t>
      </w:r>
    </w:p>
    <w:p w14:paraId="2E68F23E">
      <w:pPr>
        <w:pStyle w:val="21"/>
        <w:ind w:firstLine="480"/>
      </w:pPr>
      <w:r>
        <w:rPr>
          <w:rFonts w:hint="eastAsia"/>
        </w:rPr>
        <w:t>该项功能需提供态势的可视化和安全态势展示，协助安全运营人员对安全状况进行全局性掌控、安全概览。具备以下安全态势大屏展示：</w:t>
      </w:r>
    </w:p>
    <w:p w14:paraId="53E0482D">
      <w:pPr>
        <w:pStyle w:val="21"/>
        <w:ind w:firstLine="480"/>
      </w:pPr>
      <w:r>
        <w:rPr>
          <w:rFonts w:hint="eastAsia"/>
        </w:rPr>
        <w:t>安全威胁大屏：可展示全局安全威胁场景，从攻击者、攻击方式、被攻击者、攻击结果角度完整呈现了现网中的安全风险、安全趋势等信息。</w:t>
      </w:r>
    </w:p>
    <w:p w14:paraId="0E53FD15">
      <w:pPr>
        <w:pStyle w:val="21"/>
        <w:ind w:firstLine="480"/>
      </w:pPr>
      <w:r>
        <w:rPr>
          <w:rFonts w:hint="eastAsia"/>
        </w:rPr>
        <w:t>安全流量大屏：可展示全局流量访问关系，从被访问资产、外联资产、正常业务流量、可疑流量进行区分，绘制访问趋势。</w:t>
      </w:r>
    </w:p>
    <w:p w14:paraId="58EF9033">
      <w:pPr>
        <w:pStyle w:val="21"/>
        <w:ind w:firstLine="480"/>
      </w:pPr>
      <w:r>
        <w:rPr>
          <w:rFonts w:hint="eastAsia"/>
        </w:rPr>
        <w:t>安全脆弱性大屏：可展示安全整体脆弱性情况，从全局资产、已防护资产、未防护资产，整体风险评分等方面展示资产风险等级的分布情况。</w:t>
      </w:r>
    </w:p>
    <w:p w14:paraId="33C9560E">
      <w:pPr>
        <w:pStyle w:val="10"/>
      </w:pPr>
      <w:r>
        <w:rPr>
          <w:rFonts w:hint="eastAsia"/>
        </w:rPr>
        <w:t>（2）</w:t>
      </w:r>
      <w:r>
        <w:rPr>
          <w:rFonts w:hint="eastAsia"/>
          <w:b/>
        </w:rPr>
        <w:t>资产管理</w:t>
      </w:r>
    </w:p>
    <w:p w14:paraId="76A81DD9">
      <w:pPr>
        <w:pStyle w:val="21"/>
        <w:ind w:firstLine="480"/>
      </w:pPr>
      <w:r>
        <w:rPr>
          <w:rFonts w:hint="eastAsia"/>
        </w:rPr>
        <w:t>该项功能需与法院现有资产管理</w:t>
      </w:r>
      <w:r>
        <w:t>平台进行对接，以接口API的方式，接收</w:t>
      </w:r>
      <w:r>
        <w:rPr>
          <w:rFonts w:hint="eastAsia"/>
        </w:rPr>
        <w:t>资产管理</w:t>
      </w:r>
      <w:r>
        <w:t>平台的已登记的主机资产信息，对同步的主机资产建立资产数据库，对资产的来源、风险状态、安全事件进行持续地跟踪和管理，直到资产最终下线。并结合网络实体威胁情报进行安全态势分析，扩大安全可见性。</w:t>
      </w:r>
    </w:p>
    <w:p w14:paraId="01B89EA5">
      <w:pPr>
        <w:pStyle w:val="10"/>
      </w:pPr>
      <w:r>
        <w:rPr>
          <w:rFonts w:hint="eastAsia"/>
        </w:rPr>
        <w:t>（3）</w:t>
      </w:r>
      <w:r>
        <w:rPr>
          <w:rFonts w:hint="eastAsia"/>
          <w:b/>
        </w:rPr>
        <w:t>资产指纹</w:t>
      </w:r>
    </w:p>
    <w:p w14:paraId="6EDAB87A">
      <w:pPr>
        <w:pStyle w:val="21"/>
        <w:ind w:firstLine="480"/>
      </w:pPr>
      <w:r>
        <w:rPr>
          <w:rFonts w:hint="eastAsia"/>
        </w:rPr>
        <w:t>该项功能需与主机（服务器）安全管控系统进行对接，通过</w:t>
      </w:r>
      <w:r>
        <w:t>API接口等方式，定时获取主机资产信息，包括主机资产内安装的软件包、进程、服务等详细信息，建立资产指的纹信息和档案，通过定期收集指纹信息，监听稳定的指纹数据，分析是否有异常行为并进一步的排查分析。</w:t>
      </w:r>
    </w:p>
    <w:p w14:paraId="5779E837">
      <w:pPr>
        <w:pStyle w:val="10"/>
      </w:pPr>
      <w:r>
        <w:rPr>
          <w:rFonts w:hint="eastAsia"/>
        </w:rPr>
        <w:t>（4）</w:t>
      </w:r>
      <w:r>
        <w:rPr>
          <w:rFonts w:hint="eastAsia"/>
          <w:b/>
        </w:rPr>
        <w:t>风险评估</w:t>
      </w:r>
    </w:p>
    <w:p w14:paraId="4D23C48D">
      <w:pPr>
        <w:pStyle w:val="21"/>
        <w:ind w:firstLine="480"/>
      </w:pPr>
      <w:r>
        <w:rPr>
          <w:rFonts w:hint="eastAsia"/>
        </w:rPr>
        <w:t>该项功能需与主机安全管控系统进行对接，通过</w:t>
      </w:r>
      <w:r>
        <w:t>API接口、syslog等方式，定时获取主机风险信息进行全面风险评估（包括漏洞、暴露端口、弱口令、告警、资产属性、重要性等），通过资产识别、脆弱性识别和威胁识别结果得出安全现状分析和评估结果。</w:t>
      </w:r>
    </w:p>
    <w:p w14:paraId="40AB3ECD">
      <w:pPr>
        <w:pStyle w:val="10"/>
      </w:pPr>
      <w:r>
        <w:rPr>
          <w:rFonts w:hint="eastAsia"/>
        </w:rPr>
        <w:t>（5）</w:t>
      </w:r>
      <w:r>
        <w:rPr>
          <w:rFonts w:hint="eastAsia"/>
          <w:b/>
        </w:rPr>
        <w:t>数据采集</w:t>
      </w:r>
    </w:p>
    <w:p w14:paraId="3494E4C7">
      <w:pPr>
        <w:pStyle w:val="21"/>
        <w:ind w:firstLine="480"/>
      </w:pPr>
      <w:r>
        <w:rPr>
          <w:rFonts w:hint="eastAsia"/>
        </w:rPr>
        <w:t>该项功能需负责采集汇聚接收本地及云内的资产信息、流量数据和安全日志数据，并对采集的数据进行数据清洗、数据转换、数据抽取、数据融合等预处理操作，形成符合要求的统一数据，为安全运营管理后续的检测、评估及态势分析呈现提供基础数据支撑。</w:t>
      </w:r>
    </w:p>
    <w:p w14:paraId="37CEBAE1">
      <w:pPr>
        <w:pStyle w:val="21"/>
        <w:ind w:firstLine="480"/>
      </w:pPr>
      <w:r>
        <w:rPr>
          <w:rFonts w:hint="eastAsia"/>
        </w:rPr>
        <w:t>数据采集：需完成资产指纹、安全日志采集、网络流量等采集工作，将其送到数据预处理部分进行下一步的处理。</w:t>
      </w:r>
    </w:p>
    <w:p w14:paraId="60CB7CDB">
      <w:pPr>
        <w:pStyle w:val="21"/>
        <w:ind w:firstLine="480"/>
      </w:pPr>
      <w:r>
        <w:rPr>
          <w:rFonts w:hint="eastAsia"/>
        </w:rPr>
        <w:t>数据预处理：需对采集的数据进行数据清洗、数据转换和数据抽取，完成对数据的去重和去噪，过滤不符合要求的安全信息数据，转换成主题库要求的形式，抽取相关数据要素。</w:t>
      </w:r>
    </w:p>
    <w:p w14:paraId="0ACE5FB2">
      <w:pPr>
        <w:pStyle w:val="21"/>
        <w:ind w:firstLine="480"/>
      </w:pPr>
      <w:r>
        <w:rPr>
          <w:rFonts w:hint="eastAsia"/>
        </w:rPr>
        <w:t>数据融合：需将各种信息的互补冗余进行最优化计算，进行完整度处理，将进行信息归类，做到标签、结构和内容三个层面的深度融合。</w:t>
      </w:r>
    </w:p>
    <w:p w14:paraId="347F46EB">
      <w:pPr>
        <w:pStyle w:val="10"/>
      </w:pPr>
      <w:r>
        <w:rPr>
          <w:rFonts w:hint="eastAsia"/>
        </w:rPr>
        <w:t>（6）</w:t>
      </w:r>
      <w:r>
        <w:rPr>
          <w:rFonts w:hint="eastAsia"/>
          <w:b/>
        </w:rPr>
        <w:t>威胁分析</w:t>
      </w:r>
    </w:p>
    <w:p w14:paraId="6A6741D0">
      <w:pPr>
        <w:pStyle w:val="21"/>
        <w:ind w:firstLine="480"/>
      </w:pPr>
      <w:r>
        <w:rPr>
          <w:rFonts w:hint="eastAsia"/>
        </w:rPr>
        <w:t>该项功能需采用大数据分析引擎和关联分析引擎，对从主机、安全设备采集来的流量、日志和安全告警进行处理，结合资产指纹信息、资产脆弱性、网络流量、安全日志等的信息进行关联分析，发现更复杂的、更具价值的威胁事件。</w:t>
      </w:r>
    </w:p>
    <w:p w14:paraId="64959FD7">
      <w:pPr>
        <w:pStyle w:val="10"/>
      </w:pPr>
      <w:r>
        <w:rPr>
          <w:rFonts w:hint="eastAsia"/>
        </w:rPr>
        <w:t>（7）</w:t>
      </w:r>
      <w:r>
        <w:rPr>
          <w:rFonts w:hint="eastAsia"/>
          <w:b/>
        </w:rPr>
        <w:t>响应处置</w:t>
      </w:r>
    </w:p>
    <w:p w14:paraId="393FC06D">
      <w:pPr>
        <w:pStyle w:val="21"/>
        <w:ind w:firstLine="480"/>
      </w:pPr>
      <w:r>
        <w:rPr>
          <w:rFonts w:hint="eastAsia"/>
        </w:rPr>
        <w:t>该项功能需通过对安全事件、日志以及网络流量进行检测，分析出网络攻击、异常流量等威胁，产生安全告警，在平台安全告警处理页面展示相关告警列表信息。检测出安全告警事件后，可以对告警及时性处置，可以阻断所有访问到目的</w:t>
      </w:r>
      <w:r>
        <w:t>IP、网段，从而达到检测响应闭环的效果。</w:t>
      </w:r>
    </w:p>
    <w:p w14:paraId="7ECDC259">
      <w:pPr>
        <w:pStyle w:val="9"/>
        <w:ind w:left="482" w:firstLine="0" w:firstLineChars="0"/>
      </w:pPr>
      <w:r>
        <w:rPr>
          <w:rFonts w:hint="eastAsia"/>
        </w:rPr>
        <w:t>2.日志分析管理</w:t>
      </w:r>
    </w:p>
    <w:p w14:paraId="4B32D0FF">
      <w:pPr>
        <w:pStyle w:val="21"/>
        <w:ind w:firstLine="480"/>
      </w:pPr>
      <w:r>
        <w:rPr>
          <w:rFonts w:hint="eastAsia"/>
        </w:rPr>
        <w:t>日志分析管理可以对高院专网本地网络设备、安全设备、主机系统，以及政务云法院VPC内的主机的日志、告警等数据进行统一的采集和汇集，对采集到的安全日志和告警进行标准化（范式化）处理，从而进一步地对日志数据流进行实时关联分析和离线分析。</w:t>
      </w:r>
    </w:p>
    <w:p w14:paraId="02DD03B3">
      <w:pPr>
        <w:pStyle w:val="10"/>
      </w:pPr>
      <w:r>
        <w:rPr>
          <w:rFonts w:hint="eastAsia"/>
        </w:rPr>
        <w:t>（1）</w:t>
      </w:r>
      <w:r>
        <w:rPr>
          <w:rFonts w:hint="eastAsia"/>
          <w:b/>
        </w:rPr>
        <w:t>日志集中收集</w:t>
      </w:r>
    </w:p>
    <w:p w14:paraId="10CAFB68">
      <w:pPr>
        <w:pStyle w:val="21"/>
        <w:ind w:firstLine="480"/>
      </w:pPr>
      <w:r>
        <w:rPr>
          <w:rFonts w:hint="eastAsia"/>
        </w:rPr>
        <w:t>日志分析管理需具备全面的采集能力，可以采集本地及云内主机的系统行为日志、网络设备日志、安全设备的日志。</w:t>
      </w:r>
    </w:p>
    <w:p w14:paraId="65D9EF13">
      <w:pPr>
        <w:pStyle w:val="10"/>
      </w:pPr>
      <w:r>
        <w:rPr>
          <w:rFonts w:hint="eastAsia"/>
        </w:rPr>
        <w:t>（2）</w:t>
      </w:r>
      <w:r>
        <w:rPr>
          <w:rFonts w:hint="eastAsia"/>
          <w:b/>
        </w:rPr>
        <w:t>日志集中处理</w:t>
      </w:r>
    </w:p>
    <w:p w14:paraId="1BE7AA0C">
      <w:pPr>
        <w:pStyle w:val="21"/>
        <w:ind w:firstLine="480"/>
      </w:pPr>
      <w:r>
        <w:rPr>
          <w:rFonts w:hint="eastAsia"/>
        </w:rPr>
        <w:t>日志分析管理需对所采集到的日志进行标准化转换和富化加工后，存入到安全监管运营平台的分布式集群数据存储。</w:t>
      </w:r>
    </w:p>
    <w:p w14:paraId="2D91756F">
      <w:pPr>
        <w:pStyle w:val="10"/>
      </w:pPr>
      <w:r>
        <w:rPr>
          <w:rFonts w:hint="eastAsia"/>
        </w:rPr>
        <w:t>（3）</w:t>
      </w:r>
      <w:r>
        <w:rPr>
          <w:rFonts w:hint="eastAsia"/>
          <w:b/>
        </w:rPr>
        <w:t>日志关联分析</w:t>
      </w:r>
    </w:p>
    <w:p w14:paraId="434BD6E7">
      <w:pPr>
        <w:pStyle w:val="21"/>
        <w:ind w:firstLine="480"/>
      </w:pPr>
      <w:r>
        <w:rPr>
          <w:rFonts w:hint="eastAsia"/>
        </w:rPr>
        <w:t>日志分析管理需对从本地及云内主机、网络设备、安全设备的安全日志，进行关联分析和归并，根据安全事件的类型、所处攻击阶段、攻击目标资产进行归并后，减少安全运营人员需要处理的告警数量，提高人工可分析处理效率，发现更复杂的、更具价值的威胁事件。</w:t>
      </w:r>
    </w:p>
    <w:p w14:paraId="7DADD0C9">
      <w:pPr>
        <w:pStyle w:val="10"/>
      </w:pPr>
      <w:r>
        <w:rPr>
          <w:rFonts w:hint="eastAsia"/>
        </w:rPr>
        <w:t>（4）</w:t>
      </w:r>
      <w:r>
        <w:rPr>
          <w:rFonts w:hint="eastAsia"/>
          <w:b/>
        </w:rPr>
        <w:t>日志检索查询</w:t>
      </w:r>
    </w:p>
    <w:p w14:paraId="097F23D5">
      <w:pPr>
        <w:pStyle w:val="21"/>
        <w:ind w:firstLine="480"/>
      </w:pPr>
      <w:r>
        <w:rPr>
          <w:rFonts w:hint="eastAsia"/>
        </w:rPr>
        <w:t>日志分析管理需对所采集的日志提供高性能的分布式集群数据存储，需具备分布式搜索引擎，并提供分布式的日志全文检索、结构化搜索的查询能力，能够处理</w:t>
      </w:r>
      <w:r>
        <w:t>PB级别以上的结构化或非结构化数据，达到百亿条数据秒级检索，</w:t>
      </w:r>
      <w:r>
        <w:rPr>
          <w:rFonts w:hint="eastAsia"/>
        </w:rPr>
        <w:t>提供</w:t>
      </w:r>
      <w:r>
        <w:t>安全事件调查取证</w:t>
      </w:r>
      <w:r>
        <w:rPr>
          <w:rFonts w:hint="eastAsia"/>
        </w:rPr>
        <w:t>的</w:t>
      </w:r>
      <w:r>
        <w:t>支撑。</w:t>
      </w:r>
    </w:p>
    <w:p w14:paraId="7A8285BF">
      <w:pPr>
        <w:pStyle w:val="10"/>
      </w:pPr>
      <w:r>
        <w:rPr>
          <w:rFonts w:hint="eastAsia"/>
        </w:rPr>
        <w:t>（5）</w:t>
      </w:r>
      <w:r>
        <w:rPr>
          <w:rFonts w:hint="eastAsia"/>
          <w:b/>
        </w:rPr>
        <w:t>可视化运营</w:t>
      </w:r>
    </w:p>
    <w:p w14:paraId="27EE7CA4">
      <w:pPr>
        <w:pStyle w:val="21"/>
        <w:ind w:firstLine="480"/>
      </w:pPr>
      <w:r>
        <w:rPr>
          <w:rFonts w:hint="eastAsia"/>
        </w:rPr>
        <w:t>日志分析管理需提供可视化的视图管理，提供日志的查看和检索能力，支持交互式选择需要查询的字段并提供智能联想降低使用的门槛，同时支持面向专业人员的高级的</w:t>
      </w:r>
      <w:r>
        <w:t>SQL搜索语句，方便安全运营人员开展安全运营工作。</w:t>
      </w:r>
    </w:p>
    <w:p w14:paraId="625A0732">
      <w:pPr>
        <w:pStyle w:val="10"/>
      </w:pPr>
      <w:r>
        <w:rPr>
          <w:rFonts w:hint="eastAsia"/>
        </w:rPr>
        <w:t>（6）</w:t>
      </w:r>
      <w:r>
        <w:rPr>
          <w:rFonts w:hint="eastAsia"/>
          <w:b/>
        </w:rPr>
        <w:t>日志审计</w:t>
      </w:r>
    </w:p>
    <w:p w14:paraId="6ED60FD1">
      <w:pPr>
        <w:pStyle w:val="21"/>
        <w:ind w:firstLine="480"/>
      </w:pPr>
      <w:r>
        <w:rPr>
          <w:rFonts w:hint="eastAsia"/>
        </w:rPr>
        <w:t>通过集中收集的日志进行自动化和交互式关联分析，提供综合全面的安全审计能力，发现来自组织内部和外部的多种安全事件，为管理员集中提供必须的日志文件以方便分析和排查故障，生成各类合规报表和报告，满足《网络安全法》对日志保存</w:t>
      </w:r>
      <w:r>
        <w:t>180天的要求和等级保护2.0中的安全审计要求。</w:t>
      </w:r>
    </w:p>
    <w:p w14:paraId="78AC254D">
      <w:pPr>
        <w:pStyle w:val="9"/>
        <w:ind w:left="482" w:firstLine="0" w:firstLineChars="0"/>
      </w:pPr>
      <w:r>
        <w:rPr>
          <w:rFonts w:hint="eastAsia"/>
        </w:rPr>
        <w:t>3.自动化编排与响应</w:t>
      </w:r>
    </w:p>
    <w:p w14:paraId="62C33286">
      <w:pPr>
        <w:pStyle w:val="21"/>
        <w:ind w:firstLine="480"/>
      </w:pPr>
      <w:r>
        <w:rPr>
          <w:rFonts w:hint="eastAsia"/>
        </w:rPr>
        <w:t>需要将安全运营人员和技术能力编入安全运营业务流程中，通过编排将安全事件分析过程中各种复杂性分析流程和处理平台进行组合，将繁杂的安全运营（尤其是安全响应）过程梳理为任务和剧本，将分散的安全工具与功能转化为可编程的应用和动作，依靠网络安全监管平台所汇聚的告警数据，进行自动化的事件分析、安全能力编排及自动化的响应处理。</w:t>
      </w:r>
    </w:p>
    <w:p w14:paraId="39F7B3EE">
      <w:pPr>
        <w:pStyle w:val="21"/>
        <w:ind w:firstLine="480"/>
      </w:pPr>
      <w:r>
        <w:rPr>
          <w:rFonts w:hint="eastAsia"/>
        </w:rPr>
        <w:t>自动化编排与响应实现包括编排与自动化管理、高级告警分析、案例管理、工单管理和平台支撑管理等功能。</w:t>
      </w:r>
    </w:p>
    <w:p w14:paraId="4C4F3154">
      <w:pPr>
        <w:pStyle w:val="10"/>
        <w:ind w:firstLine="482"/>
      </w:pPr>
      <w:r>
        <w:rPr>
          <w:rFonts w:hint="eastAsia"/>
          <w:b/>
        </w:rPr>
        <w:t>（1）编排与自动化管理</w:t>
      </w:r>
    </w:p>
    <w:p w14:paraId="3F7724F6">
      <w:pPr>
        <w:pStyle w:val="21"/>
        <w:ind w:firstLine="480"/>
      </w:pPr>
      <w:r>
        <w:rPr>
          <w:rFonts w:hint="eastAsia"/>
        </w:rPr>
        <w:t>该项功能需实现安全运营流程的剧本化和安全应用的编排化，并通过编排器实现了剧本和应用的自动化执行。需具备以下功能：</w:t>
      </w:r>
    </w:p>
    <w:p w14:paraId="73EAF976">
      <w:pPr>
        <w:pStyle w:val="21"/>
        <w:ind w:firstLine="480"/>
      </w:pPr>
      <w:r>
        <w:rPr>
          <w:rFonts w:hint="eastAsia"/>
        </w:rPr>
        <w:t>剧本管理：安全运营人员可对所有剧本进行统一管理，支持剧本的增删改查、导入、导出、版本管理、发布和草稿管理。能够监控所有正在执行的剧本的情况，查看剧本执行的详情。</w:t>
      </w:r>
    </w:p>
    <w:p w14:paraId="10C84237">
      <w:pPr>
        <w:pStyle w:val="21"/>
        <w:ind w:firstLine="480"/>
      </w:pPr>
      <w:r>
        <w:rPr>
          <w:rFonts w:hint="eastAsia"/>
        </w:rPr>
        <w:t>脚本管理：安全运营人员可以对脚本进行管理，通过内嵌的</w:t>
      </w:r>
      <w:r>
        <w:t>Python脚本编辑器创建、编辑和调试脚本。</w:t>
      </w:r>
    </w:p>
    <w:p w14:paraId="5FFC0DB7">
      <w:pPr>
        <w:pStyle w:val="21"/>
        <w:ind w:firstLine="480"/>
      </w:pPr>
      <w:r>
        <w:rPr>
          <w:rFonts w:hint="eastAsia"/>
        </w:rPr>
        <w:t>响应编排器：安全运营人员可以通过响应编排器，从剧本库中加载所有激活的剧本，并依照不同的触发条件执行相应的剧本实例。</w:t>
      </w:r>
    </w:p>
    <w:p w14:paraId="5E54E4A9">
      <w:pPr>
        <w:pStyle w:val="10"/>
        <w:ind w:firstLine="482"/>
      </w:pPr>
      <w:r>
        <w:rPr>
          <w:rFonts w:hint="eastAsia"/>
          <w:b/>
        </w:rPr>
        <w:t>（2）高级告警分析</w:t>
      </w:r>
    </w:p>
    <w:p w14:paraId="402D249F">
      <w:pPr>
        <w:pStyle w:val="21"/>
        <w:ind w:firstLine="480"/>
      </w:pPr>
      <w:r>
        <w:rPr>
          <w:rFonts w:hint="eastAsia"/>
        </w:rPr>
        <w:t>该项功能需对安全运营管理模块提供的各类告警信息进行过滤、归并、聚合等加工处理，对告警信息进行增强，将不同来源的告警信息进行交叉比对，提取出精度和确定性更高的告警，提升安全响应的准确度与有效性。</w:t>
      </w:r>
    </w:p>
    <w:p w14:paraId="76D5D28F">
      <w:pPr>
        <w:pStyle w:val="10"/>
        <w:ind w:firstLine="482"/>
      </w:pPr>
      <w:r>
        <w:rPr>
          <w:rFonts w:hint="eastAsia"/>
          <w:b/>
        </w:rPr>
        <w:t>（3）案例管理</w:t>
      </w:r>
    </w:p>
    <w:p w14:paraId="4744BE26">
      <w:pPr>
        <w:pStyle w:val="21"/>
        <w:ind w:firstLine="480"/>
      </w:pPr>
      <w:r>
        <w:rPr>
          <w:rFonts w:hint="eastAsia"/>
        </w:rPr>
        <w:t>该项功能需帮助安全运营人员对一组相关的告警按照既定的行动方案进行流程化、持续化、协作化、全周期的调查分析与响应处置，以及行动方案自身的持续改进。需具备以下功能：</w:t>
      </w:r>
    </w:p>
    <w:p w14:paraId="4763DACF">
      <w:pPr>
        <w:pStyle w:val="21"/>
        <w:ind w:firstLine="480"/>
      </w:pPr>
      <w:r>
        <w:rPr>
          <w:rFonts w:hint="eastAsia"/>
        </w:rPr>
        <w:t>案例清单：以列表的形式展示所有案例清单，可以展示每个案例概况，安全运营人员可以进行案例的查看、创建和编辑修订。</w:t>
      </w:r>
    </w:p>
    <w:p w14:paraId="5A66E0C8">
      <w:pPr>
        <w:pStyle w:val="21"/>
        <w:ind w:firstLine="480"/>
      </w:pPr>
      <w:r>
        <w:rPr>
          <w:rFonts w:hint="eastAsia"/>
        </w:rPr>
        <w:t>案例处理：可以查看案例相关的告警信息；安全运营人员可以持续地对案例信息进行处理。</w:t>
      </w:r>
    </w:p>
    <w:p w14:paraId="3F55A293">
      <w:pPr>
        <w:pStyle w:val="21"/>
        <w:ind w:firstLine="480"/>
      </w:pPr>
      <w:r>
        <w:rPr>
          <w:rFonts w:hint="eastAsia"/>
        </w:rPr>
        <w:t>行动方案管理：按照行业标准或者最佳实践来设置预案，预案可分为多个不同阶段，每个阶段可进一步分解为多个任务，并分配给不同成员。</w:t>
      </w:r>
    </w:p>
    <w:p w14:paraId="28C77EC5">
      <w:pPr>
        <w:pStyle w:val="21"/>
        <w:ind w:firstLine="480"/>
      </w:pPr>
      <w:r>
        <w:rPr>
          <w:rFonts w:hint="eastAsia"/>
        </w:rPr>
        <w:t>可视化处理：以案例处理过程生成一个全周期的时间线，可按照时间顺序展示该案例处理过程中的信息。</w:t>
      </w:r>
    </w:p>
    <w:p w14:paraId="55E3C432">
      <w:pPr>
        <w:pStyle w:val="10"/>
        <w:ind w:firstLine="482"/>
      </w:pPr>
      <w:r>
        <w:rPr>
          <w:rFonts w:hint="eastAsia"/>
          <w:b/>
        </w:rPr>
        <w:t>（4）工单管理</w:t>
      </w:r>
    </w:p>
    <w:p w14:paraId="24D21D18">
      <w:pPr>
        <w:pStyle w:val="21"/>
        <w:ind w:firstLine="480"/>
      </w:pPr>
      <w:r>
        <w:rPr>
          <w:rFonts w:hint="eastAsia"/>
        </w:rPr>
        <w:t>安全运营人员可以通过工单管理对告警信息进行快速简单地响应，或者分配周期性地工作任务。可以手工添加工单，或者在告警调查的时候触发产生工单，并对工单的生命周期进行管理。</w:t>
      </w:r>
    </w:p>
    <w:p w14:paraId="6AB0CDB9">
      <w:pPr>
        <w:pStyle w:val="10"/>
        <w:ind w:firstLine="482"/>
      </w:pPr>
      <w:r>
        <w:rPr>
          <w:rFonts w:hint="eastAsia"/>
          <w:b/>
        </w:rPr>
        <w:t>（5）支撑管理</w:t>
      </w:r>
    </w:p>
    <w:p w14:paraId="0EA6833E">
      <w:pPr>
        <w:pStyle w:val="21"/>
        <w:ind w:firstLine="480"/>
      </w:pPr>
      <w:r>
        <w:rPr>
          <w:rFonts w:hint="eastAsia"/>
        </w:rPr>
        <w:t>用户权限管理：具备基于角色的权限管理机制，可对角色授权访问的资源进行细粒度的权限划分，赋予不同的功能。</w:t>
      </w:r>
    </w:p>
    <w:p w14:paraId="7DCA20EF">
      <w:pPr>
        <w:pStyle w:val="21"/>
        <w:ind w:firstLine="480"/>
      </w:pPr>
      <w:r>
        <w:rPr>
          <w:rFonts w:hint="eastAsia"/>
        </w:rPr>
        <w:t>平台管理：需具备自身操作审计能力，能够对使用平台的各种操作进行记录留存和审计。</w:t>
      </w:r>
    </w:p>
    <w:p w14:paraId="7FFF4653">
      <w:pPr>
        <w:pStyle w:val="21"/>
        <w:ind w:firstLine="480"/>
      </w:pPr>
      <w:r>
        <w:rPr>
          <w:rFonts w:hint="eastAsia"/>
        </w:rPr>
        <w:t>开放接口：具备开放式</w:t>
      </w:r>
      <w:r>
        <w:t>API接口，可以将自身能力集成到其它第三方系统中（北向接口）。</w:t>
      </w:r>
    </w:p>
    <w:p w14:paraId="16BCEBF1">
      <w:pPr>
        <w:pStyle w:val="9"/>
        <w:ind w:left="482" w:firstLine="0" w:firstLineChars="0"/>
      </w:pPr>
      <w:r>
        <w:rPr>
          <w:rFonts w:hint="eastAsia"/>
        </w:rPr>
        <w:t>4.虚拟流量分析</w:t>
      </w:r>
    </w:p>
    <w:p w14:paraId="42DE9972">
      <w:pPr>
        <w:pStyle w:val="21"/>
        <w:ind w:firstLine="480"/>
      </w:pPr>
      <w:r>
        <w:rPr>
          <w:rFonts w:hint="eastAsia"/>
        </w:rPr>
        <w:t>实现对云环境中主机之间东西向流量的采集，提供基于流量的应用识别、病毒检测、入侵检测、风险发现、追踪溯源等功能，有效检测相关网络攻击和威胁。</w:t>
      </w:r>
    </w:p>
    <w:p w14:paraId="17AEF3CB">
      <w:pPr>
        <w:pStyle w:val="21"/>
        <w:ind w:firstLine="480"/>
      </w:pPr>
      <w:r>
        <w:rPr>
          <w:rFonts w:hint="eastAsia"/>
        </w:rPr>
        <w:t>流量采集：通过在云内主机上部署流量采集插件，将云内主机的全流量采集并发送至虚拟流量分析系统，不少于500台主机流量采集。</w:t>
      </w:r>
    </w:p>
    <w:p w14:paraId="3EF73C55">
      <w:pPr>
        <w:pStyle w:val="21"/>
        <w:ind w:firstLine="480"/>
      </w:pPr>
      <w:r>
        <w:rPr>
          <w:rFonts w:hint="eastAsia"/>
        </w:rPr>
        <w:t>威胁检测：虚拟流量分析系统对主机的网络流量进行威胁检测分析，发现可疑威胁（恶意扫描、暴力破解、后门检测、</w:t>
      </w:r>
      <w:r>
        <w:t>WebShell等），生成网络日志和威胁日志，并将网络日志和威胁日志上传到安全监管运营平台。</w:t>
      </w:r>
    </w:p>
    <w:p w14:paraId="67863AF2">
      <w:pPr>
        <w:pStyle w:val="9"/>
        <w:ind w:left="482" w:firstLine="0" w:firstLineChars="0"/>
      </w:pPr>
      <w:r>
        <w:rPr>
          <w:rFonts w:hint="eastAsia"/>
        </w:rPr>
        <w:t>5.威胁情报</w:t>
      </w:r>
    </w:p>
    <w:p w14:paraId="52201319">
      <w:pPr>
        <w:pStyle w:val="21"/>
        <w:ind w:firstLine="480"/>
      </w:pPr>
      <w:r>
        <w:rPr>
          <w:rFonts w:hint="eastAsia"/>
        </w:rPr>
        <w:t>威胁情报采集：通过离线导入方式获取威胁情报数据，进行威胁情报采集和累积。</w:t>
      </w:r>
    </w:p>
    <w:p w14:paraId="22DD0F48">
      <w:pPr>
        <w:widowControl/>
        <w:snapToGrid w:val="0"/>
        <w:jc w:val="left"/>
      </w:pPr>
      <w:r>
        <w:rPr>
          <w:rFonts w:hint="eastAsia"/>
        </w:rPr>
        <w:t>威胁情报应用：利用威胁情报数据对采集的数据进行实时比对分析，发现可疑的连接行为，对发现的可疑的</w:t>
      </w:r>
      <w:r>
        <w:t>IP、域名、URL进行深入的情报判定。在发现攻击行为后，安全运营人员可对事件进行溯源分析，找到攻击行为背后的攻击者，了解攻击者的攻击企图、常用工具、技术和攻击手法等，以评估来自特定攻击者的安全风险，有针对性地采取防范措施，搜集攻击相关证据。</w:t>
      </w:r>
    </w:p>
    <w:p w14:paraId="5E1657DE">
      <w:pPr>
        <w:pStyle w:val="7"/>
        <w:ind w:firstLine="0" w:firstLineChars="0"/>
      </w:pPr>
      <w:r>
        <w:rPr>
          <w:rFonts w:hint="eastAsia"/>
        </w:rPr>
        <w:t>1.1.2技术指标</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948"/>
        <w:gridCol w:w="6632"/>
      </w:tblGrid>
      <w:tr w14:paraId="1D3D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blHeader/>
        </w:trPr>
        <w:tc>
          <w:tcPr>
            <w:tcW w:w="1112" w:type="pct"/>
            <w:gridSpan w:val="2"/>
            <w:shd w:val="clear" w:color="auto" w:fill="auto"/>
            <w:vAlign w:val="center"/>
          </w:tcPr>
          <w:p w14:paraId="481C4511">
            <w:pPr>
              <w:widowControl/>
              <w:ind w:firstLine="0" w:firstLineChars="0"/>
              <w:jc w:val="center"/>
              <w:rPr>
                <w:rFonts w:cs="宋体"/>
                <w:b/>
                <w:bCs/>
                <w:color w:val="000000"/>
                <w:kern w:val="0"/>
                <w:szCs w:val="21"/>
              </w:rPr>
            </w:pPr>
            <w:r>
              <w:rPr>
                <w:rFonts w:hint="eastAsia" w:cs="宋体"/>
                <w:b/>
                <w:bCs/>
                <w:color w:val="000000"/>
                <w:kern w:val="0"/>
                <w:szCs w:val="21"/>
              </w:rPr>
              <w:t>指标项</w:t>
            </w:r>
          </w:p>
        </w:tc>
        <w:tc>
          <w:tcPr>
            <w:tcW w:w="3888" w:type="pct"/>
            <w:shd w:val="clear" w:color="auto" w:fill="auto"/>
            <w:vAlign w:val="center"/>
          </w:tcPr>
          <w:p w14:paraId="11D76EF0">
            <w:pPr>
              <w:widowControl/>
              <w:ind w:firstLine="482"/>
              <w:jc w:val="center"/>
              <w:rPr>
                <w:rFonts w:cs="宋体"/>
                <w:b/>
                <w:bCs/>
                <w:color w:val="000000"/>
                <w:kern w:val="0"/>
                <w:szCs w:val="21"/>
              </w:rPr>
            </w:pPr>
            <w:r>
              <w:rPr>
                <w:rFonts w:hint="eastAsia" w:cs="宋体"/>
                <w:b/>
                <w:bCs/>
                <w:color w:val="000000"/>
                <w:kern w:val="0"/>
                <w:szCs w:val="21"/>
              </w:rPr>
              <w:t>功能要求</w:t>
            </w:r>
          </w:p>
        </w:tc>
      </w:tr>
      <w:tr w14:paraId="2A1A7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restart"/>
            <w:shd w:val="clear" w:color="auto" w:fill="auto"/>
            <w:vAlign w:val="center"/>
          </w:tcPr>
          <w:p w14:paraId="37F3CF3F">
            <w:pPr>
              <w:widowControl/>
              <w:jc w:val="center"/>
              <w:rPr>
                <w:rFonts w:cs="宋体"/>
                <w:color w:val="000000"/>
                <w:kern w:val="0"/>
                <w:szCs w:val="21"/>
              </w:rPr>
            </w:pPr>
            <w:r>
              <w:rPr>
                <w:rFonts w:hint="eastAsia" w:cs="宋体"/>
                <w:color w:val="000000"/>
                <w:kern w:val="0"/>
                <w:szCs w:val="21"/>
              </w:rPr>
              <w:t>安全运营管理</w:t>
            </w:r>
          </w:p>
        </w:tc>
        <w:tc>
          <w:tcPr>
            <w:tcW w:w="556" w:type="pct"/>
            <w:vMerge w:val="restart"/>
            <w:shd w:val="clear" w:color="auto" w:fill="auto"/>
            <w:vAlign w:val="center"/>
          </w:tcPr>
          <w:p w14:paraId="7BCEF278">
            <w:pPr>
              <w:widowControl/>
              <w:ind w:firstLine="0" w:firstLineChars="0"/>
              <w:jc w:val="left"/>
              <w:rPr>
                <w:rFonts w:cs="宋体"/>
                <w:color w:val="000000"/>
                <w:kern w:val="0"/>
                <w:szCs w:val="21"/>
              </w:rPr>
            </w:pPr>
            <w:r>
              <w:rPr>
                <w:rFonts w:hint="eastAsia" w:cs="宋体"/>
                <w:color w:val="000000"/>
                <w:kern w:val="0"/>
                <w:szCs w:val="21"/>
              </w:rPr>
              <w:t>安全态势</w:t>
            </w:r>
          </w:p>
        </w:tc>
        <w:tc>
          <w:tcPr>
            <w:tcW w:w="3888" w:type="pct"/>
            <w:shd w:val="clear" w:color="auto" w:fill="auto"/>
            <w:vAlign w:val="center"/>
          </w:tcPr>
          <w:p w14:paraId="3CB7F2E8">
            <w:pPr>
              <w:widowControl/>
              <w:ind w:firstLine="0" w:firstLineChars="0"/>
              <w:jc w:val="left"/>
              <w:rPr>
                <w:rFonts w:cs="宋体"/>
                <w:color w:val="000000"/>
                <w:kern w:val="0"/>
                <w:szCs w:val="21"/>
              </w:rPr>
            </w:pPr>
            <w:r>
              <w:rPr>
                <w:rFonts w:hint="eastAsia" w:cs="宋体"/>
                <w:color w:val="000000"/>
                <w:kern w:val="0"/>
                <w:szCs w:val="21"/>
              </w:rPr>
              <w:t>1.安全威胁大屏</w:t>
            </w:r>
          </w:p>
        </w:tc>
      </w:tr>
      <w:tr w14:paraId="3CF1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75576AED">
            <w:pPr>
              <w:widowControl/>
              <w:jc w:val="left"/>
              <w:rPr>
                <w:rFonts w:cs="宋体"/>
                <w:color w:val="000000"/>
                <w:kern w:val="0"/>
                <w:szCs w:val="21"/>
              </w:rPr>
            </w:pPr>
          </w:p>
        </w:tc>
        <w:tc>
          <w:tcPr>
            <w:tcW w:w="556" w:type="pct"/>
            <w:vMerge w:val="continue"/>
            <w:vAlign w:val="center"/>
          </w:tcPr>
          <w:p w14:paraId="698A69B4">
            <w:pPr>
              <w:widowControl/>
              <w:ind w:firstLine="0" w:firstLineChars="0"/>
              <w:jc w:val="left"/>
              <w:rPr>
                <w:rFonts w:cs="宋体"/>
                <w:color w:val="000000"/>
                <w:kern w:val="0"/>
                <w:szCs w:val="21"/>
              </w:rPr>
            </w:pPr>
          </w:p>
        </w:tc>
        <w:tc>
          <w:tcPr>
            <w:tcW w:w="3888" w:type="pct"/>
            <w:shd w:val="clear" w:color="auto" w:fill="auto"/>
            <w:vAlign w:val="center"/>
          </w:tcPr>
          <w:p w14:paraId="2822A3C0">
            <w:pPr>
              <w:widowControl/>
              <w:ind w:firstLine="0" w:firstLineChars="0"/>
              <w:jc w:val="left"/>
              <w:rPr>
                <w:rFonts w:cs="宋体"/>
                <w:color w:val="000000"/>
                <w:kern w:val="0"/>
                <w:szCs w:val="21"/>
              </w:rPr>
            </w:pPr>
            <w:r>
              <w:rPr>
                <w:rFonts w:hint="eastAsia" w:cs="宋体"/>
                <w:color w:val="000000"/>
                <w:kern w:val="0"/>
                <w:szCs w:val="21"/>
              </w:rPr>
              <w:t>支持查看失陷主机；</w:t>
            </w:r>
          </w:p>
        </w:tc>
      </w:tr>
      <w:tr w14:paraId="7646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245B13DB">
            <w:pPr>
              <w:widowControl/>
              <w:jc w:val="left"/>
              <w:rPr>
                <w:rFonts w:cs="宋体"/>
                <w:color w:val="000000"/>
                <w:kern w:val="0"/>
                <w:szCs w:val="21"/>
              </w:rPr>
            </w:pPr>
          </w:p>
        </w:tc>
        <w:tc>
          <w:tcPr>
            <w:tcW w:w="556" w:type="pct"/>
            <w:vMerge w:val="continue"/>
            <w:vAlign w:val="center"/>
          </w:tcPr>
          <w:p w14:paraId="5411AFE7">
            <w:pPr>
              <w:widowControl/>
              <w:ind w:firstLine="0" w:firstLineChars="0"/>
              <w:jc w:val="left"/>
              <w:rPr>
                <w:rFonts w:cs="宋体"/>
                <w:color w:val="000000"/>
                <w:kern w:val="0"/>
                <w:szCs w:val="21"/>
              </w:rPr>
            </w:pPr>
          </w:p>
        </w:tc>
        <w:tc>
          <w:tcPr>
            <w:tcW w:w="3888" w:type="pct"/>
            <w:shd w:val="clear" w:color="auto" w:fill="auto"/>
            <w:vAlign w:val="center"/>
          </w:tcPr>
          <w:p w14:paraId="5A909EA9">
            <w:pPr>
              <w:widowControl/>
              <w:ind w:firstLine="0" w:firstLineChars="0"/>
              <w:jc w:val="left"/>
              <w:rPr>
                <w:rFonts w:cs="宋体"/>
                <w:color w:val="000000"/>
                <w:kern w:val="0"/>
                <w:szCs w:val="21"/>
              </w:rPr>
            </w:pPr>
            <w:r>
              <w:rPr>
                <w:rFonts w:hint="eastAsia" w:cs="宋体"/>
                <w:color w:val="000000"/>
                <w:kern w:val="0"/>
                <w:szCs w:val="21"/>
              </w:rPr>
              <w:t>支持展示受攻击资产排行、威胁类型、攻击源排行、告警趋势、安全告警、攻击地图等安全信息；</w:t>
            </w:r>
          </w:p>
        </w:tc>
      </w:tr>
      <w:tr w14:paraId="0155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7955800B">
            <w:pPr>
              <w:widowControl/>
              <w:jc w:val="left"/>
              <w:rPr>
                <w:rFonts w:cs="宋体"/>
                <w:color w:val="000000"/>
                <w:kern w:val="0"/>
                <w:szCs w:val="21"/>
              </w:rPr>
            </w:pPr>
          </w:p>
        </w:tc>
        <w:tc>
          <w:tcPr>
            <w:tcW w:w="556" w:type="pct"/>
            <w:vMerge w:val="continue"/>
            <w:vAlign w:val="center"/>
          </w:tcPr>
          <w:p w14:paraId="295F4E89">
            <w:pPr>
              <w:widowControl/>
              <w:ind w:firstLine="0" w:firstLineChars="0"/>
              <w:jc w:val="left"/>
              <w:rPr>
                <w:rFonts w:cs="宋体"/>
                <w:color w:val="000000"/>
                <w:kern w:val="0"/>
                <w:szCs w:val="21"/>
              </w:rPr>
            </w:pPr>
          </w:p>
        </w:tc>
        <w:tc>
          <w:tcPr>
            <w:tcW w:w="3888" w:type="pct"/>
            <w:shd w:val="clear" w:color="auto" w:fill="auto"/>
            <w:vAlign w:val="center"/>
          </w:tcPr>
          <w:p w14:paraId="06809879">
            <w:pPr>
              <w:widowControl/>
              <w:ind w:firstLine="0" w:firstLineChars="0"/>
              <w:jc w:val="left"/>
              <w:rPr>
                <w:rFonts w:cs="宋体"/>
                <w:color w:val="000000"/>
                <w:kern w:val="0"/>
                <w:szCs w:val="21"/>
              </w:rPr>
            </w:pPr>
            <w:r>
              <w:rPr>
                <w:rFonts w:hint="eastAsia" w:cs="宋体"/>
                <w:color w:val="000000"/>
                <w:kern w:val="0"/>
                <w:szCs w:val="21"/>
              </w:rPr>
              <w:t>2.安全流量大屏</w:t>
            </w:r>
          </w:p>
        </w:tc>
      </w:tr>
      <w:tr w14:paraId="4E96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2AF27562">
            <w:pPr>
              <w:widowControl/>
              <w:jc w:val="left"/>
              <w:rPr>
                <w:rFonts w:cs="宋体"/>
                <w:color w:val="000000"/>
                <w:kern w:val="0"/>
                <w:szCs w:val="21"/>
              </w:rPr>
            </w:pPr>
          </w:p>
        </w:tc>
        <w:tc>
          <w:tcPr>
            <w:tcW w:w="556" w:type="pct"/>
            <w:vMerge w:val="continue"/>
            <w:vAlign w:val="center"/>
          </w:tcPr>
          <w:p w14:paraId="03B23961">
            <w:pPr>
              <w:widowControl/>
              <w:ind w:firstLine="0" w:firstLineChars="0"/>
              <w:jc w:val="left"/>
              <w:rPr>
                <w:rFonts w:cs="宋体"/>
                <w:color w:val="000000"/>
                <w:kern w:val="0"/>
                <w:szCs w:val="21"/>
              </w:rPr>
            </w:pPr>
          </w:p>
        </w:tc>
        <w:tc>
          <w:tcPr>
            <w:tcW w:w="3888" w:type="pct"/>
            <w:shd w:val="clear" w:color="auto" w:fill="auto"/>
            <w:vAlign w:val="center"/>
          </w:tcPr>
          <w:p w14:paraId="23988D4A">
            <w:pPr>
              <w:widowControl/>
              <w:ind w:firstLine="0" w:firstLineChars="0"/>
              <w:jc w:val="left"/>
              <w:rPr>
                <w:rFonts w:cs="宋体"/>
                <w:color w:val="000000"/>
                <w:kern w:val="0"/>
                <w:szCs w:val="21"/>
              </w:rPr>
            </w:pPr>
            <w:r>
              <w:rPr>
                <w:rFonts w:hint="eastAsia" w:cs="宋体"/>
                <w:color w:val="000000"/>
                <w:kern w:val="0"/>
                <w:szCs w:val="21"/>
              </w:rPr>
              <w:t>支持查看当前最新攻击告警事件及攻击结果信息；</w:t>
            </w:r>
          </w:p>
        </w:tc>
      </w:tr>
      <w:tr w14:paraId="78A5F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7E5495DD">
            <w:pPr>
              <w:widowControl/>
              <w:jc w:val="left"/>
              <w:rPr>
                <w:rFonts w:cs="宋体"/>
                <w:color w:val="000000"/>
                <w:kern w:val="0"/>
                <w:szCs w:val="21"/>
              </w:rPr>
            </w:pPr>
          </w:p>
        </w:tc>
        <w:tc>
          <w:tcPr>
            <w:tcW w:w="556" w:type="pct"/>
            <w:vMerge w:val="continue"/>
            <w:vAlign w:val="center"/>
          </w:tcPr>
          <w:p w14:paraId="5CEF78AC">
            <w:pPr>
              <w:widowControl/>
              <w:ind w:firstLine="0" w:firstLineChars="0"/>
              <w:jc w:val="left"/>
              <w:rPr>
                <w:rFonts w:cs="宋体"/>
                <w:color w:val="000000"/>
                <w:kern w:val="0"/>
                <w:szCs w:val="21"/>
              </w:rPr>
            </w:pPr>
          </w:p>
        </w:tc>
        <w:tc>
          <w:tcPr>
            <w:tcW w:w="3888" w:type="pct"/>
            <w:shd w:val="clear" w:color="auto" w:fill="auto"/>
            <w:vAlign w:val="center"/>
          </w:tcPr>
          <w:p w14:paraId="7B489C41">
            <w:pPr>
              <w:widowControl/>
              <w:ind w:firstLine="0" w:firstLineChars="0"/>
              <w:jc w:val="left"/>
              <w:rPr>
                <w:rFonts w:cs="宋体"/>
                <w:color w:val="000000"/>
                <w:kern w:val="0"/>
                <w:szCs w:val="21"/>
              </w:rPr>
            </w:pPr>
            <w:r>
              <w:rPr>
                <w:rFonts w:hint="eastAsia" w:cs="宋体"/>
                <w:color w:val="000000"/>
                <w:kern w:val="0"/>
                <w:szCs w:val="21"/>
              </w:rPr>
              <w:t>支持查看资产统计、失陷资产统计、告警统计、外联统计，对攻击流量可查看攻击源IP、目的IP、攻击事件、结果信息；</w:t>
            </w:r>
          </w:p>
        </w:tc>
      </w:tr>
      <w:tr w14:paraId="5EE9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9899AD6">
            <w:pPr>
              <w:widowControl/>
              <w:jc w:val="left"/>
              <w:rPr>
                <w:rFonts w:cs="宋体"/>
                <w:color w:val="000000"/>
                <w:kern w:val="0"/>
                <w:szCs w:val="21"/>
              </w:rPr>
            </w:pPr>
          </w:p>
        </w:tc>
        <w:tc>
          <w:tcPr>
            <w:tcW w:w="556" w:type="pct"/>
            <w:vMerge w:val="continue"/>
            <w:vAlign w:val="center"/>
          </w:tcPr>
          <w:p w14:paraId="1FA41D76">
            <w:pPr>
              <w:widowControl/>
              <w:ind w:firstLine="0" w:firstLineChars="0"/>
              <w:jc w:val="left"/>
              <w:rPr>
                <w:rFonts w:cs="宋体"/>
                <w:color w:val="000000"/>
                <w:kern w:val="0"/>
                <w:szCs w:val="21"/>
              </w:rPr>
            </w:pPr>
          </w:p>
        </w:tc>
        <w:tc>
          <w:tcPr>
            <w:tcW w:w="3888" w:type="pct"/>
            <w:shd w:val="clear" w:color="auto" w:fill="auto"/>
            <w:vAlign w:val="center"/>
          </w:tcPr>
          <w:p w14:paraId="705AC7F2">
            <w:pPr>
              <w:widowControl/>
              <w:ind w:firstLine="0" w:firstLineChars="0"/>
              <w:jc w:val="left"/>
              <w:rPr>
                <w:rFonts w:cs="宋体"/>
                <w:color w:val="000000"/>
                <w:kern w:val="0"/>
                <w:szCs w:val="21"/>
              </w:rPr>
            </w:pPr>
            <w:r>
              <w:rPr>
                <w:rFonts w:hint="eastAsia" w:cs="宋体"/>
                <w:color w:val="000000"/>
                <w:kern w:val="0"/>
                <w:szCs w:val="21"/>
              </w:rPr>
              <w:t>支持查看被访问资产、受攻击、外联资产、流量、访问趋势等信息；</w:t>
            </w:r>
          </w:p>
        </w:tc>
      </w:tr>
      <w:tr w14:paraId="04F8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1390A1B">
            <w:pPr>
              <w:widowControl/>
              <w:jc w:val="left"/>
              <w:rPr>
                <w:rFonts w:cs="宋体"/>
                <w:color w:val="000000"/>
                <w:kern w:val="0"/>
                <w:szCs w:val="21"/>
              </w:rPr>
            </w:pPr>
          </w:p>
        </w:tc>
        <w:tc>
          <w:tcPr>
            <w:tcW w:w="556" w:type="pct"/>
            <w:vMerge w:val="continue"/>
            <w:vAlign w:val="center"/>
          </w:tcPr>
          <w:p w14:paraId="12C18694">
            <w:pPr>
              <w:widowControl/>
              <w:ind w:firstLine="0" w:firstLineChars="0"/>
              <w:jc w:val="left"/>
              <w:rPr>
                <w:rFonts w:cs="宋体"/>
                <w:color w:val="000000"/>
                <w:kern w:val="0"/>
                <w:szCs w:val="21"/>
              </w:rPr>
            </w:pPr>
          </w:p>
        </w:tc>
        <w:tc>
          <w:tcPr>
            <w:tcW w:w="3888" w:type="pct"/>
            <w:shd w:val="clear" w:color="auto" w:fill="auto"/>
            <w:vAlign w:val="center"/>
          </w:tcPr>
          <w:p w14:paraId="7734C26A">
            <w:pPr>
              <w:widowControl/>
              <w:ind w:firstLine="0" w:firstLineChars="0"/>
              <w:jc w:val="left"/>
              <w:rPr>
                <w:rFonts w:cs="宋体"/>
                <w:color w:val="000000"/>
                <w:kern w:val="0"/>
                <w:szCs w:val="21"/>
              </w:rPr>
            </w:pPr>
            <w:r>
              <w:rPr>
                <w:rFonts w:hint="eastAsia" w:cs="宋体"/>
                <w:color w:val="000000"/>
                <w:kern w:val="0"/>
                <w:szCs w:val="21"/>
              </w:rPr>
              <w:t>3.脆弱性大屏</w:t>
            </w:r>
          </w:p>
        </w:tc>
      </w:tr>
      <w:tr w14:paraId="4CED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64A52BBC">
            <w:pPr>
              <w:widowControl/>
              <w:jc w:val="left"/>
              <w:rPr>
                <w:rFonts w:cs="宋体"/>
                <w:color w:val="000000"/>
                <w:kern w:val="0"/>
                <w:szCs w:val="21"/>
              </w:rPr>
            </w:pPr>
          </w:p>
        </w:tc>
        <w:tc>
          <w:tcPr>
            <w:tcW w:w="556" w:type="pct"/>
            <w:vMerge w:val="continue"/>
            <w:vAlign w:val="center"/>
          </w:tcPr>
          <w:p w14:paraId="785D78AD">
            <w:pPr>
              <w:widowControl/>
              <w:ind w:firstLine="0" w:firstLineChars="0"/>
              <w:jc w:val="left"/>
              <w:rPr>
                <w:rFonts w:cs="宋体"/>
                <w:color w:val="000000"/>
                <w:kern w:val="0"/>
                <w:szCs w:val="21"/>
              </w:rPr>
            </w:pPr>
          </w:p>
        </w:tc>
        <w:tc>
          <w:tcPr>
            <w:tcW w:w="3888" w:type="pct"/>
            <w:shd w:val="clear" w:color="auto" w:fill="auto"/>
            <w:vAlign w:val="center"/>
          </w:tcPr>
          <w:p w14:paraId="34ED311C">
            <w:pPr>
              <w:widowControl/>
              <w:ind w:firstLine="0" w:firstLineChars="0"/>
              <w:jc w:val="left"/>
              <w:rPr>
                <w:rFonts w:cs="宋体"/>
                <w:color w:val="000000"/>
                <w:kern w:val="0"/>
                <w:szCs w:val="21"/>
              </w:rPr>
            </w:pPr>
            <w:r>
              <w:rPr>
                <w:rFonts w:hint="eastAsia" w:cs="宋体"/>
                <w:color w:val="000000"/>
                <w:kern w:val="0"/>
                <w:szCs w:val="21"/>
              </w:rPr>
              <w:t>支持展示全局资产风险值态势，包括资产漏洞、弱口令等；</w:t>
            </w:r>
          </w:p>
        </w:tc>
      </w:tr>
      <w:tr w14:paraId="7247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6" w:type="pct"/>
            <w:vMerge w:val="continue"/>
            <w:vAlign w:val="center"/>
          </w:tcPr>
          <w:p w14:paraId="6C443728">
            <w:pPr>
              <w:widowControl/>
              <w:jc w:val="left"/>
              <w:rPr>
                <w:rFonts w:cs="宋体"/>
                <w:color w:val="000000"/>
                <w:kern w:val="0"/>
                <w:szCs w:val="21"/>
              </w:rPr>
            </w:pPr>
          </w:p>
        </w:tc>
        <w:tc>
          <w:tcPr>
            <w:tcW w:w="556" w:type="pct"/>
            <w:vMerge w:val="continue"/>
            <w:vAlign w:val="center"/>
          </w:tcPr>
          <w:p w14:paraId="2EDB0BA3">
            <w:pPr>
              <w:widowControl/>
              <w:ind w:firstLine="0" w:firstLineChars="0"/>
              <w:jc w:val="left"/>
              <w:rPr>
                <w:rFonts w:cs="宋体"/>
                <w:color w:val="000000"/>
                <w:kern w:val="0"/>
                <w:szCs w:val="21"/>
              </w:rPr>
            </w:pPr>
          </w:p>
        </w:tc>
        <w:tc>
          <w:tcPr>
            <w:tcW w:w="3888" w:type="pct"/>
            <w:shd w:val="clear" w:color="auto" w:fill="auto"/>
            <w:vAlign w:val="center"/>
          </w:tcPr>
          <w:p w14:paraId="26885092">
            <w:pPr>
              <w:widowControl/>
              <w:ind w:firstLine="0" w:firstLineChars="0"/>
              <w:jc w:val="left"/>
              <w:rPr>
                <w:rFonts w:cs="宋体"/>
                <w:color w:val="000000"/>
                <w:kern w:val="0"/>
                <w:szCs w:val="21"/>
              </w:rPr>
            </w:pPr>
            <w:r>
              <w:rPr>
                <w:rFonts w:hint="eastAsia" w:cs="宋体"/>
                <w:color w:val="000000"/>
                <w:kern w:val="0"/>
                <w:szCs w:val="21"/>
              </w:rPr>
              <w:t>支持展示所有高危风险资产，按照风险值排序；</w:t>
            </w:r>
          </w:p>
        </w:tc>
      </w:tr>
      <w:tr w14:paraId="542CF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56" w:type="pct"/>
            <w:vMerge w:val="continue"/>
            <w:vAlign w:val="center"/>
          </w:tcPr>
          <w:p w14:paraId="319E41C5">
            <w:pPr>
              <w:widowControl/>
              <w:jc w:val="left"/>
              <w:rPr>
                <w:rFonts w:cs="宋体"/>
                <w:color w:val="000000"/>
                <w:kern w:val="0"/>
                <w:szCs w:val="21"/>
              </w:rPr>
            </w:pPr>
          </w:p>
        </w:tc>
        <w:tc>
          <w:tcPr>
            <w:tcW w:w="556" w:type="pct"/>
            <w:vMerge w:val="restart"/>
            <w:shd w:val="clear" w:color="auto" w:fill="auto"/>
            <w:vAlign w:val="center"/>
          </w:tcPr>
          <w:p w14:paraId="34289566">
            <w:pPr>
              <w:widowControl/>
              <w:ind w:firstLine="0" w:firstLineChars="0"/>
              <w:jc w:val="left"/>
              <w:rPr>
                <w:rFonts w:cs="宋体"/>
                <w:color w:val="000000"/>
                <w:kern w:val="0"/>
                <w:szCs w:val="21"/>
              </w:rPr>
            </w:pPr>
            <w:r>
              <w:rPr>
                <w:rFonts w:hint="eastAsia" w:cs="宋体"/>
                <w:color w:val="000000"/>
                <w:kern w:val="0"/>
                <w:szCs w:val="21"/>
              </w:rPr>
              <w:t>资产管理</w:t>
            </w:r>
          </w:p>
        </w:tc>
        <w:tc>
          <w:tcPr>
            <w:tcW w:w="3888" w:type="pct"/>
            <w:shd w:val="clear" w:color="auto" w:fill="auto"/>
            <w:vAlign w:val="center"/>
          </w:tcPr>
          <w:p w14:paraId="1628B6B1">
            <w:pPr>
              <w:widowControl/>
              <w:ind w:firstLine="0" w:firstLineChars="0"/>
              <w:jc w:val="left"/>
              <w:rPr>
                <w:rFonts w:cs="宋体"/>
                <w:color w:val="000000"/>
                <w:kern w:val="0"/>
                <w:szCs w:val="21"/>
              </w:rPr>
            </w:pPr>
            <w:r>
              <w:rPr>
                <w:rFonts w:hint="eastAsia" w:cs="宋体"/>
                <w:color w:val="000000"/>
                <w:kern w:val="0"/>
                <w:szCs w:val="21"/>
              </w:rPr>
              <w:t>支持与现有高院运维管理平台进行对接，以接口API的方式，接收平台管理的资产信息；</w:t>
            </w:r>
          </w:p>
        </w:tc>
      </w:tr>
      <w:tr w14:paraId="4E45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17150202">
            <w:pPr>
              <w:widowControl/>
              <w:jc w:val="left"/>
              <w:rPr>
                <w:rFonts w:cs="宋体"/>
                <w:color w:val="000000"/>
                <w:kern w:val="0"/>
                <w:szCs w:val="21"/>
              </w:rPr>
            </w:pPr>
          </w:p>
        </w:tc>
        <w:tc>
          <w:tcPr>
            <w:tcW w:w="556" w:type="pct"/>
            <w:vMerge w:val="continue"/>
            <w:vAlign w:val="center"/>
          </w:tcPr>
          <w:p w14:paraId="72E75B56">
            <w:pPr>
              <w:widowControl/>
              <w:ind w:firstLine="0" w:firstLineChars="0"/>
              <w:jc w:val="left"/>
              <w:rPr>
                <w:rFonts w:cs="宋体"/>
                <w:color w:val="000000"/>
                <w:kern w:val="0"/>
                <w:szCs w:val="21"/>
              </w:rPr>
            </w:pPr>
          </w:p>
        </w:tc>
        <w:tc>
          <w:tcPr>
            <w:tcW w:w="3888" w:type="pct"/>
            <w:shd w:val="clear" w:color="auto" w:fill="auto"/>
            <w:vAlign w:val="center"/>
          </w:tcPr>
          <w:p w14:paraId="49FE2106">
            <w:pPr>
              <w:widowControl/>
              <w:ind w:firstLine="0" w:firstLineChars="0"/>
              <w:jc w:val="left"/>
              <w:rPr>
                <w:rFonts w:cs="宋体"/>
                <w:color w:val="000000"/>
                <w:kern w:val="0"/>
                <w:szCs w:val="21"/>
              </w:rPr>
            </w:pPr>
            <w:r>
              <w:rPr>
                <w:rFonts w:hint="eastAsia" w:cs="宋体"/>
                <w:color w:val="000000"/>
                <w:kern w:val="0"/>
                <w:szCs w:val="21"/>
              </w:rPr>
              <w:t>支持收集和展示主机、网站、数据库资产相关信息；</w:t>
            </w:r>
          </w:p>
        </w:tc>
      </w:tr>
      <w:tr w14:paraId="4788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6D03F558">
            <w:pPr>
              <w:widowControl/>
              <w:jc w:val="left"/>
              <w:rPr>
                <w:rFonts w:cs="宋体"/>
                <w:color w:val="000000"/>
                <w:kern w:val="0"/>
                <w:szCs w:val="21"/>
              </w:rPr>
            </w:pPr>
          </w:p>
        </w:tc>
        <w:tc>
          <w:tcPr>
            <w:tcW w:w="556" w:type="pct"/>
            <w:vMerge w:val="continue"/>
            <w:vAlign w:val="center"/>
          </w:tcPr>
          <w:p w14:paraId="4E3665E0">
            <w:pPr>
              <w:widowControl/>
              <w:ind w:firstLine="0" w:firstLineChars="0"/>
              <w:jc w:val="left"/>
              <w:rPr>
                <w:rFonts w:cs="宋体"/>
                <w:color w:val="000000"/>
                <w:kern w:val="0"/>
                <w:szCs w:val="21"/>
              </w:rPr>
            </w:pPr>
          </w:p>
        </w:tc>
        <w:tc>
          <w:tcPr>
            <w:tcW w:w="3888" w:type="pct"/>
            <w:shd w:val="clear" w:color="auto" w:fill="auto"/>
            <w:vAlign w:val="center"/>
          </w:tcPr>
          <w:p w14:paraId="380FF858">
            <w:pPr>
              <w:widowControl/>
              <w:ind w:firstLine="0" w:firstLineChars="0"/>
              <w:jc w:val="left"/>
              <w:rPr>
                <w:rFonts w:cs="宋体"/>
                <w:color w:val="000000"/>
                <w:kern w:val="0"/>
                <w:szCs w:val="21"/>
              </w:rPr>
            </w:pPr>
            <w:r>
              <w:rPr>
                <w:rFonts w:hint="eastAsia" w:cs="宋体"/>
                <w:color w:val="000000"/>
                <w:kern w:val="0"/>
                <w:szCs w:val="21"/>
              </w:rPr>
              <w:t>支持展示接入的资产数量信息及占比情况，包括资产类型分布；</w:t>
            </w:r>
          </w:p>
        </w:tc>
      </w:tr>
      <w:tr w14:paraId="4FCD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56" w:type="pct"/>
            <w:vMerge w:val="continue"/>
            <w:vAlign w:val="center"/>
          </w:tcPr>
          <w:p w14:paraId="0A6E1E59">
            <w:pPr>
              <w:widowControl/>
              <w:jc w:val="left"/>
              <w:rPr>
                <w:rFonts w:cs="宋体"/>
                <w:color w:val="000000"/>
                <w:kern w:val="0"/>
                <w:szCs w:val="21"/>
              </w:rPr>
            </w:pPr>
          </w:p>
        </w:tc>
        <w:tc>
          <w:tcPr>
            <w:tcW w:w="556" w:type="pct"/>
            <w:vMerge w:val="continue"/>
            <w:vAlign w:val="center"/>
          </w:tcPr>
          <w:p w14:paraId="0DBAC1D9">
            <w:pPr>
              <w:widowControl/>
              <w:ind w:firstLine="0" w:firstLineChars="0"/>
              <w:jc w:val="left"/>
              <w:rPr>
                <w:rFonts w:cs="宋体"/>
                <w:color w:val="000000"/>
                <w:kern w:val="0"/>
                <w:szCs w:val="21"/>
              </w:rPr>
            </w:pPr>
          </w:p>
        </w:tc>
        <w:tc>
          <w:tcPr>
            <w:tcW w:w="3888" w:type="pct"/>
            <w:shd w:val="clear" w:color="auto" w:fill="auto"/>
            <w:vAlign w:val="center"/>
          </w:tcPr>
          <w:p w14:paraId="7B1782C4">
            <w:pPr>
              <w:widowControl/>
              <w:ind w:firstLine="0" w:firstLineChars="0"/>
              <w:jc w:val="left"/>
              <w:rPr>
                <w:rFonts w:cs="宋体"/>
                <w:color w:val="000000"/>
                <w:kern w:val="0"/>
                <w:szCs w:val="21"/>
              </w:rPr>
            </w:pPr>
            <w:r>
              <w:rPr>
                <w:rFonts w:hint="eastAsia" w:cs="宋体"/>
                <w:color w:val="000000"/>
                <w:kern w:val="0"/>
                <w:szCs w:val="21"/>
              </w:rPr>
              <w:t>支持展示、查看所有主机的资产指纹信息，支持资产指纹详情展示，包含：进程名、进程路径、PID、启动用户、启动时间、运行时间、命令行、父进程PID等；</w:t>
            </w:r>
          </w:p>
        </w:tc>
      </w:tr>
      <w:tr w14:paraId="4EFC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56" w:type="pct"/>
            <w:vMerge w:val="continue"/>
            <w:vAlign w:val="center"/>
          </w:tcPr>
          <w:p w14:paraId="2EF3A836">
            <w:pPr>
              <w:widowControl/>
              <w:jc w:val="left"/>
              <w:rPr>
                <w:rFonts w:cs="宋体"/>
                <w:color w:val="000000"/>
                <w:kern w:val="0"/>
                <w:szCs w:val="21"/>
              </w:rPr>
            </w:pPr>
          </w:p>
        </w:tc>
        <w:tc>
          <w:tcPr>
            <w:tcW w:w="556" w:type="pct"/>
            <w:vMerge w:val="restart"/>
            <w:shd w:val="clear" w:color="auto" w:fill="auto"/>
            <w:vAlign w:val="center"/>
          </w:tcPr>
          <w:p w14:paraId="29661BE0">
            <w:pPr>
              <w:widowControl/>
              <w:ind w:firstLine="0" w:firstLineChars="0"/>
              <w:jc w:val="left"/>
              <w:rPr>
                <w:rFonts w:cs="宋体"/>
                <w:color w:val="000000"/>
                <w:kern w:val="0"/>
                <w:szCs w:val="21"/>
              </w:rPr>
            </w:pPr>
            <w:r>
              <w:rPr>
                <w:rFonts w:hint="eastAsia" w:cs="宋体"/>
                <w:color w:val="000000"/>
                <w:kern w:val="0"/>
                <w:szCs w:val="21"/>
              </w:rPr>
              <w:t>资产指纹</w:t>
            </w:r>
          </w:p>
        </w:tc>
        <w:tc>
          <w:tcPr>
            <w:tcW w:w="3888" w:type="pct"/>
            <w:shd w:val="clear" w:color="auto" w:fill="auto"/>
            <w:vAlign w:val="center"/>
          </w:tcPr>
          <w:p w14:paraId="5FADC4E9">
            <w:pPr>
              <w:widowControl/>
              <w:ind w:firstLine="0" w:firstLineChars="0"/>
              <w:jc w:val="left"/>
              <w:rPr>
                <w:rFonts w:cs="宋体"/>
                <w:color w:val="000000"/>
                <w:kern w:val="0"/>
                <w:szCs w:val="21"/>
              </w:rPr>
            </w:pPr>
            <w:r>
              <w:rPr>
                <w:rFonts w:hint="eastAsia" w:cs="宋体"/>
                <w:color w:val="000000"/>
                <w:kern w:val="0"/>
                <w:szCs w:val="21"/>
              </w:rPr>
              <w:t>支持与主机安全管控系统进行对接，通过API接口等方式，定时获取主机资产信息，建立资产指纹信息和档案；</w:t>
            </w:r>
          </w:p>
        </w:tc>
      </w:tr>
      <w:tr w14:paraId="29C1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56" w:type="pct"/>
            <w:vMerge w:val="continue"/>
            <w:vAlign w:val="center"/>
          </w:tcPr>
          <w:p w14:paraId="2D4D9038">
            <w:pPr>
              <w:widowControl/>
              <w:jc w:val="left"/>
              <w:rPr>
                <w:rFonts w:cs="宋体"/>
                <w:color w:val="000000"/>
                <w:kern w:val="0"/>
                <w:szCs w:val="21"/>
              </w:rPr>
            </w:pPr>
          </w:p>
        </w:tc>
        <w:tc>
          <w:tcPr>
            <w:tcW w:w="556" w:type="pct"/>
            <w:vMerge w:val="continue"/>
            <w:vAlign w:val="center"/>
          </w:tcPr>
          <w:p w14:paraId="081546DB">
            <w:pPr>
              <w:widowControl/>
              <w:ind w:firstLine="0" w:firstLineChars="0"/>
              <w:jc w:val="left"/>
              <w:rPr>
                <w:rFonts w:cs="宋体"/>
                <w:color w:val="000000"/>
                <w:kern w:val="0"/>
                <w:szCs w:val="21"/>
              </w:rPr>
            </w:pPr>
          </w:p>
        </w:tc>
        <w:tc>
          <w:tcPr>
            <w:tcW w:w="3888" w:type="pct"/>
            <w:shd w:val="clear" w:color="auto" w:fill="auto"/>
            <w:vAlign w:val="center"/>
          </w:tcPr>
          <w:p w14:paraId="65A36F9E">
            <w:pPr>
              <w:widowControl/>
              <w:ind w:firstLine="0" w:firstLineChars="0"/>
              <w:jc w:val="left"/>
              <w:rPr>
                <w:rFonts w:cs="宋体"/>
                <w:color w:val="000000"/>
                <w:kern w:val="0"/>
                <w:szCs w:val="21"/>
              </w:rPr>
            </w:pPr>
            <w:r>
              <w:rPr>
                <w:rFonts w:hint="eastAsia" w:cs="宋体"/>
                <w:color w:val="000000"/>
                <w:kern w:val="0"/>
                <w:szCs w:val="21"/>
              </w:rPr>
              <w:t>支持对端口、计划任务、账号、启动项的异常指纹分析，提供判定结果等异常结果，进行异常指纹判断；</w:t>
            </w:r>
          </w:p>
        </w:tc>
      </w:tr>
      <w:tr w14:paraId="0EBD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223D2971">
            <w:pPr>
              <w:widowControl/>
              <w:jc w:val="left"/>
              <w:rPr>
                <w:rFonts w:cs="宋体"/>
                <w:color w:val="000000"/>
                <w:kern w:val="0"/>
                <w:szCs w:val="21"/>
              </w:rPr>
            </w:pPr>
          </w:p>
        </w:tc>
        <w:tc>
          <w:tcPr>
            <w:tcW w:w="556" w:type="pct"/>
            <w:vMerge w:val="restart"/>
            <w:shd w:val="clear" w:color="auto" w:fill="auto"/>
            <w:vAlign w:val="center"/>
          </w:tcPr>
          <w:p w14:paraId="2E2D0392">
            <w:pPr>
              <w:widowControl/>
              <w:ind w:firstLine="0" w:firstLineChars="0"/>
              <w:jc w:val="left"/>
              <w:rPr>
                <w:rFonts w:cs="宋体"/>
                <w:color w:val="000000"/>
                <w:kern w:val="0"/>
                <w:szCs w:val="21"/>
              </w:rPr>
            </w:pPr>
            <w:r>
              <w:rPr>
                <w:rFonts w:hint="eastAsia" w:cs="宋体"/>
                <w:color w:val="000000"/>
                <w:kern w:val="0"/>
                <w:szCs w:val="21"/>
              </w:rPr>
              <w:t>风险评估</w:t>
            </w:r>
          </w:p>
        </w:tc>
        <w:tc>
          <w:tcPr>
            <w:tcW w:w="3888" w:type="pct"/>
            <w:shd w:val="clear" w:color="auto" w:fill="auto"/>
            <w:vAlign w:val="center"/>
          </w:tcPr>
          <w:p w14:paraId="33D1FA9D">
            <w:pPr>
              <w:widowControl/>
              <w:ind w:firstLine="0" w:firstLineChars="0"/>
              <w:jc w:val="left"/>
              <w:rPr>
                <w:rFonts w:cs="宋体"/>
                <w:color w:val="000000"/>
                <w:kern w:val="0"/>
                <w:szCs w:val="21"/>
              </w:rPr>
            </w:pPr>
            <w:r>
              <w:rPr>
                <w:rFonts w:hint="eastAsia" w:cs="宋体"/>
                <w:color w:val="000000"/>
                <w:kern w:val="0"/>
                <w:szCs w:val="21"/>
              </w:rPr>
              <w:t>支持漏洞的分类管理和统计；</w:t>
            </w:r>
          </w:p>
        </w:tc>
      </w:tr>
      <w:tr w14:paraId="6E10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3A460555">
            <w:pPr>
              <w:widowControl/>
              <w:jc w:val="left"/>
              <w:rPr>
                <w:rFonts w:cs="宋体"/>
                <w:color w:val="000000"/>
                <w:kern w:val="0"/>
                <w:szCs w:val="21"/>
              </w:rPr>
            </w:pPr>
          </w:p>
        </w:tc>
        <w:tc>
          <w:tcPr>
            <w:tcW w:w="556" w:type="pct"/>
            <w:vMerge w:val="continue"/>
            <w:vAlign w:val="center"/>
          </w:tcPr>
          <w:p w14:paraId="428C9323">
            <w:pPr>
              <w:widowControl/>
              <w:ind w:firstLine="0" w:firstLineChars="0"/>
              <w:jc w:val="left"/>
              <w:rPr>
                <w:rFonts w:cs="宋体"/>
                <w:color w:val="000000"/>
                <w:kern w:val="0"/>
                <w:szCs w:val="21"/>
              </w:rPr>
            </w:pPr>
          </w:p>
        </w:tc>
        <w:tc>
          <w:tcPr>
            <w:tcW w:w="3888" w:type="pct"/>
            <w:shd w:val="clear" w:color="auto" w:fill="auto"/>
            <w:vAlign w:val="center"/>
          </w:tcPr>
          <w:p w14:paraId="11C5512C">
            <w:pPr>
              <w:widowControl/>
              <w:ind w:firstLine="0" w:firstLineChars="0"/>
              <w:jc w:val="left"/>
              <w:rPr>
                <w:rFonts w:cs="宋体"/>
                <w:color w:val="000000"/>
                <w:kern w:val="0"/>
                <w:szCs w:val="21"/>
              </w:rPr>
            </w:pPr>
            <w:r>
              <w:rPr>
                <w:rFonts w:hint="eastAsia" w:cs="宋体"/>
                <w:color w:val="000000"/>
                <w:kern w:val="0"/>
                <w:szCs w:val="21"/>
              </w:rPr>
              <w:t>支持展示资产漏洞分布情况，包括漏洞的严重性、漏洞名称、CVE编号、受影响的资产等；</w:t>
            </w:r>
          </w:p>
        </w:tc>
      </w:tr>
      <w:tr w14:paraId="32D7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1DD7B71C">
            <w:pPr>
              <w:widowControl/>
              <w:jc w:val="left"/>
              <w:rPr>
                <w:rFonts w:cs="宋体"/>
                <w:color w:val="000000"/>
                <w:kern w:val="0"/>
                <w:szCs w:val="21"/>
              </w:rPr>
            </w:pPr>
          </w:p>
        </w:tc>
        <w:tc>
          <w:tcPr>
            <w:tcW w:w="556" w:type="pct"/>
            <w:vMerge w:val="continue"/>
            <w:vAlign w:val="center"/>
          </w:tcPr>
          <w:p w14:paraId="5183B5E5">
            <w:pPr>
              <w:widowControl/>
              <w:ind w:firstLine="0" w:firstLineChars="0"/>
              <w:jc w:val="left"/>
              <w:rPr>
                <w:rFonts w:cs="宋体"/>
                <w:color w:val="000000"/>
                <w:kern w:val="0"/>
                <w:szCs w:val="21"/>
              </w:rPr>
            </w:pPr>
          </w:p>
        </w:tc>
        <w:tc>
          <w:tcPr>
            <w:tcW w:w="3888" w:type="pct"/>
            <w:shd w:val="clear" w:color="auto" w:fill="auto"/>
            <w:vAlign w:val="center"/>
          </w:tcPr>
          <w:p w14:paraId="1EF906E6">
            <w:pPr>
              <w:widowControl/>
              <w:ind w:firstLine="0" w:firstLineChars="0"/>
              <w:jc w:val="left"/>
              <w:rPr>
                <w:rFonts w:cs="宋体"/>
                <w:color w:val="000000"/>
                <w:kern w:val="0"/>
                <w:szCs w:val="21"/>
              </w:rPr>
            </w:pPr>
            <w:r>
              <w:rPr>
                <w:rFonts w:hint="eastAsia" w:cs="宋体"/>
                <w:color w:val="000000"/>
                <w:kern w:val="0"/>
                <w:szCs w:val="21"/>
              </w:rPr>
              <w:t>支持主机漏洞展示所在路径、受影响版本、服务、协议、端口等信息；</w:t>
            </w:r>
          </w:p>
        </w:tc>
      </w:tr>
      <w:tr w14:paraId="1544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5BE44C96">
            <w:pPr>
              <w:widowControl/>
              <w:jc w:val="left"/>
              <w:rPr>
                <w:rFonts w:cs="宋体"/>
                <w:color w:val="000000"/>
                <w:kern w:val="0"/>
                <w:szCs w:val="21"/>
              </w:rPr>
            </w:pPr>
          </w:p>
        </w:tc>
        <w:tc>
          <w:tcPr>
            <w:tcW w:w="556" w:type="pct"/>
            <w:vMerge w:val="continue"/>
            <w:vAlign w:val="center"/>
          </w:tcPr>
          <w:p w14:paraId="6A7B2648">
            <w:pPr>
              <w:widowControl/>
              <w:ind w:firstLine="0" w:firstLineChars="0"/>
              <w:jc w:val="left"/>
              <w:rPr>
                <w:rFonts w:cs="宋体"/>
                <w:color w:val="000000"/>
                <w:kern w:val="0"/>
                <w:szCs w:val="21"/>
              </w:rPr>
            </w:pPr>
          </w:p>
        </w:tc>
        <w:tc>
          <w:tcPr>
            <w:tcW w:w="3888" w:type="pct"/>
            <w:shd w:val="clear" w:color="auto" w:fill="auto"/>
            <w:vAlign w:val="center"/>
          </w:tcPr>
          <w:p w14:paraId="0CB96B6E">
            <w:pPr>
              <w:widowControl/>
              <w:ind w:firstLine="0" w:firstLineChars="0"/>
              <w:jc w:val="left"/>
              <w:rPr>
                <w:rFonts w:cs="宋体"/>
                <w:color w:val="000000"/>
                <w:kern w:val="0"/>
                <w:szCs w:val="21"/>
              </w:rPr>
            </w:pPr>
            <w:r>
              <w:rPr>
                <w:rFonts w:hint="eastAsia" w:cs="宋体"/>
                <w:color w:val="000000"/>
                <w:kern w:val="0"/>
                <w:szCs w:val="21"/>
              </w:rPr>
              <w:t>支持单个、多个漏洞的验证和批量验证；</w:t>
            </w:r>
          </w:p>
        </w:tc>
      </w:tr>
      <w:tr w14:paraId="12CC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0856809D">
            <w:pPr>
              <w:widowControl/>
              <w:jc w:val="left"/>
              <w:rPr>
                <w:rFonts w:cs="宋体"/>
                <w:color w:val="000000"/>
                <w:kern w:val="0"/>
                <w:szCs w:val="21"/>
              </w:rPr>
            </w:pPr>
          </w:p>
        </w:tc>
        <w:tc>
          <w:tcPr>
            <w:tcW w:w="556" w:type="pct"/>
            <w:vMerge w:val="continue"/>
            <w:vAlign w:val="center"/>
          </w:tcPr>
          <w:p w14:paraId="6DA44D6B">
            <w:pPr>
              <w:widowControl/>
              <w:ind w:firstLine="0" w:firstLineChars="0"/>
              <w:jc w:val="left"/>
              <w:rPr>
                <w:rFonts w:cs="宋体"/>
                <w:color w:val="000000"/>
                <w:kern w:val="0"/>
                <w:szCs w:val="21"/>
              </w:rPr>
            </w:pPr>
          </w:p>
        </w:tc>
        <w:tc>
          <w:tcPr>
            <w:tcW w:w="3888" w:type="pct"/>
            <w:shd w:val="clear" w:color="auto" w:fill="auto"/>
            <w:vAlign w:val="center"/>
          </w:tcPr>
          <w:p w14:paraId="2529A527">
            <w:pPr>
              <w:widowControl/>
              <w:ind w:firstLine="0" w:firstLineChars="0"/>
              <w:jc w:val="left"/>
              <w:rPr>
                <w:rFonts w:cs="宋体"/>
                <w:color w:val="000000"/>
                <w:kern w:val="0"/>
                <w:szCs w:val="21"/>
              </w:rPr>
            </w:pPr>
            <w:r>
              <w:rPr>
                <w:rFonts w:hint="eastAsia" w:cs="宋体"/>
                <w:color w:val="000000"/>
                <w:kern w:val="0"/>
                <w:szCs w:val="21"/>
              </w:rPr>
              <w:t>支持展示存在弱口令的资产总数；</w:t>
            </w:r>
          </w:p>
        </w:tc>
      </w:tr>
      <w:tr w14:paraId="299B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05A86B14">
            <w:pPr>
              <w:widowControl/>
              <w:jc w:val="left"/>
              <w:rPr>
                <w:rFonts w:cs="宋体"/>
                <w:color w:val="000000"/>
                <w:kern w:val="0"/>
                <w:szCs w:val="21"/>
              </w:rPr>
            </w:pPr>
          </w:p>
        </w:tc>
        <w:tc>
          <w:tcPr>
            <w:tcW w:w="556" w:type="pct"/>
            <w:vMerge w:val="continue"/>
            <w:vAlign w:val="center"/>
          </w:tcPr>
          <w:p w14:paraId="54047582">
            <w:pPr>
              <w:widowControl/>
              <w:ind w:firstLine="0" w:firstLineChars="0"/>
              <w:jc w:val="left"/>
              <w:rPr>
                <w:rFonts w:cs="宋体"/>
                <w:color w:val="000000"/>
                <w:kern w:val="0"/>
                <w:szCs w:val="21"/>
              </w:rPr>
            </w:pPr>
          </w:p>
        </w:tc>
        <w:tc>
          <w:tcPr>
            <w:tcW w:w="3888" w:type="pct"/>
            <w:shd w:val="clear" w:color="auto" w:fill="auto"/>
            <w:vAlign w:val="center"/>
          </w:tcPr>
          <w:p w14:paraId="72C595FD">
            <w:pPr>
              <w:widowControl/>
              <w:ind w:firstLine="0" w:firstLineChars="0"/>
              <w:jc w:val="left"/>
              <w:rPr>
                <w:rFonts w:cs="宋体"/>
                <w:color w:val="000000"/>
                <w:kern w:val="0"/>
                <w:szCs w:val="21"/>
              </w:rPr>
            </w:pPr>
            <w:r>
              <w:rPr>
                <w:rFonts w:hint="eastAsia" w:cs="宋体"/>
                <w:color w:val="000000"/>
                <w:kern w:val="0"/>
                <w:szCs w:val="21"/>
              </w:rPr>
              <w:t>支持单个、多个主机弱口令验证；</w:t>
            </w:r>
          </w:p>
        </w:tc>
      </w:tr>
      <w:tr w14:paraId="5A0C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6" w:type="pct"/>
            <w:vMerge w:val="continue"/>
            <w:vAlign w:val="center"/>
          </w:tcPr>
          <w:p w14:paraId="62DF024C">
            <w:pPr>
              <w:widowControl/>
              <w:jc w:val="left"/>
              <w:rPr>
                <w:rFonts w:cs="宋体"/>
                <w:color w:val="000000"/>
                <w:kern w:val="0"/>
                <w:szCs w:val="21"/>
              </w:rPr>
            </w:pPr>
          </w:p>
        </w:tc>
        <w:tc>
          <w:tcPr>
            <w:tcW w:w="556" w:type="pct"/>
            <w:vMerge w:val="continue"/>
            <w:vAlign w:val="center"/>
          </w:tcPr>
          <w:p w14:paraId="16A23801">
            <w:pPr>
              <w:widowControl/>
              <w:ind w:firstLine="0" w:firstLineChars="0"/>
              <w:jc w:val="left"/>
              <w:rPr>
                <w:rFonts w:cs="宋体"/>
                <w:color w:val="000000"/>
                <w:kern w:val="0"/>
                <w:szCs w:val="21"/>
              </w:rPr>
            </w:pPr>
          </w:p>
        </w:tc>
        <w:tc>
          <w:tcPr>
            <w:tcW w:w="3888" w:type="pct"/>
            <w:shd w:val="clear" w:color="auto" w:fill="auto"/>
            <w:vAlign w:val="center"/>
          </w:tcPr>
          <w:p w14:paraId="1643FDF9">
            <w:pPr>
              <w:widowControl/>
              <w:ind w:firstLine="0" w:firstLineChars="0"/>
              <w:jc w:val="left"/>
              <w:rPr>
                <w:rFonts w:cs="宋体"/>
                <w:color w:val="000000"/>
                <w:kern w:val="0"/>
                <w:szCs w:val="21"/>
              </w:rPr>
            </w:pPr>
            <w:r>
              <w:rPr>
                <w:rFonts w:hint="eastAsia" w:cs="宋体"/>
                <w:color w:val="000000"/>
                <w:kern w:val="0"/>
                <w:szCs w:val="21"/>
              </w:rPr>
              <w:t>支持查看已经检测出弱口令的资产列表，包括资产名称、存在风险的账号；</w:t>
            </w:r>
          </w:p>
        </w:tc>
      </w:tr>
      <w:tr w14:paraId="323F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6C949CAE">
            <w:pPr>
              <w:widowControl/>
              <w:jc w:val="left"/>
              <w:rPr>
                <w:rFonts w:cs="宋体"/>
                <w:color w:val="000000"/>
                <w:kern w:val="0"/>
                <w:szCs w:val="21"/>
              </w:rPr>
            </w:pPr>
          </w:p>
        </w:tc>
        <w:tc>
          <w:tcPr>
            <w:tcW w:w="556" w:type="pct"/>
            <w:vMerge w:val="restart"/>
            <w:shd w:val="clear" w:color="auto" w:fill="auto"/>
            <w:vAlign w:val="center"/>
          </w:tcPr>
          <w:p w14:paraId="35BD7ABB">
            <w:pPr>
              <w:widowControl/>
              <w:ind w:firstLine="0" w:firstLineChars="0"/>
              <w:jc w:val="left"/>
              <w:rPr>
                <w:rFonts w:cs="宋体"/>
                <w:color w:val="000000"/>
                <w:kern w:val="0"/>
                <w:szCs w:val="21"/>
              </w:rPr>
            </w:pPr>
            <w:r>
              <w:rPr>
                <w:rFonts w:hint="eastAsia" w:cs="宋体"/>
                <w:color w:val="000000"/>
                <w:kern w:val="0"/>
                <w:szCs w:val="21"/>
              </w:rPr>
              <w:t>数据采集</w:t>
            </w:r>
          </w:p>
        </w:tc>
        <w:tc>
          <w:tcPr>
            <w:tcW w:w="3888" w:type="pct"/>
            <w:shd w:val="clear" w:color="auto" w:fill="auto"/>
            <w:vAlign w:val="center"/>
          </w:tcPr>
          <w:p w14:paraId="0C21BDA1">
            <w:pPr>
              <w:widowControl/>
              <w:ind w:firstLine="0" w:firstLineChars="0"/>
              <w:jc w:val="left"/>
              <w:rPr>
                <w:rFonts w:cs="宋体"/>
                <w:color w:val="000000"/>
                <w:kern w:val="0"/>
                <w:szCs w:val="21"/>
              </w:rPr>
            </w:pPr>
            <w:r>
              <w:rPr>
                <w:rFonts w:hint="eastAsia" w:cs="宋体"/>
                <w:color w:val="000000"/>
                <w:kern w:val="0"/>
                <w:szCs w:val="21"/>
              </w:rPr>
              <w:t>支持以agent或插件的方式部署，对虚机全流量或指定流量进行采集转发，并支持限制转发速率；</w:t>
            </w:r>
          </w:p>
        </w:tc>
      </w:tr>
      <w:tr w14:paraId="7881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6" w:type="pct"/>
            <w:vMerge w:val="continue"/>
            <w:vAlign w:val="center"/>
          </w:tcPr>
          <w:p w14:paraId="0CB5F944">
            <w:pPr>
              <w:widowControl/>
              <w:jc w:val="left"/>
              <w:rPr>
                <w:rFonts w:cs="宋体"/>
                <w:color w:val="000000"/>
                <w:kern w:val="0"/>
                <w:szCs w:val="21"/>
              </w:rPr>
            </w:pPr>
          </w:p>
        </w:tc>
        <w:tc>
          <w:tcPr>
            <w:tcW w:w="556" w:type="pct"/>
            <w:vMerge w:val="continue"/>
            <w:vAlign w:val="center"/>
          </w:tcPr>
          <w:p w14:paraId="6DABBEF9">
            <w:pPr>
              <w:widowControl/>
              <w:ind w:firstLine="0" w:firstLineChars="0"/>
              <w:jc w:val="left"/>
              <w:rPr>
                <w:rFonts w:cs="宋体"/>
                <w:color w:val="000000"/>
                <w:kern w:val="0"/>
                <w:szCs w:val="21"/>
              </w:rPr>
            </w:pPr>
          </w:p>
        </w:tc>
        <w:tc>
          <w:tcPr>
            <w:tcW w:w="3888" w:type="pct"/>
            <w:shd w:val="clear" w:color="auto" w:fill="auto"/>
            <w:vAlign w:val="center"/>
          </w:tcPr>
          <w:p w14:paraId="2D634DF0">
            <w:pPr>
              <w:widowControl/>
              <w:ind w:firstLine="0" w:firstLineChars="0"/>
              <w:jc w:val="left"/>
              <w:rPr>
                <w:rFonts w:cs="宋体"/>
                <w:color w:val="000000"/>
                <w:kern w:val="0"/>
                <w:szCs w:val="21"/>
              </w:rPr>
            </w:pPr>
            <w:r>
              <w:rPr>
                <w:rFonts w:hint="eastAsia" w:cs="宋体"/>
                <w:color w:val="000000"/>
                <w:kern w:val="0"/>
                <w:szCs w:val="21"/>
              </w:rPr>
              <w:t>支持VXLAN转发协议；</w:t>
            </w:r>
          </w:p>
        </w:tc>
      </w:tr>
      <w:tr w14:paraId="1DF4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4B2CFB27">
            <w:pPr>
              <w:widowControl/>
              <w:jc w:val="left"/>
              <w:rPr>
                <w:rFonts w:cs="宋体"/>
                <w:color w:val="000000"/>
                <w:kern w:val="0"/>
                <w:szCs w:val="21"/>
              </w:rPr>
            </w:pPr>
          </w:p>
        </w:tc>
        <w:tc>
          <w:tcPr>
            <w:tcW w:w="556" w:type="pct"/>
            <w:vMerge w:val="restart"/>
            <w:shd w:val="clear" w:color="auto" w:fill="auto"/>
            <w:vAlign w:val="center"/>
          </w:tcPr>
          <w:p w14:paraId="6A26AF19">
            <w:pPr>
              <w:widowControl/>
              <w:ind w:firstLine="0" w:firstLineChars="0"/>
              <w:jc w:val="left"/>
              <w:rPr>
                <w:rFonts w:cs="宋体"/>
                <w:color w:val="000000"/>
                <w:kern w:val="0"/>
                <w:szCs w:val="21"/>
              </w:rPr>
            </w:pPr>
            <w:r>
              <w:rPr>
                <w:rFonts w:hint="eastAsia" w:cs="宋体"/>
                <w:color w:val="000000"/>
                <w:kern w:val="0"/>
                <w:szCs w:val="21"/>
              </w:rPr>
              <w:t>威胁分析</w:t>
            </w:r>
          </w:p>
        </w:tc>
        <w:tc>
          <w:tcPr>
            <w:tcW w:w="3888" w:type="pct"/>
            <w:shd w:val="clear" w:color="auto" w:fill="auto"/>
            <w:vAlign w:val="center"/>
          </w:tcPr>
          <w:p w14:paraId="7240BD88">
            <w:pPr>
              <w:widowControl/>
              <w:ind w:firstLine="0" w:firstLineChars="0"/>
              <w:jc w:val="left"/>
              <w:rPr>
                <w:rFonts w:cs="宋体"/>
                <w:color w:val="000000"/>
                <w:kern w:val="0"/>
                <w:szCs w:val="21"/>
              </w:rPr>
            </w:pPr>
            <w:r>
              <w:rPr>
                <w:rFonts w:hint="eastAsia" w:cs="宋体"/>
                <w:color w:val="000000"/>
                <w:kern w:val="0"/>
                <w:szCs w:val="21"/>
              </w:rPr>
              <w:t>支持统计近7天趋势、等级分布、告警类型数量分布；</w:t>
            </w:r>
          </w:p>
        </w:tc>
      </w:tr>
      <w:tr w14:paraId="1AEF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749485FD">
            <w:pPr>
              <w:widowControl/>
              <w:jc w:val="left"/>
              <w:rPr>
                <w:rFonts w:cs="宋体"/>
                <w:color w:val="000000"/>
                <w:kern w:val="0"/>
                <w:szCs w:val="21"/>
              </w:rPr>
            </w:pPr>
          </w:p>
        </w:tc>
        <w:tc>
          <w:tcPr>
            <w:tcW w:w="556" w:type="pct"/>
            <w:vMerge w:val="continue"/>
            <w:vAlign w:val="center"/>
          </w:tcPr>
          <w:p w14:paraId="3370327E">
            <w:pPr>
              <w:widowControl/>
              <w:ind w:firstLine="0" w:firstLineChars="0"/>
              <w:jc w:val="left"/>
              <w:rPr>
                <w:rFonts w:cs="宋体"/>
                <w:color w:val="000000"/>
                <w:kern w:val="0"/>
                <w:szCs w:val="21"/>
              </w:rPr>
            </w:pPr>
          </w:p>
        </w:tc>
        <w:tc>
          <w:tcPr>
            <w:tcW w:w="3888" w:type="pct"/>
            <w:shd w:val="clear" w:color="auto" w:fill="auto"/>
            <w:vAlign w:val="center"/>
          </w:tcPr>
          <w:p w14:paraId="577CCB03">
            <w:pPr>
              <w:widowControl/>
              <w:ind w:firstLine="0" w:firstLineChars="0"/>
              <w:jc w:val="left"/>
              <w:rPr>
                <w:rFonts w:cs="宋体"/>
                <w:color w:val="000000"/>
                <w:kern w:val="0"/>
                <w:szCs w:val="21"/>
              </w:rPr>
            </w:pPr>
            <w:r>
              <w:rPr>
                <w:rFonts w:hint="eastAsia" w:cs="宋体"/>
                <w:color w:val="000000"/>
                <w:kern w:val="0"/>
                <w:szCs w:val="21"/>
              </w:rPr>
              <w:t>支持告警信息的展示，包括等级、告警名称、攻击源、目的IP、告警类型、ATT&amp;CK、攻击结果、所属租户、最近发生时间、告警状态等；</w:t>
            </w:r>
          </w:p>
        </w:tc>
      </w:tr>
      <w:tr w14:paraId="1B29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24EC7940">
            <w:pPr>
              <w:widowControl/>
              <w:jc w:val="left"/>
              <w:rPr>
                <w:rFonts w:cs="宋体"/>
                <w:color w:val="000000"/>
                <w:kern w:val="0"/>
                <w:szCs w:val="21"/>
              </w:rPr>
            </w:pPr>
          </w:p>
        </w:tc>
        <w:tc>
          <w:tcPr>
            <w:tcW w:w="556" w:type="pct"/>
            <w:vMerge w:val="continue"/>
            <w:vAlign w:val="center"/>
          </w:tcPr>
          <w:p w14:paraId="666EA8E0">
            <w:pPr>
              <w:widowControl/>
              <w:ind w:firstLine="0" w:firstLineChars="0"/>
              <w:jc w:val="left"/>
              <w:rPr>
                <w:rFonts w:cs="宋体"/>
                <w:color w:val="000000"/>
                <w:kern w:val="0"/>
                <w:szCs w:val="21"/>
              </w:rPr>
            </w:pPr>
          </w:p>
        </w:tc>
        <w:tc>
          <w:tcPr>
            <w:tcW w:w="3888" w:type="pct"/>
            <w:shd w:val="clear" w:color="auto" w:fill="auto"/>
            <w:vAlign w:val="center"/>
          </w:tcPr>
          <w:p w14:paraId="7204A402">
            <w:pPr>
              <w:widowControl/>
              <w:ind w:firstLine="0" w:firstLineChars="0"/>
              <w:jc w:val="left"/>
              <w:rPr>
                <w:rFonts w:cs="宋体"/>
                <w:color w:val="000000"/>
                <w:kern w:val="0"/>
                <w:szCs w:val="21"/>
              </w:rPr>
            </w:pPr>
            <w:r>
              <w:rPr>
                <w:rFonts w:hint="eastAsia" w:cs="宋体"/>
                <w:color w:val="000000"/>
                <w:kern w:val="0"/>
                <w:szCs w:val="21"/>
              </w:rPr>
              <w:t>支持针对计划任务可疑新增、启动项可疑新增、账号可疑新增模型异常告警设置；</w:t>
            </w:r>
          </w:p>
        </w:tc>
      </w:tr>
      <w:tr w14:paraId="5E1E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5EC14A07">
            <w:pPr>
              <w:widowControl/>
              <w:jc w:val="left"/>
              <w:rPr>
                <w:rFonts w:cs="宋体"/>
                <w:color w:val="000000"/>
                <w:kern w:val="0"/>
                <w:szCs w:val="21"/>
              </w:rPr>
            </w:pPr>
          </w:p>
        </w:tc>
        <w:tc>
          <w:tcPr>
            <w:tcW w:w="556" w:type="pct"/>
            <w:vMerge w:val="continue"/>
            <w:vAlign w:val="center"/>
          </w:tcPr>
          <w:p w14:paraId="4ABB2052">
            <w:pPr>
              <w:widowControl/>
              <w:ind w:firstLine="0" w:firstLineChars="0"/>
              <w:jc w:val="left"/>
              <w:rPr>
                <w:rFonts w:cs="宋体"/>
                <w:color w:val="000000"/>
                <w:kern w:val="0"/>
                <w:szCs w:val="21"/>
              </w:rPr>
            </w:pPr>
          </w:p>
        </w:tc>
        <w:tc>
          <w:tcPr>
            <w:tcW w:w="3888" w:type="pct"/>
            <w:shd w:val="clear" w:color="auto" w:fill="auto"/>
            <w:vAlign w:val="center"/>
          </w:tcPr>
          <w:p w14:paraId="7D2B8211">
            <w:pPr>
              <w:widowControl/>
              <w:ind w:firstLine="0" w:firstLineChars="0"/>
              <w:jc w:val="left"/>
              <w:rPr>
                <w:rFonts w:cs="宋体"/>
                <w:color w:val="000000"/>
                <w:kern w:val="0"/>
                <w:szCs w:val="21"/>
              </w:rPr>
            </w:pPr>
            <w:r>
              <w:rPr>
                <w:rFonts w:hint="eastAsia" w:cs="宋体"/>
                <w:color w:val="000000"/>
                <w:kern w:val="0"/>
                <w:szCs w:val="21"/>
              </w:rPr>
              <w:t>支持设置学习周期、对比频率、告警阈值；</w:t>
            </w:r>
          </w:p>
        </w:tc>
      </w:tr>
      <w:tr w14:paraId="5E3D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56" w:type="pct"/>
            <w:vMerge w:val="continue"/>
            <w:vAlign w:val="center"/>
          </w:tcPr>
          <w:p w14:paraId="3F9BCF97">
            <w:pPr>
              <w:widowControl/>
              <w:jc w:val="left"/>
              <w:rPr>
                <w:rFonts w:cs="宋体"/>
                <w:color w:val="000000"/>
                <w:kern w:val="0"/>
                <w:szCs w:val="21"/>
              </w:rPr>
            </w:pPr>
          </w:p>
        </w:tc>
        <w:tc>
          <w:tcPr>
            <w:tcW w:w="556" w:type="pct"/>
            <w:vMerge w:val="continue"/>
            <w:vAlign w:val="center"/>
          </w:tcPr>
          <w:p w14:paraId="3693AD52">
            <w:pPr>
              <w:widowControl/>
              <w:ind w:firstLine="0" w:firstLineChars="0"/>
              <w:jc w:val="left"/>
              <w:rPr>
                <w:rFonts w:cs="宋体"/>
                <w:color w:val="000000"/>
                <w:kern w:val="0"/>
                <w:szCs w:val="21"/>
              </w:rPr>
            </w:pPr>
          </w:p>
        </w:tc>
        <w:tc>
          <w:tcPr>
            <w:tcW w:w="3888" w:type="pct"/>
            <w:shd w:val="clear" w:color="auto" w:fill="auto"/>
            <w:vAlign w:val="center"/>
          </w:tcPr>
          <w:p w14:paraId="69CBC40E">
            <w:pPr>
              <w:widowControl/>
              <w:ind w:firstLine="0" w:firstLineChars="0"/>
              <w:jc w:val="left"/>
              <w:rPr>
                <w:rFonts w:cs="宋体"/>
                <w:color w:val="000000"/>
                <w:kern w:val="0"/>
                <w:szCs w:val="21"/>
              </w:rPr>
            </w:pPr>
            <w:r>
              <w:rPr>
                <w:rFonts w:hint="eastAsia" w:cs="宋体"/>
                <w:color w:val="000000"/>
                <w:kern w:val="0"/>
                <w:szCs w:val="21"/>
              </w:rPr>
              <w:t>支持行为分析列表，告警信息包括：告警名称、异常类型、资产信息、所属租户、模型类型、学习周期、对比频率、告警阈值、异常计数、首次发生时间、最新发生时间、处置状态等；</w:t>
            </w:r>
          </w:p>
        </w:tc>
      </w:tr>
      <w:tr w14:paraId="26CD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56" w:type="pct"/>
            <w:vMerge w:val="continue"/>
            <w:vAlign w:val="center"/>
          </w:tcPr>
          <w:p w14:paraId="0A4FDD78">
            <w:pPr>
              <w:widowControl/>
              <w:jc w:val="left"/>
              <w:rPr>
                <w:rFonts w:cs="宋体"/>
                <w:color w:val="000000"/>
                <w:kern w:val="0"/>
                <w:szCs w:val="21"/>
              </w:rPr>
            </w:pPr>
          </w:p>
        </w:tc>
        <w:tc>
          <w:tcPr>
            <w:tcW w:w="556" w:type="pct"/>
            <w:vMerge w:val="continue"/>
            <w:vAlign w:val="center"/>
          </w:tcPr>
          <w:p w14:paraId="020E099D">
            <w:pPr>
              <w:widowControl/>
              <w:ind w:firstLine="0" w:firstLineChars="0"/>
              <w:jc w:val="left"/>
              <w:rPr>
                <w:rFonts w:cs="宋体"/>
                <w:color w:val="000000"/>
                <w:kern w:val="0"/>
                <w:szCs w:val="21"/>
              </w:rPr>
            </w:pPr>
          </w:p>
        </w:tc>
        <w:tc>
          <w:tcPr>
            <w:tcW w:w="3888" w:type="pct"/>
            <w:shd w:val="clear" w:color="auto" w:fill="auto"/>
            <w:vAlign w:val="center"/>
          </w:tcPr>
          <w:p w14:paraId="67D1B505">
            <w:pPr>
              <w:widowControl/>
              <w:ind w:firstLine="0" w:firstLineChars="0"/>
              <w:jc w:val="left"/>
              <w:rPr>
                <w:rFonts w:cs="宋体"/>
                <w:color w:val="000000"/>
                <w:kern w:val="0"/>
                <w:szCs w:val="21"/>
              </w:rPr>
            </w:pPr>
            <w:r>
              <w:rPr>
                <w:rFonts w:hint="eastAsia" w:cs="宋体"/>
                <w:color w:val="000000"/>
                <w:kern w:val="0"/>
                <w:szCs w:val="21"/>
              </w:rPr>
              <w:t>支持自定义检测规则，类VISIO的图形化连线拖拽交互，灵活组合规则建模中的计算单元以应对不同威胁场景建模；</w:t>
            </w:r>
          </w:p>
        </w:tc>
      </w:tr>
      <w:tr w14:paraId="7BAB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2486C66C">
            <w:pPr>
              <w:widowControl/>
              <w:jc w:val="left"/>
              <w:rPr>
                <w:rFonts w:cs="宋体"/>
                <w:color w:val="000000"/>
                <w:kern w:val="0"/>
                <w:szCs w:val="21"/>
              </w:rPr>
            </w:pPr>
          </w:p>
        </w:tc>
        <w:tc>
          <w:tcPr>
            <w:tcW w:w="556" w:type="pct"/>
            <w:vMerge w:val="restart"/>
            <w:shd w:val="clear" w:color="auto" w:fill="auto"/>
            <w:vAlign w:val="center"/>
          </w:tcPr>
          <w:p w14:paraId="3F94ADDD">
            <w:pPr>
              <w:widowControl/>
              <w:ind w:firstLine="0" w:firstLineChars="0"/>
              <w:jc w:val="left"/>
              <w:rPr>
                <w:rFonts w:cs="宋体"/>
                <w:color w:val="000000"/>
                <w:kern w:val="0"/>
                <w:szCs w:val="21"/>
              </w:rPr>
            </w:pPr>
            <w:r>
              <w:rPr>
                <w:rFonts w:hint="eastAsia" w:cs="宋体"/>
                <w:color w:val="000000"/>
                <w:kern w:val="0"/>
                <w:szCs w:val="21"/>
              </w:rPr>
              <w:t>响应处置</w:t>
            </w:r>
          </w:p>
        </w:tc>
        <w:tc>
          <w:tcPr>
            <w:tcW w:w="3888" w:type="pct"/>
            <w:shd w:val="clear" w:color="auto" w:fill="auto"/>
            <w:vAlign w:val="center"/>
          </w:tcPr>
          <w:p w14:paraId="0C32F340">
            <w:pPr>
              <w:widowControl/>
              <w:ind w:firstLine="0" w:firstLineChars="0"/>
              <w:jc w:val="left"/>
              <w:rPr>
                <w:rFonts w:cs="宋体"/>
                <w:color w:val="000000"/>
                <w:kern w:val="0"/>
                <w:szCs w:val="21"/>
              </w:rPr>
            </w:pPr>
            <w:r>
              <w:rPr>
                <w:rFonts w:hint="eastAsia" w:cs="宋体"/>
                <w:color w:val="000000"/>
                <w:kern w:val="0"/>
                <w:szCs w:val="21"/>
              </w:rPr>
              <w:t>支持阻断IP入站、出站访问能力；</w:t>
            </w:r>
          </w:p>
        </w:tc>
      </w:tr>
      <w:tr w14:paraId="5671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316DE746">
            <w:pPr>
              <w:widowControl/>
              <w:jc w:val="left"/>
              <w:rPr>
                <w:rFonts w:cs="宋体"/>
                <w:color w:val="000000"/>
                <w:kern w:val="0"/>
                <w:szCs w:val="21"/>
              </w:rPr>
            </w:pPr>
          </w:p>
        </w:tc>
        <w:tc>
          <w:tcPr>
            <w:tcW w:w="556" w:type="pct"/>
            <w:vMerge w:val="continue"/>
            <w:vAlign w:val="center"/>
          </w:tcPr>
          <w:p w14:paraId="690A7B9A">
            <w:pPr>
              <w:widowControl/>
              <w:ind w:firstLine="0" w:firstLineChars="0"/>
              <w:jc w:val="left"/>
              <w:rPr>
                <w:rFonts w:cs="宋体"/>
                <w:color w:val="000000"/>
                <w:kern w:val="0"/>
                <w:szCs w:val="21"/>
              </w:rPr>
            </w:pPr>
          </w:p>
        </w:tc>
        <w:tc>
          <w:tcPr>
            <w:tcW w:w="3888" w:type="pct"/>
            <w:shd w:val="clear" w:color="auto" w:fill="auto"/>
            <w:vAlign w:val="center"/>
          </w:tcPr>
          <w:p w14:paraId="05316261">
            <w:pPr>
              <w:widowControl/>
              <w:ind w:firstLine="0" w:firstLineChars="0"/>
              <w:jc w:val="left"/>
              <w:rPr>
                <w:rFonts w:cs="宋体"/>
                <w:color w:val="000000"/>
                <w:kern w:val="0"/>
                <w:szCs w:val="21"/>
              </w:rPr>
            </w:pPr>
            <w:r>
              <w:rPr>
                <w:rFonts w:hint="eastAsia" w:cs="宋体"/>
                <w:color w:val="000000"/>
                <w:kern w:val="0"/>
                <w:szCs w:val="21"/>
              </w:rPr>
              <w:t>支持对告警事件的恶意IP进行阻断动作；</w:t>
            </w:r>
          </w:p>
        </w:tc>
      </w:tr>
      <w:tr w14:paraId="54AC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5484AB60">
            <w:pPr>
              <w:widowControl/>
              <w:jc w:val="left"/>
              <w:rPr>
                <w:rFonts w:cs="宋体"/>
                <w:color w:val="000000"/>
                <w:kern w:val="0"/>
                <w:szCs w:val="21"/>
              </w:rPr>
            </w:pPr>
          </w:p>
        </w:tc>
        <w:tc>
          <w:tcPr>
            <w:tcW w:w="556" w:type="pct"/>
            <w:vMerge w:val="continue"/>
            <w:vAlign w:val="center"/>
          </w:tcPr>
          <w:p w14:paraId="75FCC6F6">
            <w:pPr>
              <w:widowControl/>
              <w:ind w:firstLine="0" w:firstLineChars="0"/>
              <w:jc w:val="left"/>
              <w:rPr>
                <w:rFonts w:cs="宋体"/>
                <w:color w:val="000000"/>
                <w:kern w:val="0"/>
                <w:szCs w:val="21"/>
              </w:rPr>
            </w:pPr>
          </w:p>
        </w:tc>
        <w:tc>
          <w:tcPr>
            <w:tcW w:w="3888" w:type="pct"/>
            <w:shd w:val="clear" w:color="auto" w:fill="auto"/>
            <w:vAlign w:val="center"/>
          </w:tcPr>
          <w:p w14:paraId="63BE917A">
            <w:pPr>
              <w:widowControl/>
              <w:ind w:firstLine="0" w:firstLineChars="0"/>
              <w:jc w:val="left"/>
              <w:rPr>
                <w:rFonts w:cs="宋体"/>
                <w:color w:val="000000"/>
                <w:kern w:val="0"/>
                <w:szCs w:val="21"/>
              </w:rPr>
            </w:pPr>
            <w:r>
              <w:rPr>
                <w:rFonts w:hint="eastAsia" w:cs="宋体"/>
                <w:color w:val="000000"/>
                <w:kern w:val="0"/>
                <w:szCs w:val="21"/>
              </w:rPr>
              <w:t>支持联动主机端安全能力批量下发阻断策略，生成主机黑名单；</w:t>
            </w:r>
          </w:p>
        </w:tc>
      </w:tr>
      <w:tr w14:paraId="0441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6" w:type="pct"/>
            <w:vMerge w:val="continue"/>
            <w:vAlign w:val="center"/>
          </w:tcPr>
          <w:p w14:paraId="7B767E70">
            <w:pPr>
              <w:widowControl/>
              <w:jc w:val="left"/>
              <w:rPr>
                <w:rFonts w:cs="宋体"/>
                <w:color w:val="000000"/>
                <w:kern w:val="0"/>
                <w:szCs w:val="21"/>
              </w:rPr>
            </w:pPr>
          </w:p>
        </w:tc>
        <w:tc>
          <w:tcPr>
            <w:tcW w:w="556" w:type="pct"/>
            <w:vMerge w:val="continue"/>
            <w:vAlign w:val="center"/>
          </w:tcPr>
          <w:p w14:paraId="0EE3B2BC">
            <w:pPr>
              <w:widowControl/>
              <w:ind w:firstLine="0" w:firstLineChars="0"/>
              <w:jc w:val="left"/>
              <w:rPr>
                <w:rFonts w:cs="宋体"/>
                <w:color w:val="000000"/>
                <w:kern w:val="0"/>
                <w:szCs w:val="21"/>
              </w:rPr>
            </w:pPr>
          </w:p>
        </w:tc>
        <w:tc>
          <w:tcPr>
            <w:tcW w:w="3888" w:type="pct"/>
            <w:shd w:val="clear" w:color="auto" w:fill="auto"/>
            <w:vAlign w:val="center"/>
          </w:tcPr>
          <w:p w14:paraId="3A89AC3F">
            <w:pPr>
              <w:widowControl/>
              <w:ind w:firstLine="0" w:firstLineChars="0"/>
              <w:jc w:val="left"/>
              <w:rPr>
                <w:rFonts w:cs="宋体"/>
                <w:color w:val="000000"/>
                <w:kern w:val="0"/>
                <w:szCs w:val="21"/>
              </w:rPr>
            </w:pPr>
            <w:r>
              <w:rPr>
                <w:rFonts w:hint="eastAsia" w:cs="宋体"/>
                <w:color w:val="000000"/>
                <w:kern w:val="0"/>
                <w:szCs w:val="21"/>
              </w:rPr>
              <w:t>支持对处置记录进行查询、新增、删除；</w:t>
            </w:r>
          </w:p>
        </w:tc>
      </w:tr>
      <w:tr w14:paraId="1E4A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restart"/>
            <w:shd w:val="clear" w:color="auto" w:fill="auto"/>
            <w:vAlign w:val="center"/>
          </w:tcPr>
          <w:p w14:paraId="48E96E9D">
            <w:pPr>
              <w:widowControl/>
              <w:jc w:val="center"/>
              <w:rPr>
                <w:rFonts w:cs="宋体"/>
                <w:color w:val="000000"/>
                <w:kern w:val="0"/>
                <w:szCs w:val="21"/>
              </w:rPr>
            </w:pPr>
            <w:r>
              <w:rPr>
                <w:rFonts w:hint="eastAsia" w:cs="宋体"/>
                <w:color w:val="000000"/>
                <w:kern w:val="0"/>
                <w:szCs w:val="21"/>
              </w:rPr>
              <w:t>日志分析管理</w:t>
            </w:r>
          </w:p>
        </w:tc>
        <w:tc>
          <w:tcPr>
            <w:tcW w:w="556" w:type="pct"/>
            <w:vMerge w:val="restart"/>
            <w:shd w:val="clear" w:color="auto" w:fill="auto"/>
            <w:vAlign w:val="center"/>
          </w:tcPr>
          <w:p w14:paraId="2768393F">
            <w:pPr>
              <w:widowControl/>
              <w:ind w:firstLine="0" w:firstLineChars="0"/>
              <w:jc w:val="left"/>
              <w:rPr>
                <w:rFonts w:cs="宋体"/>
                <w:color w:val="000000"/>
                <w:kern w:val="0"/>
                <w:szCs w:val="21"/>
              </w:rPr>
            </w:pPr>
            <w:r>
              <w:rPr>
                <w:rFonts w:hint="eastAsia" w:cs="宋体"/>
                <w:color w:val="000000"/>
                <w:kern w:val="0"/>
                <w:szCs w:val="21"/>
              </w:rPr>
              <w:t>日志集中收集</w:t>
            </w:r>
          </w:p>
        </w:tc>
        <w:tc>
          <w:tcPr>
            <w:tcW w:w="3888" w:type="pct"/>
            <w:shd w:val="clear" w:color="auto" w:fill="auto"/>
            <w:vAlign w:val="center"/>
          </w:tcPr>
          <w:p w14:paraId="1EE35766">
            <w:pPr>
              <w:widowControl/>
              <w:ind w:firstLine="0" w:firstLineChars="0"/>
              <w:jc w:val="left"/>
              <w:rPr>
                <w:rFonts w:cs="宋体"/>
                <w:color w:val="000000"/>
                <w:kern w:val="0"/>
                <w:szCs w:val="21"/>
              </w:rPr>
            </w:pPr>
            <w:r>
              <w:rPr>
                <w:rFonts w:hint="eastAsia" w:cs="宋体"/>
                <w:color w:val="000000"/>
                <w:kern w:val="0"/>
                <w:szCs w:val="21"/>
              </w:rPr>
              <w:t>支持对网络设备、安全设备、操作系统的日志的采集；</w:t>
            </w:r>
          </w:p>
        </w:tc>
      </w:tr>
      <w:tr w14:paraId="0323B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058D74C7">
            <w:pPr>
              <w:widowControl/>
              <w:jc w:val="left"/>
              <w:rPr>
                <w:rFonts w:cs="宋体"/>
                <w:color w:val="000000"/>
                <w:kern w:val="0"/>
                <w:szCs w:val="21"/>
              </w:rPr>
            </w:pPr>
          </w:p>
        </w:tc>
        <w:tc>
          <w:tcPr>
            <w:tcW w:w="556" w:type="pct"/>
            <w:vMerge w:val="continue"/>
            <w:vAlign w:val="center"/>
          </w:tcPr>
          <w:p w14:paraId="1C46CA51">
            <w:pPr>
              <w:widowControl/>
              <w:ind w:firstLine="0" w:firstLineChars="0"/>
              <w:jc w:val="left"/>
              <w:rPr>
                <w:rFonts w:cs="宋体"/>
                <w:color w:val="000000"/>
                <w:kern w:val="0"/>
                <w:szCs w:val="21"/>
              </w:rPr>
            </w:pPr>
          </w:p>
        </w:tc>
        <w:tc>
          <w:tcPr>
            <w:tcW w:w="3888" w:type="pct"/>
            <w:shd w:val="clear" w:color="auto" w:fill="auto"/>
            <w:vAlign w:val="center"/>
          </w:tcPr>
          <w:p w14:paraId="3893BA53">
            <w:pPr>
              <w:widowControl/>
              <w:ind w:firstLine="0" w:firstLineChars="0"/>
              <w:jc w:val="left"/>
              <w:rPr>
                <w:rFonts w:cs="宋体"/>
                <w:color w:val="000000"/>
                <w:kern w:val="0"/>
                <w:szCs w:val="21"/>
              </w:rPr>
            </w:pPr>
            <w:r>
              <w:rPr>
                <w:rFonts w:hint="eastAsia" w:cs="宋体"/>
                <w:color w:val="000000"/>
                <w:kern w:val="0"/>
                <w:szCs w:val="21"/>
              </w:rPr>
              <w:t>支持对采集策略管理、采集任务管理和数据采集状态的监控等；</w:t>
            </w:r>
          </w:p>
        </w:tc>
      </w:tr>
      <w:tr w14:paraId="66BD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25BA7890">
            <w:pPr>
              <w:widowControl/>
              <w:jc w:val="left"/>
              <w:rPr>
                <w:rFonts w:cs="宋体"/>
                <w:color w:val="000000"/>
                <w:kern w:val="0"/>
                <w:szCs w:val="21"/>
              </w:rPr>
            </w:pPr>
          </w:p>
        </w:tc>
        <w:tc>
          <w:tcPr>
            <w:tcW w:w="556" w:type="pct"/>
            <w:vMerge w:val="restart"/>
            <w:shd w:val="clear" w:color="auto" w:fill="auto"/>
            <w:vAlign w:val="center"/>
          </w:tcPr>
          <w:p w14:paraId="7FD60854">
            <w:pPr>
              <w:widowControl/>
              <w:ind w:firstLine="0" w:firstLineChars="0"/>
              <w:jc w:val="left"/>
              <w:rPr>
                <w:rFonts w:cs="宋体"/>
                <w:color w:val="000000"/>
                <w:kern w:val="0"/>
                <w:szCs w:val="21"/>
              </w:rPr>
            </w:pPr>
            <w:r>
              <w:rPr>
                <w:rFonts w:hint="eastAsia" w:cs="宋体"/>
                <w:color w:val="000000"/>
                <w:kern w:val="0"/>
                <w:szCs w:val="21"/>
              </w:rPr>
              <w:t>日志集中处理</w:t>
            </w:r>
          </w:p>
        </w:tc>
        <w:tc>
          <w:tcPr>
            <w:tcW w:w="3888" w:type="pct"/>
            <w:shd w:val="clear" w:color="auto" w:fill="auto"/>
            <w:vAlign w:val="center"/>
          </w:tcPr>
          <w:p w14:paraId="39AAA0F3">
            <w:pPr>
              <w:widowControl/>
              <w:ind w:firstLine="0" w:firstLineChars="0"/>
              <w:jc w:val="left"/>
              <w:rPr>
                <w:rFonts w:cs="宋体"/>
                <w:color w:val="000000"/>
                <w:kern w:val="0"/>
                <w:szCs w:val="21"/>
              </w:rPr>
            </w:pPr>
            <w:r>
              <w:rPr>
                <w:rFonts w:hint="eastAsia" w:cs="宋体"/>
                <w:color w:val="000000"/>
                <w:kern w:val="0"/>
                <w:szCs w:val="21"/>
              </w:rPr>
              <w:t>支持对所采集的日志进行范式化处理；</w:t>
            </w:r>
          </w:p>
        </w:tc>
      </w:tr>
      <w:tr w14:paraId="191E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0BF330A6">
            <w:pPr>
              <w:widowControl/>
              <w:jc w:val="left"/>
              <w:rPr>
                <w:rFonts w:cs="宋体"/>
                <w:color w:val="000000"/>
                <w:kern w:val="0"/>
                <w:szCs w:val="21"/>
              </w:rPr>
            </w:pPr>
          </w:p>
        </w:tc>
        <w:tc>
          <w:tcPr>
            <w:tcW w:w="556" w:type="pct"/>
            <w:vMerge w:val="continue"/>
            <w:vAlign w:val="center"/>
          </w:tcPr>
          <w:p w14:paraId="6F3D2EAF">
            <w:pPr>
              <w:widowControl/>
              <w:ind w:firstLine="0" w:firstLineChars="0"/>
              <w:jc w:val="left"/>
              <w:rPr>
                <w:rFonts w:cs="宋体"/>
                <w:color w:val="000000"/>
                <w:kern w:val="0"/>
                <w:szCs w:val="21"/>
              </w:rPr>
            </w:pPr>
          </w:p>
        </w:tc>
        <w:tc>
          <w:tcPr>
            <w:tcW w:w="3888" w:type="pct"/>
            <w:shd w:val="clear" w:color="auto" w:fill="auto"/>
            <w:vAlign w:val="center"/>
          </w:tcPr>
          <w:p w14:paraId="495E165A">
            <w:pPr>
              <w:widowControl/>
              <w:ind w:firstLine="0" w:firstLineChars="0"/>
              <w:jc w:val="left"/>
              <w:rPr>
                <w:rFonts w:cs="宋体"/>
                <w:color w:val="000000"/>
                <w:kern w:val="0"/>
                <w:szCs w:val="21"/>
              </w:rPr>
            </w:pPr>
            <w:r>
              <w:rPr>
                <w:rFonts w:hint="eastAsia" w:cs="宋体"/>
                <w:color w:val="000000"/>
                <w:kern w:val="0"/>
                <w:szCs w:val="21"/>
              </w:rPr>
              <w:t>支持对所采集的数据进行数据清洗、数据转换、数据抽取、数据标记等预处理，形成符合要求的统一数据；</w:t>
            </w:r>
          </w:p>
        </w:tc>
      </w:tr>
      <w:tr w14:paraId="282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0B5B1CB1">
            <w:pPr>
              <w:widowControl/>
              <w:jc w:val="left"/>
              <w:rPr>
                <w:rFonts w:cs="宋体"/>
                <w:color w:val="000000"/>
                <w:kern w:val="0"/>
                <w:szCs w:val="21"/>
              </w:rPr>
            </w:pPr>
          </w:p>
        </w:tc>
        <w:tc>
          <w:tcPr>
            <w:tcW w:w="556" w:type="pct"/>
            <w:vMerge w:val="continue"/>
            <w:vAlign w:val="center"/>
          </w:tcPr>
          <w:p w14:paraId="39650B59">
            <w:pPr>
              <w:widowControl/>
              <w:ind w:firstLine="0" w:firstLineChars="0"/>
              <w:jc w:val="left"/>
              <w:rPr>
                <w:rFonts w:cs="宋体"/>
                <w:color w:val="000000"/>
                <w:kern w:val="0"/>
                <w:szCs w:val="21"/>
              </w:rPr>
            </w:pPr>
          </w:p>
        </w:tc>
        <w:tc>
          <w:tcPr>
            <w:tcW w:w="3888" w:type="pct"/>
            <w:shd w:val="clear" w:color="auto" w:fill="auto"/>
            <w:vAlign w:val="center"/>
          </w:tcPr>
          <w:p w14:paraId="0C491E17">
            <w:pPr>
              <w:widowControl/>
              <w:ind w:firstLine="0" w:firstLineChars="0"/>
              <w:jc w:val="left"/>
              <w:rPr>
                <w:rFonts w:cs="宋体"/>
                <w:color w:val="000000"/>
                <w:kern w:val="0"/>
                <w:szCs w:val="21"/>
              </w:rPr>
            </w:pPr>
            <w:r>
              <w:rPr>
                <w:rFonts w:hint="eastAsia" w:cs="宋体"/>
                <w:color w:val="000000"/>
                <w:kern w:val="0"/>
                <w:szCs w:val="21"/>
              </w:rPr>
              <w:t>支持对采集到的日志数据进行数据补全、冗余处理、数据融合、数据富化等；</w:t>
            </w:r>
          </w:p>
        </w:tc>
      </w:tr>
      <w:tr w14:paraId="375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3113C7A7">
            <w:pPr>
              <w:widowControl/>
              <w:jc w:val="left"/>
              <w:rPr>
                <w:rFonts w:cs="宋体"/>
                <w:color w:val="000000"/>
                <w:kern w:val="0"/>
                <w:szCs w:val="21"/>
              </w:rPr>
            </w:pPr>
          </w:p>
        </w:tc>
        <w:tc>
          <w:tcPr>
            <w:tcW w:w="556" w:type="pct"/>
            <w:vMerge w:val="restart"/>
            <w:shd w:val="clear" w:color="auto" w:fill="auto"/>
            <w:vAlign w:val="center"/>
          </w:tcPr>
          <w:p w14:paraId="70058581">
            <w:pPr>
              <w:widowControl/>
              <w:ind w:firstLine="0" w:firstLineChars="0"/>
              <w:jc w:val="left"/>
              <w:rPr>
                <w:rFonts w:cs="宋体"/>
                <w:color w:val="000000"/>
                <w:kern w:val="0"/>
                <w:szCs w:val="21"/>
              </w:rPr>
            </w:pPr>
            <w:r>
              <w:rPr>
                <w:rFonts w:hint="eastAsia" w:cs="宋体"/>
                <w:color w:val="000000"/>
                <w:kern w:val="0"/>
                <w:szCs w:val="21"/>
              </w:rPr>
              <w:t>日志关联分析</w:t>
            </w:r>
          </w:p>
        </w:tc>
        <w:tc>
          <w:tcPr>
            <w:tcW w:w="3888" w:type="pct"/>
            <w:shd w:val="clear" w:color="auto" w:fill="auto"/>
            <w:vAlign w:val="center"/>
          </w:tcPr>
          <w:p w14:paraId="1663D59B">
            <w:pPr>
              <w:widowControl/>
              <w:ind w:firstLine="0" w:firstLineChars="0"/>
              <w:jc w:val="left"/>
              <w:rPr>
                <w:rFonts w:cs="宋体"/>
                <w:color w:val="000000"/>
                <w:kern w:val="0"/>
                <w:szCs w:val="21"/>
              </w:rPr>
            </w:pPr>
            <w:r>
              <w:rPr>
                <w:rFonts w:hint="eastAsia" w:cs="宋体"/>
                <w:color w:val="000000"/>
                <w:kern w:val="0"/>
                <w:szCs w:val="21"/>
              </w:rPr>
              <w:t>支持对所采集的流量、安全日志，进行关联分析和归并，通过事件之间存在的相似关系、因果关系等对事件进行聚合处理；</w:t>
            </w:r>
          </w:p>
        </w:tc>
      </w:tr>
      <w:tr w14:paraId="7BA2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56" w:type="pct"/>
            <w:vMerge w:val="continue"/>
            <w:vAlign w:val="center"/>
          </w:tcPr>
          <w:p w14:paraId="2FBD1208">
            <w:pPr>
              <w:widowControl/>
              <w:jc w:val="left"/>
              <w:rPr>
                <w:rFonts w:cs="宋体"/>
                <w:color w:val="000000"/>
                <w:kern w:val="0"/>
                <w:szCs w:val="21"/>
              </w:rPr>
            </w:pPr>
          </w:p>
        </w:tc>
        <w:tc>
          <w:tcPr>
            <w:tcW w:w="556" w:type="pct"/>
            <w:vMerge w:val="continue"/>
            <w:vAlign w:val="center"/>
          </w:tcPr>
          <w:p w14:paraId="2B767622">
            <w:pPr>
              <w:widowControl/>
              <w:ind w:firstLine="0" w:firstLineChars="0"/>
              <w:jc w:val="left"/>
              <w:rPr>
                <w:rFonts w:cs="宋体"/>
                <w:color w:val="000000"/>
                <w:kern w:val="0"/>
                <w:szCs w:val="21"/>
              </w:rPr>
            </w:pPr>
          </w:p>
        </w:tc>
        <w:tc>
          <w:tcPr>
            <w:tcW w:w="3888" w:type="pct"/>
            <w:shd w:val="clear" w:color="auto" w:fill="auto"/>
            <w:vAlign w:val="center"/>
          </w:tcPr>
          <w:p w14:paraId="72B55880">
            <w:pPr>
              <w:widowControl/>
              <w:ind w:firstLine="0" w:firstLineChars="0"/>
              <w:jc w:val="left"/>
              <w:rPr>
                <w:rFonts w:cs="宋体"/>
                <w:color w:val="000000"/>
                <w:kern w:val="0"/>
                <w:szCs w:val="21"/>
              </w:rPr>
            </w:pPr>
            <w:r>
              <w:rPr>
                <w:rFonts w:hint="eastAsia" w:cs="宋体"/>
                <w:color w:val="000000"/>
                <w:kern w:val="0"/>
                <w:szCs w:val="21"/>
              </w:rPr>
              <w:t>支持安全事件的关联分析，综合各类安全事件间的内在联系，对安全事件进行关联分析，实现安全攻击检测；</w:t>
            </w:r>
          </w:p>
        </w:tc>
      </w:tr>
      <w:tr w14:paraId="1FC1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3127D259">
            <w:pPr>
              <w:widowControl/>
              <w:jc w:val="left"/>
              <w:rPr>
                <w:rFonts w:cs="宋体"/>
                <w:color w:val="000000"/>
                <w:kern w:val="0"/>
                <w:szCs w:val="21"/>
              </w:rPr>
            </w:pPr>
          </w:p>
        </w:tc>
        <w:tc>
          <w:tcPr>
            <w:tcW w:w="556" w:type="pct"/>
            <w:vMerge w:val="restart"/>
            <w:shd w:val="clear" w:color="auto" w:fill="auto"/>
            <w:vAlign w:val="center"/>
          </w:tcPr>
          <w:p w14:paraId="406C3068">
            <w:pPr>
              <w:widowControl/>
              <w:ind w:firstLine="0" w:firstLineChars="0"/>
              <w:jc w:val="left"/>
              <w:rPr>
                <w:rFonts w:cs="宋体"/>
                <w:color w:val="000000"/>
                <w:kern w:val="0"/>
                <w:szCs w:val="21"/>
              </w:rPr>
            </w:pPr>
            <w:r>
              <w:rPr>
                <w:rFonts w:hint="eastAsia" w:cs="宋体"/>
                <w:color w:val="000000"/>
                <w:kern w:val="0"/>
                <w:szCs w:val="21"/>
              </w:rPr>
              <w:t>日志检索查询</w:t>
            </w:r>
          </w:p>
        </w:tc>
        <w:tc>
          <w:tcPr>
            <w:tcW w:w="3888" w:type="pct"/>
            <w:shd w:val="clear" w:color="auto" w:fill="auto"/>
            <w:vAlign w:val="center"/>
          </w:tcPr>
          <w:p w14:paraId="082CA803">
            <w:pPr>
              <w:widowControl/>
              <w:ind w:firstLine="0" w:firstLineChars="0"/>
              <w:jc w:val="left"/>
              <w:rPr>
                <w:rFonts w:cs="宋体"/>
                <w:color w:val="000000"/>
                <w:kern w:val="0"/>
                <w:szCs w:val="21"/>
              </w:rPr>
            </w:pPr>
            <w:r>
              <w:rPr>
                <w:rFonts w:hint="eastAsia" w:cs="宋体"/>
                <w:color w:val="000000"/>
                <w:kern w:val="0"/>
                <w:szCs w:val="21"/>
              </w:rPr>
              <w:t>支持多种检索模式，能够实现复杂搜索语句的构造；</w:t>
            </w:r>
          </w:p>
        </w:tc>
      </w:tr>
      <w:tr w14:paraId="4848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18204CF">
            <w:pPr>
              <w:widowControl/>
              <w:jc w:val="left"/>
              <w:rPr>
                <w:rFonts w:cs="宋体"/>
                <w:color w:val="000000"/>
                <w:kern w:val="0"/>
                <w:szCs w:val="21"/>
              </w:rPr>
            </w:pPr>
          </w:p>
        </w:tc>
        <w:tc>
          <w:tcPr>
            <w:tcW w:w="556" w:type="pct"/>
            <w:vMerge w:val="continue"/>
            <w:vAlign w:val="center"/>
          </w:tcPr>
          <w:p w14:paraId="2D3C6F20">
            <w:pPr>
              <w:widowControl/>
              <w:ind w:firstLine="0" w:firstLineChars="0"/>
              <w:jc w:val="left"/>
              <w:rPr>
                <w:rFonts w:cs="宋体"/>
                <w:color w:val="000000"/>
                <w:kern w:val="0"/>
                <w:szCs w:val="21"/>
              </w:rPr>
            </w:pPr>
          </w:p>
        </w:tc>
        <w:tc>
          <w:tcPr>
            <w:tcW w:w="3888" w:type="pct"/>
            <w:shd w:val="clear" w:color="auto" w:fill="auto"/>
            <w:vAlign w:val="center"/>
          </w:tcPr>
          <w:p w14:paraId="597F01FD">
            <w:pPr>
              <w:widowControl/>
              <w:ind w:firstLine="0" w:firstLineChars="0"/>
              <w:jc w:val="left"/>
              <w:rPr>
                <w:rFonts w:cs="宋体"/>
                <w:color w:val="000000"/>
                <w:kern w:val="0"/>
                <w:szCs w:val="21"/>
              </w:rPr>
            </w:pPr>
            <w:r>
              <w:rPr>
                <w:rFonts w:hint="eastAsia" w:cs="宋体"/>
                <w:color w:val="000000"/>
                <w:kern w:val="0"/>
                <w:szCs w:val="21"/>
              </w:rPr>
              <w:t>支持提供类SQL语法搜索，支持语法辅助提示，提供“语法帮助”功能；提供“语法帮助”功能；</w:t>
            </w:r>
          </w:p>
        </w:tc>
      </w:tr>
      <w:tr w14:paraId="0B45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27FE0A24">
            <w:pPr>
              <w:widowControl/>
              <w:jc w:val="left"/>
              <w:rPr>
                <w:rFonts w:cs="宋体"/>
                <w:color w:val="000000"/>
                <w:kern w:val="0"/>
                <w:szCs w:val="21"/>
              </w:rPr>
            </w:pPr>
          </w:p>
        </w:tc>
        <w:tc>
          <w:tcPr>
            <w:tcW w:w="556" w:type="pct"/>
            <w:vMerge w:val="continue"/>
            <w:vAlign w:val="center"/>
          </w:tcPr>
          <w:p w14:paraId="517EB4F4">
            <w:pPr>
              <w:widowControl/>
              <w:ind w:firstLine="0" w:firstLineChars="0"/>
              <w:jc w:val="left"/>
              <w:rPr>
                <w:rFonts w:cs="宋体"/>
                <w:color w:val="000000"/>
                <w:kern w:val="0"/>
                <w:szCs w:val="21"/>
              </w:rPr>
            </w:pPr>
          </w:p>
        </w:tc>
        <w:tc>
          <w:tcPr>
            <w:tcW w:w="3888" w:type="pct"/>
            <w:shd w:val="clear" w:color="auto" w:fill="auto"/>
            <w:vAlign w:val="center"/>
          </w:tcPr>
          <w:p w14:paraId="746A4895">
            <w:pPr>
              <w:widowControl/>
              <w:ind w:firstLine="0" w:firstLineChars="0"/>
              <w:jc w:val="left"/>
              <w:rPr>
                <w:rFonts w:cs="宋体"/>
                <w:color w:val="000000"/>
                <w:kern w:val="0"/>
                <w:szCs w:val="21"/>
              </w:rPr>
            </w:pPr>
            <w:r>
              <w:rPr>
                <w:rFonts w:hint="eastAsia" w:cs="宋体"/>
                <w:color w:val="000000"/>
                <w:kern w:val="0"/>
                <w:szCs w:val="21"/>
              </w:rPr>
              <w:t>支持按照日志分类进行日志筛选和检索；</w:t>
            </w:r>
          </w:p>
        </w:tc>
      </w:tr>
      <w:tr w14:paraId="5B71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679D8301">
            <w:pPr>
              <w:widowControl/>
              <w:jc w:val="left"/>
              <w:rPr>
                <w:rFonts w:cs="宋体"/>
                <w:color w:val="000000"/>
                <w:kern w:val="0"/>
                <w:szCs w:val="21"/>
              </w:rPr>
            </w:pPr>
          </w:p>
        </w:tc>
        <w:tc>
          <w:tcPr>
            <w:tcW w:w="556" w:type="pct"/>
            <w:vMerge w:val="continue"/>
            <w:vAlign w:val="center"/>
          </w:tcPr>
          <w:p w14:paraId="46CFA6B5">
            <w:pPr>
              <w:widowControl/>
              <w:ind w:firstLine="0" w:firstLineChars="0"/>
              <w:jc w:val="left"/>
              <w:rPr>
                <w:rFonts w:cs="宋体"/>
                <w:color w:val="000000"/>
                <w:kern w:val="0"/>
                <w:szCs w:val="21"/>
              </w:rPr>
            </w:pPr>
          </w:p>
        </w:tc>
        <w:tc>
          <w:tcPr>
            <w:tcW w:w="3888" w:type="pct"/>
            <w:shd w:val="clear" w:color="auto" w:fill="auto"/>
            <w:vAlign w:val="center"/>
          </w:tcPr>
          <w:p w14:paraId="42925F9B">
            <w:pPr>
              <w:widowControl/>
              <w:ind w:firstLine="0" w:firstLineChars="0"/>
              <w:jc w:val="left"/>
              <w:rPr>
                <w:rFonts w:cs="宋体"/>
                <w:color w:val="000000"/>
                <w:kern w:val="0"/>
                <w:szCs w:val="21"/>
              </w:rPr>
            </w:pPr>
            <w:r>
              <w:rPr>
                <w:rFonts w:hint="eastAsia" w:cs="宋体"/>
                <w:color w:val="000000"/>
                <w:kern w:val="0"/>
                <w:szCs w:val="21"/>
              </w:rPr>
              <w:t>支持对字段进行快速统计，支持对字段统计结果进行下载和快速过滤；</w:t>
            </w:r>
          </w:p>
        </w:tc>
      </w:tr>
      <w:tr w14:paraId="64E55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56" w:type="pct"/>
            <w:vMerge w:val="continue"/>
            <w:vAlign w:val="center"/>
          </w:tcPr>
          <w:p w14:paraId="078AA0ED">
            <w:pPr>
              <w:widowControl/>
              <w:jc w:val="left"/>
              <w:rPr>
                <w:rFonts w:cs="宋体"/>
                <w:color w:val="000000"/>
                <w:kern w:val="0"/>
                <w:szCs w:val="21"/>
              </w:rPr>
            </w:pPr>
          </w:p>
        </w:tc>
        <w:tc>
          <w:tcPr>
            <w:tcW w:w="556" w:type="pct"/>
            <w:vMerge w:val="continue"/>
            <w:vAlign w:val="center"/>
          </w:tcPr>
          <w:p w14:paraId="3FB4DA6F">
            <w:pPr>
              <w:widowControl/>
              <w:ind w:firstLine="0" w:firstLineChars="0"/>
              <w:jc w:val="left"/>
              <w:rPr>
                <w:rFonts w:cs="宋体"/>
                <w:color w:val="000000"/>
                <w:kern w:val="0"/>
                <w:szCs w:val="21"/>
              </w:rPr>
            </w:pPr>
          </w:p>
        </w:tc>
        <w:tc>
          <w:tcPr>
            <w:tcW w:w="3888" w:type="pct"/>
            <w:shd w:val="clear" w:color="auto" w:fill="auto"/>
            <w:vAlign w:val="center"/>
          </w:tcPr>
          <w:p w14:paraId="5C82100D">
            <w:pPr>
              <w:widowControl/>
              <w:ind w:firstLine="0" w:firstLineChars="0"/>
              <w:jc w:val="left"/>
              <w:rPr>
                <w:rFonts w:cs="宋体"/>
                <w:color w:val="000000"/>
                <w:kern w:val="0"/>
                <w:szCs w:val="21"/>
              </w:rPr>
            </w:pPr>
            <w:r>
              <w:rPr>
                <w:rFonts w:hint="eastAsia" w:cs="宋体"/>
                <w:color w:val="000000"/>
                <w:kern w:val="0"/>
                <w:szCs w:val="21"/>
              </w:rPr>
              <w:t>支持通过日志关键字段进行追加搜索，从上一次的搜索结果中重新按照新的规则搜索日志；</w:t>
            </w:r>
          </w:p>
        </w:tc>
      </w:tr>
      <w:tr w14:paraId="2334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598C8BC6">
            <w:pPr>
              <w:widowControl/>
              <w:jc w:val="left"/>
              <w:rPr>
                <w:rFonts w:cs="宋体"/>
                <w:color w:val="000000"/>
                <w:kern w:val="0"/>
                <w:szCs w:val="21"/>
              </w:rPr>
            </w:pPr>
          </w:p>
        </w:tc>
        <w:tc>
          <w:tcPr>
            <w:tcW w:w="556" w:type="pct"/>
            <w:vMerge w:val="restart"/>
            <w:shd w:val="clear" w:color="auto" w:fill="auto"/>
            <w:vAlign w:val="center"/>
          </w:tcPr>
          <w:p w14:paraId="013EC8CA">
            <w:pPr>
              <w:widowControl/>
              <w:ind w:firstLine="0" w:firstLineChars="0"/>
              <w:jc w:val="left"/>
              <w:rPr>
                <w:rFonts w:cs="宋体"/>
                <w:color w:val="000000"/>
                <w:kern w:val="0"/>
                <w:szCs w:val="21"/>
              </w:rPr>
            </w:pPr>
            <w:r>
              <w:rPr>
                <w:rFonts w:hint="eastAsia" w:cs="宋体"/>
                <w:color w:val="000000"/>
                <w:kern w:val="0"/>
                <w:szCs w:val="21"/>
              </w:rPr>
              <w:t>可视化运营</w:t>
            </w:r>
          </w:p>
        </w:tc>
        <w:tc>
          <w:tcPr>
            <w:tcW w:w="3888" w:type="pct"/>
            <w:shd w:val="clear" w:color="auto" w:fill="auto"/>
            <w:vAlign w:val="center"/>
          </w:tcPr>
          <w:p w14:paraId="08F074D5">
            <w:pPr>
              <w:widowControl/>
              <w:ind w:firstLine="0" w:firstLineChars="0"/>
              <w:jc w:val="left"/>
              <w:rPr>
                <w:rFonts w:cs="宋体"/>
                <w:color w:val="000000"/>
                <w:kern w:val="0"/>
                <w:szCs w:val="21"/>
              </w:rPr>
            </w:pPr>
            <w:r>
              <w:rPr>
                <w:rFonts w:hint="eastAsia" w:cs="宋体"/>
                <w:color w:val="000000"/>
                <w:kern w:val="0"/>
                <w:szCs w:val="21"/>
              </w:rPr>
              <w:t>支持检索字段展示，提供可检索字段的列表展示；</w:t>
            </w:r>
          </w:p>
        </w:tc>
      </w:tr>
      <w:tr w14:paraId="171A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56B27F5F">
            <w:pPr>
              <w:widowControl/>
              <w:jc w:val="left"/>
              <w:rPr>
                <w:rFonts w:cs="宋体"/>
                <w:color w:val="000000"/>
                <w:kern w:val="0"/>
                <w:szCs w:val="21"/>
              </w:rPr>
            </w:pPr>
          </w:p>
        </w:tc>
        <w:tc>
          <w:tcPr>
            <w:tcW w:w="556" w:type="pct"/>
            <w:vMerge w:val="continue"/>
            <w:shd w:val="clear" w:color="auto" w:fill="auto"/>
            <w:vAlign w:val="center"/>
          </w:tcPr>
          <w:p w14:paraId="5D03CABF">
            <w:pPr>
              <w:widowControl/>
              <w:ind w:firstLine="0" w:firstLineChars="0"/>
              <w:jc w:val="left"/>
              <w:rPr>
                <w:rFonts w:cs="宋体"/>
                <w:color w:val="000000"/>
                <w:kern w:val="0"/>
                <w:szCs w:val="21"/>
              </w:rPr>
            </w:pPr>
          </w:p>
        </w:tc>
        <w:tc>
          <w:tcPr>
            <w:tcW w:w="3888" w:type="pct"/>
            <w:shd w:val="clear" w:color="auto" w:fill="auto"/>
            <w:vAlign w:val="center"/>
          </w:tcPr>
          <w:p w14:paraId="2DC69BEF">
            <w:pPr>
              <w:widowControl/>
              <w:ind w:firstLine="0" w:firstLineChars="0"/>
              <w:jc w:val="left"/>
              <w:rPr>
                <w:rFonts w:cs="宋体"/>
                <w:color w:val="000000"/>
                <w:kern w:val="0"/>
                <w:szCs w:val="21"/>
              </w:rPr>
            </w:pPr>
            <w:r>
              <w:rPr>
                <w:rFonts w:hint="eastAsia" w:cs="宋体"/>
                <w:color w:val="000000"/>
                <w:kern w:val="0"/>
                <w:szCs w:val="21"/>
              </w:rPr>
              <w:t>支持对检索结果的展现，包含全文展示和结构化展示（Key-Value格式）；</w:t>
            </w:r>
          </w:p>
        </w:tc>
      </w:tr>
      <w:tr w14:paraId="269D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6" w:type="pct"/>
            <w:vMerge w:val="continue"/>
            <w:vAlign w:val="center"/>
          </w:tcPr>
          <w:p w14:paraId="6E140AFE">
            <w:pPr>
              <w:widowControl/>
              <w:jc w:val="left"/>
              <w:rPr>
                <w:rFonts w:cs="宋体"/>
                <w:color w:val="000000"/>
                <w:kern w:val="0"/>
                <w:szCs w:val="21"/>
              </w:rPr>
            </w:pPr>
          </w:p>
        </w:tc>
        <w:tc>
          <w:tcPr>
            <w:tcW w:w="556" w:type="pct"/>
            <w:vMerge w:val="continue"/>
            <w:shd w:val="clear" w:color="auto" w:fill="auto"/>
            <w:vAlign w:val="center"/>
          </w:tcPr>
          <w:p w14:paraId="044FF959">
            <w:pPr>
              <w:widowControl/>
              <w:ind w:firstLine="0" w:firstLineChars="0"/>
              <w:jc w:val="left"/>
              <w:rPr>
                <w:rFonts w:cs="宋体"/>
                <w:color w:val="000000"/>
                <w:kern w:val="0"/>
                <w:szCs w:val="21"/>
              </w:rPr>
            </w:pPr>
          </w:p>
        </w:tc>
        <w:tc>
          <w:tcPr>
            <w:tcW w:w="3888" w:type="pct"/>
            <w:shd w:val="clear" w:color="auto" w:fill="auto"/>
            <w:vAlign w:val="center"/>
          </w:tcPr>
          <w:p w14:paraId="3D2059F1">
            <w:pPr>
              <w:widowControl/>
              <w:ind w:firstLine="0" w:firstLineChars="0"/>
              <w:jc w:val="left"/>
              <w:rPr>
                <w:rFonts w:cs="宋体"/>
                <w:color w:val="000000"/>
                <w:kern w:val="0"/>
                <w:szCs w:val="21"/>
              </w:rPr>
            </w:pPr>
            <w:r>
              <w:rPr>
                <w:rFonts w:hint="eastAsia" w:cs="宋体"/>
                <w:color w:val="000000"/>
                <w:kern w:val="0"/>
                <w:szCs w:val="21"/>
              </w:rPr>
              <w:t>支持日志的时间分布展示，并提供按照时间分布图进行下钻检索；</w:t>
            </w:r>
          </w:p>
        </w:tc>
      </w:tr>
      <w:tr w14:paraId="1943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56" w:type="pct"/>
            <w:vMerge w:val="restart"/>
            <w:shd w:val="clear" w:color="auto" w:fill="auto"/>
            <w:vAlign w:val="center"/>
          </w:tcPr>
          <w:p w14:paraId="1058EE9E">
            <w:pPr>
              <w:widowControl/>
              <w:ind w:firstLine="0" w:firstLineChars="0"/>
              <w:rPr>
                <w:rFonts w:cs="宋体"/>
                <w:color w:val="000000"/>
                <w:kern w:val="0"/>
                <w:szCs w:val="21"/>
              </w:rPr>
            </w:pPr>
            <w:r>
              <w:rPr>
                <w:rFonts w:hint="eastAsia" w:cs="宋体"/>
                <w:color w:val="000000"/>
                <w:kern w:val="0"/>
                <w:szCs w:val="21"/>
              </w:rPr>
              <w:t>自动化编排与响应</w:t>
            </w:r>
          </w:p>
        </w:tc>
        <w:tc>
          <w:tcPr>
            <w:tcW w:w="556" w:type="pct"/>
            <w:vMerge w:val="restart"/>
            <w:shd w:val="clear" w:color="auto" w:fill="auto"/>
            <w:vAlign w:val="center"/>
          </w:tcPr>
          <w:p w14:paraId="5CEAF6AF">
            <w:pPr>
              <w:widowControl/>
              <w:ind w:firstLine="0" w:firstLineChars="0"/>
              <w:jc w:val="left"/>
              <w:rPr>
                <w:rFonts w:cs="宋体"/>
                <w:color w:val="000000"/>
                <w:kern w:val="0"/>
                <w:szCs w:val="21"/>
              </w:rPr>
            </w:pPr>
            <w:r>
              <w:rPr>
                <w:rFonts w:hint="eastAsia" w:cs="宋体"/>
                <w:color w:val="000000"/>
                <w:kern w:val="0"/>
                <w:szCs w:val="21"/>
              </w:rPr>
              <w:t>编排与自动化管理</w:t>
            </w:r>
          </w:p>
        </w:tc>
        <w:tc>
          <w:tcPr>
            <w:tcW w:w="3888" w:type="pct"/>
            <w:shd w:val="clear" w:color="auto" w:fill="auto"/>
            <w:vAlign w:val="center"/>
          </w:tcPr>
          <w:p w14:paraId="429CC834">
            <w:pPr>
              <w:widowControl/>
              <w:ind w:firstLine="0" w:firstLineChars="0"/>
              <w:jc w:val="left"/>
              <w:rPr>
                <w:rFonts w:cs="宋体"/>
                <w:color w:val="000000"/>
                <w:kern w:val="0"/>
                <w:szCs w:val="21"/>
              </w:rPr>
            </w:pPr>
            <w:r>
              <w:rPr>
                <w:rFonts w:hint="eastAsia" w:cs="宋体"/>
                <w:color w:val="000000"/>
                <w:kern w:val="0"/>
                <w:szCs w:val="21"/>
              </w:rPr>
              <w:t>管理员可以通过可视化剧本编辑器自定义剧本。在编辑剧本的时候，可以选择的元素包括动作、API、子剧本、任务、审批、脚本、轮询、分支、聚合。管理员可以将这些元素通过鼠标拖拽的方式加入到编辑器中，构成一个图形化的剧本图。针对每个元素，管理员都可以进行详细的设置；【需提供截图】</w:t>
            </w:r>
          </w:p>
        </w:tc>
      </w:tr>
      <w:tr w14:paraId="0608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54B9FAE">
            <w:pPr>
              <w:widowControl/>
              <w:jc w:val="left"/>
              <w:rPr>
                <w:rFonts w:cs="宋体"/>
                <w:color w:val="000000"/>
                <w:kern w:val="0"/>
                <w:szCs w:val="21"/>
              </w:rPr>
            </w:pPr>
          </w:p>
        </w:tc>
        <w:tc>
          <w:tcPr>
            <w:tcW w:w="556" w:type="pct"/>
            <w:vMerge w:val="continue"/>
            <w:vAlign w:val="center"/>
          </w:tcPr>
          <w:p w14:paraId="0DE73033">
            <w:pPr>
              <w:widowControl/>
              <w:ind w:firstLine="0" w:firstLineChars="0"/>
              <w:jc w:val="left"/>
              <w:rPr>
                <w:rFonts w:cs="宋体"/>
                <w:color w:val="000000"/>
                <w:kern w:val="0"/>
                <w:szCs w:val="21"/>
              </w:rPr>
            </w:pPr>
          </w:p>
        </w:tc>
        <w:tc>
          <w:tcPr>
            <w:tcW w:w="3888" w:type="pct"/>
            <w:shd w:val="clear" w:color="auto" w:fill="auto"/>
            <w:vAlign w:val="center"/>
          </w:tcPr>
          <w:p w14:paraId="6607792D">
            <w:pPr>
              <w:widowControl/>
              <w:ind w:firstLine="0" w:firstLineChars="0"/>
              <w:jc w:val="left"/>
              <w:rPr>
                <w:rFonts w:cs="宋体"/>
                <w:color w:val="000000"/>
                <w:kern w:val="0"/>
                <w:szCs w:val="21"/>
              </w:rPr>
            </w:pPr>
            <w:r>
              <w:rPr>
                <w:rFonts w:hint="eastAsia" w:cs="宋体"/>
                <w:color w:val="000000"/>
                <w:kern w:val="0"/>
                <w:szCs w:val="21"/>
              </w:rPr>
              <w:t>支持剧本新增、删除、移动、修改、查询、锁定、导入、导出功能。</w:t>
            </w:r>
          </w:p>
        </w:tc>
      </w:tr>
      <w:tr w14:paraId="347F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56" w:type="pct"/>
            <w:vMerge w:val="continue"/>
            <w:vAlign w:val="center"/>
          </w:tcPr>
          <w:p w14:paraId="55F69237">
            <w:pPr>
              <w:widowControl/>
              <w:jc w:val="left"/>
              <w:rPr>
                <w:rFonts w:cs="宋体"/>
                <w:color w:val="000000"/>
                <w:kern w:val="0"/>
                <w:szCs w:val="21"/>
              </w:rPr>
            </w:pPr>
          </w:p>
        </w:tc>
        <w:tc>
          <w:tcPr>
            <w:tcW w:w="556" w:type="pct"/>
            <w:vMerge w:val="continue"/>
            <w:vAlign w:val="center"/>
          </w:tcPr>
          <w:p w14:paraId="1BC36D4D">
            <w:pPr>
              <w:widowControl/>
              <w:ind w:firstLine="0" w:firstLineChars="0"/>
              <w:jc w:val="left"/>
              <w:rPr>
                <w:rFonts w:cs="宋体"/>
                <w:color w:val="000000"/>
                <w:kern w:val="0"/>
                <w:szCs w:val="21"/>
              </w:rPr>
            </w:pPr>
          </w:p>
        </w:tc>
        <w:tc>
          <w:tcPr>
            <w:tcW w:w="3888" w:type="pct"/>
            <w:shd w:val="clear" w:color="auto" w:fill="auto"/>
            <w:vAlign w:val="center"/>
          </w:tcPr>
          <w:p w14:paraId="34C89113">
            <w:pPr>
              <w:widowControl/>
              <w:ind w:firstLine="0" w:firstLineChars="0"/>
              <w:jc w:val="left"/>
              <w:rPr>
                <w:rFonts w:cs="宋体"/>
                <w:color w:val="000000"/>
                <w:kern w:val="0"/>
                <w:szCs w:val="21"/>
              </w:rPr>
            </w:pPr>
            <w:r>
              <w:rPr>
                <w:rFonts w:hint="eastAsia" w:cs="宋体"/>
                <w:color w:val="000000"/>
                <w:kern w:val="0"/>
                <w:szCs w:val="21"/>
              </w:rPr>
              <w:t>API节点支持在剧本执行过程中在案例模块创建案例、添加标注到案例、添加痕迹到案例；支持编辑活动列表、查询活动列表、添加到活动列表、是否在活动列表中、事件和告警查询/统计、创建工单等。</w:t>
            </w:r>
          </w:p>
        </w:tc>
      </w:tr>
      <w:tr w14:paraId="7CF37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3E4BF874">
            <w:pPr>
              <w:widowControl/>
              <w:jc w:val="left"/>
              <w:rPr>
                <w:rFonts w:cs="宋体"/>
                <w:color w:val="000000"/>
                <w:kern w:val="0"/>
                <w:szCs w:val="21"/>
              </w:rPr>
            </w:pPr>
          </w:p>
        </w:tc>
        <w:tc>
          <w:tcPr>
            <w:tcW w:w="556" w:type="pct"/>
            <w:vMerge w:val="continue"/>
            <w:vAlign w:val="center"/>
          </w:tcPr>
          <w:p w14:paraId="4667D573">
            <w:pPr>
              <w:widowControl/>
              <w:ind w:firstLine="0" w:firstLineChars="0"/>
              <w:jc w:val="left"/>
              <w:rPr>
                <w:rFonts w:cs="宋体"/>
                <w:color w:val="000000"/>
                <w:kern w:val="0"/>
                <w:szCs w:val="21"/>
              </w:rPr>
            </w:pPr>
          </w:p>
        </w:tc>
        <w:tc>
          <w:tcPr>
            <w:tcW w:w="3888" w:type="pct"/>
            <w:shd w:val="clear" w:color="auto" w:fill="auto"/>
            <w:vAlign w:val="center"/>
          </w:tcPr>
          <w:p w14:paraId="64D1F34E">
            <w:pPr>
              <w:widowControl/>
              <w:ind w:firstLine="0" w:firstLineChars="0"/>
              <w:jc w:val="left"/>
              <w:rPr>
                <w:rFonts w:cs="宋体"/>
                <w:color w:val="000000"/>
                <w:kern w:val="0"/>
                <w:szCs w:val="21"/>
              </w:rPr>
            </w:pPr>
            <w:r>
              <w:rPr>
                <w:rFonts w:hint="eastAsia" w:cs="宋体"/>
                <w:color w:val="000000"/>
                <w:kern w:val="0"/>
                <w:szCs w:val="21"/>
              </w:rPr>
              <w:t>支持手动输入剧本参数后执行；</w:t>
            </w:r>
          </w:p>
        </w:tc>
      </w:tr>
      <w:tr w14:paraId="2876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56" w:type="pct"/>
            <w:vMerge w:val="continue"/>
            <w:vAlign w:val="center"/>
          </w:tcPr>
          <w:p w14:paraId="3F34E4F0">
            <w:pPr>
              <w:widowControl/>
              <w:jc w:val="left"/>
              <w:rPr>
                <w:rFonts w:cs="宋体"/>
                <w:color w:val="000000"/>
                <w:kern w:val="0"/>
                <w:szCs w:val="21"/>
              </w:rPr>
            </w:pPr>
          </w:p>
        </w:tc>
        <w:tc>
          <w:tcPr>
            <w:tcW w:w="556" w:type="pct"/>
            <w:vMerge w:val="continue"/>
            <w:vAlign w:val="center"/>
          </w:tcPr>
          <w:p w14:paraId="0F1CB925">
            <w:pPr>
              <w:widowControl/>
              <w:ind w:firstLine="0" w:firstLineChars="0"/>
              <w:jc w:val="left"/>
              <w:rPr>
                <w:rFonts w:cs="宋体"/>
                <w:color w:val="000000"/>
                <w:kern w:val="0"/>
                <w:szCs w:val="21"/>
              </w:rPr>
            </w:pPr>
          </w:p>
        </w:tc>
        <w:tc>
          <w:tcPr>
            <w:tcW w:w="3888" w:type="pct"/>
            <w:shd w:val="clear" w:color="auto" w:fill="auto"/>
            <w:vAlign w:val="center"/>
          </w:tcPr>
          <w:p w14:paraId="4D4B08EB">
            <w:pPr>
              <w:widowControl/>
              <w:ind w:firstLine="0" w:firstLineChars="0"/>
              <w:jc w:val="left"/>
              <w:rPr>
                <w:rFonts w:cs="宋体"/>
                <w:color w:val="000000"/>
                <w:kern w:val="0"/>
                <w:szCs w:val="21"/>
              </w:rPr>
            </w:pPr>
            <w:r>
              <w:rPr>
                <w:rFonts w:hint="eastAsia" w:cs="宋体"/>
                <w:color w:val="000000"/>
                <w:kern w:val="0"/>
                <w:szCs w:val="21"/>
              </w:rPr>
              <w:t>支持添加调度任务执行一个或多个App动作和剧本，调度任务支持单次调度和周期调度，周期调度可按分钟，小时，天和周执行；支持按任务执行时间查看调度任务执行记录；</w:t>
            </w:r>
          </w:p>
        </w:tc>
      </w:tr>
      <w:tr w14:paraId="197C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4DFD55F2">
            <w:pPr>
              <w:widowControl/>
              <w:jc w:val="left"/>
              <w:rPr>
                <w:rFonts w:cs="宋体"/>
                <w:color w:val="000000"/>
                <w:kern w:val="0"/>
                <w:szCs w:val="21"/>
              </w:rPr>
            </w:pPr>
          </w:p>
        </w:tc>
        <w:tc>
          <w:tcPr>
            <w:tcW w:w="556" w:type="pct"/>
            <w:vMerge w:val="continue"/>
            <w:vAlign w:val="center"/>
          </w:tcPr>
          <w:p w14:paraId="0CCE6CB7">
            <w:pPr>
              <w:widowControl/>
              <w:ind w:firstLine="0" w:firstLineChars="0"/>
              <w:jc w:val="left"/>
              <w:rPr>
                <w:rFonts w:cs="宋体"/>
                <w:color w:val="000000"/>
                <w:kern w:val="0"/>
                <w:szCs w:val="21"/>
              </w:rPr>
            </w:pPr>
          </w:p>
        </w:tc>
        <w:tc>
          <w:tcPr>
            <w:tcW w:w="3888" w:type="pct"/>
            <w:shd w:val="clear" w:color="auto" w:fill="auto"/>
            <w:vAlign w:val="center"/>
          </w:tcPr>
          <w:p w14:paraId="317C10F1">
            <w:pPr>
              <w:widowControl/>
              <w:ind w:firstLine="0" w:firstLineChars="0"/>
              <w:jc w:val="left"/>
              <w:rPr>
                <w:rFonts w:cs="宋体"/>
                <w:color w:val="000000"/>
                <w:kern w:val="0"/>
                <w:szCs w:val="21"/>
              </w:rPr>
            </w:pPr>
            <w:r>
              <w:rPr>
                <w:rFonts w:hint="eastAsia" w:cs="宋体"/>
                <w:color w:val="000000"/>
                <w:kern w:val="0"/>
                <w:szCs w:val="21"/>
              </w:rPr>
              <w:t>支持列表查看正在运行的剧本，包括剧本对应告警Id，剧本名称、执行对象、剧本执行状态、开始时间、运行时长等【需提供截图】</w:t>
            </w:r>
          </w:p>
        </w:tc>
      </w:tr>
      <w:tr w14:paraId="6591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57CFC5D3">
            <w:pPr>
              <w:widowControl/>
              <w:jc w:val="left"/>
              <w:rPr>
                <w:rFonts w:cs="宋体"/>
                <w:color w:val="000000"/>
                <w:kern w:val="0"/>
                <w:szCs w:val="21"/>
              </w:rPr>
            </w:pPr>
          </w:p>
        </w:tc>
        <w:tc>
          <w:tcPr>
            <w:tcW w:w="556" w:type="pct"/>
            <w:vMerge w:val="continue"/>
            <w:vAlign w:val="center"/>
          </w:tcPr>
          <w:p w14:paraId="11F65F9C">
            <w:pPr>
              <w:widowControl/>
              <w:ind w:firstLine="0" w:firstLineChars="0"/>
              <w:jc w:val="left"/>
              <w:rPr>
                <w:rFonts w:cs="宋体"/>
                <w:color w:val="000000"/>
                <w:kern w:val="0"/>
                <w:szCs w:val="21"/>
              </w:rPr>
            </w:pPr>
          </w:p>
        </w:tc>
        <w:tc>
          <w:tcPr>
            <w:tcW w:w="3888" w:type="pct"/>
            <w:shd w:val="clear" w:color="auto" w:fill="auto"/>
            <w:vAlign w:val="center"/>
          </w:tcPr>
          <w:p w14:paraId="617E2772">
            <w:pPr>
              <w:widowControl/>
              <w:ind w:firstLine="0" w:firstLineChars="0"/>
              <w:jc w:val="left"/>
              <w:rPr>
                <w:rFonts w:cs="宋体"/>
                <w:color w:val="000000"/>
                <w:kern w:val="0"/>
                <w:szCs w:val="21"/>
              </w:rPr>
            </w:pPr>
            <w:r>
              <w:rPr>
                <w:rFonts w:hint="eastAsia" w:cs="宋体"/>
                <w:color w:val="000000"/>
                <w:kern w:val="0"/>
                <w:szCs w:val="21"/>
              </w:rPr>
              <w:t>支持查看剧本执行结果，查看每个流程节点的执行状态；</w:t>
            </w:r>
          </w:p>
        </w:tc>
      </w:tr>
      <w:tr w14:paraId="0A87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066E2A2A">
            <w:pPr>
              <w:widowControl/>
              <w:jc w:val="left"/>
              <w:rPr>
                <w:rFonts w:cs="宋体"/>
                <w:color w:val="000000"/>
                <w:kern w:val="0"/>
                <w:szCs w:val="21"/>
              </w:rPr>
            </w:pPr>
          </w:p>
        </w:tc>
        <w:tc>
          <w:tcPr>
            <w:tcW w:w="556" w:type="pct"/>
            <w:vMerge w:val="continue"/>
            <w:vAlign w:val="center"/>
          </w:tcPr>
          <w:p w14:paraId="38FB4838">
            <w:pPr>
              <w:widowControl/>
              <w:ind w:firstLine="0" w:firstLineChars="0"/>
              <w:jc w:val="left"/>
              <w:rPr>
                <w:rFonts w:cs="宋体"/>
                <w:color w:val="000000"/>
                <w:kern w:val="0"/>
                <w:szCs w:val="21"/>
              </w:rPr>
            </w:pPr>
          </w:p>
        </w:tc>
        <w:tc>
          <w:tcPr>
            <w:tcW w:w="3888" w:type="pct"/>
            <w:shd w:val="clear" w:color="auto" w:fill="auto"/>
            <w:vAlign w:val="center"/>
          </w:tcPr>
          <w:p w14:paraId="3097E864">
            <w:pPr>
              <w:widowControl/>
              <w:ind w:firstLine="0" w:firstLineChars="0"/>
              <w:jc w:val="left"/>
              <w:rPr>
                <w:rFonts w:cs="宋体"/>
                <w:color w:val="000000"/>
                <w:kern w:val="0"/>
                <w:szCs w:val="21"/>
              </w:rPr>
            </w:pPr>
            <w:r>
              <w:rPr>
                <w:rFonts w:hint="eastAsia" w:cs="宋体"/>
                <w:color w:val="000000"/>
                <w:kern w:val="0"/>
                <w:szCs w:val="21"/>
              </w:rPr>
              <w:t>子剧本节点执行结果面板支持显示输入参数、输出参数、执行状态、执行时间；</w:t>
            </w:r>
          </w:p>
        </w:tc>
      </w:tr>
      <w:tr w14:paraId="4305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3028BACE">
            <w:pPr>
              <w:widowControl/>
              <w:jc w:val="left"/>
              <w:rPr>
                <w:rFonts w:cs="宋体"/>
                <w:color w:val="000000"/>
                <w:kern w:val="0"/>
                <w:szCs w:val="21"/>
              </w:rPr>
            </w:pPr>
          </w:p>
        </w:tc>
        <w:tc>
          <w:tcPr>
            <w:tcW w:w="556" w:type="pct"/>
            <w:vMerge w:val="continue"/>
            <w:vAlign w:val="center"/>
          </w:tcPr>
          <w:p w14:paraId="72E75EB6">
            <w:pPr>
              <w:widowControl/>
              <w:ind w:firstLine="0" w:firstLineChars="0"/>
              <w:jc w:val="left"/>
              <w:rPr>
                <w:rFonts w:cs="宋体"/>
                <w:color w:val="000000"/>
                <w:kern w:val="0"/>
                <w:szCs w:val="21"/>
              </w:rPr>
            </w:pPr>
          </w:p>
        </w:tc>
        <w:tc>
          <w:tcPr>
            <w:tcW w:w="3888" w:type="pct"/>
            <w:shd w:val="clear" w:color="auto" w:fill="auto"/>
            <w:vAlign w:val="center"/>
          </w:tcPr>
          <w:p w14:paraId="3FD132E9">
            <w:pPr>
              <w:widowControl/>
              <w:ind w:firstLine="0" w:firstLineChars="0"/>
              <w:jc w:val="left"/>
              <w:rPr>
                <w:rFonts w:cs="宋体"/>
                <w:color w:val="000000"/>
                <w:kern w:val="0"/>
                <w:szCs w:val="21"/>
              </w:rPr>
            </w:pPr>
            <w:r>
              <w:rPr>
                <w:rFonts w:hint="eastAsia" w:cs="宋体"/>
                <w:color w:val="000000"/>
                <w:kern w:val="0"/>
                <w:szCs w:val="21"/>
              </w:rPr>
              <w:t>支持打开新标签页显示子剧本详情；</w:t>
            </w:r>
          </w:p>
        </w:tc>
      </w:tr>
      <w:tr w14:paraId="073B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0EF1D20">
            <w:pPr>
              <w:widowControl/>
              <w:jc w:val="left"/>
              <w:rPr>
                <w:rFonts w:cs="宋体"/>
                <w:color w:val="000000"/>
                <w:kern w:val="0"/>
                <w:szCs w:val="21"/>
              </w:rPr>
            </w:pPr>
          </w:p>
        </w:tc>
        <w:tc>
          <w:tcPr>
            <w:tcW w:w="556" w:type="pct"/>
            <w:vMerge w:val="continue"/>
            <w:vAlign w:val="center"/>
          </w:tcPr>
          <w:p w14:paraId="41CD8AF1">
            <w:pPr>
              <w:widowControl/>
              <w:ind w:firstLine="0" w:firstLineChars="0"/>
              <w:jc w:val="left"/>
              <w:rPr>
                <w:rFonts w:cs="宋体"/>
                <w:color w:val="000000"/>
                <w:kern w:val="0"/>
                <w:szCs w:val="21"/>
              </w:rPr>
            </w:pPr>
          </w:p>
        </w:tc>
        <w:tc>
          <w:tcPr>
            <w:tcW w:w="3888" w:type="pct"/>
            <w:shd w:val="clear" w:color="auto" w:fill="auto"/>
            <w:vAlign w:val="center"/>
          </w:tcPr>
          <w:p w14:paraId="215D32E6">
            <w:pPr>
              <w:widowControl/>
              <w:ind w:firstLine="0" w:firstLineChars="0"/>
              <w:jc w:val="left"/>
              <w:rPr>
                <w:rFonts w:cs="宋体"/>
                <w:color w:val="000000"/>
                <w:kern w:val="0"/>
                <w:szCs w:val="21"/>
              </w:rPr>
            </w:pPr>
            <w:r>
              <w:rPr>
                <w:rFonts w:hint="eastAsia" w:cs="宋体"/>
                <w:color w:val="000000"/>
                <w:kern w:val="0"/>
                <w:szCs w:val="21"/>
              </w:rPr>
              <w:t>支持通过点击剧本名称打开新标签页查看剧本执行结果详情；</w:t>
            </w:r>
          </w:p>
        </w:tc>
      </w:tr>
      <w:tr w14:paraId="1013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6" w:type="pct"/>
            <w:vMerge w:val="continue"/>
            <w:vAlign w:val="center"/>
          </w:tcPr>
          <w:p w14:paraId="5684F02A">
            <w:pPr>
              <w:widowControl/>
              <w:jc w:val="left"/>
              <w:rPr>
                <w:rFonts w:cs="宋体"/>
                <w:color w:val="000000"/>
                <w:kern w:val="0"/>
                <w:szCs w:val="21"/>
              </w:rPr>
            </w:pPr>
          </w:p>
        </w:tc>
        <w:tc>
          <w:tcPr>
            <w:tcW w:w="556" w:type="pct"/>
            <w:vMerge w:val="continue"/>
            <w:vAlign w:val="center"/>
          </w:tcPr>
          <w:p w14:paraId="7530D67B">
            <w:pPr>
              <w:widowControl/>
              <w:ind w:firstLine="0" w:firstLineChars="0"/>
              <w:jc w:val="left"/>
              <w:rPr>
                <w:rFonts w:cs="宋体"/>
                <w:color w:val="000000"/>
                <w:kern w:val="0"/>
                <w:szCs w:val="21"/>
              </w:rPr>
            </w:pPr>
          </w:p>
        </w:tc>
        <w:tc>
          <w:tcPr>
            <w:tcW w:w="3888" w:type="pct"/>
            <w:shd w:val="clear" w:color="auto" w:fill="auto"/>
            <w:vAlign w:val="center"/>
          </w:tcPr>
          <w:p w14:paraId="0F5E97C6">
            <w:pPr>
              <w:widowControl/>
              <w:ind w:firstLine="0" w:firstLineChars="0"/>
              <w:jc w:val="left"/>
              <w:rPr>
                <w:rFonts w:cs="宋体"/>
                <w:color w:val="000000"/>
                <w:kern w:val="0"/>
                <w:szCs w:val="21"/>
              </w:rPr>
            </w:pPr>
            <w:r>
              <w:rPr>
                <w:rFonts w:hint="eastAsia" w:cs="宋体"/>
                <w:color w:val="000000"/>
                <w:kern w:val="0"/>
                <w:szCs w:val="21"/>
              </w:rPr>
              <w:t>支持脚本锁定，创建人锁定脚本后，其它用户只能引用不能修改脚本内容。</w:t>
            </w:r>
          </w:p>
        </w:tc>
      </w:tr>
      <w:tr w14:paraId="093A5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0639A394">
            <w:pPr>
              <w:widowControl/>
              <w:jc w:val="left"/>
              <w:rPr>
                <w:rFonts w:cs="宋体"/>
                <w:color w:val="000000"/>
                <w:kern w:val="0"/>
                <w:szCs w:val="21"/>
              </w:rPr>
            </w:pPr>
          </w:p>
        </w:tc>
        <w:tc>
          <w:tcPr>
            <w:tcW w:w="556" w:type="pct"/>
            <w:vMerge w:val="restart"/>
            <w:shd w:val="clear" w:color="auto" w:fill="auto"/>
            <w:vAlign w:val="center"/>
          </w:tcPr>
          <w:p w14:paraId="4D6E3D45">
            <w:pPr>
              <w:widowControl/>
              <w:ind w:firstLine="0" w:firstLineChars="0"/>
              <w:jc w:val="left"/>
              <w:rPr>
                <w:rFonts w:cs="宋体"/>
                <w:color w:val="000000"/>
                <w:kern w:val="0"/>
                <w:szCs w:val="21"/>
              </w:rPr>
            </w:pPr>
            <w:r>
              <w:rPr>
                <w:rFonts w:hint="eastAsia" w:cs="宋体"/>
                <w:color w:val="000000"/>
                <w:kern w:val="0"/>
                <w:szCs w:val="21"/>
              </w:rPr>
              <w:t>高级告警分析</w:t>
            </w:r>
          </w:p>
        </w:tc>
        <w:tc>
          <w:tcPr>
            <w:tcW w:w="3888" w:type="pct"/>
            <w:shd w:val="clear" w:color="auto" w:fill="auto"/>
            <w:vAlign w:val="center"/>
          </w:tcPr>
          <w:p w14:paraId="3EA256EA">
            <w:pPr>
              <w:widowControl/>
              <w:ind w:firstLine="0" w:firstLineChars="0"/>
              <w:jc w:val="left"/>
              <w:rPr>
                <w:rFonts w:cs="宋体"/>
                <w:color w:val="000000"/>
                <w:kern w:val="0"/>
                <w:szCs w:val="21"/>
              </w:rPr>
            </w:pPr>
            <w:r>
              <w:rPr>
                <w:rFonts w:hint="eastAsia" w:cs="宋体"/>
                <w:color w:val="000000"/>
                <w:kern w:val="0"/>
                <w:szCs w:val="21"/>
              </w:rPr>
              <w:t>告警采集速率高于2000条/s；</w:t>
            </w:r>
          </w:p>
        </w:tc>
      </w:tr>
      <w:tr w14:paraId="50C6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68F822F0">
            <w:pPr>
              <w:widowControl/>
              <w:jc w:val="left"/>
              <w:rPr>
                <w:rFonts w:cs="宋体"/>
                <w:color w:val="000000"/>
                <w:kern w:val="0"/>
                <w:szCs w:val="21"/>
              </w:rPr>
            </w:pPr>
          </w:p>
        </w:tc>
        <w:tc>
          <w:tcPr>
            <w:tcW w:w="556" w:type="pct"/>
            <w:vMerge w:val="continue"/>
            <w:vAlign w:val="center"/>
          </w:tcPr>
          <w:p w14:paraId="2BC9711F">
            <w:pPr>
              <w:widowControl/>
              <w:ind w:firstLine="0" w:firstLineChars="0"/>
              <w:jc w:val="left"/>
              <w:rPr>
                <w:rFonts w:cs="宋体"/>
                <w:color w:val="000000"/>
                <w:kern w:val="0"/>
                <w:szCs w:val="21"/>
              </w:rPr>
            </w:pPr>
          </w:p>
        </w:tc>
        <w:tc>
          <w:tcPr>
            <w:tcW w:w="3888" w:type="pct"/>
            <w:shd w:val="clear" w:color="auto" w:fill="auto"/>
            <w:vAlign w:val="center"/>
          </w:tcPr>
          <w:p w14:paraId="1E56C471">
            <w:pPr>
              <w:widowControl/>
              <w:ind w:firstLine="0" w:firstLineChars="0"/>
              <w:jc w:val="left"/>
              <w:rPr>
                <w:rFonts w:cs="宋体"/>
                <w:color w:val="000000"/>
                <w:kern w:val="0"/>
                <w:szCs w:val="21"/>
              </w:rPr>
            </w:pPr>
            <w:r>
              <w:rPr>
                <w:rFonts w:hint="eastAsia" w:cs="宋体"/>
                <w:color w:val="000000"/>
                <w:kern w:val="0"/>
                <w:szCs w:val="21"/>
              </w:rPr>
              <w:t>支持接收第三方系统/设备通过syslog发出的告警信息；支持通过Kafka、REST API接口接收第三方的告警信息；</w:t>
            </w:r>
          </w:p>
        </w:tc>
      </w:tr>
      <w:tr w14:paraId="4C07D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56" w:type="pct"/>
            <w:vMerge w:val="continue"/>
            <w:vAlign w:val="center"/>
          </w:tcPr>
          <w:p w14:paraId="1FC083C0">
            <w:pPr>
              <w:widowControl/>
              <w:jc w:val="left"/>
              <w:rPr>
                <w:rFonts w:cs="宋体"/>
                <w:color w:val="000000"/>
                <w:kern w:val="0"/>
                <w:szCs w:val="21"/>
              </w:rPr>
            </w:pPr>
          </w:p>
        </w:tc>
        <w:tc>
          <w:tcPr>
            <w:tcW w:w="556" w:type="pct"/>
            <w:vMerge w:val="continue"/>
            <w:vAlign w:val="center"/>
          </w:tcPr>
          <w:p w14:paraId="21741995">
            <w:pPr>
              <w:widowControl/>
              <w:ind w:firstLine="0" w:firstLineChars="0"/>
              <w:jc w:val="left"/>
              <w:rPr>
                <w:rFonts w:cs="宋体"/>
                <w:color w:val="000000"/>
                <w:kern w:val="0"/>
                <w:szCs w:val="21"/>
              </w:rPr>
            </w:pPr>
          </w:p>
        </w:tc>
        <w:tc>
          <w:tcPr>
            <w:tcW w:w="3888" w:type="pct"/>
            <w:shd w:val="clear" w:color="auto" w:fill="auto"/>
            <w:vAlign w:val="center"/>
          </w:tcPr>
          <w:p w14:paraId="38BEA814">
            <w:pPr>
              <w:widowControl/>
              <w:ind w:firstLine="0" w:firstLineChars="0"/>
              <w:jc w:val="left"/>
              <w:rPr>
                <w:rFonts w:cs="宋体"/>
                <w:color w:val="000000"/>
                <w:kern w:val="0"/>
                <w:szCs w:val="21"/>
              </w:rPr>
            </w:pPr>
            <w:r>
              <w:rPr>
                <w:rFonts w:hint="eastAsia" w:cs="宋体"/>
                <w:color w:val="000000"/>
                <w:kern w:val="0"/>
                <w:szCs w:val="21"/>
              </w:rPr>
              <w:t>支持对接收到的告警日志进行范化，实现对异构告警日志格式的统一描述。系统内置针对常见告警日志的范化策略，并支持用户手工编辑范化策略。用户可以修改现有的告警日志数据模型，也可以自定义告警数据模型。</w:t>
            </w:r>
          </w:p>
        </w:tc>
      </w:tr>
      <w:tr w14:paraId="01664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31EFBE15">
            <w:pPr>
              <w:widowControl/>
              <w:jc w:val="left"/>
              <w:rPr>
                <w:rFonts w:cs="宋体"/>
                <w:color w:val="000000"/>
                <w:kern w:val="0"/>
                <w:szCs w:val="21"/>
              </w:rPr>
            </w:pPr>
          </w:p>
        </w:tc>
        <w:tc>
          <w:tcPr>
            <w:tcW w:w="556" w:type="pct"/>
            <w:vMerge w:val="continue"/>
            <w:vAlign w:val="center"/>
          </w:tcPr>
          <w:p w14:paraId="6ADFB823">
            <w:pPr>
              <w:widowControl/>
              <w:ind w:firstLine="0" w:firstLineChars="0"/>
              <w:jc w:val="left"/>
              <w:rPr>
                <w:rFonts w:cs="宋体"/>
                <w:color w:val="000000"/>
                <w:kern w:val="0"/>
                <w:szCs w:val="21"/>
              </w:rPr>
            </w:pPr>
          </w:p>
        </w:tc>
        <w:tc>
          <w:tcPr>
            <w:tcW w:w="3888" w:type="pct"/>
            <w:shd w:val="clear" w:color="auto" w:fill="auto"/>
            <w:vAlign w:val="center"/>
          </w:tcPr>
          <w:p w14:paraId="58C9E324">
            <w:pPr>
              <w:widowControl/>
              <w:ind w:firstLine="0" w:firstLineChars="0"/>
              <w:jc w:val="left"/>
              <w:rPr>
                <w:rFonts w:cs="宋体"/>
                <w:color w:val="000000"/>
                <w:kern w:val="0"/>
                <w:szCs w:val="21"/>
              </w:rPr>
            </w:pPr>
            <w:r>
              <w:rPr>
                <w:rFonts w:hint="eastAsia" w:cs="宋体"/>
                <w:color w:val="000000"/>
                <w:kern w:val="0"/>
                <w:szCs w:val="21"/>
              </w:rPr>
              <w:t>支持多个事件或告警通过不同属性关联成一条关联事件；</w:t>
            </w:r>
          </w:p>
        </w:tc>
      </w:tr>
      <w:tr w14:paraId="1955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5A836B63">
            <w:pPr>
              <w:widowControl/>
              <w:jc w:val="left"/>
              <w:rPr>
                <w:rFonts w:cs="宋体"/>
                <w:color w:val="000000"/>
                <w:kern w:val="0"/>
                <w:szCs w:val="21"/>
              </w:rPr>
            </w:pPr>
          </w:p>
        </w:tc>
        <w:tc>
          <w:tcPr>
            <w:tcW w:w="556" w:type="pct"/>
            <w:vMerge w:val="continue"/>
            <w:vAlign w:val="center"/>
          </w:tcPr>
          <w:p w14:paraId="38C043B4">
            <w:pPr>
              <w:widowControl/>
              <w:ind w:firstLine="0" w:firstLineChars="0"/>
              <w:jc w:val="left"/>
              <w:rPr>
                <w:rFonts w:cs="宋体"/>
                <w:color w:val="000000"/>
                <w:kern w:val="0"/>
                <w:szCs w:val="21"/>
              </w:rPr>
            </w:pPr>
          </w:p>
        </w:tc>
        <w:tc>
          <w:tcPr>
            <w:tcW w:w="3888" w:type="pct"/>
            <w:shd w:val="clear" w:color="auto" w:fill="auto"/>
            <w:vAlign w:val="center"/>
          </w:tcPr>
          <w:p w14:paraId="413D11BC">
            <w:pPr>
              <w:widowControl/>
              <w:ind w:firstLine="0" w:firstLineChars="0"/>
              <w:jc w:val="left"/>
              <w:rPr>
                <w:rFonts w:cs="宋体"/>
                <w:color w:val="000000"/>
                <w:kern w:val="0"/>
                <w:szCs w:val="21"/>
              </w:rPr>
            </w:pPr>
            <w:r>
              <w:rPr>
                <w:rFonts w:hint="eastAsia" w:cs="宋体"/>
                <w:color w:val="000000"/>
                <w:kern w:val="0"/>
                <w:szCs w:val="21"/>
              </w:rPr>
              <w:t>支持源IP、目标IP、事件名称、攻击类型等所有事件属性中任务多个属性的关联合并与分析；</w:t>
            </w:r>
          </w:p>
        </w:tc>
      </w:tr>
      <w:tr w14:paraId="75F0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36BF44C7">
            <w:pPr>
              <w:widowControl/>
              <w:jc w:val="left"/>
              <w:rPr>
                <w:rFonts w:cs="宋体"/>
                <w:color w:val="000000"/>
                <w:kern w:val="0"/>
                <w:szCs w:val="21"/>
              </w:rPr>
            </w:pPr>
          </w:p>
        </w:tc>
        <w:tc>
          <w:tcPr>
            <w:tcW w:w="556" w:type="pct"/>
            <w:vMerge w:val="continue"/>
            <w:vAlign w:val="center"/>
          </w:tcPr>
          <w:p w14:paraId="09AA24EE">
            <w:pPr>
              <w:widowControl/>
              <w:ind w:firstLine="0" w:firstLineChars="0"/>
              <w:jc w:val="left"/>
              <w:rPr>
                <w:rFonts w:cs="宋体"/>
                <w:color w:val="000000"/>
                <w:kern w:val="0"/>
                <w:szCs w:val="21"/>
              </w:rPr>
            </w:pPr>
          </w:p>
        </w:tc>
        <w:tc>
          <w:tcPr>
            <w:tcW w:w="3888" w:type="pct"/>
            <w:shd w:val="clear" w:color="auto" w:fill="auto"/>
            <w:vAlign w:val="center"/>
          </w:tcPr>
          <w:p w14:paraId="4FAA0B4A">
            <w:pPr>
              <w:widowControl/>
              <w:ind w:firstLine="0" w:firstLineChars="0"/>
              <w:jc w:val="left"/>
              <w:rPr>
                <w:rFonts w:cs="宋体"/>
                <w:color w:val="000000"/>
                <w:kern w:val="0"/>
                <w:szCs w:val="21"/>
              </w:rPr>
            </w:pPr>
            <w:r>
              <w:rPr>
                <w:rFonts w:hint="eastAsia" w:cs="宋体"/>
                <w:color w:val="000000"/>
                <w:kern w:val="0"/>
                <w:szCs w:val="21"/>
              </w:rPr>
              <w:t>支持以列表方式，按照告警所处的不同状态显示所有告警信息，以及每种状态的告警数量；</w:t>
            </w:r>
          </w:p>
        </w:tc>
      </w:tr>
      <w:tr w14:paraId="7A6C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5815F3D7">
            <w:pPr>
              <w:widowControl/>
              <w:jc w:val="left"/>
              <w:rPr>
                <w:rFonts w:cs="宋体"/>
                <w:color w:val="000000"/>
                <w:kern w:val="0"/>
                <w:szCs w:val="21"/>
              </w:rPr>
            </w:pPr>
          </w:p>
        </w:tc>
        <w:tc>
          <w:tcPr>
            <w:tcW w:w="556" w:type="pct"/>
            <w:vMerge w:val="continue"/>
            <w:vAlign w:val="center"/>
          </w:tcPr>
          <w:p w14:paraId="0CC04A80">
            <w:pPr>
              <w:widowControl/>
              <w:ind w:firstLine="0" w:firstLineChars="0"/>
              <w:jc w:val="left"/>
              <w:rPr>
                <w:rFonts w:cs="宋体"/>
                <w:color w:val="000000"/>
                <w:kern w:val="0"/>
                <w:szCs w:val="21"/>
              </w:rPr>
            </w:pPr>
          </w:p>
        </w:tc>
        <w:tc>
          <w:tcPr>
            <w:tcW w:w="3888" w:type="pct"/>
            <w:shd w:val="clear" w:color="auto" w:fill="auto"/>
            <w:vAlign w:val="center"/>
          </w:tcPr>
          <w:p w14:paraId="600D9580">
            <w:pPr>
              <w:widowControl/>
              <w:ind w:firstLine="0" w:firstLineChars="0"/>
              <w:jc w:val="left"/>
              <w:rPr>
                <w:rFonts w:cs="宋体"/>
                <w:color w:val="000000"/>
                <w:kern w:val="0"/>
                <w:szCs w:val="21"/>
              </w:rPr>
            </w:pPr>
            <w:r>
              <w:rPr>
                <w:rFonts w:hint="eastAsia" w:cs="宋体"/>
                <w:color w:val="000000"/>
                <w:kern w:val="0"/>
                <w:szCs w:val="21"/>
              </w:rPr>
              <w:t>支持以时间轴方式展示告警触发的App动作和剧本，钻取查看App动作和剧本的执行结果；</w:t>
            </w:r>
          </w:p>
        </w:tc>
      </w:tr>
      <w:tr w14:paraId="658D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75BEA61E">
            <w:pPr>
              <w:widowControl/>
              <w:jc w:val="left"/>
              <w:rPr>
                <w:rFonts w:cs="宋体"/>
                <w:color w:val="000000"/>
                <w:kern w:val="0"/>
                <w:szCs w:val="21"/>
              </w:rPr>
            </w:pPr>
          </w:p>
        </w:tc>
        <w:tc>
          <w:tcPr>
            <w:tcW w:w="556" w:type="pct"/>
            <w:vMerge w:val="continue"/>
            <w:vAlign w:val="center"/>
          </w:tcPr>
          <w:p w14:paraId="445D3C8A">
            <w:pPr>
              <w:widowControl/>
              <w:ind w:firstLine="0" w:firstLineChars="0"/>
              <w:jc w:val="left"/>
              <w:rPr>
                <w:rFonts w:cs="宋体"/>
                <w:color w:val="000000"/>
                <w:kern w:val="0"/>
                <w:szCs w:val="21"/>
              </w:rPr>
            </w:pPr>
          </w:p>
        </w:tc>
        <w:tc>
          <w:tcPr>
            <w:tcW w:w="3888" w:type="pct"/>
            <w:shd w:val="clear" w:color="auto" w:fill="auto"/>
            <w:vAlign w:val="center"/>
          </w:tcPr>
          <w:p w14:paraId="7FF50AE3">
            <w:pPr>
              <w:widowControl/>
              <w:ind w:firstLine="0" w:firstLineChars="0"/>
              <w:jc w:val="left"/>
              <w:rPr>
                <w:rFonts w:cs="宋体"/>
                <w:color w:val="000000"/>
                <w:kern w:val="0"/>
                <w:szCs w:val="21"/>
              </w:rPr>
            </w:pPr>
            <w:r>
              <w:rPr>
                <w:rFonts w:hint="eastAsia" w:cs="宋体"/>
                <w:color w:val="000000"/>
                <w:kern w:val="0"/>
                <w:szCs w:val="21"/>
              </w:rPr>
              <w:t>支持基于告警响应规则的自动化响应，告警响应规则包含告警条件、告警响应动作，支持一次响应多个剧本或动作；【需提供截图】</w:t>
            </w:r>
          </w:p>
        </w:tc>
      </w:tr>
      <w:tr w14:paraId="0552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6EE34F41">
            <w:pPr>
              <w:widowControl/>
              <w:jc w:val="left"/>
              <w:rPr>
                <w:rFonts w:cs="宋体"/>
                <w:color w:val="000000"/>
                <w:kern w:val="0"/>
                <w:szCs w:val="21"/>
              </w:rPr>
            </w:pPr>
          </w:p>
        </w:tc>
        <w:tc>
          <w:tcPr>
            <w:tcW w:w="556" w:type="pct"/>
            <w:vMerge w:val="continue"/>
            <w:vAlign w:val="center"/>
          </w:tcPr>
          <w:p w14:paraId="4810B79D">
            <w:pPr>
              <w:widowControl/>
              <w:ind w:firstLine="0" w:firstLineChars="0"/>
              <w:jc w:val="left"/>
              <w:rPr>
                <w:rFonts w:cs="宋体"/>
                <w:color w:val="000000"/>
                <w:kern w:val="0"/>
                <w:szCs w:val="21"/>
              </w:rPr>
            </w:pPr>
          </w:p>
        </w:tc>
        <w:tc>
          <w:tcPr>
            <w:tcW w:w="3888" w:type="pct"/>
            <w:shd w:val="clear" w:color="auto" w:fill="auto"/>
            <w:vAlign w:val="center"/>
          </w:tcPr>
          <w:p w14:paraId="1A0EF846">
            <w:pPr>
              <w:widowControl/>
              <w:ind w:firstLine="0" w:firstLineChars="0"/>
              <w:jc w:val="left"/>
              <w:rPr>
                <w:rFonts w:cs="宋体"/>
                <w:color w:val="000000"/>
                <w:kern w:val="0"/>
                <w:szCs w:val="21"/>
              </w:rPr>
            </w:pPr>
            <w:r>
              <w:rPr>
                <w:rFonts w:hint="eastAsia" w:cs="宋体"/>
                <w:color w:val="000000"/>
                <w:kern w:val="0"/>
                <w:szCs w:val="21"/>
              </w:rPr>
              <w:t>支持将符合条件的告警生成案例，并将响应中的过程数据自动或人工地加入到痕迹清单中；</w:t>
            </w:r>
          </w:p>
        </w:tc>
      </w:tr>
      <w:tr w14:paraId="5C10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558C4043">
            <w:pPr>
              <w:widowControl/>
              <w:jc w:val="left"/>
              <w:rPr>
                <w:rFonts w:cs="宋体"/>
                <w:color w:val="000000"/>
                <w:kern w:val="0"/>
                <w:szCs w:val="21"/>
              </w:rPr>
            </w:pPr>
          </w:p>
        </w:tc>
        <w:tc>
          <w:tcPr>
            <w:tcW w:w="556" w:type="pct"/>
            <w:vMerge w:val="continue"/>
            <w:vAlign w:val="center"/>
          </w:tcPr>
          <w:p w14:paraId="368703E9">
            <w:pPr>
              <w:widowControl/>
              <w:ind w:firstLine="0" w:firstLineChars="0"/>
              <w:jc w:val="left"/>
              <w:rPr>
                <w:rFonts w:cs="宋体"/>
                <w:color w:val="000000"/>
                <w:kern w:val="0"/>
                <w:szCs w:val="21"/>
              </w:rPr>
            </w:pPr>
          </w:p>
        </w:tc>
        <w:tc>
          <w:tcPr>
            <w:tcW w:w="3888" w:type="pct"/>
            <w:shd w:val="clear" w:color="auto" w:fill="auto"/>
            <w:vAlign w:val="center"/>
          </w:tcPr>
          <w:p w14:paraId="319E14E7">
            <w:pPr>
              <w:widowControl/>
              <w:ind w:firstLine="0" w:firstLineChars="0"/>
              <w:jc w:val="left"/>
              <w:rPr>
                <w:rFonts w:cs="宋体"/>
                <w:color w:val="000000"/>
                <w:kern w:val="0"/>
                <w:szCs w:val="21"/>
              </w:rPr>
            </w:pPr>
            <w:r>
              <w:rPr>
                <w:rFonts w:hint="eastAsia" w:cs="宋体"/>
                <w:color w:val="000000"/>
                <w:kern w:val="0"/>
                <w:szCs w:val="21"/>
              </w:rPr>
              <w:t>支持对多个不同类型不同来源的告警事件信息进行综合关联分析，支持与或非筛选事件信息，多事件具备实时关联和历史关联能力分析；</w:t>
            </w:r>
          </w:p>
        </w:tc>
      </w:tr>
      <w:tr w14:paraId="5AC2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5F807C49">
            <w:pPr>
              <w:widowControl/>
              <w:jc w:val="left"/>
              <w:rPr>
                <w:rFonts w:cs="宋体"/>
                <w:color w:val="000000"/>
                <w:kern w:val="0"/>
                <w:szCs w:val="21"/>
              </w:rPr>
            </w:pPr>
          </w:p>
        </w:tc>
        <w:tc>
          <w:tcPr>
            <w:tcW w:w="556" w:type="pct"/>
            <w:vMerge w:val="continue"/>
            <w:vAlign w:val="center"/>
          </w:tcPr>
          <w:p w14:paraId="0340D058">
            <w:pPr>
              <w:widowControl/>
              <w:ind w:firstLine="0" w:firstLineChars="0"/>
              <w:jc w:val="left"/>
              <w:rPr>
                <w:rFonts w:cs="宋体"/>
                <w:color w:val="000000"/>
                <w:kern w:val="0"/>
                <w:szCs w:val="21"/>
              </w:rPr>
            </w:pPr>
          </w:p>
        </w:tc>
        <w:tc>
          <w:tcPr>
            <w:tcW w:w="3888" w:type="pct"/>
            <w:shd w:val="clear" w:color="auto" w:fill="auto"/>
            <w:vAlign w:val="center"/>
          </w:tcPr>
          <w:p w14:paraId="691966B7">
            <w:pPr>
              <w:widowControl/>
              <w:ind w:firstLine="0" w:firstLineChars="0"/>
              <w:jc w:val="left"/>
              <w:rPr>
                <w:rFonts w:cs="宋体"/>
                <w:color w:val="000000"/>
                <w:kern w:val="0"/>
                <w:szCs w:val="21"/>
              </w:rPr>
            </w:pPr>
            <w:r>
              <w:rPr>
                <w:rFonts w:hint="eastAsia" w:cs="宋体"/>
                <w:color w:val="000000"/>
                <w:kern w:val="0"/>
                <w:szCs w:val="21"/>
              </w:rPr>
              <w:t>支持关联规则嵌套和引用，通过多规则联合，可精确识别复杂安全事件和场景；【需提供截图】</w:t>
            </w:r>
          </w:p>
        </w:tc>
      </w:tr>
      <w:tr w14:paraId="1129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556" w:type="pct"/>
            <w:vMerge w:val="continue"/>
            <w:vAlign w:val="center"/>
          </w:tcPr>
          <w:p w14:paraId="3DD98297">
            <w:pPr>
              <w:widowControl/>
              <w:jc w:val="left"/>
              <w:rPr>
                <w:rFonts w:cs="宋体"/>
                <w:color w:val="000000"/>
                <w:kern w:val="0"/>
                <w:szCs w:val="21"/>
              </w:rPr>
            </w:pPr>
          </w:p>
        </w:tc>
        <w:tc>
          <w:tcPr>
            <w:tcW w:w="556" w:type="pct"/>
            <w:vMerge w:val="continue"/>
            <w:vAlign w:val="center"/>
          </w:tcPr>
          <w:p w14:paraId="552820A8">
            <w:pPr>
              <w:widowControl/>
              <w:ind w:firstLine="0" w:firstLineChars="0"/>
              <w:jc w:val="left"/>
              <w:rPr>
                <w:rFonts w:cs="宋体"/>
                <w:color w:val="000000"/>
                <w:kern w:val="0"/>
                <w:szCs w:val="21"/>
              </w:rPr>
            </w:pPr>
          </w:p>
        </w:tc>
        <w:tc>
          <w:tcPr>
            <w:tcW w:w="3888" w:type="pct"/>
            <w:shd w:val="clear" w:color="auto" w:fill="auto"/>
            <w:vAlign w:val="center"/>
          </w:tcPr>
          <w:p w14:paraId="7DA3FF84">
            <w:pPr>
              <w:widowControl/>
              <w:ind w:firstLine="0" w:firstLineChars="0"/>
              <w:jc w:val="left"/>
              <w:rPr>
                <w:rFonts w:cs="宋体"/>
                <w:color w:val="000000"/>
                <w:kern w:val="0"/>
                <w:szCs w:val="21"/>
              </w:rPr>
            </w:pPr>
            <w:r>
              <w:rPr>
                <w:rFonts w:hint="eastAsia" w:cs="宋体"/>
                <w:color w:val="000000"/>
                <w:kern w:val="0"/>
                <w:szCs w:val="21"/>
              </w:rPr>
              <w:t>关联分析支持可视化配置，支持单字段的筛选过滤，也支持引用活动列表，可将一个规则匹配后事件的某个或某些属性添加到活动列表内，并可在另一个规则内引用活动列表，实现两个规则的联动，进而实现对复杂长周期的攻击行为的描述和刻画；</w:t>
            </w:r>
          </w:p>
        </w:tc>
      </w:tr>
      <w:tr w14:paraId="5DF5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235E5C29">
            <w:pPr>
              <w:widowControl/>
              <w:jc w:val="left"/>
              <w:rPr>
                <w:rFonts w:cs="宋体"/>
                <w:color w:val="000000"/>
                <w:kern w:val="0"/>
                <w:szCs w:val="21"/>
              </w:rPr>
            </w:pPr>
          </w:p>
        </w:tc>
        <w:tc>
          <w:tcPr>
            <w:tcW w:w="556" w:type="pct"/>
            <w:vMerge w:val="restart"/>
            <w:shd w:val="clear" w:color="auto" w:fill="auto"/>
            <w:vAlign w:val="center"/>
          </w:tcPr>
          <w:p w14:paraId="14C49FB8">
            <w:pPr>
              <w:widowControl/>
              <w:ind w:firstLine="0" w:firstLineChars="0"/>
              <w:jc w:val="left"/>
              <w:rPr>
                <w:rFonts w:cs="宋体"/>
                <w:color w:val="000000"/>
                <w:kern w:val="0"/>
                <w:szCs w:val="21"/>
              </w:rPr>
            </w:pPr>
            <w:r>
              <w:rPr>
                <w:rFonts w:hint="eastAsia" w:cs="宋体"/>
                <w:color w:val="000000"/>
                <w:kern w:val="0"/>
                <w:szCs w:val="21"/>
              </w:rPr>
              <w:t>案例管理</w:t>
            </w:r>
          </w:p>
        </w:tc>
        <w:tc>
          <w:tcPr>
            <w:tcW w:w="3888" w:type="pct"/>
            <w:shd w:val="clear" w:color="auto" w:fill="auto"/>
            <w:vAlign w:val="center"/>
          </w:tcPr>
          <w:p w14:paraId="6FA34655">
            <w:pPr>
              <w:widowControl/>
              <w:ind w:firstLine="0" w:firstLineChars="0"/>
              <w:jc w:val="left"/>
              <w:rPr>
                <w:rFonts w:cs="宋体"/>
                <w:color w:val="000000"/>
                <w:kern w:val="0"/>
                <w:szCs w:val="21"/>
              </w:rPr>
            </w:pPr>
            <w:r>
              <w:rPr>
                <w:rFonts w:hint="eastAsia" w:cs="宋体"/>
                <w:color w:val="000000"/>
                <w:kern w:val="0"/>
                <w:szCs w:val="21"/>
              </w:rPr>
              <w:t>支持管理员对案例增删改查，案例的属性包括案例名称、类型、严重程度、标签、预案、责任人、成员、计划完成时间和描述；</w:t>
            </w:r>
          </w:p>
        </w:tc>
      </w:tr>
      <w:tr w14:paraId="3BAC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75EC3DE4">
            <w:pPr>
              <w:widowControl/>
              <w:jc w:val="left"/>
              <w:rPr>
                <w:rFonts w:cs="宋体"/>
                <w:color w:val="000000"/>
                <w:kern w:val="0"/>
                <w:szCs w:val="21"/>
              </w:rPr>
            </w:pPr>
          </w:p>
        </w:tc>
        <w:tc>
          <w:tcPr>
            <w:tcW w:w="556" w:type="pct"/>
            <w:vMerge w:val="continue"/>
            <w:vAlign w:val="center"/>
          </w:tcPr>
          <w:p w14:paraId="0E6BE02F">
            <w:pPr>
              <w:widowControl/>
              <w:ind w:firstLine="0" w:firstLineChars="0"/>
              <w:jc w:val="left"/>
              <w:rPr>
                <w:rFonts w:cs="宋体"/>
                <w:color w:val="000000"/>
                <w:kern w:val="0"/>
                <w:szCs w:val="21"/>
              </w:rPr>
            </w:pPr>
          </w:p>
        </w:tc>
        <w:tc>
          <w:tcPr>
            <w:tcW w:w="3888" w:type="pct"/>
            <w:shd w:val="clear" w:color="auto" w:fill="auto"/>
            <w:vAlign w:val="center"/>
          </w:tcPr>
          <w:p w14:paraId="107C9499">
            <w:pPr>
              <w:widowControl/>
              <w:ind w:firstLine="0" w:firstLineChars="0"/>
              <w:jc w:val="left"/>
              <w:rPr>
                <w:rFonts w:cs="宋体"/>
                <w:color w:val="000000"/>
                <w:kern w:val="0"/>
                <w:szCs w:val="21"/>
              </w:rPr>
            </w:pPr>
            <w:r>
              <w:rPr>
                <w:rFonts w:hint="eastAsia" w:cs="宋体"/>
                <w:color w:val="000000"/>
                <w:kern w:val="0"/>
                <w:szCs w:val="21"/>
              </w:rPr>
              <w:t>支持痕迹管理、标注管理和附件管理功能；</w:t>
            </w:r>
          </w:p>
        </w:tc>
      </w:tr>
      <w:tr w14:paraId="3FB4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C4A1FC2">
            <w:pPr>
              <w:widowControl/>
              <w:jc w:val="left"/>
              <w:rPr>
                <w:rFonts w:cs="宋体"/>
                <w:color w:val="000000"/>
                <w:kern w:val="0"/>
                <w:szCs w:val="21"/>
              </w:rPr>
            </w:pPr>
          </w:p>
        </w:tc>
        <w:tc>
          <w:tcPr>
            <w:tcW w:w="556" w:type="pct"/>
            <w:vMerge w:val="continue"/>
            <w:vAlign w:val="center"/>
          </w:tcPr>
          <w:p w14:paraId="0E2F2DE9">
            <w:pPr>
              <w:widowControl/>
              <w:ind w:firstLine="0" w:firstLineChars="0"/>
              <w:jc w:val="left"/>
              <w:rPr>
                <w:rFonts w:cs="宋体"/>
                <w:color w:val="000000"/>
                <w:kern w:val="0"/>
                <w:szCs w:val="21"/>
              </w:rPr>
            </w:pPr>
          </w:p>
        </w:tc>
        <w:tc>
          <w:tcPr>
            <w:tcW w:w="3888" w:type="pct"/>
            <w:shd w:val="clear" w:color="auto" w:fill="auto"/>
            <w:vAlign w:val="center"/>
          </w:tcPr>
          <w:p w14:paraId="6525C984">
            <w:pPr>
              <w:widowControl/>
              <w:ind w:firstLine="0" w:firstLineChars="0"/>
              <w:jc w:val="left"/>
              <w:rPr>
                <w:rFonts w:cs="宋体"/>
                <w:color w:val="000000"/>
                <w:kern w:val="0"/>
                <w:szCs w:val="21"/>
              </w:rPr>
            </w:pPr>
            <w:r>
              <w:rPr>
                <w:rFonts w:hint="eastAsia" w:cs="宋体"/>
                <w:color w:val="000000"/>
                <w:kern w:val="0"/>
                <w:szCs w:val="21"/>
              </w:rPr>
              <w:t>支持在案例中添加痕迹信息、编辑标注、上传附件；</w:t>
            </w:r>
          </w:p>
        </w:tc>
      </w:tr>
      <w:tr w14:paraId="634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24CEDB27">
            <w:pPr>
              <w:widowControl/>
              <w:jc w:val="left"/>
              <w:rPr>
                <w:rFonts w:cs="宋体"/>
                <w:color w:val="000000"/>
                <w:kern w:val="0"/>
                <w:szCs w:val="21"/>
              </w:rPr>
            </w:pPr>
          </w:p>
        </w:tc>
        <w:tc>
          <w:tcPr>
            <w:tcW w:w="556" w:type="pct"/>
            <w:vMerge w:val="continue"/>
            <w:vAlign w:val="center"/>
          </w:tcPr>
          <w:p w14:paraId="2FB9F0DB">
            <w:pPr>
              <w:widowControl/>
              <w:ind w:firstLine="0" w:firstLineChars="0"/>
              <w:jc w:val="left"/>
              <w:rPr>
                <w:rFonts w:cs="宋体"/>
                <w:color w:val="000000"/>
                <w:kern w:val="0"/>
                <w:szCs w:val="21"/>
              </w:rPr>
            </w:pPr>
          </w:p>
        </w:tc>
        <w:tc>
          <w:tcPr>
            <w:tcW w:w="3888" w:type="pct"/>
            <w:shd w:val="clear" w:color="auto" w:fill="auto"/>
            <w:vAlign w:val="center"/>
          </w:tcPr>
          <w:p w14:paraId="0E9644FF">
            <w:pPr>
              <w:widowControl/>
              <w:ind w:firstLine="0" w:firstLineChars="0"/>
              <w:jc w:val="left"/>
              <w:rPr>
                <w:rFonts w:cs="宋体"/>
                <w:color w:val="000000"/>
                <w:kern w:val="0"/>
                <w:szCs w:val="21"/>
              </w:rPr>
            </w:pPr>
            <w:r>
              <w:rPr>
                <w:rFonts w:hint="eastAsia" w:cs="宋体"/>
                <w:color w:val="000000"/>
                <w:kern w:val="0"/>
                <w:szCs w:val="21"/>
              </w:rPr>
              <w:t>支持对每个案例分配一个或者多个标签；</w:t>
            </w:r>
          </w:p>
        </w:tc>
      </w:tr>
      <w:tr w14:paraId="36E9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587F0B7">
            <w:pPr>
              <w:widowControl/>
              <w:jc w:val="left"/>
              <w:rPr>
                <w:rFonts w:cs="宋体"/>
                <w:color w:val="000000"/>
                <w:kern w:val="0"/>
                <w:szCs w:val="21"/>
              </w:rPr>
            </w:pPr>
          </w:p>
        </w:tc>
        <w:tc>
          <w:tcPr>
            <w:tcW w:w="556" w:type="pct"/>
            <w:vMerge w:val="continue"/>
            <w:vAlign w:val="center"/>
          </w:tcPr>
          <w:p w14:paraId="06074CB6">
            <w:pPr>
              <w:widowControl/>
              <w:ind w:firstLine="0" w:firstLineChars="0"/>
              <w:jc w:val="left"/>
              <w:rPr>
                <w:rFonts w:cs="宋体"/>
                <w:color w:val="000000"/>
                <w:kern w:val="0"/>
                <w:szCs w:val="21"/>
              </w:rPr>
            </w:pPr>
          </w:p>
        </w:tc>
        <w:tc>
          <w:tcPr>
            <w:tcW w:w="3888" w:type="pct"/>
            <w:shd w:val="clear" w:color="auto" w:fill="auto"/>
            <w:vAlign w:val="center"/>
          </w:tcPr>
          <w:p w14:paraId="433E99F4">
            <w:pPr>
              <w:widowControl/>
              <w:ind w:firstLine="0" w:firstLineChars="0"/>
              <w:jc w:val="left"/>
              <w:rPr>
                <w:rFonts w:cs="宋体"/>
                <w:color w:val="000000"/>
                <w:kern w:val="0"/>
                <w:szCs w:val="21"/>
              </w:rPr>
            </w:pPr>
            <w:r>
              <w:rPr>
                <w:rFonts w:hint="eastAsia" w:cs="宋体"/>
                <w:color w:val="000000"/>
                <w:kern w:val="0"/>
                <w:szCs w:val="21"/>
              </w:rPr>
              <w:t>支持对案例激活预置的编排剧本，并将相关操作和结果记录到活动记录；</w:t>
            </w:r>
          </w:p>
        </w:tc>
      </w:tr>
      <w:tr w14:paraId="474F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03DB601C">
            <w:pPr>
              <w:widowControl/>
              <w:jc w:val="left"/>
              <w:rPr>
                <w:rFonts w:cs="宋体"/>
                <w:color w:val="000000"/>
                <w:kern w:val="0"/>
                <w:szCs w:val="21"/>
              </w:rPr>
            </w:pPr>
          </w:p>
        </w:tc>
        <w:tc>
          <w:tcPr>
            <w:tcW w:w="556" w:type="pct"/>
            <w:vMerge w:val="continue"/>
            <w:vAlign w:val="center"/>
          </w:tcPr>
          <w:p w14:paraId="2E5F2BA0">
            <w:pPr>
              <w:widowControl/>
              <w:ind w:firstLine="0" w:firstLineChars="0"/>
              <w:jc w:val="left"/>
              <w:rPr>
                <w:rFonts w:cs="宋体"/>
                <w:color w:val="000000"/>
                <w:kern w:val="0"/>
                <w:szCs w:val="21"/>
              </w:rPr>
            </w:pPr>
          </w:p>
        </w:tc>
        <w:tc>
          <w:tcPr>
            <w:tcW w:w="3888" w:type="pct"/>
            <w:shd w:val="clear" w:color="auto" w:fill="auto"/>
            <w:vAlign w:val="center"/>
          </w:tcPr>
          <w:p w14:paraId="2805B0F1">
            <w:pPr>
              <w:widowControl/>
              <w:ind w:firstLine="0" w:firstLineChars="0"/>
              <w:jc w:val="left"/>
              <w:rPr>
                <w:rFonts w:cs="宋体"/>
                <w:color w:val="000000"/>
                <w:kern w:val="0"/>
                <w:szCs w:val="21"/>
              </w:rPr>
            </w:pPr>
            <w:r>
              <w:rPr>
                <w:rFonts w:hint="eastAsia" w:cs="宋体"/>
                <w:color w:val="000000"/>
                <w:kern w:val="0"/>
                <w:szCs w:val="21"/>
              </w:rPr>
              <w:t>支持针对案例痕迹激活预置响应动作清单；</w:t>
            </w:r>
          </w:p>
        </w:tc>
      </w:tr>
      <w:tr w14:paraId="09F3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581BD228">
            <w:pPr>
              <w:widowControl/>
              <w:jc w:val="left"/>
              <w:rPr>
                <w:rFonts w:cs="宋体"/>
                <w:color w:val="000000"/>
                <w:kern w:val="0"/>
                <w:szCs w:val="21"/>
              </w:rPr>
            </w:pPr>
          </w:p>
        </w:tc>
        <w:tc>
          <w:tcPr>
            <w:tcW w:w="556" w:type="pct"/>
            <w:vMerge w:val="continue"/>
            <w:vAlign w:val="center"/>
          </w:tcPr>
          <w:p w14:paraId="47EBF092">
            <w:pPr>
              <w:widowControl/>
              <w:ind w:firstLine="0" w:firstLineChars="0"/>
              <w:jc w:val="left"/>
              <w:rPr>
                <w:rFonts w:cs="宋体"/>
                <w:color w:val="000000"/>
                <w:kern w:val="0"/>
                <w:szCs w:val="21"/>
              </w:rPr>
            </w:pPr>
          </w:p>
        </w:tc>
        <w:tc>
          <w:tcPr>
            <w:tcW w:w="3888" w:type="pct"/>
            <w:shd w:val="clear" w:color="auto" w:fill="auto"/>
            <w:vAlign w:val="center"/>
          </w:tcPr>
          <w:p w14:paraId="2D7DB7A0">
            <w:pPr>
              <w:widowControl/>
              <w:ind w:firstLine="0" w:firstLineChars="0"/>
              <w:jc w:val="left"/>
              <w:rPr>
                <w:rFonts w:cs="宋体"/>
                <w:color w:val="000000"/>
                <w:kern w:val="0"/>
                <w:szCs w:val="21"/>
              </w:rPr>
            </w:pPr>
            <w:r>
              <w:rPr>
                <w:rFonts w:hint="eastAsia" w:cs="宋体"/>
                <w:color w:val="000000"/>
                <w:kern w:val="0"/>
                <w:szCs w:val="21"/>
              </w:rPr>
              <w:t>支持选择并执行某个响应动作；</w:t>
            </w:r>
          </w:p>
        </w:tc>
      </w:tr>
      <w:tr w14:paraId="3667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4C7C6D4">
            <w:pPr>
              <w:widowControl/>
              <w:jc w:val="left"/>
              <w:rPr>
                <w:rFonts w:cs="宋体"/>
                <w:color w:val="000000"/>
                <w:kern w:val="0"/>
                <w:szCs w:val="21"/>
              </w:rPr>
            </w:pPr>
          </w:p>
        </w:tc>
        <w:tc>
          <w:tcPr>
            <w:tcW w:w="556" w:type="pct"/>
            <w:vMerge w:val="continue"/>
            <w:vAlign w:val="center"/>
          </w:tcPr>
          <w:p w14:paraId="40438920">
            <w:pPr>
              <w:widowControl/>
              <w:ind w:firstLine="0" w:firstLineChars="0"/>
              <w:jc w:val="left"/>
              <w:rPr>
                <w:rFonts w:cs="宋体"/>
                <w:color w:val="000000"/>
                <w:kern w:val="0"/>
                <w:szCs w:val="21"/>
              </w:rPr>
            </w:pPr>
          </w:p>
        </w:tc>
        <w:tc>
          <w:tcPr>
            <w:tcW w:w="3888" w:type="pct"/>
            <w:shd w:val="clear" w:color="auto" w:fill="auto"/>
            <w:vAlign w:val="center"/>
          </w:tcPr>
          <w:p w14:paraId="61AF130E">
            <w:pPr>
              <w:widowControl/>
              <w:ind w:firstLine="0" w:firstLineChars="0"/>
              <w:jc w:val="left"/>
              <w:rPr>
                <w:rFonts w:cs="宋体"/>
                <w:color w:val="000000"/>
                <w:kern w:val="0"/>
                <w:szCs w:val="21"/>
              </w:rPr>
            </w:pPr>
            <w:r>
              <w:rPr>
                <w:rFonts w:hint="eastAsia" w:cs="宋体"/>
                <w:color w:val="000000"/>
                <w:kern w:val="0"/>
                <w:szCs w:val="21"/>
              </w:rPr>
              <w:t>支持自动记录动作执行操作及结果并展示；</w:t>
            </w:r>
          </w:p>
        </w:tc>
      </w:tr>
      <w:tr w14:paraId="1351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32239CED">
            <w:pPr>
              <w:widowControl/>
              <w:jc w:val="left"/>
              <w:rPr>
                <w:rFonts w:cs="宋体"/>
                <w:color w:val="000000"/>
                <w:kern w:val="0"/>
                <w:szCs w:val="21"/>
              </w:rPr>
            </w:pPr>
          </w:p>
        </w:tc>
        <w:tc>
          <w:tcPr>
            <w:tcW w:w="556" w:type="pct"/>
            <w:vMerge w:val="continue"/>
            <w:vAlign w:val="center"/>
          </w:tcPr>
          <w:p w14:paraId="545EFD4F">
            <w:pPr>
              <w:widowControl/>
              <w:ind w:firstLine="0" w:firstLineChars="0"/>
              <w:jc w:val="left"/>
              <w:rPr>
                <w:rFonts w:cs="宋体"/>
                <w:color w:val="000000"/>
                <w:kern w:val="0"/>
                <w:szCs w:val="21"/>
              </w:rPr>
            </w:pPr>
          </w:p>
        </w:tc>
        <w:tc>
          <w:tcPr>
            <w:tcW w:w="3888" w:type="pct"/>
            <w:shd w:val="clear" w:color="auto" w:fill="auto"/>
            <w:vAlign w:val="center"/>
          </w:tcPr>
          <w:p w14:paraId="0FFABC84">
            <w:pPr>
              <w:widowControl/>
              <w:ind w:firstLine="0" w:firstLineChars="0"/>
              <w:jc w:val="left"/>
              <w:rPr>
                <w:rFonts w:cs="宋体"/>
                <w:color w:val="000000"/>
                <w:kern w:val="0"/>
                <w:szCs w:val="21"/>
              </w:rPr>
            </w:pPr>
            <w:r>
              <w:rPr>
                <w:rFonts w:hint="eastAsia" w:cs="宋体"/>
                <w:color w:val="000000"/>
                <w:kern w:val="0"/>
                <w:szCs w:val="21"/>
              </w:rPr>
              <w:t>支持案例的报告生成；</w:t>
            </w:r>
          </w:p>
        </w:tc>
      </w:tr>
      <w:tr w14:paraId="4D69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56" w:type="pct"/>
            <w:vMerge w:val="continue"/>
            <w:vAlign w:val="center"/>
          </w:tcPr>
          <w:p w14:paraId="20CB7DE3">
            <w:pPr>
              <w:widowControl/>
              <w:jc w:val="left"/>
              <w:rPr>
                <w:rFonts w:cs="宋体"/>
                <w:color w:val="000000"/>
                <w:kern w:val="0"/>
                <w:szCs w:val="21"/>
              </w:rPr>
            </w:pPr>
          </w:p>
        </w:tc>
        <w:tc>
          <w:tcPr>
            <w:tcW w:w="556" w:type="pct"/>
            <w:vMerge w:val="continue"/>
            <w:vAlign w:val="center"/>
          </w:tcPr>
          <w:p w14:paraId="12840DD0">
            <w:pPr>
              <w:widowControl/>
              <w:ind w:firstLine="0" w:firstLineChars="0"/>
              <w:jc w:val="left"/>
              <w:rPr>
                <w:rFonts w:cs="宋体"/>
                <w:color w:val="000000"/>
                <w:kern w:val="0"/>
                <w:szCs w:val="21"/>
              </w:rPr>
            </w:pPr>
          </w:p>
        </w:tc>
        <w:tc>
          <w:tcPr>
            <w:tcW w:w="3888" w:type="pct"/>
            <w:shd w:val="clear" w:color="auto" w:fill="auto"/>
            <w:vAlign w:val="center"/>
          </w:tcPr>
          <w:p w14:paraId="321871C3">
            <w:pPr>
              <w:widowControl/>
              <w:ind w:firstLine="0" w:firstLineChars="0"/>
              <w:jc w:val="left"/>
              <w:rPr>
                <w:rFonts w:cs="宋体"/>
                <w:color w:val="000000"/>
                <w:kern w:val="0"/>
                <w:szCs w:val="21"/>
              </w:rPr>
            </w:pPr>
            <w:r>
              <w:rPr>
                <w:rFonts w:hint="eastAsia" w:cs="宋体"/>
                <w:color w:val="000000"/>
                <w:kern w:val="0"/>
                <w:szCs w:val="21"/>
              </w:rPr>
              <w:t>支持按照行业标准或者最佳实践来设置预案应对措施，可以将应对措施分为多个不同阶段，每个阶段进一步分解为多个任务，并分配给不同成员；</w:t>
            </w:r>
          </w:p>
        </w:tc>
      </w:tr>
      <w:tr w14:paraId="48F0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779DFBEF">
            <w:pPr>
              <w:widowControl/>
              <w:jc w:val="left"/>
              <w:rPr>
                <w:rFonts w:cs="宋体"/>
                <w:color w:val="000000"/>
                <w:kern w:val="0"/>
                <w:szCs w:val="21"/>
              </w:rPr>
            </w:pPr>
          </w:p>
        </w:tc>
        <w:tc>
          <w:tcPr>
            <w:tcW w:w="556" w:type="pct"/>
            <w:vMerge w:val="restart"/>
            <w:shd w:val="clear" w:color="auto" w:fill="auto"/>
            <w:vAlign w:val="center"/>
          </w:tcPr>
          <w:p w14:paraId="2D300FE6">
            <w:pPr>
              <w:widowControl/>
              <w:ind w:firstLine="0" w:firstLineChars="0"/>
              <w:jc w:val="left"/>
              <w:rPr>
                <w:rFonts w:cs="宋体"/>
                <w:color w:val="000000"/>
                <w:kern w:val="0"/>
                <w:szCs w:val="21"/>
              </w:rPr>
            </w:pPr>
            <w:r>
              <w:rPr>
                <w:rFonts w:hint="eastAsia" w:cs="宋体"/>
                <w:color w:val="000000"/>
                <w:kern w:val="0"/>
                <w:szCs w:val="21"/>
              </w:rPr>
              <w:t>工单管理</w:t>
            </w:r>
          </w:p>
        </w:tc>
        <w:tc>
          <w:tcPr>
            <w:tcW w:w="3888" w:type="pct"/>
            <w:shd w:val="clear" w:color="auto" w:fill="auto"/>
            <w:vAlign w:val="center"/>
          </w:tcPr>
          <w:p w14:paraId="043B2DBB">
            <w:pPr>
              <w:widowControl/>
              <w:ind w:firstLine="0" w:firstLineChars="0"/>
              <w:jc w:val="left"/>
              <w:rPr>
                <w:rFonts w:cs="宋体"/>
                <w:color w:val="000000"/>
                <w:kern w:val="0"/>
                <w:szCs w:val="21"/>
              </w:rPr>
            </w:pPr>
            <w:r>
              <w:rPr>
                <w:rFonts w:hint="eastAsia" w:cs="宋体"/>
                <w:color w:val="000000"/>
                <w:kern w:val="0"/>
                <w:szCs w:val="21"/>
              </w:rPr>
              <w:t>支持手工添加工单，或者在告警调查的时候触发产生工单；【需提供截图】</w:t>
            </w:r>
          </w:p>
        </w:tc>
      </w:tr>
      <w:tr w14:paraId="0E43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43C836F9">
            <w:pPr>
              <w:widowControl/>
              <w:jc w:val="left"/>
              <w:rPr>
                <w:rFonts w:cs="宋体"/>
                <w:color w:val="000000"/>
                <w:kern w:val="0"/>
                <w:szCs w:val="21"/>
              </w:rPr>
            </w:pPr>
          </w:p>
        </w:tc>
        <w:tc>
          <w:tcPr>
            <w:tcW w:w="556" w:type="pct"/>
            <w:vMerge w:val="continue"/>
            <w:vAlign w:val="center"/>
          </w:tcPr>
          <w:p w14:paraId="0D97E61D">
            <w:pPr>
              <w:widowControl/>
              <w:ind w:firstLine="0" w:firstLineChars="0"/>
              <w:jc w:val="left"/>
              <w:rPr>
                <w:rFonts w:cs="宋体"/>
                <w:color w:val="000000"/>
                <w:kern w:val="0"/>
                <w:szCs w:val="21"/>
              </w:rPr>
            </w:pPr>
          </w:p>
        </w:tc>
        <w:tc>
          <w:tcPr>
            <w:tcW w:w="3888" w:type="pct"/>
            <w:shd w:val="clear" w:color="auto" w:fill="auto"/>
            <w:vAlign w:val="center"/>
          </w:tcPr>
          <w:p w14:paraId="1A67AF40">
            <w:pPr>
              <w:widowControl/>
              <w:ind w:firstLine="0" w:firstLineChars="0"/>
              <w:jc w:val="left"/>
              <w:rPr>
                <w:rFonts w:cs="宋体"/>
                <w:color w:val="000000"/>
                <w:kern w:val="0"/>
                <w:szCs w:val="21"/>
              </w:rPr>
            </w:pPr>
            <w:r>
              <w:rPr>
                <w:rFonts w:hint="eastAsia" w:cs="宋体"/>
                <w:color w:val="000000"/>
                <w:kern w:val="0"/>
                <w:szCs w:val="21"/>
              </w:rPr>
              <w:t>支持用户查看自己创建的工单以及被分配的工单；</w:t>
            </w:r>
          </w:p>
        </w:tc>
      </w:tr>
      <w:tr w14:paraId="2AB5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56" w:type="pct"/>
            <w:vMerge w:val="continue"/>
            <w:vAlign w:val="center"/>
          </w:tcPr>
          <w:p w14:paraId="5F6B81E7">
            <w:pPr>
              <w:widowControl/>
              <w:jc w:val="left"/>
              <w:rPr>
                <w:rFonts w:cs="宋体"/>
                <w:color w:val="000000"/>
                <w:kern w:val="0"/>
                <w:szCs w:val="21"/>
              </w:rPr>
            </w:pPr>
          </w:p>
        </w:tc>
        <w:tc>
          <w:tcPr>
            <w:tcW w:w="556" w:type="pct"/>
            <w:vMerge w:val="continue"/>
            <w:vAlign w:val="center"/>
          </w:tcPr>
          <w:p w14:paraId="3FCF6C03">
            <w:pPr>
              <w:widowControl/>
              <w:ind w:firstLine="0" w:firstLineChars="0"/>
              <w:jc w:val="left"/>
              <w:rPr>
                <w:rFonts w:cs="宋体"/>
                <w:color w:val="000000"/>
                <w:kern w:val="0"/>
                <w:szCs w:val="21"/>
              </w:rPr>
            </w:pPr>
          </w:p>
        </w:tc>
        <w:tc>
          <w:tcPr>
            <w:tcW w:w="3888" w:type="pct"/>
            <w:shd w:val="clear" w:color="auto" w:fill="auto"/>
            <w:vAlign w:val="center"/>
          </w:tcPr>
          <w:p w14:paraId="1637DB7D">
            <w:pPr>
              <w:widowControl/>
              <w:ind w:firstLine="0" w:firstLineChars="0"/>
              <w:jc w:val="left"/>
              <w:rPr>
                <w:rFonts w:cs="宋体"/>
                <w:color w:val="000000"/>
                <w:kern w:val="0"/>
                <w:szCs w:val="21"/>
              </w:rPr>
            </w:pPr>
            <w:r>
              <w:rPr>
                <w:rFonts w:hint="eastAsia" w:cs="宋体"/>
                <w:color w:val="000000"/>
                <w:kern w:val="0"/>
                <w:szCs w:val="21"/>
              </w:rPr>
              <w:t xml:space="preserve">支持显示当前指派的任务数； </w:t>
            </w:r>
          </w:p>
        </w:tc>
      </w:tr>
      <w:tr w14:paraId="33345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7E82057D">
            <w:pPr>
              <w:widowControl/>
              <w:jc w:val="left"/>
              <w:rPr>
                <w:rFonts w:cs="宋体"/>
                <w:color w:val="000000"/>
                <w:kern w:val="0"/>
                <w:szCs w:val="21"/>
              </w:rPr>
            </w:pPr>
          </w:p>
        </w:tc>
        <w:tc>
          <w:tcPr>
            <w:tcW w:w="556" w:type="pct"/>
            <w:vMerge w:val="restart"/>
            <w:shd w:val="clear" w:color="auto" w:fill="auto"/>
            <w:vAlign w:val="center"/>
          </w:tcPr>
          <w:p w14:paraId="1AF5186E">
            <w:pPr>
              <w:widowControl/>
              <w:ind w:firstLine="0" w:firstLineChars="0"/>
              <w:jc w:val="left"/>
              <w:rPr>
                <w:rFonts w:cs="宋体"/>
                <w:color w:val="000000"/>
                <w:kern w:val="0"/>
                <w:szCs w:val="21"/>
              </w:rPr>
            </w:pPr>
            <w:r>
              <w:rPr>
                <w:rFonts w:hint="eastAsia" w:cs="宋体"/>
                <w:color w:val="000000"/>
                <w:kern w:val="0"/>
                <w:szCs w:val="21"/>
              </w:rPr>
              <w:t>平台支撑管理</w:t>
            </w:r>
          </w:p>
        </w:tc>
        <w:tc>
          <w:tcPr>
            <w:tcW w:w="3888" w:type="pct"/>
            <w:shd w:val="clear" w:color="auto" w:fill="auto"/>
            <w:vAlign w:val="center"/>
          </w:tcPr>
          <w:p w14:paraId="128C5640">
            <w:pPr>
              <w:widowControl/>
              <w:ind w:firstLine="0" w:firstLineChars="0"/>
              <w:jc w:val="left"/>
              <w:rPr>
                <w:rFonts w:cs="宋体"/>
                <w:color w:val="000000"/>
                <w:kern w:val="0"/>
                <w:szCs w:val="21"/>
              </w:rPr>
            </w:pPr>
            <w:r>
              <w:rPr>
                <w:rFonts w:hint="eastAsia" w:cs="宋体"/>
                <w:color w:val="000000"/>
                <w:kern w:val="0"/>
                <w:szCs w:val="21"/>
              </w:rPr>
              <w:t>具备自身操作审计能力；</w:t>
            </w:r>
          </w:p>
        </w:tc>
      </w:tr>
      <w:tr w14:paraId="4E79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2E2F12D3">
            <w:pPr>
              <w:widowControl/>
              <w:jc w:val="left"/>
              <w:rPr>
                <w:rFonts w:cs="宋体"/>
                <w:color w:val="000000"/>
                <w:kern w:val="0"/>
                <w:szCs w:val="21"/>
              </w:rPr>
            </w:pPr>
          </w:p>
        </w:tc>
        <w:tc>
          <w:tcPr>
            <w:tcW w:w="556" w:type="pct"/>
            <w:vMerge w:val="continue"/>
            <w:vAlign w:val="center"/>
          </w:tcPr>
          <w:p w14:paraId="293A01D8">
            <w:pPr>
              <w:widowControl/>
              <w:ind w:firstLine="0" w:firstLineChars="0"/>
              <w:jc w:val="left"/>
              <w:rPr>
                <w:rFonts w:cs="宋体"/>
                <w:color w:val="000000"/>
                <w:kern w:val="0"/>
                <w:szCs w:val="21"/>
              </w:rPr>
            </w:pPr>
          </w:p>
        </w:tc>
        <w:tc>
          <w:tcPr>
            <w:tcW w:w="3888" w:type="pct"/>
            <w:shd w:val="clear" w:color="auto" w:fill="auto"/>
            <w:vAlign w:val="center"/>
          </w:tcPr>
          <w:p w14:paraId="5784CC14">
            <w:pPr>
              <w:widowControl/>
              <w:ind w:firstLine="0" w:firstLineChars="0"/>
              <w:jc w:val="left"/>
              <w:rPr>
                <w:rFonts w:cs="宋体"/>
                <w:color w:val="000000"/>
                <w:kern w:val="0"/>
                <w:szCs w:val="21"/>
              </w:rPr>
            </w:pPr>
            <w:r>
              <w:rPr>
                <w:rFonts w:hint="eastAsia" w:cs="宋体"/>
                <w:color w:val="000000"/>
                <w:kern w:val="0"/>
                <w:szCs w:val="21"/>
              </w:rPr>
              <w:t>支持系统管理员、安全操作管理员和审计管理员三权分立；</w:t>
            </w:r>
          </w:p>
        </w:tc>
      </w:tr>
      <w:tr w14:paraId="666B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6" w:type="pct"/>
            <w:vMerge w:val="continue"/>
            <w:vAlign w:val="center"/>
          </w:tcPr>
          <w:p w14:paraId="0D0EA512">
            <w:pPr>
              <w:widowControl/>
              <w:jc w:val="left"/>
              <w:rPr>
                <w:rFonts w:cs="宋体"/>
                <w:color w:val="000000"/>
                <w:kern w:val="0"/>
                <w:szCs w:val="21"/>
              </w:rPr>
            </w:pPr>
          </w:p>
        </w:tc>
        <w:tc>
          <w:tcPr>
            <w:tcW w:w="556" w:type="pct"/>
            <w:vMerge w:val="continue"/>
            <w:vAlign w:val="center"/>
          </w:tcPr>
          <w:p w14:paraId="1D2D39BB">
            <w:pPr>
              <w:widowControl/>
              <w:ind w:firstLine="0" w:firstLineChars="0"/>
              <w:jc w:val="left"/>
              <w:rPr>
                <w:rFonts w:cs="宋体"/>
                <w:color w:val="000000"/>
                <w:kern w:val="0"/>
                <w:szCs w:val="21"/>
              </w:rPr>
            </w:pPr>
          </w:p>
        </w:tc>
        <w:tc>
          <w:tcPr>
            <w:tcW w:w="3888" w:type="pct"/>
            <w:shd w:val="clear" w:color="auto" w:fill="auto"/>
            <w:vAlign w:val="center"/>
          </w:tcPr>
          <w:p w14:paraId="244AE050">
            <w:pPr>
              <w:widowControl/>
              <w:ind w:firstLine="0" w:firstLineChars="0"/>
              <w:jc w:val="left"/>
              <w:rPr>
                <w:rFonts w:cs="宋体"/>
                <w:color w:val="000000"/>
                <w:kern w:val="0"/>
                <w:szCs w:val="21"/>
              </w:rPr>
            </w:pPr>
            <w:r>
              <w:rPr>
                <w:rFonts w:hint="eastAsia" w:cs="宋体"/>
                <w:color w:val="000000"/>
                <w:kern w:val="0"/>
                <w:szCs w:val="21"/>
              </w:rPr>
              <w:t>支持基于角色的权限管理机制，可对角色授权访问的资源进行细粒度的权限划分，赋予不同的功能；</w:t>
            </w:r>
          </w:p>
        </w:tc>
      </w:tr>
      <w:tr w14:paraId="7CCE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56" w:type="pct"/>
            <w:vMerge w:val="continue"/>
            <w:vAlign w:val="center"/>
          </w:tcPr>
          <w:p w14:paraId="3D49BF43">
            <w:pPr>
              <w:widowControl/>
              <w:jc w:val="left"/>
              <w:rPr>
                <w:rFonts w:cs="宋体"/>
                <w:color w:val="000000"/>
                <w:kern w:val="0"/>
                <w:szCs w:val="21"/>
              </w:rPr>
            </w:pPr>
          </w:p>
        </w:tc>
        <w:tc>
          <w:tcPr>
            <w:tcW w:w="556" w:type="pct"/>
            <w:vMerge w:val="continue"/>
            <w:vAlign w:val="center"/>
          </w:tcPr>
          <w:p w14:paraId="6E69F4F1">
            <w:pPr>
              <w:widowControl/>
              <w:ind w:firstLine="0" w:firstLineChars="0"/>
              <w:jc w:val="left"/>
              <w:rPr>
                <w:rFonts w:cs="宋体"/>
                <w:color w:val="000000"/>
                <w:kern w:val="0"/>
                <w:szCs w:val="21"/>
              </w:rPr>
            </w:pPr>
          </w:p>
        </w:tc>
        <w:tc>
          <w:tcPr>
            <w:tcW w:w="3888" w:type="pct"/>
            <w:shd w:val="clear" w:color="auto" w:fill="auto"/>
            <w:vAlign w:val="center"/>
          </w:tcPr>
          <w:p w14:paraId="71834F8C">
            <w:pPr>
              <w:widowControl/>
              <w:ind w:firstLine="0" w:firstLineChars="0"/>
              <w:jc w:val="left"/>
              <w:rPr>
                <w:rFonts w:cs="宋体"/>
                <w:color w:val="000000"/>
                <w:kern w:val="0"/>
                <w:szCs w:val="21"/>
              </w:rPr>
            </w:pPr>
            <w:r>
              <w:rPr>
                <w:rFonts w:hint="eastAsia" w:cs="宋体"/>
                <w:color w:val="000000"/>
                <w:kern w:val="0"/>
                <w:szCs w:val="21"/>
              </w:rPr>
              <w:t>支持对系统自身的CPU、内存、磁盘等运行状态和性能等设置告警阈值；</w:t>
            </w:r>
          </w:p>
        </w:tc>
      </w:tr>
      <w:tr w14:paraId="6A6D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56" w:type="pct"/>
            <w:vMerge w:val="continue"/>
            <w:vAlign w:val="center"/>
          </w:tcPr>
          <w:p w14:paraId="5237D039">
            <w:pPr>
              <w:widowControl/>
              <w:jc w:val="left"/>
              <w:rPr>
                <w:rFonts w:cs="宋体"/>
                <w:color w:val="000000"/>
                <w:kern w:val="0"/>
                <w:szCs w:val="21"/>
              </w:rPr>
            </w:pPr>
          </w:p>
        </w:tc>
        <w:tc>
          <w:tcPr>
            <w:tcW w:w="556" w:type="pct"/>
            <w:vMerge w:val="continue"/>
            <w:vAlign w:val="center"/>
          </w:tcPr>
          <w:p w14:paraId="478103D5">
            <w:pPr>
              <w:widowControl/>
              <w:ind w:firstLine="0" w:firstLineChars="0"/>
              <w:jc w:val="left"/>
              <w:rPr>
                <w:rFonts w:cs="宋体"/>
                <w:color w:val="000000"/>
                <w:kern w:val="0"/>
                <w:szCs w:val="21"/>
              </w:rPr>
            </w:pPr>
          </w:p>
        </w:tc>
        <w:tc>
          <w:tcPr>
            <w:tcW w:w="3888" w:type="pct"/>
            <w:shd w:val="clear" w:color="auto" w:fill="auto"/>
            <w:vAlign w:val="center"/>
          </w:tcPr>
          <w:p w14:paraId="55D5FF32">
            <w:pPr>
              <w:widowControl/>
              <w:ind w:firstLine="0" w:firstLineChars="0"/>
              <w:jc w:val="left"/>
              <w:rPr>
                <w:rFonts w:cs="宋体"/>
                <w:color w:val="000000"/>
                <w:kern w:val="0"/>
                <w:szCs w:val="21"/>
              </w:rPr>
            </w:pPr>
            <w:r>
              <w:rPr>
                <w:rFonts w:hint="eastAsia" w:cs="宋体"/>
                <w:color w:val="000000"/>
                <w:kern w:val="0"/>
                <w:szCs w:val="21"/>
              </w:rPr>
              <w:t>支持开放式API接口，允许其它系统调用该接口，提供详细文档支持；【需提供截图】</w:t>
            </w:r>
          </w:p>
        </w:tc>
      </w:tr>
      <w:tr w14:paraId="251D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2" w:type="pct"/>
            <w:gridSpan w:val="2"/>
            <w:vMerge w:val="restart"/>
            <w:shd w:val="clear" w:color="auto" w:fill="auto"/>
            <w:vAlign w:val="center"/>
          </w:tcPr>
          <w:p w14:paraId="2B165998">
            <w:pPr>
              <w:widowControl/>
              <w:ind w:firstLine="0" w:firstLineChars="0"/>
              <w:jc w:val="left"/>
              <w:rPr>
                <w:rFonts w:cs="宋体"/>
                <w:color w:val="000000"/>
                <w:kern w:val="0"/>
                <w:szCs w:val="21"/>
              </w:rPr>
            </w:pPr>
            <w:r>
              <w:rPr>
                <w:rFonts w:hint="eastAsia" w:cs="宋体"/>
                <w:color w:val="000000"/>
                <w:kern w:val="0"/>
                <w:szCs w:val="21"/>
              </w:rPr>
              <w:t>虚拟流量分析</w:t>
            </w:r>
          </w:p>
        </w:tc>
        <w:tc>
          <w:tcPr>
            <w:tcW w:w="3888" w:type="pct"/>
            <w:shd w:val="clear" w:color="auto" w:fill="auto"/>
            <w:vAlign w:val="center"/>
          </w:tcPr>
          <w:p w14:paraId="0801D1D4">
            <w:pPr>
              <w:widowControl/>
              <w:ind w:firstLine="0" w:firstLineChars="0"/>
              <w:jc w:val="left"/>
              <w:rPr>
                <w:rFonts w:cs="宋体"/>
                <w:color w:val="000000"/>
                <w:kern w:val="0"/>
                <w:szCs w:val="21"/>
              </w:rPr>
            </w:pPr>
            <w:r>
              <w:rPr>
                <w:rFonts w:hint="eastAsia" w:cs="宋体"/>
                <w:color w:val="000000"/>
                <w:kern w:val="0"/>
                <w:szCs w:val="21"/>
              </w:rPr>
              <w:t>支持通过流量镜像的方式旁路部署在虚拟化网络中，实现网络流量数据采集、威胁检测和日志外发；</w:t>
            </w:r>
          </w:p>
        </w:tc>
      </w:tr>
      <w:tr w14:paraId="62DB3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413DD1D5">
            <w:pPr>
              <w:widowControl/>
              <w:ind w:firstLine="0" w:firstLineChars="0"/>
              <w:jc w:val="left"/>
              <w:rPr>
                <w:rFonts w:cs="宋体"/>
                <w:color w:val="000000"/>
                <w:kern w:val="0"/>
                <w:szCs w:val="21"/>
              </w:rPr>
            </w:pPr>
          </w:p>
        </w:tc>
        <w:tc>
          <w:tcPr>
            <w:tcW w:w="3888" w:type="pct"/>
            <w:shd w:val="clear" w:color="auto" w:fill="auto"/>
            <w:vAlign w:val="center"/>
          </w:tcPr>
          <w:p w14:paraId="5A35842C">
            <w:pPr>
              <w:widowControl/>
              <w:ind w:firstLine="0" w:firstLineChars="0"/>
              <w:jc w:val="left"/>
              <w:rPr>
                <w:rFonts w:cs="宋体"/>
                <w:color w:val="000000"/>
                <w:kern w:val="0"/>
                <w:szCs w:val="21"/>
              </w:rPr>
            </w:pPr>
            <w:r>
              <w:rPr>
                <w:rFonts w:hint="eastAsia" w:cs="宋体"/>
                <w:color w:val="000000"/>
                <w:kern w:val="0"/>
                <w:szCs w:val="21"/>
              </w:rPr>
              <w:t>支持对采集对象进行网络流量数据采集和威胁检测数据采集；</w:t>
            </w:r>
          </w:p>
        </w:tc>
      </w:tr>
      <w:tr w14:paraId="78AB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3BBB6781">
            <w:pPr>
              <w:widowControl/>
              <w:ind w:firstLine="0" w:firstLineChars="0"/>
              <w:jc w:val="left"/>
              <w:rPr>
                <w:rFonts w:cs="宋体"/>
                <w:color w:val="000000"/>
                <w:kern w:val="0"/>
                <w:szCs w:val="21"/>
              </w:rPr>
            </w:pPr>
          </w:p>
        </w:tc>
        <w:tc>
          <w:tcPr>
            <w:tcW w:w="3888" w:type="pct"/>
            <w:shd w:val="clear" w:color="auto" w:fill="auto"/>
            <w:vAlign w:val="center"/>
          </w:tcPr>
          <w:p w14:paraId="42400AD9">
            <w:pPr>
              <w:widowControl/>
              <w:ind w:firstLine="0" w:firstLineChars="0"/>
              <w:jc w:val="left"/>
              <w:rPr>
                <w:rFonts w:cs="宋体"/>
                <w:color w:val="000000"/>
                <w:kern w:val="0"/>
                <w:szCs w:val="21"/>
              </w:rPr>
            </w:pPr>
            <w:r>
              <w:rPr>
                <w:rFonts w:hint="eastAsia" w:cs="宋体"/>
                <w:color w:val="000000"/>
                <w:kern w:val="0"/>
                <w:szCs w:val="21"/>
              </w:rPr>
              <w:t>支持将威胁检测数据还原成威胁样本；</w:t>
            </w:r>
          </w:p>
        </w:tc>
      </w:tr>
      <w:tr w14:paraId="61F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2" w:type="pct"/>
            <w:gridSpan w:val="2"/>
            <w:vMerge w:val="continue"/>
            <w:vAlign w:val="center"/>
          </w:tcPr>
          <w:p w14:paraId="2492A1DC">
            <w:pPr>
              <w:widowControl/>
              <w:ind w:firstLine="0" w:firstLineChars="0"/>
              <w:jc w:val="left"/>
              <w:rPr>
                <w:rFonts w:cs="宋体"/>
                <w:color w:val="000000"/>
                <w:kern w:val="0"/>
                <w:szCs w:val="21"/>
              </w:rPr>
            </w:pPr>
          </w:p>
        </w:tc>
        <w:tc>
          <w:tcPr>
            <w:tcW w:w="3888" w:type="pct"/>
            <w:shd w:val="clear" w:color="auto" w:fill="auto"/>
            <w:vAlign w:val="center"/>
          </w:tcPr>
          <w:p w14:paraId="2024242B">
            <w:pPr>
              <w:widowControl/>
              <w:ind w:firstLine="0" w:firstLineChars="0"/>
              <w:jc w:val="left"/>
              <w:rPr>
                <w:rFonts w:cs="宋体"/>
                <w:color w:val="000000"/>
                <w:kern w:val="0"/>
                <w:szCs w:val="21"/>
              </w:rPr>
            </w:pPr>
            <w:r>
              <w:rPr>
                <w:rFonts w:hint="eastAsia" w:cs="宋体"/>
                <w:color w:val="000000"/>
                <w:kern w:val="0"/>
                <w:szCs w:val="21"/>
              </w:rPr>
              <w:t>支持对流量数据和威胁检测数据灵活配置外发对象，包括态势感知平台、大数据分析平台等；【需提供截图】</w:t>
            </w:r>
          </w:p>
        </w:tc>
      </w:tr>
      <w:tr w14:paraId="16EA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2" w:type="pct"/>
            <w:gridSpan w:val="2"/>
            <w:vMerge w:val="continue"/>
            <w:vAlign w:val="center"/>
          </w:tcPr>
          <w:p w14:paraId="5A278008">
            <w:pPr>
              <w:widowControl/>
              <w:ind w:firstLine="0" w:firstLineChars="0"/>
              <w:jc w:val="left"/>
              <w:rPr>
                <w:rFonts w:cs="宋体"/>
                <w:color w:val="000000"/>
                <w:kern w:val="0"/>
                <w:szCs w:val="21"/>
              </w:rPr>
            </w:pPr>
          </w:p>
        </w:tc>
        <w:tc>
          <w:tcPr>
            <w:tcW w:w="3888" w:type="pct"/>
            <w:shd w:val="clear" w:color="auto" w:fill="auto"/>
            <w:vAlign w:val="center"/>
          </w:tcPr>
          <w:p w14:paraId="4EC1EFED">
            <w:pPr>
              <w:widowControl/>
              <w:ind w:firstLine="0" w:firstLineChars="0"/>
              <w:jc w:val="left"/>
              <w:rPr>
                <w:rFonts w:cs="宋体"/>
                <w:color w:val="000000"/>
                <w:kern w:val="0"/>
                <w:szCs w:val="21"/>
              </w:rPr>
            </w:pPr>
            <w:r>
              <w:rPr>
                <w:rFonts w:hint="eastAsia" w:cs="宋体"/>
                <w:color w:val="000000"/>
                <w:kern w:val="0"/>
                <w:szCs w:val="21"/>
              </w:rPr>
              <w:t>支持解析、生成及外发流量日志、Web访问日志、域名解析日志、文件传输日志、登陆动作日志、数据库操作等日志；</w:t>
            </w:r>
          </w:p>
        </w:tc>
      </w:tr>
      <w:tr w14:paraId="18ECF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2BE1EE21">
            <w:pPr>
              <w:widowControl/>
              <w:ind w:firstLine="0" w:firstLineChars="0"/>
              <w:jc w:val="left"/>
              <w:rPr>
                <w:rFonts w:cs="宋体"/>
                <w:color w:val="000000"/>
                <w:kern w:val="0"/>
                <w:szCs w:val="21"/>
              </w:rPr>
            </w:pPr>
          </w:p>
        </w:tc>
        <w:tc>
          <w:tcPr>
            <w:tcW w:w="3888" w:type="pct"/>
            <w:shd w:val="clear" w:color="auto" w:fill="auto"/>
            <w:vAlign w:val="center"/>
          </w:tcPr>
          <w:p w14:paraId="7B7A1E80">
            <w:pPr>
              <w:widowControl/>
              <w:ind w:firstLine="0" w:firstLineChars="0"/>
              <w:jc w:val="left"/>
              <w:rPr>
                <w:rFonts w:cs="宋体"/>
                <w:color w:val="000000"/>
                <w:kern w:val="0"/>
                <w:szCs w:val="21"/>
              </w:rPr>
            </w:pPr>
            <w:r>
              <w:rPr>
                <w:rFonts w:hint="eastAsia" w:cs="宋体"/>
                <w:color w:val="000000"/>
                <w:kern w:val="0"/>
                <w:szCs w:val="21"/>
              </w:rPr>
              <w:t>支持多种类型、协议的漏洞检测；</w:t>
            </w:r>
          </w:p>
        </w:tc>
      </w:tr>
      <w:tr w14:paraId="18CA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22D26ADA">
            <w:pPr>
              <w:widowControl/>
              <w:ind w:firstLine="0" w:firstLineChars="0"/>
              <w:jc w:val="left"/>
              <w:rPr>
                <w:rFonts w:cs="宋体"/>
                <w:color w:val="000000"/>
                <w:kern w:val="0"/>
                <w:szCs w:val="21"/>
              </w:rPr>
            </w:pPr>
          </w:p>
        </w:tc>
        <w:tc>
          <w:tcPr>
            <w:tcW w:w="3888" w:type="pct"/>
            <w:shd w:val="clear" w:color="auto" w:fill="auto"/>
            <w:vAlign w:val="center"/>
          </w:tcPr>
          <w:p w14:paraId="54508A14">
            <w:pPr>
              <w:widowControl/>
              <w:ind w:firstLine="0" w:firstLineChars="0"/>
              <w:jc w:val="left"/>
              <w:rPr>
                <w:rFonts w:cs="宋体"/>
                <w:color w:val="000000"/>
                <w:kern w:val="0"/>
                <w:szCs w:val="21"/>
              </w:rPr>
            </w:pPr>
            <w:r>
              <w:rPr>
                <w:rFonts w:hint="eastAsia" w:cs="宋体"/>
                <w:color w:val="000000"/>
                <w:kern w:val="0"/>
                <w:szCs w:val="21"/>
              </w:rPr>
              <w:t>支持多种类型的间谍软件检查；</w:t>
            </w:r>
          </w:p>
        </w:tc>
      </w:tr>
      <w:tr w14:paraId="0BED4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094ABCA5">
            <w:pPr>
              <w:widowControl/>
              <w:ind w:firstLine="0" w:firstLineChars="0"/>
              <w:jc w:val="left"/>
              <w:rPr>
                <w:rFonts w:cs="宋体"/>
                <w:color w:val="000000"/>
                <w:kern w:val="0"/>
                <w:szCs w:val="21"/>
              </w:rPr>
            </w:pPr>
          </w:p>
        </w:tc>
        <w:tc>
          <w:tcPr>
            <w:tcW w:w="3888" w:type="pct"/>
            <w:shd w:val="clear" w:color="auto" w:fill="auto"/>
            <w:vAlign w:val="center"/>
          </w:tcPr>
          <w:p w14:paraId="20A41C34">
            <w:pPr>
              <w:widowControl/>
              <w:ind w:firstLine="0" w:firstLineChars="0"/>
              <w:jc w:val="left"/>
              <w:rPr>
                <w:rFonts w:cs="宋体"/>
                <w:color w:val="000000"/>
                <w:kern w:val="0"/>
                <w:szCs w:val="21"/>
              </w:rPr>
            </w:pPr>
            <w:r>
              <w:rPr>
                <w:rFonts w:hint="eastAsia" w:cs="宋体"/>
                <w:color w:val="000000"/>
                <w:kern w:val="0"/>
                <w:szCs w:val="21"/>
              </w:rPr>
              <w:t>支持Web威胁检测；</w:t>
            </w:r>
          </w:p>
        </w:tc>
      </w:tr>
      <w:tr w14:paraId="35B5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12" w:type="pct"/>
            <w:gridSpan w:val="2"/>
            <w:vMerge w:val="continue"/>
            <w:vAlign w:val="center"/>
          </w:tcPr>
          <w:p w14:paraId="475B649F">
            <w:pPr>
              <w:widowControl/>
              <w:ind w:firstLine="0" w:firstLineChars="0"/>
              <w:jc w:val="left"/>
              <w:rPr>
                <w:rFonts w:cs="宋体"/>
                <w:color w:val="000000"/>
                <w:kern w:val="0"/>
                <w:szCs w:val="21"/>
              </w:rPr>
            </w:pPr>
          </w:p>
        </w:tc>
        <w:tc>
          <w:tcPr>
            <w:tcW w:w="3888" w:type="pct"/>
            <w:shd w:val="clear" w:color="auto" w:fill="auto"/>
            <w:vAlign w:val="center"/>
          </w:tcPr>
          <w:p w14:paraId="79D8E366">
            <w:pPr>
              <w:widowControl/>
              <w:ind w:firstLine="0" w:firstLineChars="0"/>
              <w:jc w:val="left"/>
              <w:rPr>
                <w:rFonts w:cs="宋体"/>
                <w:color w:val="000000"/>
                <w:kern w:val="0"/>
                <w:szCs w:val="21"/>
              </w:rPr>
            </w:pPr>
            <w:r>
              <w:rPr>
                <w:rFonts w:hint="eastAsia" w:cs="宋体"/>
                <w:color w:val="000000"/>
                <w:kern w:val="0"/>
                <w:szCs w:val="21"/>
              </w:rPr>
              <w:t>支持全面、强劲的恶意文件检测和发现能力，支持通过对HTTP、FTP、SMTP、POP3、IMAP、SMB协议进行恶意文件检测；【需提供截图】</w:t>
            </w:r>
          </w:p>
        </w:tc>
      </w:tr>
      <w:tr w14:paraId="7F7F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3AA511CD">
            <w:pPr>
              <w:widowControl/>
              <w:ind w:firstLine="0" w:firstLineChars="0"/>
              <w:jc w:val="left"/>
              <w:rPr>
                <w:rFonts w:cs="宋体"/>
                <w:color w:val="000000"/>
                <w:kern w:val="0"/>
                <w:szCs w:val="21"/>
              </w:rPr>
            </w:pPr>
          </w:p>
        </w:tc>
        <w:tc>
          <w:tcPr>
            <w:tcW w:w="3888" w:type="pct"/>
            <w:shd w:val="clear" w:color="auto" w:fill="auto"/>
            <w:vAlign w:val="center"/>
          </w:tcPr>
          <w:p w14:paraId="4767B423">
            <w:pPr>
              <w:widowControl/>
              <w:ind w:firstLine="0" w:firstLineChars="0"/>
              <w:jc w:val="left"/>
              <w:rPr>
                <w:rFonts w:cs="宋体"/>
                <w:color w:val="000000"/>
                <w:kern w:val="0"/>
                <w:szCs w:val="21"/>
              </w:rPr>
            </w:pPr>
            <w:r>
              <w:rPr>
                <w:rFonts w:hint="eastAsia" w:cs="宋体"/>
                <w:color w:val="000000"/>
                <w:kern w:val="0"/>
                <w:szCs w:val="21"/>
              </w:rPr>
              <w:t>支持自定义恶意文件，可以通过MD5码定义恶意文件特征；</w:t>
            </w:r>
          </w:p>
        </w:tc>
      </w:tr>
      <w:tr w14:paraId="1DA0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78F88F88">
            <w:pPr>
              <w:widowControl/>
              <w:ind w:firstLine="0" w:firstLineChars="0"/>
              <w:jc w:val="left"/>
              <w:rPr>
                <w:rFonts w:cs="宋体"/>
                <w:color w:val="000000"/>
                <w:kern w:val="0"/>
                <w:szCs w:val="21"/>
              </w:rPr>
            </w:pPr>
          </w:p>
        </w:tc>
        <w:tc>
          <w:tcPr>
            <w:tcW w:w="3888" w:type="pct"/>
            <w:shd w:val="clear" w:color="auto" w:fill="auto"/>
            <w:vAlign w:val="center"/>
          </w:tcPr>
          <w:p w14:paraId="2EEC0AC9">
            <w:pPr>
              <w:widowControl/>
              <w:ind w:firstLine="0" w:firstLineChars="0"/>
              <w:jc w:val="left"/>
              <w:rPr>
                <w:rFonts w:cs="宋体"/>
                <w:color w:val="000000"/>
                <w:kern w:val="0"/>
                <w:szCs w:val="21"/>
              </w:rPr>
            </w:pPr>
            <w:r>
              <w:rPr>
                <w:rFonts w:hint="eastAsia" w:cs="宋体"/>
                <w:color w:val="000000"/>
                <w:kern w:val="0"/>
                <w:szCs w:val="21"/>
              </w:rPr>
              <w:t>支持实现基于威胁情报的失陷主机检测及日志外发；</w:t>
            </w:r>
          </w:p>
        </w:tc>
      </w:tr>
      <w:tr w14:paraId="7047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12" w:type="pct"/>
            <w:gridSpan w:val="2"/>
            <w:vMerge w:val="continue"/>
            <w:vAlign w:val="center"/>
          </w:tcPr>
          <w:p w14:paraId="1B3E6955">
            <w:pPr>
              <w:widowControl/>
              <w:ind w:firstLine="0" w:firstLineChars="0"/>
              <w:jc w:val="left"/>
              <w:rPr>
                <w:rFonts w:cs="宋体"/>
                <w:color w:val="000000"/>
                <w:kern w:val="0"/>
                <w:szCs w:val="21"/>
              </w:rPr>
            </w:pPr>
          </w:p>
        </w:tc>
        <w:tc>
          <w:tcPr>
            <w:tcW w:w="3888" w:type="pct"/>
            <w:shd w:val="clear" w:color="auto" w:fill="auto"/>
            <w:vAlign w:val="center"/>
          </w:tcPr>
          <w:p w14:paraId="201602D1">
            <w:pPr>
              <w:widowControl/>
              <w:ind w:firstLine="0" w:firstLineChars="0"/>
              <w:jc w:val="left"/>
              <w:rPr>
                <w:rFonts w:cs="宋体"/>
                <w:color w:val="000000"/>
                <w:kern w:val="0"/>
                <w:szCs w:val="21"/>
              </w:rPr>
            </w:pPr>
            <w:r>
              <w:rPr>
                <w:rFonts w:hint="eastAsia" w:cs="宋体"/>
                <w:color w:val="000000"/>
                <w:kern w:val="0"/>
                <w:szCs w:val="21"/>
              </w:rPr>
              <w:t>支持失陷主机、恶意文件检测、漏洞攻击检测的数量统计；</w:t>
            </w:r>
          </w:p>
        </w:tc>
      </w:tr>
      <w:tr w14:paraId="0D6F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restart"/>
            <w:shd w:val="clear" w:color="auto" w:fill="auto"/>
            <w:vAlign w:val="center"/>
          </w:tcPr>
          <w:p w14:paraId="396EE3A0">
            <w:pPr>
              <w:widowControl/>
              <w:ind w:firstLine="0" w:firstLineChars="0"/>
              <w:jc w:val="left"/>
              <w:rPr>
                <w:rFonts w:cs="宋体"/>
                <w:color w:val="000000"/>
                <w:kern w:val="0"/>
                <w:szCs w:val="21"/>
              </w:rPr>
            </w:pPr>
            <w:r>
              <w:rPr>
                <w:rFonts w:hint="eastAsia" w:cs="宋体"/>
                <w:color w:val="000000"/>
                <w:kern w:val="0"/>
                <w:szCs w:val="21"/>
              </w:rPr>
              <w:t>威胁情报</w:t>
            </w:r>
          </w:p>
        </w:tc>
        <w:tc>
          <w:tcPr>
            <w:tcW w:w="3888" w:type="pct"/>
            <w:shd w:val="clear" w:color="auto" w:fill="auto"/>
            <w:vAlign w:val="center"/>
          </w:tcPr>
          <w:p w14:paraId="48600824">
            <w:pPr>
              <w:widowControl/>
              <w:ind w:firstLine="0" w:firstLineChars="0"/>
              <w:jc w:val="left"/>
              <w:rPr>
                <w:rFonts w:cs="宋体"/>
                <w:color w:val="000000"/>
                <w:kern w:val="0"/>
                <w:szCs w:val="21"/>
              </w:rPr>
            </w:pPr>
            <w:r>
              <w:rPr>
                <w:rFonts w:hint="eastAsia" w:cs="宋体"/>
                <w:color w:val="000000"/>
                <w:kern w:val="0"/>
                <w:szCs w:val="21"/>
              </w:rPr>
              <w:t>支持并提供威胁情报能力；</w:t>
            </w:r>
          </w:p>
        </w:tc>
      </w:tr>
      <w:tr w14:paraId="326EC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12" w:type="pct"/>
            <w:gridSpan w:val="2"/>
            <w:vMerge w:val="continue"/>
            <w:vAlign w:val="center"/>
          </w:tcPr>
          <w:p w14:paraId="663DEC3B">
            <w:pPr>
              <w:widowControl/>
              <w:ind w:firstLine="0" w:firstLineChars="0"/>
              <w:jc w:val="left"/>
              <w:rPr>
                <w:rFonts w:cs="宋体"/>
                <w:color w:val="000000"/>
                <w:kern w:val="0"/>
                <w:szCs w:val="21"/>
              </w:rPr>
            </w:pPr>
          </w:p>
        </w:tc>
        <w:tc>
          <w:tcPr>
            <w:tcW w:w="3888" w:type="pct"/>
            <w:shd w:val="clear" w:color="auto" w:fill="auto"/>
            <w:vAlign w:val="center"/>
          </w:tcPr>
          <w:p w14:paraId="12903DB2">
            <w:pPr>
              <w:widowControl/>
              <w:ind w:firstLine="0" w:firstLineChars="0"/>
              <w:jc w:val="left"/>
              <w:rPr>
                <w:rFonts w:cs="宋体"/>
                <w:color w:val="000000"/>
                <w:kern w:val="0"/>
                <w:szCs w:val="21"/>
              </w:rPr>
            </w:pPr>
            <w:r>
              <w:rPr>
                <w:rFonts w:hint="eastAsia" w:cs="宋体"/>
                <w:color w:val="000000"/>
                <w:kern w:val="0"/>
                <w:szCs w:val="21"/>
              </w:rPr>
              <w:t>支持从云端或离线导入等方式获取威胁情报数据；</w:t>
            </w:r>
          </w:p>
        </w:tc>
      </w:tr>
      <w:tr w14:paraId="4203A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2" w:type="pct"/>
            <w:gridSpan w:val="2"/>
            <w:vMerge w:val="continue"/>
            <w:vAlign w:val="center"/>
          </w:tcPr>
          <w:p w14:paraId="40464517">
            <w:pPr>
              <w:widowControl/>
              <w:ind w:firstLine="0" w:firstLineChars="0"/>
              <w:jc w:val="left"/>
              <w:rPr>
                <w:rFonts w:cs="宋体"/>
                <w:color w:val="000000"/>
                <w:kern w:val="0"/>
                <w:szCs w:val="21"/>
              </w:rPr>
            </w:pPr>
          </w:p>
        </w:tc>
        <w:tc>
          <w:tcPr>
            <w:tcW w:w="3888" w:type="pct"/>
            <w:shd w:val="clear" w:color="auto" w:fill="auto"/>
            <w:vAlign w:val="center"/>
          </w:tcPr>
          <w:p w14:paraId="2FEC574B">
            <w:pPr>
              <w:widowControl/>
              <w:ind w:firstLine="0" w:firstLineChars="0"/>
              <w:jc w:val="left"/>
              <w:rPr>
                <w:rFonts w:cs="宋体"/>
                <w:color w:val="000000"/>
                <w:kern w:val="0"/>
                <w:szCs w:val="21"/>
              </w:rPr>
            </w:pPr>
            <w:r>
              <w:rPr>
                <w:rFonts w:hint="eastAsia" w:cs="宋体"/>
                <w:color w:val="000000"/>
                <w:kern w:val="0"/>
                <w:szCs w:val="21"/>
              </w:rPr>
              <w:t>支持通过威胁情报数据对采集的数据进行实时比对分析，发现可疑的连接行为；</w:t>
            </w:r>
          </w:p>
        </w:tc>
      </w:tr>
      <w:tr w14:paraId="1371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12" w:type="pct"/>
            <w:gridSpan w:val="2"/>
            <w:shd w:val="clear" w:color="auto" w:fill="auto"/>
            <w:vAlign w:val="center"/>
          </w:tcPr>
          <w:p w14:paraId="29ACCD29">
            <w:pPr>
              <w:widowControl/>
              <w:ind w:firstLine="0" w:firstLineChars="0"/>
              <w:jc w:val="left"/>
              <w:rPr>
                <w:rFonts w:cs="宋体"/>
                <w:color w:val="000000"/>
                <w:kern w:val="0"/>
                <w:szCs w:val="21"/>
              </w:rPr>
            </w:pPr>
            <w:r>
              <w:rPr>
                <w:rFonts w:hint="eastAsia" w:cs="宋体"/>
                <w:color w:val="000000"/>
                <w:kern w:val="0"/>
                <w:szCs w:val="21"/>
              </w:rPr>
              <w:t>硬件日志源的数据分析授权</w:t>
            </w:r>
          </w:p>
        </w:tc>
        <w:tc>
          <w:tcPr>
            <w:tcW w:w="3888" w:type="pct"/>
            <w:shd w:val="clear" w:color="auto" w:fill="auto"/>
            <w:vAlign w:val="center"/>
          </w:tcPr>
          <w:p w14:paraId="078AD002">
            <w:pPr>
              <w:widowControl/>
              <w:ind w:firstLine="0" w:firstLineChars="0"/>
              <w:jc w:val="left"/>
              <w:rPr>
                <w:rFonts w:cs="宋体"/>
                <w:color w:val="000000"/>
                <w:kern w:val="0"/>
                <w:szCs w:val="21"/>
              </w:rPr>
            </w:pPr>
            <w:r>
              <w:rPr>
                <w:rFonts w:hint="eastAsia" w:cs="宋体"/>
                <w:color w:val="000000"/>
                <w:kern w:val="0"/>
                <w:szCs w:val="21"/>
              </w:rPr>
              <w:t>满足100个日志数据源的数据分析授权</w:t>
            </w:r>
          </w:p>
        </w:tc>
      </w:tr>
    </w:tbl>
    <w:p w14:paraId="4CC42FC9">
      <w:pPr>
        <w:pStyle w:val="6"/>
        <w:numPr>
          <w:ilvl w:val="3"/>
          <w:numId w:val="0"/>
        </w:numPr>
        <w:spacing w:line="413" w:lineRule="auto"/>
      </w:pPr>
      <w:bookmarkStart w:id="35" w:name="_Toc16546"/>
      <w:bookmarkStart w:id="36" w:name="_Toc161989556"/>
      <w:r>
        <w:rPr>
          <w:rFonts w:hint="eastAsia"/>
        </w:rPr>
        <w:t>1.2核心节点网络流量采集探针</w:t>
      </w:r>
      <w:bookmarkEnd w:id="35"/>
      <w:bookmarkEnd w:id="36"/>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6838"/>
      </w:tblGrid>
      <w:tr w14:paraId="287B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1" w:type="pct"/>
            <w:tcBorders>
              <w:top w:val="single" w:color="auto" w:sz="4" w:space="0"/>
              <w:left w:val="single" w:color="auto" w:sz="4" w:space="0"/>
              <w:bottom w:val="single" w:color="auto" w:sz="4" w:space="0"/>
              <w:right w:val="single" w:color="auto" w:sz="4" w:space="0"/>
            </w:tcBorders>
            <w:vAlign w:val="center"/>
          </w:tcPr>
          <w:p w14:paraId="102D77C9">
            <w:pPr>
              <w:ind w:firstLine="482"/>
              <w:contextualSpacing/>
              <w:jc w:val="center"/>
              <w:rPr>
                <w:b/>
                <w:szCs w:val="21"/>
              </w:rPr>
            </w:pPr>
            <w:r>
              <w:rPr>
                <w:rFonts w:hint="eastAsia"/>
                <w:b/>
                <w:szCs w:val="21"/>
              </w:rPr>
              <w:t>指标项</w:t>
            </w:r>
          </w:p>
        </w:tc>
        <w:tc>
          <w:tcPr>
            <w:tcW w:w="4009" w:type="pct"/>
            <w:tcBorders>
              <w:top w:val="single" w:color="auto" w:sz="4" w:space="0"/>
              <w:left w:val="single" w:color="auto" w:sz="4" w:space="0"/>
              <w:bottom w:val="single" w:color="auto" w:sz="4" w:space="0"/>
              <w:right w:val="single" w:color="auto" w:sz="4" w:space="0"/>
            </w:tcBorders>
            <w:vAlign w:val="center"/>
          </w:tcPr>
          <w:p w14:paraId="72E1644D">
            <w:pPr>
              <w:ind w:firstLine="482"/>
              <w:contextualSpacing/>
              <w:jc w:val="center"/>
              <w:rPr>
                <w:b/>
                <w:szCs w:val="21"/>
              </w:rPr>
            </w:pPr>
            <w:r>
              <w:rPr>
                <w:rFonts w:hint="eastAsia"/>
                <w:b/>
                <w:szCs w:val="21"/>
              </w:rPr>
              <w:t>技术指标</w:t>
            </w:r>
          </w:p>
        </w:tc>
      </w:tr>
      <w:tr w14:paraId="6489B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231C2EB2">
            <w:pPr>
              <w:ind w:firstLine="0" w:firstLineChars="0"/>
              <w:contextualSpacing/>
              <w:rPr>
                <w:szCs w:val="21"/>
              </w:rPr>
            </w:pPr>
            <w:r>
              <w:rPr>
                <w:rFonts w:hint="eastAsia"/>
                <w:szCs w:val="21"/>
              </w:rPr>
              <w:t>性能参数</w:t>
            </w:r>
          </w:p>
        </w:tc>
        <w:tc>
          <w:tcPr>
            <w:tcW w:w="4009" w:type="pct"/>
            <w:tcBorders>
              <w:top w:val="single" w:color="auto" w:sz="4" w:space="0"/>
              <w:left w:val="single" w:color="auto" w:sz="4" w:space="0"/>
              <w:bottom w:val="single" w:color="auto" w:sz="4" w:space="0"/>
              <w:right w:val="single" w:color="auto" w:sz="4" w:space="0"/>
            </w:tcBorders>
            <w:vAlign w:val="center"/>
          </w:tcPr>
          <w:p w14:paraId="752C8AC4">
            <w:pPr>
              <w:ind w:firstLine="0" w:firstLineChars="0"/>
              <w:contextualSpacing/>
              <w:rPr>
                <w:szCs w:val="21"/>
              </w:rPr>
            </w:pPr>
            <w:r>
              <w:rPr>
                <w:rFonts w:hint="eastAsia"/>
                <w:szCs w:val="21"/>
              </w:rPr>
              <w:t>吞吐量≥3Gbps，并发连接数≥400万，新建连接数≥15万/秒；</w:t>
            </w:r>
          </w:p>
        </w:tc>
      </w:tr>
      <w:tr w14:paraId="2594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467898B1">
            <w:pPr>
              <w:ind w:firstLine="0" w:firstLineChars="0"/>
              <w:contextualSpacing/>
              <w:rPr>
                <w:szCs w:val="21"/>
              </w:rPr>
            </w:pPr>
            <w:r>
              <w:rPr>
                <w:rFonts w:hint="eastAsia"/>
                <w:szCs w:val="21"/>
              </w:rPr>
              <w:t>网络接口</w:t>
            </w:r>
          </w:p>
        </w:tc>
        <w:tc>
          <w:tcPr>
            <w:tcW w:w="4009" w:type="pct"/>
            <w:tcBorders>
              <w:top w:val="single" w:color="auto" w:sz="4" w:space="0"/>
              <w:left w:val="single" w:color="auto" w:sz="4" w:space="0"/>
              <w:bottom w:val="single" w:color="auto" w:sz="4" w:space="0"/>
              <w:right w:val="single" w:color="auto" w:sz="4" w:space="0"/>
            </w:tcBorders>
            <w:vAlign w:val="center"/>
          </w:tcPr>
          <w:p w14:paraId="7FEB8E7C">
            <w:pPr>
              <w:ind w:firstLine="0" w:firstLineChars="0"/>
              <w:contextualSpacing/>
              <w:rPr>
                <w:szCs w:val="21"/>
              </w:rPr>
            </w:pPr>
            <w:r>
              <w:rPr>
                <w:rFonts w:hint="eastAsia"/>
                <w:szCs w:val="21"/>
              </w:rPr>
              <w:t>配置6个10/100/1000M自适应千兆电口</w:t>
            </w:r>
          </w:p>
        </w:tc>
      </w:tr>
      <w:tr w14:paraId="779D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1AC3FCE9">
            <w:pPr>
              <w:ind w:firstLine="0" w:firstLineChars="0"/>
              <w:contextualSpacing/>
              <w:rPr>
                <w:szCs w:val="21"/>
              </w:rPr>
            </w:pPr>
            <w:r>
              <w:rPr>
                <w:rFonts w:hint="eastAsia"/>
                <w:szCs w:val="21"/>
              </w:rPr>
              <w:t>硬件规格</w:t>
            </w:r>
          </w:p>
        </w:tc>
        <w:tc>
          <w:tcPr>
            <w:tcW w:w="4009" w:type="pct"/>
            <w:tcBorders>
              <w:top w:val="single" w:color="auto" w:sz="4" w:space="0"/>
              <w:left w:val="single" w:color="auto" w:sz="4" w:space="0"/>
              <w:bottom w:val="single" w:color="auto" w:sz="4" w:space="0"/>
              <w:right w:val="single" w:color="auto" w:sz="4" w:space="0"/>
            </w:tcBorders>
            <w:vAlign w:val="center"/>
          </w:tcPr>
          <w:p w14:paraId="4F9C3B88">
            <w:pPr>
              <w:ind w:firstLine="0" w:firstLineChars="0"/>
              <w:contextualSpacing/>
              <w:rPr>
                <w:szCs w:val="21"/>
              </w:rPr>
            </w:pPr>
            <w:r>
              <w:rPr>
                <w:rFonts w:hint="eastAsia"/>
                <w:szCs w:val="21"/>
              </w:rPr>
              <w:t>产品应为标准机架式设备；</w:t>
            </w:r>
          </w:p>
        </w:tc>
      </w:tr>
      <w:tr w14:paraId="04FCA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657FBF58">
            <w:pPr>
              <w:ind w:firstLine="0" w:firstLineChars="0"/>
              <w:contextualSpacing/>
              <w:rPr>
                <w:szCs w:val="21"/>
              </w:rPr>
            </w:pPr>
            <w:r>
              <w:rPr>
                <w:rFonts w:hint="eastAsia"/>
                <w:szCs w:val="21"/>
              </w:rPr>
              <w:t>部署模式</w:t>
            </w:r>
          </w:p>
        </w:tc>
        <w:tc>
          <w:tcPr>
            <w:tcW w:w="4009" w:type="pct"/>
            <w:tcBorders>
              <w:top w:val="single" w:color="auto" w:sz="4" w:space="0"/>
              <w:left w:val="single" w:color="auto" w:sz="4" w:space="0"/>
              <w:bottom w:val="single" w:color="auto" w:sz="4" w:space="0"/>
              <w:right w:val="single" w:color="auto" w:sz="4" w:space="0"/>
            </w:tcBorders>
            <w:vAlign w:val="center"/>
          </w:tcPr>
          <w:p w14:paraId="2FF5B937">
            <w:pPr>
              <w:ind w:firstLine="0" w:firstLineChars="0"/>
              <w:contextualSpacing/>
              <w:rPr>
                <w:szCs w:val="21"/>
              </w:rPr>
            </w:pPr>
            <w:r>
              <w:rPr>
                <w:rFonts w:hint="eastAsia"/>
                <w:szCs w:val="21"/>
              </w:rPr>
              <w:t>支持旁路部署，可同时接入多个镜像口，每个镜像口相互独立；</w:t>
            </w:r>
          </w:p>
        </w:tc>
      </w:tr>
      <w:tr w14:paraId="377D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0FCCDDEE">
            <w:pPr>
              <w:ind w:firstLine="0" w:firstLineChars="0"/>
              <w:contextualSpacing/>
              <w:rPr>
                <w:szCs w:val="21"/>
              </w:rPr>
            </w:pPr>
            <w:r>
              <w:rPr>
                <w:rFonts w:hint="eastAsia"/>
                <w:szCs w:val="21"/>
              </w:rPr>
              <w:t>流量采集</w:t>
            </w:r>
          </w:p>
        </w:tc>
        <w:tc>
          <w:tcPr>
            <w:tcW w:w="4009" w:type="pct"/>
            <w:tcBorders>
              <w:top w:val="single" w:color="auto" w:sz="4" w:space="0"/>
              <w:left w:val="single" w:color="auto" w:sz="4" w:space="0"/>
              <w:bottom w:val="single" w:color="auto" w:sz="4" w:space="0"/>
              <w:right w:val="single" w:color="auto" w:sz="4" w:space="0"/>
            </w:tcBorders>
            <w:vAlign w:val="center"/>
          </w:tcPr>
          <w:p w14:paraId="1791B530">
            <w:pPr>
              <w:ind w:firstLine="0" w:firstLineChars="0"/>
              <w:contextualSpacing/>
              <w:rPr>
                <w:szCs w:val="21"/>
              </w:rPr>
            </w:pPr>
            <w:r>
              <w:rPr>
                <w:rFonts w:hint="eastAsia"/>
                <w:szCs w:val="21"/>
              </w:rPr>
              <w:t>支持常见协议识别并还原网络流量，用于取证分析、威胁发现；</w:t>
            </w:r>
          </w:p>
        </w:tc>
      </w:tr>
      <w:tr w14:paraId="1729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22A783A9">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58141BC">
            <w:pPr>
              <w:ind w:firstLine="0" w:firstLineChars="0"/>
              <w:contextualSpacing/>
              <w:rPr>
                <w:szCs w:val="21"/>
              </w:rPr>
            </w:pPr>
            <w:r>
              <w:rPr>
                <w:rFonts w:hint="eastAsia"/>
                <w:szCs w:val="21"/>
              </w:rPr>
              <w:t>支持对流量中出现文件传输行为进行发现和还原，并记录文件MD5发送至分析设备；</w:t>
            </w:r>
          </w:p>
        </w:tc>
      </w:tr>
      <w:tr w14:paraId="4514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409BBAD9">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82C03C5">
            <w:pPr>
              <w:ind w:firstLine="0" w:firstLineChars="0"/>
              <w:contextualSpacing/>
              <w:rPr>
                <w:szCs w:val="21"/>
              </w:rPr>
            </w:pPr>
            <w:r>
              <w:rPr>
                <w:rFonts w:hint="eastAsia"/>
                <w:szCs w:val="21"/>
              </w:rPr>
              <w:t>支持常见数据库协议的识别或还原；</w:t>
            </w:r>
          </w:p>
        </w:tc>
      </w:tr>
      <w:tr w14:paraId="6123D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06754E6D">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660E6C2A">
            <w:pPr>
              <w:ind w:firstLine="0" w:firstLineChars="0"/>
              <w:contextualSpacing/>
              <w:rPr>
                <w:szCs w:val="21"/>
              </w:rPr>
            </w:pPr>
            <w:r>
              <w:rPr>
                <w:rFonts w:hint="eastAsia"/>
                <w:szCs w:val="21"/>
              </w:rPr>
              <w:t>支持TCP/UDP会话记录、异常流量会话记录、web访问记录、域名解析、SQL访问记录、邮件行为、登录情况、文件传输、FTP控制通道、SSL加密协商、telnet行为、IM通信等行为描述；</w:t>
            </w:r>
          </w:p>
        </w:tc>
      </w:tr>
      <w:tr w14:paraId="60BC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68A06269">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0D778878">
            <w:pPr>
              <w:ind w:firstLine="0" w:firstLineChars="0"/>
              <w:contextualSpacing/>
              <w:rPr>
                <w:szCs w:val="21"/>
              </w:rPr>
            </w:pPr>
            <w:r>
              <w:rPr>
                <w:rFonts w:hint="eastAsia"/>
                <w:szCs w:val="21"/>
              </w:rPr>
              <w:t>支持自定义协议和端口，满足特殊场景下的流量抓取；</w:t>
            </w:r>
          </w:p>
        </w:tc>
      </w:tr>
      <w:tr w14:paraId="6D37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bottom w:val="single" w:color="auto" w:sz="4" w:space="0"/>
              <w:right w:val="single" w:color="auto" w:sz="4" w:space="0"/>
            </w:tcBorders>
            <w:vAlign w:val="center"/>
          </w:tcPr>
          <w:p w14:paraId="52F8EEBA">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014582DD">
            <w:pPr>
              <w:ind w:firstLine="0" w:firstLineChars="0"/>
              <w:contextualSpacing/>
              <w:rPr>
                <w:szCs w:val="21"/>
              </w:rPr>
            </w:pPr>
            <w:r>
              <w:rPr>
                <w:rFonts w:hint="eastAsia"/>
                <w:szCs w:val="21"/>
              </w:rPr>
              <w:t>支持离线流量采集，可通过手动PCAP导入方式对离线流量进行采集；</w:t>
            </w:r>
          </w:p>
        </w:tc>
      </w:tr>
      <w:tr w14:paraId="16B7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62F36EDF">
            <w:pPr>
              <w:ind w:firstLine="0" w:firstLineChars="0"/>
              <w:contextualSpacing/>
              <w:rPr>
                <w:szCs w:val="21"/>
              </w:rPr>
            </w:pPr>
            <w:r>
              <w:rPr>
                <w:rFonts w:hint="eastAsia"/>
                <w:szCs w:val="21"/>
              </w:rPr>
              <w:t>威胁检测</w:t>
            </w:r>
          </w:p>
        </w:tc>
        <w:tc>
          <w:tcPr>
            <w:tcW w:w="4009" w:type="pct"/>
            <w:tcBorders>
              <w:top w:val="single" w:color="auto" w:sz="4" w:space="0"/>
              <w:left w:val="single" w:color="auto" w:sz="4" w:space="0"/>
              <w:bottom w:val="single" w:color="auto" w:sz="4" w:space="0"/>
              <w:right w:val="single" w:color="auto" w:sz="4" w:space="0"/>
            </w:tcBorders>
            <w:vAlign w:val="center"/>
          </w:tcPr>
          <w:p w14:paraId="1D1DDDC7">
            <w:pPr>
              <w:ind w:firstLine="0" w:firstLineChars="0"/>
              <w:contextualSpacing/>
              <w:rPr>
                <w:szCs w:val="21"/>
              </w:rPr>
            </w:pPr>
            <w:r>
              <w:rPr>
                <w:rFonts w:hint="eastAsia"/>
                <w:szCs w:val="21"/>
              </w:rPr>
              <w:t>支持基于流量实时IOC匹配功能，设备具备主流的IOC；</w:t>
            </w:r>
          </w:p>
        </w:tc>
      </w:tr>
      <w:tr w14:paraId="27D8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34A95A35">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036E7FDC">
            <w:pPr>
              <w:ind w:firstLine="0" w:firstLineChars="0"/>
              <w:contextualSpacing/>
              <w:rPr>
                <w:szCs w:val="21"/>
              </w:rPr>
            </w:pPr>
            <w:r>
              <w:rPr>
                <w:rFonts w:hint="eastAsia"/>
                <w:szCs w:val="21"/>
              </w:rPr>
              <w:t>支持检测针对WEB应用的攻击，支持跨站请求伪造CSRF攻击检测；支持其他类型的WEB攻击；</w:t>
            </w:r>
          </w:p>
        </w:tc>
      </w:tr>
      <w:tr w14:paraId="7746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6F68240F">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388AD13A">
            <w:pPr>
              <w:ind w:firstLine="0" w:firstLineChars="0"/>
              <w:contextualSpacing/>
              <w:rPr>
                <w:szCs w:val="21"/>
              </w:rPr>
            </w:pPr>
            <w:r>
              <w:rPr>
                <w:rFonts w:hint="eastAsia"/>
                <w:szCs w:val="21"/>
              </w:rPr>
              <w:t>▲支持基于工具特征的WEBSHELL检测，通过系统调用、系统配置、文件操作来及时发现威胁；支持基于webshell函数的攻击检测；（提供产品功能截图）</w:t>
            </w:r>
          </w:p>
        </w:tc>
      </w:tr>
      <w:tr w14:paraId="3E6E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710CB59D">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78BDEF89">
            <w:pPr>
              <w:ind w:firstLine="0" w:firstLineChars="0"/>
              <w:contextualSpacing/>
              <w:rPr>
                <w:szCs w:val="21"/>
              </w:rPr>
            </w:pPr>
            <w:r>
              <w:rPr>
                <w:rFonts w:hint="eastAsia"/>
                <w:szCs w:val="21"/>
              </w:rPr>
              <w:t>支持基于代理程序的攻击检测，如TCP代理程序、HTTP代理程序等；</w:t>
            </w:r>
          </w:p>
        </w:tc>
      </w:tr>
      <w:tr w14:paraId="6E7B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28C86B79">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0B0B3FB">
            <w:pPr>
              <w:ind w:firstLine="0" w:firstLineChars="0"/>
              <w:contextualSpacing/>
              <w:rPr>
                <w:szCs w:val="21"/>
              </w:rPr>
            </w:pPr>
            <w:r>
              <w:rPr>
                <w:rFonts w:hint="eastAsia"/>
                <w:szCs w:val="21"/>
              </w:rPr>
              <w:t>支持多种攻击检测，能更全面的从流量中发现威胁；</w:t>
            </w:r>
          </w:p>
        </w:tc>
      </w:tr>
      <w:tr w14:paraId="1221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0EEAB9DE">
            <w:pPr>
              <w:ind w:firstLine="0" w:firstLineChars="0"/>
              <w:contextualSpacing/>
              <w:rPr>
                <w:szCs w:val="21"/>
              </w:rPr>
            </w:pPr>
            <w:r>
              <w:rPr>
                <w:rFonts w:hint="eastAsia"/>
                <w:szCs w:val="21"/>
              </w:rPr>
              <w:t>行为分析</w:t>
            </w:r>
          </w:p>
        </w:tc>
        <w:tc>
          <w:tcPr>
            <w:tcW w:w="4009" w:type="pct"/>
            <w:tcBorders>
              <w:top w:val="single" w:color="auto" w:sz="4" w:space="0"/>
              <w:left w:val="single" w:color="auto" w:sz="4" w:space="0"/>
              <w:bottom w:val="single" w:color="auto" w:sz="4" w:space="0"/>
              <w:right w:val="single" w:color="auto" w:sz="4" w:space="0"/>
            </w:tcBorders>
            <w:vAlign w:val="center"/>
          </w:tcPr>
          <w:p w14:paraId="22B49F95">
            <w:pPr>
              <w:ind w:firstLine="0" w:firstLineChars="0"/>
              <w:contextualSpacing/>
              <w:rPr>
                <w:szCs w:val="21"/>
              </w:rPr>
            </w:pPr>
            <w:r>
              <w:rPr>
                <w:rFonts w:hint="eastAsia"/>
                <w:szCs w:val="21"/>
              </w:rPr>
              <w:t>支持告警的深度行为分析，行为包括DNS解析行为、TCP/UDP交互行为、WEB访问行为、传输文件行为</w:t>
            </w:r>
          </w:p>
        </w:tc>
      </w:tr>
      <w:tr w14:paraId="40BE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168A6209">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DD92A6D">
            <w:pPr>
              <w:ind w:firstLine="0" w:firstLineChars="0"/>
              <w:contextualSpacing/>
              <w:rPr>
                <w:szCs w:val="21"/>
              </w:rPr>
            </w:pPr>
            <w:r>
              <w:rPr>
                <w:rFonts w:hint="eastAsia"/>
                <w:szCs w:val="21"/>
              </w:rPr>
              <w:t>持基于网络请求的语义分析检测，提升对未知威胁检测能力；</w:t>
            </w:r>
          </w:p>
        </w:tc>
      </w:tr>
      <w:tr w14:paraId="1F2E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032E4004">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44201574">
            <w:pPr>
              <w:ind w:firstLine="0" w:firstLineChars="0"/>
              <w:contextualSpacing/>
              <w:rPr>
                <w:szCs w:val="21"/>
              </w:rPr>
            </w:pPr>
            <w:r>
              <w:rPr>
                <w:rFonts w:hint="eastAsia"/>
                <w:szCs w:val="21"/>
              </w:rPr>
              <w:t>具备AI隧道检测、非TCP完整流、畸形包检测、数据包完整性检测、碎片重组检测、编码绕过检测、高级逃逸 AET 检测等防逃逸检测能力；</w:t>
            </w:r>
          </w:p>
        </w:tc>
      </w:tr>
      <w:tr w14:paraId="1452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18806093">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5F7F143F">
            <w:pPr>
              <w:ind w:firstLine="0" w:firstLineChars="0"/>
              <w:contextualSpacing/>
              <w:rPr>
                <w:szCs w:val="21"/>
              </w:rPr>
            </w:pPr>
            <w:r>
              <w:rPr>
                <w:rFonts w:hint="eastAsia"/>
                <w:szCs w:val="21"/>
              </w:rPr>
              <w:t>支持门罗币、莱特币、以太坊、比特币等币种的检测，区分挖矿行为阶段：恶意代码传输、远控通信、连接矿池、登录矿池、获取挖矿任务、提交挖矿份额；</w:t>
            </w:r>
          </w:p>
        </w:tc>
      </w:tr>
      <w:tr w14:paraId="2DA8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5B1DF854">
            <w:pPr>
              <w:ind w:firstLine="0" w:firstLineChars="0"/>
              <w:contextualSpacing/>
              <w:rPr>
                <w:szCs w:val="21"/>
              </w:rPr>
            </w:pPr>
            <w:r>
              <w:rPr>
                <w:rFonts w:hint="eastAsia"/>
                <w:szCs w:val="21"/>
              </w:rPr>
              <w:t>策略配置</w:t>
            </w:r>
          </w:p>
        </w:tc>
        <w:tc>
          <w:tcPr>
            <w:tcW w:w="4009" w:type="pct"/>
            <w:tcBorders>
              <w:top w:val="single" w:color="auto" w:sz="4" w:space="0"/>
              <w:left w:val="single" w:color="auto" w:sz="4" w:space="0"/>
              <w:bottom w:val="single" w:color="auto" w:sz="4" w:space="0"/>
              <w:right w:val="single" w:color="auto" w:sz="4" w:space="0"/>
            </w:tcBorders>
            <w:vAlign w:val="center"/>
          </w:tcPr>
          <w:p w14:paraId="292BAC11">
            <w:pPr>
              <w:ind w:firstLine="0" w:firstLineChars="0"/>
              <w:contextualSpacing/>
              <w:rPr>
                <w:szCs w:val="21"/>
              </w:rPr>
            </w:pPr>
            <w:r>
              <w:rPr>
                <w:rFonts w:hint="eastAsia"/>
                <w:szCs w:val="21"/>
              </w:rPr>
              <w:t>支持对HTTP、FTP_DATA、SMB、SMTP、POP3、WEBMAIL、IMAP、TFTP、QQ、NFS等类型协议的流量进行文件还原；</w:t>
            </w:r>
          </w:p>
        </w:tc>
      </w:tr>
      <w:tr w14:paraId="61E7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509E9540">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C50C7C3">
            <w:pPr>
              <w:ind w:firstLine="0" w:firstLineChars="0"/>
              <w:contextualSpacing/>
              <w:rPr>
                <w:szCs w:val="21"/>
              </w:rPr>
            </w:pPr>
            <w:r>
              <w:rPr>
                <w:rFonts w:hint="eastAsia"/>
                <w:szCs w:val="21"/>
              </w:rPr>
              <w:t>支持通过设备对流量进行抓包分析，可定义抓包流量双向或单向、数量、IP地址、端口或协议类型；</w:t>
            </w:r>
          </w:p>
        </w:tc>
      </w:tr>
      <w:tr w14:paraId="460E7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21A560CF">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0F6329F4">
            <w:pPr>
              <w:ind w:firstLine="0" w:firstLineChars="0"/>
              <w:contextualSpacing/>
              <w:rPr>
                <w:szCs w:val="21"/>
              </w:rPr>
            </w:pPr>
            <w:r>
              <w:rPr>
                <w:rFonts w:hint="eastAsia"/>
                <w:szCs w:val="21"/>
              </w:rPr>
              <w:t>支持基于网络请求的语义分析检测，详细展示请求内容，并能提升对未知威胁检测能力；</w:t>
            </w:r>
          </w:p>
        </w:tc>
      </w:tr>
      <w:tr w14:paraId="72F9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5EA9322B">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F6A6F43">
            <w:pPr>
              <w:ind w:firstLine="0" w:firstLineChars="0"/>
              <w:contextualSpacing/>
              <w:rPr>
                <w:szCs w:val="21"/>
              </w:rPr>
            </w:pPr>
            <w:r>
              <w:rPr>
                <w:rFonts w:hint="eastAsia"/>
                <w:szCs w:val="21"/>
              </w:rPr>
              <w:t>支持基于IP地址的旁路阻断，能够在实时镜像的流量中发现恶意IP并实现实时阻断；支持基于URL的旁路阻断，并能将URL请求进行重定向；</w:t>
            </w:r>
          </w:p>
        </w:tc>
      </w:tr>
      <w:tr w14:paraId="758AB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299D7549">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7ADAF75A">
            <w:pPr>
              <w:ind w:firstLine="0" w:firstLineChars="0"/>
              <w:contextualSpacing/>
              <w:rPr>
                <w:szCs w:val="21"/>
              </w:rPr>
            </w:pPr>
            <w:r>
              <w:rPr>
                <w:rFonts w:hint="eastAsia"/>
                <w:szCs w:val="21"/>
              </w:rPr>
              <w:t>▲支持自定义弱口令字典，支持HTTP、HTTPS、Telnet、FTP、POP、SMTP、IMAP等协议的自定义弱口令检测；支持自定义弱口令规则，可正则表达式方式自定义弱口令强度、复杂度规则；（提供产品功能截图）</w:t>
            </w:r>
          </w:p>
        </w:tc>
      </w:tr>
      <w:tr w14:paraId="09CA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7FA2580A">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4FFBCEF1">
            <w:pPr>
              <w:ind w:firstLine="0" w:firstLineChars="0"/>
              <w:contextualSpacing/>
              <w:rPr>
                <w:szCs w:val="21"/>
              </w:rPr>
            </w:pPr>
            <w:r>
              <w:rPr>
                <w:rFonts w:hint="eastAsia"/>
                <w:szCs w:val="21"/>
              </w:rPr>
              <w:t>支持旁路HTTPS解密、威胁检测；</w:t>
            </w:r>
          </w:p>
        </w:tc>
      </w:tr>
      <w:tr w14:paraId="511F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5A201A4D">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62CA1330">
            <w:pPr>
              <w:ind w:firstLine="0" w:firstLineChars="0"/>
              <w:contextualSpacing/>
              <w:rPr>
                <w:szCs w:val="21"/>
              </w:rPr>
            </w:pPr>
            <w:r>
              <w:rPr>
                <w:rFonts w:hint="eastAsia"/>
                <w:szCs w:val="21"/>
              </w:rPr>
              <w:t>支持对告警进行加白；</w:t>
            </w:r>
          </w:p>
        </w:tc>
      </w:tr>
      <w:tr w14:paraId="40DE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278CAB8E">
            <w:pPr>
              <w:ind w:firstLine="0" w:firstLineChars="0"/>
              <w:contextualSpacing/>
              <w:rPr>
                <w:szCs w:val="21"/>
              </w:rPr>
            </w:pPr>
            <w:r>
              <w:rPr>
                <w:rFonts w:hint="eastAsia"/>
                <w:szCs w:val="21"/>
              </w:rPr>
              <w:t>系统管理</w:t>
            </w:r>
          </w:p>
        </w:tc>
        <w:tc>
          <w:tcPr>
            <w:tcW w:w="4009" w:type="pct"/>
            <w:tcBorders>
              <w:top w:val="single" w:color="auto" w:sz="4" w:space="0"/>
              <w:left w:val="single" w:color="auto" w:sz="4" w:space="0"/>
              <w:bottom w:val="single" w:color="auto" w:sz="4" w:space="0"/>
              <w:right w:val="single" w:color="auto" w:sz="4" w:space="0"/>
            </w:tcBorders>
            <w:vAlign w:val="center"/>
          </w:tcPr>
          <w:p w14:paraId="3A368827">
            <w:pPr>
              <w:ind w:firstLine="0" w:firstLineChars="0"/>
              <w:contextualSpacing/>
              <w:rPr>
                <w:szCs w:val="21"/>
              </w:rPr>
            </w:pPr>
            <w:r>
              <w:rPr>
                <w:rFonts w:hint="eastAsia"/>
                <w:szCs w:val="21"/>
              </w:rPr>
              <w:t>支持AES256、SM4数据传输加密，确保数据传输的安全性；</w:t>
            </w:r>
          </w:p>
        </w:tc>
      </w:tr>
      <w:tr w14:paraId="6856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3B065AA1">
            <w:pPr>
              <w:ind w:firstLine="0" w:firstLineChars="0"/>
              <w:contextualSpacing/>
              <w:rPr>
                <w:szCs w:val="21"/>
              </w:rPr>
            </w:pPr>
          </w:p>
        </w:tc>
        <w:tc>
          <w:tcPr>
            <w:tcW w:w="4009" w:type="pct"/>
            <w:tcBorders>
              <w:top w:val="single" w:color="auto" w:sz="4" w:space="0"/>
              <w:left w:val="nil"/>
              <w:bottom w:val="single" w:color="auto" w:sz="4" w:space="0"/>
              <w:right w:val="single" w:color="auto" w:sz="4" w:space="0"/>
            </w:tcBorders>
            <w:vAlign w:val="center"/>
          </w:tcPr>
          <w:p w14:paraId="220B0C98">
            <w:pPr>
              <w:ind w:firstLine="0" w:firstLineChars="0"/>
              <w:contextualSpacing/>
              <w:rPr>
                <w:szCs w:val="21"/>
              </w:rPr>
            </w:pPr>
            <w:r>
              <w:rPr>
                <w:rFonts w:hint="eastAsia"/>
                <w:szCs w:val="21"/>
              </w:rPr>
              <w:t>支持威胁告警信息发送给syslog服务器，支持将威胁告警、网络日志、攻击结果、威胁类型等日志传输给威胁分析平台；</w:t>
            </w:r>
          </w:p>
        </w:tc>
      </w:tr>
      <w:tr w14:paraId="3E33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765E844B">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62F0D73">
            <w:pPr>
              <w:ind w:firstLine="0" w:firstLineChars="0"/>
              <w:contextualSpacing/>
              <w:rPr>
                <w:szCs w:val="21"/>
              </w:rPr>
            </w:pPr>
            <w:r>
              <w:rPr>
                <w:rFonts w:hint="eastAsia"/>
                <w:szCs w:val="21"/>
              </w:rPr>
              <w:t>支持将威胁告警外发集中管理平台，支持与集中管理平台进行联动，统一进行情报、规则的升级；</w:t>
            </w:r>
          </w:p>
        </w:tc>
      </w:tr>
    </w:tbl>
    <w:p w14:paraId="785BB0E8"/>
    <w:p w14:paraId="6FF0E0CA">
      <w:pPr>
        <w:pStyle w:val="6"/>
        <w:numPr>
          <w:ilvl w:val="3"/>
          <w:numId w:val="0"/>
        </w:numPr>
        <w:spacing w:line="413" w:lineRule="auto"/>
      </w:pPr>
      <w:bookmarkStart w:id="37" w:name="_Toc27086"/>
      <w:bookmarkStart w:id="38" w:name="_Toc161989557"/>
      <w:r>
        <w:rPr>
          <w:rFonts w:hint="eastAsia"/>
        </w:rPr>
        <w:t>1.3信访办网络流量采集探针</w:t>
      </w:r>
      <w:bookmarkEnd w:id="37"/>
      <w:bookmarkEnd w:id="38"/>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6838"/>
      </w:tblGrid>
      <w:tr w14:paraId="5834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91" w:type="pct"/>
            <w:tcBorders>
              <w:top w:val="single" w:color="auto" w:sz="4" w:space="0"/>
              <w:left w:val="single" w:color="auto" w:sz="4" w:space="0"/>
              <w:bottom w:val="single" w:color="auto" w:sz="4" w:space="0"/>
              <w:right w:val="single" w:color="auto" w:sz="4" w:space="0"/>
            </w:tcBorders>
            <w:vAlign w:val="center"/>
          </w:tcPr>
          <w:p w14:paraId="41FAC75C">
            <w:pPr>
              <w:ind w:firstLine="482"/>
              <w:contextualSpacing/>
              <w:jc w:val="center"/>
              <w:rPr>
                <w:b/>
                <w:szCs w:val="21"/>
              </w:rPr>
            </w:pPr>
            <w:r>
              <w:rPr>
                <w:rFonts w:hint="eastAsia"/>
                <w:b/>
                <w:szCs w:val="21"/>
              </w:rPr>
              <w:t>指标项</w:t>
            </w:r>
          </w:p>
        </w:tc>
        <w:tc>
          <w:tcPr>
            <w:tcW w:w="4009" w:type="pct"/>
            <w:tcBorders>
              <w:top w:val="single" w:color="auto" w:sz="4" w:space="0"/>
              <w:left w:val="single" w:color="auto" w:sz="4" w:space="0"/>
              <w:bottom w:val="single" w:color="auto" w:sz="4" w:space="0"/>
              <w:right w:val="single" w:color="auto" w:sz="4" w:space="0"/>
            </w:tcBorders>
            <w:vAlign w:val="center"/>
          </w:tcPr>
          <w:p w14:paraId="3E895265">
            <w:pPr>
              <w:ind w:firstLine="482"/>
              <w:contextualSpacing/>
              <w:jc w:val="center"/>
              <w:rPr>
                <w:b/>
                <w:szCs w:val="21"/>
              </w:rPr>
            </w:pPr>
            <w:r>
              <w:rPr>
                <w:rFonts w:hint="eastAsia"/>
                <w:b/>
                <w:szCs w:val="21"/>
              </w:rPr>
              <w:t>技术指标</w:t>
            </w:r>
          </w:p>
        </w:tc>
      </w:tr>
      <w:tr w14:paraId="6A72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475AD293">
            <w:pPr>
              <w:ind w:firstLine="0" w:firstLineChars="0"/>
              <w:contextualSpacing/>
              <w:rPr>
                <w:szCs w:val="21"/>
              </w:rPr>
            </w:pPr>
            <w:r>
              <w:rPr>
                <w:rFonts w:hint="eastAsia"/>
                <w:szCs w:val="21"/>
              </w:rPr>
              <w:t>性能参数</w:t>
            </w:r>
          </w:p>
        </w:tc>
        <w:tc>
          <w:tcPr>
            <w:tcW w:w="4009" w:type="pct"/>
            <w:tcBorders>
              <w:top w:val="single" w:color="auto" w:sz="4" w:space="0"/>
              <w:left w:val="single" w:color="auto" w:sz="4" w:space="0"/>
              <w:bottom w:val="single" w:color="auto" w:sz="4" w:space="0"/>
              <w:right w:val="single" w:color="auto" w:sz="4" w:space="0"/>
            </w:tcBorders>
            <w:vAlign w:val="center"/>
          </w:tcPr>
          <w:p w14:paraId="61E30A2F">
            <w:pPr>
              <w:ind w:firstLine="0" w:firstLineChars="0"/>
              <w:contextualSpacing/>
              <w:rPr>
                <w:szCs w:val="21"/>
              </w:rPr>
            </w:pPr>
            <w:r>
              <w:rPr>
                <w:rFonts w:hint="eastAsia"/>
                <w:szCs w:val="21"/>
              </w:rPr>
              <w:t>吞吐量≥1Gbps，并发连接数≥200万，新建连接数≥10万/秒；</w:t>
            </w:r>
          </w:p>
        </w:tc>
      </w:tr>
      <w:tr w14:paraId="0CFA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66142B07">
            <w:pPr>
              <w:ind w:firstLine="0" w:firstLineChars="0"/>
              <w:contextualSpacing/>
              <w:rPr>
                <w:szCs w:val="21"/>
              </w:rPr>
            </w:pPr>
            <w:r>
              <w:rPr>
                <w:rFonts w:hint="eastAsia"/>
                <w:szCs w:val="21"/>
              </w:rPr>
              <w:t>网络接口</w:t>
            </w:r>
          </w:p>
        </w:tc>
        <w:tc>
          <w:tcPr>
            <w:tcW w:w="4009" w:type="pct"/>
            <w:tcBorders>
              <w:top w:val="single" w:color="auto" w:sz="4" w:space="0"/>
              <w:left w:val="single" w:color="auto" w:sz="4" w:space="0"/>
              <w:bottom w:val="single" w:color="auto" w:sz="4" w:space="0"/>
              <w:right w:val="single" w:color="auto" w:sz="4" w:space="0"/>
            </w:tcBorders>
            <w:vAlign w:val="center"/>
          </w:tcPr>
          <w:p w14:paraId="475C49AB">
            <w:pPr>
              <w:ind w:firstLine="0" w:firstLineChars="0"/>
              <w:contextualSpacing/>
              <w:rPr>
                <w:szCs w:val="21"/>
              </w:rPr>
            </w:pPr>
            <w:r>
              <w:rPr>
                <w:rFonts w:hint="eastAsia"/>
                <w:szCs w:val="21"/>
              </w:rPr>
              <w:t>配置6个10/100/1000M自适应千兆电口</w:t>
            </w:r>
          </w:p>
        </w:tc>
      </w:tr>
      <w:tr w14:paraId="0EDC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52413D39">
            <w:pPr>
              <w:ind w:firstLine="0" w:firstLineChars="0"/>
              <w:contextualSpacing/>
              <w:rPr>
                <w:szCs w:val="21"/>
              </w:rPr>
            </w:pPr>
            <w:r>
              <w:rPr>
                <w:rFonts w:hint="eastAsia"/>
                <w:szCs w:val="21"/>
              </w:rPr>
              <w:t>硬件规格</w:t>
            </w:r>
          </w:p>
        </w:tc>
        <w:tc>
          <w:tcPr>
            <w:tcW w:w="4009" w:type="pct"/>
            <w:tcBorders>
              <w:top w:val="single" w:color="auto" w:sz="4" w:space="0"/>
              <w:left w:val="single" w:color="auto" w:sz="4" w:space="0"/>
              <w:bottom w:val="single" w:color="auto" w:sz="4" w:space="0"/>
              <w:right w:val="single" w:color="auto" w:sz="4" w:space="0"/>
            </w:tcBorders>
            <w:vAlign w:val="center"/>
          </w:tcPr>
          <w:p w14:paraId="5B6257B6">
            <w:pPr>
              <w:ind w:firstLine="0" w:firstLineChars="0"/>
              <w:contextualSpacing/>
              <w:rPr>
                <w:szCs w:val="21"/>
              </w:rPr>
            </w:pPr>
            <w:r>
              <w:rPr>
                <w:rFonts w:hint="eastAsia"/>
                <w:szCs w:val="21"/>
              </w:rPr>
              <w:t>产品应为标准机架式设备；</w:t>
            </w:r>
          </w:p>
        </w:tc>
      </w:tr>
      <w:tr w14:paraId="021E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tcBorders>
              <w:top w:val="single" w:color="auto" w:sz="4" w:space="0"/>
              <w:left w:val="single" w:color="auto" w:sz="4" w:space="0"/>
              <w:bottom w:val="single" w:color="auto" w:sz="4" w:space="0"/>
              <w:right w:val="single" w:color="auto" w:sz="4" w:space="0"/>
            </w:tcBorders>
            <w:vAlign w:val="center"/>
          </w:tcPr>
          <w:p w14:paraId="0BC137C2">
            <w:pPr>
              <w:ind w:firstLine="0" w:firstLineChars="0"/>
              <w:contextualSpacing/>
              <w:rPr>
                <w:szCs w:val="21"/>
              </w:rPr>
            </w:pPr>
            <w:r>
              <w:rPr>
                <w:rFonts w:hint="eastAsia"/>
                <w:szCs w:val="21"/>
              </w:rPr>
              <w:t>部署模式</w:t>
            </w:r>
          </w:p>
        </w:tc>
        <w:tc>
          <w:tcPr>
            <w:tcW w:w="4009" w:type="pct"/>
            <w:tcBorders>
              <w:top w:val="single" w:color="auto" w:sz="4" w:space="0"/>
              <w:left w:val="single" w:color="auto" w:sz="4" w:space="0"/>
              <w:bottom w:val="single" w:color="auto" w:sz="4" w:space="0"/>
              <w:right w:val="single" w:color="auto" w:sz="4" w:space="0"/>
            </w:tcBorders>
            <w:vAlign w:val="center"/>
          </w:tcPr>
          <w:p w14:paraId="7B0478F8">
            <w:pPr>
              <w:ind w:firstLine="0" w:firstLineChars="0"/>
              <w:contextualSpacing/>
              <w:rPr>
                <w:szCs w:val="21"/>
              </w:rPr>
            </w:pPr>
            <w:r>
              <w:rPr>
                <w:rFonts w:hint="eastAsia"/>
                <w:szCs w:val="21"/>
              </w:rPr>
              <w:t>支持旁路部署，可同时接入多个镜像口，每个镜像口相互独立；</w:t>
            </w:r>
          </w:p>
        </w:tc>
      </w:tr>
      <w:tr w14:paraId="4ADA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24339227">
            <w:pPr>
              <w:ind w:firstLine="0" w:firstLineChars="0"/>
              <w:contextualSpacing/>
              <w:rPr>
                <w:szCs w:val="21"/>
              </w:rPr>
            </w:pPr>
            <w:r>
              <w:rPr>
                <w:rFonts w:hint="eastAsia"/>
                <w:szCs w:val="21"/>
              </w:rPr>
              <w:t>流量采集</w:t>
            </w:r>
          </w:p>
        </w:tc>
        <w:tc>
          <w:tcPr>
            <w:tcW w:w="4009" w:type="pct"/>
            <w:tcBorders>
              <w:top w:val="single" w:color="auto" w:sz="4" w:space="0"/>
              <w:left w:val="single" w:color="auto" w:sz="4" w:space="0"/>
              <w:bottom w:val="single" w:color="auto" w:sz="4" w:space="0"/>
              <w:right w:val="single" w:color="auto" w:sz="4" w:space="0"/>
            </w:tcBorders>
            <w:vAlign w:val="center"/>
          </w:tcPr>
          <w:p w14:paraId="4BEB58F8">
            <w:pPr>
              <w:ind w:firstLine="0" w:firstLineChars="0"/>
              <w:contextualSpacing/>
              <w:rPr>
                <w:szCs w:val="21"/>
              </w:rPr>
            </w:pPr>
            <w:r>
              <w:rPr>
                <w:rFonts w:hint="eastAsia"/>
                <w:szCs w:val="21"/>
              </w:rPr>
              <w:t>支持常见协议识别并还原网络流量，用于取证分析、威胁发现；</w:t>
            </w:r>
          </w:p>
        </w:tc>
      </w:tr>
      <w:tr w14:paraId="2D6D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08D5F370">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377E400D">
            <w:pPr>
              <w:ind w:firstLine="0" w:firstLineChars="0"/>
              <w:contextualSpacing/>
              <w:rPr>
                <w:szCs w:val="21"/>
              </w:rPr>
            </w:pPr>
            <w:r>
              <w:rPr>
                <w:rFonts w:hint="eastAsia"/>
                <w:szCs w:val="21"/>
              </w:rPr>
              <w:t>支持对流量中出现文件传输行为进行发现和还原，并记录文件MD5发送至分析设备；</w:t>
            </w:r>
          </w:p>
        </w:tc>
      </w:tr>
      <w:tr w14:paraId="0BC1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64E06824">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7824D637">
            <w:pPr>
              <w:ind w:firstLine="0" w:firstLineChars="0"/>
              <w:contextualSpacing/>
              <w:rPr>
                <w:szCs w:val="21"/>
              </w:rPr>
            </w:pPr>
            <w:r>
              <w:rPr>
                <w:rFonts w:hint="eastAsia"/>
                <w:szCs w:val="21"/>
              </w:rPr>
              <w:t>支持常见数据库协议的识别或还原；</w:t>
            </w:r>
          </w:p>
        </w:tc>
      </w:tr>
      <w:tr w14:paraId="2AC3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1DF78A80">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76EE9862">
            <w:pPr>
              <w:ind w:firstLine="0" w:firstLineChars="0"/>
              <w:contextualSpacing/>
              <w:rPr>
                <w:szCs w:val="21"/>
              </w:rPr>
            </w:pPr>
            <w:r>
              <w:rPr>
                <w:rFonts w:hint="eastAsia"/>
                <w:szCs w:val="21"/>
              </w:rPr>
              <w:t>支持TCP/UDP会话记录、异常流量会话记录、web访问记录、域名解析、SQL访问记录、邮件行为、登录情况、文件传输、FTP控制通道、SSL加密协商、telnet行为、IM通信等行为描述；</w:t>
            </w:r>
          </w:p>
        </w:tc>
      </w:tr>
      <w:tr w14:paraId="395E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475CECB1">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FFE41C0">
            <w:pPr>
              <w:ind w:firstLine="0" w:firstLineChars="0"/>
              <w:contextualSpacing/>
              <w:rPr>
                <w:szCs w:val="21"/>
              </w:rPr>
            </w:pPr>
            <w:r>
              <w:rPr>
                <w:rFonts w:hint="eastAsia"/>
                <w:szCs w:val="21"/>
              </w:rPr>
              <w:t>支持自定义协议和端口，满足特殊场景下的流量抓取；</w:t>
            </w:r>
          </w:p>
        </w:tc>
      </w:tr>
      <w:tr w14:paraId="12C6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bottom w:val="single" w:color="auto" w:sz="4" w:space="0"/>
              <w:right w:val="single" w:color="auto" w:sz="4" w:space="0"/>
            </w:tcBorders>
            <w:vAlign w:val="center"/>
          </w:tcPr>
          <w:p w14:paraId="2A3A4296">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697F07E4">
            <w:pPr>
              <w:ind w:firstLine="0" w:firstLineChars="0"/>
              <w:contextualSpacing/>
              <w:rPr>
                <w:szCs w:val="21"/>
              </w:rPr>
            </w:pPr>
            <w:r>
              <w:rPr>
                <w:rFonts w:hint="eastAsia"/>
                <w:szCs w:val="21"/>
              </w:rPr>
              <w:t>支持离线流量采集，可通过手动PCAP导入方式对离线流量进行采集；</w:t>
            </w:r>
          </w:p>
        </w:tc>
      </w:tr>
      <w:tr w14:paraId="586B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0EF7CF7C">
            <w:pPr>
              <w:ind w:firstLine="0" w:firstLineChars="0"/>
              <w:contextualSpacing/>
              <w:rPr>
                <w:szCs w:val="21"/>
              </w:rPr>
            </w:pPr>
            <w:r>
              <w:rPr>
                <w:rFonts w:hint="eastAsia"/>
                <w:szCs w:val="21"/>
              </w:rPr>
              <w:t>威胁检测</w:t>
            </w:r>
          </w:p>
        </w:tc>
        <w:tc>
          <w:tcPr>
            <w:tcW w:w="4009" w:type="pct"/>
            <w:tcBorders>
              <w:top w:val="single" w:color="auto" w:sz="4" w:space="0"/>
              <w:left w:val="single" w:color="auto" w:sz="4" w:space="0"/>
              <w:bottom w:val="single" w:color="auto" w:sz="4" w:space="0"/>
              <w:right w:val="single" w:color="auto" w:sz="4" w:space="0"/>
            </w:tcBorders>
            <w:vAlign w:val="center"/>
          </w:tcPr>
          <w:p w14:paraId="0DC8CB42">
            <w:pPr>
              <w:ind w:firstLine="0" w:firstLineChars="0"/>
              <w:contextualSpacing/>
              <w:rPr>
                <w:szCs w:val="21"/>
              </w:rPr>
            </w:pPr>
            <w:r>
              <w:rPr>
                <w:rFonts w:hint="eastAsia"/>
                <w:szCs w:val="21"/>
              </w:rPr>
              <w:t>支持基于流量实时IOC匹配功能，设备具备主流的IOC；</w:t>
            </w:r>
          </w:p>
        </w:tc>
      </w:tr>
      <w:tr w14:paraId="179F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28EB7863">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43440D48">
            <w:pPr>
              <w:ind w:firstLine="0" w:firstLineChars="0"/>
              <w:contextualSpacing/>
              <w:rPr>
                <w:szCs w:val="21"/>
              </w:rPr>
            </w:pPr>
            <w:r>
              <w:rPr>
                <w:rFonts w:hint="eastAsia"/>
                <w:szCs w:val="21"/>
              </w:rPr>
              <w:t>支持检测针对WEB应用的攻击，支持跨站请求伪造CSRF攻击检测；支持其他类型的WEB攻击；</w:t>
            </w:r>
          </w:p>
        </w:tc>
      </w:tr>
      <w:tr w14:paraId="7DAF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5DE13C53">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5E6ED5D5">
            <w:pPr>
              <w:ind w:firstLine="0" w:firstLineChars="0"/>
              <w:contextualSpacing/>
              <w:rPr>
                <w:szCs w:val="21"/>
              </w:rPr>
            </w:pPr>
            <w:r>
              <w:rPr>
                <w:rFonts w:hint="eastAsia"/>
                <w:szCs w:val="21"/>
              </w:rPr>
              <w:t>▲支持基于工具特征的WEBSHELL检测，通过系统调用、系统配置、文件操作来及时发现威胁；支持基于webshell函数的攻击检测；【需提供截图】</w:t>
            </w:r>
          </w:p>
        </w:tc>
      </w:tr>
      <w:tr w14:paraId="43002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7C10FAC3">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3E963CCC">
            <w:pPr>
              <w:ind w:firstLine="0" w:firstLineChars="0"/>
              <w:contextualSpacing/>
              <w:rPr>
                <w:szCs w:val="21"/>
              </w:rPr>
            </w:pPr>
            <w:r>
              <w:rPr>
                <w:rFonts w:hint="eastAsia"/>
                <w:szCs w:val="21"/>
              </w:rPr>
              <w:t>支持基于代理程序的攻击检测，如TCP代理程序、HTTP代理程序等；</w:t>
            </w:r>
          </w:p>
        </w:tc>
      </w:tr>
      <w:tr w14:paraId="48F1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6BAE14C5">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2C9B2EDD">
            <w:pPr>
              <w:ind w:firstLine="0" w:firstLineChars="0"/>
              <w:contextualSpacing/>
              <w:rPr>
                <w:szCs w:val="21"/>
              </w:rPr>
            </w:pPr>
            <w:r>
              <w:rPr>
                <w:rFonts w:hint="eastAsia"/>
                <w:szCs w:val="21"/>
              </w:rPr>
              <w:t>支持多种攻击检测，能更全面的从流量中发现威胁；</w:t>
            </w:r>
          </w:p>
        </w:tc>
      </w:tr>
      <w:tr w14:paraId="3ACE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5B33C9C0">
            <w:pPr>
              <w:ind w:firstLine="0" w:firstLineChars="0"/>
              <w:contextualSpacing/>
              <w:rPr>
                <w:szCs w:val="21"/>
              </w:rPr>
            </w:pPr>
            <w:r>
              <w:rPr>
                <w:rFonts w:hint="eastAsia"/>
                <w:szCs w:val="21"/>
              </w:rPr>
              <w:t>行为分析</w:t>
            </w:r>
          </w:p>
        </w:tc>
        <w:tc>
          <w:tcPr>
            <w:tcW w:w="4009" w:type="pct"/>
            <w:tcBorders>
              <w:top w:val="single" w:color="auto" w:sz="4" w:space="0"/>
              <w:left w:val="single" w:color="auto" w:sz="4" w:space="0"/>
              <w:bottom w:val="single" w:color="auto" w:sz="4" w:space="0"/>
              <w:right w:val="single" w:color="auto" w:sz="4" w:space="0"/>
            </w:tcBorders>
            <w:vAlign w:val="center"/>
          </w:tcPr>
          <w:p w14:paraId="5A47912D">
            <w:pPr>
              <w:ind w:firstLine="0" w:firstLineChars="0"/>
              <w:contextualSpacing/>
              <w:rPr>
                <w:szCs w:val="21"/>
              </w:rPr>
            </w:pPr>
            <w:r>
              <w:rPr>
                <w:rFonts w:hint="eastAsia"/>
                <w:szCs w:val="21"/>
              </w:rPr>
              <w:t>支持告警的深度行为分析，行为包括DNS解析行为、TCP/UDP交互行为、WEB访问行为、传输文件行为</w:t>
            </w:r>
          </w:p>
        </w:tc>
      </w:tr>
      <w:tr w14:paraId="73B9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top w:val="single" w:color="auto" w:sz="4" w:space="0"/>
              <w:left w:val="single" w:color="auto" w:sz="4" w:space="0"/>
              <w:right w:val="single" w:color="auto" w:sz="4" w:space="0"/>
            </w:tcBorders>
            <w:vAlign w:val="center"/>
          </w:tcPr>
          <w:p w14:paraId="1F131F3C">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04F29E10">
            <w:pPr>
              <w:ind w:firstLine="0" w:firstLineChars="0"/>
              <w:contextualSpacing/>
              <w:rPr>
                <w:szCs w:val="21"/>
              </w:rPr>
            </w:pPr>
            <w:r>
              <w:rPr>
                <w:rFonts w:hint="eastAsia"/>
                <w:szCs w:val="21"/>
              </w:rPr>
              <w:t>持基于网络请求的语义分析检测，提升对未知威胁检测能力；</w:t>
            </w:r>
          </w:p>
        </w:tc>
      </w:tr>
      <w:tr w14:paraId="52F3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259ED299">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290E0244">
            <w:pPr>
              <w:ind w:firstLine="0" w:firstLineChars="0"/>
              <w:contextualSpacing/>
              <w:rPr>
                <w:szCs w:val="21"/>
              </w:rPr>
            </w:pPr>
            <w:r>
              <w:rPr>
                <w:rFonts w:hint="eastAsia"/>
                <w:szCs w:val="21"/>
              </w:rPr>
              <w:t>具备AI隧道检测、非TCP完整流、畸形包检测、数据包完整性检测、碎片重组检测、编码绕过检测、高级逃逸 AET 检测等防逃逸检测能力；</w:t>
            </w:r>
          </w:p>
        </w:tc>
      </w:tr>
      <w:tr w14:paraId="390C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4EACFFF2">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053B590C">
            <w:pPr>
              <w:ind w:firstLine="0" w:firstLineChars="0"/>
              <w:contextualSpacing/>
              <w:rPr>
                <w:szCs w:val="21"/>
              </w:rPr>
            </w:pPr>
            <w:r>
              <w:rPr>
                <w:rFonts w:hint="eastAsia"/>
                <w:szCs w:val="21"/>
              </w:rPr>
              <w:t>支持门罗币、莱特币、以太坊、比特币等币种的检测，区分挖矿行为阶段：恶意代码传输、远控通信、连接矿池、登录矿池、获取挖矿任务、提交挖矿份额；</w:t>
            </w:r>
          </w:p>
        </w:tc>
      </w:tr>
      <w:tr w14:paraId="1418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695D202C">
            <w:pPr>
              <w:ind w:firstLine="0" w:firstLineChars="0"/>
              <w:contextualSpacing/>
              <w:rPr>
                <w:szCs w:val="21"/>
              </w:rPr>
            </w:pPr>
            <w:r>
              <w:rPr>
                <w:rFonts w:hint="eastAsia"/>
                <w:szCs w:val="21"/>
              </w:rPr>
              <w:t>策略配置</w:t>
            </w:r>
          </w:p>
        </w:tc>
        <w:tc>
          <w:tcPr>
            <w:tcW w:w="4009" w:type="pct"/>
            <w:tcBorders>
              <w:top w:val="single" w:color="auto" w:sz="4" w:space="0"/>
              <w:left w:val="single" w:color="auto" w:sz="4" w:space="0"/>
              <w:bottom w:val="single" w:color="auto" w:sz="4" w:space="0"/>
              <w:right w:val="single" w:color="auto" w:sz="4" w:space="0"/>
            </w:tcBorders>
            <w:vAlign w:val="center"/>
          </w:tcPr>
          <w:p w14:paraId="1B19F39D">
            <w:pPr>
              <w:ind w:firstLine="0" w:firstLineChars="0"/>
              <w:contextualSpacing/>
              <w:rPr>
                <w:szCs w:val="21"/>
              </w:rPr>
            </w:pPr>
            <w:r>
              <w:rPr>
                <w:rFonts w:hint="eastAsia"/>
                <w:szCs w:val="21"/>
              </w:rPr>
              <w:t>支持对HTTP、FTP_DATA、SMB、SMTP、POP3、WEBMAIL、IMAP、TFTP、QQ、NFS等类型协议的流量进行文件还原；</w:t>
            </w:r>
          </w:p>
        </w:tc>
      </w:tr>
      <w:tr w14:paraId="4C44B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43B0677C">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3AF205A2">
            <w:pPr>
              <w:ind w:firstLine="0" w:firstLineChars="0"/>
              <w:contextualSpacing/>
              <w:rPr>
                <w:szCs w:val="21"/>
              </w:rPr>
            </w:pPr>
            <w:r>
              <w:rPr>
                <w:rFonts w:hint="eastAsia"/>
                <w:szCs w:val="21"/>
              </w:rPr>
              <w:t>支持通过设备对流量进行抓包分析，可定义抓包流量双向或单向、数量、IP地址、端口或协议类型；</w:t>
            </w:r>
          </w:p>
        </w:tc>
      </w:tr>
      <w:tr w14:paraId="7306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6EA58EA8">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319DD029">
            <w:pPr>
              <w:ind w:firstLine="0" w:firstLineChars="0"/>
              <w:contextualSpacing/>
              <w:rPr>
                <w:szCs w:val="21"/>
              </w:rPr>
            </w:pPr>
            <w:r>
              <w:rPr>
                <w:rFonts w:hint="eastAsia"/>
                <w:szCs w:val="21"/>
              </w:rPr>
              <w:t>支持基于网络请求的语义分析检测，详细展示请求内容，并能提升对未知威胁检测能力；</w:t>
            </w:r>
          </w:p>
        </w:tc>
      </w:tr>
      <w:tr w14:paraId="6085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798C8B81">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76F173A2">
            <w:pPr>
              <w:ind w:firstLine="0" w:firstLineChars="0"/>
              <w:contextualSpacing/>
              <w:rPr>
                <w:szCs w:val="21"/>
              </w:rPr>
            </w:pPr>
            <w:r>
              <w:rPr>
                <w:rFonts w:hint="eastAsia"/>
                <w:szCs w:val="21"/>
              </w:rPr>
              <w:t>支持基于IP地址的旁路阻断，能够在实时镜像的流量中发现恶意IP并实现实时阻断；支持基于URL的旁路阻断，并能将URL请求进行重定向；</w:t>
            </w:r>
          </w:p>
        </w:tc>
      </w:tr>
      <w:tr w14:paraId="31A2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1D5C0F65">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7F7293BB">
            <w:pPr>
              <w:ind w:firstLine="0" w:firstLineChars="0"/>
              <w:contextualSpacing/>
              <w:rPr>
                <w:szCs w:val="21"/>
              </w:rPr>
            </w:pPr>
            <w:r>
              <w:rPr>
                <w:rFonts w:hint="eastAsia"/>
                <w:szCs w:val="21"/>
              </w:rPr>
              <w:t>▲支持自定义弱口令字典，支持HTTP、HTTPS、Telnet、FTP、POP、SMTP、IMAP等协议的自定义弱口令检测；支持自定义弱口令规则，可正则表达式方式自定义弱口令强度、复杂度规则；【需提供截图】</w:t>
            </w:r>
          </w:p>
        </w:tc>
      </w:tr>
      <w:tr w14:paraId="30A8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3239170C">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670D6487">
            <w:pPr>
              <w:ind w:firstLine="0" w:firstLineChars="0"/>
              <w:contextualSpacing/>
              <w:rPr>
                <w:szCs w:val="21"/>
              </w:rPr>
            </w:pPr>
            <w:r>
              <w:rPr>
                <w:rFonts w:hint="eastAsia"/>
                <w:szCs w:val="21"/>
              </w:rPr>
              <w:t>支持旁路HTTPS解密、威胁检测；</w:t>
            </w:r>
          </w:p>
        </w:tc>
      </w:tr>
      <w:tr w14:paraId="0B43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3915ECE6">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2436E62A">
            <w:pPr>
              <w:ind w:firstLine="0" w:firstLineChars="0"/>
              <w:contextualSpacing/>
              <w:rPr>
                <w:szCs w:val="21"/>
              </w:rPr>
            </w:pPr>
            <w:r>
              <w:rPr>
                <w:rFonts w:hint="eastAsia"/>
                <w:szCs w:val="21"/>
              </w:rPr>
              <w:t>支持对告警进行加白；</w:t>
            </w:r>
          </w:p>
        </w:tc>
      </w:tr>
      <w:tr w14:paraId="08A0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restart"/>
            <w:tcBorders>
              <w:top w:val="single" w:color="auto" w:sz="4" w:space="0"/>
              <w:left w:val="single" w:color="auto" w:sz="4" w:space="0"/>
              <w:right w:val="single" w:color="auto" w:sz="4" w:space="0"/>
            </w:tcBorders>
            <w:vAlign w:val="center"/>
          </w:tcPr>
          <w:p w14:paraId="3495AC7B">
            <w:pPr>
              <w:ind w:firstLine="0" w:firstLineChars="0"/>
              <w:contextualSpacing/>
              <w:rPr>
                <w:szCs w:val="21"/>
              </w:rPr>
            </w:pPr>
            <w:r>
              <w:rPr>
                <w:rFonts w:hint="eastAsia"/>
                <w:szCs w:val="21"/>
              </w:rPr>
              <w:t>系统管理</w:t>
            </w:r>
          </w:p>
        </w:tc>
        <w:tc>
          <w:tcPr>
            <w:tcW w:w="4009" w:type="pct"/>
            <w:tcBorders>
              <w:top w:val="single" w:color="auto" w:sz="4" w:space="0"/>
              <w:left w:val="single" w:color="auto" w:sz="4" w:space="0"/>
              <w:bottom w:val="single" w:color="auto" w:sz="4" w:space="0"/>
              <w:right w:val="single" w:color="auto" w:sz="4" w:space="0"/>
            </w:tcBorders>
            <w:vAlign w:val="center"/>
          </w:tcPr>
          <w:p w14:paraId="1F44A65B">
            <w:pPr>
              <w:ind w:firstLine="0" w:firstLineChars="0"/>
              <w:contextualSpacing/>
              <w:rPr>
                <w:szCs w:val="21"/>
              </w:rPr>
            </w:pPr>
            <w:r>
              <w:rPr>
                <w:rFonts w:hint="eastAsia"/>
                <w:szCs w:val="21"/>
              </w:rPr>
              <w:t>支持AES256、SM4数据传输加密，确保数据传输的安全性；</w:t>
            </w:r>
          </w:p>
        </w:tc>
      </w:tr>
      <w:tr w14:paraId="6745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76EF3866">
            <w:pPr>
              <w:ind w:firstLine="0" w:firstLineChars="0"/>
              <w:contextualSpacing/>
              <w:rPr>
                <w:szCs w:val="21"/>
              </w:rPr>
            </w:pPr>
          </w:p>
        </w:tc>
        <w:tc>
          <w:tcPr>
            <w:tcW w:w="4009" w:type="pct"/>
            <w:tcBorders>
              <w:top w:val="single" w:color="auto" w:sz="4" w:space="0"/>
              <w:left w:val="nil"/>
              <w:bottom w:val="single" w:color="auto" w:sz="4" w:space="0"/>
              <w:right w:val="single" w:color="auto" w:sz="4" w:space="0"/>
            </w:tcBorders>
            <w:vAlign w:val="center"/>
          </w:tcPr>
          <w:p w14:paraId="5AEF421A">
            <w:pPr>
              <w:ind w:firstLine="0" w:firstLineChars="0"/>
              <w:contextualSpacing/>
              <w:rPr>
                <w:szCs w:val="21"/>
              </w:rPr>
            </w:pPr>
            <w:r>
              <w:rPr>
                <w:rFonts w:hint="eastAsia"/>
                <w:szCs w:val="21"/>
              </w:rPr>
              <w:t>支持威胁告警信息发送给syslog服务器，支持将威胁告警、网络日志、攻击结果、威胁类型等日志传输给威胁分析平台；</w:t>
            </w:r>
          </w:p>
        </w:tc>
      </w:tr>
      <w:tr w14:paraId="6AE6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pct"/>
            <w:vMerge w:val="continue"/>
            <w:tcBorders>
              <w:left w:val="single" w:color="auto" w:sz="4" w:space="0"/>
              <w:right w:val="single" w:color="auto" w:sz="4" w:space="0"/>
            </w:tcBorders>
            <w:vAlign w:val="center"/>
          </w:tcPr>
          <w:p w14:paraId="54D98C3A">
            <w:pPr>
              <w:ind w:firstLine="0" w:firstLineChars="0"/>
              <w:contextualSpacing/>
              <w:rPr>
                <w:szCs w:val="21"/>
              </w:rPr>
            </w:pPr>
          </w:p>
        </w:tc>
        <w:tc>
          <w:tcPr>
            <w:tcW w:w="4009" w:type="pct"/>
            <w:tcBorders>
              <w:top w:val="single" w:color="auto" w:sz="4" w:space="0"/>
              <w:left w:val="single" w:color="auto" w:sz="4" w:space="0"/>
              <w:bottom w:val="single" w:color="auto" w:sz="4" w:space="0"/>
              <w:right w:val="single" w:color="auto" w:sz="4" w:space="0"/>
            </w:tcBorders>
            <w:vAlign w:val="center"/>
          </w:tcPr>
          <w:p w14:paraId="11FE83B1">
            <w:pPr>
              <w:ind w:firstLine="0" w:firstLineChars="0"/>
              <w:contextualSpacing/>
              <w:rPr>
                <w:szCs w:val="21"/>
              </w:rPr>
            </w:pPr>
            <w:r>
              <w:rPr>
                <w:rFonts w:hint="eastAsia"/>
                <w:szCs w:val="21"/>
              </w:rPr>
              <w:t>支持将威胁告警外发集中管理平台，支持与集中管理平台进行联动，统一进行情报、规则的升级；</w:t>
            </w:r>
          </w:p>
        </w:tc>
      </w:tr>
    </w:tbl>
    <w:p w14:paraId="42F76375"/>
    <w:p w14:paraId="7EA09189">
      <w:pPr>
        <w:pStyle w:val="6"/>
        <w:numPr>
          <w:ilvl w:val="3"/>
          <w:numId w:val="0"/>
        </w:numPr>
        <w:spacing w:line="413" w:lineRule="auto"/>
      </w:pPr>
      <w:bookmarkStart w:id="39" w:name="_Toc161989558"/>
      <w:bookmarkStart w:id="40" w:name="_Toc25199"/>
      <w:r>
        <w:rPr>
          <w:rFonts w:hint="eastAsia"/>
        </w:rPr>
        <w:t>1.4互联网本地日志审计</w:t>
      </w:r>
      <w:bookmarkEnd w:id="39"/>
      <w:bookmarkEnd w:id="40"/>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6836"/>
      </w:tblGrid>
      <w:tr w14:paraId="05237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92" w:type="pct"/>
            <w:shd w:val="clear" w:color="auto" w:fill="auto"/>
            <w:vAlign w:val="center"/>
          </w:tcPr>
          <w:p w14:paraId="6ED92A3C">
            <w:pPr>
              <w:ind w:firstLine="482"/>
              <w:jc w:val="center"/>
              <w:rPr>
                <w:rFonts w:cs="宋体"/>
                <w:b/>
                <w:bCs/>
                <w:szCs w:val="21"/>
              </w:rPr>
            </w:pPr>
            <w:r>
              <w:rPr>
                <w:rFonts w:hint="eastAsia" w:cs="宋体"/>
                <w:b/>
                <w:bCs/>
                <w:szCs w:val="21"/>
              </w:rPr>
              <w:t>指标项</w:t>
            </w:r>
          </w:p>
        </w:tc>
        <w:tc>
          <w:tcPr>
            <w:tcW w:w="4007" w:type="pct"/>
            <w:shd w:val="clear" w:color="auto" w:fill="auto"/>
            <w:vAlign w:val="center"/>
          </w:tcPr>
          <w:p w14:paraId="000EFD46">
            <w:pPr>
              <w:ind w:firstLine="482"/>
              <w:jc w:val="center"/>
              <w:rPr>
                <w:rFonts w:cs="宋体"/>
                <w:b/>
                <w:bCs/>
                <w:szCs w:val="21"/>
              </w:rPr>
            </w:pPr>
            <w:r>
              <w:rPr>
                <w:rFonts w:hint="eastAsia" w:cs="宋体"/>
                <w:b/>
                <w:szCs w:val="21"/>
              </w:rPr>
              <w:t>技术指标</w:t>
            </w:r>
          </w:p>
        </w:tc>
      </w:tr>
      <w:tr w14:paraId="32B0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shd w:val="clear" w:color="auto" w:fill="auto"/>
            <w:vAlign w:val="center"/>
          </w:tcPr>
          <w:p w14:paraId="0BC787E8">
            <w:pPr>
              <w:ind w:firstLine="0" w:firstLineChars="0"/>
              <w:rPr>
                <w:szCs w:val="21"/>
              </w:rPr>
            </w:pPr>
            <w:r>
              <w:rPr>
                <w:rFonts w:hint="eastAsia"/>
                <w:szCs w:val="21"/>
              </w:rPr>
              <w:t>性能参数</w:t>
            </w:r>
          </w:p>
        </w:tc>
        <w:tc>
          <w:tcPr>
            <w:tcW w:w="4007" w:type="pct"/>
            <w:shd w:val="clear" w:color="auto" w:fill="auto"/>
            <w:vAlign w:val="center"/>
          </w:tcPr>
          <w:p w14:paraId="5916C304">
            <w:pPr>
              <w:ind w:firstLine="0" w:firstLineChars="0"/>
              <w:rPr>
                <w:szCs w:val="21"/>
              </w:rPr>
            </w:pPr>
            <w:r>
              <w:rPr>
                <w:rFonts w:hint="eastAsia"/>
                <w:szCs w:val="21"/>
              </w:rPr>
              <w:t>产品应支持综合日志处理能力≥3000EPS；</w:t>
            </w:r>
          </w:p>
        </w:tc>
      </w:tr>
      <w:tr w14:paraId="77D1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shd w:val="clear" w:color="auto" w:fill="auto"/>
            <w:vAlign w:val="center"/>
          </w:tcPr>
          <w:p w14:paraId="2F5DCE3F">
            <w:pPr>
              <w:ind w:firstLine="0" w:firstLineChars="0"/>
              <w:rPr>
                <w:szCs w:val="21"/>
              </w:rPr>
            </w:pPr>
            <w:r>
              <w:rPr>
                <w:rFonts w:hint="eastAsia"/>
                <w:szCs w:val="21"/>
              </w:rPr>
              <w:t>日志授权</w:t>
            </w:r>
          </w:p>
        </w:tc>
        <w:tc>
          <w:tcPr>
            <w:tcW w:w="4007" w:type="pct"/>
            <w:shd w:val="clear" w:color="auto" w:fill="auto"/>
            <w:vAlign w:val="center"/>
          </w:tcPr>
          <w:p w14:paraId="46CFC478">
            <w:pPr>
              <w:ind w:firstLine="0" w:firstLineChars="0"/>
              <w:rPr>
                <w:szCs w:val="21"/>
              </w:rPr>
            </w:pPr>
            <w:r>
              <w:rPr>
                <w:rFonts w:hint="eastAsia"/>
                <w:szCs w:val="21"/>
              </w:rPr>
              <w:t>产品应具备100个日志授权；</w:t>
            </w:r>
          </w:p>
        </w:tc>
      </w:tr>
      <w:tr w14:paraId="25DB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shd w:val="clear" w:color="auto" w:fill="auto"/>
            <w:vAlign w:val="center"/>
          </w:tcPr>
          <w:p w14:paraId="2F45016D">
            <w:pPr>
              <w:ind w:firstLine="0" w:firstLineChars="0"/>
              <w:rPr>
                <w:szCs w:val="21"/>
              </w:rPr>
            </w:pPr>
            <w:r>
              <w:rPr>
                <w:rFonts w:hint="eastAsia"/>
                <w:szCs w:val="21"/>
              </w:rPr>
              <w:t>网络接口</w:t>
            </w:r>
          </w:p>
        </w:tc>
        <w:tc>
          <w:tcPr>
            <w:tcW w:w="4007" w:type="pct"/>
            <w:shd w:val="clear" w:color="auto" w:fill="auto"/>
            <w:vAlign w:val="center"/>
          </w:tcPr>
          <w:p w14:paraId="0A6D0DA2">
            <w:pPr>
              <w:ind w:firstLine="0" w:firstLineChars="0"/>
              <w:rPr>
                <w:szCs w:val="21"/>
              </w:rPr>
            </w:pPr>
            <w:r>
              <w:rPr>
                <w:rFonts w:hint="eastAsia"/>
                <w:szCs w:val="21"/>
              </w:rPr>
              <w:t>产品应具备千兆电口≥4个、千兆光口≥4个；接口板卡扩展插槽≥2个；</w:t>
            </w:r>
          </w:p>
        </w:tc>
      </w:tr>
      <w:tr w14:paraId="11085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307E4B49">
            <w:pPr>
              <w:ind w:firstLine="0" w:firstLineChars="0"/>
              <w:rPr>
                <w:szCs w:val="21"/>
              </w:rPr>
            </w:pPr>
            <w:r>
              <w:rPr>
                <w:rFonts w:hint="eastAsia"/>
                <w:szCs w:val="21"/>
              </w:rPr>
              <w:t>硬件规格</w:t>
            </w:r>
          </w:p>
        </w:tc>
        <w:tc>
          <w:tcPr>
            <w:tcW w:w="4007" w:type="pct"/>
            <w:shd w:val="clear" w:color="auto" w:fill="auto"/>
            <w:vAlign w:val="center"/>
          </w:tcPr>
          <w:p w14:paraId="09DC633A">
            <w:pPr>
              <w:ind w:firstLine="0" w:firstLineChars="0"/>
              <w:rPr>
                <w:szCs w:val="21"/>
              </w:rPr>
            </w:pPr>
            <w:r>
              <w:rPr>
                <w:rFonts w:hint="eastAsia"/>
                <w:szCs w:val="21"/>
              </w:rPr>
              <w:t>产品应配置≥4TB硬盘存储；</w:t>
            </w:r>
          </w:p>
        </w:tc>
      </w:tr>
      <w:tr w14:paraId="4DFB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313F6A5F">
            <w:pPr>
              <w:ind w:firstLine="0" w:firstLineChars="0"/>
              <w:rPr>
                <w:szCs w:val="21"/>
              </w:rPr>
            </w:pPr>
          </w:p>
        </w:tc>
        <w:tc>
          <w:tcPr>
            <w:tcW w:w="4007" w:type="pct"/>
            <w:shd w:val="clear" w:color="auto" w:fill="auto"/>
            <w:vAlign w:val="center"/>
          </w:tcPr>
          <w:p w14:paraId="19D6528B">
            <w:pPr>
              <w:ind w:firstLine="0" w:firstLineChars="0"/>
              <w:rPr>
                <w:szCs w:val="21"/>
              </w:rPr>
            </w:pPr>
            <w:r>
              <w:rPr>
                <w:rFonts w:hint="eastAsia"/>
                <w:szCs w:val="21"/>
              </w:rPr>
              <w:t>产品应为标准机架式设备，具备冗余电源；</w:t>
            </w:r>
          </w:p>
        </w:tc>
      </w:tr>
      <w:tr w14:paraId="0502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shd w:val="clear" w:color="auto" w:fill="auto"/>
            <w:vAlign w:val="center"/>
          </w:tcPr>
          <w:p w14:paraId="21034CCA">
            <w:pPr>
              <w:ind w:firstLine="0" w:firstLineChars="0"/>
              <w:rPr>
                <w:szCs w:val="21"/>
              </w:rPr>
            </w:pPr>
            <w:r>
              <w:rPr>
                <w:rFonts w:hint="eastAsia"/>
                <w:szCs w:val="21"/>
              </w:rPr>
              <w:t>部署模式</w:t>
            </w:r>
          </w:p>
        </w:tc>
        <w:tc>
          <w:tcPr>
            <w:tcW w:w="4007" w:type="pct"/>
            <w:shd w:val="clear" w:color="auto" w:fill="auto"/>
            <w:vAlign w:val="center"/>
          </w:tcPr>
          <w:p w14:paraId="2A7ED213">
            <w:pPr>
              <w:ind w:firstLine="0" w:firstLineChars="0"/>
              <w:rPr>
                <w:szCs w:val="21"/>
              </w:rPr>
            </w:pPr>
            <w:r>
              <w:rPr>
                <w:rFonts w:hint="eastAsia"/>
                <w:szCs w:val="21"/>
              </w:rPr>
              <w:t>支持单一部署、分布式集群部署、级联部署</w:t>
            </w:r>
          </w:p>
        </w:tc>
      </w:tr>
      <w:tr w14:paraId="714B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shd w:val="clear" w:color="auto" w:fill="auto"/>
            <w:vAlign w:val="center"/>
          </w:tcPr>
          <w:p w14:paraId="1E169C2C">
            <w:pPr>
              <w:ind w:firstLine="0" w:firstLineChars="0"/>
              <w:rPr>
                <w:szCs w:val="21"/>
              </w:rPr>
            </w:pPr>
            <w:r>
              <w:rPr>
                <w:rFonts w:hint="eastAsia"/>
                <w:szCs w:val="21"/>
              </w:rPr>
              <w:t>级联管理</w:t>
            </w:r>
          </w:p>
        </w:tc>
        <w:tc>
          <w:tcPr>
            <w:tcW w:w="4007" w:type="pct"/>
            <w:shd w:val="clear" w:color="auto" w:fill="auto"/>
            <w:vAlign w:val="center"/>
          </w:tcPr>
          <w:p w14:paraId="203BD224">
            <w:pPr>
              <w:ind w:firstLine="0" w:firstLineChars="0"/>
              <w:rPr>
                <w:szCs w:val="21"/>
              </w:rPr>
            </w:pPr>
            <w:r>
              <w:rPr>
                <w:rFonts w:hint="eastAsia"/>
                <w:szCs w:val="21"/>
              </w:rPr>
              <w:t>▲支持系统级联管理，可对下级系统的IP地址、系统信息、运行状态和性能进行集中监测，支持对下级系统的注册与注销；</w:t>
            </w:r>
          </w:p>
        </w:tc>
      </w:tr>
      <w:tr w14:paraId="401E9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shd w:val="clear" w:color="auto" w:fill="auto"/>
            <w:vAlign w:val="center"/>
          </w:tcPr>
          <w:p w14:paraId="02B37CBE">
            <w:pPr>
              <w:ind w:firstLine="0" w:firstLineChars="0"/>
              <w:rPr>
                <w:szCs w:val="21"/>
              </w:rPr>
            </w:pPr>
            <w:r>
              <w:rPr>
                <w:rFonts w:hint="eastAsia"/>
                <w:szCs w:val="21"/>
              </w:rPr>
              <w:t>审计对象</w:t>
            </w:r>
          </w:p>
        </w:tc>
        <w:tc>
          <w:tcPr>
            <w:tcW w:w="4007" w:type="pct"/>
            <w:shd w:val="clear" w:color="auto" w:fill="auto"/>
            <w:vAlign w:val="center"/>
          </w:tcPr>
          <w:p w14:paraId="357C0AA7">
            <w:pPr>
              <w:ind w:firstLine="0" w:firstLineChars="0"/>
              <w:rPr>
                <w:szCs w:val="21"/>
              </w:rPr>
            </w:pPr>
            <w:r>
              <w:rPr>
                <w:rFonts w:hint="eastAsia"/>
                <w:szCs w:val="21"/>
              </w:rPr>
              <w:t>支持审计各种网络设备（路由器、交换机等）的配置日志、运行日志、告警日志等；</w:t>
            </w:r>
          </w:p>
          <w:p w14:paraId="2E777A31">
            <w:pPr>
              <w:ind w:firstLine="0" w:firstLineChars="0"/>
              <w:rPr>
                <w:szCs w:val="21"/>
              </w:rPr>
            </w:pPr>
            <w:r>
              <w:rPr>
                <w:rFonts w:hint="eastAsia"/>
                <w:szCs w:val="21"/>
              </w:rPr>
              <w:t>支持审计各种安全设备（防火墙、IDS、IPS、VPN、防病毒网关、网闸、防DDOS攻击、Web应用防火墙等）配置日志、运行日志、告警日志等；</w:t>
            </w:r>
          </w:p>
          <w:p w14:paraId="42A8CBAD">
            <w:pPr>
              <w:ind w:firstLine="0" w:firstLineChars="0"/>
              <w:rPr>
                <w:szCs w:val="21"/>
              </w:rPr>
            </w:pPr>
            <w:r>
              <w:rPr>
                <w:rFonts w:hint="eastAsia"/>
                <w:szCs w:val="21"/>
              </w:rPr>
              <w:t>支持审计各种主机操作系统（包括Windows\Solaris\Linux\AIX\HP-UX\UNIX\AS400等）配置日志、运行日志、告警日志等；</w:t>
            </w:r>
          </w:p>
          <w:p w14:paraId="3D620044">
            <w:pPr>
              <w:ind w:firstLine="0" w:firstLineChars="0"/>
              <w:rPr>
                <w:szCs w:val="21"/>
              </w:rPr>
            </w:pPr>
            <w:r>
              <w:rPr>
                <w:rFonts w:hint="eastAsia"/>
                <w:szCs w:val="21"/>
              </w:rPr>
              <w:t>支持审计各种数据库（</w:t>
            </w:r>
            <w:r>
              <w:rPr>
                <w:rFonts w:hint="eastAsia"/>
                <w:szCs w:val="21"/>
              </w:rPr>
              <w:tab/>
            </w:r>
            <w:r>
              <w:rPr>
                <w:rFonts w:hint="eastAsia"/>
                <w:szCs w:val="21"/>
              </w:rPr>
              <w:t>Oracle、Sqlserver、Mysql、DB2、Sybase、Informix、达梦数据库、MongoDB等）配置日志、运行日志、告警日志等；</w:t>
            </w:r>
          </w:p>
          <w:p w14:paraId="23864145">
            <w:pPr>
              <w:ind w:firstLine="0" w:firstLineChars="0"/>
              <w:rPr>
                <w:szCs w:val="21"/>
              </w:rPr>
            </w:pPr>
            <w:r>
              <w:rPr>
                <w:rFonts w:hint="eastAsia"/>
                <w:szCs w:val="21"/>
              </w:rPr>
              <w:t>支持审计各种中间件（Tomcat、Apache、Webshpere、 Weblogic等）配置日志、运行日志、告警日志等；</w:t>
            </w:r>
          </w:p>
          <w:p w14:paraId="49441B1F">
            <w:pPr>
              <w:ind w:firstLine="0" w:firstLineChars="0"/>
              <w:rPr>
                <w:szCs w:val="21"/>
              </w:rPr>
            </w:pPr>
            <w:r>
              <w:rPr>
                <w:rFonts w:hint="eastAsia"/>
                <w:szCs w:val="21"/>
              </w:rPr>
              <w:t>支持审计各种应用系统（邮件，Web，FTP等）配置日志、运行日志、告警日志等；</w:t>
            </w:r>
          </w:p>
          <w:p w14:paraId="2BF99C01">
            <w:pPr>
              <w:ind w:firstLine="0" w:firstLineChars="0"/>
              <w:rPr>
                <w:szCs w:val="21"/>
              </w:rPr>
            </w:pPr>
            <w:r>
              <w:rPr>
                <w:rFonts w:hint="eastAsia"/>
                <w:szCs w:val="21"/>
              </w:rPr>
              <w:t>支持审计各种业务系统的日志、事件、告警等安全信息；</w:t>
            </w:r>
          </w:p>
        </w:tc>
      </w:tr>
      <w:tr w14:paraId="7FC3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1E97932A">
            <w:pPr>
              <w:ind w:firstLine="0" w:firstLineChars="0"/>
              <w:rPr>
                <w:szCs w:val="21"/>
              </w:rPr>
            </w:pPr>
            <w:r>
              <w:rPr>
                <w:rFonts w:hint="eastAsia"/>
                <w:szCs w:val="21"/>
              </w:rPr>
              <w:t>日志采集</w:t>
            </w:r>
          </w:p>
          <w:p w14:paraId="578ADFB0">
            <w:pPr>
              <w:ind w:firstLine="0" w:firstLineChars="0"/>
              <w:rPr>
                <w:szCs w:val="21"/>
              </w:rPr>
            </w:pPr>
            <w:r>
              <w:rPr>
                <w:rFonts w:hint="eastAsia"/>
                <w:szCs w:val="21"/>
              </w:rPr>
              <w:t>与转发</w:t>
            </w:r>
          </w:p>
        </w:tc>
        <w:tc>
          <w:tcPr>
            <w:tcW w:w="4007" w:type="pct"/>
            <w:shd w:val="clear" w:color="auto" w:fill="auto"/>
          </w:tcPr>
          <w:p w14:paraId="5DE9181E">
            <w:pPr>
              <w:ind w:firstLine="0" w:firstLineChars="0"/>
              <w:rPr>
                <w:szCs w:val="21"/>
              </w:rPr>
            </w:pPr>
            <w:r>
              <w:rPr>
                <w:rFonts w:hint="eastAsia"/>
                <w:szCs w:val="21"/>
              </w:rPr>
              <w:t>支持通过Syslog、Syslog-NG、SNMP Trap、Netflow V5、JDBC、Agent日志代理、WMI、(S)FTP、NetBIOS、文件\目录读取、Kafka、WebService等方式完成各种日志的收集；</w:t>
            </w:r>
          </w:p>
        </w:tc>
      </w:tr>
      <w:tr w14:paraId="4489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5A87AB52">
            <w:pPr>
              <w:ind w:firstLine="0" w:firstLineChars="0"/>
              <w:rPr>
                <w:szCs w:val="21"/>
              </w:rPr>
            </w:pPr>
          </w:p>
        </w:tc>
        <w:tc>
          <w:tcPr>
            <w:tcW w:w="4007" w:type="pct"/>
            <w:shd w:val="clear" w:color="auto" w:fill="auto"/>
          </w:tcPr>
          <w:p w14:paraId="5EBDA27B">
            <w:pPr>
              <w:ind w:firstLine="0" w:firstLineChars="0"/>
              <w:rPr>
                <w:szCs w:val="21"/>
              </w:rPr>
            </w:pPr>
            <w:r>
              <w:rPr>
                <w:rFonts w:hint="eastAsia"/>
                <w:szCs w:val="21"/>
              </w:rPr>
              <w:t>支持TCP、UDP协议转发，支持按照Syslog-NG标准及自有格式进行转发，转发时包含原始日志源IP地址；</w:t>
            </w:r>
          </w:p>
        </w:tc>
      </w:tr>
      <w:tr w14:paraId="25CA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Merge w:val="restart"/>
            <w:shd w:val="clear" w:color="auto" w:fill="auto"/>
            <w:vAlign w:val="center"/>
          </w:tcPr>
          <w:p w14:paraId="51172B4F">
            <w:pPr>
              <w:ind w:firstLine="0" w:firstLineChars="0"/>
              <w:rPr>
                <w:szCs w:val="21"/>
              </w:rPr>
            </w:pPr>
            <w:r>
              <w:rPr>
                <w:rFonts w:hint="eastAsia"/>
                <w:szCs w:val="21"/>
              </w:rPr>
              <w:t>资产管理</w:t>
            </w:r>
          </w:p>
        </w:tc>
        <w:tc>
          <w:tcPr>
            <w:tcW w:w="4007" w:type="pct"/>
            <w:shd w:val="clear" w:color="auto" w:fill="auto"/>
            <w:vAlign w:val="center"/>
          </w:tcPr>
          <w:p w14:paraId="69E47AE8">
            <w:pPr>
              <w:ind w:firstLine="0" w:firstLineChars="0"/>
              <w:rPr>
                <w:szCs w:val="21"/>
              </w:rPr>
            </w:pPr>
            <w:r>
              <w:rPr>
                <w:rFonts w:hint="eastAsia"/>
                <w:szCs w:val="21"/>
              </w:rPr>
              <w:t xml:space="preserve">支持资产按多种维度进行分组、分域管理； </w:t>
            </w:r>
          </w:p>
        </w:tc>
      </w:tr>
      <w:tr w14:paraId="5276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4664A65C">
            <w:pPr>
              <w:ind w:firstLine="0" w:firstLineChars="0"/>
              <w:rPr>
                <w:szCs w:val="21"/>
              </w:rPr>
            </w:pPr>
          </w:p>
        </w:tc>
        <w:tc>
          <w:tcPr>
            <w:tcW w:w="4007" w:type="pct"/>
            <w:shd w:val="clear" w:color="auto" w:fill="auto"/>
            <w:vAlign w:val="center"/>
          </w:tcPr>
          <w:p w14:paraId="161A50E6">
            <w:pPr>
              <w:ind w:firstLine="0" w:firstLineChars="0"/>
              <w:rPr>
                <w:szCs w:val="21"/>
              </w:rPr>
            </w:pPr>
            <w:r>
              <w:rPr>
                <w:rFonts w:hint="eastAsia"/>
                <w:szCs w:val="21"/>
              </w:rPr>
              <w:t>支持对资产IP地址（含内网IP）的地理信息进行管理，支持地图显示；(提供产品功能截图)</w:t>
            </w:r>
          </w:p>
        </w:tc>
      </w:tr>
      <w:tr w14:paraId="2AAA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7C9BAC36">
            <w:pPr>
              <w:ind w:firstLine="0" w:firstLineChars="0"/>
              <w:rPr>
                <w:szCs w:val="21"/>
              </w:rPr>
            </w:pPr>
          </w:p>
        </w:tc>
        <w:tc>
          <w:tcPr>
            <w:tcW w:w="4007" w:type="pct"/>
            <w:shd w:val="clear" w:color="auto" w:fill="auto"/>
            <w:vAlign w:val="center"/>
          </w:tcPr>
          <w:p w14:paraId="624A1F40">
            <w:pPr>
              <w:ind w:firstLine="0" w:firstLineChars="0"/>
              <w:rPr>
                <w:szCs w:val="21"/>
              </w:rPr>
            </w:pPr>
            <w:r>
              <w:rPr>
                <w:rFonts w:hint="eastAsia"/>
                <w:szCs w:val="21"/>
              </w:rPr>
              <w:t>支持自定义资产类型及资产属性；支持对资产自定义标签，对标签内容进行查询和管理；</w:t>
            </w:r>
          </w:p>
        </w:tc>
      </w:tr>
      <w:tr w14:paraId="44A6C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06DB9D25">
            <w:pPr>
              <w:ind w:firstLine="0" w:firstLineChars="0"/>
              <w:rPr>
                <w:szCs w:val="21"/>
              </w:rPr>
            </w:pPr>
            <w:r>
              <w:rPr>
                <w:rFonts w:hint="eastAsia"/>
                <w:szCs w:val="21"/>
              </w:rPr>
              <w:t>日志归一化</w:t>
            </w:r>
          </w:p>
        </w:tc>
        <w:tc>
          <w:tcPr>
            <w:tcW w:w="4007" w:type="pct"/>
            <w:shd w:val="clear" w:color="auto" w:fill="auto"/>
            <w:vAlign w:val="center"/>
          </w:tcPr>
          <w:p w14:paraId="18D12A22">
            <w:pPr>
              <w:ind w:firstLine="0" w:firstLineChars="0"/>
              <w:rPr>
                <w:szCs w:val="21"/>
              </w:rPr>
            </w:pPr>
            <w:r>
              <w:rPr>
                <w:rFonts w:hint="eastAsia"/>
                <w:szCs w:val="21"/>
              </w:rPr>
              <w:t>支持对日志进行归一化处理并保留原始日志，方便用户对关键日志快速定位和事后取证；</w:t>
            </w:r>
          </w:p>
        </w:tc>
      </w:tr>
      <w:tr w14:paraId="6CCB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Merge w:val="continue"/>
            <w:shd w:val="clear" w:color="auto" w:fill="auto"/>
            <w:vAlign w:val="center"/>
          </w:tcPr>
          <w:p w14:paraId="3229E60C">
            <w:pPr>
              <w:ind w:firstLine="0" w:firstLineChars="0"/>
              <w:rPr>
                <w:szCs w:val="21"/>
              </w:rPr>
            </w:pPr>
          </w:p>
        </w:tc>
        <w:tc>
          <w:tcPr>
            <w:tcW w:w="4007" w:type="pct"/>
            <w:shd w:val="clear" w:color="auto" w:fill="auto"/>
            <w:vAlign w:val="center"/>
          </w:tcPr>
          <w:p w14:paraId="4D9794E2">
            <w:pPr>
              <w:ind w:firstLine="0" w:firstLineChars="0"/>
              <w:rPr>
                <w:szCs w:val="21"/>
              </w:rPr>
            </w:pPr>
            <w:r>
              <w:rPr>
                <w:rFonts w:hint="eastAsia"/>
                <w:szCs w:val="21"/>
              </w:rPr>
              <w:t>支持提供页面可视化编辑归一化策略，对页面查看的日志编辑归一化策略；(提供产品功能截图)</w:t>
            </w:r>
          </w:p>
        </w:tc>
      </w:tr>
      <w:tr w14:paraId="5154E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393727BC">
            <w:pPr>
              <w:ind w:firstLine="0" w:firstLineChars="0"/>
              <w:rPr>
                <w:szCs w:val="21"/>
              </w:rPr>
            </w:pPr>
          </w:p>
        </w:tc>
        <w:tc>
          <w:tcPr>
            <w:tcW w:w="4007" w:type="pct"/>
            <w:shd w:val="clear" w:color="auto" w:fill="auto"/>
            <w:vAlign w:val="center"/>
          </w:tcPr>
          <w:p w14:paraId="20902CCA">
            <w:pPr>
              <w:ind w:firstLine="0" w:firstLineChars="0"/>
              <w:rPr>
                <w:szCs w:val="21"/>
              </w:rPr>
            </w:pPr>
            <w:r>
              <w:rPr>
                <w:rFonts w:hint="eastAsia"/>
                <w:szCs w:val="21"/>
              </w:rPr>
              <w:t xml:space="preserve">支持正则表达式、Key-Value、JSON日志解析，支持日志自动化辅助范化； </w:t>
            </w:r>
          </w:p>
        </w:tc>
      </w:tr>
      <w:tr w14:paraId="4986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27355E01">
            <w:pPr>
              <w:ind w:firstLine="0" w:firstLineChars="0"/>
              <w:rPr>
                <w:szCs w:val="21"/>
              </w:rPr>
            </w:pPr>
          </w:p>
        </w:tc>
        <w:tc>
          <w:tcPr>
            <w:tcW w:w="4007" w:type="pct"/>
            <w:shd w:val="clear" w:color="auto" w:fill="auto"/>
            <w:vAlign w:val="center"/>
          </w:tcPr>
          <w:p w14:paraId="3199D663">
            <w:pPr>
              <w:ind w:firstLine="0" w:firstLineChars="0"/>
              <w:rPr>
                <w:szCs w:val="21"/>
              </w:rPr>
            </w:pPr>
            <w:r>
              <w:rPr>
                <w:rFonts w:hint="eastAsia"/>
                <w:szCs w:val="21"/>
              </w:rPr>
              <w:t>支持自动识别收集的日志并自动选择范化策略，针对匹配的多条范化策略，支持用户手工设置策略匹配优先级，保证最佳范化策略匹配；(提供产品功能截图)</w:t>
            </w:r>
          </w:p>
        </w:tc>
      </w:tr>
      <w:tr w14:paraId="14A8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3298592E">
            <w:pPr>
              <w:ind w:firstLine="0" w:firstLineChars="0"/>
              <w:rPr>
                <w:szCs w:val="21"/>
              </w:rPr>
            </w:pPr>
            <w:r>
              <w:rPr>
                <w:rFonts w:hint="eastAsia"/>
                <w:szCs w:val="21"/>
              </w:rPr>
              <w:t>日志交互式分析</w:t>
            </w:r>
          </w:p>
        </w:tc>
        <w:tc>
          <w:tcPr>
            <w:tcW w:w="4007" w:type="pct"/>
            <w:shd w:val="clear" w:color="auto" w:fill="auto"/>
            <w:vAlign w:val="center"/>
          </w:tcPr>
          <w:p w14:paraId="01AE1ACA">
            <w:pPr>
              <w:ind w:firstLine="0" w:firstLineChars="0"/>
              <w:rPr>
                <w:szCs w:val="21"/>
              </w:rPr>
            </w:pPr>
            <w:r>
              <w:rPr>
                <w:rFonts w:hint="eastAsia"/>
                <w:szCs w:val="21"/>
              </w:rPr>
              <w:t>支持全文检索的大数据处理能力，能够对事件进行非格式化的文本式处理，快速搜索分析各类安全事件；</w:t>
            </w:r>
          </w:p>
        </w:tc>
      </w:tr>
      <w:tr w14:paraId="536B9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Merge w:val="continue"/>
            <w:shd w:val="clear" w:color="auto" w:fill="auto"/>
            <w:vAlign w:val="center"/>
          </w:tcPr>
          <w:p w14:paraId="1C68AF88">
            <w:pPr>
              <w:ind w:firstLine="0" w:firstLineChars="0"/>
              <w:rPr>
                <w:szCs w:val="21"/>
              </w:rPr>
            </w:pPr>
          </w:p>
        </w:tc>
        <w:tc>
          <w:tcPr>
            <w:tcW w:w="4007" w:type="pct"/>
            <w:shd w:val="clear" w:color="auto" w:fill="auto"/>
            <w:vAlign w:val="center"/>
          </w:tcPr>
          <w:p w14:paraId="20C0A240">
            <w:pPr>
              <w:ind w:firstLine="0" w:firstLineChars="0"/>
              <w:rPr>
                <w:szCs w:val="21"/>
              </w:rPr>
            </w:pPr>
            <w:r>
              <w:rPr>
                <w:rFonts w:hint="eastAsia"/>
                <w:szCs w:val="21"/>
              </w:rPr>
              <w:t>支持采用机器学习对原始日志进行聚类分析，能够对原始日志结构模式进行自动识别(无须范化)；</w:t>
            </w:r>
          </w:p>
        </w:tc>
      </w:tr>
      <w:tr w14:paraId="0D57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11F020EB">
            <w:pPr>
              <w:ind w:firstLine="0" w:firstLineChars="0"/>
              <w:rPr>
                <w:szCs w:val="21"/>
              </w:rPr>
            </w:pPr>
          </w:p>
        </w:tc>
        <w:tc>
          <w:tcPr>
            <w:tcW w:w="4007" w:type="pct"/>
            <w:shd w:val="clear" w:color="auto" w:fill="auto"/>
          </w:tcPr>
          <w:p w14:paraId="50F1FE6D">
            <w:pPr>
              <w:ind w:firstLine="0" w:firstLineChars="0"/>
              <w:rPr>
                <w:szCs w:val="21"/>
              </w:rPr>
            </w:pPr>
            <w:r>
              <w:rPr>
                <w:rFonts w:hint="eastAsia"/>
                <w:szCs w:val="21"/>
              </w:rPr>
              <w:t>支持图形化展示日志属性之间的聚合关系，支持手动选择日志属性，显示多维事件分析图；(提供产品功能截图)</w:t>
            </w:r>
          </w:p>
        </w:tc>
      </w:tr>
      <w:tr w14:paraId="27F9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37D238F2">
            <w:pPr>
              <w:ind w:firstLine="0" w:firstLineChars="0"/>
              <w:rPr>
                <w:szCs w:val="21"/>
              </w:rPr>
            </w:pPr>
            <w:r>
              <w:rPr>
                <w:rFonts w:hint="eastAsia"/>
                <w:szCs w:val="21"/>
              </w:rPr>
              <w:t>关联分析</w:t>
            </w:r>
          </w:p>
        </w:tc>
        <w:tc>
          <w:tcPr>
            <w:tcW w:w="4007" w:type="pct"/>
            <w:shd w:val="clear" w:color="auto" w:fill="auto"/>
            <w:vAlign w:val="center"/>
          </w:tcPr>
          <w:p w14:paraId="2460F099">
            <w:pPr>
              <w:ind w:firstLine="0" w:firstLineChars="0"/>
              <w:rPr>
                <w:szCs w:val="21"/>
              </w:rPr>
            </w:pPr>
            <w:r>
              <w:rPr>
                <w:rFonts w:hint="eastAsia"/>
                <w:szCs w:val="21"/>
              </w:rPr>
              <w:t>支持基于规则的关联分析引擎，可提供逻辑关联、统计关联和递归关联的关联分析能力；</w:t>
            </w:r>
          </w:p>
        </w:tc>
      </w:tr>
      <w:tr w14:paraId="349B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1DFE657D">
            <w:pPr>
              <w:ind w:firstLine="0" w:firstLineChars="0"/>
              <w:rPr>
                <w:szCs w:val="21"/>
              </w:rPr>
            </w:pPr>
          </w:p>
        </w:tc>
        <w:tc>
          <w:tcPr>
            <w:tcW w:w="4007" w:type="pct"/>
            <w:shd w:val="clear" w:color="auto" w:fill="auto"/>
            <w:vAlign w:val="center"/>
          </w:tcPr>
          <w:p w14:paraId="7C8616C0">
            <w:pPr>
              <w:ind w:firstLine="0" w:firstLineChars="0"/>
              <w:rPr>
                <w:szCs w:val="21"/>
              </w:rPr>
            </w:pPr>
            <w:r>
              <w:rPr>
                <w:rFonts w:hint="eastAsia"/>
                <w:szCs w:val="21"/>
              </w:rPr>
              <w:t>支持单事件关联和多事件关联，能够针对多个不同类型不同来源的安全事件进行综合关联分析；</w:t>
            </w:r>
          </w:p>
        </w:tc>
      </w:tr>
      <w:tr w14:paraId="4DF7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Merge w:val="continue"/>
            <w:shd w:val="clear" w:color="auto" w:fill="auto"/>
            <w:vAlign w:val="center"/>
          </w:tcPr>
          <w:p w14:paraId="44AE509E">
            <w:pPr>
              <w:ind w:firstLine="0" w:firstLineChars="0"/>
              <w:rPr>
                <w:szCs w:val="21"/>
              </w:rPr>
            </w:pPr>
          </w:p>
        </w:tc>
        <w:tc>
          <w:tcPr>
            <w:tcW w:w="4007" w:type="pct"/>
            <w:shd w:val="clear" w:color="auto" w:fill="auto"/>
            <w:vAlign w:val="center"/>
          </w:tcPr>
          <w:p w14:paraId="3B517279">
            <w:pPr>
              <w:ind w:firstLine="0" w:firstLineChars="0"/>
              <w:rPr>
                <w:szCs w:val="21"/>
              </w:rPr>
            </w:pPr>
            <w:r>
              <w:rPr>
                <w:rFonts w:hint="eastAsia"/>
                <w:szCs w:val="21"/>
              </w:rPr>
              <w:t>支持对关联规则进行监控，了解规则命中情况；(提供产品功能截图)</w:t>
            </w:r>
          </w:p>
        </w:tc>
      </w:tr>
      <w:tr w14:paraId="6065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15FCE13B">
            <w:pPr>
              <w:ind w:firstLine="0" w:firstLineChars="0"/>
              <w:rPr>
                <w:szCs w:val="21"/>
              </w:rPr>
            </w:pPr>
            <w:r>
              <w:rPr>
                <w:rFonts w:hint="eastAsia"/>
                <w:szCs w:val="21"/>
              </w:rPr>
              <w:t>日志统计分析</w:t>
            </w:r>
          </w:p>
        </w:tc>
        <w:tc>
          <w:tcPr>
            <w:tcW w:w="4007" w:type="pct"/>
            <w:shd w:val="clear" w:color="auto" w:fill="auto"/>
            <w:vAlign w:val="center"/>
          </w:tcPr>
          <w:p w14:paraId="48CCE42E">
            <w:pPr>
              <w:ind w:firstLine="0" w:firstLineChars="0"/>
              <w:rPr>
                <w:szCs w:val="21"/>
              </w:rPr>
            </w:pPr>
            <w:r>
              <w:rPr>
                <w:rFonts w:hint="eastAsia"/>
                <w:szCs w:val="21"/>
              </w:rPr>
              <w:t xml:space="preserve">支持自定义统计场景，可设定统计的字段和时间段等； </w:t>
            </w:r>
          </w:p>
        </w:tc>
      </w:tr>
      <w:tr w14:paraId="5E11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7AE266CE">
            <w:pPr>
              <w:ind w:firstLine="0" w:firstLineChars="0"/>
              <w:rPr>
                <w:szCs w:val="21"/>
              </w:rPr>
            </w:pPr>
          </w:p>
        </w:tc>
        <w:tc>
          <w:tcPr>
            <w:tcW w:w="4007" w:type="pct"/>
            <w:shd w:val="clear" w:color="auto" w:fill="auto"/>
            <w:vAlign w:val="center"/>
          </w:tcPr>
          <w:p w14:paraId="5AC2D1E0">
            <w:pPr>
              <w:ind w:firstLine="0" w:firstLineChars="0"/>
              <w:rPr>
                <w:szCs w:val="21"/>
              </w:rPr>
            </w:pPr>
            <w:r>
              <w:rPr>
                <w:rFonts w:hint="eastAsia"/>
                <w:szCs w:val="21"/>
              </w:rPr>
              <w:t>支持将统计结果保存为仪表板、报表和策略；</w:t>
            </w:r>
          </w:p>
        </w:tc>
      </w:tr>
      <w:tr w14:paraId="2799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69607025">
            <w:pPr>
              <w:ind w:firstLine="0" w:firstLineChars="0"/>
              <w:rPr>
                <w:szCs w:val="21"/>
              </w:rPr>
            </w:pPr>
            <w:r>
              <w:rPr>
                <w:rFonts w:hint="eastAsia"/>
                <w:szCs w:val="21"/>
              </w:rPr>
              <w:t>日志综合展现</w:t>
            </w:r>
          </w:p>
        </w:tc>
        <w:tc>
          <w:tcPr>
            <w:tcW w:w="4007" w:type="pct"/>
            <w:shd w:val="clear" w:color="auto" w:fill="auto"/>
            <w:vAlign w:val="center"/>
          </w:tcPr>
          <w:p w14:paraId="4FD79CB6">
            <w:pPr>
              <w:ind w:firstLine="0" w:firstLineChars="0"/>
              <w:rPr>
                <w:szCs w:val="21"/>
              </w:rPr>
            </w:pPr>
            <w:r>
              <w:rPr>
                <w:rFonts w:hint="eastAsia"/>
                <w:szCs w:val="21"/>
              </w:rPr>
              <w:t>支持可编辑的自定义仪表板；支持自定义创建框架，可在框架内添加不同的仪表板组件；</w:t>
            </w:r>
          </w:p>
        </w:tc>
      </w:tr>
      <w:tr w14:paraId="1F75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Merge w:val="continue"/>
            <w:shd w:val="clear" w:color="auto" w:fill="auto"/>
            <w:vAlign w:val="center"/>
          </w:tcPr>
          <w:p w14:paraId="53EC56AA">
            <w:pPr>
              <w:ind w:firstLine="0" w:firstLineChars="0"/>
              <w:rPr>
                <w:szCs w:val="21"/>
              </w:rPr>
            </w:pPr>
          </w:p>
        </w:tc>
        <w:tc>
          <w:tcPr>
            <w:tcW w:w="4007" w:type="pct"/>
            <w:shd w:val="clear" w:color="auto" w:fill="auto"/>
            <w:vAlign w:val="center"/>
          </w:tcPr>
          <w:p w14:paraId="5185B492">
            <w:pPr>
              <w:ind w:firstLine="0" w:firstLineChars="0"/>
              <w:rPr>
                <w:szCs w:val="21"/>
              </w:rPr>
            </w:pPr>
            <w:r>
              <w:rPr>
                <w:rFonts w:hint="eastAsia"/>
                <w:szCs w:val="21"/>
              </w:rPr>
              <w:t>支持随时调整已创建的仪表板，编辑仪表板展示条件，调整位置、新增组件等，可对仪表板的任一元素进行下钻，查看原始日志；(提供产品功能截图)</w:t>
            </w:r>
          </w:p>
        </w:tc>
      </w:tr>
      <w:tr w14:paraId="1185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continue"/>
            <w:shd w:val="clear" w:color="auto" w:fill="auto"/>
            <w:vAlign w:val="center"/>
          </w:tcPr>
          <w:p w14:paraId="3356F1A8">
            <w:pPr>
              <w:ind w:firstLine="0" w:firstLineChars="0"/>
              <w:rPr>
                <w:szCs w:val="21"/>
              </w:rPr>
            </w:pPr>
          </w:p>
        </w:tc>
        <w:tc>
          <w:tcPr>
            <w:tcW w:w="4007" w:type="pct"/>
            <w:shd w:val="clear" w:color="auto" w:fill="auto"/>
            <w:vAlign w:val="center"/>
          </w:tcPr>
          <w:p w14:paraId="1016D28C">
            <w:pPr>
              <w:ind w:firstLine="0" w:firstLineChars="0"/>
              <w:rPr>
                <w:szCs w:val="21"/>
              </w:rPr>
            </w:pPr>
            <w:r>
              <w:rPr>
                <w:rFonts w:hint="eastAsia"/>
                <w:szCs w:val="21"/>
              </w:rPr>
              <w:t>支持展示日志源数量、原始日志数、关联事件数、告警总数、已保存日志天数、平均每天日志存储量、存储空间情况等；</w:t>
            </w:r>
          </w:p>
        </w:tc>
      </w:tr>
      <w:tr w14:paraId="01BE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shd w:val="clear" w:color="auto" w:fill="auto"/>
            <w:vAlign w:val="center"/>
          </w:tcPr>
          <w:p w14:paraId="7221E892">
            <w:pPr>
              <w:ind w:firstLine="0" w:firstLineChars="0"/>
              <w:rPr>
                <w:szCs w:val="21"/>
              </w:rPr>
            </w:pPr>
            <w:r>
              <w:rPr>
                <w:rFonts w:hint="eastAsia"/>
                <w:szCs w:val="21"/>
              </w:rPr>
              <w:t>告警管理</w:t>
            </w:r>
          </w:p>
        </w:tc>
        <w:tc>
          <w:tcPr>
            <w:tcW w:w="4007" w:type="pct"/>
            <w:shd w:val="clear" w:color="auto" w:fill="auto"/>
            <w:vAlign w:val="center"/>
          </w:tcPr>
          <w:p w14:paraId="4E46CB3C">
            <w:pPr>
              <w:ind w:firstLine="0" w:firstLineChars="0"/>
              <w:rPr>
                <w:szCs w:val="21"/>
              </w:rPr>
            </w:pPr>
            <w:r>
              <w:rPr>
                <w:rFonts w:hint="eastAsia"/>
                <w:szCs w:val="21"/>
              </w:rPr>
              <w:t>支持告警规则自定义，告警可查询，支持列表和统计展示；支持告警归并；</w:t>
            </w:r>
          </w:p>
        </w:tc>
      </w:tr>
      <w:tr w14:paraId="17DB2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6ADA65E7">
            <w:pPr>
              <w:ind w:firstLine="0" w:firstLineChars="0"/>
              <w:rPr>
                <w:szCs w:val="21"/>
              </w:rPr>
            </w:pPr>
            <w:r>
              <w:rPr>
                <w:rFonts w:hint="eastAsia"/>
                <w:szCs w:val="21"/>
              </w:rPr>
              <w:t>报表管理</w:t>
            </w:r>
          </w:p>
        </w:tc>
        <w:tc>
          <w:tcPr>
            <w:tcW w:w="4007" w:type="pct"/>
            <w:shd w:val="clear" w:color="auto" w:fill="auto"/>
            <w:vAlign w:val="center"/>
          </w:tcPr>
          <w:p w14:paraId="2733D440">
            <w:pPr>
              <w:ind w:firstLine="0" w:firstLineChars="0"/>
              <w:rPr>
                <w:szCs w:val="21"/>
              </w:rPr>
            </w:pPr>
            <w:r>
              <w:rPr>
                <w:rFonts w:hint="eastAsia"/>
                <w:szCs w:val="21"/>
              </w:rPr>
              <w:t xml:space="preserve">提供丰富的报表管理功能，根据时间、数据类型等生成报表，为管理员提供决策和分析的数据基础； </w:t>
            </w:r>
          </w:p>
        </w:tc>
      </w:tr>
      <w:tr w14:paraId="6EC7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Merge w:val="continue"/>
            <w:shd w:val="clear" w:color="auto" w:fill="auto"/>
            <w:vAlign w:val="center"/>
          </w:tcPr>
          <w:p w14:paraId="0EE41ED8">
            <w:pPr>
              <w:ind w:firstLine="0" w:firstLineChars="0"/>
              <w:rPr>
                <w:szCs w:val="21"/>
              </w:rPr>
            </w:pPr>
          </w:p>
        </w:tc>
        <w:tc>
          <w:tcPr>
            <w:tcW w:w="4007" w:type="pct"/>
            <w:shd w:val="clear" w:color="auto" w:fill="auto"/>
            <w:vAlign w:val="center"/>
          </w:tcPr>
          <w:p w14:paraId="568C8A43">
            <w:pPr>
              <w:ind w:firstLine="0" w:firstLineChars="0"/>
              <w:rPr>
                <w:szCs w:val="21"/>
              </w:rPr>
            </w:pPr>
            <w:r>
              <w:rPr>
                <w:rFonts w:hint="eastAsia"/>
                <w:szCs w:val="21"/>
              </w:rPr>
              <w:t>支持提供安全运维报告，帮助运维人员快速生成日常日志分析和运维报告；(提供产品功能截图)</w:t>
            </w:r>
          </w:p>
        </w:tc>
      </w:tr>
      <w:tr w14:paraId="70B7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shd w:val="clear" w:color="auto" w:fill="auto"/>
            <w:vAlign w:val="center"/>
          </w:tcPr>
          <w:p w14:paraId="34A8BAAE">
            <w:pPr>
              <w:ind w:firstLine="0" w:firstLineChars="0"/>
              <w:rPr>
                <w:szCs w:val="21"/>
              </w:rPr>
            </w:pPr>
            <w:r>
              <w:rPr>
                <w:rFonts w:hint="eastAsia"/>
                <w:szCs w:val="21"/>
              </w:rPr>
              <w:t>备份归档</w:t>
            </w:r>
          </w:p>
        </w:tc>
        <w:tc>
          <w:tcPr>
            <w:tcW w:w="4007" w:type="pct"/>
            <w:shd w:val="clear" w:color="auto" w:fill="auto"/>
          </w:tcPr>
          <w:p w14:paraId="6C8D6167">
            <w:pPr>
              <w:ind w:firstLine="0" w:firstLineChars="0"/>
              <w:rPr>
                <w:szCs w:val="21"/>
              </w:rPr>
            </w:pPr>
            <w:r>
              <w:rPr>
                <w:rFonts w:hint="eastAsia"/>
                <w:szCs w:val="21"/>
              </w:rPr>
              <w:t>支持按周期的方式选择备份，支持原始日志与分析后日志分离，支持历史日志恢复导入；支持以FTP/SFTP方式将日志数据备份至外部存储空间，支持数据恢复</w:t>
            </w:r>
          </w:p>
        </w:tc>
      </w:tr>
      <w:tr w14:paraId="3690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shd w:val="clear" w:color="auto" w:fill="auto"/>
            <w:vAlign w:val="center"/>
          </w:tcPr>
          <w:p w14:paraId="7D2C3D66">
            <w:pPr>
              <w:ind w:firstLine="0" w:firstLineChars="0"/>
              <w:rPr>
                <w:szCs w:val="21"/>
              </w:rPr>
            </w:pPr>
            <w:r>
              <w:rPr>
                <w:rFonts w:hint="eastAsia"/>
                <w:szCs w:val="21"/>
              </w:rPr>
              <w:t>国产化要求</w:t>
            </w:r>
          </w:p>
        </w:tc>
        <w:tc>
          <w:tcPr>
            <w:tcW w:w="4007" w:type="pct"/>
            <w:shd w:val="clear" w:color="auto" w:fill="auto"/>
            <w:vAlign w:val="center"/>
          </w:tcPr>
          <w:p w14:paraId="6D52197E">
            <w:pPr>
              <w:ind w:firstLine="0" w:firstLineChars="0"/>
              <w:rPr>
                <w:szCs w:val="21"/>
              </w:rPr>
            </w:pPr>
            <w:r>
              <w:rPr>
                <w:rFonts w:hint="eastAsia"/>
                <w:szCs w:val="21"/>
              </w:rPr>
              <w:t>须为国产化设备，配备国产芯片及操作系统；</w:t>
            </w:r>
          </w:p>
        </w:tc>
      </w:tr>
      <w:tr w14:paraId="4C94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pct"/>
            <w:vMerge w:val="restart"/>
            <w:shd w:val="clear" w:color="auto" w:fill="auto"/>
            <w:vAlign w:val="center"/>
          </w:tcPr>
          <w:p w14:paraId="1207536B">
            <w:pPr>
              <w:ind w:firstLine="0" w:firstLineChars="0"/>
              <w:rPr>
                <w:szCs w:val="21"/>
              </w:rPr>
            </w:pPr>
            <w:r>
              <w:rPr>
                <w:rFonts w:hint="eastAsia"/>
                <w:szCs w:val="21"/>
              </w:rPr>
              <w:t>产品资质</w:t>
            </w:r>
          </w:p>
        </w:tc>
        <w:tc>
          <w:tcPr>
            <w:tcW w:w="4007" w:type="pct"/>
            <w:shd w:val="clear" w:color="auto" w:fill="auto"/>
            <w:vAlign w:val="center"/>
          </w:tcPr>
          <w:p w14:paraId="79193088">
            <w:pPr>
              <w:ind w:firstLine="0" w:firstLineChars="0"/>
              <w:rPr>
                <w:szCs w:val="21"/>
              </w:rPr>
            </w:pPr>
            <w:r>
              <w:rPr>
                <w:rFonts w:hint="eastAsia"/>
                <w:szCs w:val="21"/>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r w14:paraId="33B9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2" w:type="pct"/>
            <w:vMerge w:val="continue"/>
            <w:shd w:val="clear" w:color="auto" w:fill="auto"/>
            <w:vAlign w:val="center"/>
          </w:tcPr>
          <w:p w14:paraId="212C2A32">
            <w:pPr>
              <w:ind w:firstLine="0" w:firstLineChars="0"/>
              <w:rPr>
                <w:szCs w:val="21"/>
              </w:rPr>
            </w:pPr>
          </w:p>
        </w:tc>
        <w:tc>
          <w:tcPr>
            <w:tcW w:w="4007" w:type="pct"/>
            <w:shd w:val="clear" w:color="auto" w:fill="auto"/>
            <w:vAlign w:val="center"/>
          </w:tcPr>
          <w:p w14:paraId="405F2FCE">
            <w:pPr>
              <w:ind w:firstLine="0" w:firstLineChars="0"/>
              <w:rPr>
                <w:szCs w:val="21"/>
              </w:rPr>
            </w:pPr>
            <w:r>
              <w:rPr>
                <w:rFonts w:hint="eastAsia"/>
                <w:szCs w:val="21"/>
              </w:rPr>
              <w:t>产品具备信息技术产品安全测评证书（EAL3+及以上）</w:t>
            </w:r>
          </w:p>
        </w:tc>
      </w:tr>
    </w:tbl>
    <w:p w14:paraId="28A34C18"/>
    <w:p w14:paraId="3F73E9B6">
      <w:pPr>
        <w:pStyle w:val="6"/>
        <w:numPr>
          <w:ilvl w:val="3"/>
          <w:numId w:val="0"/>
        </w:numPr>
        <w:spacing w:line="413" w:lineRule="auto"/>
      </w:pPr>
      <w:bookmarkStart w:id="41" w:name="_Toc161989559"/>
      <w:bookmarkStart w:id="42" w:name="_Toc13968"/>
      <w:r>
        <w:rPr>
          <w:rFonts w:hint="eastAsia"/>
        </w:rPr>
        <w:t>1.5互联网云日志审计</w:t>
      </w:r>
      <w:bookmarkEnd w:id="41"/>
      <w:bookmarkEnd w:id="42"/>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6851"/>
      </w:tblGrid>
      <w:tr w14:paraId="3DAD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3" w:type="pct"/>
            <w:shd w:val="clear" w:color="auto" w:fill="auto"/>
            <w:vAlign w:val="center"/>
          </w:tcPr>
          <w:p w14:paraId="57FBF4C5">
            <w:pPr>
              <w:ind w:firstLine="482"/>
              <w:jc w:val="center"/>
              <w:rPr>
                <w:rFonts w:cs="宋体"/>
                <w:b/>
                <w:bCs/>
                <w:szCs w:val="21"/>
              </w:rPr>
            </w:pPr>
            <w:r>
              <w:rPr>
                <w:rFonts w:hint="eastAsia" w:cs="宋体"/>
                <w:b/>
                <w:bCs/>
                <w:szCs w:val="21"/>
              </w:rPr>
              <w:t>指标项</w:t>
            </w:r>
          </w:p>
        </w:tc>
        <w:tc>
          <w:tcPr>
            <w:tcW w:w="4017" w:type="pct"/>
            <w:shd w:val="clear" w:color="auto" w:fill="auto"/>
            <w:vAlign w:val="center"/>
          </w:tcPr>
          <w:p w14:paraId="5C234CC6">
            <w:pPr>
              <w:ind w:firstLine="482"/>
              <w:jc w:val="center"/>
              <w:rPr>
                <w:rFonts w:cs="宋体"/>
                <w:b/>
                <w:bCs/>
                <w:szCs w:val="21"/>
              </w:rPr>
            </w:pPr>
            <w:r>
              <w:rPr>
                <w:rFonts w:hint="eastAsia" w:cs="宋体"/>
                <w:b/>
                <w:szCs w:val="21"/>
              </w:rPr>
              <w:t>技术指标</w:t>
            </w:r>
          </w:p>
        </w:tc>
      </w:tr>
      <w:tr w14:paraId="40F2C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shd w:val="clear" w:color="auto" w:fill="auto"/>
            <w:vAlign w:val="center"/>
          </w:tcPr>
          <w:p w14:paraId="6376C136">
            <w:pPr>
              <w:ind w:firstLine="0" w:firstLineChars="0"/>
              <w:rPr>
                <w:szCs w:val="21"/>
              </w:rPr>
            </w:pPr>
            <w:r>
              <w:rPr>
                <w:rFonts w:hint="eastAsia"/>
                <w:szCs w:val="21"/>
              </w:rPr>
              <w:t>部署模式</w:t>
            </w:r>
          </w:p>
        </w:tc>
        <w:tc>
          <w:tcPr>
            <w:tcW w:w="4017" w:type="pct"/>
            <w:shd w:val="clear" w:color="auto" w:fill="auto"/>
            <w:vAlign w:val="center"/>
          </w:tcPr>
          <w:p w14:paraId="4D9A45FE">
            <w:pPr>
              <w:ind w:firstLine="0" w:firstLineChars="0"/>
              <w:rPr>
                <w:szCs w:val="21"/>
              </w:rPr>
            </w:pPr>
            <w:r>
              <w:rPr>
                <w:rFonts w:hint="eastAsia"/>
                <w:szCs w:val="21"/>
              </w:rPr>
              <w:t>支持软件化部署，支持云平台部署；</w:t>
            </w:r>
          </w:p>
        </w:tc>
      </w:tr>
      <w:tr w14:paraId="74F96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shd w:val="clear" w:color="auto" w:fill="auto"/>
            <w:vAlign w:val="center"/>
          </w:tcPr>
          <w:p w14:paraId="350FB736">
            <w:pPr>
              <w:ind w:firstLine="0" w:firstLineChars="0"/>
              <w:rPr>
                <w:szCs w:val="21"/>
              </w:rPr>
            </w:pPr>
            <w:r>
              <w:rPr>
                <w:rFonts w:hint="eastAsia"/>
                <w:szCs w:val="21"/>
              </w:rPr>
              <w:t>日志授权</w:t>
            </w:r>
          </w:p>
        </w:tc>
        <w:tc>
          <w:tcPr>
            <w:tcW w:w="4017" w:type="pct"/>
            <w:shd w:val="clear" w:color="auto" w:fill="auto"/>
            <w:vAlign w:val="center"/>
          </w:tcPr>
          <w:p w14:paraId="75F23935">
            <w:pPr>
              <w:ind w:firstLine="0" w:firstLineChars="0"/>
              <w:rPr>
                <w:szCs w:val="21"/>
              </w:rPr>
            </w:pPr>
            <w:r>
              <w:rPr>
                <w:rFonts w:hint="eastAsia"/>
                <w:szCs w:val="21"/>
              </w:rPr>
              <w:t>产品应具备150个日志授权；</w:t>
            </w:r>
          </w:p>
        </w:tc>
      </w:tr>
      <w:tr w14:paraId="563F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 w:type="pct"/>
            <w:shd w:val="clear" w:color="auto" w:fill="auto"/>
            <w:vAlign w:val="center"/>
          </w:tcPr>
          <w:p w14:paraId="0DDE4D82">
            <w:pPr>
              <w:ind w:firstLine="0" w:firstLineChars="0"/>
              <w:rPr>
                <w:szCs w:val="21"/>
              </w:rPr>
            </w:pPr>
            <w:r>
              <w:rPr>
                <w:rFonts w:hint="eastAsia"/>
                <w:szCs w:val="21"/>
              </w:rPr>
              <w:t>级联管理</w:t>
            </w:r>
          </w:p>
        </w:tc>
        <w:tc>
          <w:tcPr>
            <w:tcW w:w="4017" w:type="pct"/>
            <w:shd w:val="clear" w:color="auto" w:fill="auto"/>
            <w:vAlign w:val="center"/>
          </w:tcPr>
          <w:p w14:paraId="48685197">
            <w:pPr>
              <w:ind w:firstLine="0" w:firstLineChars="0"/>
              <w:rPr>
                <w:szCs w:val="21"/>
              </w:rPr>
            </w:pPr>
            <w:r>
              <w:rPr>
                <w:rFonts w:hint="eastAsia"/>
                <w:szCs w:val="21"/>
              </w:rPr>
              <w:t>▲支持系统级联管理，可对下级系统的IP地址、系统信息、运行状态和性能进行集中监测，支持对下级系统的注册与注销；</w:t>
            </w:r>
          </w:p>
        </w:tc>
      </w:tr>
      <w:tr w14:paraId="1B34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shd w:val="clear" w:color="auto" w:fill="auto"/>
            <w:vAlign w:val="center"/>
          </w:tcPr>
          <w:p w14:paraId="5073B0BC">
            <w:pPr>
              <w:ind w:firstLine="0" w:firstLineChars="0"/>
              <w:rPr>
                <w:szCs w:val="21"/>
              </w:rPr>
            </w:pPr>
            <w:r>
              <w:rPr>
                <w:rFonts w:hint="eastAsia"/>
                <w:szCs w:val="21"/>
              </w:rPr>
              <w:t>审计对象</w:t>
            </w:r>
          </w:p>
        </w:tc>
        <w:tc>
          <w:tcPr>
            <w:tcW w:w="4017" w:type="pct"/>
            <w:shd w:val="clear" w:color="auto" w:fill="auto"/>
            <w:vAlign w:val="center"/>
          </w:tcPr>
          <w:p w14:paraId="105242D9">
            <w:pPr>
              <w:ind w:firstLine="0" w:firstLineChars="0"/>
              <w:rPr>
                <w:szCs w:val="21"/>
              </w:rPr>
            </w:pPr>
            <w:r>
              <w:rPr>
                <w:rFonts w:hint="eastAsia"/>
                <w:szCs w:val="21"/>
              </w:rPr>
              <w:t>支持审计各种网络设备（路由器、交换机等）的配置日志、运行日志、告警日志等；</w:t>
            </w:r>
          </w:p>
          <w:p w14:paraId="31368C7D">
            <w:pPr>
              <w:ind w:firstLine="0" w:firstLineChars="0"/>
              <w:rPr>
                <w:szCs w:val="21"/>
              </w:rPr>
            </w:pPr>
            <w:r>
              <w:rPr>
                <w:rFonts w:hint="eastAsia"/>
                <w:szCs w:val="21"/>
              </w:rPr>
              <w:t>支持审计各种主机操作系统（包括Windows\Solaris\Linux\AIX\HP-UX\UNIX\AS400等）配置日志、运行日志、告警日志等；</w:t>
            </w:r>
          </w:p>
          <w:p w14:paraId="126042F3">
            <w:pPr>
              <w:ind w:firstLine="0" w:firstLineChars="0"/>
              <w:rPr>
                <w:szCs w:val="21"/>
              </w:rPr>
            </w:pPr>
            <w:r>
              <w:rPr>
                <w:rFonts w:hint="eastAsia"/>
                <w:szCs w:val="21"/>
              </w:rPr>
              <w:t>支持审计各种数据库（Oracle、Sqlserver、Mysql、DB2、Sybase、Informix、达梦数据库、MongoDB等）配置日志、运行日志、告警日志等；</w:t>
            </w:r>
          </w:p>
          <w:p w14:paraId="7A7D32A7">
            <w:pPr>
              <w:ind w:firstLine="0" w:firstLineChars="0"/>
              <w:rPr>
                <w:szCs w:val="21"/>
              </w:rPr>
            </w:pPr>
            <w:r>
              <w:rPr>
                <w:rFonts w:hint="eastAsia"/>
                <w:szCs w:val="21"/>
              </w:rPr>
              <w:t>支持审计各种中间件（Tomcat、Apache、Webshpere、 Weblogic等）配置日志、运行日志、告警日志等；</w:t>
            </w:r>
          </w:p>
          <w:p w14:paraId="1DEEDBA1">
            <w:pPr>
              <w:ind w:firstLine="0" w:firstLineChars="0"/>
              <w:rPr>
                <w:szCs w:val="21"/>
              </w:rPr>
            </w:pPr>
            <w:r>
              <w:rPr>
                <w:rFonts w:hint="eastAsia"/>
                <w:szCs w:val="21"/>
              </w:rPr>
              <w:t>支持审计各种应用系统（邮件，Web，FTP等）配置日志、运行日志、告警日志等；</w:t>
            </w:r>
          </w:p>
          <w:p w14:paraId="7290F8D9">
            <w:pPr>
              <w:ind w:firstLine="0" w:firstLineChars="0"/>
              <w:rPr>
                <w:szCs w:val="21"/>
              </w:rPr>
            </w:pPr>
            <w:r>
              <w:rPr>
                <w:rFonts w:hint="eastAsia"/>
                <w:szCs w:val="21"/>
              </w:rPr>
              <w:t>支持审计各种业务系统的日志、事件、告警等安全信息；</w:t>
            </w:r>
          </w:p>
        </w:tc>
      </w:tr>
      <w:tr w14:paraId="6A12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shd w:val="clear" w:color="auto" w:fill="auto"/>
            <w:vAlign w:val="center"/>
          </w:tcPr>
          <w:p w14:paraId="4ABDC47A">
            <w:pPr>
              <w:ind w:firstLine="0" w:firstLineChars="0"/>
              <w:rPr>
                <w:szCs w:val="21"/>
              </w:rPr>
            </w:pPr>
            <w:r>
              <w:rPr>
                <w:rFonts w:hint="eastAsia"/>
                <w:szCs w:val="21"/>
              </w:rPr>
              <w:t>日志采集</w:t>
            </w:r>
          </w:p>
          <w:p w14:paraId="01BD6578">
            <w:pPr>
              <w:ind w:firstLine="0" w:firstLineChars="0"/>
              <w:rPr>
                <w:szCs w:val="21"/>
              </w:rPr>
            </w:pPr>
            <w:r>
              <w:rPr>
                <w:rFonts w:hint="eastAsia"/>
                <w:szCs w:val="21"/>
              </w:rPr>
              <w:t>与转发</w:t>
            </w:r>
          </w:p>
        </w:tc>
        <w:tc>
          <w:tcPr>
            <w:tcW w:w="4017" w:type="pct"/>
            <w:shd w:val="clear" w:color="auto" w:fill="auto"/>
            <w:vAlign w:val="center"/>
          </w:tcPr>
          <w:p w14:paraId="0B9FE5B4">
            <w:pPr>
              <w:ind w:firstLine="0" w:firstLineChars="0"/>
              <w:rPr>
                <w:szCs w:val="21"/>
              </w:rPr>
            </w:pPr>
            <w:r>
              <w:rPr>
                <w:rFonts w:hint="eastAsia"/>
                <w:szCs w:val="21"/>
              </w:rPr>
              <w:t>支持通过Syslog、Syslog-NG、SNMP Trap、Netflow V5、JDBC、Agent日志代理、WMI、(S)FTP、NetBIOS、文件\目录读取、Kafka、WebService等方式完成各种日志的收集； (提供产品功能截图)</w:t>
            </w:r>
          </w:p>
        </w:tc>
      </w:tr>
      <w:tr w14:paraId="43AC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78BD95FC">
            <w:pPr>
              <w:ind w:firstLine="0" w:firstLineChars="0"/>
              <w:rPr>
                <w:szCs w:val="21"/>
              </w:rPr>
            </w:pPr>
          </w:p>
        </w:tc>
        <w:tc>
          <w:tcPr>
            <w:tcW w:w="4017" w:type="pct"/>
            <w:shd w:val="clear" w:color="auto" w:fill="auto"/>
            <w:vAlign w:val="center"/>
          </w:tcPr>
          <w:p w14:paraId="229B25C3">
            <w:pPr>
              <w:ind w:firstLine="0" w:firstLineChars="0"/>
              <w:rPr>
                <w:szCs w:val="21"/>
              </w:rPr>
            </w:pPr>
            <w:r>
              <w:rPr>
                <w:rFonts w:hint="eastAsia"/>
                <w:szCs w:val="21"/>
              </w:rPr>
              <w:t>支持TCP、UDP协议转发，支持按照Syslog-NG标准及自有格式进行转发，转发时包含原始日志源IP地址；</w:t>
            </w:r>
          </w:p>
        </w:tc>
      </w:tr>
      <w:tr w14:paraId="7F02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 w:type="pct"/>
            <w:vMerge w:val="restart"/>
            <w:shd w:val="clear" w:color="auto" w:fill="auto"/>
            <w:vAlign w:val="center"/>
          </w:tcPr>
          <w:p w14:paraId="18DB5F8B">
            <w:pPr>
              <w:ind w:firstLine="0" w:firstLineChars="0"/>
              <w:rPr>
                <w:szCs w:val="21"/>
              </w:rPr>
            </w:pPr>
            <w:r>
              <w:rPr>
                <w:rFonts w:hint="eastAsia"/>
                <w:szCs w:val="21"/>
              </w:rPr>
              <w:t>资产管理</w:t>
            </w:r>
          </w:p>
        </w:tc>
        <w:tc>
          <w:tcPr>
            <w:tcW w:w="4017" w:type="pct"/>
            <w:shd w:val="clear" w:color="auto" w:fill="auto"/>
            <w:vAlign w:val="center"/>
          </w:tcPr>
          <w:p w14:paraId="6BC47A68">
            <w:pPr>
              <w:ind w:firstLine="0" w:firstLineChars="0"/>
              <w:rPr>
                <w:szCs w:val="21"/>
              </w:rPr>
            </w:pPr>
            <w:r>
              <w:rPr>
                <w:rFonts w:hint="eastAsia"/>
                <w:szCs w:val="21"/>
              </w:rPr>
              <w:t xml:space="preserve">支持资产按多种维度进行分组、分域管理； </w:t>
            </w:r>
          </w:p>
        </w:tc>
      </w:tr>
      <w:tr w14:paraId="448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4B55FC12">
            <w:pPr>
              <w:ind w:firstLine="0" w:firstLineChars="0"/>
              <w:rPr>
                <w:szCs w:val="21"/>
              </w:rPr>
            </w:pPr>
          </w:p>
        </w:tc>
        <w:tc>
          <w:tcPr>
            <w:tcW w:w="4017" w:type="pct"/>
            <w:shd w:val="clear" w:color="auto" w:fill="auto"/>
            <w:vAlign w:val="center"/>
          </w:tcPr>
          <w:p w14:paraId="0A1B7B96">
            <w:pPr>
              <w:ind w:firstLine="0" w:firstLineChars="0"/>
              <w:rPr>
                <w:szCs w:val="21"/>
              </w:rPr>
            </w:pPr>
            <w:r>
              <w:rPr>
                <w:rFonts w:hint="eastAsia"/>
                <w:szCs w:val="21"/>
              </w:rPr>
              <w:t>支持对资产IP地址（含内网IP）的地理信息进行管理，支持地图显示；(提供产品功能截图)</w:t>
            </w:r>
          </w:p>
        </w:tc>
      </w:tr>
      <w:tr w14:paraId="3FEF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3F9629F7">
            <w:pPr>
              <w:ind w:firstLine="0" w:firstLineChars="0"/>
              <w:rPr>
                <w:szCs w:val="21"/>
              </w:rPr>
            </w:pPr>
          </w:p>
        </w:tc>
        <w:tc>
          <w:tcPr>
            <w:tcW w:w="4017" w:type="pct"/>
            <w:shd w:val="clear" w:color="auto" w:fill="auto"/>
            <w:vAlign w:val="center"/>
          </w:tcPr>
          <w:p w14:paraId="634B7057">
            <w:pPr>
              <w:ind w:firstLine="0" w:firstLineChars="0"/>
              <w:rPr>
                <w:szCs w:val="21"/>
              </w:rPr>
            </w:pPr>
            <w:r>
              <w:rPr>
                <w:rFonts w:hint="eastAsia"/>
                <w:szCs w:val="21"/>
              </w:rPr>
              <w:t>支持自定义资产类型及资产属性；支持对资产自定义标签，对标签内容进行查询和管理；</w:t>
            </w:r>
          </w:p>
        </w:tc>
      </w:tr>
      <w:tr w14:paraId="7D5C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shd w:val="clear" w:color="auto" w:fill="auto"/>
            <w:vAlign w:val="center"/>
          </w:tcPr>
          <w:p w14:paraId="61A04CC0">
            <w:pPr>
              <w:ind w:firstLine="0" w:firstLineChars="0"/>
              <w:rPr>
                <w:szCs w:val="21"/>
              </w:rPr>
            </w:pPr>
            <w:r>
              <w:rPr>
                <w:rFonts w:hint="eastAsia"/>
                <w:szCs w:val="21"/>
              </w:rPr>
              <w:t>日志归一化</w:t>
            </w:r>
          </w:p>
        </w:tc>
        <w:tc>
          <w:tcPr>
            <w:tcW w:w="4017" w:type="pct"/>
            <w:shd w:val="clear" w:color="auto" w:fill="auto"/>
            <w:vAlign w:val="center"/>
          </w:tcPr>
          <w:p w14:paraId="53DEEB57">
            <w:pPr>
              <w:ind w:firstLine="0" w:firstLineChars="0"/>
              <w:rPr>
                <w:szCs w:val="21"/>
              </w:rPr>
            </w:pPr>
            <w:r>
              <w:rPr>
                <w:rFonts w:hint="eastAsia"/>
                <w:szCs w:val="21"/>
              </w:rPr>
              <w:t>支持对日志进行归一化处理并保留原始日志，方便用户对关键日志快速定位和事后取证；</w:t>
            </w:r>
          </w:p>
        </w:tc>
      </w:tr>
      <w:tr w14:paraId="2374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 w:type="pct"/>
            <w:vMerge w:val="continue"/>
            <w:shd w:val="clear" w:color="auto" w:fill="auto"/>
            <w:vAlign w:val="center"/>
          </w:tcPr>
          <w:p w14:paraId="3281F93E">
            <w:pPr>
              <w:ind w:firstLine="0" w:firstLineChars="0"/>
              <w:rPr>
                <w:szCs w:val="21"/>
              </w:rPr>
            </w:pPr>
          </w:p>
        </w:tc>
        <w:tc>
          <w:tcPr>
            <w:tcW w:w="4017" w:type="pct"/>
            <w:shd w:val="clear" w:color="auto" w:fill="auto"/>
            <w:vAlign w:val="center"/>
          </w:tcPr>
          <w:p w14:paraId="49601320">
            <w:pPr>
              <w:ind w:firstLine="0" w:firstLineChars="0"/>
              <w:rPr>
                <w:szCs w:val="21"/>
              </w:rPr>
            </w:pPr>
            <w:r>
              <w:rPr>
                <w:rFonts w:hint="eastAsia"/>
                <w:szCs w:val="21"/>
              </w:rPr>
              <w:t>支持提供页面可视化编辑归一化策略，对页面查看的日志编辑归一化策略；(提供产品功能截图)</w:t>
            </w:r>
          </w:p>
        </w:tc>
      </w:tr>
      <w:tr w14:paraId="4B285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6E8F07AF">
            <w:pPr>
              <w:ind w:firstLine="0" w:firstLineChars="0"/>
              <w:rPr>
                <w:szCs w:val="21"/>
              </w:rPr>
            </w:pPr>
          </w:p>
        </w:tc>
        <w:tc>
          <w:tcPr>
            <w:tcW w:w="4017" w:type="pct"/>
            <w:shd w:val="clear" w:color="auto" w:fill="auto"/>
            <w:vAlign w:val="center"/>
          </w:tcPr>
          <w:p w14:paraId="05B3DB92">
            <w:pPr>
              <w:ind w:firstLine="0" w:firstLineChars="0"/>
              <w:rPr>
                <w:szCs w:val="21"/>
              </w:rPr>
            </w:pPr>
            <w:r>
              <w:rPr>
                <w:rFonts w:hint="eastAsia"/>
                <w:szCs w:val="21"/>
              </w:rPr>
              <w:t xml:space="preserve">支持正则表达式、Key-Value、JSON日志解析，支持日志自动化辅助范化； </w:t>
            </w:r>
          </w:p>
        </w:tc>
      </w:tr>
      <w:tr w14:paraId="4015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138D077E">
            <w:pPr>
              <w:ind w:firstLine="0" w:firstLineChars="0"/>
              <w:rPr>
                <w:szCs w:val="21"/>
              </w:rPr>
            </w:pPr>
          </w:p>
        </w:tc>
        <w:tc>
          <w:tcPr>
            <w:tcW w:w="4017" w:type="pct"/>
            <w:shd w:val="clear" w:color="auto" w:fill="auto"/>
            <w:vAlign w:val="center"/>
          </w:tcPr>
          <w:p w14:paraId="3473C5FA">
            <w:pPr>
              <w:ind w:firstLine="0" w:firstLineChars="0"/>
              <w:rPr>
                <w:szCs w:val="21"/>
              </w:rPr>
            </w:pPr>
            <w:r>
              <w:rPr>
                <w:rFonts w:hint="eastAsia"/>
                <w:szCs w:val="21"/>
              </w:rPr>
              <w:t>支持自动识别收集的日志并自动选择范化策略，针对匹配的多条范化策略，支持用户手工设置策略匹配优先级，保证最佳范化策略匹配；(提供产品功能截图)</w:t>
            </w:r>
          </w:p>
        </w:tc>
      </w:tr>
      <w:tr w14:paraId="0705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shd w:val="clear" w:color="auto" w:fill="auto"/>
            <w:vAlign w:val="center"/>
          </w:tcPr>
          <w:p w14:paraId="0E59B911">
            <w:pPr>
              <w:ind w:firstLine="0" w:firstLineChars="0"/>
              <w:rPr>
                <w:szCs w:val="21"/>
              </w:rPr>
            </w:pPr>
            <w:r>
              <w:rPr>
                <w:rFonts w:hint="eastAsia"/>
                <w:szCs w:val="21"/>
              </w:rPr>
              <w:t>日志交互式分析</w:t>
            </w:r>
          </w:p>
        </w:tc>
        <w:tc>
          <w:tcPr>
            <w:tcW w:w="4017" w:type="pct"/>
            <w:shd w:val="clear" w:color="auto" w:fill="auto"/>
            <w:vAlign w:val="center"/>
          </w:tcPr>
          <w:p w14:paraId="36F2B854">
            <w:pPr>
              <w:ind w:firstLine="0" w:firstLineChars="0"/>
              <w:rPr>
                <w:szCs w:val="21"/>
              </w:rPr>
            </w:pPr>
            <w:r>
              <w:rPr>
                <w:rFonts w:hint="eastAsia"/>
                <w:szCs w:val="21"/>
              </w:rPr>
              <w:t>支持全文检索的大数据处理能力，能够对事件进行非格式化的文本式处理，快速搜索分析各类安全事件；</w:t>
            </w:r>
          </w:p>
        </w:tc>
      </w:tr>
      <w:tr w14:paraId="77ED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 w:type="pct"/>
            <w:vMerge w:val="continue"/>
            <w:shd w:val="clear" w:color="auto" w:fill="auto"/>
            <w:vAlign w:val="center"/>
          </w:tcPr>
          <w:p w14:paraId="478F4946">
            <w:pPr>
              <w:ind w:firstLine="0" w:firstLineChars="0"/>
              <w:rPr>
                <w:szCs w:val="21"/>
              </w:rPr>
            </w:pPr>
          </w:p>
        </w:tc>
        <w:tc>
          <w:tcPr>
            <w:tcW w:w="4017" w:type="pct"/>
            <w:shd w:val="clear" w:color="auto" w:fill="auto"/>
            <w:vAlign w:val="center"/>
          </w:tcPr>
          <w:p w14:paraId="45E82B2C">
            <w:pPr>
              <w:ind w:firstLine="0" w:firstLineChars="0"/>
              <w:rPr>
                <w:szCs w:val="21"/>
              </w:rPr>
            </w:pPr>
            <w:r>
              <w:rPr>
                <w:rFonts w:hint="eastAsia"/>
                <w:szCs w:val="21"/>
              </w:rPr>
              <w:t>支持采用机器学习对原始日志进行聚类分析，能够对原始日志结构模式进行自动识别(无须范化)；</w:t>
            </w:r>
          </w:p>
        </w:tc>
      </w:tr>
      <w:tr w14:paraId="40B1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269ABFFA">
            <w:pPr>
              <w:ind w:firstLine="0" w:firstLineChars="0"/>
              <w:rPr>
                <w:szCs w:val="21"/>
              </w:rPr>
            </w:pPr>
          </w:p>
        </w:tc>
        <w:tc>
          <w:tcPr>
            <w:tcW w:w="4017" w:type="pct"/>
            <w:shd w:val="clear" w:color="auto" w:fill="auto"/>
            <w:vAlign w:val="center"/>
          </w:tcPr>
          <w:p w14:paraId="2ED7C2B0">
            <w:pPr>
              <w:ind w:firstLine="0" w:firstLineChars="0"/>
              <w:rPr>
                <w:szCs w:val="21"/>
              </w:rPr>
            </w:pPr>
            <w:r>
              <w:rPr>
                <w:rFonts w:hint="eastAsia"/>
                <w:szCs w:val="21"/>
              </w:rPr>
              <w:t>支持图形化展示日志属性之间的聚合关系，支持手动选择日志属性，显示多维事件分析图；(提供产品功能截图)</w:t>
            </w:r>
          </w:p>
        </w:tc>
      </w:tr>
      <w:tr w14:paraId="4A81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shd w:val="clear" w:color="auto" w:fill="auto"/>
            <w:vAlign w:val="center"/>
          </w:tcPr>
          <w:p w14:paraId="12EA16CA">
            <w:pPr>
              <w:ind w:firstLine="0" w:firstLineChars="0"/>
              <w:rPr>
                <w:szCs w:val="21"/>
              </w:rPr>
            </w:pPr>
            <w:r>
              <w:rPr>
                <w:rFonts w:hint="eastAsia"/>
                <w:szCs w:val="21"/>
              </w:rPr>
              <w:t>关联分析</w:t>
            </w:r>
          </w:p>
        </w:tc>
        <w:tc>
          <w:tcPr>
            <w:tcW w:w="4017" w:type="pct"/>
            <w:shd w:val="clear" w:color="auto" w:fill="auto"/>
            <w:vAlign w:val="center"/>
          </w:tcPr>
          <w:p w14:paraId="790188F6">
            <w:pPr>
              <w:ind w:firstLine="0" w:firstLineChars="0"/>
              <w:rPr>
                <w:szCs w:val="21"/>
              </w:rPr>
            </w:pPr>
            <w:r>
              <w:rPr>
                <w:rFonts w:hint="eastAsia"/>
                <w:szCs w:val="21"/>
              </w:rPr>
              <w:t>支持基于规则的关联分析引擎，可提供逻辑关联、统计关联和递归关联的关联分析能力；</w:t>
            </w:r>
          </w:p>
        </w:tc>
      </w:tr>
      <w:tr w14:paraId="047F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5CAF4127">
            <w:pPr>
              <w:ind w:firstLine="0" w:firstLineChars="0"/>
              <w:rPr>
                <w:szCs w:val="21"/>
              </w:rPr>
            </w:pPr>
          </w:p>
        </w:tc>
        <w:tc>
          <w:tcPr>
            <w:tcW w:w="4017" w:type="pct"/>
            <w:shd w:val="clear" w:color="auto" w:fill="auto"/>
            <w:vAlign w:val="center"/>
          </w:tcPr>
          <w:p w14:paraId="2A4AD240">
            <w:pPr>
              <w:ind w:firstLine="0" w:firstLineChars="0"/>
              <w:rPr>
                <w:szCs w:val="21"/>
              </w:rPr>
            </w:pPr>
            <w:r>
              <w:rPr>
                <w:rFonts w:hint="eastAsia"/>
                <w:szCs w:val="21"/>
              </w:rPr>
              <w:t>支持单事件关联和多事件关联，能够针对多个不同类型不同来源的安全事件进行综合关联分析；</w:t>
            </w:r>
          </w:p>
        </w:tc>
      </w:tr>
      <w:tr w14:paraId="1688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 w:type="pct"/>
            <w:vMerge w:val="continue"/>
            <w:shd w:val="clear" w:color="auto" w:fill="auto"/>
            <w:vAlign w:val="center"/>
          </w:tcPr>
          <w:p w14:paraId="404FE327">
            <w:pPr>
              <w:ind w:firstLine="0" w:firstLineChars="0"/>
              <w:rPr>
                <w:szCs w:val="21"/>
              </w:rPr>
            </w:pPr>
          </w:p>
        </w:tc>
        <w:tc>
          <w:tcPr>
            <w:tcW w:w="4017" w:type="pct"/>
            <w:shd w:val="clear" w:color="auto" w:fill="auto"/>
            <w:vAlign w:val="center"/>
          </w:tcPr>
          <w:p w14:paraId="49023DA7">
            <w:pPr>
              <w:ind w:firstLine="0" w:firstLineChars="0"/>
              <w:rPr>
                <w:szCs w:val="21"/>
              </w:rPr>
            </w:pPr>
            <w:r>
              <w:rPr>
                <w:rFonts w:hint="eastAsia"/>
                <w:szCs w:val="21"/>
              </w:rPr>
              <w:t>支持对关联规则进行监控，了解规则命中情况；(提供产品功能截图)</w:t>
            </w:r>
          </w:p>
        </w:tc>
      </w:tr>
      <w:tr w14:paraId="0332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shd w:val="clear" w:color="auto" w:fill="auto"/>
            <w:vAlign w:val="center"/>
          </w:tcPr>
          <w:p w14:paraId="11DB162E">
            <w:pPr>
              <w:ind w:firstLine="0" w:firstLineChars="0"/>
              <w:rPr>
                <w:szCs w:val="21"/>
              </w:rPr>
            </w:pPr>
            <w:r>
              <w:rPr>
                <w:rFonts w:hint="eastAsia"/>
                <w:szCs w:val="21"/>
              </w:rPr>
              <w:t>日志统计分析</w:t>
            </w:r>
          </w:p>
        </w:tc>
        <w:tc>
          <w:tcPr>
            <w:tcW w:w="4017" w:type="pct"/>
            <w:shd w:val="clear" w:color="auto" w:fill="auto"/>
            <w:vAlign w:val="center"/>
          </w:tcPr>
          <w:p w14:paraId="56D1CCEA">
            <w:pPr>
              <w:ind w:firstLine="0" w:firstLineChars="0"/>
              <w:rPr>
                <w:szCs w:val="21"/>
              </w:rPr>
            </w:pPr>
            <w:r>
              <w:rPr>
                <w:rFonts w:hint="eastAsia"/>
                <w:szCs w:val="21"/>
              </w:rPr>
              <w:t xml:space="preserve">支持自定义统计场景，可设定统计的字段和时间段等； </w:t>
            </w:r>
          </w:p>
        </w:tc>
      </w:tr>
      <w:tr w14:paraId="7FAA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51833156">
            <w:pPr>
              <w:ind w:firstLine="0" w:firstLineChars="0"/>
              <w:rPr>
                <w:szCs w:val="21"/>
              </w:rPr>
            </w:pPr>
          </w:p>
        </w:tc>
        <w:tc>
          <w:tcPr>
            <w:tcW w:w="4017" w:type="pct"/>
            <w:shd w:val="clear" w:color="auto" w:fill="auto"/>
            <w:vAlign w:val="center"/>
          </w:tcPr>
          <w:p w14:paraId="52111A46">
            <w:pPr>
              <w:ind w:firstLine="0" w:firstLineChars="0"/>
              <w:rPr>
                <w:szCs w:val="21"/>
              </w:rPr>
            </w:pPr>
            <w:r>
              <w:rPr>
                <w:rFonts w:hint="eastAsia"/>
                <w:szCs w:val="21"/>
              </w:rPr>
              <w:t>支持将统计结果保存为仪表板、报表和策略；</w:t>
            </w:r>
          </w:p>
        </w:tc>
      </w:tr>
      <w:tr w14:paraId="29A3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shd w:val="clear" w:color="auto" w:fill="auto"/>
            <w:vAlign w:val="center"/>
          </w:tcPr>
          <w:p w14:paraId="0156C13F">
            <w:pPr>
              <w:ind w:firstLine="0" w:firstLineChars="0"/>
              <w:rPr>
                <w:szCs w:val="21"/>
              </w:rPr>
            </w:pPr>
            <w:r>
              <w:rPr>
                <w:rFonts w:hint="eastAsia"/>
                <w:szCs w:val="21"/>
              </w:rPr>
              <w:t>日志综合展现</w:t>
            </w:r>
          </w:p>
        </w:tc>
        <w:tc>
          <w:tcPr>
            <w:tcW w:w="4017" w:type="pct"/>
            <w:shd w:val="clear" w:color="auto" w:fill="auto"/>
            <w:vAlign w:val="center"/>
          </w:tcPr>
          <w:p w14:paraId="43AEC2DF">
            <w:pPr>
              <w:ind w:firstLine="0" w:firstLineChars="0"/>
              <w:rPr>
                <w:szCs w:val="21"/>
              </w:rPr>
            </w:pPr>
            <w:r>
              <w:rPr>
                <w:rFonts w:hint="eastAsia"/>
                <w:szCs w:val="21"/>
              </w:rPr>
              <w:t>支持可编辑的自定义仪表板；支持自定义创建框架，可在框架内添加不同的仪表板组件；</w:t>
            </w:r>
          </w:p>
        </w:tc>
      </w:tr>
      <w:tr w14:paraId="124F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 w:type="pct"/>
            <w:vMerge w:val="continue"/>
            <w:shd w:val="clear" w:color="auto" w:fill="auto"/>
            <w:vAlign w:val="center"/>
          </w:tcPr>
          <w:p w14:paraId="28DC3627">
            <w:pPr>
              <w:ind w:firstLine="0" w:firstLineChars="0"/>
              <w:rPr>
                <w:szCs w:val="21"/>
              </w:rPr>
            </w:pPr>
          </w:p>
        </w:tc>
        <w:tc>
          <w:tcPr>
            <w:tcW w:w="4017" w:type="pct"/>
            <w:shd w:val="clear" w:color="auto" w:fill="auto"/>
            <w:vAlign w:val="center"/>
          </w:tcPr>
          <w:p w14:paraId="37383F27">
            <w:pPr>
              <w:ind w:firstLine="0" w:firstLineChars="0"/>
              <w:rPr>
                <w:szCs w:val="21"/>
              </w:rPr>
            </w:pPr>
            <w:r>
              <w:rPr>
                <w:rFonts w:hint="eastAsia"/>
                <w:szCs w:val="21"/>
              </w:rPr>
              <w:t>支持随时调整已创建的仪表板，编辑仪表板展示条件，调整位置、新增组件等，可对仪表板的任一元素进行下钻，查看原始日志；(提供产品功能截图)</w:t>
            </w:r>
          </w:p>
        </w:tc>
      </w:tr>
      <w:tr w14:paraId="2B44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continue"/>
            <w:shd w:val="clear" w:color="auto" w:fill="auto"/>
            <w:vAlign w:val="center"/>
          </w:tcPr>
          <w:p w14:paraId="2C2FB949">
            <w:pPr>
              <w:ind w:firstLine="0" w:firstLineChars="0"/>
              <w:rPr>
                <w:szCs w:val="21"/>
              </w:rPr>
            </w:pPr>
          </w:p>
        </w:tc>
        <w:tc>
          <w:tcPr>
            <w:tcW w:w="4017" w:type="pct"/>
            <w:shd w:val="clear" w:color="auto" w:fill="auto"/>
            <w:vAlign w:val="center"/>
          </w:tcPr>
          <w:p w14:paraId="0D52E93C">
            <w:pPr>
              <w:ind w:firstLine="0" w:firstLineChars="0"/>
              <w:rPr>
                <w:szCs w:val="21"/>
              </w:rPr>
            </w:pPr>
            <w:r>
              <w:rPr>
                <w:rFonts w:hint="eastAsia"/>
                <w:szCs w:val="21"/>
              </w:rPr>
              <w:t>支持展示日志源数量、原始日志数、关联事件数、告警总数、已保存日志天数、平均每天日志存储量、存储空间情况等；</w:t>
            </w:r>
          </w:p>
        </w:tc>
      </w:tr>
      <w:tr w14:paraId="1E6B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shd w:val="clear" w:color="auto" w:fill="auto"/>
            <w:vAlign w:val="center"/>
          </w:tcPr>
          <w:p w14:paraId="564DD52D">
            <w:pPr>
              <w:ind w:firstLine="0" w:firstLineChars="0"/>
              <w:rPr>
                <w:szCs w:val="21"/>
              </w:rPr>
            </w:pPr>
            <w:r>
              <w:rPr>
                <w:rFonts w:hint="eastAsia"/>
                <w:szCs w:val="21"/>
              </w:rPr>
              <w:t>告警管理</w:t>
            </w:r>
          </w:p>
        </w:tc>
        <w:tc>
          <w:tcPr>
            <w:tcW w:w="4017" w:type="pct"/>
            <w:shd w:val="clear" w:color="auto" w:fill="auto"/>
            <w:vAlign w:val="center"/>
          </w:tcPr>
          <w:p w14:paraId="0834EBFE">
            <w:pPr>
              <w:ind w:firstLine="0" w:firstLineChars="0"/>
              <w:rPr>
                <w:szCs w:val="21"/>
              </w:rPr>
            </w:pPr>
            <w:r>
              <w:rPr>
                <w:rFonts w:hint="eastAsia"/>
                <w:szCs w:val="21"/>
              </w:rPr>
              <w:t>支持告警规则自定义，告警可查询，支持列表和统计展示；支持告警归并；</w:t>
            </w:r>
          </w:p>
        </w:tc>
      </w:tr>
      <w:tr w14:paraId="332F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vMerge w:val="restart"/>
            <w:shd w:val="clear" w:color="auto" w:fill="auto"/>
            <w:vAlign w:val="center"/>
          </w:tcPr>
          <w:p w14:paraId="50CA8276">
            <w:pPr>
              <w:ind w:firstLine="0" w:firstLineChars="0"/>
              <w:rPr>
                <w:szCs w:val="21"/>
              </w:rPr>
            </w:pPr>
            <w:r>
              <w:rPr>
                <w:rFonts w:hint="eastAsia"/>
                <w:szCs w:val="21"/>
              </w:rPr>
              <w:t>报表管理</w:t>
            </w:r>
          </w:p>
        </w:tc>
        <w:tc>
          <w:tcPr>
            <w:tcW w:w="4017" w:type="pct"/>
            <w:shd w:val="clear" w:color="auto" w:fill="auto"/>
            <w:vAlign w:val="center"/>
          </w:tcPr>
          <w:p w14:paraId="01C381EC">
            <w:pPr>
              <w:ind w:firstLine="0" w:firstLineChars="0"/>
              <w:rPr>
                <w:szCs w:val="21"/>
              </w:rPr>
            </w:pPr>
            <w:r>
              <w:rPr>
                <w:rFonts w:hint="eastAsia"/>
                <w:szCs w:val="21"/>
              </w:rPr>
              <w:t xml:space="preserve">提供丰富的报表管理功能，根据时间、数据类型等生成报表，为管理员提供决策和分析的数据基础； </w:t>
            </w:r>
          </w:p>
        </w:tc>
      </w:tr>
      <w:tr w14:paraId="4963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3" w:type="pct"/>
            <w:vMerge w:val="continue"/>
            <w:shd w:val="clear" w:color="auto" w:fill="auto"/>
            <w:vAlign w:val="center"/>
          </w:tcPr>
          <w:p w14:paraId="0748E097">
            <w:pPr>
              <w:ind w:firstLine="0" w:firstLineChars="0"/>
              <w:rPr>
                <w:szCs w:val="21"/>
              </w:rPr>
            </w:pPr>
          </w:p>
        </w:tc>
        <w:tc>
          <w:tcPr>
            <w:tcW w:w="4017" w:type="pct"/>
            <w:shd w:val="clear" w:color="auto" w:fill="auto"/>
            <w:vAlign w:val="center"/>
          </w:tcPr>
          <w:p w14:paraId="51ED8024">
            <w:pPr>
              <w:ind w:firstLine="0" w:firstLineChars="0"/>
              <w:rPr>
                <w:szCs w:val="21"/>
              </w:rPr>
            </w:pPr>
            <w:r>
              <w:rPr>
                <w:rFonts w:hint="eastAsia"/>
                <w:szCs w:val="21"/>
              </w:rPr>
              <w:t>支持提供安全运维报告，帮助运维人员快速生成日常日志分析和运维报告；(提供产品功能截图)</w:t>
            </w:r>
          </w:p>
        </w:tc>
      </w:tr>
      <w:tr w14:paraId="4090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shd w:val="clear" w:color="auto" w:fill="auto"/>
            <w:vAlign w:val="center"/>
          </w:tcPr>
          <w:p w14:paraId="413653AF">
            <w:pPr>
              <w:ind w:firstLine="0" w:firstLineChars="0"/>
              <w:rPr>
                <w:szCs w:val="21"/>
              </w:rPr>
            </w:pPr>
            <w:r>
              <w:rPr>
                <w:rFonts w:hint="eastAsia"/>
                <w:szCs w:val="21"/>
              </w:rPr>
              <w:t>备份归档</w:t>
            </w:r>
          </w:p>
        </w:tc>
        <w:tc>
          <w:tcPr>
            <w:tcW w:w="4017" w:type="pct"/>
            <w:shd w:val="clear" w:color="auto" w:fill="auto"/>
            <w:vAlign w:val="center"/>
          </w:tcPr>
          <w:p w14:paraId="36EDB1B6">
            <w:pPr>
              <w:ind w:firstLine="0" w:firstLineChars="0"/>
              <w:rPr>
                <w:szCs w:val="21"/>
              </w:rPr>
            </w:pPr>
            <w:r>
              <w:rPr>
                <w:rFonts w:hint="eastAsia"/>
                <w:szCs w:val="21"/>
              </w:rPr>
              <w:t>支持按周期的方式选择备份，支持原始日志与分析后日志分离，支持历史日志恢复导入；支持以FTP/SFTP方式将日志数据备份至外部存储空间，支持数据恢复</w:t>
            </w:r>
          </w:p>
        </w:tc>
      </w:tr>
      <w:tr w14:paraId="289E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 w:type="pct"/>
            <w:shd w:val="clear" w:color="auto" w:fill="auto"/>
            <w:vAlign w:val="center"/>
          </w:tcPr>
          <w:p w14:paraId="08B2875C">
            <w:pPr>
              <w:ind w:firstLine="0" w:firstLineChars="0"/>
              <w:rPr>
                <w:szCs w:val="21"/>
              </w:rPr>
            </w:pPr>
            <w:r>
              <w:rPr>
                <w:rFonts w:hint="eastAsia"/>
                <w:szCs w:val="21"/>
              </w:rPr>
              <w:t>国产化要求</w:t>
            </w:r>
          </w:p>
        </w:tc>
        <w:tc>
          <w:tcPr>
            <w:tcW w:w="4017" w:type="pct"/>
            <w:shd w:val="clear" w:color="auto" w:fill="auto"/>
            <w:vAlign w:val="center"/>
          </w:tcPr>
          <w:p w14:paraId="70D841E5">
            <w:pPr>
              <w:ind w:firstLine="0" w:firstLineChars="0"/>
              <w:rPr>
                <w:szCs w:val="21"/>
              </w:rPr>
            </w:pPr>
            <w:r>
              <w:rPr>
                <w:rFonts w:hint="eastAsia"/>
                <w:szCs w:val="21"/>
              </w:rPr>
              <w:t>须支持国产化环境，支持国产芯片及操作系统；</w:t>
            </w:r>
          </w:p>
        </w:tc>
      </w:tr>
      <w:tr w14:paraId="62E5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83" w:type="pct"/>
            <w:vMerge w:val="restart"/>
            <w:shd w:val="clear" w:color="auto" w:fill="auto"/>
            <w:vAlign w:val="center"/>
          </w:tcPr>
          <w:p w14:paraId="6CE4BBD4">
            <w:pPr>
              <w:ind w:firstLine="0" w:firstLineChars="0"/>
              <w:rPr>
                <w:szCs w:val="21"/>
              </w:rPr>
            </w:pPr>
            <w:r>
              <w:rPr>
                <w:rFonts w:hint="eastAsia"/>
                <w:szCs w:val="21"/>
              </w:rPr>
              <w:t>产品资质</w:t>
            </w:r>
          </w:p>
        </w:tc>
        <w:tc>
          <w:tcPr>
            <w:tcW w:w="4017" w:type="pct"/>
            <w:shd w:val="clear" w:color="auto" w:fill="auto"/>
            <w:vAlign w:val="center"/>
          </w:tcPr>
          <w:p w14:paraId="27B8B52F">
            <w:pPr>
              <w:ind w:firstLine="0" w:firstLineChars="0"/>
              <w:rPr>
                <w:szCs w:val="21"/>
              </w:rPr>
            </w:pPr>
            <w:r>
              <w:rPr>
                <w:rFonts w:hint="eastAsia"/>
                <w:szCs w:val="21"/>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r w14:paraId="5BAD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83" w:type="pct"/>
            <w:vMerge w:val="continue"/>
            <w:shd w:val="clear" w:color="auto" w:fill="auto"/>
            <w:vAlign w:val="center"/>
          </w:tcPr>
          <w:p w14:paraId="4D300822">
            <w:pPr>
              <w:ind w:firstLine="0" w:firstLineChars="0"/>
              <w:rPr>
                <w:szCs w:val="21"/>
              </w:rPr>
            </w:pPr>
          </w:p>
        </w:tc>
        <w:tc>
          <w:tcPr>
            <w:tcW w:w="4017" w:type="pct"/>
            <w:shd w:val="clear" w:color="auto" w:fill="auto"/>
            <w:vAlign w:val="center"/>
          </w:tcPr>
          <w:p w14:paraId="7E789645">
            <w:pPr>
              <w:ind w:firstLine="0" w:firstLineChars="0"/>
              <w:rPr>
                <w:szCs w:val="21"/>
              </w:rPr>
            </w:pPr>
            <w:r>
              <w:rPr>
                <w:rFonts w:hint="eastAsia"/>
                <w:szCs w:val="21"/>
              </w:rPr>
              <w:t>产品具备信息技术产品安全测评证书（EAL3+及以上）</w:t>
            </w:r>
          </w:p>
        </w:tc>
      </w:tr>
    </w:tbl>
    <w:p w14:paraId="6926071F"/>
    <w:p w14:paraId="315098B5">
      <w:pPr>
        <w:pStyle w:val="5"/>
        <w:ind w:firstLine="0" w:firstLineChars="0"/>
      </w:pPr>
      <w:r>
        <w:rPr>
          <w:rFonts w:hint="eastAsia"/>
        </w:rPr>
        <w:t>2、主机及终端安全</w:t>
      </w:r>
      <w:bookmarkEnd w:id="31"/>
      <w:bookmarkEnd w:id="32"/>
    </w:p>
    <w:p w14:paraId="1F5585C1">
      <w:pPr>
        <w:pStyle w:val="6"/>
        <w:numPr>
          <w:ilvl w:val="3"/>
          <w:numId w:val="0"/>
        </w:numPr>
        <w:spacing w:line="413" w:lineRule="auto"/>
      </w:pPr>
      <w:bookmarkStart w:id="43" w:name="_Toc161989561"/>
      <w:bookmarkStart w:id="44" w:name="_Toc3099"/>
      <w:r>
        <w:rPr>
          <w:rFonts w:hint="eastAsia"/>
        </w:rPr>
        <w:t>2.1互联网主机安全管控系统</w:t>
      </w:r>
      <w:bookmarkEnd w:id="43"/>
      <w:bookmarkEnd w:id="44"/>
    </w:p>
    <w:p w14:paraId="485821DC">
      <w:pPr>
        <w:pStyle w:val="21"/>
        <w:ind w:firstLine="480"/>
      </w:pPr>
      <w:r>
        <w:rPr>
          <w:rFonts w:hint="eastAsia"/>
        </w:rPr>
        <w:t>本系统包含控制台和客户端两部分，控制台和客户端的技术规格参数分别如下。</w:t>
      </w:r>
    </w:p>
    <w:p w14:paraId="2EDE47F8">
      <w:pPr>
        <w:pStyle w:val="21"/>
        <w:ind w:firstLine="480"/>
      </w:pPr>
      <w:r>
        <w:rPr>
          <w:rFonts w:hint="eastAsia"/>
        </w:rPr>
        <w:t>控制台技术规格参数：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60"/>
      </w:tblGrid>
      <w:tr w14:paraId="2DE2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8" w:type="pct"/>
            <w:vAlign w:val="center"/>
          </w:tcPr>
          <w:p w14:paraId="630A0147">
            <w:pPr>
              <w:ind w:firstLine="482"/>
              <w:jc w:val="center"/>
              <w:rPr>
                <w:rFonts w:cs="宋体"/>
                <w:b/>
                <w:kern w:val="0"/>
                <w:szCs w:val="21"/>
              </w:rPr>
            </w:pPr>
            <w:r>
              <w:rPr>
                <w:rFonts w:hint="eastAsia" w:cs="宋体"/>
                <w:b/>
                <w:kern w:val="0"/>
                <w:szCs w:val="21"/>
              </w:rPr>
              <w:t>指标项</w:t>
            </w:r>
          </w:p>
        </w:tc>
        <w:tc>
          <w:tcPr>
            <w:tcW w:w="4021" w:type="pct"/>
            <w:vAlign w:val="center"/>
          </w:tcPr>
          <w:p w14:paraId="11158D1D">
            <w:pPr>
              <w:ind w:firstLine="482"/>
              <w:jc w:val="center"/>
              <w:rPr>
                <w:rFonts w:cs="宋体"/>
                <w:b/>
                <w:kern w:val="0"/>
                <w:szCs w:val="21"/>
              </w:rPr>
            </w:pPr>
            <w:r>
              <w:rPr>
                <w:rFonts w:hint="eastAsia" w:cs="宋体"/>
                <w:b/>
                <w:kern w:val="0"/>
                <w:szCs w:val="21"/>
              </w:rPr>
              <w:t>技术指标</w:t>
            </w:r>
          </w:p>
        </w:tc>
      </w:tr>
      <w:tr w14:paraId="203A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978" w:type="pct"/>
            <w:vMerge w:val="restart"/>
            <w:vAlign w:val="center"/>
          </w:tcPr>
          <w:p w14:paraId="126F3FAD">
            <w:pPr>
              <w:widowControl/>
              <w:ind w:firstLine="0" w:firstLineChars="0"/>
              <w:jc w:val="left"/>
              <w:textAlignment w:val="center"/>
              <w:rPr>
                <w:rFonts w:cs="宋体"/>
                <w:kern w:val="0"/>
                <w:szCs w:val="21"/>
              </w:rPr>
            </w:pPr>
            <w:r>
              <w:rPr>
                <w:rFonts w:hint="eastAsia" w:cs="宋体"/>
                <w:kern w:val="0"/>
                <w:szCs w:val="21"/>
              </w:rPr>
              <w:t>主机管理</w:t>
            </w:r>
          </w:p>
        </w:tc>
        <w:tc>
          <w:tcPr>
            <w:tcW w:w="4021" w:type="pct"/>
            <w:vAlign w:val="center"/>
          </w:tcPr>
          <w:p w14:paraId="522C69F7">
            <w:pPr>
              <w:widowControl/>
              <w:ind w:firstLine="0" w:firstLineChars="0"/>
              <w:jc w:val="left"/>
              <w:textAlignment w:val="center"/>
              <w:rPr>
                <w:rFonts w:cs="宋体"/>
                <w:kern w:val="0"/>
                <w:szCs w:val="21"/>
              </w:rPr>
            </w:pPr>
            <w:r>
              <w:rPr>
                <w:rFonts w:hint="eastAsia" w:cs="宋体"/>
                <w:kern w:val="0"/>
                <w:szCs w:val="21"/>
              </w:rPr>
              <w:t>客户端安装方式：支持常见的Linux和Windows操作系统，客户端安装支持一条命令以代理或直连方式直接安装，不需要重启服务或系统。常见操作系统至少包括：支持如下操作系统：Windows（包括windows Server 2008、2012、2016、2019、2022；）、Linux（包括CentOS 6、7、8；RHEL 6、7、8、9；Ubuntu 14、16、18、20；麒麟；统信；欧拉）、Unix （包括Solaris(X86) 10）</w:t>
            </w:r>
          </w:p>
          <w:p w14:paraId="612CDE9C">
            <w:pPr>
              <w:widowControl/>
              <w:ind w:firstLine="0" w:firstLineChars="0"/>
              <w:jc w:val="left"/>
              <w:textAlignment w:val="center"/>
              <w:rPr>
                <w:rFonts w:cs="宋体"/>
                <w:kern w:val="0"/>
                <w:szCs w:val="21"/>
              </w:rPr>
            </w:pPr>
            <w:r>
              <w:rPr>
                <w:rFonts w:hint="eastAsia" w:cs="宋体"/>
                <w:kern w:val="0"/>
                <w:szCs w:val="21"/>
              </w:rPr>
              <w:t>支持主流国产化环境：中标麒麟、华为鲲鹏、统信、海光、飞腾（需提供兼容互认证证书）</w:t>
            </w:r>
          </w:p>
        </w:tc>
      </w:tr>
      <w:tr w14:paraId="03CC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78" w:type="pct"/>
            <w:vMerge w:val="continue"/>
            <w:vAlign w:val="center"/>
          </w:tcPr>
          <w:p w14:paraId="1DFE1206">
            <w:pPr>
              <w:jc w:val="center"/>
              <w:rPr>
                <w:rFonts w:cs="宋体"/>
                <w:kern w:val="0"/>
                <w:szCs w:val="21"/>
              </w:rPr>
            </w:pPr>
          </w:p>
        </w:tc>
        <w:tc>
          <w:tcPr>
            <w:tcW w:w="4021" w:type="pct"/>
            <w:vAlign w:val="center"/>
          </w:tcPr>
          <w:p w14:paraId="2265AF40">
            <w:pPr>
              <w:widowControl/>
              <w:ind w:firstLine="0" w:firstLineChars="0"/>
              <w:jc w:val="left"/>
              <w:textAlignment w:val="center"/>
              <w:rPr>
                <w:rFonts w:cs="宋体"/>
                <w:kern w:val="0"/>
                <w:szCs w:val="21"/>
              </w:rPr>
            </w:pPr>
            <w:r>
              <w:rPr>
                <w:rFonts w:hint="eastAsia" w:cs="宋体"/>
                <w:kern w:val="0"/>
                <w:szCs w:val="21"/>
              </w:rPr>
              <w:t>客户端安全性：客户端具有反逆向、反调试功能、自保护功能，客户端和管理中心通信采用安全的加密机制。</w:t>
            </w:r>
          </w:p>
        </w:tc>
      </w:tr>
      <w:tr w14:paraId="1F79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78" w:type="pct"/>
            <w:vMerge w:val="continue"/>
            <w:vAlign w:val="center"/>
          </w:tcPr>
          <w:p w14:paraId="0495DED3">
            <w:pPr>
              <w:jc w:val="center"/>
              <w:rPr>
                <w:rFonts w:cs="宋体"/>
                <w:kern w:val="0"/>
                <w:szCs w:val="21"/>
              </w:rPr>
            </w:pPr>
          </w:p>
        </w:tc>
        <w:tc>
          <w:tcPr>
            <w:tcW w:w="4021" w:type="pct"/>
            <w:vAlign w:val="center"/>
          </w:tcPr>
          <w:p w14:paraId="198B5292">
            <w:pPr>
              <w:widowControl/>
              <w:ind w:firstLine="0" w:firstLineChars="0"/>
              <w:jc w:val="left"/>
              <w:textAlignment w:val="center"/>
              <w:rPr>
                <w:rFonts w:cs="宋体"/>
                <w:kern w:val="0"/>
                <w:szCs w:val="21"/>
              </w:rPr>
            </w:pPr>
            <w:r>
              <w:rPr>
                <w:rFonts w:hint="eastAsia" w:cs="宋体"/>
                <w:kern w:val="0"/>
                <w:szCs w:val="21"/>
              </w:rPr>
              <w:t>服务端国产化适配：服务端部署需支持国产化环境。</w:t>
            </w:r>
          </w:p>
        </w:tc>
      </w:tr>
      <w:tr w14:paraId="61B9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34A48ACB">
            <w:pPr>
              <w:jc w:val="center"/>
              <w:rPr>
                <w:rFonts w:cs="宋体"/>
                <w:kern w:val="0"/>
                <w:szCs w:val="21"/>
              </w:rPr>
            </w:pPr>
          </w:p>
        </w:tc>
        <w:tc>
          <w:tcPr>
            <w:tcW w:w="4021" w:type="pct"/>
            <w:vAlign w:val="center"/>
          </w:tcPr>
          <w:p w14:paraId="105719EC">
            <w:pPr>
              <w:widowControl/>
              <w:ind w:firstLine="0" w:firstLineChars="0"/>
              <w:jc w:val="left"/>
              <w:textAlignment w:val="center"/>
              <w:rPr>
                <w:rFonts w:cs="宋体"/>
                <w:kern w:val="0"/>
                <w:szCs w:val="21"/>
              </w:rPr>
            </w:pPr>
            <w:r>
              <w:rPr>
                <w:rFonts w:hint="eastAsia" w:cs="宋体"/>
                <w:kern w:val="0"/>
                <w:szCs w:val="21"/>
              </w:rPr>
              <w:t>以列表形式查看所有的访问关系，可对各来源IP、目的IP、目的端口、协议、进程名、连接状态、首次时间、最近连接时间等字段进行检索；</w:t>
            </w:r>
          </w:p>
        </w:tc>
      </w:tr>
      <w:tr w14:paraId="5575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289E1D62">
            <w:pPr>
              <w:jc w:val="center"/>
              <w:rPr>
                <w:rFonts w:cs="宋体"/>
                <w:kern w:val="0"/>
                <w:szCs w:val="21"/>
              </w:rPr>
            </w:pPr>
          </w:p>
        </w:tc>
        <w:tc>
          <w:tcPr>
            <w:tcW w:w="4021" w:type="pct"/>
            <w:vAlign w:val="center"/>
          </w:tcPr>
          <w:p w14:paraId="2B18DDD7">
            <w:pPr>
              <w:widowControl/>
              <w:ind w:firstLine="0" w:firstLineChars="0"/>
              <w:jc w:val="left"/>
              <w:textAlignment w:val="center"/>
              <w:rPr>
                <w:rFonts w:cs="宋体"/>
                <w:kern w:val="0"/>
                <w:szCs w:val="21"/>
              </w:rPr>
            </w:pPr>
            <w:r>
              <w:rPr>
                <w:rFonts w:hint="eastAsia" w:cs="宋体"/>
                <w:kern w:val="0"/>
                <w:szCs w:val="21"/>
              </w:rPr>
              <w:t>第三方对接：支持通过标准API和syslog接口的方式与第三方平台进行数据对接。</w:t>
            </w:r>
          </w:p>
        </w:tc>
      </w:tr>
      <w:tr w14:paraId="6FF2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550BABF0">
            <w:pPr>
              <w:ind w:firstLine="0" w:firstLineChars="0"/>
              <w:rPr>
                <w:rFonts w:cs="宋体"/>
                <w:kern w:val="0"/>
                <w:szCs w:val="21"/>
              </w:rPr>
            </w:pPr>
            <w:r>
              <w:rPr>
                <w:rFonts w:hint="eastAsia" w:cs="宋体"/>
                <w:kern w:val="0"/>
                <w:szCs w:val="21"/>
              </w:rPr>
              <w:t>实时监控</w:t>
            </w:r>
          </w:p>
        </w:tc>
        <w:tc>
          <w:tcPr>
            <w:tcW w:w="4021" w:type="pct"/>
            <w:vAlign w:val="center"/>
          </w:tcPr>
          <w:p w14:paraId="4EDDEB8D">
            <w:pPr>
              <w:widowControl/>
              <w:ind w:firstLine="0" w:firstLineChars="0"/>
              <w:jc w:val="left"/>
              <w:textAlignment w:val="center"/>
              <w:rPr>
                <w:rFonts w:cs="宋体"/>
                <w:kern w:val="0"/>
                <w:szCs w:val="21"/>
              </w:rPr>
            </w:pPr>
            <w:r>
              <w:rPr>
                <w:rFonts w:hint="eastAsia" w:cs="宋体"/>
                <w:kern w:val="0"/>
                <w:szCs w:val="21"/>
              </w:rPr>
              <w:t>应支持对主机异常行为，至少包括异常登录、暴力破解、反弹shell、web后门检测、系统后门检测、远程命令执行检测、可疑操作检测、本地提权检测等实时检测功能。</w:t>
            </w:r>
          </w:p>
        </w:tc>
      </w:tr>
      <w:tr w14:paraId="4841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8" w:type="pct"/>
            <w:vMerge w:val="restart"/>
            <w:vAlign w:val="center"/>
          </w:tcPr>
          <w:p w14:paraId="7B4B3AC6">
            <w:pPr>
              <w:ind w:firstLine="0" w:firstLineChars="0"/>
              <w:rPr>
                <w:rFonts w:cs="宋体"/>
                <w:kern w:val="0"/>
                <w:szCs w:val="21"/>
              </w:rPr>
            </w:pPr>
            <w:r>
              <w:rPr>
                <w:rFonts w:hint="eastAsia" w:cs="宋体"/>
                <w:kern w:val="0"/>
                <w:szCs w:val="21"/>
              </w:rPr>
              <w:t>告警通知</w:t>
            </w:r>
          </w:p>
        </w:tc>
        <w:tc>
          <w:tcPr>
            <w:tcW w:w="4021" w:type="pct"/>
            <w:vAlign w:val="center"/>
          </w:tcPr>
          <w:p w14:paraId="255EFDD8">
            <w:pPr>
              <w:widowControl/>
              <w:ind w:firstLine="0" w:firstLineChars="0"/>
              <w:jc w:val="left"/>
              <w:textAlignment w:val="center"/>
              <w:rPr>
                <w:rFonts w:cs="宋体"/>
                <w:kern w:val="0"/>
                <w:szCs w:val="21"/>
              </w:rPr>
            </w:pPr>
            <w:r>
              <w:rPr>
                <w:rFonts w:hint="eastAsia" w:cs="宋体"/>
                <w:kern w:val="0"/>
                <w:szCs w:val="21"/>
              </w:rPr>
              <w:t>系统应提供邮件、站内信等告警方式，告警支持统一管理，在系统中未被打开的通知应标识为未读，提供一键批量标记所有通知已读，告警发送时间，告警消息类型，告警标题，告警内容，且支持筛选搜索。</w:t>
            </w:r>
          </w:p>
        </w:tc>
      </w:tr>
      <w:tr w14:paraId="603E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42766EB6">
            <w:pPr>
              <w:ind w:firstLine="0" w:firstLineChars="0"/>
              <w:rPr>
                <w:rFonts w:cs="宋体"/>
                <w:kern w:val="0"/>
                <w:szCs w:val="21"/>
              </w:rPr>
            </w:pPr>
            <w:r>
              <w:rPr>
                <w:rFonts w:hint="eastAsia" w:cs="宋体"/>
                <w:kern w:val="0"/>
                <w:szCs w:val="21"/>
              </w:rPr>
              <w:t>系统审计</w:t>
            </w:r>
          </w:p>
        </w:tc>
        <w:tc>
          <w:tcPr>
            <w:tcW w:w="4021" w:type="pct"/>
            <w:vAlign w:val="center"/>
          </w:tcPr>
          <w:p w14:paraId="07D399CC">
            <w:pPr>
              <w:widowControl/>
              <w:ind w:firstLine="0" w:firstLineChars="0"/>
              <w:jc w:val="left"/>
              <w:textAlignment w:val="center"/>
              <w:rPr>
                <w:rFonts w:cs="宋体"/>
                <w:kern w:val="0"/>
                <w:szCs w:val="21"/>
              </w:rPr>
            </w:pPr>
            <w:r>
              <w:rPr>
                <w:rFonts w:hint="eastAsia" w:cs="宋体"/>
                <w:kern w:val="0"/>
                <w:szCs w:val="21"/>
              </w:rPr>
              <w:t>支持对本安全系统所有行为进行审计记录。</w:t>
            </w:r>
          </w:p>
        </w:tc>
      </w:tr>
      <w:tr w14:paraId="568F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50BED5E7">
            <w:pPr>
              <w:ind w:firstLine="0" w:firstLineChars="0"/>
              <w:rPr>
                <w:rFonts w:cs="宋体"/>
                <w:kern w:val="0"/>
                <w:szCs w:val="21"/>
              </w:rPr>
            </w:pPr>
            <w:r>
              <w:rPr>
                <w:rFonts w:hint="eastAsia" w:cs="宋体"/>
                <w:kern w:val="0"/>
                <w:szCs w:val="21"/>
              </w:rPr>
              <w:t>策略配置</w:t>
            </w:r>
          </w:p>
        </w:tc>
        <w:tc>
          <w:tcPr>
            <w:tcW w:w="4021" w:type="pct"/>
            <w:vAlign w:val="center"/>
          </w:tcPr>
          <w:p w14:paraId="4B102F45">
            <w:pPr>
              <w:widowControl/>
              <w:ind w:firstLine="0" w:firstLineChars="0"/>
              <w:jc w:val="left"/>
              <w:textAlignment w:val="center"/>
              <w:rPr>
                <w:rFonts w:cs="宋体"/>
                <w:kern w:val="0"/>
                <w:szCs w:val="21"/>
              </w:rPr>
            </w:pPr>
            <w:r>
              <w:rPr>
                <w:rFonts w:hint="eastAsia" w:cs="宋体"/>
                <w:kern w:val="0"/>
                <w:szCs w:val="21"/>
              </w:rPr>
              <w:t>支持资产标签自动更新，方便资产运维管理。</w:t>
            </w:r>
          </w:p>
        </w:tc>
      </w:tr>
      <w:tr w14:paraId="418C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51D903E4">
            <w:pPr>
              <w:ind w:firstLine="0" w:firstLineChars="0"/>
              <w:rPr>
                <w:rFonts w:cs="宋体"/>
                <w:kern w:val="0"/>
                <w:szCs w:val="21"/>
              </w:rPr>
            </w:pPr>
            <w:r>
              <w:rPr>
                <w:rFonts w:hint="eastAsia" w:cs="宋体"/>
                <w:kern w:val="0"/>
                <w:szCs w:val="21"/>
              </w:rPr>
              <w:t>产品资质</w:t>
            </w:r>
          </w:p>
        </w:tc>
        <w:tc>
          <w:tcPr>
            <w:tcW w:w="4021" w:type="pct"/>
            <w:vAlign w:val="center"/>
          </w:tcPr>
          <w:p w14:paraId="325DCF92">
            <w:pPr>
              <w:widowControl/>
              <w:ind w:firstLine="0" w:firstLineChars="0"/>
              <w:jc w:val="left"/>
              <w:textAlignment w:val="center"/>
              <w:rPr>
                <w:rFonts w:cs="宋体"/>
                <w:kern w:val="0"/>
                <w:szCs w:val="21"/>
              </w:rPr>
            </w:pPr>
            <w:r>
              <w:rPr>
                <w:rFonts w:hint="eastAsia" w:cs="宋体"/>
                <w:kern w:val="0"/>
                <w:szCs w:val="21"/>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bl>
    <w:p w14:paraId="49F0A9FF">
      <w:pPr>
        <w:pStyle w:val="21"/>
        <w:ind w:firstLine="480"/>
      </w:pPr>
    </w:p>
    <w:p w14:paraId="3C1C057F">
      <w:pPr>
        <w:pStyle w:val="21"/>
        <w:ind w:firstLine="480"/>
      </w:pPr>
      <w:r>
        <w:rPr>
          <w:rFonts w:hint="eastAsia"/>
        </w:rPr>
        <w:t>客户端技术规格参数：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60"/>
      </w:tblGrid>
      <w:tr w14:paraId="7F1F0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8" w:type="pct"/>
            <w:vAlign w:val="center"/>
          </w:tcPr>
          <w:p w14:paraId="7D6088ED">
            <w:pPr>
              <w:ind w:firstLine="482"/>
              <w:jc w:val="center"/>
              <w:rPr>
                <w:rFonts w:cs="宋体"/>
                <w:b/>
                <w:kern w:val="0"/>
                <w:szCs w:val="21"/>
              </w:rPr>
            </w:pPr>
            <w:r>
              <w:rPr>
                <w:rFonts w:hint="eastAsia" w:cs="宋体"/>
                <w:b/>
                <w:kern w:val="0"/>
                <w:szCs w:val="21"/>
              </w:rPr>
              <w:t>指标项</w:t>
            </w:r>
          </w:p>
        </w:tc>
        <w:tc>
          <w:tcPr>
            <w:tcW w:w="4022" w:type="pct"/>
            <w:vAlign w:val="center"/>
          </w:tcPr>
          <w:p w14:paraId="44451858">
            <w:pPr>
              <w:ind w:firstLine="482"/>
              <w:jc w:val="center"/>
              <w:rPr>
                <w:rFonts w:cs="宋体"/>
                <w:b/>
                <w:kern w:val="0"/>
                <w:szCs w:val="21"/>
              </w:rPr>
            </w:pPr>
            <w:r>
              <w:rPr>
                <w:rFonts w:hint="eastAsia" w:cs="宋体"/>
                <w:b/>
                <w:kern w:val="0"/>
                <w:szCs w:val="21"/>
              </w:rPr>
              <w:t>技术指标</w:t>
            </w:r>
          </w:p>
        </w:tc>
      </w:tr>
      <w:tr w14:paraId="66C8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1D24D3FD">
            <w:pPr>
              <w:ind w:firstLine="0" w:firstLineChars="0"/>
              <w:rPr>
                <w:rFonts w:cs="宋体"/>
                <w:kern w:val="0"/>
                <w:szCs w:val="21"/>
              </w:rPr>
            </w:pPr>
            <w:r>
              <w:rPr>
                <w:rFonts w:hint="eastAsia" w:cs="宋体"/>
                <w:kern w:val="0"/>
                <w:szCs w:val="21"/>
              </w:rPr>
              <w:t>资产清点</w:t>
            </w:r>
          </w:p>
        </w:tc>
        <w:tc>
          <w:tcPr>
            <w:tcW w:w="4022" w:type="pct"/>
            <w:vAlign w:val="center"/>
          </w:tcPr>
          <w:p w14:paraId="6DE24121">
            <w:pPr>
              <w:ind w:firstLine="0" w:firstLineChars="0"/>
              <w:rPr>
                <w:rFonts w:cs="宋体"/>
                <w:kern w:val="0"/>
                <w:szCs w:val="21"/>
              </w:rPr>
            </w:pPr>
            <w:r>
              <w:rPr>
                <w:rFonts w:hint="eastAsia" w:cs="宋体"/>
                <w:kern w:val="0"/>
                <w:szCs w:val="21"/>
              </w:rPr>
              <w:t>基本资产：支持清点主机各类基础资产，包括硬件、CPU、内存、磁盘、网卡IP、操作系统等信息。</w:t>
            </w:r>
          </w:p>
        </w:tc>
      </w:tr>
      <w:tr w14:paraId="0F0E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38288503">
            <w:pPr>
              <w:ind w:firstLine="0" w:firstLineChars="0"/>
              <w:rPr>
                <w:rFonts w:cs="宋体"/>
                <w:kern w:val="0"/>
                <w:szCs w:val="21"/>
              </w:rPr>
            </w:pPr>
          </w:p>
        </w:tc>
        <w:tc>
          <w:tcPr>
            <w:tcW w:w="4022" w:type="pct"/>
            <w:vAlign w:val="center"/>
          </w:tcPr>
          <w:p w14:paraId="5950481B">
            <w:pPr>
              <w:ind w:firstLine="0" w:firstLineChars="0"/>
              <w:rPr>
                <w:rFonts w:cs="宋体"/>
                <w:kern w:val="0"/>
                <w:szCs w:val="21"/>
              </w:rPr>
            </w:pPr>
            <w:r>
              <w:rPr>
                <w:rFonts w:hint="eastAsia" w:cs="宋体"/>
                <w:kern w:val="0"/>
                <w:szCs w:val="21"/>
              </w:rPr>
              <w:t>系统层资产清点：支持清点主机系统层相关资产，包括进程、端口、账号、启动项、计划任务、环境变量、内核模块等信息。</w:t>
            </w:r>
          </w:p>
        </w:tc>
      </w:tr>
      <w:tr w14:paraId="1B72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continue"/>
            <w:vAlign w:val="center"/>
          </w:tcPr>
          <w:p w14:paraId="384C65D2">
            <w:pPr>
              <w:ind w:firstLine="0" w:firstLineChars="0"/>
              <w:rPr>
                <w:rFonts w:cs="宋体"/>
                <w:kern w:val="0"/>
                <w:szCs w:val="21"/>
              </w:rPr>
            </w:pPr>
          </w:p>
        </w:tc>
        <w:tc>
          <w:tcPr>
            <w:tcW w:w="4022" w:type="pct"/>
            <w:vAlign w:val="center"/>
          </w:tcPr>
          <w:p w14:paraId="7801E1C5">
            <w:pPr>
              <w:ind w:firstLine="0" w:firstLineChars="0"/>
              <w:rPr>
                <w:rFonts w:cs="宋体"/>
                <w:kern w:val="0"/>
                <w:szCs w:val="21"/>
              </w:rPr>
            </w:pPr>
            <w:r>
              <w:rPr>
                <w:rFonts w:hint="eastAsia" w:cs="宋体"/>
                <w:kern w:val="0"/>
                <w:szCs w:val="21"/>
              </w:rPr>
              <w:t>应用层资产清点：支持清点主机应用层相关资产，包括安装包、jar包、应用、数据库、中间件、web站点、web框架、web应用、web服务等信息。数据库和中间件至少包括达梦数据库、人大金仓、神州通用数据库、宝兰德应用服务器。</w:t>
            </w:r>
          </w:p>
        </w:tc>
      </w:tr>
      <w:tr w14:paraId="5F798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08D2B515">
            <w:pPr>
              <w:ind w:firstLine="0" w:firstLineChars="0"/>
              <w:rPr>
                <w:rFonts w:cs="宋体"/>
                <w:kern w:val="0"/>
                <w:szCs w:val="21"/>
              </w:rPr>
            </w:pPr>
          </w:p>
        </w:tc>
        <w:tc>
          <w:tcPr>
            <w:tcW w:w="4022" w:type="pct"/>
            <w:vAlign w:val="top"/>
          </w:tcPr>
          <w:p w14:paraId="4C8BA256">
            <w:pPr>
              <w:ind w:firstLine="0" w:firstLineChars="0"/>
              <w:rPr>
                <w:rFonts w:cs="宋体"/>
                <w:kern w:val="0"/>
                <w:szCs w:val="21"/>
              </w:rPr>
            </w:pPr>
            <w:r>
              <w:rPr>
                <w:rFonts w:hint="eastAsia" w:cs="宋体"/>
                <w:kern w:val="0"/>
                <w:szCs w:val="21"/>
              </w:rPr>
              <w:t>Windows资产支持：清点Windows系统注册表项值，选择清点其中与安全相关的重要表项值，至少包括：路径、名称、类型、数据、风险描述等。</w:t>
            </w:r>
          </w:p>
          <w:p w14:paraId="35BE616C">
            <w:pPr>
              <w:ind w:firstLine="0" w:firstLineChars="0"/>
              <w:rPr>
                <w:rFonts w:cs="宋体"/>
                <w:kern w:val="0"/>
                <w:szCs w:val="21"/>
              </w:rPr>
            </w:pPr>
            <w:r>
              <w:rPr>
                <w:rFonts w:hint="eastAsia" w:cs="宋体"/>
                <w:kern w:val="0"/>
                <w:szCs w:val="21"/>
              </w:rPr>
              <w:t>▲至少清点Windows域账号，清点域账号服务器管理的账号与域账号被使用登录的信息，至少包括：所属域名，帐号最近登录时间，帐号状态，账号类型，home目录，最近登录主机名，最近登录ip等。</w:t>
            </w:r>
          </w:p>
          <w:p w14:paraId="5E773F04">
            <w:pPr>
              <w:ind w:firstLine="0" w:firstLineChars="0"/>
              <w:rPr>
                <w:rFonts w:cs="宋体"/>
                <w:kern w:val="0"/>
                <w:szCs w:val="21"/>
              </w:rPr>
            </w:pPr>
            <w:r>
              <w:rPr>
                <w:rFonts w:hint="eastAsia" w:cs="宋体"/>
                <w:kern w:val="0"/>
                <w:szCs w:val="21"/>
              </w:rPr>
              <w:t>支持清点Windows进程数字证书签名，帮助初步推断进程安全性；具体包括，是否包含数字签名，签名者，有效期，证书路径等。</w:t>
            </w:r>
          </w:p>
        </w:tc>
      </w:tr>
      <w:tr w14:paraId="13C9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978" w:type="pct"/>
            <w:vMerge w:val="restart"/>
            <w:vAlign w:val="center"/>
          </w:tcPr>
          <w:p w14:paraId="1F64CAE0">
            <w:pPr>
              <w:ind w:firstLine="0" w:firstLineChars="0"/>
              <w:rPr>
                <w:rFonts w:cs="宋体"/>
                <w:kern w:val="0"/>
                <w:szCs w:val="21"/>
              </w:rPr>
            </w:pPr>
            <w:r>
              <w:rPr>
                <w:rFonts w:hint="eastAsia" w:cs="宋体"/>
                <w:kern w:val="0"/>
                <w:szCs w:val="21"/>
              </w:rPr>
              <w:t>风险评估</w:t>
            </w:r>
          </w:p>
        </w:tc>
        <w:tc>
          <w:tcPr>
            <w:tcW w:w="4022" w:type="pct"/>
            <w:vAlign w:val="center"/>
          </w:tcPr>
          <w:p w14:paraId="0B35B1DB">
            <w:pPr>
              <w:ind w:firstLine="0" w:firstLineChars="0"/>
              <w:rPr>
                <w:rFonts w:cs="宋体"/>
                <w:kern w:val="0"/>
                <w:szCs w:val="21"/>
              </w:rPr>
            </w:pPr>
            <w:r>
              <w:rPr>
                <w:rFonts w:hint="eastAsia" w:cs="宋体"/>
                <w:kern w:val="0"/>
                <w:szCs w:val="21"/>
              </w:rPr>
              <w:t>风险分析：支持对漏洞补丁、弱口令和配置风险进行整体脆弱性分析，以评级评分体系的方式简要直观评价当前安全态势，并统计近7天、近1月风险评分的变化，并展示单个主机的风险评分最低TOP5。</w:t>
            </w:r>
          </w:p>
        </w:tc>
      </w:tr>
      <w:tr w14:paraId="0C7B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65C7BA3F">
            <w:pPr>
              <w:ind w:firstLine="0" w:firstLineChars="0"/>
              <w:rPr>
                <w:rFonts w:cs="宋体"/>
                <w:kern w:val="0"/>
                <w:szCs w:val="21"/>
              </w:rPr>
            </w:pPr>
          </w:p>
        </w:tc>
        <w:tc>
          <w:tcPr>
            <w:tcW w:w="4022" w:type="pct"/>
            <w:vAlign w:val="center"/>
          </w:tcPr>
          <w:p w14:paraId="13633DA5">
            <w:pPr>
              <w:ind w:firstLine="0" w:firstLineChars="0"/>
              <w:rPr>
                <w:rFonts w:cs="宋体"/>
                <w:kern w:val="0"/>
                <w:szCs w:val="21"/>
              </w:rPr>
            </w:pPr>
            <w:r>
              <w:rPr>
                <w:rFonts w:hint="eastAsia" w:cs="宋体"/>
                <w:kern w:val="0"/>
                <w:szCs w:val="21"/>
              </w:rPr>
              <w:t>漏洞扫描：支持检测各类常见系统与应用漏洞，漏洞详细信息至少包括：漏洞等级，漏洞名称、漏洞说明、漏洞类型、影响应用与版本、漏洞exp链接、修复建议、CVE编号、CVSS评分与详情、参考链接、引用链接、并提供各维度的补丁风险特征：内核风险、是否存在exp、远程利用、本地提权。</w:t>
            </w:r>
          </w:p>
        </w:tc>
      </w:tr>
      <w:tr w14:paraId="027A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13C46C3D">
            <w:pPr>
              <w:ind w:firstLine="0" w:firstLineChars="0"/>
              <w:rPr>
                <w:rFonts w:cs="宋体"/>
                <w:kern w:val="0"/>
                <w:szCs w:val="21"/>
              </w:rPr>
            </w:pPr>
          </w:p>
        </w:tc>
        <w:tc>
          <w:tcPr>
            <w:tcW w:w="4022" w:type="pct"/>
            <w:vAlign w:val="center"/>
          </w:tcPr>
          <w:p w14:paraId="2CCFD5CE">
            <w:pPr>
              <w:ind w:firstLine="0" w:firstLineChars="0"/>
              <w:rPr>
                <w:rFonts w:cs="宋体"/>
                <w:kern w:val="0"/>
                <w:szCs w:val="21"/>
              </w:rPr>
            </w:pPr>
            <w:r>
              <w:rPr>
                <w:rFonts w:hint="eastAsia" w:cs="宋体"/>
                <w:kern w:val="0"/>
                <w:szCs w:val="21"/>
              </w:rPr>
              <w:t>弱口令管理：支持检查Linux/Windows系统账号弱密码；应用进行弱密码检测，至少包括：InfluxDB、MySQL、Redis；中间件弱密码检测，至少包括：Weblogic、Jenkins、Tomcat；支持应用弱密码检测，应至少包括：OpenLDAP、ProFTPD、SVN、PPTP、VNC、SSH、OpenVPN、rsync、vsftpd。支持弱密码隐藏密码值，根据权限控制是否明文显示，保证安全性。</w:t>
            </w:r>
          </w:p>
        </w:tc>
      </w:tr>
      <w:tr w14:paraId="65C2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5BC6EE0D">
            <w:pPr>
              <w:ind w:firstLine="0" w:firstLineChars="0"/>
              <w:rPr>
                <w:rFonts w:cs="宋体"/>
                <w:kern w:val="0"/>
                <w:szCs w:val="21"/>
              </w:rPr>
            </w:pPr>
            <w:r>
              <w:rPr>
                <w:rFonts w:hint="eastAsia" w:cs="宋体"/>
                <w:kern w:val="0"/>
                <w:szCs w:val="21"/>
              </w:rPr>
              <w:t>入侵检测</w:t>
            </w:r>
          </w:p>
        </w:tc>
        <w:tc>
          <w:tcPr>
            <w:tcW w:w="4022" w:type="pct"/>
            <w:vAlign w:val="center"/>
          </w:tcPr>
          <w:p w14:paraId="042BFEC9">
            <w:pPr>
              <w:ind w:firstLine="0" w:firstLineChars="0"/>
              <w:rPr>
                <w:rFonts w:cs="宋体"/>
                <w:kern w:val="0"/>
                <w:szCs w:val="21"/>
              </w:rPr>
            </w:pPr>
            <w:r>
              <w:rPr>
                <w:rFonts w:hint="eastAsia" w:cs="宋体"/>
                <w:kern w:val="0"/>
                <w:szCs w:val="21"/>
              </w:rPr>
              <w:t>异常登录：支持配置正常登录规则，实时检测在非法登录来源IP、非法账号、非合法登录时间的登录行为。</w:t>
            </w:r>
          </w:p>
          <w:p w14:paraId="275B33D1">
            <w:pPr>
              <w:ind w:firstLine="0" w:firstLineChars="0"/>
              <w:rPr>
                <w:rFonts w:cs="宋体"/>
                <w:kern w:val="0"/>
                <w:szCs w:val="21"/>
              </w:rPr>
            </w:pPr>
            <w:r>
              <w:rPr>
                <w:rFonts w:hint="eastAsia" w:cs="宋体"/>
                <w:kern w:val="0"/>
                <w:szCs w:val="21"/>
              </w:rPr>
              <w:t>支持对发现的告警事件进行手动处置，支持手动封禁和解封IP。</w:t>
            </w:r>
          </w:p>
        </w:tc>
      </w:tr>
      <w:tr w14:paraId="200A8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399DB0EE">
            <w:pPr>
              <w:ind w:firstLine="0" w:firstLineChars="0"/>
              <w:rPr>
                <w:rFonts w:cs="宋体"/>
                <w:kern w:val="0"/>
                <w:szCs w:val="21"/>
              </w:rPr>
            </w:pPr>
          </w:p>
        </w:tc>
        <w:tc>
          <w:tcPr>
            <w:tcW w:w="4022" w:type="pct"/>
            <w:vAlign w:val="center"/>
          </w:tcPr>
          <w:p w14:paraId="40AE22F3">
            <w:pPr>
              <w:ind w:firstLine="0" w:firstLineChars="0"/>
              <w:rPr>
                <w:rFonts w:cs="宋体"/>
                <w:kern w:val="0"/>
                <w:szCs w:val="21"/>
              </w:rPr>
            </w:pPr>
            <w:r>
              <w:rPr>
                <w:rFonts w:hint="eastAsia" w:cs="宋体"/>
                <w:kern w:val="0"/>
                <w:szCs w:val="21"/>
              </w:rPr>
              <w:t>暴力破解：支持实时检测针对Linux系统账号和Windows系统账号的暴力破解行为，并支持配置自动封停，也可在告警界面进行手动封禁和解封。</w:t>
            </w:r>
          </w:p>
        </w:tc>
      </w:tr>
      <w:tr w14:paraId="127E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7E5E40DF">
            <w:pPr>
              <w:ind w:firstLine="0" w:firstLineChars="0"/>
              <w:rPr>
                <w:rFonts w:cs="宋体"/>
                <w:kern w:val="0"/>
                <w:szCs w:val="21"/>
              </w:rPr>
            </w:pPr>
          </w:p>
        </w:tc>
        <w:tc>
          <w:tcPr>
            <w:tcW w:w="4022" w:type="pct"/>
            <w:vAlign w:val="center"/>
          </w:tcPr>
          <w:p w14:paraId="545DCEE6">
            <w:pPr>
              <w:ind w:firstLine="0" w:firstLineChars="0"/>
              <w:rPr>
                <w:rFonts w:cs="宋体"/>
                <w:kern w:val="0"/>
                <w:szCs w:val="21"/>
              </w:rPr>
            </w:pPr>
            <w:r>
              <w:rPr>
                <w:rFonts w:hint="eastAsia" w:cs="宋体"/>
                <w:kern w:val="0"/>
                <w:szCs w:val="21"/>
              </w:rPr>
              <w:t>反弹shell：支持实时检测Linux和Windows下的反弹shell行为并产生告警，告警信息能看到事件基本信息如受害主机IP、目标主机IP、目标端口、发现时间等，可看到事件说明，以及以攻击链方式展示的反弹详细过程。</w:t>
            </w:r>
          </w:p>
          <w:p w14:paraId="5BFB681E">
            <w:pPr>
              <w:ind w:firstLine="0" w:firstLineChars="0"/>
              <w:rPr>
                <w:rFonts w:cs="宋体"/>
                <w:kern w:val="0"/>
                <w:szCs w:val="21"/>
              </w:rPr>
            </w:pPr>
            <w:r>
              <w:rPr>
                <w:rFonts w:hint="eastAsia" w:cs="宋体"/>
                <w:kern w:val="0"/>
                <w:szCs w:val="21"/>
              </w:rPr>
              <w:t>可按照进程、目标主机等维度选择特定业务组范围的主机进行白名单策略配置。</w:t>
            </w:r>
          </w:p>
        </w:tc>
      </w:tr>
      <w:tr w14:paraId="48711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3B8E1C0E">
            <w:pPr>
              <w:ind w:firstLine="0" w:firstLineChars="0"/>
              <w:rPr>
                <w:rFonts w:cs="宋体"/>
                <w:kern w:val="0"/>
                <w:szCs w:val="21"/>
              </w:rPr>
            </w:pPr>
          </w:p>
        </w:tc>
        <w:tc>
          <w:tcPr>
            <w:tcW w:w="4022" w:type="pct"/>
            <w:vAlign w:val="center"/>
          </w:tcPr>
          <w:p w14:paraId="6B96F539">
            <w:pPr>
              <w:ind w:firstLine="0" w:firstLineChars="0"/>
              <w:rPr>
                <w:rFonts w:cs="宋体"/>
                <w:kern w:val="0"/>
                <w:szCs w:val="21"/>
              </w:rPr>
            </w:pPr>
            <w:r>
              <w:rPr>
                <w:rFonts w:hint="eastAsia" w:cs="宋体"/>
                <w:kern w:val="0"/>
                <w:szCs w:val="21"/>
              </w:rPr>
              <w:t>web后门检测：支持实时监控并检测网站目录下文件变化行为，对webshell文件进行上报告警，事件信息至少包含事件的危险程度，后门类型，文件名，文件修改时间，域名，受感染主机，发现时间等信息；支持对文件进行下载查看。</w:t>
            </w:r>
          </w:p>
        </w:tc>
      </w:tr>
      <w:tr w14:paraId="7C081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5D20B00F">
            <w:pPr>
              <w:ind w:firstLine="0" w:firstLineChars="0"/>
              <w:rPr>
                <w:rFonts w:cs="宋体"/>
                <w:kern w:val="0"/>
                <w:szCs w:val="21"/>
              </w:rPr>
            </w:pPr>
          </w:p>
        </w:tc>
        <w:tc>
          <w:tcPr>
            <w:tcW w:w="4022" w:type="pct"/>
            <w:vAlign w:val="center"/>
          </w:tcPr>
          <w:p w14:paraId="4FD7F1C1">
            <w:pPr>
              <w:ind w:firstLine="0" w:firstLineChars="0"/>
              <w:rPr>
                <w:rFonts w:cs="宋体"/>
                <w:kern w:val="0"/>
                <w:szCs w:val="21"/>
              </w:rPr>
            </w:pPr>
            <w:r>
              <w:rPr>
                <w:rFonts w:hint="eastAsia" w:cs="宋体"/>
                <w:kern w:val="0"/>
                <w:szCs w:val="21"/>
              </w:rPr>
              <w:t>系统后门检测：支持系统后门实时检测，对后门进行隔离、加白、确认已修复等操作。后门告警信息包括：告警类型、告警说明、IP、发现时间等。</w:t>
            </w:r>
          </w:p>
        </w:tc>
      </w:tr>
      <w:tr w14:paraId="3C6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78" w:type="pct"/>
            <w:vMerge w:val="continue"/>
            <w:vAlign w:val="center"/>
          </w:tcPr>
          <w:p w14:paraId="26BF8023">
            <w:pPr>
              <w:ind w:firstLine="0" w:firstLineChars="0"/>
              <w:rPr>
                <w:rFonts w:cs="宋体"/>
                <w:kern w:val="0"/>
                <w:szCs w:val="21"/>
              </w:rPr>
            </w:pPr>
          </w:p>
        </w:tc>
        <w:tc>
          <w:tcPr>
            <w:tcW w:w="4022" w:type="pct"/>
            <w:vAlign w:val="center"/>
          </w:tcPr>
          <w:p w14:paraId="7AB88C50">
            <w:pPr>
              <w:ind w:firstLine="0" w:firstLineChars="0"/>
              <w:rPr>
                <w:rFonts w:cs="宋体"/>
                <w:kern w:val="0"/>
                <w:szCs w:val="21"/>
              </w:rPr>
            </w:pPr>
            <w:r>
              <w:rPr>
                <w:rFonts w:hint="eastAsia" w:cs="宋体"/>
                <w:kern w:val="0"/>
                <w:szCs w:val="21"/>
              </w:rPr>
              <w:t>远程命令执行检测：支持对特定主机或者全部主机进行web远程命令执行检测，同时可查看详细的进程树信息，包括进程名，PID，所属用户，所属用户组，文件路径，文件执行权限，进程命令行等；</w:t>
            </w:r>
          </w:p>
        </w:tc>
      </w:tr>
      <w:tr w14:paraId="0B1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633BA363">
            <w:pPr>
              <w:ind w:firstLine="0" w:firstLineChars="0"/>
              <w:rPr>
                <w:rFonts w:cs="宋体"/>
                <w:kern w:val="0"/>
                <w:szCs w:val="21"/>
              </w:rPr>
            </w:pPr>
            <w:r>
              <w:rPr>
                <w:rFonts w:hint="eastAsia" w:cs="宋体"/>
                <w:kern w:val="0"/>
                <w:szCs w:val="21"/>
              </w:rPr>
              <w:t>合规基线</w:t>
            </w:r>
          </w:p>
        </w:tc>
        <w:tc>
          <w:tcPr>
            <w:tcW w:w="4022" w:type="pct"/>
            <w:vAlign w:val="center"/>
          </w:tcPr>
          <w:p w14:paraId="6CFAFC62">
            <w:pPr>
              <w:ind w:firstLine="0" w:firstLineChars="0"/>
              <w:rPr>
                <w:rFonts w:cs="宋体"/>
                <w:kern w:val="0"/>
                <w:szCs w:val="21"/>
              </w:rPr>
            </w:pPr>
            <w:r>
              <w:rPr>
                <w:rFonts w:hint="eastAsia" w:cs="宋体"/>
                <w:kern w:val="0"/>
                <w:szCs w:val="21"/>
              </w:rPr>
              <w:t>支持按照国际CIS检测标准（Level1、Level2）和国内等级保护检测标准（等保二级、三级）对操作系统和应用进行基线检测，内容至少应包含检查项，检查结果，通过率、修复方法等。</w:t>
            </w:r>
          </w:p>
        </w:tc>
      </w:tr>
      <w:tr w14:paraId="1850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1707DB60">
            <w:pPr>
              <w:ind w:firstLine="0" w:firstLineChars="0"/>
              <w:rPr>
                <w:rFonts w:cs="宋体"/>
                <w:kern w:val="0"/>
                <w:szCs w:val="21"/>
              </w:rPr>
            </w:pPr>
            <w:r>
              <w:rPr>
                <w:rFonts w:hint="eastAsia" w:cs="宋体"/>
                <w:kern w:val="0"/>
                <w:szCs w:val="21"/>
              </w:rPr>
              <w:t>主机隔离</w:t>
            </w:r>
          </w:p>
        </w:tc>
        <w:tc>
          <w:tcPr>
            <w:tcW w:w="4022" w:type="pct"/>
            <w:vAlign w:val="center"/>
          </w:tcPr>
          <w:p w14:paraId="2DEFDE1C">
            <w:pPr>
              <w:ind w:firstLine="0" w:firstLineChars="0"/>
              <w:rPr>
                <w:rFonts w:cs="宋体"/>
                <w:kern w:val="0"/>
                <w:szCs w:val="21"/>
              </w:rPr>
            </w:pPr>
            <w:r>
              <w:rPr>
                <w:rFonts w:hint="eastAsia" w:cs="宋体"/>
                <w:kern w:val="0"/>
                <w:szCs w:val="21"/>
              </w:rPr>
              <w:t>客户端配置：实时监控网络连接，对不符合策略的访问产生告警，在列表中展示；相同告警聚合为同一条计数，并更新告警时间</w:t>
            </w:r>
          </w:p>
        </w:tc>
      </w:tr>
      <w:tr w14:paraId="7DEA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4F00D378">
            <w:pPr>
              <w:ind w:firstLine="0" w:firstLineChars="0"/>
              <w:rPr>
                <w:rFonts w:cs="宋体"/>
                <w:kern w:val="0"/>
                <w:szCs w:val="21"/>
              </w:rPr>
            </w:pPr>
            <w:r>
              <w:rPr>
                <w:rFonts w:hint="eastAsia" w:cs="宋体"/>
                <w:kern w:val="0"/>
                <w:szCs w:val="21"/>
              </w:rPr>
              <w:t>微蜜罐</w:t>
            </w:r>
          </w:p>
        </w:tc>
        <w:tc>
          <w:tcPr>
            <w:tcW w:w="4022" w:type="pct"/>
            <w:vAlign w:val="center"/>
          </w:tcPr>
          <w:p w14:paraId="421CE1BF">
            <w:pPr>
              <w:ind w:firstLine="0" w:firstLineChars="0"/>
              <w:rPr>
                <w:rFonts w:cs="宋体"/>
                <w:kern w:val="0"/>
                <w:szCs w:val="21"/>
              </w:rPr>
            </w:pPr>
            <w:r>
              <w:rPr>
                <w:rFonts w:hint="eastAsia" w:cs="宋体"/>
                <w:kern w:val="0"/>
                <w:szCs w:val="21"/>
              </w:rPr>
              <w:t>端口蜜罐：支持伪造任意系统端口，实时检测对设置蜜罐端口的尝试连接行为，并提供告警，监控已设置规则的端口，一旦尝试访问端口，即上报告警，其中端口应支持输入多个。</w:t>
            </w:r>
          </w:p>
        </w:tc>
      </w:tr>
      <w:tr w14:paraId="0CC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2C05B2E7">
            <w:pPr>
              <w:ind w:firstLine="0" w:firstLineChars="0"/>
              <w:rPr>
                <w:rFonts w:cs="宋体"/>
                <w:kern w:val="0"/>
                <w:szCs w:val="21"/>
              </w:rPr>
            </w:pPr>
            <w:r>
              <w:rPr>
                <w:rFonts w:hint="eastAsia" w:cs="宋体"/>
                <w:kern w:val="0"/>
                <w:szCs w:val="21"/>
              </w:rPr>
              <w:t>内存后门检测</w:t>
            </w:r>
          </w:p>
        </w:tc>
        <w:tc>
          <w:tcPr>
            <w:tcW w:w="4022" w:type="pct"/>
            <w:vAlign w:val="center"/>
          </w:tcPr>
          <w:p w14:paraId="46D57D86">
            <w:pPr>
              <w:ind w:firstLine="0" w:firstLineChars="0"/>
              <w:rPr>
                <w:rFonts w:cs="宋体"/>
                <w:kern w:val="0"/>
                <w:szCs w:val="21"/>
              </w:rPr>
            </w:pPr>
            <w:r>
              <w:rPr>
                <w:rFonts w:hint="eastAsia" w:cs="宋体"/>
                <w:kern w:val="0"/>
                <w:szCs w:val="21"/>
              </w:rPr>
              <w:t>内存webshell检测：支持实时检测在内存中加载网站恶意文件，无任何本地文件、恶意代码注入的检测。需要展示内存对应的类名、父类名、所属类加载器、内存对应大小、MD5信息等。</w:t>
            </w:r>
          </w:p>
        </w:tc>
      </w:tr>
      <w:tr w14:paraId="4EB6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43807D08">
            <w:pPr>
              <w:ind w:firstLine="0" w:firstLineChars="0"/>
              <w:rPr>
                <w:rFonts w:cs="宋体"/>
                <w:kern w:val="0"/>
                <w:szCs w:val="21"/>
              </w:rPr>
            </w:pPr>
            <w:r>
              <w:rPr>
                <w:rFonts w:hint="eastAsia" w:cs="宋体"/>
                <w:kern w:val="0"/>
                <w:szCs w:val="21"/>
              </w:rPr>
              <w:t>文件完整性</w:t>
            </w:r>
          </w:p>
        </w:tc>
        <w:tc>
          <w:tcPr>
            <w:tcW w:w="4022" w:type="pct"/>
            <w:vAlign w:val="center"/>
          </w:tcPr>
          <w:p w14:paraId="47B250B3">
            <w:pPr>
              <w:ind w:firstLine="0" w:firstLineChars="0"/>
              <w:rPr>
                <w:rFonts w:cs="宋体"/>
                <w:kern w:val="0"/>
                <w:szCs w:val="21"/>
              </w:rPr>
            </w:pPr>
            <w:r>
              <w:rPr>
                <w:rFonts w:hint="eastAsia" w:cs="宋体"/>
                <w:kern w:val="0"/>
                <w:szCs w:val="21"/>
              </w:rPr>
              <w:t>支持对文件的新增、修改、删除、权限变更等变化行为进行告警。</w:t>
            </w:r>
          </w:p>
        </w:tc>
      </w:tr>
      <w:tr w14:paraId="2B2A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3D66C9A4">
            <w:pPr>
              <w:ind w:firstLine="0" w:firstLineChars="0"/>
              <w:rPr>
                <w:rFonts w:cs="宋体"/>
                <w:kern w:val="0"/>
                <w:szCs w:val="21"/>
              </w:rPr>
            </w:pPr>
            <w:r>
              <w:rPr>
                <w:rFonts w:hint="eastAsia" w:cs="宋体"/>
                <w:kern w:val="0"/>
                <w:szCs w:val="21"/>
              </w:rPr>
              <w:t>病毒查杀</w:t>
            </w:r>
          </w:p>
        </w:tc>
        <w:tc>
          <w:tcPr>
            <w:tcW w:w="4022" w:type="pct"/>
            <w:vAlign w:val="center"/>
          </w:tcPr>
          <w:p w14:paraId="3EDDE01A">
            <w:pPr>
              <w:ind w:firstLine="0" w:firstLineChars="0"/>
              <w:rPr>
                <w:rFonts w:cs="宋体"/>
                <w:kern w:val="0"/>
                <w:szCs w:val="21"/>
              </w:rPr>
            </w:pPr>
            <w:r>
              <w:rPr>
                <w:rFonts w:hint="eastAsia" w:cs="宋体"/>
                <w:kern w:val="0"/>
                <w:szCs w:val="21"/>
              </w:rPr>
              <w:t>支持挖矿软件检测、支持恶意攻击木马检测、支持勒索病毒检测等其他常见病毒检测。</w:t>
            </w:r>
          </w:p>
        </w:tc>
      </w:tr>
      <w:tr w14:paraId="22C9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3D0941C4">
            <w:pPr>
              <w:ind w:firstLine="0" w:firstLineChars="0"/>
              <w:rPr>
                <w:rFonts w:cs="宋体"/>
                <w:kern w:val="0"/>
                <w:szCs w:val="21"/>
              </w:rPr>
            </w:pPr>
            <w:r>
              <w:rPr>
                <w:rFonts w:hint="eastAsia" w:cs="宋体"/>
                <w:kern w:val="0"/>
                <w:szCs w:val="21"/>
              </w:rPr>
              <w:t>产品资质</w:t>
            </w:r>
          </w:p>
        </w:tc>
        <w:tc>
          <w:tcPr>
            <w:tcW w:w="4022" w:type="pct"/>
            <w:vAlign w:val="center"/>
          </w:tcPr>
          <w:p w14:paraId="6FAE98DE">
            <w:pPr>
              <w:ind w:firstLine="0" w:firstLineChars="0"/>
              <w:rPr>
                <w:rFonts w:cs="宋体"/>
                <w:kern w:val="0"/>
                <w:szCs w:val="21"/>
              </w:rPr>
            </w:pPr>
            <w:r>
              <w:rPr>
                <w:rFonts w:hint="eastAsia" w:cs="宋体"/>
                <w:kern w:val="0"/>
                <w:szCs w:val="21"/>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bl>
    <w:p w14:paraId="765B2698">
      <w:pPr>
        <w:pStyle w:val="21"/>
        <w:ind w:firstLine="480"/>
      </w:pPr>
    </w:p>
    <w:p w14:paraId="65066E99">
      <w:pPr>
        <w:pStyle w:val="6"/>
        <w:numPr>
          <w:ilvl w:val="3"/>
          <w:numId w:val="0"/>
        </w:numPr>
        <w:spacing w:line="413" w:lineRule="auto"/>
      </w:pPr>
      <w:bookmarkStart w:id="45" w:name="_Toc161989562"/>
      <w:bookmarkStart w:id="46" w:name="_Toc21070"/>
      <w:r>
        <w:rPr>
          <w:rFonts w:hint="eastAsia"/>
        </w:rPr>
        <w:t>2.2法院专网主机安全管控系统</w:t>
      </w:r>
      <w:bookmarkEnd w:id="45"/>
      <w:bookmarkEnd w:id="46"/>
    </w:p>
    <w:p w14:paraId="5F0B2275">
      <w:pPr>
        <w:pStyle w:val="21"/>
        <w:ind w:firstLine="480"/>
      </w:pPr>
      <w:r>
        <w:rPr>
          <w:rFonts w:hint="eastAsia"/>
        </w:rPr>
        <w:t>本系统包含控制台和客户端两部分，控制台和客户端的技术规格参数分别如下。</w:t>
      </w:r>
    </w:p>
    <w:p w14:paraId="178EA757">
      <w:pPr>
        <w:pStyle w:val="21"/>
        <w:ind w:firstLine="480"/>
      </w:pPr>
      <w:r>
        <w:rPr>
          <w:rFonts w:hint="eastAsia"/>
        </w:rPr>
        <w:t>控制台技术规格参数：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60"/>
      </w:tblGrid>
      <w:tr w14:paraId="0A0F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8" w:type="pct"/>
            <w:vAlign w:val="center"/>
          </w:tcPr>
          <w:p w14:paraId="12772230">
            <w:pPr>
              <w:ind w:firstLine="482"/>
              <w:jc w:val="center"/>
              <w:rPr>
                <w:rFonts w:cs="宋体"/>
                <w:b/>
                <w:kern w:val="0"/>
                <w:szCs w:val="21"/>
              </w:rPr>
            </w:pPr>
            <w:r>
              <w:rPr>
                <w:rFonts w:hint="eastAsia" w:cs="宋体"/>
                <w:b/>
                <w:kern w:val="0"/>
                <w:szCs w:val="21"/>
              </w:rPr>
              <w:t>指标项</w:t>
            </w:r>
          </w:p>
        </w:tc>
        <w:tc>
          <w:tcPr>
            <w:tcW w:w="4021" w:type="pct"/>
            <w:vAlign w:val="center"/>
          </w:tcPr>
          <w:p w14:paraId="190C8492">
            <w:pPr>
              <w:ind w:firstLine="482"/>
              <w:jc w:val="center"/>
              <w:rPr>
                <w:rFonts w:cs="宋体"/>
                <w:b/>
                <w:kern w:val="0"/>
                <w:szCs w:val="21"/>
              </w:rPr>
            </w:pPr>
            <w:r>
              <w:rPr>
                <w:rFonts w:hint="eastAsia" w:cs="宋体"/>
                <w:b/>
                <w:kern w:val="0"/>
                <w:szCs w:val="21"/>
              </w:rPr>
              <w:t>技术指标</w:t>
            </w:r>
          </w:p>
        </w:tc>
      </w:tr>
      <w:tr w14:paraId="7066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6" w:hRule="atLeast"/>
          <w:jc w:val="center"/>
        </w:trPr>
        <w:tc>
          <w:tcPr>
            <w:tcW w:w="978" w:type="pct"/>
            <w:vMerge w:val="restart"/>
            <w:vAlign w:val="center"/>
          </w:tcPr>
          <w:p w14:paraId="24A71C73">
            <w:pPr>
              <w:ind w:firstLine="0" w:firstLineChars="0"/>
              <w:rPr>
                <w:rFonts w:cs="宋体"/>
                <w:kern w:val="0"/>
                <w:szCs w:val="21"/>
              </w:rPr>
            </w:pPr>
            <w:r>
              <w:rPr>
                <w:rFonts w:hint="eastAsia" w:cs="宋体"/>
                <w:kern w:val="0"/>
                <w:szCs w:val="21"/>
              </w:rPr>
              <w:t>主机管理</w:t>
            </w:r>
          </w:p>
        </w:tc>
        <w:tc>
          <w:tcPr>
            <w:tcW w:w="4021" w:type="pct"/>
            <w:vAlign w:val="center"/>
          </w:tcPr>
          <w:p w14:paraId="7C3A9FDB">
            <w:pPr>
              <w:ind w:firstLine="0" w:firstLineChars="0"/>
              <w:rPr>
                <w:rFonts w:cs="宋体"/>
                <w:kern w:val="0"/>
                <w:szCs w:val="21"/>
              </w:rPr>
            </w:pPr>
            <w:r>
              <w:rPr>
                <w:rFonts w:hint="eastAsia" w:cs="宋体"/>
                <w:kern w:val="0"/>
                <w:szCs w:val="21"/>
              </w:rPr>
              <w:t>客户端安装方式：支持常见的Linux和Windows操作系统，客户端安装支持一条命令以代理或直连方式直接安装，不需要重启服务或系统。常见操作系统至少包括：支持如下操作系统：Windows（包括windows Server 2008、2012、2016、2019、2022；）、Linux（包括CentOS 6、7、8；RHEL 6、7、8、9；Ubuntu 14、16、18、20；麒麟；统信；欧拉）、Unix （包括Solaris(X86) 10 ）</w:t>
            </w:r>
          </w:p>
          <w:p w14:paraId="68C9759E">
            <w:pPr>
              <w:ind w:firstLine="0" w:firstLineChars="0"/>
              <w:rPr>
                <w:rFonts w:cs="宋体"/>
                <w:kern w:val="0"/>
                <w:szCs w:val="21"/>
              </w:rPr>
            </w:pPr>
            <w:r>
              <w:rPr>
                <w:rFonts w:hint="eastAsia" w:cs="宋体"/>
                <w:kern w:val="0"/>
                <w:szCs w:val="21"/>
              </w:rPr>
              <w:t>支持主流国产化环境：中标麒麟、华为鲲鹏、统信、海光、飞腾（需提供兼容互认证证书）</w:t>
            </w:r>
          </w:p>
        </w:tc>
      </w:tr>
      <w:tr w14:paraId="22A0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78" w:type="pct"/>
            <w:vMerge w:val="continue"/>
            <w:vAlign w:val="center"/>
          </w:tcPr>
          <w:p w14:paraId="01625D0B">
            <w:pPr>
              <w:ind w:firstLine="0" w:firstLineChars="0"/>
              <w:rPr>
                <w:rFonts w:cs="宋体"/>
                <w:kern w:val="0"/>
                <w:szCs w:val="21"/>
              </w:rPr>
            </w:pPr>
          </w:p>
        </w:tc>
        <w:tc>
          <w:tcPr>
            <w:tcW w:w="4021" w:type="pct"/>
            <w:vAlign w:val="center"/>
          </w:tcPr>
          <w:p w14:paraId="5CEA4170">
            <w:pPr>
              <w:ind w:firstLine="0" w:firstLineChars="0"/>
              <w:rPr>
                <w:rFonts w:cs="宋体"/>
                <w:kern w:val="0"/>
                <w:szCs w:val="21"/>
              </w:rPr>
            </w:pPr>
            <w:r>
              <w:rPr>
                <w:rFonts w:hint="eastAsia" w:cs="宋体"/>
                <w:kern w:val="0"/>
                <w:szCs w:val="21"/>
              </w:rPr>
              <w:t>客户端安全性：客户端具有反逆向、反调试功能、自保护功能，客户端和管理中心通信采用安全的加密机制。</w:t>
            </w:r>
          </w:p>
        </w:tc>
      </w:tr>
      <w:tr w14:paraId="6B843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78" w:type="pct"/>
            <w:vMerge w:val="continue"/>
            <w:vAlign w:val="center"/>
          </w:tcPr>
          <w:p w14:paraId="5E1E623D">
            <w:pPr>
              <w:ind w:firstLine="0" w:firstLineChars="0"/>
              <w:rPr>
                <w:rFonts w:cs="宋体"/>
                <w:kern w:val="0"/>
                <w:szCs w:val="21"/>
              </w:rPr>
            </w:pPr>
          </w:p>
        </w:tc>
        <w:tc>
          <w:tcPr>
            <w:tcW w:w="4021" w:type="pct"/>
            <w:vAlign w:val="center"/>
          </w:tcPr>
          <w:p w14:paraId="167DE2C3">
            <w:pPr>
              <w:ind w:firstLine="0" w:firstLineChars="0"/>
              <w:rPr>
                <w:rFonts w:cs="宋体"/>
                <w:kern w:val="0"/>
                <w:szCs w:val="21"/>
              </w:rPr>
            </w:pPr>
            <w:r>
              <w:rPr>
                <w:rFonts w:hint="eastAsia" w:cs="宋体"/>
                <w:kern w:val="0"/>
                <w:szCs w:val="21"/>
              </w:rPr>
              <w:t>服务端国产化适配：服务端部署需支持国产化环境。</w:t>
            </w:r>
          </w:p>
        </w:tc>
      </w:tr>
      <w:tr w14:paraId="3C80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44632962">
            <w:pPr>
              <w:ind w:firstLine="0" w:firstLineChars="0"/>
              <w:rPr>
                <w:rFonts w:cs="宋体"/>
                <w:kern w:val="0"/>
                <w:szCs w:val="21"/>
              </w:rPr>
            </w:pPr>
          </w:p>
        </w:tc>
        <w:tc>
          <w:tcPr>
            <w:tcW w:w="4021" w:type="pct"/>
            <w:vAlign w:val="center"/>
          </w:tcPr>
          <w:p w14:paraId="755454A1">
            <w:pPr>
              <w:ind w:firstLine="0" w:firstLineChars="0"/>
              <w:rPr>
                <w:rFonts w:cs="宋体"/>
                <w:kern w:val="0"/>
                <w:szCs w:val="21"/>
              </w:rPr>
            </w:pPr>
            <w:r>
              <w:rPr>
                <w:rFonts w:hint="eastAsia" w:cs="宋体"/>
                <w:kern w:val="0"/>
                <w:szCs w:val="21"/>
              </w:rPr>
              <w:t>以列表形式查看所有的访问关系，可对各来源IP、目的IP、目的端口、协议、进程名、连接状态、首次时间、最近连接时间等字段进行检索；</w:t>
            </w:r>
          </w:p>
        </w:tc>
      </w:tr>
      <w:tr w14:paraId="6B15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78" w:type="pct"/>
            <w:vMerge w:val="continue"/>
            <w:vAlign w:val="center"/>
          </w:tcPr>
          <w:p w14:paraId="19B2BE09">
            <w:pPr>
              <w:ind w:firstLine="0" w:firstLineChars="0"/>
              <w:rPr>
                <w:rFonts w:cs="宋体"/>
                <w:kern w:val="0"/>
                <w:szCs w:val="21"/>
              </w:rPr>
            </w:pPr>
          </w:p>
        </w:tc>
        <w:tc>
          <w:tcPr>
            <w:tcW w:w="4021" w:type="pct"/>
            <w:vAlign w:val="center"/>
          </w:tcPr>
          <w:p w14:paraId="4A168F86">
            <w:pPr>
              <w:ind w:firstLine="0" w:firstLineChars="0"/>
              <w:rPr>
                <w:rFonts w:cs="宋体"/>
                <w:kern w:val="0"/>
                <w:szCs w:val="21"/>
              </w:rPr>
            </w:pPr>
            <w:r>
              <w:rPr>
                <w:rFonts w:hint="eastAsia" w:cs="宋体"/>
                <w:kern w:val="0"/>
                <w:szCs w:val="21"/>
              </w:rPr>
              <w:t>第三方对接：支持通过标准API和syslog接口的方式与第三方平台进行数据对接。</w:t>
            </w:r>
          </w:p>
        </w:tc>
      </w:tr>
      <w:tr w14:paraId="01D1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4BB2D146">
            <w:pPr>
              <w:ind w:firstLine="0" w:firstLineChars="0"/>
              <w:rPr>
                <w:rFonts w:cs="宋体"/>
                <w:kern w:val="0"/>
                <w:szCs w:val="21"/>
              </w:rPr>
            </w:pPr>
            <w:r>
              <w:rPr>
                <w:rFonts w:hint="eastAsia" w:cs="宋体"/>
                <w:kern w:val="0"/>
                <w:szCs w:val="21"/>
              </w:rPr>
              <w:t>实时监控</w:t>
            </w:r>
          </w:p>
        </w:tc>
        <w:tc>
          <w:tcPr>
            <w:tcW w:w="4021" w:type="pct"/>
            <w:vAlign w:val="center"/>
          </w:tcPr>
          <w:p w14:paraId="1F03ACAB">
            <w:pPr>
              <w:ind w:firstLine="0" w:firstLineChars="0"/>
              <w:rPr>
                <w:rFonts w:cs="宋体"/>
                <w:kern w:val="0"/>
                <w:szCs w:val="21"/>
              </w:rPr>
            </w:pPr>
            <w:r>
              <w:rPr>
                <w:rFonts w:hint="eastAsia" w:cs="宋体"/>
                <w:kern w:val="0"/>
                <w:szCs w:val="21"/>
              </w:rPr>
              <w:t>应支持对主机异常行为，至少包括异常登录、暴力破解、反弹shell、web后门检测、系统后门检测、远程命令执行检测、可疑操作检测、本地提权检测等实时检测功能。</w:t>
            </w:r>
          </w:p>
        </w:tc>
      </w:tr>
      <w:tr w14:paraId="2EAC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978" w:type="pct"/>
            <w:vMerge w:val="restart"/>
            <w:vAlign w:val="center"/>
          </w:tcPr>
          <w:p w14:paraId="7F92B828">
            <w:pPr>
              <w:ind w:firstLine="0" w:firstLineChars="0"/>
              <w:rPr>
                <w:rFonts w:cs="宋体"/>
                <w:kern w:val="0"/>
                <w:szCs w:val="21"/>
              </w:rPr>
            </w:pPr>
            <w:r>
              <w:rPr>
                <w:rFonts w:hint="eastAsia" w:cs="宋体"/>
                <w:kern w:val="0"/>
                <w:szCs w:val="21"/>
              </w:rPr>
              <w:t>告警通知</w:t>
            </w:r>
          </w:p>
        </w:tc>
        <w:tc>
          <w:tcPr>
            <w:tcW w:w="4021" w:type="pct"/>
            <w:vAlign w:val="center"/>
          </w:tcPr>
          <w:p w14:paraId="6D0C7B4F">
            <w:pPr>
              <w:ind w:firstLine="0" w:firstLineChars="0"/>
              <w:rPr>
                <w:rFonts w:cs="宋体"/>
                <w:kern w:val="0"/>
                <w:szCs w:val="21"/>
              </w:rPr>
            </w:pPr>
            <w:r>
              <w:rPr>
                <w:rFonts w:hint="eastAsia" w:cs="宋体"/>
                <w:kern w:val="0"/>
                <w:szCs w:val="21"/>
              </w:rPr>
              <w:t>系统应提供邮件、站内信等告警方式，告警支持统一管理，在系统中未被打开的通知应标识为未读，提供一键批量标记所有通知已读，告警发送时间，告警消息类型，告警标题，告警内容，且支持筛选搜索。</w:t>
            </w:r>
          </w:p>
        </w:tc>
      </w:tr>
      <w:tr w14:paraId="7BE4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210AF47B">
            <w:pPr>
              <w:ind w:firstLine="0" w:firstLineChars="0"/>
              <w:rPr>
                <w:rFonts w:cs="宋体"/>
                <w:kern w:val="0"/>
                <w:szCs w:val="21"/>
              </w:rPr>
            </w:pPr>
            <w:r>
              <w:rPr>
                <w:rFonts w:hint="eastAsia" w:cs="宋体"/>
                <w:kern w:val="0"/>
                <w:szCs w:val="21"/>
              </w:rPr>
              <w:t>系统审计</w:t>
            </w:r>
          </w:p>
        </w:tc>
        <w:tc>
          <w:tcPr>
            <w:tcW w:w="4021" w:type="pct"/>
            <w:vAlign w:val="center"/>
          </w:tcPr>
          <w:p w14:paraId="232A3497">
            <w:pPr>
              <w:ind w:firstLine="0" w:firstLineChars="0"/>
              <w:rPr>
                <w:rFonts w:cs="宋体"/>
                <w:kern w:val="0"/>
                <w:szCs w:val="21"/>
              </w:rPr>
            </w:pPr>
            <w:r>
              <w:rPr>
                <w:rFonts w:hint="eastAsia" w:cs="宋体"/>
                <w:kern w:val="0"/>
                <w:szCs w:val="21"/>
              </w:rPr>
              <w:t>支持对本安全系统所有行为进行审计记录。</w:t>
            </w:r>
          </w:p>
        </w:tc>
      </w:tr>
      <w:tr w14:paraId="7BD9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050D72E2">
            <w:pPr>
              <w:ind w:firstLine="0" w:firstLineChars="0"/>
              <w:rPr>
                <w:rFonts w:cs="宋体"/>
                <w:kern w:val="0"/>
                <w:szCs w:val="21"/>
              </w:rPr>
            </w:pPr>
            <w:r>
              <w:rPr>
                <w:rFonts w:hint="eastAsia" w:cs="宋体"/>
                <w:kern w:val="0"/>
                <w:szCs w:val="21"/>
              </w:rPr>
              <w:t>策略配置</w:t>
            </w:r>
          </w:p>
        </w:tc>
        <w:tc>
          <w:tcPr>
            <w:tcW w:w="4021" w:type="pct"/>
            <w:vAlign w:val="center"/>
          </w:tcPr>
          <w:p w14:paraId="2C1C1E18">
            <w:pPr>
              <w:ind w:firstLine="0" w:firstLineChars="0"/>
              <w:rPr>
                <w:rFonts w:cs="宋体"/>
                <w:kern w:val="0"/>
                <w:szCs w:val="21"/>
              </w:rPr>
            </w:pPr>
            <w:r>
              <w:rPr>
                <w:rFonts w:hint="eastAsia" w:cs="宋体"/>
                <w:kern w:val="0"/>
                <w:szCs w:val="21"/>
              </w:rPr>
              <w:t>支持资产标签自动更新，方便资产运维管理。</w:t>
            </w:r>
          </w:p>
        </w:tc>
      </w:tr>
      <w:tr w14:paraId="676C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5A5CCF6F">
            <w:pPr>
              <w:ind w:firstLine="0" w:firstLineChars="0"/>
              <w:rPr>
                <w:rFonts w:cs="宋体"/>
                <w:kern w:val="0"/>
                <w:szCs w:val="21"/>
              </w:rPr>
            </w:pPr>
            <w:r>
              <w:rPr>
                <w:rFonts w:hint="eastAsia" w:cs="宋体"/>
                <w:kern w:val="0"/>
                <w:szCs w:val="21"/>
              </w:rPr>
              <w:t>产品资质</w:t>
            </w:r>
          </w:p>
        </w:tc>
        <w:tc>
          <w:tcPr>
            <w:tcW w:w="4021" w:type="pct"/>
            <w:vAlign w:val="center"/>
          </w:tcPr>
          <w:p w14:paraId="7F0246A2">
            <w:pPr>
              <w:ind w:firstLine="0" w:firstLineChars="0"/>
              <w:rPr>
                <w:rFonts w:cs="宋体"/>
                <w:kern w:val="0"/>
                <w:szCs w:val="21"/>
              </w:rPr>
            </w:pPr>
            <w:r>
              <w:rPr>
                <w:rFonts w:hint="eastAsia" w:cs="宋体"/>
                <w:kern w:val="0"/>
                <w:szCs w:val="21"/>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bl>
    <w:p w14:paraId="50071561">
      <w:pPr>
        <w:pStyle w:val="21"/>
        <w:ind w:firstLine="480"/>
      </w:pPr>
    </w:p>
    <w:p w14:paraId="0B832AE4">
      <w:pPr>
        <w:pStyle w:val="21"/>
        <w:ind w:firstLine="480"/>
      </w:pPr>
      <w:r>
        <w:rPr>
          <w:rFonts w:hint="eastAsia"/>
        </w:rPr>
        <w:t>客户端技术规格参数：</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60"/>
      </w:tblGrid>
      <w:tr w14:paraId="3FFF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8" w:type="pct"/>
            <w:vAlign w:val="center"/>
          </w:tcPr>
          <w:p w14:paraId="7316B841">
            <w:pPr>
              <w:ind w:firstLine="482"/>
              <w:jc w:val="center"/>
              <w:rPr>
                <w:rFonts w:cs="宋体"/>
                <w:b/>
                <w:kern w:val="0"/>
                <w:szCs w:val="21"/>
              </w:rPr>
            </w:pPr>
            <w:r>
              <w:rPr>
                <w:rFonts w:hint="eastAsia" w:cs="宋体"/>
                <w:b/>
                <w:kern w:val="0"/>
                <w:szCs w:val="21"/>
              </w:rPr>
              <w:t>指标项</w:t>
            </w:r>
          </w:p>
        </w:tc>
        <w:tc>
          <w:tcPr>
            <w:tcW w:w="4022" w:type="pct"/>
            <w:vAlign w:val="center"/>
          </w:tcPr>
          <w:p w14:paraId="594C18A3">
            <w:pPr>
              <w:ind w:firstLine="482"/>
              <w:jc w:val="center"/>
              <w:rPr>
                <w:rFonts w:cs="宋体"/>
                <w:b/>
                <w:kern w:val="0"/>
                <w:szCs w:val="21"/>
              </w:rPr>
            </w:pPr>
            <w:r>
              <w:rPr>
                <w:rFonts w:hint="eastAsia" w:cs="宋体"/>
                <w:b/>
                <w:kern w:val="0"/>
                <w:szCs w:val="21"/>
              </w:rPr>
              <w:t>技术指标</w:t>
            </w:r>
          </w:p>
        </w:tc>
      </w:tr>
      <w:tr w14:paraId="1DE0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7AAD434A">
            <w:pPr>
              <w:ind w:firstLine="0" w:firstLineChars="0"/>
              <w:rPr>
                <w:rFonts w:cs="宋体"/>
                <w:kern w:val="0"/>
                <w:szCs w:val="21"/>
              </w:rPr>
            </w:pPr>
            <w:r>
              <w:rPr>
                <w:rFonts w:hint="eastAsia" w:cs="宋体"/>
                <w:kern w:val="0"/>
                <w:szCs w:val="21"/>
              </w:rPr>
              <w:t>资产清点</w:t>
            </w:r>
          </w:p>
        </w:tc>
        <w:tc>
          <w:tcPr>
            <w:tcW w:w="4022" w:type="pct"/>
            <w:vAlign w:val="center"/>
          </w:tcPr>
          <w:p w14:paraId="71CA9D3D">
            <w:pPr>
              <w:ind w:firstLine="0" w:firstLineChars="0"/>
              <w:rPr>
                <w:rFonts w:cs="宋体"/>
                <w:kern w:val="0"/>
                <w:szCs w:val="21"/>
              </w:rPr>
            </w:pPr>
            <w:r>
              <w:rPr>
                <w:rFonts w:hint="eastAsia" w:cs="宋体"/>
                <w:kern w:val="0"/>
                <w:szCs w:val="21"/>
              </w:rPr>
              <w:t>基本资产：支持清点主机各类基础资产，包括硬件、CPU、内存、磁盘、网卡IP、操作系统等信息。</w:t>
            </w:r>
          </w:p>
        </w:tc>
      </w:tr>
      <w:tr w14:paraId="2128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7872A943">
            <w:pPr>
              <w:ind w:firstLine="0" w:firstLineChars="0"/>
              <w:rPr>
                <w:rFonts w:cs="宋体"/>
                <w:kern w:val="0"/>
                <w:szCs w:val="21"/>
              </w:rPr>
            </w:pPr>
          </w:p>
        </w:tc>
        <w:tc>
          <w:tcPr>
            <w:tcW w:w="4022" w:type="pct"/>
            <w:vAlign w:val="center"/>
          </w:tcPr>
          <w:p w14:paraId="0291F9EF">
            <w:pPr>
              <w:ind w:firstLine="0" w:firstLineChars="0"/>
              <w:rPr>
                <w:rFonts w:cs="宋体"/>
                <w:kern w:val="0"/>
                <w:szCs w:val="21"/>
              </w:rPr>
            </w:pPr>
            <w:r>
              <w:rPr>
                <w:rFonts w:hint="eastAsia" w:cs="宋体"/>
                <w:kern w:val="0"/>
                <w:szCs w:val="21"/>
              </w:rPr>
              <w:t>系统层资产清点：支持清点主机系统层相关资产，包括进程、端口、账号、启动项、计划任务、环境变量、内核模块等信息。</w:t>
            </w:r>
          </w:p>
        </w:tc>
      </w:tr>
      <w:tr w14:paraId="69D82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continue"/>
            <w:vAlign w:val="center"/>
          </w:tcPr>
          <w:p w14:paraId="3B86FA46">
            <w:pPr>
              <w:ind w:firstLine="0" w:firstLineChars="0"/>
              <w:rPr>
                <w:rFonts w:cs="宋体"/>
                <w:kern w:val="0"/>
                <w:szCs w:val="21"/>
              </w:rPr>
            </w:pPr>
          </w:p>
        </w:tc>
        <w:tc>
          <w:tcPr>
            <w:tcW w:w="4022" w:type="pct"/>
            <w:vAlign w:val="center"/>
          </w:tcPr>
          <w:p w14:paraId="1C25E003">
            <w:pPr>
              <w:ind w:firstLine="0" w:firstLineChars="0"/>
              <w:rPr>
                <w:rFonts w:cs="宋体"/>
                <w:kern w:val="0"/>
                <w:szCs w:val="21"/>
              </w:rPr>
            </w:pPr>
            <w:r>
              <w:rPr>
                <w:rFonts w:hint="eastAsia" w:cs="宋体"/>
                <w:kern w:val="0"/>
                <w:szCs w:val="21"/>
              </w:rPr>
              <w:t>应用层资产清点：支持清点主机应用层相关资产，包括安装包、jar包、应用、数据库、中间件、web站点、web框架、web应用、web服务等信息。数据库和中间件至少包括达梦数据库、人大金仓、神州通用数据库、宝兰德应用服务器。</w:t>
            </w:r>
          </w:p>
        </w:tc>
      </w:tr>
      <w:tr w14:paraId="73833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6EEDA6C1">
            <w:pPr>
              <w:ind w:firstLine="0" w:firstLineChars="0"/>
              <w:rPr>
                <w:rFonts w:cs="宋体"/>
                <w:kern w:val="0"/>
                <w:szCs w:val="21"/>
              </w:rPr>
            </w:pPr>
          </w:p>
        </w:tc>
        <w:tc>
          <w:tcPr>
            <w:tcW w:w="4022" w:type="pct"/>
            <w:vAlign w:val="top"/>
          </w:tcPr>
          <w:p w14:paraId="09EEBA84">
            <w:pPr>
              <w:ind w:firstLine="0" w:firstLineChars="0"/>
              <w:rPr>
                <w:rFonts w:cs="宋体"/>
                <w:kern w:val="0"/>
                <w:szCs w:val="21"/>
              </w:rPr>
            </w:pPr>
            <w:r>
              <w:rPr>
                <w:rFonts w:hint="eastAsia" w:cs="宋体"/>
                <w:kern w:val="0"/>
                <w:szCs w:val="21"/>
              </w:rPr>
              <w:t>Windows资产支持：清点Windows系统注册表项值，选择清点其中与安全相关的重要表项值，至少包括：路径、名称、类型、数据、风险描述等。</w:t>
            </w:r>
          </w:p>
          <w:p w14:paraId="4412893D">
            <w:pPr>
              <w:ind w:firstLine="0" w:firstLineChars="0"/>
              <w:rPr>
                <w:rFonts w:cs="宋体"/>
                <w:kern w:val="0"/>
                <w:szCs w:val="21"/>
              </w:rPr>
            </w:pPr>
            <w:r>
              <w:rPr>
                <w:rFonts w:hint="eastAsia" w:cs="宋体"/>
                <w:kern w:val="0"/>
                <w:szCs w:val="21"/>
              </w:rPr>
              <w:t>▲至少清点Windows域账号，清点域账号服务器管理的账号与域账号被使用登录的信息，至少包括：所属域名，帐号最近登录时间，帐号状态，账号类型，home目录，最近登录主机名，最近登录ip等。</w:t>
            </w:r>
          </w:p>
          <w:p w14:paraId="7634E604">
            <w:pPr>
              <w:ind w:firstLine="0" w:firstLineChars="0"/>
              <w:rPr>
                <w:rFonts w:cs="宋体"/>
                <w:kern w:val="0"/>
                <w:szCs w:val="21"/>
              </w:rPr>
            </w:pPr>
            <w:r>
              <w:rPr>
                <w:rFonts w:hint="eastAsia" w:cs="宋体"/>
                <w:kern w:val="0"/>
                <w:szCs w:val="21"/>
              </w:rPr>
              <w:t>支持清点Windows进程数字证书签名，帮助初步推断进程安全性；具体包括，是否包含数字签名，签名者，有效期，证书路径等。</w:t>
            </w:r>
          </w:p>
        </w:tc>
      </w:tr>
      <w:tr w14:paraId="73BD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978" w:type="pct"/>
            <w:vMerge w:val="restart"/>
            <w:vAlign w:val="center"/>
          </w:tcPr>
          <w:p w14:paraId="08D1181D">
            <w:pPr>
              <w:ind w:firstLine="0" w:firstLineChars="0"/>
              <w:rPr>
                <w:rFonts w:cs="宋体"/>
                <w:kern w:val="0"/>
                <w:szCs w:val="21"/>
              </w:rPr>
            </w:pPr>
            <w:r>
              <w:rPr>
                <w:rFonts w:hint="eastAsia" w:cs="宋体"/>
                <w:kern w:val="0"/>
                <w:szCs w:val="21"/>
              </w:rPr>
              <w:t>风险评估</w:t>
            </w:r>
          </w:p>
        </w:tc>
        <w:tc>
          <w:tcPr>
            <w:tcW w:w="4022" w:type="pct"/>
            <w:vAlign w:val="center"/>
          </w:tcPr>
          <w:p w14:paraId="2A44B55B">
            <w:pPr>
              <w:ind w:firstLine="0" w:firstLineChars="0"/>
              <w:rPr>
                <w:rFonts w:cs="宋体"/>
                <w:kern w:val="0"/>
                <w:szCs w:val="21"/>
              </w:rPr>
            </w:pPr>
            <w:r>
              <w:rPr>
                <w:rFonts w:hint="eastAsia" w:cs="宋体"/>
                <w:kern w:val="0"/>
                <w:szCs w:val="21"/>
              </w:rPr>
              <w:t>风险分析：支持对漏洞补丁、弱口令和配置风险进行整体脆弱性分析，以评级评分体系的方式简要直观评价当前安全态势，并统计近7天、近1月风险评分的变化，并展示单个主机的风险评分最低TOP5。</w:t>
            </w:r>
          </w:p>
        </w:tc>
      </w:tr>
      <w:tr w14:paraId="0C6F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33827C95">
            <w:pPr>
              <w:ind w:firstLine="0" w:firstLineChars="0"/>
              <w:rPr>
                <w:rFonts w:cs="宋体"/>
                <w:kern w:val="0"/>
                <w:szCs w:val="21"/>
              </w:rPr>
            </w:pPr>
          </w:p>
        </w:tc>
        <w:tc>
          <w:tcPr>
            <w:tcW w:w="4022" w:type="pct"/>
            <w:vAlign w:val="center"/>
          </w:tcPr>
          <w:p w14:paraId="60AC8F9E">
            <w:pPr>
              <w:ind w:firstLine="0" w:firstLineChars="0"/>
              <w:rPr>
                <w:rFonts w:cs="宋体"/>
                <w:kern w:val="0"/>
                <w:szCs w:val="21"/>
              </w:rPr>
            </w:pPr>
            <w:r>
              <w:rPr>
                <w:rFonts w:hint="eastAsia" w:cs="宋体"/>
                <w:kern w:val="0"/>
                <w:szCs w:val="21"/>
              </w:rPr>
              <w:t>漏洞扫描：支持检测各类常见系统与应用漏洞，漏洞详细信息至少包括：漏洞等级，漏洞名称、漏洞说明、漏洞类型、影响应用与版本、漏洞exp链接、修复建议、CVE编号、CVSS评分与详情、参考链接、引用链接、并提供各维度的补丁风险特征：内核风险、是否存在exp、远程利用、本地提权。</w:t>
            </w:r>
          </w:p>
        </w:tc>
      </w:tr>
      <w:tr w14:paraId="023C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7C468665">
            <w:pPr>
              <w:ind w:firstLine="0" w:firstLineChars="0"/>
              <w:rPr>
                <w:rFonts w:cs="宋体"/>
                <w:kern w:val="0"/>
                <w:szCs w:val="21"/>
              </w:rPr>
            </w:pPr>
          </w:p>
        </w:tc>
        <w:tc>
          <w:tcPr>
            <w:tcW w:w="4022" w:type="pct"/>
            <w:vAlign w:val="center"/>
          </w:tcPr>
          <w:p w14:paraId="1A20C6F1">
            <w:pPr>
              <w:ind w:firstLine="0" w:firstLineChars="0"/>
              <w:rPr>
                <w:rFonts w:cs="宋体"/>
                <w:kern w:val="0"/>
                <w:szCs w:val="21"/>
              </w:rPr>
            </w:pPr>
            <w:r>
              <w:rPr>
                <w:rFonts w:hint="eastAsia" w:cs="宋体"/>
                <w:kern w:val="0"/>
                <w:szCs w:val="21"/>
              </w:rPr>
              <w:t>弱口令管理：支持检查Linux/Windows系统账号弱密码；应用进行弱密码检测，至少包括：InfluxDB、MySQL、Redis；中间件弱密码检测，至少包括：Weblogic、Jenkins、Tomcat；支持应用弱密码检测，应至少包括：OpenLDAP、ProFTPD、SVN、PPTP、VNC、SSH、OpenVPN、rsync、vsftpd。支持弱密码隐藏密码值，根据权限控制是否明文显示，保证安全性。</w:t>
            </w:r>
          </w:p>
        </w:tc>
      </w:tr>
      <w:tr w14:paraId="1A80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2D4CAAEB">
            <w:pPr>
              <w:ind w:firstLine="0" w:firstLineChars="0"/>
              <w:rPr>
                <w:rFonts w:cs="宋体"/>
                <w:kern w:val="0"/>
                <w:szCs w:val="21"/>
              </w:rPr>
            </w:pPr>
            <w:r>
              <w:rPr>
                <w:rFonts w:hint="eastAsia" w:cs="宋体"/>
                <w:kern w:val="0"/>
                <w:szCs w:val="21"/>
              </w:rPr>
              <w:t>入侵检测</w:t>
            </w:r>
          </w:p>
        </w:tc>
        <w:tc>
          <w:tcPr>
            <w:tcW w:w="4022" w:type="pct"/>
            <w:vAlign w:val="center"/>
          </w:tcPr>
          <w:p w14:paraId="4692D33F">
            <w:pPr>
              <w:ind w:firstLine="0" w:firstLineChars="0"/>
              <w:rPr>
                <w:rFonts w:cs="宋体"/>
                <w:kern w:val="0"/>
                <w:szCs w:val="21"/>
              </w:rPr>
            </w:pPr>
            <w:r>
              <w:rPr>
                <w:rFonts w:hint="eastAsia" w:cs="宋体"/>
                <w:kern w:val="0"/>
                <w:szCs w:val="21"/>
              </w:rPr>
              <w:t>异常登录：支持配置正常登录规则，实时检测在非法登录来源IP、非法账号、非合法登录时间的登录行为。</w:t>
            </w:r>
          </w:p>
          <w:p w14:paraId="570D9796">
            <w:pPr>
              <w:ind w:firstLine="0" w:firstLineChars="0"/>
              <w:rPr>
                <w:rFonts w:cs="宋体"/>
                <w:kern w:val="0"/>
                <w:szCs w:val="21"/>
              </w:rPr>
            </w:pPr>
            <w:r>
              <w:rPr>
                <w:rFonts w:hint="eastAsia" w:cs="宋体"/>
                <w:kern w:val="0"/>
                <w:szCs w:val="21"/>
              </w:rPr>
              <w:t>支持对发现的告警事件进行手动处置，支持手动封禁和解封IP。</w:t>
            </w:r>
          </w:p>
        </w:tc>
      </w:tr>
      <w:tr w14:paraId="5D99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2948D590">
            <w:pPr>
              <w:ind w:firstLine="0" w:firstLineChars="0"/>
              <w:rPr>
                <w:rFonts w:cs="宋体"/>
                <w:kern w:val="0"/>
                <w:szCs w:val="21"/>
              </w:rPr>
            </w:pPr>
          </w:p>
        </w:tc>
        <w:tc>
          <w:tcPr>
            <w:tcW w:w="4022" w:type="pct"/>
            <w:vAlign w:val="center"/>
          </w:tcPr>
          <w:p w14:paraId="4A3FC947">
            <w:pPr>
              <w:ind w:firstLine="0" w:firstLineChars="0"/>
              <w:rPr>
                <w:rFonts w:cs="宋体"/>
                <w:kern w:val="0"/>
                <w:szCs w:val="21"/>
              </w:rPr>
            </w:pPr>
            <w:r>
              <w:rPr>
                <w:rFonts w:hint="eastAsia" w:cs="宋体"/>
                <w:kern w:val="0"/>
                <w:szCs w:val="21"/>
              </w:rPr>
              <w:t>暴力破解：支持实时检测针对Linux系统账号和Windows系统账号的暴力破解行为，并支持配置自动封停，也可在告警界面进行手动封禁和解封。</w:t>
            </w:r>
          </w:p>
        </w:tc>
      </w:tr>
      <w:tr w14:paraId="1821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71F6635F">
            <w:pPr>
              <w:ind w:firstLine="0" w:firstLineChars="0"/>
              <w:rPr>
                <w:rFonts w:cs="宋体"/>
                <w:kern w:val="0"/>
                <w:szCs w:val="21"/>
              </w:rPr>
            </w:pPr>
          </w:p>
        </w:tc>
        <w:tc>
          <w:tcPr>
            <w:tcW w:w="4022" w:type="pct"/>
            <w:vAlign w:val="center"/>
          </w:tcPr>
          <w:p w14:paraId="18DCF600">
            <w:pPr>
              <w:ind w:firstLine="0" w:firstLineChars="0"/>
              <w:rPr>
                <w:rFonts w:cs="宋体"/>
                <w:kern w:val="0"/>
                <w:szCs w:val="21"/>
              </w:rPr>
            </w:pPr>
            <w:r>
              <w:rPr>
                <w:rFonts w:hint="eastAsia" w:cs="宋体"/>
                <w:kern w:val="0"/>
                <w:szCs w:val="21"/>
              </w:rPr>
              <w:t>反弹shell：支持实时检测Linux和Windows下的反弹shell行为并产生告警，告警信息能看到事件基本信息如受害主机IP、目标主机IP、目标端口、发现时间等，可看到事件说明，以及以攻击链方式展示的反弹详细过程。</w:t>
            </w:r>
          </w:p>
          <w:p w14:paraId="207E9D1E">
            <w:pPr>
              <w:ind w:firstLine="0" w:firstLineChars="0"/>
              <w:rPr>
                <w:rFonts w:cs="宋体"/>
                <w:kern w:val="0"/>
                <w:szCs w:val="21"/>
              </w:rPr>
            </w:pPr>
            <w:r>
              <w:rPr>
                <w:rFonts w:hint="eastAsia" w:cs="宋体"/>
                <w:kern w:val="0"/>
                <w:szCs w:val="21"/>
              </w:rPr>
              <w:t>可按照进程、目标主机等维度选择特定业务组范围的主机进行白名单策略配置。</w:t>
            </w:r>
          </w:p>
        </w:tc>
      </w:tr>
      <w:tr w14:paraId="3783D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33D81DC6">
            <w:pPr>
              <w:ind w:firstLine="0" w:firstLineChars="0"/>
              <w:rPr>
                <w:rFonts w:cs="宋体"/>
                <w:kern w:val="0"/>
                <w:szCs w:val="21"/>
              </w:rPr>
            </w:pPr>
          </w:p>
        </w:tc>
        <w:tc>
          <w:tcPr>
            <w:tcW w:w="4022" w:type="pct"/>
            <w:vAlign w:val="center"/>
          </w:tcPr>
          <w:p w14:paraId="7722735F">
            <w:pPr>
              <w:ind w:firstLine="0" w:firstLineChars="0"/>
              <w:rPr>
                <w:rFonts w:cs="宋体"/>
                <w:kern w:val="0"/>
                <w:szCs w:val="21"/>
              </w:rPr>
            </w:pPr>
            <w:r>
              <w:rPr>
                <w:rFonts w:hint="eastAsia" w:cs="宋体"/>
                <w:kern w:val="0"/>
                <w:szCs w:val="21"/>
              </w:rPr>
              <w:t>web后门检测：支持实时监控并检测网站目录下文件变化行为，对webshell文件进行上报告警，事件信息至少包含事件的危险程度，后门类型，文件名，文件修改时间，域名，受感染主机，发现时间等信息；支持对文件进行下载查看。</w:t>
            </w:r>
          </w:p>
        </w:tc>
      </w:tr>
      <w:tr w14:paraId="2986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10AE98C2">
            <w:pPr>
              <w:ind w:firstLine="0" w:firstLineChars="0"/>
              <w:rPr>
                <w:rFonts w:cs="宋体"/>
                <w:kern w:val="0"/>
                <w:szCs w:val="21"/>
              </w:rPr>
            </w:pPr>
          </w:p>
        </w:tc>
        <w:tc>
          <w:tcPr>
            <w:tcW w:w="4022" w:type="pct"/>
            <w:vAlign w:val="center"/>
          </w:tcPr>
          <w:p w14:paraId="752EB72D">
            <w:pPr>
              <w:ind w:firstLine="0" w:firstLineChars="0"/>
              <w:rPr>
                <w:rFonts w:cs="宋体"/>
                <w:kern w:val="0"/>
                <w:szCs w:val="21"/>
              </w:rPr>
            </w:pPr>
            <w:r>
              <w:rPr>
                <w:rFonts w:hint="eastAsia" w:cs="宋体"/>
                <w:kern w:val="0"/>
                <w:szCs w:val="21"/>
              </w:rPr>
              <w:t>系统后门检测：支持系统后门实时检测，对后门进行隔离、加白、确认已修复等操作。后门告警信息包括：告警类型、告警说明、IP、发现时间等。</w:t>
            </w:r>
          </w:p>
        </w:tc>
      </w:tr>
      <w:tr w14:paraId="5588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78" w:type="pct"/>
            <w:vMerge w:val="continue"/>
            <w:vAlign w:val="center"/>
          </w:tcPr>
          <w:p w14:paraId="5C7E799C">
            <w:pPr>
              <w:ind w:firstLine="0" w:firstLineChars="0"/>
              <w:rPr>
                <w:rFonts w:cs="宋体"/>
                <w:kern w:val="0"/>
                <w:szCs w:val="21"/>
              </w:rPr>
            </w:pPr>
          </w:p>
        </w:tc>
        <w:tc>
          <w:tcPr>
            <w:tcW w:w="4022" w:type="pct"/>
            <w:vAlign w:val="center"/>
          </w:tcPr>
          <w:p w14:paraId="5EA4EC48">
            <w:pPr>
              <w:ind w:firstLine="0" w:firstLineChars="0"/>
              <w:rPr>
                <w:rFonts w:cs="宋体"/>
                <w:kern w:val="0"/>
                <w:szCs w:val="21"/>
              </w:rPr>
            </w:pPr>
            <w:r>
              <w:rPr>
                <w:rFonts w:hint="eastAsia" w:cs="宋体"/>
                <w:kern w:val="0"/>
                <w:szCs w:val="21"/>
              </w:rPr>
              <w:t>远程命令执行检测：支持对特定主机或者全部主机进行web远程命令执行检测，同时可查看详细的进程树信息，包括进程名，PID，所属用户，所属用户组，文件路径，文件执行权限，进程命令行等；</w:t>
            </w:r>
          </w:p>
        </w:tc>
      </w:tr>
      <w:tr w14:paraId="02DD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734EDF7C">
            <w:pPr>
              <w:ind w:firstLine="0" w:firstLineChars="0"/>
              <w:rPr>
                <w:rFonts w:cs="宋体"/>
                <w:kern w:val="0"/>
                <w:szCs w:val="21"/>
              </w:rPr>
            </w:pPr>
            <w:r>
              <w:rPr>
                <w:rFonts w:hint="eastAsia" w:cs="宋体"/>
                <w:kern w:val="0"/>
                <w:szCs w:val="21"/>
              </w:rPr>
              <w:t>合规基线</w:t>
            </w:r>
          </w:p>
        </w:tc>
        <w:tc>
          <w:tcPr>
            <w:tcW w:w="4022" w:type="pct"/>
            <w:vAlign w:val="center"/>
          </w:tcPr>
          <w:p w14:paraId="071CD5E4">
            <w:pPr>
              <w:ind w:firstLine="0" w:firstLineChars="0"/>
              <w:rPr>
                <w:rFonts w:cs="宋体"/>
                <w:kern w:val="0"/>
                <w:szCs w:val="21"/>
              </w:rPr>
            </w:pPr>
            <w:r>
              <w:rPr>
                <w:rFonts w:hint="eastAsia" w:cs="宋体"/>
                <w:kern w:val="0"/>
                <w:szCs w:val="21"/>
              </w:rPr>
              <w:t>支持按照国际CIS检测标准（Level1、Level2）和国内等级保护检测标准（等保二级、三级）对操作系统和应用进行基线检测，内容至少应包含检查项，检查结果，通过率、修复方法等。</w:t>
            </w:r>
          </w:p>
        </w:tc>
      </w:tr>
      <w:tr w14:paraId="7197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7F5F3642">
            <w:pPr>
              <w:ind w:firstLine="0" w:firstLineChars="0"/>
              <w:rPr>
                <w:rFonts w:cs="宋体"/>
                <w:kern w:val="0"/>
                <w:szCs w:val="21"/>
              </w:rPr>
            </w:pPr>
            <w:r>
              <w:rPr>
                <w:rFonts w:hint="eastAsia" w:cs="宋体"/>
                <w:kern w:val="0"/>
                <w:szCs w:val="21"/>
              </w:rPr>
              <w:t>主机隔离</w:t>
            </w:r>
          </w:p>
        </w:tc>
        <w:tc>
          <w:tcPr>
            <w:tcW w:w="4022" w:type="pct"/>
            <w:vAlign w:val="center"/>
          </w:tcPr>
          <w:p w14:paraId="2B6F05A6">
            <w:pPr>
              <w:ind w:firstLine="0" w:firstLineChars="0"/>
              <w:rPr>
                <w:rFonts w:cs="宋体"/>
                <w:kern w:val="0"/>
                <w:szCs w:val="21"/>
              </w:rPr>
            </w:pPr>
            <w:r>
              <w:rPr>
                <w:rFonts w:hint="eastAsia" w:cs="宋体"/>
                <w:kern w:val="0"/>
                <w:szCs w:val="21"/>
              </w:rPr>
              <w:t>客户端配置：实时监控网络连接，对不符合策略的访问产生告警，在列表中展示；相同告警聚合为同一条计数，并更新告警时间</w:t>
            </w:r>
          </w:p>
        </w:tc>
      </w:tr>
      <w:tr w14:paraId="7030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139F2FD6">
            <w:pPr>
              <w:ind w:firstLine="0" w:firstLineChars="0"/>
              <w:rPr>
                <w:rFonts w:cs="宋体"/>
                <w:kern w:val="0"/>
                <w:szCs w:val="21"/>
              </w:rPr>
            </w:pPr>
            <w:r>
              <w:rPr>
                <w:rFonts w:hint="eastAsia" w:cs="宋体"/>
                <w:kern w:val="0"/>
                <w:szCs w:val="21"/>
              </w:rPr>
              <w:t>微蜜罐</w:t>
            </w:r>
          </w:p>
        </w:tc>
        <w:tc>
          <w:tcPr>
            <w:tcW w:w="4022" w:type="pct"/>
            <w:vAlign w:val="center"/>
          </w:tcPr>
          <w:p w14:paraId="67502478">
            <w:pPr>
              <w:ind w:firstLine="0" w:firstLineChars="0"/>
              <w:rPr>
                <w:rFonts w:cs="宋体"/>
                <w:kern w:val="0"/>
                <w:szCs w:val="21"/>
              </w:rPr>
            </w:pPr>
            <w:r>
              <w:rPr>
                <w:rFonts w:hint="eastAsia" w:cs="宋体"/>
                <w:kern w:val="0"/>
                <w:szCs w:val="21"/>
              </w:rPr>
              <w:t>端口蜜罐：支持伪造任意系统端口，实时检测对设置蜜罐端口的尝试连接行为，并提供告警。监控已设置规则的端口，一旦尝试访问端口，即上报告警，其中端口应支持输入多个。</w:t>
            </w:r>
          </w:p>
        </w:tc>
      </w:tr>
      <w:tr w14:paraId="5498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327800A9">
            <w:pPr>
              <w:ind w:firstLine="0" w:firstLineChars="0"/>
              <w:rPr>
                <w:rFonts w:cs="宋体"/>
                <w:kern w:val="0"/>
                <w:szCs w:val="21"/>
              </w:rPr>
            </w:pPr>
            <w:r>
              <w:rPr>
                <w:rFonts w:hint="eastAsia" w:cs="宋体"/>
                <w:kern w:val="0"/>
                <w:szCs w:val="21"/>
              </w:rPr>
              <w:t>内存后门检测</w:t>
            </w:r>
          </w:p>
        </w:tc>
        <w:tc>
          <w:tcPr>
            <w:tcW w:w="4022" w:type="pct"/>
            <w:vAlign w:val="center"/>
          </w:tcPr>
          <w:p w14:paraId="088F9412">
            <w:pPr>
              <w:ind w:firstLine="0" w:firstLineChars="0"/>
              <w:rPr>
                <w:rFonts w:cs="宋体"/>
                <w:kern w:val="0"/>
                <w:szCs w:val="21"/>
              </w:rPr>
            </w:pPr>
            <w:r>
              <w:rPr>
                <w:rFonts w:hint="eastAsia" w:cs="宋体"/>
                <w:kern w:val="0"/>
                <w:szCs w:val="21"/>
              </w:rPr>
              <w:t>内存webshell检测：支持实时检测在内存中加载网站恶意文件，无任何本地文件、恶意代码注入的检测。需要展示内存对应的类名、父类名、所属类加载器、内存对应大小、MD5信息等。</w:t>
            </w:r>
          </w:p>
        </w:tc>
      </w:tr>
      <w:tr w14:paraId="23E1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7F4E379B">
            <w:pPr>
              <w:ind w:firstLine="0" w:firstLineChars="0"/>
              <w:rPr>
                <w:rFonts w:cs="宋体"/>
                <w:kern w:val="0"/>
                <w:szCs w:val="21"/>
              </w:rPr>
            </w:pPr>
            <w:r>
              <w:rPr>
                <w:rFonts w:hint="eastAsia" w:cs="宋体"/>
                <w:kern w:val="0"/>
                <w:szCs w:val="21"/>
              </w:rPr>
              <w:t>文件完整性</w:t>
            </w:r>
          </w:p>
        </w:tc>
        <w:tc>
          <w:tcPr>
            <w:tcW w:w="4022" w:type="pct"/>
            <w:vAlign w:val="center"/>
          </w:tcPr>
          <w:p w14:paraId="6B6E056B">
            <w:pPr>
              <w:ind w:firstLine="0" w:firstLineChars="0"/>
              <w:rPr>
                <w:rFonts w:cs="宋体"/>
                <w:kern w:val="0"/>
                <w:szCs w:val="21"/>
              </w:rPr>
            </w:pPr>
            <w:r>
              <w:rPr>
                <w:rFonts w:hint="eastAsia" w:cs="宋体"/>
                <w:kern w:val="0"/>
                <w:szCs w:val="21"/>
              </w:rPr>
              <w:t>支持对文件的新增、修改、删除、权限变更等变化行为进行告警。</w:t>
            </w:r>
          </w:p>
        </w:tc>
      </w:tr>
      <w:tr w14:paraId="47FD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5A3D68C1">
            <w:pPr>
              <w:ind w:firstLine="0" w:firstLineChars="0"/>
              <w:rPr>
                <w:rFonts w:cs="宋体"/>
                <w:kern w:val="0"/>
                <w:szCs w:val="21"/>
              </w:rPr>
            </w:pPr>
            <w:r>
              <w:rPr>
                <w:rFonts w:hint="eastAsia" w:cs="宋体"/>
                <w:kern w:val="0"/>
                <w:szCs w:val="21"/>
              </w:rPr>
              <w:t>病毒查杀</w:t>
            </w:r>
          </w:p>
        </w:tc>
        <w:tc>
          <w:tcPr>
            <w:tcW w:w="4022" w:type="pct"/>
            <w:vAlign w:val="center"/>
          </w:tcPr>
          <w:p w14:paraId="59C099AD">
            <w:pPr>
              <w:ind w:firstLine="0" w:firstLineChars="0"/>
              <w:rPr>
                <w:rFonts w:cs="宋体"/>
                <w:kern w:val="0"/>
                <w:szCs w:val="21"/>
              </w:rPr>
            </w:pPr>
            <w:r>
              <w:rPr>
                <w:rFonts w:hint="eastAsia" w:cs="宋体"/>
                <w:kern w:val="0"/>
                <w:szCs w:val="21"/>
              </w:rPr>
              <w:t>支持挖矿软件检测、支持恶意攻击木马检测、支持勒索病毒检测等其他常见病毒检测.</w:t>
            </w:r>
          </w:p>
        </w:tc>
      </w:tr>
      <w:tr w14:paraId="2FE7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7A9A65EE">
            <w:pPr>
              <w:ind w:firstLine="0" w:firstLineChars="0"/>
              <w:rPr>
                <w:rFonts w:cs="宋体"/>
                <w:kern w:val="0"/>
                <w:szCs w:val="21"/>
              </w:rPr>
            </w:pPr>
            <w:r>
              <w:rPr>
                <w:rFonts w:hint="eastAsia" w:cs="宋体"/>
                <w:kern w:val="0"/>
                <w:szCs w:val="21"/>
              </w:rPr>
              <w:t>产品资质</w:t>
            </w:r>
          </w:p>
        </w:tc>
        <w:tc>
          <w:tcPr>
            <w:tcW w:w="4022" w:type="pct"/>
            <w:vAlign w:val="center"/>
          </w:tcPr>
          <w:p w14:paraId="0A142AB8">
            <w:pPr>
              <w:ind w:firstLine="0" w:firstLineChars="0"/>
              <w:rPr>
                <w:rFonts w:cs="宋体"/>
                <w:kern w:val="0"/>
                <w:szCs w:val="21"/>
              </w:rPr>
            </w:pPr>
            <w:r>
              <w:rPr>
                <w:rFonts w:hint="eastAsia" w:cs="宋体"/>
                <w:kern w:val="0"/>
                <w:szCs w:val="21"/>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bl>
    <w:p w14:paraId="769FD40F">
      <w:pPr>
        <w:pStyle w:val="21"/>
        <w:ind w:firstLine="480"/>
      </w:pPr>
    </w:p>
    <w:p w14:paraId="297C5422">
      <w:pPr>
        <w:pStyle w:val="6"/>
        <w:numPr>
          <w:ilvl w:val="3"/>
          <w:numId w:val="0"/>
        </w:numPr>
        <w:spacing w:line="413" w:lineRule="auto"/>
      </w:pPr>
      <w:bookmarkStart w:id="47" w:name="_Toc5340"/>
      <w:bookmarkStart w:id="48" w:name="_Toc161989563"/>
      <w:r>
        <w:rPr>
          <w:rFonts w:hint="eastAsia"/>
        </w:rPr>
        <w:t>2.3 XC网络终端安全管理系统统一管理平台</w:t>
      </w:r>
      <w:bookmarkEnd w:id="47"/>
      <w:bookmarkEnd w:id="48"/>
    </w:p>
    <w:p w14:paraId="0EE6BF18">
      <w:pPr>
        <w:pStyle w:val="21"/>
        <w:ind w:firstLine="480"/>
      </w:pPr>
      <w:r>
        <w:rPr>
          <w:rFonts w:hint="eastAsia"/>
        </w:rPr>
        <w:t>本系统包含分级权限管理、系统监控管理、终端汇总管理、策略统一管理、日志审计管理、数据展示管理和系统报警管理共</w:t>
      </w:r>
      <w:r>
        <w:t xml:space="preserve">7个模块。具体技术规格参数如下：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0"/>
        <w:gridCol w:w="6858"/>
      </w:tblGrid>
      <w:tr w14:paraId="635B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79" w:type="pct"/>
            <w:shd w:val="clear" w:color="auto" w:fill="auto"/>
          </w:tcPr>
          <w:p w14:paraId="69766728">
            <w:pPr>
              <w:ind w:firstLine="482"/>
              <w:jc w:val="center"/>
              <w:rPr>
                <w:b/>
                <w:bCs/>
                <w:szCs w:val="21"/>
              </w:rPr>
            </w:pPr>
            <w:r>
              <w:rPr>
                <w:rFonts w:hint="eastAsia"/>
                <w:b/>
                <w:bCs/>
                <w:szCs w:val="21"/>
              </w:rPr>
              <w:t>指标项</w:t>
            </w:r>
          </w:p>
        </w:tc>
        <w:tc>
          <w:tcPr>
            <w:tcW w:w="4021" w:type="pct"/>
          </w:tcPr>
          <w:p w14:paraId="105DA179">
            <w:pPr>
              <w:ind w:firstLine="482"/>
              <w:jc w:val="center"/>
              <w:rPr>
                <w:b/>
                <w:bCs/>
                <w:szCs w:val="21"/>
              </w:rPr>
            </w:pPr>
            <w:r>
              <w:rPr>
                <w:rFonts w:hint="eastAsia"/>
                <w:b/>
                <w:bCs/>
                <w:szCs w:val="21"/>
              </w:rPr>
              <w:t>技术指标</w:t>
            </w:r>
          </w:p>
        </w:tc>
      </w:tr>
      <w:tr w14:paraId="26FD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14:paraId="3D7BB371">
            <w:pPr>
              <w:ind w:firstLine="0" w:firstLineChars="0"/>
              <w:rPr>
                <w:szCs w:val="21"/>
              </w:rPr>
            </w:pPr>
            <w:r>
              <w:rPr>
                <w:rFonts w:hint="eastAsia"/>
                <w:szCs w:val="21"/>
              </w:rPr>
              <w:t>分级权限管理</w:t>
            </w:r>
          </w:p>
        </w:tc>
        <w:tc>
          <w:tcPr>
            <w:tcW w:w="4021" w:type="pct"/>
          </w:tcPr>
          <w:p w14:paraId="601F110F">
            <w:pPr>
              <w:ind w:firstLine="0" w:firstLineChars="0"/>
              <w:rPr>
                <w:szCs w:val="21"/>
              </w:rPr>
            </w:pPr>
            <w:r>
              <w:rPr>
                <w:rFonts w:hint="eastAsia"/>
                <w:szCs w:val="21"/>
              </w:rPr>
              <w:t>分级分权限管理：采用三全分立，支持高院、分院两级管理模式分权。</w:t>
            </w:r>
          </w:p>
          <w:p w14:paraId="264B7B86">
            <w:pPr>
              <w:ind w:firstLine="0" w:firstLineChars="0"/>
              <w:rPr>
                <w:szCs w:val="21"/>
              </w:rPr>
            </w:pPr>
            <w:r>
              <w:rPr>
                <w:rFonts w:hint="eastAsia"/>
                <w:szCs w:val="21"/>
              </w:rPr>
              <w:t>1）后台支持配置管理员不同的管理范围权限和不同的功能权限；</w:t>
            </w:r>
          </w:p>
          <w:p w14:paraId="25AB1299">
            <w:pPr>
              <w:ind w:firstLine="0" w:firstLineChars="0"/>
              <w:rPr>
                <w:szCs w:val="21"/>
              </w:rPr>
            </w:pPr>
            <w:r>
              <w:rPr>
                <w:rFonts w:hint="eastAsia"/>
                <w:szCs w:val="21"/>
              </w:rPr>
              <w:t>2）市级法院系统管理员集中管理，可以集中管理所有区县法院机器情况、管理策略。区法院管理员分级自治，界面只显示在管理范围内的机器情况，管理策略等等。</w:t>
            </w:r>
          </w:p>
        </w:tc>
      </w:tr>
      <w:tr w14:paraId="3273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14:paraId="755BD4D3">
            <w:pPr>
              <w:ind w:firstLine="0" w:firstLineChars="0"/>
              <w:rPr>
                <w:szCs w:val="21"/>
              </w:rPr>
            </w:pPr>
            <w:r>
              <w:rPr>
                <w:rFonts w:hint="eastAsia"/>
                <w:szCs w:val="21"/>
              </w:rPr>
              <w:t>系统监控管理</w:t>
            </w:r>
          </w:p>
        </w:tc>
        <w:tc>
          <w:tcPr>
            <w:tcW w:w="4021" w:type="pct"/>
          </w:tcPr>
          <w:p w14:paraId="101D6611">
            <w:pPr>
              <w:ind w:firstLine="0" w:firstLineChars="0"/>
              <w:rPr>
                <w:szCs w:val="21"/>
              </w:rPr>
            </w:pPr>
            <w:r>
              <w:rPr>
                <w:rFonts w:hint="eastAsia"/>
                <w:szCs w:val="21"/>
              </w:rPr>
              <w:t>系统监控：各分院终端安全管理系统运行状态监控，异常状态报警及输出。</w:t>
            </w:r>
          </w:p>
          <w:p w14:paraId="1A4C2069">
            <w:pPr>
              <w:ind w:firstLine="0" w:firstLineChars="0"/>
              <w:rPr>
                <w:szCs w:val="21"/>
              </w:rPr>
            </w:pPr>
            <w:r>
              <w:rPr>
                <w:rFonts w:hint="eastAsia"/>
                <w:szCs w:val="21"/>
              </w:rPr>
              <w:t>1）系统运行状态监控：监测终端安全管理系统运行是否正常，如异常则报警；</w:t>
            </w:r>
          </w:p>
          <w:p w14:paraId="122A25E0">
            <w:pPr>
              <w:ind w:firstLine="0" w:firstLineChars="0"/>
              <w:rPr>
                <w:szCs w:val="21"/>
              </w:rPr>
            </w:pPr>
            <w:r>
              <w:rPr>
                <w:rFonts w:hint="eastAsia"/>
                <w:szCs w:val="21"/>
              </w:rPr>
              <w:t>2）资源使用状态监控：监测终端安全管理系统CPU、内存、系统空间、备份空间，如超过80%则报警；</w:t>
            </w:r>
          </w:p>
          <w:p w14:paraId="00B8FB82">
            <w:pPr>
              <w:ind w:firstLine="0" w:firstLineChars="0"/>
              <w:rPr>
                <w:szCs w:val="21"/>
              </w:rPr>
            </w:pPr>
            <w:r>
              <w:rPr>
                <w:rFonts w:hint="eastAsia"/>
                <w:szCs w:val="21"/>
              </w:rPr>
              <w:t>3）系统服务状态监控：监测终端安全管理系统服务运行状态，如异常则报警；</w:t>
            </w:r>
          </w:p>
          <w:p w14:paraId="08774B13">
            <w:pPr>
              <w:ind w:firstLine="0" w:firstLineChars="0"/>
              <w:rPr>
                <w:szCs w:val="21"/>
              </w:rPr>
            </w:pPr>
            <w:r>
              <w:rPr>
                <w:rFonts w:hint="eastAsia"/>
                <w:szCs w:val="21"/>
              </w:rPr>
              <w:t>4）异常报警展示及输出：报警通过首页展示，采用SYSLOG及短信输出。</w:t>
            </w:r>
          </w:p>
        </w:tc>
      </w:tr>
      <w:tr w14:paraId="25D4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 w:type="pct"/>
            <w:shd w:val="clear" w:color="auto" w:fill="auto"/>
          </w:tcPr>
          <w:p w14:paraId="78B9461C">
            <w:pPr>
              <w:ind w:firstLine="0" w:firstLineChars="0"/>
              <w:rPr>
                <w:szCs w:val="21"/>
              </w:rPr>
            </w:pPr>
            <w:r>
              <w:rPr>
                <w:rFonts w:hint="eastAsia"/>
                <w:szCs w:val="21"/>
              </w:rPr>
              <w:t>终端汇总管理</w:t>
            </w:r>
          </w:p>
        </w:tc>
        <w:tc>
          <w:tcPr>
            <w:tcW w:w="4021" w:type="pct"/>
          </w:tcPr>
          <w:p w14:paraId="3FB96C8C">
            <w:pPr>
              <w:ind w:firstLine="0" w:firstLineChars="0"/>
              <w:rPr>
                <w:szCs w:val="21"/>
              </w:rPr>
            </w:pPr>
            <w:r>
              <w:rPr>
                <w:rFonts w:hint="eastAsia"/>
                <w:szCs w:val="21"/>
              </w:rPr>
              <w:t>终端数据汇总：采集各分院终端信息，汇总统一报表。</w:t>
            </w:r>
          </w:p>
          <w:p w14:paraId="45675AD7">
            <w:pPr>
              <w:ind w:firstLine="0" w:firstLineChars="0"/>
              <w:rPr>
                <w:szCs w:val="21"/>
              </w:rPr>
            </w:pPr>
            <w:r>
              <w:rPr>
                <w:rFonts w:hint="eastAsia"/>
                <w:szCs w:val="21"/>
              </w:rPr>
              <w:t>1）采集各分院的终端基本信息，包括不限于IP、MAC、使用人、部门等，集中到统一管理平台汇总；</w:t>
            </w:r>
          </w:p>
          <w:p w14:paraId="69D936CD">
            <w:pPr>
              <w:ind w:firstLine="0" w:firstLineChars="0"/>
              <w:rPr>
                <w:szCs w:val="21"/>
              </w:rPr>
            </w:pPr>
            <w:r>
              <w:rPr>
                <w:rFonts w:hint="eastAsia"/>
                <w:szCs w:val="21"/>
              </w:rPr>
              <w:t>2）采集各分院的终端硬件信息，集中到统一管理平台汇总；</w:t>
            </w:r>
          </w:p>
          <w:p w14:paraId="439020B5">
            <w:pPr>
              <w:ind w:firstLine="0" w:firstLineChars="0"/>
              <w:rPr>
                <w:szCs w:val="21"/>
              </w:rPr>
            </w:pPr>
            <w:r>
              <w:rPr>
                <w:rFonts w:hint="eastAsia"/>
                <w:szCs w:val="21"/>
              </w:rPr>
              <w:t>3）采集各分院的终端软件信息，集中到统一管理平台汇总；</w:t>
            </w:r>
          </w:p>
          <w:p w14:paraId="3AD40FA9">
            <w:pPr>
              <w:ind w:firstLine="0" w:firstLineChars="0"/>
              <w:rPr>
                <w:szCs w:val="21"/>
              </w:rPr>
            </w:pPr>
            <w:r>
              <w:rPr>
                <w:rFonts w:hint="eastAsia"/>
                <w:szCs w:val="21"/>
              </w:rPr>
              <w:t>4）采集各分院的终端的违规情况，集中到统一管理平台汇总。</w:t>
            </w:r>
          </w:p>
        </w:tc>
      </w:tr>
      <w:tr w14:paraId="1978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14:paraId="42316014">
            <w:pPr>
              <w:ind w:firstLine="0" w:firstLineChars="0"/>
              <w:rPr>
                <w:szCs w:val="21"/>
              </w:rPr>
            </w:pPr>
            <w:r>
              <w:rPr>
                <w:rFonts w:hint="eastAsia"/>
                <w:szCs w:val="21"/>
              </w:rPr>
              <w:t>策略统一管理</w:t>
            </w:r>
          </w:p>
        </w:tc>
        <w:tc>
          <w:tcPr>
            <w:tcW w:w="4021" w:type="pct"/>
          </w:tcPr>
          <w:p w14:paraId="4C5C5B7A">
            <w:pPr>
              <w:ind w:firstLine="0" w:firstLineChars="0"/>
              <w:rPr>
                <w:szCs w:val="21"/>
              </w:rPr>
            </w:pPr>
            <w:r>
              <w:rPr>
                <w:rFonts w:hint="eastAsia"/>
                <w:szCs w:val="21"/>
              </w:rPr>
              <w:t>策略汇总：建立策略统一下发机制，高院对各分院进行统一策略下发。</w:t>
            </w:r>
          </w:p>
          <w:p w14:paraId="0A7DF993">
            <w:pPr>
              <w:ind w:firstLine="0" w:firstLineChars="0"/>
              <w:rPr>
                <w:szCs w:val="21"/>
              </w:rPr>
            </w:pPr>
            <w:r>
              <w:rPr>
                <w:rFonts w:hint="eastAsia"/>
                <w:szCs w:val="21"/>
              </w:rPr>
              <w:t>1）支持以树状结构对部门信息进行层级展示；</w:t>
            </w:r>
          </w:p>
          <w:p w14:paraId="6EFCDC00">
            <w:pPr>
              <w:ind w:firstLine="0" w:firstLineChars="0"/>
              <w:rPr>
                <w:szCs w:val="21"/>
              </w:rPr>
            </w:pPr>
            <w:r>
              <w:rPr>
                <w:rFonts w:hint="eastAsia"/>
                <w:szCs w:val="21"/>
              </w:rPr>
              <w:t>2）支持策略执行结果的统一汇总；</w:t>
            </w:r>
          </w:p>
          <w:p w14:paraId="2AA6832C">
            <w:pPr>
              <w:ind w:firstLine="0" w:firstLineChars="0"/>
              <w:rPr>
                <w:szCs w:val="21"/>
              </w:rPr>
            </w:pPr>
            <w:r>
              <w:rPr>
                <w:rFonts w:hint="eastAsia"/>
                <w:szCs w:val="21"/>
              </w:rPr>
              <w:t>3）支持策略告警的统一展示。</w:t>
            </w:r>
          </w:p>
        </w:tc>
      </w:tr>
      <w:tr w14:paraId="75375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14:paraId="5705579B">
            <w:pPr>
              <w:ind w:firstLine="0" w:firstLineChars="0"/>
              <w:rPr>
                <w:szCs w:val="21"/>
              </w:rPr>
            </w:pPr>
            <w:r>
              <w:rPr>
                <w:rFonts w:hint="eastAsia"/>
                <w:szCs w:val="21"/>
              </w:rPr>
              <w:t>日志审计管理</w:t>
            </w:r>
          </w:p>
        </w:tc>
        <w:tc>
          <w:tcPr>
            <w:tcW w:w="4021" w:type="pct"/>
          </w:tcPr>
          <w:p w14:paraId="24E043CE">
            <w:pPr>
              <w:ind w:firstLine="0" w:firstLineChars="0"/>
              <w:rPr>
                <w:szCs w:val="21"/>
              </w:rPr>
            </w:pPr>
            <w:r>
              <w:rPr>
                <w:rFonts w:hint="eastAsia"/>
                <w:szCs w:val="21"/>
              </w:rPr>
              <w:t>审计汇总管理：对分院终端的文件操作行为进行审计汇总，包括但不限于以下操作如新建、修改、移动、改名、彻底删除、放入回收站、还原、清空；</w:t>
            </w:r>
          </w:p>
          <w:p w14:paraId="5859E38B">
            <w:pPr>
              <w:ind w:firstLine="0" w:firstLineChars="0"/>
              <w:rPr>
                <w:szCs w:val="21"/>
              </w:rPr>
            </w:pPr>
            <w:r>
              <w:rPr>
                <w:rFonts w:hint="eastAsia"/>
                <w:szCs w:val="21"/>
              </w:rPr>
              <w:t>1）支持汇总常用软件产生的文件变动行为审计；</w:t>
            </w:r>
          </w:p>
          <w:p w14:paraId="6F84D8F7">
            <w:pPr>
              <w:ind w:firstLine="0" w:firstLineChars="0"/>
              <w:rPr>
                <w:szCs w:val="21"/>
              </w:rPr>
            </w:pPr>
            <w:r>
              <w:rPr>
                <w:rFonts w:hint="eastAsia"/>
                <w:szCs w:val="21"/>
              </w:rPr>
              <w:t>2）支持汇总用户访问的网站进行审计记录，汇总各分院网站审计列表，包括：设备名称、远程IP、远程端口、域名、进程路径、标题、网址、设备IP；</w:t>
            </w:r>
          </w:p>
          <w:p w14:paraId="4C10FD63">
            <w:pPr>
              <w:ind w:firstLine="0" w:firstLineChars="0"/>
              <w:rPr>
                <w:szCs w:val="21"/>
              </w:rPr>
            </w:pPr>
            <w:r>
              <w:rPr>
                <w:rFonts w:hint="eastAsia"/>
                <w:szCs w:val="21"/>
              </w:rPr>
              <w:t>3）汇总各分院终端系统上当前运行的进程及状态进行监控和审计；</w:t>
            </w:r>
          </w:p>
          <w:p w14:paraId="2D44214E">
            <w:pPr>
              <w:ind w:firstLine="0" w:firstLineChars="0"/>
              <w:rPr>
                <w:szCs w:val="21"/>
              </w:rPr>
            </w:pPr>
            <w:r>
              <w:rPr>
                <w:rFonts w:hint="eastAsia"/>
                <w:szCs w:val="21"/>
              </w:rPr>
              <w:t>4）汇总各分院终端用户的文档打印行为、光盘刻录行为用于审计、记录；</w:t>
            </w:r>
          </w:p>
          <w:p w14:paraId="1168F00D">
            <w:pPr>
              <w:ind w:firstLine="0" w:firstLineChars="0"/>
              <w:rPr>
                <w:szCs w:val="21"/>
              </w:rPr>
            </w:pPr>
            <w:r>
              <w:rPr>
                <w:rFonts w:hint="eastAsia"/>
                <w:szCs w:val="21"/>
              </w:rPr>
              <w:t>5）汇总各分院终端系统上相关服务及启用、停止等状态进行监控和审计；</w:t>
            </w:r>
          </w:p>
          <w:p w14:paraId="767C638A">
            <w:pPr>
              <w:ind w:firstLine="0" w:firstLineChars="0"/>
              <w:rPr>
                <w:szCs w:val="21"/>
              </w:rPr>
            </w:pPr>
            <w:r>
              <w:rPr>
                <w:rFonts w:hint="eastAsia"/>
                <w:szCs w:val="21"/>
              </w:rPr>
              <w:t>6）汇总各分院终端系统上的共享目录进行监控和审计；</w:t>
            </w:r>
          </w:p>
          <w:p w14:paraId="1EC4002E">
            <w:pPr>
              <w:ind w:firstLine="0" w:firstLineChars="0"/>
              <w:rPr>
                <w:szCs w:val="21"/>
              </w:rPr>
            </w:pPr>
            <w:r>
              <w:rPr>
                <w:rFonts w:hint="eastAsia"/>
                <w:szCs w:val="21"/>
              </w:rPr>
              <w:t>7）汇总各分院终端上的用户账户进行监控和审计；</w:t>
            </w:r>
          </w:p>
          <w:p w14:paraId="34D0A7B7">
            <w:pPr>
              <w:ind w:firstLine="0" w:firstLineChars="0"/>
              <w:rPr>
                <w:szCs w:val="21"/>
              </w:rPr>
            </w:pPr>
            <w:r>
              <w:rPr>
                <w:rFonts w:hint="eastAsia"/>
                <w:szCs w:val="21"/>
              </w:rPr>
              <w:t>8）汇总各分院终端上的开机启动项进行监控和审计，监控的内容包括启动项的添加、删除和修改等操作；</w:t>
            </w:r>
          </w:p>
          <w:p w14:paraId="2F58D665">
            <w:pPr>
              <w:ind w:firstLine="0" w:firstLineChars="0"/>
              <w:rPr>
                <w:szCs w:val="21"/>
              </w:rPr>
            </w:pPr>
            <w:r>
              <w:rPr>
                <w:rFonts w:hint="eastAsia"/>
                <w:szCs w:val="21"/>
              </w:rPr>
              <w:t>9）汇总各分院指定目录下的注册表项，监控的内容包括注册表项的添加、删除和修改等操作；</w:t>
            </w:r>
          </w:p>
          <w:p w14:paraId="1F811C1F">
            <w:pPr>
              <w:ind w:firstLine="0" w:firstLineChars="0"/>
              <w:rPr>
                <w:szCs w:val="21"/>
              </w:rPr>
            </w:pPr>
            <w:r>
              <w:rPr>
                <w:rFonts w:hint="eastAsia"/>
                <w:szCs w:val="21"/>
              </w:rPr>
              <w:t>10）汇总各分院网络流量使用情况。</w:t>
            </w:r>
          </w:p>
        </w:tc>
      </w:tr>
      <w:tr w14:paraId="7173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shd w:val="clear" w:color="auto" w:fill="auto"/>
          </w:tcPr>
          <w:p w14:paraId="70B74E88">
            <w:pPr>
              <w:ind w:firstLine="0" w:firstLineChars="0"/>
              <w:rPr>
                <w:szCs w:val="21"/>
              </w:rPr>
            </w:pPr>
            <w:r>
              <w:rPr>
                <w:rFonts w:hint="eastAsia"/>
                <w:szCs w:val="21"/>
              </w:rPr>
              <w:t>数据展示管理</w:t>
            </w:r>
          </w:p>
        </w:tc>
        <w:tc>
          <w:tcPr>
            <w:tcW w:w="4021" w:type="pct"/>
          </w:tcPr>
          <w:p w14:paraId="39429F1E">
            <w:pPr>
              <w:ind w:firstLine="0" w:firstLineChars="0"/>
              <w:rPr>
                <w:szCs w:val="21"/>
              </w:rPr>
            </w:pPr>
            <w:r>
              <w:rPr>
                <w:rFonts w:hint="eastAsia"/>
                <w:szCs w:val="21"/>
              </w:rPr>
              <w:t>整体展示管理：对于高院及下属各区县的终端统一管理要求，进行数据统一管理和分析</w:t>
            </w:r>
          </w:p>
          <w:p w14:paraId="582957CF">
            <w:pPr>
              <w:ind w:firstLine="0" w:firstLineChars="0"/>
              <w:rPr>
                <w:szCs w:val="21"/>
              </w:rPr>
            </w:pPr>
            <w:r>
              <w:rPr>
                <w:rFonts w:hint="eastAsia"/>
                <w:szCs w:val="21"/>
              </w:rPr>
              <w:t>1）展示各分院违规情况，以地图形式在后台直观展示</w:t>
            </w:r>
          </w:p>
          <w:p w14:paraId="573C7821">
            <w:pPr>
              <w:ind w:firstLine="0" w:firstLineChars="0"/>
              <w:rPr>
                <w:szCs w:val="21"/>
              </w:rPr>
            </w:pPr>
            <w:r>
              <w:rPr>
                <w:rFonts w:hint="eastAsia"/>
                <w:szCs w:val="21"/>
              </w:rPr>
              <w:t>2）违规地区以标志性亮点，显示违规情况，可以点击查看分院更多违规详情</w:t>
            </w:r>
          </w:p>
          <w:p w14:paraId="4AC86406">
            <w:pPr>
              <w:ind w:firstLine="0" w:firstLineChars="0"/>
              <w:rPr>
                <w:szCs w:val="21"/>
              </w:rPr>
            </w:pPr>
            <w:r>
              <w:rPr>
                <w:rFonts w:hint="eastAsia"/>
                <w:szCs w:val="21"/>
              </w:rPr>
              <w:t>3）对于高院及下属各区县分院之间实时链路、流量状况，以及终端在线率，终端设备合规率排行、安检项通过率、文档操作等报表信息通过投射大屏的方式进行实时、直观展现</w:t>
            </w:r>
          </w:p>
        </w:tc>
      </w:tr>
      <w:tr w14:paraId="082B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9" w:type="pct"/>
            <w:shd w:val="clear" w:color="auto" w:fill="auto"/>
          </w:tcPr>
          <w:p w14:paraId="2F208A54">
            <w:pPr>
              <w:ind w:firstLine="0" w:firstLineChars="0"/>
              <w:rPr>
                <w:szCs w:val="21"/>
              </w:rPr>
            </w:pPr>
            <w:r>
              <w:rPr>
                <w:rFonts w:hint="eastAsia"/>
                <w:szCs w:val="21"/>
              </w:rPr>
              <w:t>系统报警管理</w:t>
            </w:r>
          </w:p>
        </w:tc>
        <w:tc>
          <w:tcPr>
            <w:tcW w:w="4021" w:type="pct"/>
          </w:tcPr>
          <w:p w14:paraId="790CAEDD">
            <w:pPr>
              <w:ind w:firstLine="0" w:firstLineChars="0"/>
              <w:rPr>
                <w:szCs w:val="21"/>
              </w:rPr>
            </w:pPr>
            <w:r>
              <w:rPr>
                <w:rFonts w:hint="eastAsia"/>
                <w:szCs w:val="21"/>
              </w:rPr>
              <w:t>系统报警：多采用多种类型告警方式，以方便管理员快捷、及时、准确的了解每个终端以及平台自身的运行状况。</w:t>
            </w:r>
          </w:p>
          <w:p w14:paraId="06661FFC">
            <w:pPr>
              <w:ind w:firstLine="0" w:firstLineChars="0"/>
              <w:rPr>
                <w:szCs w:val="21"/>
              </w:rPr>
            </w:pPr>
            <w:r>
              <w:rPr>
                <w:rFonts w:hint="eastAsia"/>
                <w:szCs w:val="21"/>
              </w:rPr>
              <w:t>1）支持不同的类别的告警自动分级，便于管理员及时迅速的了解这些系统意外状况；</w:t>
            </w:r>
          </w:p>
          <w:p w14:paraId="334614AB">
            <w:pPr>
              <w:ind w:firstLine="0" w:firstLineChars="0"/>
              <w:rPr>
                <w:szCs w:val="21"/>
              </w:rPr>
            </w:pPr>
            <w:r>
              <w:rPr>
                <w:rFonts w:hint="eastAsia"/>
                <w:szCs w:val="21"/>
              </w:rPr>
              <w:t>2）支持syslog输出报警；</w:t>
            </w:r>
          </w:p>
          <w:p w14:paraId="009793F1">
            <w:pPr>
              <w:ind w:firstLine="0" w:firstLineChars="0"/>
              <w:rPr>
                <w:szCs w:val="21"/>
              </w:rPr>
            </w:pPr>
            <w:r>
              <w:rPr>
                <w:rFonts w:hint="eastAsia"/>
                <w:szCs w:val="21"/>
              </w:rPr>
              <w:t>3）支持EMAIL、手机短信等更为及时告警方式，以帮助管理员能够在第一时间发现问题。</w:t>
            </w:r>
          </w:p>
        </w:tc>
      </w:tr>
    </w:tbl>
    <w:p w14:paraId="14C680E1">
      <w:pPr>
        <w:pStyle w:val="21"/>
        <w:ind w:firstLine="480"/>
      </w:pPr>
    </w:p>
    <w:p w14:paraId="6CE72D7E">
      <w:pPr>
        <w:pStyle w:val="6"/>
        <w:numPr>
          <w:ilvl w:val="3"/>
          <w:numId w:val="0"/>
        </w:numPr>
        <w:spacing w:line="413" w:lineRule="auto"/>
      </w:pPr>
      <w:bookmarkStart w:id="49" w:name="_Toc13681"/>
      <w:bookmarkStart w:id="50" w:name="_Toc161989564"/>
      <w:r>
        <w:rPr>
          <w:rFonts w:hint="eastAsia"/>
        </w:rPr>
        <w:t>2.4 XC网络终端安全管理系统</w:t>
      </w:r>
      <w:bookmarkEnd w:id="49"/>
      <w:bookmarkEnd w:id="50"/>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6848"/>
      </w:tblGrid>
      <w:tr w14:paraId="04D6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985" w:type="pct"/>
            <w:vAlign w:val="center"/>
          </w:tcPr>
          <w:p w14:paraId="07128C4B">
            <w:pPr>
              <w:ind w:firstLine="482"/>
              <w:jc w:val="center"/>
              <w:rPr>
                <w:b/>
                <w:bCs/>
                <w:szCs w:val="21"/>
              </w:rPr>
            </w:pPr>
            <w:r>
              <w:rPr>
                <w:rFonts w:hint="eastAsia"/>
                <w:b/>
                <w:bCs/>
                <w:szCs w:val="21"/>
              </w:rPr>
              <w:t>指标项</w:t>
            </w:r>
          </w:p>
        </w:tc>
        <w:tc>
          <w:tcPr>
            <w:tcW w:w="4015" w:type="pct"/>
            <w:vAlign w:val="center"/>
          </w:tcPr>
          <w:p w14:paraId="1464B314">
            <w:pPr>
              <w:ind w:firstLine="482"/>
              <w:jc w:val="center"/>
              <w:rPr>
                <w:rFonts w:cs="宋体"/>
                <w:b/>
                <w:bCs/>
                <w:szCs w:val="21"/>
              </w:rPr>
            </w:pPr>
            <w:r>
              <w:rPr>
                <w:rFonts w:hint="eastAsia" w:cs="宋体"/>
                <w:b/>
                <w:bCs/>
                <w:szCs w:val="21"/>
              </w:rPr>
              <w:t>技术指标</w:t>
            </w:r>
          </w:p>
        </w:tc>
      </w:tr>
      <w:tr w14:paraId="3D59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Align w:val="center"/>
          </w:tcPr>
          <w:p w14:paraId="30764B1E">
            <w:pPr>
              <w:ind w:firstLine="0" w:firstLineChars="0"/>
              <w:rPr>
                <w:szCs w:val="21"/>
              </w:rPr>
            </w:pPr>
            <w:r>
              <w:rPr>
                <w:rFonts w:hint="eastAsia"/>
                <w:szCs w:val="21"/>
              </w:rPr>
              <w:t>▲基础要求</w:t>
            </w:r>
          </w:p>
        </w:tc>
        <w:tc>
          <w:tcPr>
            <w:tcW w:w="4015" w:type="pct"/>
            <w:vAlign w:val="center"/>
          </w:tcPr>
          <w:p w14:paraId="1CB92FFE">
            <w:pPr>
              <w:ind w:firstLine="0" w:firstLineChars="0"/>
              <w:rPr>
                <w:szCs w:val="21"/>
              </w:rPr>
            </w:pPr>
            <w:r>
              <w:rPr>
                <w:rFonts w:hint="eastAsia"/>
                <w:szCs w:val="21"/>
              </w:rPr>
              <w:t>1、产品具备主流系统和主流架构的兼容性互认资质，包括但不限于银河麒麟（飞腾版、鲲鹏版、龙芯版、兆芯版、海光版）和统信（飞腾版、鲲鹏版、龙芯版、兆芯版、海光版）（提供证明文件）</w:t>
            </w:r>
          </w:p>
          <w:p w14:paraId="2F64E0C9">
            <w:pPr>
              <w:ind w:firstLine="0" w:firstLineChars="0"/>
              <w:rPr>
                <w:szCs w:val="21"/>
              </w:rPr>
            </w:pPr>
            <w:r>
              <w:rPr>
                <w:rFonts w:hint="eastAsia"/>
                <w:szCs w:val="21"/>
              </w:rPr>
              <w:t>2、支持兼容现有终端管理系统客户端。（提供证明文件）</w:t>
            </w:r>
          </w:p>
        </w:tc>
      </w:tr>
      <w:tr w14:paraId="3180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58C88060">
            <w:pPr>
              <w:ind w:firstLine="0" w:firstLineChars="0"/>
              <w:rPr>
                <w:szCs w:val="21"/>
              </w:rPr>
            </w:pPr>
            <w:r>
              <w:rPr>
                <w:rFonts w:hint="eastAsia"/>
                <w:szCs w:val="21"/>
              </w:rPr>
              <w:t>硬件指标</w:t>
            </w:r>
          </w:p>
        </w:tc>
        <w:tc>
          <w:tcPr>
            <w:tcW w:w="4015" w:type="pct"/>
            <w:vAlign w:val="center"/>
          </w:tcPr>
          <w:p w14:paraId="2B8569CE">
            <w:pPr>
              <w:ind w:firstLine="0" w:firstLineChars="0"/>
              <w:rPr>
                <w:szCs w:val="21"/>
              </w:rPr>
            </w:pPr>
            <w:r>
              <w:rPr>
                <w:rFonts w:hint="eastAsia"/>
                <w:szCs w:val="21"/>
              </w:rPr>
              <w:t>产品CPU性能不低于龙芯3A3000（1.4GHz，4核）；</w:t>
            </w:r>
          </w:p>
          <w:p w14:paraId="007E8FEE">
            <w:pPr>
              <w:ind w:firstLine="0" w:firstLineChars="0"/>
              <w:rPr>
                <w:szCs w:val="21"/>
              </w:rPr>
            </w:pPr>
            <w:r>
              <w:rPr>
                <w:rFonts w:hint="eastAsia"/>
                <w:szCs w:val="21"/>
              </w:rPr>
              <w:t>国产化操作系统，如中标麒麟 V7.0（服务器版）等</w:t>
            </w:r>
          </w:p>
          <w:p w14:paraId="76EA1D7A">
            <w:pPr>
              <w:ind w:firstLine="0" w:firstLineChars="0"/>
              <w:rPr>
                <w:szCs w:val="21"/>
              </w:rPr>
            </w:pPr>
            <w:r>
              <w:rPr>
                <w:rFonts w:hint="eastAsia"/>
                <w:szCs w:val="21"/>
              </w:rPr>
              <w:t>内存≥8GB；硬盘≥240GB；网络接口:不少于1个管理口、4个千兆电口和4个千兆光口；</w:t>
            </w:r>
          </w:p>
          <w:p w14:paraId="745798E1">
            <w:pPr>
              <w:ind w:firstLine="0" w:firstLineChars="0"/>
              <w:rPr>
                <w:szCs w:val="21"/>
              </w:rPr>
            </w:pPr>
            <w:r>
              <w:rPr>
                <w:rFonts w:hint="eastAsia"/>
                <w:szCs w:val="21"/>
              </w:rPr>
              <w:t>设备为标准机架式设备。</w:t>
            </w:r>
          </w:p>
        </w:tc>
      </w:tr>
      <w:tr w14:paraId="6524D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685B7B33">
            <w:pPr>
              <w:ind w:firstLine="0" w:firstLineChars="0"/>
              <w:rPr>
                <w:szCs w:val="21"/>
              </w:rPr>
            </w:pPr>
            <w:r>
              <w:rPr>
                <w:rFonts w:hint="eastAsia"/>
                <w:szCs w:val="21"/>
                <w:lang w:eastAsia="zh-CN"/>
              </w:rPr>
              <w:t>▲</w:t>
            </w:r>
            <w:r>
              <w:rPr>
                <w:rFonts w:hint="eastAsia"/>
                <w:szCs w:val="21"/>
              </w:rPr>
              <w:t>准入技术</w:t>
            </w:r>
          </w:p>
        </w:tc>
        <w:tc>
          <w:tcPr>
            <w:tcW w:w="4015" w:type="pct"/>
            <w:vAlign w:val="center"/>
          </w:tcPr>
          <w:p w14:paraId="045C5CE1">
            <w:pPr>
              <w:ind w:firstLine="0" w:firstLineChars="0"/>
              <w:rPr>
                <w:szCs w:val="21"/>
              </w:rPr>
            </w:pPr>
            <w:r>
              <w:rPr>
                <w:rFonts w:hint="eastAsia"/>
                <w:szCs w:val="21"/>
              </w:rPr>
              <w:t>支持镜像准入技术，能通过浏览器完成身份认证、客户端安装、设备注册、安全检查、检查结果展现等全流程引导管理。（提供截图）</w:t>
            </w:r>
          </w:p>
        </w:tc>
      </w:tr>
      <w:tr w14:paraId="0285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030F785D">
            <w:pPr>
              <w:ind w:firstLine="0" w:firstLineChars="0"/>
              <w:rPr>
                <w:szCs w:val="21"/>
              </w:rPr>
            </w:pPr>
            <w:r>
              <w:rPr>
                <w:rFonts w:hint="eastAsia"/>
                <w:szCs w:val="21"/>
              </w:rPr>
              <w:t>日志记录</w:t>
            </w:r>
          </w:p>
        </w:tc>
        <w:tc>
          <w:tcPr>
            <w:tcW w:w="4015" w:type="pct"/>
            <w:vAlign w:val="center"/>
          </w:tcPr>
          <w:p w14:paraId="16F36E58">
            <w:pPr>
              <w:ind w:firstLine="0" w:firstLineChars="0"/>
              <w:rPr>
                <w:szCs w:val="21"/>
              </w:rPr>
            </w:pPr>
            <w:r>
              <w:rPr>
                <w:rFonts w:hint="eastAsia"/>
                <w:szCs w:val="21"/>
              </w:rPr>
              <w:t>支持按事件类型、时间进行查询，查询结果以列表展示，包括时间、事件类型、描述、结果等。可按操作类型、时间、操作人，查询所有管理员的操作日志</w:t>
            </w:r>
          </w:p>
        </w:tc>
      </w:tr>
      <w:tr w14:paraId="275A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60E8434E">
            <w:pPr>
              <w:ind w:firstLine="0" w:firstLineChars="0"/>
              <w:rPr>
                <w:szCs w:val="21"/>
              </w:rPr>
            </w:pPr>
            <w:r>
              <w:rPr>
                <w:rFonts w:hint="eastAsia"/>
                <w:szCs w:val="21"/>
              </w:rPr>
              <w:t>策略管理</w:t>
            </w:r>
          </w:p>
        </w:tc>
        <w:tc>
          <w:tcPr>
            <w:tcW w:w="4015" w:type="pct"/>
            <w:vAlign w:val="center"/>
          </w:tcPr>
          <w:p w14:paraId="1165C813">
            <w:pPr>
              <w:ind w:firstLine="0" w:firstLineChars="0"/>
              <w:rPr>
                <w:szCs w:val="21"/>
              </w:rPr>
            </w:pPr>
            <w:r>
              <w:rPr>
                <w:rFonts w:hint="eastAsia"/>
                <w:szCs w:val="21"/>
              </w:rPr>
              <w:t>1、支持策略组的管理，以策略组的形式下发组策略。</w:t>
            </w:r>
          </w:p>
          <w:p w14:paraId="0EC40310">
            <w:pPr>
              <w:ind w:firstLine="0" w:firstLineChars="0"/>
              <w:rPr>
                <w:szCs w:val="21"/>
              </w:rPr>
            </w:pPr>
            <w:r>
              <w:rPr>
                <w:rFonts w:hint="eastAsia"/>
                <w:szCs w:val="21"/>
              </w:rPr>
              <w:t>2、支持策略执行时间范围控制。</w:t>
            </w:r>
          </w:p>
          <w:p w14:paraId="546AB90D">
            <w:pPr>
              <w:ind w:firstLine="0" w:firstLineChars="0"/>
              <w:rPr>
                <w:szCs w:val="21"/>
              </w:rPr>
            </w:pPr>
            <w:r>
              <w:rPr>
                <w:rFonts w:hint="eastAsia"/>
                <w:szCs w:val="21"/>
              </w:rPr>
              <w:t>3、支持已下发策略的启用、禁用。</w:t>
            </w:r>
          </w:p>
          <w:p w14:paraId="3BB2E797">
            <w:pPr>
              <w:ind w:firstLine="0" w:firstLineChars="0"/>
              <w:rPr>
                <w:szCs w:val="21"/>
              </w:rPr>
            </w:pPr>
            <w:r>
              <w:rPr>
                <w:rFonts w:hint="eastAsia"/>
                <w:szCs w:val="21"/>
              </w:rPr>
              <w:t>4、支持安全策略部署情况查询，展示查询用户端的策略下发情况。</w:t>
            </w:r>
          </w:p>
          <w:p w14:paraId="6F9A5450">
            <w:pPr>
              <w:ind w:firstLine="0" w:firstLineChars="0"/>
              <w:rPr>
                <w:szCs w:val="21"/>
              </w:rPr>
            </w:pPr>
            <w:r>
              <w:rPr>
                <w:rFonts w:hint="eastAsia"/>
                <w:szCs w:val="21"/>
              </w:rPr>
              <w:t>5、支持终端IP查询已下发策略，策略以列表形式展示</w:t>
            </w:r>
          </w:p>
        </w:tc>
      </w:tr>
      <w:tr w14:paraId="293B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69BF5167">
            <w:pPr>
              <w:ind w:firstLine="0" w:firstLineChars="0"/>
              <w:rPr>
                <w:szCs w:val="21"/>
              </w:rPr>
            </w:pPr>
            <w:r>
              <w:rPr>
                <w:rFonts w:hint="eastAsia"/>
                <w:szCs w:val="21"/>
              </w:rPr>
              <w:t>未关机统计</w:t>
            </w:r>
          </w:p>
        </w:tc>
        <w:tc>
          <w:tcPr>
            <w:tcW w:w="4015" w:type="pct"/>
            <w:vAlign w:val="center"/>
          </w:tcPr>
          <w:p w14:paraId="30688136">
            <w:pPr>
              <w:ind w:firstLine="0" w:firstLineChars="0"/>
              <w:rPr>
                <w:szCs w:val="21"/>
              </w:rPr>
            </w:pPr>
            <w:r>
              <w:rPr>
                <w:rFonts w:hint="eastAsia"/>
                <w:szCs w:val="21"/>
              </w:rPr>
              <w:t>支持设置终端定时关机统计</w:t>
            </w:r>
          </w:p>
        </w:tc>
      </w:tr>
      <w:tr w14:paraId="266F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21017E3B">
            <w:pPr>
              <w:ind w:firstLine="0" w:firstLineChars="0"/>
              <w:rPr>
                <w:szCs w:val="21"/>
              </w:rPr>
            </w:pPr>
            <w:r>
              <w:rPr>
                <w:rFonts w:hint="eastAsia"/>
                <w:szCs w:val="21"/>
              </w:rPr>
              <w:t>终端信息查询</w:t>
            </w:r>
          </w:p>
        </w:tc>
        <w:tc>
          <w:tcPr>
            <w:tcW w:w="4015" w:type="pct"/>
            <w:vAlign w:val="center"/>
          </w:tcPr>
          <w:p w14:paraId="2F755AEB">
            <w:pPr>
              <w:ind w:firstLine="0" w:firstLineChars="0"/>
              <w:rPr>
                <w:szCs w:val="21"/>
              </w:rPr>
            </w:pPr>
            <w:r>
              <w:rPr>
                <w:rFonts w:hint="eastAsia"/>
                <w:szCs w:val="21"/>
              </w:rPr>
              <w:t>支持以设备为维度，展示设备名称、IP、MAC地址、所属用户、所属部门、是否安装客户端、设备是否在线、设备位置、操作系统版本、系统安装时间等；</w:t>
            </w:r>
          </w:p>
        </w:tc>
      </w:tr>
      <w:tr w14:paraId="5D93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restart"/>
            <w:vAlign w:val="center"/>
          </w:tcPr>
          <w:p w14:paraId="690FC703">
            <w:pPr>
              <w:ind w:firstLine="0" w:firstLineChars="0"/>
              <w:rPr>
                <w:szCs w:val="21"/>
              </w:rPr>
            </w:pPr>
            <w:r>
              <w:rPr>
                <w:rFonts w:hint="eastAsia"/>
                <w:szCs w:val="21"/>
              </w:rPr>
              <w:t>设备硬件信息</w:t>
            </w:r>
          </w:p>
        </w:tc>
        <w:tc>
          <w:tcPr>
            <w:tcW w:w="4015" w:type="pct"/>
            <w:vAlign w:val="center"/>
          </w:tcPr>
          <w:p w14:paraId="709D1DAB">
            <w:pPr>
              <w:ind w:firstLine="0" w:firstLineChars="0"/>
              <w:rPr>
                <w:szCs w:val="21"/>
              </w:rPr>
            </w:pPr>
            <w:r>
              <w:rPr>
                <w:rFonts w:hint="eastAsia"/>
                <w:szCs w:val="21"/>
              </w:rPr>
              <w:t>支持汇总终端硬件信息，包括但不限于硬盘信息、主板信息、CPU信息、内存信息等</w:t>
            </w:r>
          </w:p>
        </w:tc>
      </w:tr>
      <w:tr w14:paraId="3C6B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continue"/>
            <w:vAlign w:val="center"/>
          </w:tcPr>
          <w:p w14:paraId="4A382805">
            <w:pPr>
              <w:ind w:firstLine="0" w:firstLineChars="0"/>
              <w:rPr>
                <w:szCs w:val="21"/>
              </w:rPr>
            </w:pPr>
          </w:p>
        </w:tc>
        <w:tc>
          <w:tcPr>
            <w:tcW w:w="4015" w:type="pct"/>
            <w:vAlign w:val="center"/>
          </w:tcPr>
          <w:p w14:paraId="03422C63">
            <w:pPr>
              <w:ind w:firstLine="0" w:firstLineChars="0"/>
              <w:rPr>
                <w:szCs w:val="21"/>
              </w:rPr>
            </w:pPr>
            <w:r>
              <w:rPr>
                <w:rFonts w:hint="eastAsia"/>
                <w:szCs w:val="21"/>
              </w:rPr>
              <w:t>支持以终端维度和硬件维度进行统计和导出。（提供截图）</w:t>
            </w:r>
          </w:p>
        </w:tc>
      </w:tr>
      <w:tr w14:paraId="675E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restart"/>
            <w:vAlign w:val="center"/>
          </w:tcPr>
          <w:p w14:paraId="74E0BD9D">
            <w:pPr>
              <w:ind w:firstLine="0" w:firstLineChars="0"/>
              <w:rPr>
                <w:szCs w:val="21"/>
              </w:rPr>
            </w:pPr>
            <w:r>
              <w:rPr>
                <w:rFonts w:hint="eastAsia"/>
                <w:szCs w:val="21"/>
              </w:rPr>
              <w:t>设备软件信息</w:t>
            </w:r>
          </w:p>
        </w:tc>
        <w:tc>
          <w:tcPr>
            <w:tcW w:w="4015" w:type="pct"/>
            <w:vAlign w:val="center"/>
          </w:tcPr>
          <w:p w14:paraId="0CB26E78">
            <w:pPr>
              <w:ind w:firstLine="0" w:firstLineChars="0"/>
              <w:rPr>
                <w:szCs w:val="21"/>
              </w:rPr>
            </w:pPr>
            <w:r>
              <w:rPr>
                <w:rFonts w:hint="eastAsia"/>
                <w:szCs w:val="21"/>
              </w:rPr>
              <w:t>支持汇总终端上安装的软件信息，包括但不限于操作系统名称、版本、安装时间和软件名称、版本、类型、厂商、安装日期</w:t>
            </w:r>
          </w:p>
        </w:tc>
      </w:tr>
      <w:tr w14:paraId="529F8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continue"/>
            <w:vAlign w:val="center"/>
          </w:tcPr>
          <w:p w14:paraId="3CA04995">
            <w:pPr>
              <w:ind w:firstLine="0" w:firstLineChars="0"/>
              <w:rPr>
                <w:szCs w:val="21"/>
              </w:rPr>
            </w:pPr>
          </w:p>
        </w:tc>
        <w:tc>
          <w:tcPr>
            <w:tcW w:w="4015" w:type="pct"/>
            <w:vAlign w:val="center"/>
          </w:tcPr>
          <w:p w14:paraId="023F97B6">
            <w:pPr>
              <w:ind w:firstLine="0" w:firstLineChars="0"/>
              <w:rPr>
                <w:szCs w:val="21"/>
              </w:rPr>
            </w:pPr>
            <w:r>
              <w:rPr>
                <w:rFonts w:hint="eastAsia"/>
                <w:szCs w:val="21"/>
              </w:rPr>
              <w:t>支持以终端维度和软件维度进行统计和导出。（提供截图）</w:t>
            </w:r>
          </w:p>
        </w:tc>
      </w:tr>
      <w:tr w14:paraId="2D08B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restart"/>
            <w:vAlign w:val="center"/>
          </w:tcPr>
          <w:p w14:paraId="0861F672">
            <w:pPr>
              <w:ind w:firstLine="0" w:firstLineChars="0"/>
              <w:rPr>
                <w:szCs w:val="21"/>
              </w:rPr>
            </w:pPr>
            <w:r>
              <w:rPr>
                <w:rFonts w:hint="eastAsia"/>
                <w:szCs w:val="21"/>
              </w:rPr>
              <w:t>软件分发</w:t>
            </w:r>
          </w:p>
        </w:tc>
        <w:tc>
          <w:tcPr>
            <w:tcW w:w="4015" w:type="pct"/>
            <w:vAlign w:val="center"/>
          </w:tcPr>
          <w:p w14:paraId="1128AAC2">
            <w:pPr>
              <w:ind w:firstLine="0" w:firstLineChars="0"/>
              <w:rPr>
                <w:szCs w:val="21"/>
              </w:rPr>
            </w:pPr>
            <w:r>
              <w:rPr>
                <w:rFonts w:hint="eastAsia"/>
                <w:szCs w:val="21"/>
              </w:rPr>
              <w:t>支持RMP和DEP等格式的软件分发，并支持后台静默安装</w:t>
            </w:r>
          </w:p>
        </w:tc>
      </w:tr>
      <w:tr w14:paraId="0750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continue"/>
            <w:vAlign w:val="center"/>
          </w:tcPr>
          <w:p w14:paraId="51B2067B">
            <w:pPr>
              <w:ind w:firstLine="0" w:firstLineChars="0"/>
              <w:rPr>
                <w:szCs w:val="21"/>
              </w:rPr>
            </w:pPr>
          </w:p>
        </w:tc>
        <w:tc>
          <w:tcPr>
            <w:tcW w:w="4015" w:type="pct"/>
            <w:vAlign w:val="center"/>
          </w:tcPr>
          <w:p w14:paraId="592125FE">
            <w:pPr>
              <w:ind w:firstLine="0" w:firstLineChars="0"/>
              <w:rPr>
                <w:szCs w:val="21"/>
              </w:rPr>
            </w:pPr>
            <w:r>
              <w:rPr>
                <w:rFonts w:hint="eastAsia"/>
                <w:szCs w:val="21"/>
              </w:rPr>
              <w:t>支持针对终端、IP段、部门等模式的分发对象。</w:t>
            </w:r>
          </w:p>
        </w:tc>
      </w:tr>
      <w:tr w14:paraId="1A42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continue"/>
            <w:vAlign w:val="center"/>
          </w:tcPr>
          <w:p w14:paraId="182A00C7">
            <w:pPr>
              <w:ind w:firstLine="0" w:firstLineChars="0"/>
              <w:rPr>
                <w:szCs w:val="21"/>
              </w:rPr>
            </w:pPr>
          </w:p>
        </w:tc>
        <w:tc>
          <w:tcPr>
            <w:tcW w:w="4015" w:type="pct"/>
            <w:vAlign w:val="center"/>
          </w:tcPr>
          <w:p w14:paraId="45705D70">
            <w:pPr>
              <w:ind w:firstLine="0" w:firstLineChars="0"/>
              <w:rPr>
                <w:szCs w:val="21"/>
              </w:rPr>
            </w:pPr>
            <w:r>
              <w:rPr>
                <w:rFonts w:hint="eastAsia"/>
                <w:szCs w:val="21"/>
              </w:rPr>
              <w:t>▲能够自动统计分发成功率及软件安装成功率，支持进程、安装路径等多种参数判断方式。（提供截图）</w:t>
            </w:r>
          </w:p>
        </w:tc>
      </w:tr>
      <w:tr w14:paraId="02F3F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Merge w:val="continue"/>
            <w:vAlign w:val="center"/>
          </w:tcPr>
          <w:p w14:paraId="4D8D8E14">
            <w:pPr>
              <w:ind w:firstLine="0" w:firstLineChars="0"/>
              <w:rPr>
                <w:szCs w:val="21"/>
              </w:rPr>
            </w:pPr>
          </w:p>
        </w:tc>
        <w:tc>
          <w:tcPr>
            <w:tcW w:w="4015" w:type="pct"/>
            <w:vAlign w:val="center"/>
          </w:tcPr>
          <w:p w14:paraId="64E880F7">
            <w:pPr>
              <w:ind w:firstLine="0" w:firstLineChars="0"/>
              <w:rPr>
                <w:szCs w:val="21"/>
              </w:rPr>
            </w:pPr>
            <w:r>
              <w:rPr>
                <w:rFonts w:hint="eastAsia"/>
                <w:szCs w:val="21"/>
              </w:rPr>
              <w:t>支持根据操作系统不同分发不同升级包，提高软件分发功能对操作系统系统的适应性。（提供截图）</w:t>
            </w:r>
          </w:p>
        </w:tc>
      </w:tr>
      <w:tr w14:paraId="424D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0B9212DA">
            <w:pPr>
              <w:ind w:firstLine="0" w:firstLineChars="0"/>
              <w:rPr>
                <w:szCs w:val="21"/>
              </w:rPr>
            </w:pPr>
            <w:r>
              <w:rPr>
                <w:rFonts w:hint="eastAsia"/>
                <w:szCs w:val="21"/>
              </w:rPr>
              <w:t>软硬件变动记录</w:t>
            </w:r>
          </w:p>
        </w:tc>
        <w:tc>
          <w:tcPr>
            <w:tcW w:w="4015" w:type="pct"/>
            <w:vAlign w:val="center"/>
          </w:tcPr>
          <w:p w14:paraId="6439061E">
            <w:pPr>
              <w:ind w:firstLine="0" w:firstLineChars="0"/>
              <w:rPr>
                <w:szCs w:val="21"/>
              </w:rPr>
            </w:pPr>
            <w:r>
              <w:rPr>
                <w:rFonts w:hint="eastAsia"/>
                <w:szCs w:val="21"/>
              </w:rPr>
              <w:t>支持软硬件资产管理，可对软硬件资产变动提供报警</w:t>
            </w:r>
          </w:p>
        </w:tc>
      </w:tr>
      <w:tr w14:paraId="45D3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7A3DAFAB">
            <w:pPr>
              <w:ind w:firstLine="0" w:firstLineChars="0"/>
              <w:rPr>
                <w:szCs w:val="21"/>
              </w:rPr>
            </w:pPr>
            <w:r>
              <w:rPr>
                <w:rFonts w:hint="eastAsia"/>
                <w:szCs w:val="21"/>
              </w:rPr>
              <w:t>文件分发</w:t>
            </w:r>
          </w:p>
        </w:tc>
        <w:tc>
          <w:tcPr>
            <w:tcW w:w="4015" w:type="pct"/>
            <w:vAlign w:val="center"/>
          </w:tcPr>
          <w:p w14:paraId="5888398A">
            <w:pPr>
              <w:ind w:firstLine="0" w:firstLineChars="0"/>
              <w:rPr>
                <w:szCs w:val="21"/>
              </w:rPr>
            </w:pPr>
            <w:r>
              <w:rPr>
                <w:rFonts w:hint="eastAsia"/>
                <w:szCs w:val="21"/>
              </w:rPr>
              <w:t>支持分发指定文件到终端指定的文件夹中，并支持脚本的运行。</w:t>
            </w:r>
          </w:p>
        </w:tc>
      </w:tr>
      <w:tr w14:paraId="1BCF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85" w:type="pct"/>
            <w:vAlign w:val="center"/>
          </w:tcPr>
          <w:p w14:paraId="1F2EE3BC">
            <w:pPr>
              <w:ind w:firstLine="0" w:firstLineChars="0"/>
              <w:rPr>
                <w:szCs w:val="21"/>
              </w:rPr>
            </w:pPr>
            <w:r>
              <w:rPr>
                <w:rFonts w:hint="eastAsia"/>
                <w:szCs w:val="21"/>
              </w:rPr>
              <w:t>消息分发</w:t>
            </w:r>
          </w:p>
        </w:tc>
        <w:tc>
          <w:tcPr>
            <w:tcW w:w="4015" w:type="pct"/>
            <w:vAlign w:val="center"/>
          </w:tcPr>
          <w:p w14:paraId="013F6D13">
            <w:pPr>
              <w:ind w:firstLine="0" w:firstLineChars="0"/>
              <w:rPr>
                <w:szCs w:val="21"/>
              </w:rPr>
            </w:pPr>
            <w:r>
              <w:rPr>
                <w:rFonts w:hint="eastAsia"/>
                <w:szCs w:val="21"/>
              </w:rPr>
              <w:t>支持向终端推送消息，并支持消息标题、内容、皮肤、关闭时间等配置。支持针对终端、IP段、部门等模式的分发对象。</w:t>
            </w:r>
          </w:p>
        </w:tc>
      </w:tr>
      <w:tr w14:paraId="18C9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30596625">
            <w:pPr>
              <w:ind w:firstLine="0" w:firstLineChars="0"/>
              <w:rPr>
                <w:szCs w:val="21"/>
              </w:rPr>
            </w:pPr>
            <w:r>
              <w:rPr>
                <w:rFonts w:hint="eastAsia"/>
                <w:szCs w:val="21"/>
              </w:rPr>
              <w:t>在线状态监控</w:t>
            </w:r>
          </w:p>
        </w:tc>
        <w:tc>
          <w:tcPr>
            <w:tcW w:w="6843" w:type="dxa"/>
            <w:vAlign w:val="center"/>
          </w:tcPr>
          <w:p w14:paraId="14EA81E0">
            <w:pPr>
              <w:ind w:firstLine="0" w:firstLineChars="0"/>
              <w:rPr>
                <w:szCs w:val="21"/>
              </w:rPr>
            </w:pPr>
            <w:r>
              <w:rPr>
                <w:rFonts w:hint="eastAsia"/>
                <w:szCs w:val="21"/>
              </w:rPr>
              <w:t>支持通过客户端代理对受控主机状态进行监控</w:t>
            </w:r>
          </w:p>
        </w:tc>
      </w:tr>
      <w:tr w14:paraId="25888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003CDF8E">
            <w:pPr>
              <w:ind w:firstLine="0" w:firstLineChars="0"/>
              <w:rPr>
                <w:szCs w:val="21"/>
              </w:rPr>
            </w:pPr>
            <w:r>
              <w:rPr>
                <w:rFonts w:hint="eastAsia"/>
                <w:szCs w:val="21"/>
              </w:rPr>
              <w:t>终端资源监控</w:t>
            </w:r>
          </w:p>
        </w:tc>
        <w:tc>
          <w:tcPr>
            <w:tcW w:w="6843" w:type="dxa"/>
            <w:vAlign w:val="center"/>
          </w:tcPr>
          <w:p w14:paraId="24932267">
            <w:pPr>
              <w:ind w:firstLine="0" w:firstLineChars="0"/>
              <w:rPr>
                <w:szCs w:val="21"/>
              </w:rPr>
            </w:pPr>
            <w:r>
              <w:rPr>
                <w:rFonts w:hint="eastAsia"/>
                <w:szCs w:val="21"/>
              </w:rPr>
              <w:t>对终端上的CPU、内存、硬盘的使用情况进行实时监控</w:t>
            </w:r>
          </w:p>
        </w:tc>
      </w:tr>
      <w:tr w14:paraId="2053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7E12F4D0">
            <w:pPr>
              <w:ind w:firstLine="0" w:firstLineChars="0"/>
              <w:rPr>
                <w:szCs w:val="21"/>
              </w:rPr>
            </w:pPr>
            <w:r>
              <w:rPr>
                <w:rFonts w:hint="eastAsia"/>
                <w:szCs w:val="21"/>
              </w:rPr>
              <w:t>进程审计</w:t>
            </w:r>
          </w:p>
        </w:tc>
        <w:tc>
          <w:tcPr>
            <w:tcW w:w="6843" w:type="dxa"/>
            <w:vAlign w:val="center"/>
          </w:tcPr>
          <w:p w14:paraId="4F8F360B">
            <w:pPr>
              <w:ind w:firstLine="0" w:firstLineChars="0"/>
              <w:rPr>
                <w:szCs w:val="21"/>
              </w:rPr>
            </w:pPr>
            <w:r>
              <w:rPr>
                <w:rFonts w:hint="eastAsia"/>
                <w:szCs w:val="21"/>
              </w:rPr>
              <w:t>支持对进程的开启、关闭行为进行记录</w:t>
            </w:r>
          </w:p>
        </w:tc>
      </w:tr>
      <w:tr w14:paraId="1FCC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38D6EE9F">
            <w:pPr>
              <w:ind w:firstLine="0" w:firstLineChars="0"/>
              <w:rPr>
                <w:szCs w:val="21"/>
              </w:rPr>
            </w:pPr>
            <w:r>
              <w:rPr>
                <w:rFonts w:hint="eastAsia"/>
                <w:szCs w:val="21"/>
              </w:rPr>
              <w:t>端口监控</w:t>
            </w:r>
          </w:p>
        </w:tc>
        <w:tc>
          <w:tcPr>
            <w:tcW w:w="6843" w:type="dxa"/>
            <w:vAlign w:val="center"/>
          </w:tcPr>
          <w:p w14:paraId="57009915">
            <w:pPr>
              <w:ind w:firstLine="0" w:firstLineChars="0"/>
              <w:rPr>
                <w:szCs w:val="21"/>
              </w:rPr>
            </w:pPr>
            <w:r>
              <w:rPr>
                <w:rFonts w:hint="eastAsia"/>
                <w:szCs w:val="21"/>
              </w:rPr>
              <w:t>支持对恶意端口进行及时关闭</w:t>
            </w:r>
          </w:p>
        </w:tc>
      </w:tr>
      <w:tr w14:paraId="4EC8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3B6C7D06">
            <w:pPr>
              <w:ind w:firstLine="0" w:firstLineChars="0"/>
              <w:rPr>
                <w:szCs w:val="21"/>
              </w:rPr>
            </w:pPr>
            <w:r>
              <w:rPr>
                <w:rFonts w:hint="eastAsia"/>
                <w:szCs w:val="21"/>
              </w:rPr>
              <w:t>打印审计</w:t>
            </w:r>
          </w:p>
        </w:tc>
        <w:tc>
          <w:tcPr>
            <w:tcW w:w="6843" w:type="dxa"/>
            <w:vAlign w:val="center"/>
          </w:tcPr>
          <w:p w14:paraId="2147D96C">
            <w:pPr>
              <w:ind w:firstLine="0" w:firstLineChars="0"/>
              <w:rPr>
                <w:szCs w:val="21"/>
              </w:rPr>
            </w:pPr>
            <w:r>
              <w:rPr>
                <w:rFonts w:hint="eastAsia"/>
                <w:szCs w:val="21"/>
              </w:rPr>
              <w:t>支持对打印行为进行记录，包括网络打印机和直连打印机</w:t>
            </w:r>
          </w:p>
        </w:tc>
      </w:tr>
      <w:tr w14:paraId="300E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40094A0D">
            <w:pPr>
              <w:ind w:firstLine="0" w:firstLineChars="0"/>
              <w:rPr>
                <w:szCs w:val="21"/>
              </w:rPr>
            </w:pPr>
            <w:r>
              <w:rPr>
                <w:rFonts w:hint="eastAsia"/>
                <w:szCs w:val="21"/>
              </w:rPr>
              <w:t>违规外联</w:t>
            </w:r>
          </w:p>
        </w:tc>
        <w:tc>
          <w:tcPr>
            <w:tcW w:w="6843" w:type="dxa"/>
            <w:vAlign w:val="center"/>
          </w:tcPr>
          <w:p w14:paraId="05254C16">
            <w:pPr>
              <w:ind w:firstLine="0" w:firstLineChars="0"/>
              <w:rPr>
                <w:szCs w:val="21"/>
              </w:rPr>
            </w:pPr>
            <w:r>
              <w:rPr>
                <w:rFonts w:hint="eastAsia"/>
                <w:szCs w:val="21"/>
              </w:rPr>
              <w:t>支持对终端上出现的违规外联行为进行阻断和告警</w:t>
            </w:r>
          </w:p>
        </w:tc>
      </w:tr>
      <w:tr w14:paraId="68DC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1BE13948">
            <w:pPr>
              <w:ind w:firstLine="0" w:firstLineChars="0"/>
              <w:rPr>
                <w:szCs w:val="21"/>
              </w:rPr>
            </w:pPr>
            <w:r>
              <w:rPr>
                <w:rFonts w:hint="eastAsia"/>
                <w:szCs w:val="21"/>
              </w:rPr>
              <w:t>文件审计</w:t>
            </w:r>
          </w:p>
        </w:tc>
        <w:tc>
          <w:tcPr>
            <w:tcW w:w="6843" w:type="dxa"/>
            <w:vAlign w:val="center"/>
          </w:tcPr>
          <w:p w14:paraId="680CEF30">
            <w:pPr>
              <w:ind w:firstLine="0" w:firstLineChars="0"/>
              <w:rPr>
                <w:szCs w:val="21"/>
              </w:rPr>
            </w:pPr>
            <w:r>
              <w:rPr>
                <w:rFonts w:hint="eastAsia"/>
                <w:szCs w:val="21"/>
              </w:rPr>
              <w:t>支持对终端上的文件操作行为进行记录，包括新建、复制、删除等</w:t>
            </w:r>
          </w:p>
        </w:tc>
      </w:tr>
      <w:tr w14:paraId="2071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1F206E39">
            <w:pPr>
              <w:ind w:firstLine="0" w:firstLineChars="0"/>
              <w:rPr>
                <w:szCs w:val="21"/>
              </w:rPr>
            </w:pPr>
            <w:r>
              <w:rPr>
                <w:rFonts w:hint="eastAsia"/>
                <w:szCs w:val="21"/>
              </w:rPr>
              <w:t>进程控制</w:t>
            </w:r>
          </w:p>
        </w:tc>
        <w:tc>
          <w:tcPr>
            <w:tcW w:w="6843" w:type="dxa"/>
            <w:vAlign w:val="center"/>
          </w:tcPr>
          <w:p w14:paraId="3A9698EC">
            <w:pPr>
              <w:ind w:firstLine="0" w:firstLineChars="0"/>
              <w:rPr>
                <w:szCs w:val="21"/>
              </w:rPr>
            </w:pPr>
            <w:r>
              <w:rPr>
                <w:rFonts w:hint="eastAsia"/>
                <w:szCs w:val="21"/>
              </w:rPr>
              <w:t>支持对非法进程进行控制，及时关闭恶意进程</w:t>
            </w:r>
          </w:p>
        </w:tc>
      </w:tr>
      <w:tr w14:paraId="59A7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58AED33A">
            <w:pPr>
              <w:ind w:firstLine="0" w:firstLineChars="0"/>
              <w:rPr>
                <w:szCs w:val="21"/>
              </w:rPr>
            </w:pPr>
            <w:r>
              <w:rPr>
                <w:rFonts w:hint="eastAsia"/>
                <w:szCs w:val="21"/>
              </w:rPr>
              <w:t>移动介质使用审计</w:t>
            </w:r>
          </w:p>
        </w:tc>
        <w:tc>
          <w:tcPr>
            <w:tcW w:w="6843" w:type="dxa"/>
            <w:vAlign w:val="center"/>
          </w:tcPr>
          <w:p w14:paraId="1EA2779D">
            <w:pPr>
              <w:ind w:firstLine="0" w:firstLineChars="0"/>
              <w:rPr>
                <w:szCs w:val="21"/>
              </w:rPr>
            </w:pPr>
            <w:r>
              <w:rPr>
                <w:rFonts w:hint="eastAsia"/>
                <w:szCs w:val="21"/>
              </w:rPr>
              <w:t>支持对移动介质进行全流程管理管理，包括注册和审批，杜绝外部U盘未经审批接入内网终端</w:t>
            </w:r>
          </w:p>
        </w:tc>
      </w:tr>
      <w:tr w14:paraId="6E27E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60C4BAF8">
            <w:pPr>
              <w:ind w:firstLine="0" w:firstLineChars="0"/>
              <w:rPr>
                <w:szCs w:val="21"/>
              </w:rPr>
            </w:pPr>
            <w:r>
              <w:rPr>
                <w:rFonts w:hint="eastAsia"/>
                <w:szCs w:val="21"/>
              </w:rPr>
              <w:t>USB接口控制</w:t>
            </w:r>
          </w:p>
        </w:tc>
        <w:tc>
          <w:tcPr>
            <w:tcW w:w="6843" w:type="dxa"/>
            <w:vAlign w:val="center"/>
          </w:tcPr>
          <w:p w14:paraId="613E58D7">
            <w:pPr>
              <w:ind w:firstLine="0" w:firstLineChars="0"/>
              <w:rPr>
                <w:szCs w:val="21"/>
              </w:rPr>
            </w:pPr>
            <w:r>
              <w:rPr>
                <w:rFonts w:hint="eastAsia"/>
                <w:szCs w:val="21"/>
              </w:rPr>
              <w:t>支持对USB接口的使用进行控制</w:t>
            </w:r>
          </w:p>
        </w:tc>
      </w:tr>
      <w:tr w14:paraId="132FF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79" w:type="dxa"/>
            <w:vAlign w:val="center"/>
          </w:tcPr>
          <w:p w14:paraId="4AC0671C">
            <w:pPr>
              <w:ind w:firstLine="0" w:firstLineChars="0"/>
              <w:rPr>
                <w:szCs w:val="21"/>
              </w:rPr>
            </w:pPr>
            <w:r>
              <w:rPr>
                <w:rFonts w:hint="eastAsia"/>
                <w:szCs w:val="21"/>
              </w:rPr>
              <w:t>授权管理</w:t>
            </w:r>
          </w:p>
        </w:tc>
        <w:tc>
          <w:tcPr>
            <w:tcW w:w="6843" w:type="dxa"/>
            <w:vAlign w:val="center"/>
          </w:tcPr>
          <w:p w14:paraId="52EC639B">
            <w:pPr>
              <w:ind w:firstLine="0" w:firstLineChars="0"/>
              <w:rPr>
                <w:szCs w:val="21"/>
              </w:rPr>
            </w:pPr>
            <w:r>
              <w:rPr>
                <w:rFonts w:hint="eastAsia"/>
                <w:szCs w:val="21"/>
              </w:rPr>
              <w:t>支持按终端点数进行授权计算，系统初始化时默认包含50个点的终端管控授权</w:t>
            </w:r>
          </w:p>
        </w:tc>
      </w:tr>
      <w:tr w14:paraId="3C2B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5" w:type="pct"/>
            <w:vMerge w:val="restart"/>
            <w:vAlign w:val="center"/>
          </w:tcPr>
          <w:p w14:paraId="7E3C0BB8">
            <w:pPr>
              <w:ind w:firstLine="0" w:firstLineChars="0"/>
              <w:rPr>
                <w:szCs w:val="21"/>
              </w:rPr>
            </w:pPr>
            <w:r>
              <w:rPr>
                <w:rFonts w:hint="eastAsia"/>
                <w:szCs w:val="21"/>
              </w:rPr>
              <w:t>资质要求</w:t>
            </w:r>
          </w:p>
        </w:tc>
        <w:tc>
          <w:tcPr>
            <w:tcW w:w="4015" w:type="pct"/>
            <w:vAlign w:val="center"/>
          </w:tcPr>
          <w:p w14:paraId="489FA53A">
            <w:pPr>
              <w:ind w:firstLine="0" w:firstLineChars="0"/>
              <w:rPr>
                <w:szCs w:val="21"/>
              </w:rPr>
            </w:pPr>
            <w:r>
              <w:rPr>
                <w:rFonts w:hint="eastAsia"/>
                <w:szCs w:val="21"/>
              </w:rPr>
              <w:t>所投产品必须具备公安部《信息安全产品检测报告-内网主机检测》（提供证明文件）</w:t>
            </w:r>
          </w:p>
        </w:tc>
      </w:tr>
      <w:tr w14:paraId="3ABBD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985" w:type="pct"/>
            <w:vMerge w:val="continue"/>
            <w:vAlign w:val="center"/>
          </w:tcPr>
          <w:p w14:paraId="4D340646">
            <w:pPr>
              <w:ind w:firstLine="0" w:firstLineChars="0"/>
              <w:rPr>
                <w:szCs w:val="21"/>
              </w:rPr>
            </w:pPr>
          </w:p>
        </w:tc>
        <w:tc>
          <w:tcPr>
            <w:tcW w:w="4015" w:type="pct"/>
            <w:vAlign w:val="center"/>
          </w:tcPr>
          <w:p w14:paraId="42CD79A9">
            <w:pPr>
              <w:ind w:firstLine="0" w:firstLineChars="0"/>
              <w:rPr>
                <w:szCs w:val="21"/>
              </w:rPr>
            </w:pPr>
            <w:r>
              <w:rPr>
                <w:rFonts w:hint="eastAsia"/>
                <w:szCs w:val="21"/>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p w14:paraId="061774AB">
            <w:pPr>
              <w:ind w:firstLine="0" w:firstLineChars="0"/>
              <w:rPr>
                <w:szCs w:val="21"/>
              </w:rPr>
            </w:pPr>
            <w:r>
              <w:rPr>
                <w:rFonts w:hint="eastAsia"/>
                <w:szCs w:val="21"/>
              </w:rPr>
              <w:t>国家版权局《计算机软件著作权登记证书》</w:t>
            </w:r>
          </w:p>
          <w:p w14:paraId="00F6F8E7">
            <w:pPr>
              <w:ind w:firstLine="0" w:firstLineChars="0"/>
              <w:rPr>
                <w:szCs w:val="21"/>
              </w:rPr>
            </w:pPr>
            <w:r>
              <w:rPr>
                <w:rFonts w:hint="eastAsia"/>
                <w:szCs w:val="21"/>
              </w:rPr>
              <w:t>国家保密局《涉密信息系统产品检测证书》</w:t>
            </w:r>
          </w:p>
        </w:tc>
      </w:tr>
    </w:tbl>
    <w:p w14:paraId="3E40CAB4"/>
    <w:p w14:paraId="64E8A823">
      <w:pPr>
        <w:pStyle w:val="5"/>
        <w:ind w:firstLine="0" w:firstLineChars="0"/>
      </w:pPr>
      <w:bookmarkStart w:id="51" w:name="_Toc25578"/>
      <w:bookmarkStart w:id="52" w:name="_Toc161989565"/>
      <w:bookmarkStart w:id="53" w:name="_Hlk161734154"/>
      <w:r>
        <w:rPr>
          <w:rFonts w:hint="eastAsia"/>
        </w:rPr>
        <w:t>3、移动安全</w:t>
      </w:r>
      <w:bookmarkEnd w:id="51"/>
      <w:bookmarkEnd w:id="52"/>
    </w:p>
    <w:p w14:paraId="3149193F">
      <w:pPr>
        <w:pStyle w:val="6"/>
        <w:numPr>
          <w:ilvl w:val="3"/>
          <w:numId w:val="0"/>
        </w:numPr>
        <w:spacing w:line="413" w:lineRule="auto"/>
      </w:pPr>
      <w:bookmarkStart w:id="54" w:name="_Toc3335"/>
      <w:bookmarkStart w:id="55" w:name="_Toc161989566"/>
      <w:r>
        <w:rPr>
          <w:rFonts w:hint="eastAsia"/>
        </w:rPr>
        <w:t>3.1移动终端安全管理平台</w:t>
      </w:r>
      <w:bookmarkEnd w:id="54"/>
      <w:bookmarkEnd w:id="55"/>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6848"/>
      </w:tblGrid>
      <w:tr w14:paraId="5A0B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985" w:type="pct"/>
            <w:vAlign w:val="center"/>
          </w:tcPr>
          <w:p w14:paraId="137FCEE6">
            <w:pPr>
              <w:ind w:firstLine="482"/>
              <w:jc w:val="center"/>
              <w:rPr>
                <w:b/>
                <w:bCs/>
                <w:szCs w:val="21"/>
              </w:rPr>
            </w:pPr>
            <w:r>
              <w:rPr>
                <w:rFonts w:hint="eastAsia"/>
                <w:b/>
                <w:bCs/>
                <w:szCs w:val="21"/>
              </w:rPr>
              <w:t>指标项</w:t>
            </w:r>
          </w:p>
        </w:tc>
        <w:tc>
          <w:tcPr>
            <w:tcW w:w="4014" w:type="pct"/>
            <w:vAlign w:val="center"/>
          </w:tcPr>
          <w:p w14:paraId="277313A6">
            <w:pPr>
              <w:ind w:firstLine="482"/>
              <w:jc w:val="center"/>
              <w:rPr>
                <w:rFonts w:cs="宋体"/>
                <w:b/>
                <w:bCs/>
                <w:szCs w:val="21"/>
              </w:rPr>
            </w:pPr>
            <w:r>
              <w:rPr>
                <w:rFonts w:hint="eastAsia" w:cs="宋体"/>
                <w:b/>
                <w:bCs/>
                <w:szCs w:val="21"/>
              </w:rPr>
              <w:t>技术指标</w:t>
            </w:r>
          </w:p>
        </w:tc>
      </w:tr>
      <w:tr w14:paraId="406A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Align w:val="center"/>
          </w:tcPr>
          <w:p w14:paraId="3C70456A">
            <w:pPr>
              <w:widowControl/>
              <w:ind w:firstLine="0" w:firstLineChars="0"/>
              <w:textAlignment w:val="center"/>
              <w:rPr>
                <w:rFonts w:cs="宋体"/>
                <w:color w:val="000000"/>
                <w:kern w:val="0"/>
                <w:szCs w:val="21"/>
                <w:lang w:bidi="ar"/>
              </w:rPr>
            </w:pPr>
            <w:r>
              <w:rPr>
                <w:rFonts w:hint="eastAsia" w:cs="宋体"/>
                <w:color w:val="000000"/>
                <w:kern w:val="0"/>
                <w:szCs w:val="21"/>
                <w:lang w:bidi="ar"/>
              </w:rPr>
              <w:t>移动设备管理要求</w:t>
            </w:r>
          </w:p>
        </w:tc>
        <w:tc>
          <w:tcPr>
            <w:tcW w:w="4014" w:type="pct"/>
            <w:vAlign w:val="center"/>
          </w:tcPr>
          <w:p w14:paraId="638B55FB">
            <w:pPr>
              <w:widowControl/>
              <w:ind w:firstLine="0" w:firstLineChars="0"/>
              <w:textAlignment w:val="center"/>
              <w:rPr>
                <w:rFonts w:cs="宋体"/>
                <w:color w:val="000000"/>
                <w:kern w:val="0"/>
                <w:szCs w:val="21"/>
                <w:lang w:bidi="ar"/>
              </w:rPr>
            </w:pPr>
            <w:r>
              <w:rPr>
                <w:rFonts w:hint="eastAsia" w:cs="宋体"/>
                <w:color w:val="000000"/>
                <w:kern w:val="0"/>
                <w:szCs w:val="21"/>
                <w:lang w:bidi="ar"/>
              </w:rPr>
              <w:t>禁止使用摄像头/禁止发送短信/禁止使用WiFi网络/禁止开启WiFi网络/强制开启WiFi网络/禁止开启移动数据网络/强制开启移动数据网络/禁止使用外置存储（TF卡）/禁止开启网络共享热点/禁止使用系统原生浏览器/禁止使用麦克风/禁止修改系统时间和日期/禁止使用定位服务/禁止开启开发者选项、USB调试及数据传输/禁止使用蓝牙/禁止恢复出厂设置/禁止使用移动数据网络（2G/3G/4G）/禁止使用第二张SIM卡/禁止使用设备分身、应用分身、访客/禁止使用下拉通知栏/禁止使用APN设置/禁止截屏/禁止开启飞行模式/禁止使用设备备份/强制开启GPS/强制关闭GPS/禁止安装外部来源应用/禁止使用NFC/禁止MTP数据传输/禁止使用设备卡槽二/禁用侧边栏/禁止使用安全模式</w:t>
            </w:r>
          </w:p>
          <w:p w14:paraId="1A7FE162">
            <w:pPr>
              <w:widowControl/>
              <w:ind w:firstLine="0" w:firstLineChars="0"/>
              <w:textAlignment w:val="center"/>
              <w:rPr>
                <w:rFonts w:cs="宋体"/>
                <w:color w:val="000000"/>
                <w:kern w:val="0"/>
                <w:szCs w:val="21"/>
                <w:lang w:bidi="ar"/>
              </w:rPr>
            </w:pPr>
            <w:r>
              <w:rPr>
                <w:rFonts w:hint="eastAsia" w:cs="宋体"/>
                <w:color w:val="000000"/>
                <w:kern w:val="0"/>
                <w:szCs w:val="21"/>
                <w:lang w:bidi="ar"/>
              </w:rPr>
              <w:t>黑白名单：应用黑白名单、WiFi黑白名单、蓝牙黑白名单、通讯黑白名单、上网黑白名单</w:t>
            </w:r>
          </w:p>
          <w:p w14:paraId="2753C671">
            <w:pPr>
              <w:widowControl/>
              <w:ind w:firstLine="0" w:firstLineChars="0"/>
              <w:textAlignment w:val="center"/>
              <w:rPr>
                <w:rFonts w:cs="宋体"/>
                <w:color w:val="000000"/>
                <w:kern w:val="0"/>
                <w:szCs w:val="21"/>
                <w:lang w:bidi="ar"/>
              </w:rPr>
            </w:pPr>
            <w:r>
              <w:rPr>
                <w:rFonts w:hint="eastAsia" w:cs="宋体"/>
                <w:color w:val="000000"/>
                <w:kern w:val="0"/>
                <w:szCs w:val="21"/>
                <w:lang w:bidi="ar"/>
              </w:rPr>
              <w:t>配置项：锁屏密码、WiFi配置、APN配置、设备轨迹、安全工作区、客户端行为配置</w:t>
            </w:r>
          </w:p>
          <w:p w14:paraId="764FD29B">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支持时间围栏，可配置策略的生效时间、排除时间及时间段、支持保活唤醒</w:t>
            </w:r>
          </w:p>
          <w:p w14:paraId="63C86E14">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支持地理围栏，可配置策略生效的地理范围</w:t>
            </w:r>
          </w:p>
          <w:p w14:paraId="6E199EB2">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支持电子围栏，通过扫码方式进入或离开围栏</w:t>
            </w:r>
          </w:p>
          <w:p w14:paraId="193900CC">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支持WLAN围栏，可配置策略生效WLAN，支持配置WIFI SSID和MAC地址</w:t>
            </w:r>
          </w:p>
          <w:p w14:paraId="546728A0">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支持对设备批量推送消息，同时消息支持上传附文本</w:t>
            </w:r>
          </w:p>
        </w:tc>
      </w:tr>
      <w:tr w14:paraId="7915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Align w:val="center"/>
          </w:tcPr>
          <w:p w14:paraId="482A7ECB">
            <w:pPr>
              <w:widowControl/>
              <w:ind w:firstLine="0" w:firstLineChars="0"/>
              <w:textAlignment w:val="center"/>
              <w:rPr>
                <w:rFonts w:cs="宋体"/>
                <w:color w:val="000000"/>
                <w:kern w:val="0"/>
                <w:szCs w:val="21"/>
                <w:lang w:bidi="ar"/>
              </w:rPr>
            </w:pPr>
            <w:r>
              <w:rPr>
                <w:rFonts w:hint="eastAsia" w:cs="宋体"/>
                <w:color w:val="000000"/>
                <w:kern w:val="0"/>
                <w:szCs w:val="21"/>
                <w:lang w:bidi="ar"/>
              </w:rPr>
              <w:t>移动应用管理要求</w:t>
            </w:r>
          </w:p>
        </w:tc>
        <w:tc>
          <w:tcPr>
            <w:tcW w:w="4014" w:type="pct"/>
            <w:vAlign w:val="center"/>
          </w:tcPr>
          <w:p w14:paraId="05C94A9C">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支持应用发布、包括Android原生应用、远程H5应用、本地H5应用。支持应用定时发布机制</w:t>
            </w:r>
          </w:p>
          <w:p w14:paraId="31B0E773">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支持后台同时多任务上传机制</w:t>
            </w:r>
          </w:p>
          <w:p w14:paraId="66D397DD">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支持应用上架/下架、删除、更新等维护管理</w:t>
            </w:r>
          </w:p>
          <w:p w14:paraId="33A93ABE">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支持发布应用版本管理</w:t>
            </w:r>
          </w:p>
          <w:p w14:paraId="7999EFB0">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支持应用基础信息配置、排序管理和分类管理</w:t>
            </w:r>
          </w:p>
          <w:p w14:paraId="0CBDDF3D">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支持查看推荐应用和必装应用安装详情</w:t>
            </w:r>
          </w:p>
          <w:p w14:paraId="079840BF">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支持应用DLP安全防护。针对不同用户分发不同的DLP策略，并对应用进行授权</w:t>
            </w:r>
          </w:p>
          <w:p w14:paraId="18C2E607">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支持应用分发例外范围设置，针对部分用户/部门/用户组不生效</w:t>
            </w:r>
          </w:p>
          <w:p w14:paraId="52F8186C">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支持应用强制升级</w:t>
            </w:r>
          </w:p>
          <w:p w14:paraId="0ABAF7BC">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支持应用禁止个人桌面启动</w:t>
            </w:r>
          </w:p>
          <w:p w14:paraId="65E325DF">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支持设置推荐应用设置，推荐应用消息通知，安全空间自动添加图标。</w:t>
            </w:r>
          </w:p>
          <w:p w14:paraId="708AA1CB">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支持设置必装应用设置，必装应用自动下载安装。</w:t>
            </w:r>
          </w:p>
          <w:p w14:paraId="1BF756A4">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支持为应用开启/关闭消息推送通知</w:t>
            </w:r>
          </w:p>
          <w:p w14:paraId="0ACA68B7">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支持应用级零信任安全网关</w:t>
            </w:r>
          </w:p>
          <w:p w14:paraId="6793DC84">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支持第三方接口开放，应用管理、应用分发、默认策略配置和应用管理员设置</w:t>
            </w:r>
          </w:p>
          <w:p w14:paraId="1E360A64">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支持JS桥接、应用传参和sdk集成等方式为应用提供sso能力</w:t>
            </w:r>
          </w:p>
          <w:p w14:paraId="3FA2DD90">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支持应用分类管理，应用商店分类展示</w:t>
            </w:r>
          </w:p>
          <w:p w14:paraId="2DE82172">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支持设置应用默认策略模板，策略模板支持启用/禁用</w:t>
            </w:r>
          </w:p>
          <w:p w14:paraId="08ACBEED">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支持配置容器化应用引导安装、登录客户端，支持提示语自定义</w:t>
            </w:r>
          </w:p>
        </w:tc>
      </w:tr>
      <w:tr w14:paraId="0C686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Align w:val="center"/>
          </w:tcPr>
          <w:p w14:paraId="3A8F2820">
            <w:pPr>
              <w:widowControl/>
              <w:ind w:firstLine="0" w:firstLineChars="0"/>
              <w:textAlignment w:val="center"/>
              <w:rPr>
                <w:rFonts w:cs="宋体"/>
                <w:color w:val="000000"/>
                <w:kern w:val="0"/>
                <w:szCs w:val="21"/>
                <w:lang w:bidi="ar"/>
              </w:rPr>
            </w:pPr>
            <w:r>
              <w:rPr>
                <w:rFonts w:hint="eastAsia" w:cs="宋体"/>
                <w:color w:val="000000"/>
                <w:kern w:val="0"/>
                <w:szCs w:val="21"/>
                <w:lang w:bidi="ar"/>
              </w:rPr>
              <w:t>移动数据防泄露（沙箱）要求</w:t>
            </w:r>
          </w:p>
        </w:tc>
        <w:tc>
          <w:tcPr>
            <w:tcW w:w="4014" w:type="pct"/>
            <w:vAlign w:val="center"/>
          </w:tcPr>
          <w:p w14:paraId="3D60D9F8">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▲支持配置应用数据安全：应用明/暗水印、截屏/录屏保护、复制粘贴保护、应用数据加密、安全文件、安全键盘、安全相机相册</w:t>
            </w:r>
          </w:p>
          <w:p w14:paraId="5E4EE48F">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支持配置应用行为保护：应用锁、应用调用安全、系统权限限制、应用运行安全、应用更新控制、应用无痕使用</w:t>
            </w:r>
          </w:p>
          <w:p w14:paraId="6356E3F9">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支持配置设备环境保护：应用网络安全控制、允许环境保护</w:t>
            </w:r>
          </w:p>
        </w:tc>
      </w:tr>
      <w:tr w14:paraId="21D6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Align w:val="center"/>
          </w:tcPr>
          <w:p w14:paraId="0E827066">
            <w:pPr>
              <w:widowControl/>
              <w:ind w:firstLine="0" w:firstLineChars="0"/>
              <w:textAlignment w:val="center"/>
              <w:rPr>
                <w:rFonts w:cs="宋体"/>
                <w:color w:val="000000"/>
                <w:kern w:val="0"/>
                <w:szCs w:val="21"/>
                <w:lang w:bidi="ar"/>
              </w:rPr>
            </w:pPr>
            <w:r>
              <w:rPr>
                <w:rFonts w:hint="eastAsia" w:cs="宋体"/>
                <w:color w:val="000000"/>
                <w:kern w:val="0"/>
                <w:szCs w:val="21"/>
                <w:lang w:bidi="ar"/>
              </w:rPr>
              <w:t>移动内容管理要求</w:t>
            </w:r>
          </w:p>
        </w:tc>
        <w:tc>
          <w:tcPr>
            <w:tcW w:w="4014" w:type="pct"/>
            <w:vAlign w:val="center"/>
          </w:tcPr>
          <w:p w14:paraId="56851434">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支持查看、新建、编辑、删除文件夹</w:t>
            </w:r>
          </w:p>
          <w:p w14:paraId="6941A71A">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支持文件上传、重命名、移动、下载和删除</w:t>
            </w:r>
          </w:p>
          <w:p w14:paraId="256F280B">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支持下发文件/文件夹到用户/部门/用户组</w:t>
            </w:r>
          </w:p>
          <w:p w14:paraId="15899827">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支持对文件有效期、文件分发通知、文件下载、文件自动下载进行设置</w:t>
            </w:r>
          </w:p>
          <w:p w14:paraId="43679DAA">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支持加密后的文件使用指定的Android封装后的应用打开</w:t>
            </w:r>
          </w:p>
          <w:p w14:paraId="25F04FB6">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支持文档在阅读多长时间后，在本地删除文件</w:t>
            </w:r>
          </w:p>
          <w:p w14:paraId="792714F0">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支持在根目录文件夹配置密码</w:t>
            </w:r>
          </w:p>
          <w:p w14:paraId="48406985">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支持以文件/文件夹关键字进行搜索</w:t>
            </w:r>
          </w:p>
          <w:p w14:paraId="6AC1DE0B">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支持根据管理员根目录筛选查看文件</w:t>
            </w:r>
          </w:p>
        </w:tc>
      </w:tr>
      <w:tr w14:paraId="2D27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Align w:val="center"/>
          </w:tcPr>
          <w:p w14:paraId="78E9DD11">
            <w:pPr>
              <w:widowControl/>
              <w:ind w:firstLine="0" w:firstLineChars="0"/>
              <w:textAlignment w:val="center"/>
              <w:rPr>
                <w:rFonts w:cs="宋体"/>
                <w:color w:val="000000"/>
                <w:kern w:val="0"/>
                <w:szCs w:val="21"/>
                <w:lang w:bidi="ar"/>
              </w:rPr>
            </w:pPr>
            <w:r>
              <w:rPr>
                <w:rFonts w:hint="eastAsia" w:cs="宋体"/>
                <w:color w:val="000000"/>
                <w:kern w:val="0"/>
                <w:szCs w:val="21"/>
                <w:lang w:bidi="ar"/>
              </w:rPr>
              <w:t>移动设备合规管理要求</w:t>
            </w:r>
          </w:p>
        </w:tc>
        <w:tc>
          <w:tcPr>
            <w:tcW w:w="4014" w:type="pct"/>
            <w:vAlign w:val="center"/>
          </w:tcPr>
          <w:p w14:paraId="2A8BB2B2">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出现系统版本过低时能够告警通知，告警信息发送方式支持周期通知和实时通知。出现告警后，能够对违规设备进行实时或者定时处罚。处罚方式包括：锁定设备、擦除企业数据、恢复出厂、禁用应用商店、禁用摄像头、禁用SD卡、禁用使用工作空间</w:t>
            </w:r>
          </w:p>
          <w:p w14:paraId="7F9C5A3C">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SIM卡违规后能够告警通知，告警信息发送方式支持周期通知和实时通知。出现告警后，能够对违规设备进行实时或者定时处罚。处罚方式包括：锁定设备、擦除企业数据、恢复出厂、禁用应用商店、禁用摄像头、禁用SD卡、禁用使用工作空间</w:t>
            </w:r>
          </w:p>
          <w:p w14:paraId="2D3A0A52">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被破解后能够告警通知，告警信息发送方式支持周期通知和实时通知。出现告警后，能够对违规设备进行实时或者定时处罚。处罚方式包括：锁定设备、擦除企业数据、恢复出厂、禁用应用商店、禁用摄像头、禁用SD卡、禁用使用工作空间</w:t>
            </w:r>
          </w:p>
          <w:p w14:paraId="7D1AAE64">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SD卡变更后能够告警通知，告警信息发送方式支持周期通知和实时通知。出现告警后，能够对违规设备进行实时或者定时处罚。处罚方式包括：锁定设备、擦除企业数据、恢复出厂、禁用应用商店、禁用摄像头、禁用SD卡、禁用使用工作空间</w:t>
            </w:r>
          </w:p>
          <w:p w14:paraId="0E3A4BDD">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不在线时间超过一定时间后能够告警通知，告警信息发送方式支持周期通知和实时通知。出现告警后，能够对违规设备进行实时或者定时处罚。处罚方式包括：锁定设备、擦除企业数据、恢复出厂、禁用应用商店、禁用摄像头、禁用SD卡、禁用使用工作空间</w:t>
            </w:r>
          </w:p>
          <w:p w14:paraId="41284998">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电量低于一定比例后能够告警通知，告警信息发送方式支持周期通知和实时通知。出现告警后，能够对违规设备进行实时或者定时处罚。处罚方式包括：锁定设备、擦除企业数据、恢复出厂、禁用应用商店、禁用摄像头、禁用SD卡、禁用使用工作空间</w:t>
            </w:r>
          </w:p>
          <w:p w14:paraId="715DDBAC">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可用存储空间低于一定比例后能够告警通知，告警信息发送方式支持周期通知和实时通知。出现告警后，能够对违规设备进行实时或者定时处罚。处罚方式包括：锁定设备、擦除企业数据、恢复出厂、禁用应用商店、禁用摄像头、禁用SD卡、禁用使用工作空间</w:t>
            </w:r>
          </w:p>
          <w:p w14:paraId="06D9BD87">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关闭移动数据网络（2G/3G/4G/5G）后能够告警通知，告警信息发送方式支持周期通知和实时通知。出现告警后，能够对违规设备进行实时或者定时处罚。处罚方式包括：锁定设备、擦除企业数据、恢复出厂、禁用应用商店、禁用摄像头、禁用SD卡、禁用使用工作空间，但仅针对高权限设备生效</w:t>
            </w:r>
          </w:p>
          <w:p w14:paraId="391D99F8">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开启飞行模式（2G/3G/4G/5G）后能够告警通知，告警信息发送方式支持周期通知和实时通知。出现告警后，能够对违规设备进行实时或者定时处罚。处罚方式包括：锁定设备、擦除企业数据、恢复出厂、禁用应用商店、禁用摄像头、禁用SD卡、禁用使用工作空间，但仅针对高权限设备生效</w:t>
            </w:r>
          </w:p>
          <w:p w14:paraId="23186EFC">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MDM策略应该生效，但是未生效时能够告警，告警信息发送方式支持周期通知和实时通知。出现告警后，能够对违规设备进行实时或者定时处罚。处罚方式包括：锁定设备、擦除企业数据、恢复出厂、禁用应用商店、禁用摄像头、禁用SD卡、禁用使用工作空间</w:t>
            </w:r>
          </w:p>
          <w:p w14:paraId="72E923DB">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Android设备要求安装应用未安装时能够告警，告警信息发送方式支持周期通知和实时通知。出现告警后，能够对违规设备进行实时或者定时处罚。处罚方式包括：锁定设备、擦除企业数据、恢复出厂、禁用应用商店、禁用摄像头、禁用SD卡、禁用使用工作空间</w:t>
            </w:r>
          </w:p>
        </w:tc>
      </w:tr>
      <w:tr w14:paraId="42B65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restart"/>
            <w:vAlign w:val="center"/>
          </w:tcPr>
          <w:p w14:paraId="3392C01A">
            <w:pPr>
              <w:widowControl/>
              <w:ind w:firstLine="0" w:firstLineChars="0"/>
              <w:textAlignment w:val="center"/>
              <w:rPr>
                <w:rFonts w:cs="宋体"/>
                <w:color w:val="000000"/>
                <w:kern w:val="0"/>
                <w:szCs w:val="21"/>
                <w:lang w:bidi="ar"/>
              </w:rPr>
            </w:pPr>
            <w:r>
              <w:rPr>
                <w:rFonts w:hint="eastAsia" w:cs="宋体"/>
                <w:color w:val="000000"/>
                <w:kern w:val="0"/>
                <w:szCs w:val="21"/>
                <w:lang w:bidi="ar"/>
              </w:rPr>
              <w:t>资质要求</w:t>
            </w:r>
          </w:p>
        </w:tc>
        <w:tc>
          <w:tcPr>
            <w:tcW w:w="4014" w:type="pct"/>
            <w:vAlign w:val="center"/>
          </w:tcPr>
          <w:p w14:paraId="3E6DB5ED">
            <w:pPr>
              <w:widowControl/>
              <w:ind w:firstLine="0" w:firstLineChars="0"/>
              <w:textAlignment w:val="center"/>
              <w:rPr>
                <w:rFonts w:cs="宋体"/>
                <w:color w:val="000000"/>
                <w:kern w:val="0"/>
                <w:szCs w:val="21"/>
                <w:lang w:bidi="ar"/>
              </w:rPr>
            </w:pPr>
            <w:r>
              <w:rPr>
                <w:rFonts w:hint="eastAsia" w:cs="宋体"/>
                <w:color w:val="000000"/>
                <w:kern w:val="0"/>
                <w:szCs w:val="21"/>
                <w:lang w:bidi="ar"/>
              </w:rPr>
              <w:t>成熟度：供应商提供的应用软件必须是先进、成熟、安全可靠的商业化软件产品，其技术路线和实现方式清晰，符合网络安全、移动信息化的发展趋势，可进行弹性扩展，强内聚松耦合，适应未来业务发展战略和方向。原厂商拥有自主知识产权，能够提供自主知识产权证书。</w:t>
            </w:r>
          </w:p>
        </w:tc>
      </w:tr>
      <w:tr w14:paraId="5ADD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continue"/>
            <w:vAlign w:val="center"/>
          </w:tcPr>
          <w:p w14:paraId="241F8B6D">
            <w:pPr>
              <w:widowControl/>
              <w:ind w:firstLine="0" w:firstLineChars="0"/>
              <w:textAlignment w:val="center"/>
              <w:rPr>
                <w:rFonts w:cs="宋体"/>
                <w:color w:val="000000"/>
                <w:kern w:val="0"/>
                <w:szCs w:val="21"/>
                <w:lang w:bidi="ar"/>
              </w:rPr>
            </w:pPr>
          </w:p>
        </w:tc>
        <w:tc>
          <w:tcPr>
            <w:tcW w:w="4014" w:type="pct"/>
            <w:vAlign w:val="center"/>
          </w:tcPr>
          <w:p w14:paraId="2E585314">
            <w:pPr>
              <w:widowControl/>
              <w:ind w:firstLine="0" w:firstLineChars="0"/>
              <w:textAlignment w:val="center"/>
              <w:rPr>
                <w:rFonts w:cs="宋体"/>
                <w:color w:val="000000"/>
                <w:kern w:val="0"/>
                <w:szCs w:val="21"/>
                <w:lang w:bidi="ar"/>
              </w:rPr>
            </w:pPr>
            <w:r>
              <w:rPr>
                <w:rFonts w:hint="eastAsia" w:cs="宋体"/>
                <w:color w:val="000000"/>
                <w:kern w:val="0"/>
                <w:szCs w:val="21"/>
                <w:lang w:bidi="ar"/>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r w14:paraId="514B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continue"/>
            <w:vAlign w:val="center"/>
          </w:tcPr>
          <w:p w14:paraId="24B2C17E">
            <w:pPr>
              <w:widowControl/>
              <w:ind w:firstLine="0" w:firstLineChars="0"/>
              <w:textAlignment w:val="center"/>
              <w:rPr>
                <w:rFonts w:cs="宋体"/>
                <w:color w:val="000000"/>
                <w:kern w:val="0"/>
                <w:szCs w:val="21"/>
                <w:lang w:bidi="ar"/>
              </w:rPr>
            </w:pPr>
          </w:p>
        </w:tc>
        <w:tc>
          <w:tcPr>
            <w:tcW w:w="4014" w:type="pct"/>
            <w:vAlign w:val="center"/>
          </w:tcPr>
          <w:p w14:paraId="2D78270E">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提供原厂商质量提议体系ISO9001认证证书</w:t>
            </w:r>
          </w:p>
        </w:tc>
      </w:tr>
      <w:tr w14:paraId="1F0F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continue"/>
            <w:vAlign w:val="center"/>
          </w:tcPr>
          <w:p w14:paraId="33590377">
            <w:pPr>
              <w:widowControl/>
              <w:ind w:firstLine="0" w:firstLineChars="0"/>
              <w:textAlignment w:val="center"/>
              <w:rPr>
                <w:rFonts w:cs="宋体"/>
                <w:color w:val="000000"/>
                <w:kern w:val="0"/>
                <w:szCs w:val="21"/>
                <w:lang w:bidi="ar"/>
              </w:rPr>
            </w:pPr>
          </w:p>
        </w:tc>
        <w:tc>
          <w:tcPr>
            <w:tcW w:w="4014" w:type="pct"/>
            <w:vAlign w:val="center"/>
          </w:tcPr>
          <w:p w14:paraId="65FB3190">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提供原厂商信息技术服务管理体系ISO20000认证证书</w:t>
            </w:r>
          </w:p>
        </w:tc>
      </w:tr>
      <w:tr w14:paraId="1361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continue"/>
            <w:vAlign w:val="center"/>
          </w:tcPr>
          <w:p w14:paraId="4D01ABEB">
            <w:pPr>
              <w:widowControl/>
              <w:ind w:firstLine="0" w:firstLineChars="0"/>
              <w:textAlignment w:val="center"/>
              <w:rPr>
                <w:rFonts w:cs="宋体"/>
                <w:color w:val="000000"/>
                <w:kern w:val="0"/>
                <w:szCs w:val="21"/>
                <w:lang w:bidi="ar"/>
              </w:rPr>
            </w:pPr>
          </w:p>
        </w:tc>
        <w:tc>
          <w:tcPr>
            <w:tcW w:w="4014" w:type="pct"/>
            <w:vAlign w:val="center"/>
          </w:tcPr>
          <w:p w14:paraId="6AF0D6A6">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提供原厂商信息安全管理体系ISO27001认证证书</w:t>
            </w:r>
          </w:p>
        </w:tc>
      </w:tr>
      <w:tr w14:paraId="1E57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985" w:type="pct"/>
            <w:vMerge w:val="continue"/>
            <w:vAlign w:val="center"/>
          </w:tcPr>
          <w:p w14:paraId="4FCC1F8D">
            <w:pPr>
              <w:widowControl/>
              <w:ind w:firstLine="0" w:firstLineChars="0"/>
              <w:textAlignment w:val="center"/>
              <w:rPr>
                <w:rFonts w:cs="宋体"/>
                <w:color w:val="000000"/>
                <w:kern w:val="0"/>
                <w:szCs w:val="21"/>
                <w:lang w:bidi="ar"/>
              </w:rPr>
            </w:pPr>
          </w:p>
        </w:tc>
        <w:tc>
          <w:tcPr>
            <w:tcW w:w="4014" w:type="pct"/>
            <w:vAlign w:val="center"/>
          </w:tcPr>
          <w:p w14:paraId="293FDB07">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提供原厂商信息安全服务资质认证证书（安全集成三级）</w:t>
            </w:r>
          </w:p>
        </w:tc>
      </w:tr>
      <w:tr w14:paraId="36D4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continue"/>
            <w:vAlign w:val="center"/>
          </w:tcPr>
          <w:p w14:paraId="53115C5E">
            <w:pPr>
              <w:widowControl/>
              <w:ind w:firstLine="0" w:firstLineChars="0"/>
              <w:textAlignment w:val="center"/>
              <w:rPr>
                <w:rFonts w:cs="宋体"/>
                <w:color w:val="000000"/>
                <w:kern w:val="0"/>
                <w:szCs w:val="21"/>
                <w:lang w:bidi="ar"/>
              </w:rPr>
            </w:pPr>
          </w:p>
        </w:tc>
        <w:tc>
          <w:tcPr>
            <w:tcW w:w="4014" w:type="pct"/>
            <w:vAlign w:val="center"/>
          </w:tcPr>
          <w:p w14:paraId="7FB60F40">
            <w:pPr>
              <w:widowControl/>
              <w:ind w:firstLine="0" w:firstLineChars="0"/>
              <w:textAlignment w:val="center"/>
              <w:rPr>
                <w:rFonts w:cs="宋体"/>
                <w:color w:val="000000"/>
                <w:kern w:val="0"/>
                <w:szCs w:val="21"/>
                <w:lang w:bidi="ar"/>
              </w:rPr>
            </w:pPr>
            <w:r>
              <w:rPr>
                <w:rFonts w:hint="eastAsia" w:cs="宋体"/>
                <w:color w:val="000000"/>
                <w:kern w:val="0"/>
                <w:szCs w:val="21"/>
                <w:lang w:bidi="ar"/>
              </w:rPr>
              <w:t>为保障软件开发质量，要求厂商具有CMMI3级认证。</w:t>
            </w:r>
          </w:p>
        </w:tc>
      </w:tr>
      <w:tr w14:paraId="0E6B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5" w:type="pct"/>
            <w:vMerge w:val="continue"/>
            <w:vAlign w:val="center"/>
          </w:tcPr>
          <w:p w14:paraId="0BA65341">
            <w:pPr>
              <w:widowControl/>
              <w:ind w:firstLine="0" w:firstLineChars="0"/>
              <w:textAlignment w:val="center"/>
              <w:rPr>
                <w:rFonts w:cs="宋体"/>
                <w:color w:val="000000"/>
                <w:kern w:val="0"/>
                <w:szCs w:val="21"/>
                <w:lang w:bidi="ar"/>
              </w:rPr>
            </w:pPr>
          </w:p>
        </w:tc>
        <w:tc>
          <w:tcPr>
            <w:tcW w:w="4014" w:type="pct"/>
            <w:vAlign w:val="center"/>
          </w:tcPr>
          <w:p w14:paraId="195D1C97">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提供国家版权局颁发的《计算机软件著作权登记证书》。</w:t>
            </w:r>
          </w:p>
        </w:tc>
      </w:tr>
    </w:tbl>
    <w:p w14:paraId="2B4C145D"/>
    <w:p w14:paraId="06732970">
      <w:pPr>
        <w:pStyle w:val="6"/>
        <w:numPr>
          <w:ilvl w:val="3"/>
          <w:numId w:val="0"/>
        </w:numPr>
        <w:spacing w:line="413" w:lineRule="auto"/>
      </w:pPr>
      <w:bookmarkStart w:id="56" w:name="_Toc1156"/>
      <w:bookmarkStart w:id="57" w:name="_Toc161989567"/>
      <w:r>
        <w:rPr>
          <w:rFonts w:hint="eastAsia"/>
        </w:rPr>
        <w:t>3.2零信任控制中心</w:t>
      </w:r>
      <w:bookmarkEnd w:id="56"/>
      <w:bookmarkEnd w:id="57"/>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6851"/>
      </w:tblGrid>
      <w:tr w14:paraId="78A2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983" w:type="pct"/>
            <w:vAlign w:val="center"/>
          </w:tcPr>
          <w:p w14:paraId="33454FB1">
            <w:pPr>
              <w:ind w:firstLine="482"/>
              <w:jc w:val="center"/>
              <w:rPr>
                <w:b/>
                <w:bCs/>
                <w:szCs w:val="21"/>
              </w:rPr>
            </w:pPr>
            <w:r>
              <w:rPr>
                <w:rFonts w:hint="eastAsia"/>
                <w:b/>
                <w:bCs/>
                <w:szCs w:val="21"/>
              </w:rPr>
              <w:t>指标项</w:t>
            </w:r>
          </w:p>
        </w:tc>
        <w:tc>
          <w:tcPr>
            <w:tcW w:w="4016" w:type="pct"/>
            <w:vAlign w:val="center"/>
          </w:tcPr>
          <w:p w14:paraId="369F79D8">
            <w:pPr>
              <w:ind w:firstLine="482"/>
              <w:jc w:val="center"/>
              <w:rPr>
                <w:rFonts w:cs="宋体"/>
                <w:b/>
                <w:bCs/>
                <w:szCs w:val="21"/>
              </w:rPr>
            </w:pPr>
            <w:r>
              <w:rPr>
                <w:rFonts w:hint="eastAsia" w:cs="宋体"/>
                <w:b/>
                <w:bCs/>
                <w:szCs w:val="21"/>
              </w:rPr>
              <w:t>技术指标</w:t>
            </w:r>
          </w:p>
        </w:tc>
      </w:tr>
      <w:tr w14:paraId="641F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Align w:val="center"/>
          </w:tcPr>
          <w:p w14:paraId="0AB86BA5">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硬件要求</w:t>
            </w:r>
          </w:p>
        </w:tc>
        <w:tc>
          <w:tcPr>
            <w:tcW w:w="4016" w:type="pct"/>
            <w:vAlign w:val="center"/>
          </w:tcPr>
          <w:p w14:paraId="73A169C5">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内存大小≥16G，硬盘容量≥480G SSD，电源：冗余电源，接口：6千兆电口+4千兆光口SFP+2万兆光口SFP+</w:t>
            </w:r>
          </w:p>
        </w:tc>
      </w:tr>
      <w:tr w14:paraId="0249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Align w:val="center"/>
          </w:tcPr>
          <w:p w14:paraId="631EEBA7">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性能要求</w:t>
            </w:r>
          </w:p>
        </w:tc>
        <w:tc>
          <w:tcPr>
            <w:tcW w:w="4016" w:type="pct"/>
            <w:vAlign w:val="center"/>
          </w:tcPr>
          <w:p w14:paraId="71D146D6">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最大并发用户数（个）10000。</w:t>
            </w:r>
          </w:p>
        </w:tc>
      </w:tr>
      <w:tr w14:paraId="7D76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Align w:val="center"/>
          </w:tcPr>
          <w:p w14:paraId="0EBD9798">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功能要求</w:t>
            </w:r>
          </w:p>
        </w:tc>
        <w:tc>
          <w:tcPr>
            <w:tcW w:w="4016" w:type="pct"/>
            <w:vAlign w:val="center"/>
          </w:tcPr>
          <w:p w14:paraId="21DB9655">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采用国家密码管理局颁布的SM1、SM2、SM3、SM4密码算法及其协议，支持多种身份认证方式、访问权限控制等主要功能，保证远程系统接入的用户身份安全、终端/数据安全、传输安全、应用权限安全和审计安全</w:t>
            </w:r>
          </w:p>
          <w:p w14:paraId="4F43BC3D">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包含加密传输、接入、认证、日志审计等功能。</w:t>
            </w:r>
          </w:p>
        </w:tc>
      </w:tr>
      <w:tr w14:paraId="5E5A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restart"/>
            <w:vAlign w:val="center"/>
          </w:tcPr>
          <w:p w14:paraId="52FBDA21">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资质要求</w:t>
            </w:r>
          </w:p>
        </w:tc>
        <w:tc>
          <w:tcPr>
            <w:tcW w:w="4016" w:type="pct"/>
            <w:vAlign w:val="center"/>
          </w:tcPr>
          <w:p w14:paraId="0931F8F1">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成熟度：供应商提供的应用软件必须是先进、成熟、安全可靠的商业化软件产品，其技术路线和实现方式清晰，符合网络安全、移动信息化的发展趋势，可进行弹性扩展，强内聚松耦合，适应未来业务发展战略和方向。原厂商拥有自主知识产权，能够提供自主知识产权证书。</w:t>
            </w:r>
          </w:p>
        </w:tc>
      </w:tr>
      <w:tr w14:paraId="7B8B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08AF6788">
            <w:pPr>
              <w:widowControl/>
              <w:ind w:firstLine="0" w:firstLineChars="0"/>
              <w:jc w:val="left"/>
              <w:textAlignment w:val="center"/>
              <w:rPr>
                <w:rFonts w:cs="宋体"/>
                <w:color w:val="000000"/>
                <w:kern w:val="0"/>
                <w:szCs w:val="21"/>
                <w:lang w:bidi="ar"/>
              </w:rPr>
            </w:pPr>
          </w:p>
        </w:tc>
        <w:tc>
          <w:tcPr>
            <w:tcW w:w="4016" w:type="pct"/>
            <w:vAlign w:val="center"/>
          </w:tcPr>
          <w:p w14:paraId="40876D4A">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提供原厂商质量提议体系ISO9001认证证书</w:t>
            </w:r>
          </w:p>
        </w:tc>
      </w:tr>
      <w:tr w14:paraId="6CD7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10AF0F96">
            <w:pPr>
              <w:widowControl/>
              <w:ind w:firstLine="0" w:firstLineChars="0"/>
              <w:jc w:val="left"/>
              <w:textAlignment w:val="center"/>
              <w:rPr>
                <w:rFonts w:cs="宋体"/>
                <w:color w:val="000000"/>
                <w:kern w:val="0"/>
                <w:szCs w:val="21"/>
                <w:lang w:bidi="ar"/>
              </w:rPr>
            </w:pPr>
          </w:p>
        </w:tc>
        <w:tc>
          <w:tcPr>
            <w:tcW w:w="4016" w:type="pct"/>
            <w:vAlign w:val="center"/>
          </w:tcPr>
          <w:p w14:paraId="776105D3">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提供原厂商信息技术服务管理体系ISO20000认证证书</w:t>
            </w:r>
          </w:p>
        </w:tc>
      </w:tr>
      <w:tr w14:paraId="1B26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1AA8D536">
            <w:pPr>
              <w:widowControl/>
              <w:ind w:firstLine="0" w:firstLineChars="0"/>
              <w:jc w:val="left"/>
              <w:textAlignment w:val="center"/>
              <w:rPr>
                <w:rFonts w:cs="宋体"/>
                <w:color w:val="000000"/>
                <w:kern w:val="0"/>
                <w:szCs w:val="21"/>
                <w:lang w:bidi="ar"/>
              </w:rPr>
            </w:pPr>
          </w:p>
        </w:tc>
        <w:tc>
          <w:tcPr>
            <w:tcW w:w="4016" w:type="pct"/>
            <w:vAlign w:val="center"/>
          </w:tcPr>
          <w:p w14:paraId="70C3106E">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提供原厂商信息安全管理体系ISO27001认证证书</w:t>
            </w:r>
          </w:p>
        </w:tc>
      </w:tr>
      <w:tr w14:paraId="208A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pct"/>
            <w:vMerge w:val="continue"/>
            <w:vAlign w:val="center"/>
          </w:tcPr>
          <w:p w14:paraId="27AE29A9">
            <w:pPr>
              <w:widowControl/>
              <w:ind w:firstLine="0" w:firstLineChars="0"/>
              <w:jc w:val="left"/>
              <w:textAlignment w:val="center"/>
              <w:rPr>
                <w:rFonts w:cs="宋体"/>
                <w:color w:val="000000"/>
                <w:kern w:val="0"/>
                <w:szCs w:val="21"/>
                <w:lang w:bidi="ar"/>
              </w:rPr>
            </w:pPr>
          </w:p>
        </w:tc>
        <w:tc>
          <w:tcPr>
            <w:tcW w:w="4016" w:type="pct"/>
            <w:vAlign w:val="center"/>
          </w:tcPr>
          <w:p w14:paraId="15B9F26D">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提供原厂商信息安全服务资质认证证书（安全集成三级）</w:t>
            </w:r>
          </w:p>
        </w:tc>
      </w:tr>
      <w:tr w14:paraId="4EFA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38E06E91">
            <w:pPr>
              <w:widowControl/>
              <w:ind w:firstLine="0" w:firstLineChars="0"/>
              <w:jc w:val="left"/>
              <w:textAlignment w:val="center"/>
              <w:rPr>
                <w:rFonts w:cs="宋体"/>
                <w:color w:val="000000"/>
                <w:kern w:val="0"/>
                <w:szCs w:val="21"/>
                <w:lang w:bidi="ar"/>
              </w:rPr>
            </w:pPr>
          </w:p>
        </w:tc>
        <w:tc>
          <w:tcPr>
            <w:tcW w:w="4016" w:type="pct"/>
            <w:vAlign w:val="center"/>
          </w:tcPr>
          <w:p w14:paraId="6921A771">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为保障软件开发质量，要求厂商具有CMMI3级认证。</w:t>
            </w:r>
          </w:p>
        </w:tc>
      </w:tr>
      <w:tr w14:paraId="703E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75FBFB4B">
            <w:pPr>
              <w:widowControl/>
              <w:ind w:firstLine="0" w:firstLineChars="0"/>
              <w:jc w:val="left"/>
              <w:textAlignment w:val="center"/>
              <w:rPr>
                <w:rFonts w:cs="宋体"/>
                <w:color w:val="000000"/>
                <w:kern w:val="0"/>
                <w:szCs w:val="21"/>
                <w:lang w:bidi="ar"/>
              </w:rPr>
            </w:pPr>
          </w:p>
        </w:tc>
        <w:tc>
          <w:tcPr>
            <w:tcW w:w="4016" w:type="pct"/>
            <w:vAlign w:val="center"/>
          </w:tcPr>
          <w:p w14:paraId="05A9A776">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r w14:paraId="2EC5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7562B4BE">
            <w:pPr>
              <w:widowControl/>
              <w:ind w:firstLine="0" w:firstLineChars="0"/>
              <w:jc w:val="left"/>
              <w:textAlignment w:val="center"/>
              <w:rPr>
                <w:rFonts w:cs="宋体"/>
                <w:color w:val="000000"/>
                <w:kern w:val="0"/>
                <w:szCs w:val="21"/>
                <w:lang w:bidi="ar"/>
              </w:rPr>
            </w:pPr>
          </w:p>
        </w:tc>
        <w:tc>
          <w:tcPr>
            <w:tcW w:w="4016" w:type="pct"/>
            <w:vAlign w:val="center"/>
          </w:tcPr>
          <w:p w14:paraId="7194632C">
            <w:pPr>
              <w:widowControl/>
              <w:ind w:firstLine="0" w:firstLineChars="0"/>
              <w:jc w:val="left"/>
              <w:textAlignment w:val="center"/>
              <w:rPr>
                <w:rFonts w:cs="宋体"/>
                <w:color w:val="000000"/>
                <w:kern w:val="0"/>
                <w:szCs w:val="21"/>
                <w:lang w:bidi="ar"/>
              </w:rPr>
            </w:pPr>
            <w:r>
              <w:rPr>
                <w:rFonts w:hint="eastAsia" w:cs="宋体"/>
                <w:color w:val="000000"/>
                <w:kern w:val="0"/>
                <w:szCs w:val="21"/>
                <w:lang w:bidi="ar"/>
              </w:rPr>
              <w:t>提供国家版权局颁发的《计算机软件著作权登记证书》。</w:t>
            </w:r>
          </w:p>
        </w:tc>
      </w:tr>
    </w:tbl>
    <w:p w14:paraId="0A77481D"/>
    <w:p w14:paraId="088AA27D">
      <w:pPr>
        <w:pStyle w:val="6"/>
        <w:numPr>
          <w:ilvl w:val="3"/>
          <w:numId w:val="0"/>
        </w:numPr>
        <w:spacing w:line="413" w:lineRule="auto"/>
      </w:pPr>
      <w:bookmarkStart w:id="58" w:name="_Toc161989568"/>
      <w:bookmarkStart w:id="59" w:name="_Toc21569"/>
      <w:r>
        <w:rPr>
          <w:rFonts w:hint="eastAsia"/>
        </w:rPr>
        <w:t>3.3零信任网关</w:t>
      </w:r>
      <w:bookmarkEnd w:id="58"/>
      <w:bookmarkEnd w:id="59"/>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6851"/>
      </w:tblGrid>
      <w:tr w14:paraId="055F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983" w:type="pct"/>
            <w:vAlign w:val="center"/>
          </w:tcPr>
          <w:p w14:paraId="6127EE6F">
            <w:pPr>
              <w:ind w:firstLine="482"/>
              <w:jc w:val="center"/>
              <w:rPr>
                <w:b/>
                <w:bCs/>
                <w:szCs w:val="21"/>
              </w:rPr>
            </w:pPr>
            <w:r>
              <w:rPr>
                <w:rFonts w:hint="eastAsia"/>
                <w:b/>
                <w:bCs/>
                <w:szCs w:val="21"/>
              </w:rPr>
              <w:t>指标项</w:t>
            </w:r>
          </w:p>
        </w:tc>
        <w:tc>
          <w:tcPr>
            <w:tcW w:w="4016" w:type="pct"/>
            <w:vAlign w:val="center"/>
          </w:tcPr>
          <w:p w14:paraId="280FF699">
            <w:pPr>
              <w:ind w:firstLine="482"/>
              <w:jc w:val="center"/>
              <w:rPr>
                <w:rFonts w:cs="宋体"/>
                <w:b/>
                <w:bCs/>
                <w:szCs w:val="21"/>
              </w:rPr>
            </w:pPr>
            <w:r>
              <w:rPr>
                <w:rFonts w:hint="eastAsia" w:cs="宋体"/>
                <w:b/>
                <w:bCs/>
                <w:szCs w:val="21"/>
              </w:rPr>
              <w:t>技术指标</w:t>
            </w:r>
          </w:p>
        </w:tc>
      </w:tr>
      <w:tr w14:paraId="4C47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Align w:val="center"/>
          </w:tcPr>
          <w:p w14:paraId="32255721">
            <w:pPr>
              <w:widowControl/>
              <w:ind w:firstLine="0" w:firstLineChars="0"/>
              <w:textAlignment w:val="center"/>
              <w:rPr>
                <w:rFonts w:cs="宋体"/>
                <w:color w:val="000000"/>
                <w:kern w:val="0"/>
                <w:szCs w:val="21"/>
                <w:lang w:bidi="ar"/>
              </w:rPr>
            </w:pPr>
            <w:r>
              <w:rPr>
                <w:rFonts w:hint="eastAsia" w:cs="宋体"/>
                <w:color w:val="000000"/>
                <w:kern w:val="0"/>
                <w:szCs w:val="21"/>
                <w:lang w:bidi="ar"/>
              </w:rPr>
              <w:t>硬件要求</w:t>
            </w:r>
          </w:p>
        </w:tc>
        <w:tc>
          <w:tcPr>
            <w:tcW w:w="4016" w:type="pct"/>
            <w:vAlign w:val="center"/>
          </w:tcPr>
          <w:p w14:paraId="352D2617">
            <w:pPr>
              <w:widowControl/>
              <w:ind w:firstLine="0" w:firstLineChars="0"/>
              <w:textAlignment w:val="center"/>
              <w:rPr>
                <w:rFonts w:cs="宋体"/>
                <w:color w:val="000000"/>
                <w:kern w:val="0"/>
                <w:szCs w:val="21"/>
                <w:lang w:bidi="ar"/>
              </w:rPr>
            </w:pPr>
            <w:r>
              <w:rPr>
                <w:rFonts w:hint="eastAsia" w:cs="宋体"/>
                <w:color w:val="000000"/>
                <w:kern w:val="0"/>
                <w:szCs w:val="21"/>
                <w:lang w:bidi="ar"/>
              </w:rPr>
              <w:t>内存大小≥32G，硬盘容量≥480G SSD，电源：冗余电源，接口：4千兆电口+4千兆光口SFP+4万兆光口SFP+。</w:t>
            </w:r>
          </w:p>
        </w:tc>
      </w:tr>
      <w:tr w14:paraId="6DBF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Align w:val="center"/>
          </w:tcPr>
          <w:p w14:paraId="3000FF27">
            <w:pPr>
              <w:widowControl/>
              <w:ind w:firstLine="0" w:firstLineChars="0"/>
              <w:textAlignment w:val="center"/>
              <w:rPr>
                <w:rFonts w:cs="宋体"/>
                <w:color w:val="000000"/>
                <w:kern w:val="0"/>
                <w:szCs w:val="21"/>
                <w:lang w:bidi="ar"/>
              </w:rPr>
            </w:pPr>
            <w:r>
              <w:rPr>
                <w:rFonts w:hint="eastAsia" w:cs="宋体"/>
                <w:color w:val="000000"/>
                <w:kern w:val="0"/>
                <w:szCs w:val="21"/>
                <w:lang w:bidi="ar"/>
              </w:rPr>
              <w:t>性能要求</w:t>
            </w:r>
          </w:p>
        </w:tc>
        <w:tc>
          <w:tcPr>
            <w:tcW w:w="4016" w:type="pct"/>
            <w:vAlign w:val="center"/>
          </w:tcPr>
          <w:p w14:paraId="1EB1C3F8">
            <w:pPr>
              <w:widowControl/>
              <w:ind w:firstLine="0" w:firstLineChars="0"/>
              <w:textAlignment w:val="center"/>
              <w:rPr>
                <w:rFonts w:cs="宋体"/>
                <w:color w:val="000000"/>
                <w:kern w:val="0"/>
                <w:szCs w:val="21"/>
                <w:lang w:bidi="ar"/>
              </w:rPr>
            </w:pPr>
            <w:r>
              <w:rPr>
                <w:rFonts w:hint="eastAsia" w:cs="宋体"/>
                <w:color w:val="000000"/>
                <w:kern w:val="0"/>
                <w:szCs w:val="21"/>
                <w:lang w:bidi="ar"/>
              </w:rPr>
              <w:t>最大理论加密流量：2.1Gbps，最大理论并发用户数（个）：20000。</w:t>
            </w:r>
          </w:p>
        </w:tc>
      </w:tr>
      <w:tr w14:paraId="57154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restart"/>
            <w:vAlign w:val="center"/>
          </w:tcPr>
          <w:p w14:paraId="1D1C8A2C">
            <w:pPr>
              <w:widowControl/>
              <w:ind w:firstLine="0" w:firstLineChars="0"/>
              <w:textAlignment w:val="center"/>
              <w:rPr>
                <w:rFonts w:cs="宋体"/>
                <w:color w:val="000000"/>
                <w:kern w:val="0"/>
                <w:szCs w:val="21"/>
                <w:lang w:bidi="ar"/>
              </w:rPr>
            </w:pPr>
            <w:r>
              <w:rPr>
                <w:rFonts w:hint="eastAsia" w:cs="宋体"/>
                <w:color w:val="000000"/>
                <w:kern w:val="0"/>
                <w:szCs w:val="21"/>
                <w:lang w:bidi="ar"/>
              </w:rPr>
              <w:t>功能要求</w:t>
            </w:r>
          </w:p>
        </w:tc>
        <w:tc>
          <w:tcPr>
            <w:tcW w:w="4016" w:type="pct"/>
            <w:vAlign w:val="center"/>
          </w:tcPr>
          <w:p w14:paraId="37B6D651">
            <w:pPr>
              <w:widowControl/>
              <w:ind w:firstLine="0" w:firstLineChars="0"/>
              <w:textAlignment w:val="center"/>
              <w:rPr>
                <w:rFonts w:cs="宋体"/>
                <w:color w:val="000000"/>
                <w:kern w:val="0"/>
                <w:szCs w:val="21"/>
                <w:lang w:bidi="ar"/>
              </w:rPr>
            </w:pPr>
            <w:r>
              <w:rPr>
                <w:rFonts w:hint="eastAsia" w:cs="宋体"/>
                <w:color w:val="000000"/>
                <w:kern w:val="0"/>
                <w:szCs w:val="21"/>
                <w:lang w:bidi="ar"/>
              </w:rPr>
              <w:t>采用国家密码管理局颁布的SM1、SM2、SM3、SM4密码算法及其协议，支持多种身份认证方式、访问权限控制等主要功能，保证远程系统接入的用户身份安全、终端/数据安全、传输安全、应用权限安全和审计安全</w:t>
            </w:r>
          </w:p>
          <w:p w14:paraId="089AE1BF">
            <w:pPr>
              <w:widowControl/>
              <w:ind w:firstLine="0" w:firstLineChars="0"/>
              <w:textAlignment w:val="center"/>
              <w:rPr>
                <w:rFonts w:cs="宋体"/>
                <w:color w:val="000000"/>
                <w:kern w:val="0"/>
                <w:szCs w:val="21"/>
                <w:lang w:bidi="ar"/>
              </w:rPr>
            </w:pPr>
            <w:r>
              <w:rPr>
                <w:rFonts w:hint="eastAsia" w:cs="宋体"/>
                <w:color w:val="000000"/>
                <w:kern w:val="0"/>
                <w:szCs w:val="21"/>
                <w:lang w:bidi="ar"/>
              </w:rPr>
              <w:t>负责建立、监视及切断零信任客户端和业务应用之间的隧道连接，并对经过代理网关转发的流量进行加密。支持三层、四层、七层等多种访问协议代理，可以满足多种类型应用的发布。</w:t>
            </w:r>
          </w:p>
        </w:tc>
      </w:tr>
      <w:tr w14:paraId="7C636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E778789">
            <w:pPr>
              <w:widowControl/>
              <w:ind w:firstLine="0" w:firstLineChars="0"/>
              <w:textAlignment w:val="center"/>
              <w:rPr>
                <w:rFonts w:cs="宋体"/>
                <w:color w:val="000000"/>
                <w:kern w:val="0"/>
                <w:szCs w:val="21"/>
                <w:lang w:bidi="ar"/>
              </w:rPr>
            </w:pPr>
          </w:p>
        </w:tc>
        <w:tc>
          <w:tcPr>
            <w:tcW w:w="4016" w:type="pct"/>
            <w:vAlign w:val="center"/>
          </w:tcPr>
          <w:p w14:paraId="631613E0">
            <w:pPr>
              <w:widowControl/>
              <w:ind w:firstLine="0" w:firstLineChars="0"/>
              <w:textAlignment w:val="center"/>
              <w:rPr>
                <w:rFonts w:cs="宋体"/>
                <w:color w:val="000000"/>
                <w:kern w:val="0"/>
                <w:szCs w:val="21"/>
                <w:lang w:bidi="ar"/>
              </w:rPr>
            </w:pPr>
            <w:r>
              <w:rPr>
                <w:rFonts w:hint="eastAsia" w:cs="宋体"/>
                <w:color w:val="000000"/>
                <w:kern w:val="0"/>
                <w:szCs w:val="21"/>
                <w:lang w:bidi="ar"/>
              </w:rPr>
              <w:t>▲安全架构需符合CSA定义的SDP规范，采用客户端+控制器+网关的SDP安全架构，控制流和数据流分离。</w:t>
            </w:r>
          </w:p>
        </w:tc>
      </w:tr>
      <w:tr w14:paraId="65E9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07D9BA35">
            <w:pPr>
              <w:widowControl/>
              <w:ind w:firstLine="0" w:firstLineChars="0"/>
              <w:textAlignment w:val="center"/>
              <w:rPr>
                <w:rFonts w:cs="宋体"/>
                <w:color w:val="000000"/>
                <w:kern w:val="0"/>
                <w:szCs w:val="21"/>
                <w:lang w:bidi="ar"/>
              </w:rPr>
            </w:pPr>
          </w:p>
        </w:tc>
        <w:tc>
          <w:tcPr>
            <w:tcW w:w="4016" w:type="pct"/>
            <w:vAlign w:val="center"/>
          </w:tcPr>
          <w:p w14:paraId="2BE85DB3">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支持移动端Android设备安全接入功能，可通过互联网安全访问内网业务系统。</w:t>
            </w:r>
          </w:p>
        </w:tc>
      </w:tr>
      <w:tr w14:paraId="136E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7EFD8C2">
            <w:pPr>
              <w:widowControl/>
              <w:ind w:firstLine="0" w:firstLineChars="0"/>
              <w:textAlignment w:val="center"/>
              <w:rPr>
                <w:rFonts w:cs="宋体"/>
                <w:color w:val="000000"/>
                <w:kern w:val="0"/>
                <w:szCs w:val="21"/>
                <w:lang w:bidi="ar"/>
              </w:rPr>
            </w:pPr>
          </w:p>
        </w:tc>
        <w:tc>
          <w:tcPr>
            <w:tcW w:w="4016" w:type="pct"/>
            <w:vAlign w:val="center"/>
          </w:tcPr>
          <w:p w14:paraId="5D964077">
            <w:pPr>
              <w:widowControl/>
              <w:ind w:firstLine="0" w:firstLineChars="0"/>
              <w:textAlignment w:val="center"/>
              <w:rPr>
                <w:rFonts w:cs="宋体"/>
                <w:color w:val="000000"/>
                <w:kern w:val="0"/>
                <w:szCs w:val="21"/>
                <w:lang w:bidi="ar"/>
              </w:rPr>
            </w:pPr>
            <w:r>
              <w:rPr>
                <w:rFonts w:hint="eastAsia" w:cs="宋体"/>
                <w:color w:val="000000"/>
                <w:kern w:val="0"/>
                <w:szCs w:val="21"/>
                <w:lang w:bidi="ar"/>
              </w:rPr>
              <w:t>使用SPA单包授权技术，仅通过认证的用户才能通过网关正常访问业务，减少互联网暴露面，降低恶意攻击和入侵风险</w:t>
            </w:r>
          </w:p>
        </w:tc>
      </w:tr>
      <w:tr w14:paraId="1E0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08527C2C">
            <w:pPr>
              <w:widowControl/>
              <w:ind w:firstLine="0" w:firstLineChars="0"/>
              <w:textAlignment w:val="center"/>
              <w:rPr>
                <w:rFonts w:cs="宋体"/>
                <w:color w:val="000000"/>
                <w:kern w:val="0"/>
                <w:szCs w:val="21"/>
                <w:lang w:bidi="ar"/>
              </w:rPr>
            </w:pPr>
          </w:p>
        </w:tc>
        <w:tc>
          <w:tcPr>
            <w:tcW w:w="4016" w:type="pct"/>
            <w:vAlign w:val="center"/>
          </w:tcPr>
          <w:p w14:paraId="79D25EBC">
            <w:pPr>
              <w:widowControl/>
              <w:ind w:firstLine="0" w:firstLineChars="0"/>
              <w:textAlignment w:val="center"/>
              <w:rPr>
                <w:rFonts w:cs="宋体"/>
                <w:color w:val="000000"/>
                <w:kern w:val="0"/>
                <w:szCs w:val="21"/>
                <w:lang w:bidi="ar"/>
              </w:rPr>
            </w:pPr>
            <w:r>
              <w:rPr>
                <w:rFonts w:hint="eastAsia" w:cs="宋体"/>
                <w:color w:val="000000"/>
                <w:kern w:val="0"/>
                <w:szCs w:val="21"/>
                <w:lang w:bidi="ar"/>
              </w:rPr>
              <w:t>SPA消息通过UDP协议敲门，控制器仅需开放一个UDP端口，避免开放TCP端口容易被扫描和攻击的问题。</w:t>
            </w:r>
          </w:p>
        </w:tc>
      </w:tr>
      <w:tr w14:paraId="011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17D67614">
            <w:pPr>
              <w:widowControl/>
              <w:ind w:firstLine="0" w:firstLineChars="0"/>
              <w:textAlignment w:val="center"/>
              <w:rPr>
                <w:rFonts w:cs="宋体"/>
                <w:color w:val="000000"/>
                <w:kern w:val="0"/>
                <w:szCs w:val="21"/>
                <w:lang w:bidi="ar"/>
              </w:rPr>
            </w:pPr>
          </w:p>
        </w:tc>
        <w:tc>
          <w:tcPr>
            <w:tcW w:w="4016" w:type="pct"/>
            <w:vAlign w:val="center"/>
          </w:tcPr>
          <w:p w14:paraId="3FA0B148">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支持移动端接入限制，例如单设备绑定：用户仅登录绑定一个移动端/PC端设备；自动踢除：用户新登录移动端/PC端设备踢除上一个设备下线</w:t>
            </w:r>
          </w:p>
        </w:tc>
      </w:tr>
      <w:tr w14:paraId="4A1C4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70929FB4">
            <w:pPr>
              <w:widowControl/>
              <w:ind w:firstLine="0" w:firstLineChars="0"/>
              <w:textAlignment w:val="center"/>
              <w:rPr>
                <w:rFonts w:cs="宋体"/>
                <w:color w:val="000000"/>
                <w:kern w:val="0"/>
                <w:szCs w:val="21"/>
                <w:lang w:bidi="ar"/>
              </w:rPr>
            </w:pPr>
          </w:p>
        </w:tc>
        <w:tc>
          <w:tcPr>
            <w:tcW w:w="4016" w:type="pct"/>
            <w:vAlign w:val="center"/>
          </w:tcPr>
          <w:p w14:paraId="12370E80">
            <w:pPr>
              <w:widowControl/>
              <w:ind w:firstLine="0" w:firstLineChars="0"/>
              <w:textAlignment w:val="center"/>
              <w:rPr>
                <w:rFonts w:cs="宋体"/>
                <w:color w:val="000000"/>
                <w:kern w:val="0"/>
                <w:szCs w:val="21"/>
                <w:lang w:bidi="ar"/>
              </w:rPr>
            </w:pPr>
            <w:r>
              <w:rPr>
                <w:rFonts w:hint="eastAsia" w:cs="宋体"/>
                <w:color w:val="000000"/>
                <w:kern w:val="0"/>
                <w:szCs w:val="21"/>
                <w:lang w:bidi="ar"/>
              </w:rPr>
              <w:t>当登录的设备不是上次使用的设备时，需使用短信验证码等方式进行身份二次认证</w:t>
            </w:r>
          </w:p>
        </w:tc>
      </w:tr>
      <w:tr w14:paraId="052A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06ED0951">
            <w:pPr>
              <w:widowControl/>
              <w:ind w:firstLine="0" w:firstLineChars="0"/>
              <w:textAlignment w:val="center"/>
              <w:rPr>
                <w:rFonts w:cs="宋体"/>
                <w:color w:val="000000"/>
                <w:kern w:val="0"/>
                <w:szCs w:val="21"/>
                <w:lang w:bidi="ar"/>
              </w:rPr>
            </w:pPr>
          </w:p>
        </w:tc>
        <w:tc>
          <w:tcPr>
            <w:tcW w:w="4016" w:type="pct"/>
            <w:vAlign w:val="center"/>
          </w:tcPr>
          <w:p w14:paraId="425FDEC7">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支持应用级接入，仅允许终端的上的指定APP通过SDP隧道访问业务服务，且认证阶段是采用的是临时密钥机制</w:t>
            </w:r>
          </w:p>
        </w:tc>
      </w:tr>
      <w:tr w14:paraId="2FEF4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02882417">
            <w:pPr>
              <w:widowControl/>
              <w:ind w:firstLine="0" w:firstLineChars="0"/>
              <w:textAlignment w:val="center"/>
              <w:rPr>
                <w:rFonts w:cs="宋体"/>
                <w:color w:val="000000"/>
                <w:kern w:val="0"/>
                <w:szCs w:val="21"/>
                <w:lang w:bidi="ar"/>
              </w:rPr>
            </w:pPr>
          </w:p>
        </w:tc>
        <w:tc>
          <w:tcPr>
            <w:tcW w:w="4016" w:type="pct"/>
            <w:vAlign w:val="center"/>
          </w:tcPr>
          <w:p w14:paraId="4E66771D">
            <w:pPr>
              <w:widowControl/>
              <w:ind w:firstLine="0" w:firstLineChars="0"/>
              <w:textAlignment w:val="center"/>
              <w:rPr>
                <w:rFonts w:cs="宋体"/>
                <w:color w:val="000000"/>
                <w:kern w:val="0"/>
                <w:szCs w:val="21"/>
                <w:lang w:bidi="ar"/>
              </w:rPr>
            </w:pPr>
            <w:r>
              <w:rPr>
                <w:rFonts w:hint="eastAsia" w:cs="宋体"/>
                <w:color w:val="000000"/>
                <w:kern w:val="0"/>
                <w:szCs w:val="21"/>
                <w:lang w:bidi="ar"/>
              </w:rPr>
              <w:t>可根据用户状态、时间、位置、网络、设备类型、IP地址等信息综合评估定义访问权限，根据评估结果可基于虚拟组、组织架构、用户做最小化授权。</w:t>
            </w:r>
          </w:p>
        </w:tc>
      </w:tr>
      <w:tr w14:paraId="211B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22AC8006">
            <w:pPr>
              <w:widowControl/>
              <w:ind w:firstLine="0" w:firstLineChars="0"/>
              <w:textAlignment w:val="center"/>
              <w:rPr>
                <w:rFonts w:cs="宋体"/>
                <w:color w:val="000000"/>
                <w:kern w:val="0"/>
                <w:szCs w:val="21"/>
                <w:lang w:bidi="ar"/>
              </w:rPr>
            </w:pPr>
          </w:p>
        </w:tc>
        <w:tc>
          <w:tcPr>
            <w:tcW w:w="4016" w:type="pct"/>
            <w:vAlign w:val="center"/>
          </w:tcPr>
          <w:p w14:paraId="106CA457">
            <w:pPr>
              <w:widowControl/>
              <w:ind w:firstLine="0" w:firstLineChars="0"/>
              <w:textAlignment w:val="center"/>
              <w:rPr>
                <w:rFonts w:cs="宋体"/>
                <w:color w:val="000000"/>
                <w:kern w:val="0"/>
                <w:szCs w:val="21"/>
                <w:lang w:bidi="ar"/>
              </w:rPr>
            </w:pPr>
            <w:r>
              <w:rPr>
                <w:rFonts w:hint="eastAsia" w:cs="宋体"/>
                <w:color w:val="000000"/>
                <w:kern w:val="0"/>
                <w:szCs w:val="21"/>
                <w:lang w:bidi="ar"/>
              </w:rPr>
              <w:t>对访客等外部用户，可以设置临时访问的时间段，如配置6月1日～6月3日期间可以访问，到期权限自动失效。</w:t>
            </w:r>
          </w:p>
        </w:tc>
      </w:tr>
      <w:tr w14:paraId="6D9F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0F0893C9">
            <w:pPr>
              <w:widowControl/>
              <w:ind w:firstLine="0" w:firstLineChars="0"/>
              <w:textAlignment w:val="center"/>
              <w:rPr>
                <w:rFonts w:cs="宋体"/>
                <w:color w:val="000000"/>
                <w:kern w:val="0"/>
                <w:szCs w:val="21"/>
                <w:lang w:bidi="ar"/>
              </w:rPr>
            </w:pPr>
          </w:p>
        </w:tc>
        <w:tc>
          <w:tcPr>
            <w:tcW w:w="4016" w:type="pct"/>
            <w:vAlign w:val="center"/>
          </w:tcPr>
          <w:p w14:paraId="7AE0DFED">
            <w:pPr>
              <w:widowControl/>
              <w:ind w:firstLine="0" w:firstLineChars="0"/>
              <w:textAlignment w:val="center"/>
              <w:rPr>
                <w:rFonts w:cs="宋体"/>
                <w:color w:val="000000"/>
                <w:kern w:val="0"/>
                <w:szCs w:val="21"/>
                <w:lang w:bidi="ar"/>
              </w:rPr>
            </w:pPr>
            <w:r>
              <w:rPr>
                <w:rFonts w:hint="eastAsia" w:cs="宋体"/>
                <w:color w:val="000000"/>
                <w:kern w:val="0"/>
                <w:szCs w:val="21"/>
                <w:lang w:bidi="ar"/>
              </w:rPr>
              <w:t>即使网关处于连接状态，但不访问数据时，隧道自身应不占用带宽、处理器等资源。</w:t>
            </w:r>
          </w:p>
        </w:tc>
      </w:tr>
      <w:tr w14:paraId="5D81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001E463">
            <w:pPr>
              <w:widowControl/>
              <w:ind w:firstLine="0" w:firstLineChars="0"/>
              <w:textAlignment w:val="center"/>
              <w:rPr>
                <w:rFonts w:cs="宋体"/>
                <w:color w:val="000000"/>
                <w:kern w:val="0"/>
                <w:szCs w:val="21"/>
                <w:lang w:bidi="ar"/>
              </w:rPr>
            </w:pPr>
          </w:p>
        </w:tc>
        <w:tc>
          <w:tcPr>
            <w:tcW w:w="4016" w:type="pct"/>
            <w:vAlign w:val="center"/>
          </w:tcPr>
          <w:p w14:paraId="0D351DBE">
            <w:pPr>
              <w:widowControl/>
              <w:ind w:firstLine="0" w:firstLineChars="0"/>
              <w:textAlignment w:val="center"/>
              <w:rPr>
                <w:rFonts w:cs="宋体"/>
                <w:color w:val="000000"/>
                <w:kern w:val="0"/>
                <w:szCs w:val="21"/>
                <w:lang w:bidi="ar"/>
              </w:rPr>
            </w:pPr>
            <w:r>
              <w:rPr>
                <w:rFonts w:hint="eastAsia" w:cs="宋体"/>
                <w:color w:val="000000"/>
                <w:kern w:val="0"/>
                <w:szCs w:val="21"/>
                <w:lang w:bidi="ar"/>
              </w:rPr>
              <w:t>为了保证spa的兼容性，不能在网络协议中附加option字段，如ip option、tcp option等，需保证敲门信息不被防火墙、路由器等设备过滤掉。</w:t>
            </w:r>
          </w:p>
        </w:tc>
      </w:tr>
      <w:tr w14:paraId="2EBC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3FD71E11">
            <w:pPr>
              <w:widowControl/>
              <w:ind w:firstLine="0" w:firstLineChars="0"/>
              <w:textAlignment w:val="center"/>
              <w:rPr>
                <w:rFonts w:cs="宋体"/>
                <w:color w:val="000000"/>
                <w:kern w:val="0"/>
                <w:szCs w:val="21"/>
                <w:lang w:bidi="ar"/>
              </w:rPr>
            </w:pPr>
          </w:p>
        </w:tc>
        <w:tc>
          <w:tcPr>
            <w:tcW w:w="4016" w:type="pct"/>
            <w:vAlign w:val="center"/>
          </w:tcPr>
          <w:p w14:paraId="4B01B6B1">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支持异常和攻击行为的IP统一展示和管理，可查看IP的攻击行为记录，可对IP进行解锁管理</w:t>
            </w:r>
          </w:p>
        </w:tc>
      </w:tr>
      <w:tr w14:paraId="237B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56CCA671">
            <w:pPr>
              <w:widowControl/>
              <w:ind w:firstLine="0" w:firstLineChars="0"/>
              <w:textAlignment w:val="center"/>
              <w:rPr>
                <w:rFonts w:cs="宋体"/>
                <w:color w:val="000000"/>
                <w:kern w:val="0"/>
                <w:szCs w:val="21"/>
                <w:lang w:bidi="ar"/>
              </w:rPr>
            </w:pPr>
          </w:p>
        </w:tc>
        <w:tc>
          <w:tcPr>
            <w:tcW w:w="4016" w:type="pct"/>
            <w:vAlign w:val="center"/>
          </w:tcPr>
          <w:p w14:paraId="170B0C18">
            <w:pPr>
              <w:widowControl/>
              <w:ind w:firstLine="0" w:firstLineChars="0"/>
              <w:textAlignment w:val="center"/>
              <w:rPr>
                <w:rFonts w:cs="宋体"/>
                <w:color w:val="000000"/>
                <w:kern w:val="0"/>
                <w:szCs w:val="21"/>
                <w:lang w:bidi="ar"/>
              </w:rPr>
            </w:pPr>
            <w:r>
              <w:rPr>
                <w:rFonts w:hint="eastAsia" w:cs="宋体"/>
                <w:color w:val="000000"/>
                <w:kern w:val="0"/>
                <w:szCs w:val="21"/>
                <w:lang w:bidi="ar"/>
              </w:rPr>
              <w:t>高性能隧道：SDP隧道处于连接状态，但不访问数据时，隧道自身应不占用带宽、处理器等资源</w:t>
            </w:r>
          </w:p>
        </w:tc>
      </w:tr>
      <w:tr w14:paraId="5855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35C5CB7B">
            <w:pPr>
              <w:widowControl/>
              <w:ind w:firstLine="0" w:firstLineChars="0"/>
              <w:textAlignment w:val="center"/>
              <w:rPr>
                <w:rFonts w:cs="宋体"/>
                <w:color w:val="000000"/>
                <w:kern w:val="0"/>
                <w:szCs w:val="21"/>
                <w:lang w:bidi="ar"/>
              </w:rPr>
            </w:pPr>
          </w:p>
        </w:tc>
        <w:tc>
          <w:tcPr>
            <w:tcW w:w="4016" w:type="pct"/>
            <w:vAlign w:val="center"/>
          </w:tcPr>
          <w:p w14:paraId="0E6764C7">
            <w:pPr>
              <w:widowControl/>
              <w:ind w:firstLine="0" w:firstLineChars="0"/>
              <w:textAlignment w:val="center"/>
              <w:rPr>
                <w:rFonts w:cs="宋体"/>
                <w:color w:val="000000"/>
                <w:kern w:val="0"/>
                <w:szCs w:val="21"/>
                <w:lang w:bidi="ar"/>
              </w:rPr>
            </w:pPr>
            <w:r>
              <w:rPr>
                <w:rFonts w:hint="eastAsia" w:cs="宋体"/>
                <w:color w:val="000000"/>
                <w:kern w:val="0"/>
                <w:szCs w:val="21"/>
                <w:lang w:bidi="ar"/>
              </w:rPr>
              <w:t>多类型业务系统支持：支持发布TCP及UDP协议的资源，包括但不限于HTTP/HTTPS、FTP、TELNET、RDP、SMTP/POP3邮箱等，支持各类B/S、C/S架构应用通过安全隧道访问业务应用</w:t>
            </w:r>
          </w:p>
        </w:tc>
      </w:tr>
      <w:tr w14:paraId="1788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414E866F">
            <w:pPr>
              <w:widowControl/>
              <w:ind w:firstLine="0" w:firstLineChars="0"/>
              <w:textAlignment w:val="center"/>
              <w:rPr>
                <w:rFonts w:cs="宋体"/>
                <w:color w:val="000000"/>
                <w:kern w:val="0"/>
                <w:szCs w:val="21"/>
                <w:lang w:bidi="ar"/>
              </w:rPr>
            </w:pPr>
          </w:p>
        </w:tc>
        <w:tc>
          <w:tcPr>
            <w:tcW w:w="4016" w:type="pct"/>
            <w:vAlign w:val="center"/>
          </w:tcPr>
          <w:p w14:paraId="08A774D8">
            <w:pPr>
              <w:widowControl/>
              <w:ind w:firstLine="0" w:firstLineChars="0"/>
              <w:textAlignment w:val="center"/>
              <w:rPr>
                <w:rFonts w:cs="宋体"/>
                <w:color w:val="000000"/>
                <w:kern w:val="0"/>
                <w:szCs w:val="21"/>
                <w:lang w:bidi="ar"/>
              </w:rPr>
            </w:pPr>
            <w:r>
              <w:rPr>
                <w:rFonts w:hint="eastAsia" w:cs="宋体"/>
                <w:color w:val="000000"/>
                <w:kern w:val="0"/>
                <w:szCs w:val="21"/>
                <w:lang w:bidi="ar"/>
              </w:rPr>
              <w:t>针对风险接入可以追加二次验证，风险接入包括：新设备登录、非常用的登录、非指定IP的登录、非连续性登录、非指定时间登录等</w:t>
            </w:r>
          </w:p>
        </w:tc>
      </w:tr>
      <w:tr w14:paraId="1998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2060F3D6">
            <w:pPr>
              <w:widowControl/>
              <w:ind w:firstLine="0" w:firstLineChars="0"/>
              <w:textAlignment w:val="center"/>
              <w:rPr>
                <w:rFonts w:cs="宋体"/>
                <w:color w:val="000000"/>
                <w:kern w:val="0"/>
                <w:szCs w:val="21"/>
                <w:lang w:bidi="ar"/>
              </w:rPr>
            </w:pPr>
          </w:p>
        </w:tc>
        <w:tc>
          <w:tcPr>
            <w:tcW w:w="4016" w:type="pct"/>
            <w:vAlign w:val="center"/>
          </w:tcPr>
          <w:p w14:paraId="2C1483A5">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支持在同一后台管理多地数据中心的网关，并支持多地网关工作状态的直观展示</w:t>
            </w:r>
          </w:p>
        </w:tc>
      </w:tr>
      <w:tr w14:paraId="15BD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2B18F5F1">
            <w:pPr>
              <w:widowControl/>
              <w:ind w:firstLine="0" w:firstLineChars="0"/>
              <w:textAlignment w:val="center"/>
              <w:rPr>
                <w:rFonts w:cs="宋体"/>
                <w:color w:val="000000"/>
                <w:kern w:val="0"/>
                <w:szCs w:val="21"/>
                <w:lang w:bidi="ar"/>
              </w:rPr>
            </w:pPr>
          </w:p>
        </w:tc>
        <w:tc>
          <w:tcPr>
            <w:tcW w:w="4016" w:type="pct"/>
            <w:vAlign w:val="center"/>
          </w:tcPr>
          <w:p w14:paraId="360D6AB0">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支持指定网关接入功能，在控制器集群部署或异地部署的情况下，支持为不同控制器分配不同的网关。</w:t>
            </w:r>
          </w:p>
        </w:tc>
      </w:tr>
      <w:tr w14:paraId="7F4A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7E6D1A0">
            <w:pPr>
              <w:widowControl/>
              <w:ind w:firstLine="0" w:firstLineChars="0"/>
              <w:textAlignment w:val="center"/>
              <w:rPr>
                <w:rFonts w:cs="宋体"/>
                <w:color w:val="000000"/>
                <w:kern w:val="0"/>
                <w:szCs w:val="21"/>
                <w:lang w:bidi="ar"/>
              </w:rPr>
            </w:pPr>
          </w:p>
        </w:tc>
        <w:tc>
          <w:tcPr>
            <w:tcW w:w="4016" w:type="pct"/>
            <w:vAlign w:val="center"/>
          </w:tcPr>
          <w:p w14:paraId="0B422D49">
            <w:pPr>
              <w:widowControl/>
              <w:ind w:firstLine="0" w:firstLineChars="0"/>
              <w:textAlignment w:val="center"/>
              <w:rPr>
                <w:rFonts w:cs="宋体"/>
                <w:color w:val="000000"/>
                <w:kern w:val="0"/>
                <w:szCs w:val="21"/>
                <w:lang w:bidi="ar"/>
              </w:rPr>
            </w:pPr>
            <w:r>
              <w:rPr>
                <w:rFonts w:hint="eastAsia" w:cs="宋体"/>
                <w:color w:val="000000"/>
                <w:kern w:val="0"/>
                <w:szCs w:val="21"/>
                <w:lang w:bidi="ar"/>
              </w:rPr>
              <w:t>平台需支持多种域名解析方式，支持自带私有域名解析、通过第三方DNS解析以及混合使用场景。</w:t>
            </w:r>
          </w:p>
        </w:tc>
      </w:tr>
      <w:tr w14:paraId="4E9E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D89371D">
            <w:pPr>
              <w:widowControl/>
              <w:ind w:firstLine="0" w:firstLineChars="0"/>
              <w:textAlignment w:val="center"/>
              <w:rPr>
                <w:rFonts w:cs="宋体"/>
                <w:color w:val="000000"/>
                <w:kern w:val="0"/>
                <w:szCs w:val="21"/>
                <w:lang w:bidi="ar"/>
              </w:rPr>
            </w:pPr>
          </w:p>
        </w:tc>
        <w:tc>
          <w:tcPr>
            <w:tcW w:w="4016" w:type="pct"/>
            <w:vAlign w:val="center"/>
          </w:tcPr>
          <w:p w14:paraId="7395A54F">
            <w:pPr>
              <w:widowControl/>
              <w:ind w:firstLine="0" w:firstLineChars="0"/>
              <w:textAlignment w:val="center"/>
              <w:rPr>
                <w:rFonts w:cs="宋体"/>
                <w:color w:val="000000"/>
                <w:kern w:val="0"/>
                <w:szCs w:val="21"/>
                <w:lang w:bidi="ar"/>
              </w:rPr>
            </w:pPr>
            <w:r>
              <w:rPr>
                <w:rFonts w:hint="eastAsia" w:cs="宋体"/>
                <w:color w:val="000000"/>
                <w:kern w:val="0"/>
                <w:szCs w:val="21"/>
                <w:lang w:bidi="ar"/>
              </w:rPr>
              <w:t>安全隧道支持将客户端的虚拟IP透传给业务系统，业务系统可以使用虚拟IP进行溯源和审计</w:t>
            </w:r>
          </w:p>
        </w:tc>
      </w:tr>
      <w:tr w14:paraId="340B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9210178">
            <w:pPr>
              <w:widowControl/>
              <w:ind w:firstLine="0" w:firstLineChars="0"/>
              <w:textAlignment w:val="center"/>
              <w:rPr>
                <w:rFonts w:cs="宋体"/>
                <w:color w:val="000000"/>
                <w:kern w:val="0"/>
                <w:szCs w:val="21"/>
                <w:lang w:bidi="ar"/>
              </w:rPr>
            </w:pPr>
          </w:p>
        </w:tc>
        <w:tc>
          <w:tcPr>
            <w:tcW w:w="4016" w:type="pct"/>
            <w:vAlign w:val="center"/>
          </w:tcPr>
          <w:p w14:paraId="6030A4AB">
            <w:pPr>
              <w:widowControl/>
              <w:ind w:firstLine="0" w:firstLineChars="0"/>
              <w:textAlignment w:val="center"/>
              <w:rPr>
                <w:rFonts w:cs="宋体"/>
                <w:color w:val="000000"/>
                <w:kern w:val="0"/>
                <w:szCs w:val="21"/>
                <w:lang w:bidi="ar"/>
              </w:rPr>
            </w:pPr>
            <w:r>
              <w:rPr>
                <w:rFonts w:hint="eastAsia" w:cs="宋体"/>
                <w:color w:val="000000"/>
                <w:kern w:val="0"/>
                <w:szCs w:val="21"/>
                <w:lang w:bidi="ar"/>
              </w:rPr>
              <w:t>即使网关处于连接状态，但不访问数据时，隧道自身应不占用带宽、处理器等资源</w:t>
            </w:r>
          </w:p>
        </w:tc>
      </w:tr>
      <w:tr w14:paraId="7EF2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75004AB9">
            <w:pPr>
              <w:widowControl/>
              <w:ind w:firstLine="0" w:firstLineChars="0"/>
              <w:textAlignment w:val="center"/>
              <w:rPr>
                <w:rFonts w:cs="宋体"/>
                <w:color w:val="000000"/>
                <w:kern w:val="0"/>
                <w:szCs w:val="21"/>
                <w:lang w:bidi="ar"/>
              </w:rPr>
            </w:pPr>
          </w:p>
        </w:tc>
        <w:tc>
          <w:tcPr>
            <w:tcW w:w="4016" w:type="pct"/>
            <w:vAlign w:val="center"/>
          </w:tcPr>
          <w:p w14:paraId="4F76C53B">
            <w:pPr>
              <w:widowControl/>
              <w:ind w:firstLine="0" w:firstLineChars="0"/>
              <w:textAlignment w:val="center"/>
              <w:rPr>
                <w:rFonts w:cs="宋体"/>
                <w:color w:val="000000"/>
                <w:kern w:val="0"/>
                <w:szCs w:val="21"/>
                <w:lang w:bidi="ar"/>
              </w:rPr>
            </w:pPr>
            <w:r>
              <w:rPr>
                <w:rFonts w:hint="eastAsia" w:cs="宋体"/>
                <w:color w:val="000000"/>
                <w:kern w:val="0"/>
                <w:szCs w:val="21"/>
                <w:lang w:bidi="ar"/>
              </w:rPr>
              <w:t>展示SDP系统攻击、接入、流量的统计和分析信息，动态显示攻击走向和流量走向</w:t>
            </w:r>
          </w:p>
        </w:tc>
      </w:tr>
      <w:tr w14:paraId="549A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983" w:type="pct"/>
            <w:vMerge w:val="continue"/>
            <w:vAlign w:val="center"/>
          </w:tcPr>
          <w:p w14:paraId="313DC103">
            <w:pPr>
              <w:widowControl/>
              <w:ind w:firstLine="0" w:firstLineChars="0"/>
              <w:textAlignment w:val="center"/>
              <w:rPr>
                <w:rFonts w:cs="宋体"/>
                <w:color w:val="000000"/>
                <w:kern w:val="0"/>
                <w:szCs w:val="21"/>
                <w:lang w:bidi="ar"/>
              </w:rPr>
            </w:pPr>
          </w:p>
        </w:tc>
        <w:tc>
          <w:tcPr>
            <w:tcW w:w="4016" w:type="pct"/>
            <w:vAlign w:val="center"/>
          </w:tcPr>
          <w:p w14:paraId="3BDFE889">
            <w:pPr>
              <w:widowControl/>
              <w:ind w:firstLine="0" w:firstLineChars="0"/>
              <w:textAlignment w:val="center"/>
              <w:rPr>
                <w:rFonts w:cs="宋体"/>
                <w:color w:val="000000"/>
                <w:kern w:val="0"/>
                <w:szCs w:val="21"/>
                <w:lang w:bidi="ar"/>
              </w:rPr>
            </w:pPr>
            <w:r>
              <w:rPr>
                <w:rFonts w:hint="eastAsia" w:cs="宋体"/>
                <w:color w:val="000000"/>
                <w:kern w:val="0"/>
                <w:szCs w:val="21"/>
                <w:lang w:bidi="ar"/>
              </w:rPr>
              <w:t>通信隧道密钥加密采用高安全的加密算法，临时密钥机制，周期性更新认证/隧道临时密钥，保证通信密钥的安全性。报文使用临时密钥签名，无法在传输过程篡改，数据检验有误将丢弃异常的数据包，也避免防重放攻击。</w:t>
            </w:r>
          </w:p>
        </w:tc>
      </w:tr>
      <w:tr w14:paraId="31B40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2DA8497">
            <w:pPr>
              <w:widowControl/>
              <w:ind w:firstLine="0" w:firstLineChars="0"/>
              <w:textAlignment w:val="center"/>
              <w:rPr>
                <w:rFonts w:cs="宋体"/>
                <w:color w:val="000000"/>
                <w:kern w:val="0"/>
                <w:szCs w:val="21"/>
                <w:lang w:bidi="ar"/>
              </w:rPr>
            </w:pPr>
          </w:p>
        </w:tc>
        <w:tc>
          <w:tcPr>
            <w:tcW w:w="4016" w:type="pct"/>
            <w:vAlign w:val="center"/>
          </w:tcPr>
          <w:p w14:paraId="6559F4D1">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支持私有化域名解析，无需配置互联网域名解析的前提下，可为内网用户提供私有化域名解析访问内网应用，不改变用户之前的使用习惯。</w:t>
            </w:r>
          </w:p>
        </w:tc>
      </w:tr>
      <w:tr w14:paraId="35E6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A74A8C3">
            <w:pPr>
              <w:widowControl/>
              <w:ind w:firstLine="0" w:firstLineChars="0"/>
              <w:textAlignment w:val="center"/>
              <w:rPr>
                <w:rFonts w:cs="宋体"/>
                <w:color w:val="000000"/>
                <w:kern w:val="0"/>
                <w:szCs w:val="21"/>
                <w:lang w:bidi="ar"/>
              </w:rPr>
            </w:pPr>
          </w:p>
        </w:tc>
        <w:tc>
          <w:tcPr>
            <w:tcW w:w="4016" w:type="pct"/>
            <w:vAlign w:val="center"/>
          </w:tcPr>
          <w:p w14:paraId="273E4D16">
            <w:pPr>
              <w:widowControl/>
              <w:ind w:firstLine="0" w:firstLineChars="0"/>
              <w:textAlignment w:val="center"/>
              <w:rPr>
                <w:rFonts w:cs="宋体"/>
                <w:color w:val="000000"/>
                <w:kern w:val="0"/>
                <w:szCs w:val="21"/>
                <w:lang w:bidi="ar"/>
              </w:rPr>
            </w:pPr>
            <w:r>
              <w:rPr>
                <w:rFonts w:hint="eastAsia" w:cs="宋体"/>
                <w:color w:val="000000"/>
                <w:kern w:val="0"/>
                <w:szCs w:val="21"/>
                <w:lang w:bidi="ar"/>
              </w:rPr>
              <w:t>支持管理员密码复杂度设置、管理页面会话有效期设置、管理后台接入白名单等，保证管理后台的安全性。</w:t>
            </w:r>
          </w:p>
        </w:tc>
      </w:tr>
      <w:tr w14:paraId="6E0F2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0CE57A94">
            <w:pPr>
              <w:widowControl/>
              <w:ind w:firstLine="0" w:firstLineChars="0"/>
              <w:textAlignment w:val="center"/>
              <w:rPr>
                <w:rFonts w:cs="宋体"/>
                <w:color w:val="000000"/>
                <w:kern w:val="0"/>
                <w:szCs w:val="21"/>
                <w:lang w:bidi="ar"/>
              </w:rPr>
            </w:pPr>
          </w:p>
        </w:tc>
        <w:tc>
          <w:tcPr>
            <w:tcW w:w="4016" w:type="pct"/>
            <w:vAlign w:val="center"/>
          </w:tcPr>
          <w:p w14:paraId="664797F8">
            <w:pPr>
              <w:widowControl/>
              <w:ind w:firstLine="0" w:firstLineChars="0"/>
              <w:textAlignment w:val="center"/>
              <w:rPr>
                <w:rFonts w:cs="宋体"/>
                <w:color w:val="000000"/>
                <w:kern w:val="0"/>
                <w:szCs w:val="21"/>
                <w:lang w:bidi="ar"/>
              </w:rPr>
            </w:pPr>
            <w:r>
              <w:rPr>
                <w:rFonts w:hint="eastAsia" w:cs="宋体"/>
                <w:color w:val="000000"/>
                <w:kern w:val="0"/>
                <w:szCs w:val="21"/>
                <w:lang w:bidi="ar"/>
              </w:rPr>
              <w:t>可提供安全接入和移动应用安全防护SDK包并做集成</w:t>
            </w:r>
          </w:p>
        </w:tc>
      </w:tr>
      <w:tr w14:paraId="50A3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restart"/>
            <w:vAlign w:val="center"/>
          </w:tcPr>
          <w:p w14:paraId="4C863BEC">
            <w:pPr>
              <w:widowControl/>
              <w:ind w:firstLine="0" w:firstLineChars="0"/>
              <w:textAlignment w:val="center"/>
              <w:rPr>
                <w:rFonts w:cs="宋体"/>
                <w:color w:val="000000"/>
                <w:kern w:val="0"/>
                <w:szCs w:val="21"/>
                <w:lang w:bidi="ar"/>
              </w:rPr>
            </w:pPr>
            <w:r>
              <w:rPr>
                <w:rFonts w:hint="eastAsia" w:cs="宋体"/>
                <w:color w:val="000000"/>
                <w:kern w:val="0"/>
                <w:szCs w:val="21"/>
                <w:lang w:bidi="ar"/>
              </w:rPr>
              <w:t>资质要求</w:t>
            </w:r>
          </w:p>
        </w:tc>
        <w:tc>
          <w:tcPr>
            <w:tcW w:w="4016" w:type="pct"/>
            <w:vAlign w:val="center"/>
          </w:tcPr>
          <w:p w14:paraId="6A5B4DDB">
            <w:pPr>
              <w:widowControl/>
              <w:ind w:firstLine="0" w:firstLineChars="0"/>
              <w:textAlignment w:val="center"/>
              <w:rPr>
                <w:rFonts w:cs="宋体"/>
                <w:color w:val="000000"/>
                <w:kern w:val="0"/>
                <w:szCs w:val="21"/>
                <w:lang w:bidi="ar"/>
              </w:rPr>
            </w:pPr>
            <w:r>
              <w:rPr>
                <w:rFonts w:hint="eastAsia" w:cs="宋体"/>
                <w:color w:val="000000"/>
                <w:kern w:val="0"/>
                <w:szCs w:val="21"/>
                <w:lang w:bidi="ar"/>
              </w:rPr>
              <w:t>成熟度：供应商提供的应用软件必须是先进、成熟、安全可靠的商业化软件产品，其技术路线和实现方式清晰，符合网络安全、移动信息化的发展趋势，可进行弹性扩展，强内聚松耦合，适应未来业务发展战略和方向。原厂商拥有自主知识产权，能够提供自主知识产权证书。</w:t>
            </w:r>
          </w:p>
        </w:tc>
      </w:tr>
      <w:tr w14:paraId="425E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116E1535">
            <w:pPr>
              <w:widowControl/>
              <w:ind w:firstLine="0" w:firstLineChars="0"/>
              <w:textAlignment w:val="center"/>
              <w:rPr>
                <w:rFonts w:cs="宋体"/>
                <w:color w:val="000000"/>
                <w:kern w:val="0"/>
                <w:szCs w:val="21"/>
                <w:lang w:bidi="ar"/>
              </w:rPr>
            </w:pPr>
          </w:p>
        </w:tc>
        <w:tc>
          <w:tcPr>
            <w:tcW w:w="4016" w:type="pct"/>
            <w:vAlign w:val="center"/>
          </w:tcPr>
          <w:p w14:paraId="75803FE4">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提供原厂商质量提议体系ISO9001认证证书</w:t>
            </w:r>
          </w:p>
        </w:tc>
      </w:tr>
      <w:tr w14:paraId="6C63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24276F21">
            <w:pPr>
              <w:widowControl/>
              <w:ind w:firstLine="0" w:firstLineChars="0"/>
              <w:textAlignment w:val="center"/>
              <w:rPr>
                <w:rFonts w:cs="宋体"/>
                <w:color w:val="000000"/>
                <w:kern w:val="0"/>
                <w:szCs w:val="21"/>
                <w:lang w:bidi="ar"/>
              </w:rPr>
            </w:pPr>
          </w:p>
        </w:tc>
        <w:tc>
          <w:tcPr>
            <w:tcW w:w="4016" w:type="pct"/>
            <w:vAlign w:val="center"/>
          </w:tcPr>
          <w:p w14:paraId="44E6FAA3">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提供原厂商信息技术服务管理体系ISO20000认证证书</w:t>
            </w:r>
          </w:p>
        </w:tc>
      </w:tr>
      <w:tr w14:paraId="39D5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3FF7A343">
            <w:pPr>
              <w:widowControl/>
              <w:ind w:firstLine="0" w:firstLineChars="0"/>
              <w:textAlignment w:val="center"/>
              <w:rPr>
                <w:rFonts w:cs="宋体"/>
                <w:color w:val="000000"/>
                <w:kern w:val="0"/>
                <w:szCs w:val="21"/>
                <w:lang w:bidi="ar"/>
              </w:rPr>
            </w:pPr>
          </w:p>
        </w:tc>
        <w:tc>
          <w:tcPr>
            <w:tcW w:w="4016" w:type="pct"/>
            <w:vAlign w:val="center"/>
          </w:tcPr>
          <w:p w14:paraId="1C3D8577">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提供原厂商信息安全管理体系ISO27001认证证书</w:t>
            </w:r>
          </w:p>
        </w:tc>
      </w:tr>
      <w:tr w14:paraId="0E48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83" w:type="pct"/>
            <w:vMerge w:val="continue"/>
            <w:vAlign w:val="center"/>
          </w:tcPr>
          <w:p w14:paraId="05F4A204">
            <w:pPr>
              <w:widowControl/>
              <w:ind w:firstLine="0" w:firstLineChars="0"/>
              <w:textAlignment w:val="center"/>
              <w:rPr>
                <w:rFonts w:cs="宋体"/>
                <w:color w:val="000000"/>
                <w:kern w:val="0"/>
                <w:szCs w:val="21"/>
                <w:lang w:bidi="ar"/>
              </w:rPr>
            </w:pPr>
          </w:p>
        </w:tc>
        <w:tc>
          <w:tcPr>
            <w:tcW w:w="4016" w:type="pct"/>
            <w:vAlign w:val="center"/>
          </w:tcPr>
          <w:p w14:paraId="3ED7516E">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提供原厂商信息安全服务资质认证证书（安全集成三级）</w:t>
            </w:r>
          </w:p>
        </w:tc>
      </w:tr>
      <w:tr w14:paraId="1CBD5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792849B8">
            <w:pPr>
              <w:widowControl/>
              <w:ind w:firstLine="0" w:firstLineChars="0"/>
              <w:textAlignment w:val="center"/>
              <w:rPr>
                <w:rFonts w:cs="宋体"/>
                <w:color w:val="000000"/>
                <w:kern w:val="0"/>
                <w:szCs w:val="21"/>
                <w:lang w:bidi="ar"/>
              </w:rPr>
            </w:pPr>
          </w:p>
        </w:tc>
        <w:tc>
          <w:tcPr>
            <w:tcW w:w="4016" w:type="pct"/>
            <w:vAlign w:val="center"/>
          </w:tcPr>
          <w:p w14:paraId="6F854CC5">
            <w:pPr>
              <w:widowControl/>
              <w:ind w:firstLine="0" w:firstLineChars="0"/>
              <w:textAlignment w:val="center"/>
              <w:rPr>
                <w:rFonts w:cs="宋体"/>
                <w:color w:val="000000"/>
                <w:kern w:val="0"/>
                <w:szCs w:val="21"/>
                <w:lang w:bidi="ar"/>
              </w:rPr>
            </w:pPr>
            <w:r>
              <w:rPr>
                <w:rFonts w:hint="eastAsia" w:cs="宋体"/>
                <w:color w:val="000000"/>
                <w:kern w:val="0"/>
                <w:szCs w:val="21"/>
                <w:lang w:bidi="ar"/>
              </w:rPr>
              <w:t>为保障软件开发质量，要求厂商具有CMMI3级认证。</w:t>
            </w:r>
          </w:p>
        </w:tc>
      </w:tr>
      <w:tr w14:paraId="2B09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29703FE">
            <w:pPr>
              <w:widowControl/>
              <w:ind w:firstLine="0" w:firstLineChars="0"/>
              <w:textAlignment w:val="center"/>
              <w:rPr>
                <w:rFonts w:cs="宋体"/>
                <w:color w:val="000000"/>
                <w:kern w:val="0"/>
                <w:szCs w:val="21"/>
                <w:lang w:bidi="ar"/>
              </w:rPr>
            </w:pPr>
          </w:p>
        </w:tc>
        <w:tc>
          <w:tcPr>
            <w:tcW w:w="4016" w:type="pct"/>
            <w:vAlign w:val="center"/>
          </w:tcPr>
          <w:p w14:paraId="431149C9">
            <w:pPr>
              <w:widowControl/>
              <w:ind w:firstLine="0" w:firstLineChars="0"/>
              <w:textAlignment w:val="center"/>
              <w:rPr>
                <w:rFonts w:cs="宋体"/>
                <w:color w:val="000000"/>
                <w:kern w:val="0"/>
                <w:szCs w:val="21"/>
                <w:lang w:bidi="ar"/>
              </w:rPr>
            </w:pPr>
            <w:r>
              <w:rPr>
                <w:rFonts w:hint="eastAsia" w:cs="宋体"/>
                <w:color w:val="000000"/>
                <w:kern w:val="0"/>
                <w:szCs w:val="21"/>
                <w:lang w:bidi="ar"/>
              </w:rPr>
              <w:t>产品若是列入《网络关键设备和网络安全专用产品目录》的网络安全专用产品应至少符合以下条件之一，方可提供：一是按照《信息安全技术 网络安全专用产品安全技术要求》等相关国家标准强制性要求，由具备资格的机构安全认证合格或安全检测符合要求的；二是此前已经获得《计算机信息系统安全专用产品销售许可证》，且在有效期内的。</w:t>
            </w:r>
          </w:p>
        </w:tc>
      </w:tr>
      <w:tr w14:paraId="6E00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83" w:type="pct"/>
            <w:vMerge w:val="continue"/>
            <w:vAlign w:val="center"/>
          </w:tcPr>
          <w:p w14:paraId="61E9806E">
            <w:pPr>
              <w:widowControl/>
              <w:ind w:firstLine="0" w:firstLineChars="0"/>
              <w:textAlignment w:val="center"/>
              <w:rPr>
                <w:rFonts w:cs="宋体"/>
                <w:color w:val="000000"/>
                <w:kern w:val="0"/>
                <w:szCs w:val="21"/>
                <w:lang w:bidi="ar"/>
              </w:rPr>
            </w:pPr>
          </w:p>
        </w:tc>
        <w:tc>
          <w:tcPr>
            <w:tcW w:w="4016" w:type="pct"/>
            <w:vAlign w:val="center"/>
          </w:tcPr>
          <w:p w14:paraId="23A215BB">
            <w:pPr>
              <w:widowControl/>
              <w:ind w:firstLine="0" w:firstLineChars="0"/>
              <w:textAlignment w:val="center"/>
              <w:rPr>
                <w:rFonts w:cs="宋体"/>
                <w:color w:val="000000"/>
                <w:kern w:val="0"/>
                <w:szCs w:val="21"/>
                <w:lang w:bidi="ar"/>
              </w:rPr>
            </w:pPr>
            <w:r>
              <w:rPr>
                <w:rFonts w:hint="eastAsia" w:cs="宋体"/>
                <w:color w:val="000000"/>
                <w:kern w:val="0"/>
                <w:szCs w:val="21"/>
                <w:lang w:bidi="ar"/>
              </w:rPr>
              <w:t>提供国家版权局颁发的《计算机软件著作权登记证书》。</w:t>
            </w:r>
          </w:p>
        </w:tc>
      </w:tr>
    </w:tbl>
    <w:p w14:paraId="0EF97651"/>
    <w:p w14:paraId="136A7961">
      <w:pPr>
        <w:pStyle w:val="6"/>
        <w:numPr>
          <w:ilvl w:val="3"/>
          <w:numId w:val="0"/>
        </w:numPr>
        <w:spacing w:line="413" w:lineRule="auto"/>
      </w:pPr>
      <w:bookmarkStart w:id="60" w:name="_Toc161989569"/>
      <w:bookmarkStart w:id="61" w:name="_Toc22110"/>
      <w:r>
        <w:rPr>
          <w:rFonts w:hint="eastAsia"/>
        </w:rPr>
        <w:t>3.4 IPSec VPN网关</w:t>
      </w:r>
      <w:bookmarkEnd w:id="60"/>
      <w:bookmarkEnd w:id="61"/>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6662"/>
      </w:tblGrid>
      <w:tr w14:paraId="7D3C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blHeader/>
          <w:jc w:val="center"/>
        </w:trPr>
        <w:tc>
          <w:tcPr>
            <w:tcW w:w="1555" w:type="dxa"/>
            <w:shd w:val="clear" w:color="auto" w:fill="auto"/>
          </w:tcPr>
          <w:p w14:paraId="727C7643">
            <w:pPr>
              <w:widowControl/>
              <w:ind w:firstLine="482"/>
              <w:jc w:val="center"/>
              <w:rPr>
                <w:rFonts w:cs="宋体"/>
                <w:b/>
                <w:bCs/>
                <w:kern w:val="0"/>
                <w:szCs w:val="21"/>
              </w:rPr>
            </w:pPr>
            <w:r>
              <w:rPr>
                <w:rFonts w:hint="eastAsia" w:cs="宋体"/>
                <w:b/>
                <w:bCs/>
                <w:kern w:val="0"/>
                <w:szCs w:val="21"/>
              </w:rPr>
              <w:t>指标项</w:t>
            </w:r>
          </w:p>
        </w:tc>
        <w:tc>
          <w:tcPr>
            <w:tcW w:w="6662" w:type="dxa"/>
            <w:shd w:val="clear" w:color="auto" w:fill="auto"/>
          </w:tcPr>
          <w:p w14:paraId="15557E55">
            <w:pPr>
              <w:widowControl/>
              <w:ind w:firstLine="482"/>
              <w:jc w:val="center"/>
              <w:rPr>
                <w:rFonts w:cs="宋体"/>
                <w:b/>
                <w:bCs/>
                <w:kern w:val="0"/>
                <w:szCs w:val="21"/>
              </w:rPr>
            </w:pPr>
            <w:r>
              <w:rPr>
                <w:rFonts w:hint="eastAsia" w:cs="宋体"/>
                <w:b/>
                <w:bCs/>
                <w:kern w:val="0"/>
                <w:szCs w:val="21"/>
              </w:rPr>
              <w:t>技术指标</w:t>
            </w:r>
          </w:p>
        </w:tc>
      </w:tr>
      <w:tr w14:paraId="1F8A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Align w:val="center"/>
          </w:tcPr>
          <w:p w14:paraId="05088A24">
            <w:pPr>
              <w:widowControl/>
              <w:ind w:firstLine="0" w:firstLineChars="0"/>
              <w:rPr>
                <w:rFonts w:cs="宋体"/>
                <w:color w:val="000000"/>
                <w:kern w:val="0"/>
                <w:szCs w:val="21"/>
              </w:rPr>
            </w:pPr>
            <w:r>
              <w:rPr>
                <w:rFonts w:hint="eastAsia" w:cs="宋体"/>
                <w:color w:val="000000"/>
                <w:kern w:val="0"/>
                <w:szCs w:val="21"/>
              </w:rPr>
              <w:t>硬件与性能要求</w:t>
            </w:r>
          </w:p>
        </w:tc>
        <w:tc>
          <w:tcPr>
            <w:tcW w:w="6662" w:type="dxa"/>
          </w:tcPr>
          <w:p w14:paraId="5C397B71">
            <w:pPr>
              <w:widowControl/>
              <w:ind w:firstLine="0" w:firstLineChars="0"/>
              <w:rPr>
                <w:rFonts w:cs="宋体"/>
                <w:color w:val="000000"/>
                <w:kern w:val="0"/>
                <w:szCs w:val="21"/>
              </w:rPr>
            </w:pPr>
            <w:r>
              <w:rPr>
                <w:rFonts w:hint="eastAsia" w:cs="宋体"/>
                <w:color w:val="000000"/>
                <w:kern w:val="0"/>
                <w:szCs w:val="21"/>
              </w:rPr>
              <w:t>硬件参数：产品不少于4个千兆电口，4个千兆光口，4个万兆光口；规格：内存≥16G，硬盘容量≥128GB  SSD，冗余电源。</w:t>
            </w:r>
          </w:p>
          <w:p w14:paraId="3B590EC6">
            <w:pPr>
              <w:widowControl/>
              <w:ind w:firstLine="0" w:firstLineChars="0"/>
              <w:rPr>
                <w:rFonts w:cs="宋体"/>
                <w:color w:val="000000"/>
                <w:kern w:val="0"/>
                <w:szCs w:val="21"/>
              </w:rPr>
            </w:pPr>
            <w:r>
              <w:rPr>
                <w:rFonts w:hint="eastAsia" w:cs="宋体"/>
                <w:color w:val="000000"/>
                <w:kern w:val="0"/>
                <w:szCs w:val="21"/>
              </w:rPr>
              <w:t>网络层吞吐量≥40 Gbps，应用层吞吐量≥30Gbps，并发连接数≥4000万，每秒新建连接数≥23万，IPSEC吞吐量≥2 Gbps。</w:t>
            </w:r>
          </w:p>
        </w:tc>
      </w:tr>
      <w:tr w14:paraId="6FBA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Align w:val="center"/>
          </w:tcPr>
          <w:p w14:paraId="3F2B613A">
            <w:pPr>
              <w:widowControl/>
              <w:ind w:firstLine="0" w:firstLineChars="0"/>
              <w:rPr>
                <w:rFonts w:cs="宋体"/>
                <w:color w:val="000000"/>
                <w:kern w:val="0"/>
                <w:szCs w:val="21"/>
              </w:rPr>
            </w:pPr>
            <w:r>
              <w:rPr>
                <w:rFonts w:hint="eastAsia" w:cs="宋体"/>
                <w:color w:val="000000"/>
                <w:kern w:val="0"/>
                <w:szCs w:val="21"/>
              </w:rPr>
              <w:t>链路状态探测</w:t>
            </w:r>
          </w:p>
        </w:tc>
        <w:tc>
          <w:tcPr>
            <w:tcW w:w="6662" w:type="dxa"/>
          </w:tcPr>
          <w:p w14:paraId="3AE9C5FB">
            <w:pPr>
              <w:widowControl/>
              <w:ind w:firstLine="0" w:firstLineChars="0"/>
              <w:rPr>
                <w:rFonts w:cs="宋体"/>
                <w:color w:val="000000"/>
                <w:kern w:val="0"/>
                <w:szCs w:val="21"/>
              </w:rPr>
            </w:pPr>
            <w:r>
              <w:rPr>
                <w:rFonts w:hint="eastAsia" w:cs="宋体"/>
                <w:color w:val="000000"/>
                <w:kern w:val="0"/>
                <w:szCs w:val="21"/>
              </w:rPr>
              <w:t>产品支持链路健康检查功能，支持基于多种协议对链路可用性进行探测，探测协议至少包括DNS解析、ARP探测和PING方式。</w:t>
            </w:r>
          </w:p>
        </w:tc>
      </w:tr>
      <w:tr w14:paraId="695D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restart"/>
            <w:vAlign w:val="center"/>
          </w:tcPr>
          <w:p w14:paraId="4490AAA9">
            <w:pPr>
              <w:widowControl/>
              <w:ind w:firstLine="0" w:firstLineChars="0"/>
              <w:rPr>
                <w:rFonts w:cs="宋体"/>
                <w:color w:val="000000"/>
                <w:kern w:val="0"/>
                <w:szCs w:val="21"/>
              </w:rPr>
            </w:pPr>
            <w:r>
              <w:rPr>
                <w:rFonts w:hint="eastAsia" w:cs="宋体"/>
                <w:color w:val="000000"/>
                <w:kern w:val="0"/>
                <w:szCs w:val="21"/>
              </w:rPr>
              <w:t>功能要求</w:t>
            </w:r>
          </w:p>
        </w:tc>
        <w:tc>
          <w:tcPr>
            <w:tcW w:w="6662" w:type="dxa"/>
            <w:vAlign w:val="center"/>
          </w:tcPr>
          <w:p w14:paraId="7041F805">
            <w:pPr>
              <w:widowControl/>
              <w:ind w:firstLine="0" w:firstLineChars="0"/>
              <w:rPr>
                <w:rFonts w:cs="宋体"/>
                <w:color w:val="000000"/>
                <w:kern w:val="0"/>
                <w:szCs w:val="21"/>
              </w:rPr>
            </w:pPr>
            <w:r>
              <w:rPr>
                <w:rFonts w:hint="eastAsia" w:cs="宋体"/>
                <w:color w:val="000000"/>
                <w:kern w:val="0"/>
                <w:szCs w:val="21"/>
              </w:rPr>
              <w:t>产品支持静态路由、策略路由和多播路由协议，并支持BGP、RIP、OSPF等动态路由协议。</w:t>
            </w:r>
          </w:p>
        </w:tc>
      </w:tr>
      <w:tr w14:paraId="79BA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74005AF9">
            <w:pPr>
              <w:widowControl/>
              <w:ind w:firstLine="0" w:firstLineChars="0"/>
              <w:rPr>
                <w:rFonts w:cs="宋体"/>
                <w:color w:val="000000"/>
                <w:kern w:val="0"/>
                <w:szCs w:val="21"/>
              </w:rPr>
            </w:pPr>
          </w:p>
        </w:tc>
        <w:tc>
          <w:tcPr>
            <w:tcW w:w="6662" w:type="dxa"/>
            <w:vAlign w:val="center"/>
          </w:tcPr>
          <w:p w14:paraId="1822CA56">
            <w:pPr>
              <w:widowControl/>
              <w:ind w:firstLine="0" w:firstLineChars="0"/>
              <w:rPr>
                <w:rFonts w:cs="宋体"/>
                <w:color w:val="000000"/>
                <w:kern w:val="0"/>
                <w:szCs w:val="21"/>
              </w:rPr>
            </w:pPr>
            <w:r>
              <w:rPr>
                <w:rFonts w:hint="eastAsia" w:cs="宋体"/>
                <w:color w:val="000000"/>
                <w:kern w:val="0"/>
                <w:szCs w:val="21"/>
              </w:rPr>
              <w:t>产品支持路由类型、协议类型、网络对象、国家地区等条件进行自动选路的策略路由，支持不少于3种的调度算法，至少包括带宽比例、加权流量、线路优先等。</w:t>
            </w:r>
          </w:p>
        </w:tc>
      </w:tr>
      <w:tr w14:paraId="1A63D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242FD575">
            <w:pPr>
              <w:widowControl/>
              <w:ind w:firstLine="0" w:firstLineChars="0"/>
              <w:rPr>
                <w:rFonts w:cs="宋体"/>
                <w:color w:val="000000"/>
                <w:kern w:val="0"/>
                <w:szCs w:val="21"/>
              </w:rPr>
            </w:pPr>
          </w:p>
        </w:tc>
        <w:tc>
          <w:tcPr>
            <w:tcW w:w="6662" w:type="dxa"/>
            <w:vAlign w:val="center"/>
          </w:tcPr>
          <w:p w14:paraId="55590AB9">
            <w:pPr>
              <w:widowControl/>
              <w:ind w:firstLine="0" w:firstLineChars="0"/>
              <w:rPr>
                <w:rFonts w:cs="宋体"/>
                <w:color w:val="000000"/>
                <w:kern w:val="0"/>
                <w:szCs w:val="21"/>
              </w:rPr>
            </w:pPr>
            <w:r>
              <w:rPr>
                <w:rFonts w:hint="eastAsia" w:cs="宋体"/>
                <w:color w:val="000000"/>
                <w:kern w:val="0"/>
                <w:szCs w:val="21"/>
              </w:rPr>
              <w:t>产品支持多对一、一对多和一对一等多种地址转换方式。</w:t>
            </w:r>
          </w:p>
        </w:tc>
      </w:tr>
      <w:tr w14:paraId="447E9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35D8BEC3">
            <w:pPr>
              <w:widowControl/>
              <w:ind w:firstLine="0" w:firstLineChars="0"/>
              <w:rPr>
                <w:rFonts w:cs="宋体"/>
                <w:color w:val="000000"/>
                <w:kern w:val="0"/>
                <w:szCs w:val="21"/>
              </w:rPr>
            </w:pPr>
          </w:p>
        </w:tc>
        <w:tc>
          <w:tcPr>
            <w:tcW w:w="6662" w:type="dxa"/>
            <w:vAlign w:val="center"/>
          </w:tcPr>
          <w:p w14:paraId="3F3C1EDF">
            <w:pPr>
              <w:widowControl/>
              <w:ind w:firstLine="0" w:firstLineChars="0"/>
              <w:rPr>
                <w:rFonts w:cs="宋体"/>
                <w:color w:val="000000"/>
                <w:kern w:val="0"/>
                <w:szCs w:val="21"/>
              </w:rPr>
            </w:pPr>
            <w:r>
              <w:rPr>
                <w:rFonts w:hint="eastAsia" w:cs="宋体"/>
                <w:color w:val="000000"/>
                <w:kern w:val="0"/>
                <w:szCs w:val="21"/>
              </w:rPr>
              <w:t>产品支持NAT44 、NAT64、NAT66地址转换方式。</w:t>
            </w:r>
          </w:p>
        </w:tc>
      </w:tr>
      <w:tr w14:paraId="2AA4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0A26FDCD">
            <w:pPr>
              <w:widowControl/>
              <w:ind w:firstLine="0" w:firstLineChars="0"/>
              <w:rPr>
                <w:rFonts w:cs="宋体"/>
                <w:color w:val="000000"/>
                <w:kern w:val="0"/>
                <w:szCs w:val="21"/>
              </w:rPr>
            </w:pPr>
          </w:p>
        </w:tc>
        <w:tc>
          <w:tcPr>
            <w:tcW w:w="6662" w:type="dxa"/>
            <w:vAlign w:val="center"/>
          </w:tcPr>
          <w:p w14:paraId="50B6B0E5">
            <w:pPr>
              <w:widowControl/>
              <w:ind w:firstLine="0" w:firstLineChars="0"/>
              <w:rPr>
                <w:rFonts w:cs="宋体"/>
                <w:color w:val="000000"/>
                <w:kern w:val="0"/>
                <w:szCs w:val="21"/>
              </w:rPr>
            </w:pPr>
            <w:r>
              <w:rPr>
                <w:rFonts w:hint="eastAsia" w:cs="宋体"/>
                <w:color w:val="000000"/>
                <w:kern w:val="0"/>
                <w:szCs w:val="21"/>
              </w:rPr>
              <w:t>支持NAT穿透技术ALG，支持FTP、TFTP、SQLNET、PPTP、RTSP、SIP、H.323等协议。</w:t>
            </w:r>
          </w:p>
        </w:tc>
      </w:tr>
      <w:tr w14:paraId="6324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567814FB">
            <w:pPr>
              <w:widowControl/>
              <w:ind w:firstLine="0" w:firstLineChars="0"/>
              <w:rPr>
                <w:rFonts w:cs="宋体"/>
                <w:color w:val="000000"/>
                <w:kern w:val="0"/>
                <w:szCs w:val="21"/>
              </w:rPr>
            </w:pPr>
          </w:p>
        </w:tc>
        <w:tc>
          <w:tcPr>
            <w:tcW w:w="6662" w:type="dxa"/>
            <w:vAlign w:val="center"/>
          </w:tcPr>
          <w:p w14:paraId="1A201520">
            <w:pPr>
              <w:widowControl/>
              <w:ind w:firstLine="0" w:firstLineChars="0"/>
              <w:rPr>
                <w:rFonts w:cs="宋体"/>
                <w:color w:val="000000"/>
                <w:kern w:val="0"/>
                <w:szCs w:val="21"/>
              </w:rPr>
            </w:pPr>
            <w:r>
              <w:rPr>
                <w:rFonts w:hint="eastAsia" w:cs="宋体"/>
                <w:color w:val="000000"/>
                <w:kern w:val="0"/>
                <w:szCs w:val="21"/>
              </w:rPr>
              <w:t>产品支持IPv4/IPv6双栈工作模式，以适应IPv6发展趋势。</w:t>
            </w:r>
          </w:p>
        </w:tc>
      </w:tr>
      <w:tr w14:paraId="2042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623DED77">
            <w:pPr>
              <w:widowControl/>
              <w:ind w:firstLine="0" w:firstLineChars="0"/>
              <w:rPr>
                <w:rFonts w:cs="宋体"/>
                <w:color w:val="000000"/>
                <w:kern w:val="0"/>
                <w:szCs w:val="21"/>
              </w:rPr>
            </w:pPr>
          </w:p>
        </w:tc>
        <w:tc>
          <w:tcPr>
            <w:tcW w:w="6662" w:type="dxa"/>
            <w:vAlign w:val="center"/>
          </w:tcPr>
          <w:p w14:paraId="1BDD17AE">
            <w:pPr>
              <w:widowControl/>
              <w:ind w:firstLine="0" w:firstLineChars="0"/>
              <w:rPr>
                <w:rFonts w:cs="宋体"/>
                <w:color w:val="000000"/>
                <w:kern w:val="0"/>
                <w:szCs w:val="21"/>
              </w:rPr>
            </w:pPr>
            <w:r>
              <w:rPr>
                <w:rFonts w:hint="eastAsia" w:cs="宋体"/>
                <w:color w:val="000000"/>
                <w:kern w:val="0"/>
                <w:szCs w:val="21"/>
              </w:rPr>
              <w:t>产品支持基于应用、服务、时间、域名、IPv6对象等维度的访问控制</w:t>
            </w:r>
          </w:p>
        </w:tc>
      </w:tr>
      <w:tr w14:paraId="3D26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0AB77D56">
            <w:pPr>
              <w:widowControl/>
              <w:ind w:firstLine="0" w:firstLineChars="0"/>
              <w:rPr>
                <w:rFonts w:cs="宋体"/>
                <w:color w:val="000000"/>
                <w:kern w:val="0"/>
                <w:szCs w:val="21"/>
              </w:rPr>
            </w:pPr>
          </w:p>
        </w:tc>
        <w:tc>
          <w:tcPr>
            <w:tcW w:w="6662" w:type="dxa"/>
            <w:vAlign w:val="center"/>
          </w:tcPr>
          <w:p w14:paraId="213FF8E6">
            <w:pPr>
              <w:widowControl/>
              <w:ind w:firstLine="0" w:firstLineChars="0"/>
              <w:rPr>
                <w:rFonts w:cs="宋体"/>
                <w:color w:val="000000"/>
                <w:kern w:val="0"/>
                <w:szCs w:val="21"/>
              </w:rPr>
            </w:pPr>
            <w:r>
              <w:rPr>
                <w:rFonts w:hint="eastAsia" w:cs="宋体"/>
                <w:color w:val="000000"/>
                <w:kern w:val="0"/>
                <w:szCs w:val="21"/>
              </w:rPr>
              <w:t>▲为满足组网兼容性，IPSec VPN需支持信息安全技术 IPSec VPN技术规范（GB/T 36968-2018 ），IKEv1和IKEv2协议，支持基于主模式和野蛮模式建立加密隧道，支持国密算法SM2-SM4。</w:t>
            </w:r>
          </w:p>
        </w:tc>
      </w:tr>
      <w:tr w14:paraId="610F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Merge w:val="continue"/>
            <w:vAlign w:val="center"/>
          </w:tcPr>
          <w:p w14:paraId="1C8F28DF">
            <w:pPr>
              <w:widowControl/>
              <w:ind w:firstLine="0" w:firstLineChars="0"/>
              <w:rPr>
                <w:rFonts w:cs="宋体"/>
                <w:color w:val="000000"/>
                <w:kern w:val="0"/>
                <w:szCs w:val="21"/>
              </w:rPr>
            </w:pPr>
          </w:p>
        </w:tc>
        <w:tc>
          <w:tcPr>
            <w:tcW w:w="6662" w:type="dxa"/>
            <w:vAlign w:val="center"/>
          </w:tcPr>
          <w:p w14:paraId="44713C51">
            <w:pPr>
              <w:widowControl/>
              <w:ind w:firstLine="0" w:firstLineChars="0"/>
              <w:rPr>
                <w:rFonts w:cs="宋体"/>
                <w:color w:val="000000"/>
                <w:kern w:val="0"/>
                <w:szCs w:val="21"/>
              </w:rPr>
            </w:pPr>
            <w:r>
              <w:rPr>
                <w:rFonts w:hint="eastAsia" w:cs="宋体"/>
                <w:color w:val="000000"/>
                <w:kern w:val="0"/>
                <w:szCs w:val="21"/>
              </w:rPr>
              <w:t>产品支持IPSec VPN智能选路功能，根据线路质量和应用实现自动链路切换。</w:t>
            </w:r>
          </w:p>
        </w:tc>
      </w:tr>
      <w:tr w14:paraId="0960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Align w:val="center"/>
          </w:tcPr>
          <w:p w14:paraId="07596500">
            <w:pPr>
              <w:widowControl/>
              <w:ind w:firstLine="0" w:firstLineChars="0"/>
              <w:rPr>
                <w:rFonts w:cs="宋体"/>
                <w:color w:val="000000"/>
                <w:kern w:val="0"/>
                <w:szCs w:val="21"/>
              </w:rPr>
            </w:pPr>
            <w:r>
              <w:rPr>
                <w:rFonts w:hint="eastAsia" w:cs="宋体"/>
                <w:color w:val="000000"/>
                <w:kern w:val="0"/>
                <w:szCs w:val="21"/>
              </w:rPr>
              <w:t>对象识别</w:t>
            </w:r>
          </w:p>
        </w:tc>
        <w:tc>
          <w:tcPr>
            <w:tcW w:w="6662" w:type="dxa"/>
          </w:tcPr>
          <w:p w14:paraId="33CF5054">
            <w:pPr>
              <w:widowControl/>
              <w:ind w:firstLine="0" w:firstLineChars="0"/>
              <w:rPr>
                <w:rFonts w:cs="宋体"/>
                <w:color w:val="000000"/>
                <w:kern w:val="0"/>
                <w:szCs w:val="21"/>
              </w:rPr>
            </w:pPr>
            <w:r>
              <w:rPr>
                <w:rFonts w:hint="eastAsia" w:cs="宋体"/>
                <w:color w:val="000000"/>
                <w:kern w:val="0"/>
                <w:szCs w:val="21"/>
              </w:rPr>
              <w:t>产品支持服务器自动侦测功能，采用双向流量检测技术识别网络中的服务器对象。</w:t>
            </w:r>
          </w:p>
        </w:tc>
      </w:tr>
      <w:tr w14:paraId="041D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Align w:val="center"/>
          </w:tcPr>
          <w:p w14:paraId="3D72A552">
            <w:pPr>
              <w:widowControl/>
              <w:ind w:firstLine="0" w:firstLineChars="0"/>
              <w:rPr>
                <w:rFonts w:cs="宋体"/>
                <w:color w:val="000000"/>
                <w:kern w:val="0"/>
                <w:szCs w:val="21"/>
              </w:rPr>
            </w:pPr>
            <w:r>
              <w:rPr>
                <w:rFonts w:hint="eastAsia" w:cs="宋体"/>
                <w:color w:val="000000"/>
                <w:kern w:val="0"/>
                <w:szCs w:val="21"/>
              </w:rPr>
              <w:t>安全策略管理</w:t>
            </w:r>
          </w:p>
        </w:tc>
        <w:tc>
          <w:tcPr>
            <w:tcW w:w="6662" w:type="dxa"/>
          </w:tcPr>
          <w:p w14:paraId="0A120F9C">
            <w:pPr>
              <w:widowControl/>
              <w:ind w:firstLine="0" w:firstLineChars="0"/>
              <w:rPr>
                <w:rFonts w:cs="宋体"/>
                <w:color w:val="000000"/>
                <w:kern w:val="0"/>
                <w:szCs w:val="21"/>
              </w:rPr>
            </w:pPr>
            <w:r>
              <w:rPr>
                <w:rFonts w:hint="eastAsia" w:cs="宋体"/>
                <w:color w:val="000000"/>
                <w:kern w:val="0"/>
                <w:szCs w:val="21"/>
              </w:rPr>
              <w:t>产品支持应用控制策略生命周期管理，包含安全策略的变更时间、变更类型和策略变更用户，并对变更内容记录日志，方便安全策略管控。</w:t>
            </w:r>
          </w:p>
        </w:tc>
      </w:tr>
      <w:tr w14:paraId="4BEB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Align w:val="center"/>
          </w:tcPr>
          <w:p w14:paraId="71F48BFB">
            <w:pPr>
              <w:widowControl/>
              <w:ind w:firstLine="0" w:firstLineChars="0"/>
              <w:rPr>
                <w:rFonts w:cs="宋体"/>
                <w:color w:val="000000"/>
                <w:kern w:val="0"/>
                <w:szCs w:val="21"/>
              </w:rPr>
            </w:pPr>
            <w:r>
              <w:rPr>
                <w:rFonts w:hint="eastAsia" w:cs="宋体"/>
                <w:color w:val="000000"/>
                <w:kern w:val="0"/>
                <w:szCs w:val="21"/>
              </w:rPr>
              <w:t>用户管理</w:t>
            </w:r>
          </w:p>
        </w:tc>
        <w:tc>
          <w:tcPr>
            <w:tcW w:w="6662" w:type="dxa"/>
          </w:tcPr>
          <w:p w14:paraId="160E3997">
            <w:pPr>
              <w:widowControl/>
              <w:ind w:firstLine="0" w:firstLineChars="0"/>
              <w:rPr>
                <w:rFonts w:cs="宋体"/>
                <w:color w:val="000000"/>
                <w:kern w:val="0"/>
                <w:szCs w:val="21"/>
              </w:rPr>
            </w:pPr>
            <w:r>
              <w:rPr>
                <w:rFonts w:hint="eastAsia" w:cs="宋体"/>
                <w:color w:val="000000"/>
                <w:kern w:val="0"/>
                <w:szCs w:val="21"/>
              </w:rPr>
              <w:t>产品支持三权分立功能，根据用户权限可设置为安全管理员、审计员和系统管理员三种角色。</w:t>
            </w:r>
          </w:p>
        </w:tc>
      </w:tr>
      <w:tr w14:paraId="7E80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55" w:type="dxa"/>
            <w:vAlign w:val="center"/>
          </w:tcPr>
          <w:p w14:paraId="2D572BEC">
            <w:pPr>
              <w:widowControl/>
              <w:ind w:firstLine="0" w:firstLineChars="0"/>
              <w:rPr>
                <w:rFonts w:cs="宋体"/>
                <w:color w:val="000000"/>
                <w:kern w:val="0"/>
                <w:szCs w:val="21"/>
              </w:rPr>
            </w:pPr>
            <w:r>
              <w:rPr>
                <w:rFonts w:hint="eastAsia" w:cs="宋体"/>
                <w:color w:val="000000"/>
                <w:kern w:val="0"/>
                <w:szCs w:val="21"/>
              </w:rPr>
              <w:t>产品资质</w:t>
            </w:r>
          </w:p>
        </w:tc>
        <w:tc>
          <w:tcPr>
            <w:tcW w:w="6662" w:type="dxa"/>
          </w:tcPr>
          <w:p w14:paraId="2F1E60DF">
            <w:pPr>
              <w:widowControl/>
              <w:ind w:firstLine="0" w:firstLineChars="0"/>
              <w:rPr>
                <w:rFonts w:cs="宋体"/>
                <w:color w:val="000000"/>
                <w:kern w:val="0"/>
                <w:szCs w:val="21"/>
              </w:rPr>
            </w:pPr>
            <w:r>
              <w:rPr>
                <w:rFonts w:hint="eastAsia" w:cs="宋体"/>
                <w:color w:val="000000"/>
                <w:kern w:val="0"/>
                <w:szCs w:val="21"/>
              </w:rPr>
              <w:t>提供《计算机信息系统安全专用产品销售许可证》，《商用密码产品认证证书》</w:t>
            </w:r>
          </w:p>
        </w:tc>
      </w:tr>
    </w:tbl>
    <w:p w14:paraId="6642E46E">
      <w:pPr>
        <w:ind w:firstLine="0" w:firstLineChars="0"/>
      </w:pPr>
    </w:p>
    <w:p w14:paraId="1A30FD43">
      <w:pPr>
        <w:pStyle w:val="6"/>
        <w:numPr>
          <w:ilvl w:val="3"/>
          <w:numId w:val="0"/>
        </w:numPr>
        <w:spacing w:line="413" w:lineRule="auto"/>
      </w:pPr>
      <w:bookmarkStart w:id="62" w:name="_Toc161989570"/>
      <w:bookmarkStart w:id="63" w:name="_Toc61"/>
      <w:r>
        <w:rPr>
          <w:rFonts w:hint="eastAsia"/>
        </w:rPr>
        <w:t>3.5服务调用交换平台</w:t>
      </w:r>
      <w:bookmarkEnd w:id="62"/>
      <w:bookmarkEnd w:id="63"/>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60"/>
      </w:tblGrid>
      <w:tr w14:paraId="427D9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8" w:type="pct"/>
            <w:vAlign w:val="center"/>
          </w:tcPr>
          <w:p w14:paraId="7C2A6A7E">
            <w:pPr>
              <w:ind w:firstLine="482"/>
              <w:jc w:val="center"/>
              <w:rPr>
                <w:rFonts w:cs="宋体"/>
                <w:b/>
                <w:kern w:val="0"/>
                <w:szCs w:val="21"/>
              </w:rPr>
            </w:pPr>
            <w:r>
              <w:rPr>
                <w:rFonts w:hint="eastAsia" w:cs="宋体"/>
                <w:b/>
                <w:kern w:val="0"/>
                <w:szCs w:val="21"/>
              </w:rPr>
              <w:t>指标项</w:t>
            </w:r>
          </w:p>
        </w:tc>
        <w:tc>
          <w:tcPr>
            <w:tcW w:w="4022" w:type="pct"/>
            <w:vAlign w:val="center"/>
          </w:tcPr>
          <w:p w14:paraId="6D7C4D3D">
            <w:pPr>
              <w:ind w:firstLine="482"/>
              <w:jc w:val="center"/>
              <w:rPr>
                <w:rFonts w:cs="宋体"/>
                <w:b/>
                <w:kern w:val="0"/>
                <w:szCs w:val="21"/>
              </w:rPr>
            </w:pPr>
            <w:r>
              <w:rPr>
                <w:rFonts w:hint="eastAsia" w:cs="宋体"/>
                <w:b/>
                <w:kern w:val="0"/>
                <w:szCs w:val="21"/>
              </w:rPr>
              <w:t>技术指标</w:t>
            </w:r>
          </w:p>
        </w:tc>
      </w:tr>
      <w:tr w14:paraId="7047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7A0B40C0">
            <w:pPr>
              <w:ind w:firstLine="0" w:firstLineChars="0"/>
              <w:rPr>
                <w:rFonts w:cs="宋体"/>
                <w:kern w:val="0"/>
                <w:szCs w:val="21"/>
              </w:rPr>
            </w:pPr>
            <w:r>
              <w:rPr>
                <w:rFonts w:hint="eastAsia" w:cs="宋体"/>
                <w:kern w:val="0"/>
                <w:szCs w:val="21"/>
              </w:rPr>
              <w:t>产品架构</w:t>
            </w:r>
          </w:p>
        </w:tc>
        <w:tc>
          <w:tcPr>
            <w:tcW w:w="4022" w:type="pct"/>
            <w:vAlign w:val="center"/>
          </w:tcPr>
          <w:p w14:paraId="17FF24B2">
            <w:pPr>
              <w:ind w:firstLine="0" w:firstLineChars="0"/>
              <w:rPr>
                <w:rFonts w:cs="宋体"/>
                <w:kern w:val="0"/>
                <w:szCs w:val="21"/>
              </w:rPr>
            </w:pPr>
            <w:r>
              <w:rPr>
                <w:rFonts w:hint="eastAsia" w:cs="宋体"/>
                <w:kern w:val="0"/>
                <w:szCs w:val="21"/>
              </w:rPr>
              <w:t>双主机架构，包含可信端和非可信端；搭配隔离交换产品，承载数据处理平面相关工作，隔离交换产品承载数据转发平台相关工作</w:t>
            </w:r>
          </w:p>
        </w:tc>
      </w:tr>
      <w:tr w14:paraId="778E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0B59E2F1">
            <w:pPr>
              <w:ind w:firstLine="0" w:firstLineChars="0"/>
              <w:rPr>
                <w:rFonts w:cs="宋体"/>
                <w:kern w:val="0"/>
                <w:szCs w:val="21"/>
              </w:rPr>
            </w:pPr>
            <w:r>
              <w:rPr>
                <w:rFonts w:hint="eastAsia" w:cs="宋体"/>
                <w:kern w:val="0"/>
                <w:szCs w:val="21"/>
              </w:rPr>
              <w:t>网络接口</w:t>
            </w:r>
          </w:p>
        </w:tc>
        <w:tc>
          <w:tcPr>
            <w:tcW w:w="4022" w:type="pct"/>
            <w:vAlign w:val="center"/>
          </w:tcPr>
          <w:p w14:paraId="504F8523">
            <w:pPr>
              <w:ind w:firstLine="0" w:firstLineChars="0"/>
              <w:rPr>
                <w:rFonts w:cs="宋体"/>
                <w:kern w:val="0"/>
                <w:szCs w:val="21"/>
              </w:rPr>
            </w:pPr>
            <w:r>
              <w:rPr>
                <w:rFonts w:hint="eastAsia" w:cs="宋体"/>
                <w:kern w:val="0"/>
                <w:szCs w:val="21"/>
              </w:rPr>
              <w:t>产品应具备≥6个千兆电口；2个扩展卡槽；</w:t>
            </w:r>
          </w:p>
        </w:tc>
      </w:tr>
      <w:tr w14:paraId="4B45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Align w:val="center"/>
          </w:tcPr>
          <w:p w14:paraId="5324310D">
            <w:pPr>
              <w:ind w:firstLine="0" w:firstLineChars="0"/>
              <w:rPr>
                <w:rFonts w:cs="宋体"/>
                <w:kern w:val="0"/>
                <w:szCs w:val="21"/>
              </w:rPr>
            </w:pPr>
            <w:r>
              <w:rPr>
                <w:rFonts w:hint="eastAsia" w:cs="宋体"/>
                <w:kern w:val="0"/>
                <w:szCs w:val="21"/>
              </w:rPr>
              <w:t>硬件规格</w:t>
            </w:r>
          </w:p>
        </w:tc>
        <w:tc>
          <w:tcPr>
            <w:tcW w:w="4022" w:type="pct"/>
            <w:vAlign w:val="center"/>
          </w:tcPr>
          <w:p w14:paraId="3A82A771">
            <w:pPr>
              <w:ind w:firstLine="0" w:firstLineChars="0"/>
              <w:rPr>
                <w:rFonts w:cs="宋体"/>
                <w:kern w:val="0"/>
                <w:szCs w:val="21"/>
              </w:rPr>
            </w:pPr>
            <w:r>
              <w:rPr>
                <w:rFonts w:hint="eastAsia" w:cs="宋体"/>
                <w:kern w:val="0"/>
                <w:szCs w:val="21"/>
              </w:rPr>
              <w:t>产品应为标准机架式设备，冗余电源；</w:t>
            </w:r>
          </w:p>
        </w:tc>
      </w:tr>
      <w:tr w14:paraId="4BC0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2AA9FCB4">
            <w:pPr>
              <w:ind w:firstLine="0" w:firstLineChars="0"/>
              <w:rPr>
                <w:rFonts w:cs="宋体"/>
                <w:kern w:val="0"/>
                <w:szCs w:val="21"/>
              </w:rPr>
            </w:pPr>
            <w:r>
              <w:rPr>
                <w:rFonts w:hint="eastAsia" w:cs="宋体"/>
                <w:kern w:val="0"/>
                <w:szCs w:val="21"/>
              </w:rPr>
              <w:t>系统管理</w:t>
            </w:r>
          </w:p>
        </w:tc>
        <w:tc>
          <w:tcPr>
            <w:tcW w:w="4022" w:type="pct"/>
            <w:vAlign w:val="top"/>
          </w:tcPr>
          <w:p w14:paraId="0D3F4C70">
            <w:pPr>
              <w:ind w:firstLine="0" w:firstLineChars="0"/>
              <w:rPr>
                <w:rFonts w:cs="宋体"/>
                <w:kern w:val="0"/>
                <w:szCs w:val="21"/>
              </w:rPr>
            </w:pPr>
            <w:r>
              <w:rPr>
                <w:rFonts w:hint="eastAsia" w:cs="宋体"/>
                <w:kern w:val="0"/>
                <w:szCs w:val="21"/>
              </w:rPr>
              <w:t>具备多种认证方式：支持用户名/口令、Radius、LDAP、密码+证书、密码+U-key认证；</w:t>
            </w:r>
          </w:p>
        </w:tc>
      </w:tr>
      <w:tr w14:paraId="2FFF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1F5011EB">
            <w:pPr>
              <w:ind w:firstLine="0" w:firstLineChars="0"/>
              <w:rPr>
                <w:rFonts w:cs="宋体"/>
                <w:kern w:val="0"/>
                <w:szCs w:val="21"/>
              </w:rPr>
            </w:pPr>
          </w:p>
        </w:tc>
        <w:tc>
          <w:tcPr>
            <w:tcW w:w="4022" w:type="pct"/>
            <w:vAlign w:val="top"/>
          </w:tcPr>
          <w:p w14:paraId="134A6E04">
            <w:pPr>
              <w:ind w:firstLine="0" w:firstLineChars="0"/>
              <w:rPr>
                <w:rFonts w:cs="宋体"/>
                <w:kern w:val="0"/>
                <w:szCs w:val="21"/>
              </w:rPr>
            </w:pPr>
            <w:r>
              <w:rPr>
                <w:rFonts w:hint="eastAsia" w:cs="宋体"/>
                <w:kern w:val="0"/>
                <w:szCs w:val="21"/>
              </w:rPr>
              <w:t>产品应支持管理员账户密码可灵活设置密码长度，密码强度，同时可制定哪些特殊字符可以包含在密码中</w:t>
            </w:r>
          </w:p>
        </w:tc>
      </w:tr>
      <w:tr w14:paraId="29EF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49529A32">
            <w:pPr>
              <w:ind w:firstLine="0" w:firstLineChars="0"/>
              <w:rPr>
                <w:rFonts w:cs="宋体"/>
                <w:kern w:val="0"/>
                <w:szCs w:val="21"/>
              </w:rPr>
            </w:pPr>
          </w:p>
        </w:tc>
        <w:tc>
          <w:tcPr>
            <w:tcW w:w="4022" w:type="pct"/>
            <w:vAlign w:val="top"/>
          </w:tcPr>
          <w:p w14:paraId="069801EC">
            <w:pPr>
              <w:ind w:firstLine="0" w:firstLineChars="0"/>
              <w:rPr>
                <w:rFonts w:cs="宋体"/>
                <w:kern w:val="0"/>
                <w:szCs w:val="21"/>
              </w:rPr>
            </w:pPr>
            <w:r>
              <w:rPr>
                <w:rFonts w:hint="eastAsia" w:cs="宋体"/>
                <w:kern w:val="0"/>
                <w:szCs w:val="21"/>
              </w:rPr>
              <w:t>支持带内管理，具备web、SSH方式，同时可直接在系统选择带内管理IP地址以及端口</w:t>
            </w:r>
          </w:p>
        </w:tc>
      </w:tr>
      <w:tr w14:paraId="3B24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restart"/>
            <w:vAlign w:val="center"/>
          </w:tcPr>
          <w:p w14:paraId="66BB6789">
            <w:pPr>
              <w:ind w:firstLine="0" w:firstLineChars="0"/>
              <w:rPr>
                <w:rFonts w:cs="宋体"/>
                <w:kern w:val="0"/>
                <w:szCs w:val="21"/>
              </w:rPr>
            </w:pPr>
            <w:r>
              <w:rPr>
                <w:rFonts w:hint="eastAsia" w:cs="宋体"/>
                <w:kern w:val="0"/>
                <w:szCs w:val="21"/>
              </w:rPr>
              <w:t>便捷运维</w:t>
            </w:r>
          </w:p>
        </w:tc>
        <w:tc>
          <w:tcPr>
            <w:tcW w:w="4022" w:type="pct"/>
            <w:vAlign w:val="center"/>
          </w:tcPr>
          <w:p w14:paraId="2C98D785">
            <w:pPr>
              <w:ind w:firstLine="0" w:firstLineChars="0"/>
              <w:rPr>
                <w:rFonts w:cs="宋体"/>
                <w:kern w:val="0"/>
                <w:szCs w:val="21"/>
              </w:rPr>
            </w:pPr>
            <w:r>
              <w:rPr>
                <w:rFonts w:hint="eastAsia" w:cs="宋体"/>
                <w:kern w:val="0"/>
                <w:szCs w:val="21"/>
              </w:rPr>
              <w:t>支持配置管理，能够对单独模块及全部模块配置进行配置的导入导出；</w:t>
            </w:r>
          </w:p>
        </w:tc>
      </w:tr>
      <w:tr w14:paraId="4BE3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516FAF47">
            <w:pPr>
              <w:ind w:firstLine="0" w:firstLineChars="0"/>
              <w:rPr>
                <w:rFonts w:cs="宋体"/>
                <w:kern w:val="0"/>
                <w:szCs w:val="21"/>
              </w:rPr>
            </w:pPr>
          </w:p>
        </w:tc>
        <w:tc>
          <w:tcPr>
            <w:tcW w:w="4022" w:type="pct"/>
            <w:vAlign w:val="center"/>
          </w:tcPr>
          <w:p w14:paraId="30E37A0E">
            <w:pPr>
              <w:ind w:firstLine="0" w:firstLineChars="0"/>
              <w:rPr>
                <w:rFonts w:cs="宋体"/>
                <w:kern w:val="0"/>
                <w:szCs w:val="21"/>
              </w:rPr>
            </w:pPr>
            <w:r>
              <w:rPr>
                <w:rFonts w:hint="eastAsia" w:cs="宋体"/>
                <w:kern w:val="0"/>
                <w:szCs w:val="21"/>
              </w:rPr>
              <w:t>产品应具备配置智能备份功能，可灵活设置备份周期、备份个数，当配置无变化时，不进行重复备份</w:t>
            </w:r>
          </w:p>
        </w:tc>
      </w:tr>
      <w:tr w14:paraId="208AF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44458917">
            <w:pPr>
              <w:ind w:firstLine="0" w:firstLineChars="0"/>
              <w:rPr>
                <w:rFonts w:cs="宋体"/>
                <w:kern w:val="0"/>
                <w:szCs w:val="21"/>
              </w:rPr>
            </w:pPr>
          </w:p>
        </w:tc>
        <w:tc>
          <w:tcPr>
            <w:tcW w:w="4022" w:type="pct"/>
            <w:vAlign w:val="center"/>
          </w:tcPr>
          <w:p w14:paraId="3B0C757E">
            <w:pPr>
              <w:ind w:firstLine="0" w:firstLineChars="0"/>
              <w:rPr>
                <w:rFonts w:cs="宋体"/>
                <w:kern w:val="0"/>
                <w:szCs w:val="21"/>
              </w:rPr>
            </w:pPr>
            <w:r>
              <w:rPr>
                <w:rFonts w:hint="eastAsia" w:cs="宋体"/>
                <w:kern w:val="0"/>
                <w:szCs w:val="21"/>
              </w:rPr>
              <w:t>产品应具备可视化流量监控，可直观展现数据交换平台接口秒级业务流量情况，同时可灵活查看最近7天内历史流量情况</w:t>
            </w:r>
          </w:p>
        </w:tc>
      </w:tr>
      <w:tr w14:paraId="0D0D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5F09E69A">
            <w:pPr>
              <w:ind w:firstLine="0" w:firstLineChars="0"/>
              <w:rPr>
                <w:rFonts w:cs="宋体"/>
                <w:kern w:val="0"/>
                <w:szCs w:val="21"/>
              </w:rPr>
            </w:pPr>
            <w:r>
              <w:rPr>
                <w:rFonts w:hint="eastAsia" w:cs="宋体"/>
                <w:kern w:val="0"/>
                <w:szCs w:val="21"/>
              </w:rPr>
              <w:t>文件交换</w:t>
            </w:r>
          </w:p>
        </w:tc>
        <w:tc>
          <w:tcPr>
            <w:tcW w:w="4022" w:type="pct"/>
            <w:vAlign w:val="top"/>
          </w:tcPr>
          <w:p w14:paraId="478B3E0A">
            <w:pPr>
              <w:ind w:firstLine="0" w:firstLineChars="0"/>
              <w:rPr>
                <w:rFonts w:cs="宋体"/>
                <w:kern w:val="0"/>
                <w:szCs w:val="21"/>
              </w:rPr>
            </w:pPr>
            <w:r>
              <w:rPr>
                <w:rFonts w:hint="eastAsia" w:cs="宋体"/>
                <w:kern w:val="0"/>
                <w:szCs w:val="21"/>
              </w:rPr>
              <w:t>产品支持无客户端模式，有客户端模式，服务端模式；</w:t>
            </w:r>
          </w:p>
        </w:tc>
      </w:tr>
      <w:tr w14:paraId="1DF15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continue"/>
            <w:vAlign w:val="center"/>
          </w:tcPr>
          <w:p w14:paraId="320D29CE">
            <w:pPr>
              <w:ind w:firstLine="0" w:firstLineChars="0"/>
              <w:rPr>
                <w:rFonts w:cs="宋体"/>
                <w:kern w:val="0"/>
                <w:szCs w:val="21"/>
              </w:rPr>
            </w:pPr>
          </w:p>
        </w:tc>
        <w:tc>
          <w:tcPr>
            <w:tcW w:w="4022" w:type="pct"/>
            <w:vAlign w:val="top"/>
          </w:tcPr>
          <w:p w14:paraId="75AC775E">
            <w:pPr>
              <w:ind w:firstLine="0" w:firstLineChars="0"/>
              <w:rPr>
                <w:rFonts w:cs="宋体"/>
                <w:kern w:val="0"/>
                <w:szCs w:val="21"/>
              </w:rPr>
            </w:pPr>
            <w:r>
              <w:rPr>
                <w:rFonts w:hint="eastAsia" w:cs="宋体"/>
                <w:kern w:val="0"/>
                <w:szCs w:val="21"/>
              </w:rPr>
              <w:t>文件同步支持FTP、SFTP、SMB、NFS等协议，同时可设置服务器加密方式，服务器编码方式等；</w:t>
            </w:r>
          </w:p>
        </w:tc>
      </w:tr>
      <w:tr w14:paraId="5A2E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66459BAF">
            <w:pPr>
              <w:ind w:firstLine="0" w:firstLineChars="0"/>
              <w:rPr>
                <w:rFonts w:cs="宋体"/>
                <w:kern w:val="0"/>
                <w:szCs w:val="21"/>
              </w:rPr>
            </w:pPr>
          </w:p>
        </w:tc>
        <w:tc>
          <w:tcPr>
            <w:tcW w:w="4022" w:type="pct"/>
            <w:vAlign w:val="top"/>
          </w:tcPr>
          <w:p w14:paraId="0838F33F">
            <w:pPr>
              <w:ind w:firstLine="0" w:firstLineChars="0"/>
              <w:rPr>
                <w:rFonts w:cs="宋体"/>
                <w:kern w:val="0"/>
                <w:szCs w:val="21"/>
              </w:rPr>
            </w:pPr>
            <w:r>
              <w:rPr>
                <w:rFonts w:hint="eastAsia" w:cs="宋体"/>
                <w:kern w:val="0"/>
                <w:szCs w:val="21"/>
              </w:rPr>
              <w:t>文件交换可灵活设置文件传输方向，工作模式支持源端移动、源端删除、增量更新、完全复制等多种模式；</w:t>
            </w:r>
          </w:p>
        </w:tc>
      </w:tr>
      <w:tr w14:paraId="345B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7AE70AED">
            <w:pPr>
              <w:ind w:firstLine="0" w:firstLineChars="0"/>
              <w:rPr>
                <w:rFonts w:cs="宋体"/>
                <w:kern w:val="0"/>
                <w:szCs w:val="21"/>
              </w:rPr>
            </w:pPr>
          </w:p>
        </w:tc>
        <w:tc>
          <w:tcPr>
            <w:tcW w:w="4022" w:type="pct"/>
            <w:vAlign w:val="top"/>
          </w:tcPr>
          <w:p w14:paraId="07174456">
            <w:pPr>
              <w:ind w:firstLine="0" w:firstLineChars="0"/>
              <w:rPr>
                <w:rFonts w:cs="宋体"/>
                <w:kern w:val="0"/>
                <w:szCs w:val="21"/>
              </w:rPr>
            </w:pPr>
            <w:r>
              <w:rPr>
                <w:rFonts w:hint="eastAsia" w:cs="宋体"/>
                <w:kern w:val="0"/>
                <w:szCs w:val="21"/>
              </w:rPr>
              <w:t>支持文件重构技术，可自动剔除文件中夹带的危险程序，可执行代码等；</w:t>
            </w:r>
          </w:p>
        </w:tc>
      </w:tr>
      <w:tr w14:paraId="5C5E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374699BA">
            <w:pPr>
              <w:ind w:firstLine="0" w:firstLineChars="0"/>
              <w:rPr>
                <w:rFonts w:cs="宋体"/>
                <w:kern w:val="0"/>
                <w:szCs w:val="21"/>
              </w:rPr>
            </w:pPr>
          </w:p>
        </w:tc>
        <w:tc>
          <w:tcPr>
            <w:tcW w:w="4022" w:type="pct"/>
            <w:vAlign w:val="top"/>
          </w:tcPr>
          <w:p w14:paraId="5E856E16">
            <w:pPr>
              <w:ind w:firstLine="0" w:firstLineChars="0"/>
              <w:rPr>
                <w:rFonts w:cs="宋体"/>
                <w:kern w:val="0"/>
                <w:szCs w:val="21"/>
              </w:rPr>
            </w:pPr>
            <w:r>
              <w:rPr>
                <w:rFonts w:hint="eastAsia" w:cs="宋体"/>
                <w:kern w:val="0"/>
                <w:szCs w:val="21"/>
              </w:rPr>
              <w:t>产品支持重名策略，支持对重名文件的控制策略；</w:t>
            </w:r>
          </w:p>
        </w:tc>
      </w:tr>
      <w:tr w14:paraId="7D26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continue"/>
            <w:vAlign w:val="center"/>
          </w:tcPr>
          <w:p w14:paraId="3072D209">
            <w:pPr>
              <w:ind w:firstLine="0" w:firstLineChars="0"/>
              <w:rPr>
                <w:rFonts w:cs="宋体"/>
                <w:kern w:val="0"/>
                <w:szCs w:val="21"/>
              </w:rPr>
            </w:pPr>
          </w:p>
        </w:tc>
        <w:tc>
          <w:tcPr>
            <w:tcW w:w="4022" w:type="pct"/>
            <w:vAlign w:val="top"/>
          </w:tcPr>
          <w:p w14:paraId="7BBA0341">
            <w:pPr>
              <w:ind w:firstLine="0" w:firstLineChars="0"/>
              <w:rPr>
                <w:rFonts w:cs="宋体"/>
                <w:kern w:val="0"/>
                <w:szCs w:val="21"/>
              </w:rPr>
            </w:pPr>
            <w:r>
              <w:rPr>
                <w:rFonts w:hint="eastAsia" w:cs="宋体"/>
                <w:kern w:val="0"/>
                <w:szCs w:val="21"/>
              </w:rPr>
              <w:t>产品应具备文件断点续传，同时支持文件并发数量设置，大幅度提升文件传输性能，充分利用硬件资源</w:t>
            </w:r>
          </w:p>
        </w:tc>
      </w:tr>
      <w:tr w14:paraId="68C7A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048941C4">
            <w:pPr>
              <w:ind w:firstLine="0" w:firstLineChars="0"/>
              <w:rPr>
                <w:rFonts w:cs="宋体"/>
                <w:kern w:val="0"/>
                <w:szCs w:val="21"/>
              </w:rPr>
            </w:pPr>
            <w:r>
              <w:rPr>
                <w:rFonts w:hint="eastAsia" w:cs="宋体"/>
                <w:kern w:val="0"/>
                <w:szCs w:val="21"/>
              </w:rPr>
              <w:t>数据库同步</w:t>
            </w:r>
          </w:p>
        </w:tc>
        <w:tc>
          <w:tcPr>
            <w:tcW w:w="4022" w:type="pct"/>
            <w:vAlign w:val="top"/>
          </w:tcPr>
          <w:p w14:paraId="60C91CBF">
            <w:pPr>
              <w:ind w:firstLine="0" w:firstLineChars="0"/>
              <w:rPr>
                <w:rFonts w:cs="宋体"/>
                <w:kern w:val="0"/>
                <w:szCs w:val="21"/>
              </w:rPr>
            </w:pPr>
            <w:r>
              <w:rPr>
                <w:rFonts w:hint="eastAsia" w:cs="宋体"/>
                <w:kern w:val="0"/>
                <w:szCs w:val="21"/>
              </w:rPr>
              <w:t>数据库同步支持无客户端方式同步；</w:t>
            </w:r>
          </w:p>
        </w:tc>
      </w:tr>
      <w:tr w14:paraId="495CF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6AA4ADC2">
            <w:pPr>
              <w:ind w:firstLine="0" w:firstLineChars="0"/>
              <w:rPr>
                <w:rFonts w:cs="宋体"/>
                <w:kern w:val="0"/>
                <w:szCs w:val="21"/>
              </w:rPr>
            </w:pPr>
          </w:p>
        </w:tc>
        <w:tc>
          <w:tcPr>
            <w:tcW w:w="4022" w:type="pct"/>
            <w:vAlign w:val="top"/>
          </w:tcPr>
          <w:p w14:paraId="4DB9076D">
            <w:pPr>
              <w:ind w:firstLine="0" w:firstLineChars="0"/>
              <w:rPr>
                <w:rFonts w:cs="宋体"/>
                <w:kern w:val="0"/>
                <w:szCs w:val="21"/>
              </w:rPr>
            </w:pPr>
            <w:r>
              <w:rPr>
                <w:rFonts w:hint="eastAsia" w:cs="宋体"/>
                <w:kern w:val="0"/>
                <w:szCs w:val="21"/>
              </w:rPr>
              <w:t>产品应支持无客户端方式同步由数据交换平台主动发起并完成，不需要第三方软件支持（无需在数据库安全任何第三方软件，可以在数据交换平台系统上完成数据库同步配置）(提供证明截图)</w:t>
            </w:r>
          </w:p>
        </w:tc>
      </w:tr>
      <w:tr w14:paraId="25B4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5B59D999">
            <w:pPr>
              <w:ind w:firstLine="0" w:firstLineChars="0"/>
              <w:rPr>
                <w:rFonts w:cs="宋体"/>
                <w:kern w:val="0"/>
                <w:szCs w:val="21"/>
              </w:rPr>
            </w:pPr>
          </w:p>
        </w:tc>
        <w:tc>
          <w:tcPr>
            <w:tcW w:w="4022" w:type="pct"/>
            <w:vAlign w:val="top"/>
          </w:tcPr>
          <w:p w14:paraId="3C76CBFB">
            <w:pPr>
              <w:ind w:firstLine="0" w:firstLineChars="0"/>
              <w:rPr>
                <w:rFonts w:cs="宋体"/>
                <w:kern w:val="0"/>
                <w:szCs w:val="21"/>
              </w:rPr>
            </w:pPr>
            <w:r>
              <w:rPr>
                <w:rFonts w:hint="eastAsia" w:cs="宋体"/>
                <w:kern w:val="0"/>
                <w:szCs w:val="21"/>
              </w:rPr>
              <w:t>产品应支持数据库同步可指定资源使用情况，按任务优先级进行资源分配，可灵活设置一个或一组任务所使用最小内存、最大内容等资源情况（提供功能截图）</w:t>
            </w:r>
          </w:p>
        </w:tc>
      </w:tr>
      <w:tr w14:paraId="4459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continue"/>
            <w:vAlign w:val="center"/>
          </w:tcPr>
          <w:p w14:paraId="29E64DC0">
            <w:pPr>
              <w:ind w:firstLine="0" w:firstLineChars="0"/>
              <w:rPr>
                <w:rFonts w:cs="宋体"/>
                <w:kern w:val="0"/>
                <w:szCs w:val="21"/>
              </w:rPr>
            </w:pPr>
          </w:p>
        </w:tc>
        <w:tc>
          <w:tcPr>
            <w:tcW w:w="4022" w:type="pct"/>
            <w:vAlign w:val="top"/>
          </w:tcPr>
          <w:p w14:paraId="026FC7FC">
            <w:pPr>
              <w:ind w:firstLine="0" w:firstLineChars="0"/>
              <w:rPr>
                <w:rFonts w:cs="宋体"/>
                <w:kern w:val="0"/>
                <w:szCs w:val="21"/>
              </w:rPr>
            </w:pPr>
            <w:r>
              <w:rPr>
                <w:rFonts w:hint="eastAsia" w:cs="宋体"/>
                <w:kern w:val="0"/>
                <w:szCs w:val="21"/>
              </w:rPr>
              <w:t>支持数据库同步线程数配置，提升数据库同步性能；</w:t>
            </w:r>
          </w:p>
        </w:tc>
      </w:tr>
      <w:tr w14:paraId="311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6E40BF8F">
            <w:pPr>
              <w:ind w:firstLine="0" w:firstLineChars="0"/>
              <w:rPr>
                <w:rFonts w:cs="宋体"/>
                <w:kern w:val="0"/>
                <w:szCs w:val="21"/>
              </w:rPr>
            </w:pPr>
            <w:r>
              <w:rPr>
                <w:rFonts w:hint="eastAsia" w:cs="宋体"/>
                <w:kern w:val="0"/>
                <w:szCs w:val="21"/>
              </w:rPr>
              <w:t>邮件访问</w:t>
            </w:r>
          </w:p>
        </w:tc>
        <w:tc>
          <w:tcPr>
            <w:tcW w:w="4022" w:type="pct"/>
            <w:vAlign w:val="center"/>
          </w:tcPr>
          <w:p w14:paraId="6D323538">
            <w:pPr>
              <w:ind w:firstLine="0" w:firstLineChars="0"/>
              <w:rPr>
                <w:rFonts w:cs="宋体"/>
                <w:kern w:val="0"/>
                <w:szCs w:val="21"/>
              </w:rPr>
            </w:pPr>
            <w:r>
              <w:rPr>
                <w:rFonts w:hint="eastAsia" w:cs="宋体"/>
                <w:kern w:val="0"/>
                <w:szCs w:val="21"/>
              </w:rPr>
              <w:t>所投产品应支持邮件发送地址策略、接受地址策略、关键字过滤、主题内容过滤；</w:t>
            </w:r>
          </w:p>
        </w:tc>
      </w:tr>
      <w:tr w14:paraId="5B77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1094F3CE">
            <w:pPr>
              <w:ind w:firstLine="0" w:firstLineChars="0"/>
              <w:rPr>
                <w:rFonts w:cs="宋体"/>
                <w:kern w:val="0"/>
                <w:szCs w:val="21"/>
              </w:rPr>
            </w:pPr>
          </w:p>
        </w:tc>
        <w:tc>
          <w:tcPr>
            <w:tcW w:w="4022" w:type="pct"/>
            <w:vAlign w:val="center"/>
          </w:tcPr>
          <w:p w14:paraId="4172DC85">
            <w:pPr>
              <w:ind w:firstLine="0" w:firstLineChars="0"/>
              <w:rPr>
                <w:rFonts w:cs="宋体"/>
                <w:kern w:val="0"/>
                <w:szCs w:val="21"/>
              </w:rPr>
            </w:pPr>
            <w:r>
              <w:rPr>
                <w:rFonts w:hint="eastAsia" w:cs="宋体"/>
                <w:kern w:val="0"/>
                <w:szCs w:val="21"/>
              </w:rPr>
              <w:t>所投产品应支持对附件及其附件类型进行过滤控制，邮件内容过滤、文档重建、病毒过滤；</w:t>
            </w:r>
          </w:p>
        </w:tc>
      </w:tr>
      <w:tr w14:paraId="3C9A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7690CF80">
            <w:pPr>
              <w:ind w:firstLine="0" w:firstLineChars="0"/>
              <w:rPr>
                <w:rFonts w:cs="宋体"/>
                <w:kern w:val="0"/>
                <w:szCs w:val="21"/>
              </w:rPr>
            </w:pPr>
            <w:r>
              <w:rPr>
                <w:rFonts w:hint="eastAsia" w:cs="宋体"/>
                <w:kern w:val="0"/>
                <w:szCs w:val="21"/>
              </w:rPr>
              <w:t>数据库访问</w:t>
            </w:r>
          </w:p>
        </w:tc>
        <w:tc>
          <w:tcPr>
            <w:tcW w:w="4022" w:type="pct"/>
            <w:vAlign w:val="top"/>
          </w:tcPr>
          <w:p w14:paraId="6817D7AB">
            <w:pPr>
              <w:ind w:firstLine="0" w:firstLineChars="0"/>
              <w:rPr>
                <w:rFonts w:cs="宋体"/>
                <w:kern w:val="0"/>
                <w:szCs w:val="21"/>
              </w:rPr>
            </w:pPr>
            <w:r>
              <w:rPr>
                <w:rFonts w:hint="eastAsia" w:cs="宋体"/>
                <w:kern w:val="0"/>
                <w:szCs w:val="21"/>
              </w:rPr>
              <w:t>支持数据库访问用户名过滤、数据库名、表控制等策略</w:t>
            </w:r>
          </w:p>
        </w:tc>
      </w:tr>
      <w:tr w14:paraId="06A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continue"/>
            <w:vAlign w:val="center"/>
          </w:tcPr>
          <w:p w14:paraId="33FD2212">
            <w:pPr>
              <w:ind w:firstLine="0" w:firstLineChars="0"/>
              <w:rPr>
                <w:rFonts w:cs="宋体"/>
                <w:kern w:val="0"/>
                <w:szCs w:val="21"/>
              </w:rPr>
            </w:pPr>
          </w:p>
        </w:tc>
        <w:tc>
          <w:tcPr>
            <w:tcW w:w="4022" w:type="pct"/>
            <w:vAlign w:val="top"/>
          </w:tcPr>
          <w:p w14:paraId="06DE1491">
            <w:pPr>
              <w:ind w:firstLine="0" w:firstLineChars="0"/>
              <w:rPr>
                <w:rFonts w:cs="宋体"/>
                <w:kern w:val="0"/>
                <w:szCs w:val="21"/>
              </w:rPr>
            </w:pPr>
            <w:r>
              <w:rPr>
                <w:rFonts w:hint="eastAsia" w:cs="宋体"/>
                <w:kern w:val="0"/>
                <w:szCs w:val="21"/>
              </w:rPr>
              <w:t>支持数据库命令控制，可对数据库语句进行过滤；</w:t>
            </w:r>
          </w:p>
        </w:tc>
      </w:tr>
      <w:tr w14:paraId="1575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15706B70">
            <w:pPr>
              <w:ind w:firstLine="0" w:firstLineChars="0"/>
              <w:rPr>
                <w:rFonts w:cs="宋体"/>
                <w:kern w:val="0"/>
                <w:szCs w:val="21"/>
              </w:rPr>
            </w:pPr>
          </w:p>
        </w:tc>
        <w:tc>
          <w:tcPr>
            <w:tcW w:w="4022" w:type="pct"/>
            <w:vAlign w:val="top"/>
          </w:tcPr>
          <w:p w14:paraId="749B5E07">
            <w:pPr>
              <w:ind w:firstLine="0" w:firstLineChars="0"/>
              <w:rPr>
                <w:rFonts w:cs="宋体"/>
                <w:kern w:val="0"/>
                <w:szCs w:val="21"/>
              </w:rPr>
            </w:pPr>
            <w:r>
              <w:rPr>
                <w:rFonts w:hint="eastAsia" w:cs="宋体"/>
                <w:kern w:val="0"/>
                <w:szCs w:val="21"/>
              </w:rPr>
              <w:t>产品应支持数据库库名控制、数据库表控制，可以根据用户与数据库表对应关系，进行相应数据库操作过滤</w:t>
            </w:r>
          </w:p>
        </w:tc>
      </w:tr>
      <w:tr w14:paraId="009B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6BDA2A7C">
            <w:pPr>
              <w:ind w:firstLine="0" w:firstLineChars="0"/>
              <w:rPr>
                <w:rFonts w:cs="宋体"/>
                <w:kern w:val="0"/>
                <w:szCs w:val="21"/>
              </w:rPr>
            </w:pPr>
          </w:p>
        </w:tc>
        <w:tc>
          <w:tcPr>
            <w:tcW w:w="4022" w:type="pct"/>
            <w:vAlign w:val="top"/>
          </w:tcPr>
          <w:p w14:paraId="1F915AD9">
            <w:pPr>
              <w:ind w:firstLine="0" w:firstLineChars="0"/>
              <w:rPr>
                <w:rFonts w:cs="宋体"/>
                <w:kern w:val="0"/>
                <w:szCs w:val="21"/>
              </w:rPr>
            </w:pPr>
            <w:r>
              <w:rPr>
                <w:rFonts w:hint="eastAsia" w:cs="宋体"/>
                <w:kern w:val="0"/>
                <w:szCs w:val="21"/>
              </w:rPr>
              <w:t>产品应支持数据通道配置，任务运行时间控制；</w:t>
            </w:r>
          </w:p>
        </w:tc>
      </w:tr>
      <w:tr w14:paraId="3BDD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6D469031">
            <w:pPr>
              <w:ind w:firstLine="0" w:firstLineChars="0"/>
              <w:rPr>
                <w:rFonts w:cs="宋体"/>
                <w:kern w:val="0"/>
                <w:szCs w:val="21"/>
              </w:rPr>
            </w:pPr>
            <w:r>
              <w:rPr>
                <w:rFonts w:hint="eastAsia" w:cs="宋体"/>
                <w:kern w:val="0"/>
                <w:szCs w:val="21"/>
              </w:rPr>
              <w:t>安全FTP</w:t>
            </w:r>
          </w:p>
        </w:tc>
        <w:tc>
          <w:tcPr>
            <w:tcW w:w="4022" w:type="pct"/>
            <w:vAlign w:val="top"/>
          </w:tcPr>
          <w:p w14:paraId="41884432">
            <w:pPr>
              <w:ind w:firstLine="0" w:firstLineChars="0"/>
              <w:rPr>
                <w:rFonts w:cs="宋体"/>
                <w:kern w:val="0"/>
                <w:szCs w:val="21"/>
              </w:rPr>
            </w:pPr>
            <w:r>
              <w:rPr>
                <w:rFonts w:hint="eastAsia" w:cs="宋体"/>
                <w:kern w:val="0"/>
                <w:szCs w:val="21"/>
              </w:rPr>
              <w:t>产品应支持安全FTP支持最大并发连接数、单个IP最大并发数设置，灵活限制数据通道是否在1024以下端口使用</w:t>
            </w:r>
          </w:p>
        </w:tc>
      </w:tr>
      <w:tr w14:paraId="4192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continue"/>
            <w:vAlign w:val="center"/>
          </w:tcPr>
          <w:p w14:paraId="27AC49EB">
            <w:pPr>
              <w:ind w:firstLine="0" w:firstLineChars="0"/>
              <w:rPr>
                <w:rFonts w:cs="宋体"/>
                <w:kern w:val="0"/>
                <w:szCs w:val="21"/>
              </w:rPr>
            </w:pPr>
          </w:p>
        </w:tc>
        <w:tc>
          <w:tcPr>
            <w:tcW w:w="4022" w:type="pct"/>
            <w:vAlign w:val="top"/>
          </w:tcPr>
          <w:p w14:paraId="1F096CA5">
            <w:pPr>
              <w:ind w:firstLine="0" w:firstLineChars="0"/>
              <w:rPr>
                <w:rFonts w:cs="宋体"/>
                <w:kern w:val="0"/>
                <w:szCs w:val="21"/>
              </w:rPr>
            </w:pPr>
            <w:r>
              <w:rPr>
                <w:rFonts w:hint="eastAsia" w:cs="宋体"/>
                <w:kern w:val="0"/>
                <w:szCs w:val="21"/>
              </w:rPr>
              <w:t>产品应支持安全FTP模块支持病毒扫描文件大小限制、文件类型大小限制、关键字过滤文件大小限制</w:t>
            </w:r>
          </w:p>
        </w:tc>
      </w:tr>
      <w:tr w14:paraId="67DE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68DC6314">
            <w:pPr>
              <w:ind w:firstLine="0" w:firstLineChars="0"/>
              <w:rPr>
                <w:rFonts w:cs="宋体"/>
                <w:kern w:val="0"/>
                <w:szCs w:val="21"/>
              </w:rPr>
            </w:pPr>
            <w:r>
              <w:rPr>
                <w:rFonts w:hint="eastAsia" w:cs="宋体"/>
                <w:kern w:val="0"/>
                <w:szCs w:val="21"/>
              </w:rPr>
              <w:t>TCP/UDP访问</w:t>
            </w:r>
          </w:p>
        </w:tc>
        <w:tc>
          <w:tcPr>
            <w:tcW w:w="4022" w:type="pct"/>
            <w:vAlign w:val="center"/>
          </w:tcPr>
          <w:p w14:paraId="46D81914">
            <w:pPr>
              <w:ind w:firstLine="0" w:firstLineChars="0"/>
              <w:rPr>
                <w:rFonts w:cs="宋体"/>
                <w:kern w:val="0"/>
                <w:szCs w:val="21"/>
              </w:rPr>
            </w:pPr>
            <w:r>
              <w:rPr>
                <w:rFonts w:hint="eastAsia" w:cs="宋体"/>
                <w:kern w:val="0"/>
                <w:szCs w:val="21"/>
              </w:rPr>
              <w:t>所投产品应支持TCP、UDP业务数据统计，可按照秒、分钟展示发送速率、接受速率、连接数，并且可按照图表进行展示；</w:t>
            </w:r>
          </w:p>
        </w:tc>
      </w:tr>
      <w:tr w14:paraId="2AF7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5D0F34D9">
            <w:pPr>
              <w:ind w:firstLine="0" w:firstLineChars="0"/>
              <w:rPr>
                <w:rFonts w:cs="宋体"/>
                <w:kern w:val="0"/>
                <w:szCs w:val="21"/>
              </w:rPr>
            </w:pPr>
            <w:r>
              <w:rPr>
                <w:rFonts w:hint="eastAsia" w:cs="宋体"/>
                <w:kern w:val="0"/>
                <w:szCs w:val="21"/>
              </w:rPr>
              <w:t>安全浏览</w:t>
            </w:r>
          </w:p>
        </w:tc>
        <w:tc>
          <w:tcPr>
            <w:tcW w:w="4022" w:type="pct"/>
            <w:vAlign w:val="top"/>
          </w:tcPr>
          <w:p w14:paraId="49AEAD49">
            <w:pPr>
              <w:ind w:firstLine="0" w:firstLineChars="0"/>
              <w:rPr>
                <w:rFonts w:cs="宋体"/>
                <w:kern w:val="0"/>
                <w:szCs w:val="21"/>
              </w:rPr>
            </w:pPr>
            <w:r>
              <w:rPr>
                <w:rFonts w:hint="eastAsia" w:cs="宋体"/>
                <w:kern w:val="0"/>
                <w:szCs w:val="21"/>
              </w:rPr>
              <w:t>产品应支持安全浏览支持域名控制、源端控制、URL过滤、命令过滤、文件大小限制、用户认证</w:t>
            </w:r>
          </w:p>
        </w:tc>
      </w:tr>
      <w:tr w14:paraId="51AE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1EC774EE">
            <w:pPr>
              <w:ind w:firstLine="0" w:firstLineChars="0"/>
              <w:rPr>
                <w:rFonts w:cs="宋体"/>
                <w:kern w:val="0"/>
                <w:szCs w:val="21"/>
              </w:rPr>
            </w:pPr>
          </w:p>
        </w:tc>
        <w:tc>
          <w:tcPr>
            <w:tcW w:w="4022" w:type="pct"/>
            <w:vAlign w:val="top"/>
          </w:tcPr>
          <w:p w14:paraId="7C515013">
            <w:pPr>
              <w:ind w:firstLine="0" w:firstLineChars="0"/>
              <w:rPr>
                <w:rFonts w:cs="宋体"/>
                <w:kern w:val="0"/>
                <w:szCs w:val="21"/>
              </w:rPr>
            </w:pPr>
            <w:r>
              <w:rPr>
                <w:rFonts w:hint="eastAsia" w:cs="宋体"/>
                <w:kern w:val="0"/>
                <w:szCs w:val="21"/>
              </w:rPr>
              <w:t>产品应支持安全浏览支持用户认证配置，具备本地认证、LDAP认证、RADUIUS认证</w:t>
            </w:r>
          </w:p>
        </w:tc>
      </w:tr>
      <w:tr w14:paraId="5341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Merge w:val="restart"/>
            <w:vAlign w:val="center"/>
          </w:tcPr>
          <w:p w14:paraId="16FF71E3">
            <w:pPr>
              <w:ind w:firstLine="0" w:firstLineChars="0"/>
              <w:rPr>
                <w:rFonts w:cs="宋体"/>
                <w:kern w:val="0"/>
                <w:szCs w:val="21"/>
              </w:rPr>
            </w:pPr>
            <w:r>
              <w:rPr>
                <w:rFonts w:hint="eastAsia" w:cs="宋体"/>
                <w:kern w:val="0"/>
                <w:szCs w:val="21"/>
              </w:rPr>
              <w:t>日志审计</w:t>
            </w:r>
          </w:p>
        </w:tc>
        <w:tc>
          <w:tcPr>
            <w:tcW w:w="4022" w:type="pct"/>
            <w:vAlign w:val="top"/>
          </w:tcPr>
          <w:p w14:paraId="03D2BDA5">
            <w:pPr>
              <w:ind w:firstLine="0" w:firstLineChars="0"/>
              <w:rPr>
                <w:rFonts w:cs="宋体"/>
                <w:kern w:val="0"/>
                <w:szCs w:val="21"/>
              </w:rPr>
            </w:pPr>
            <w:r>
              <w:rPr>
                <w:rFonts w:hint="eastAsia" w:cs="宋体"/>
                <w:kern w:val="0"/>
                <w:szCs w:val="21"/>
              </w:rPr>
              <w:t>产品应支持FTP、SFTP、SMB、NFS等协议进行日志导出到指定服务器目录下</w:t>
            </w:r>
          </w:p>
        </w:tc>
      </w:tr>
      <w:tr w14:paraId="0C9A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6D7E50C0">
            <w:pPr>
              <w:ind w:firstLine="0" w:firstLineChars="0"/>
              <w:rPr>
                <w:rFonts w:cs="宋体"/>
                <w:kern w:val="0"/>
                <w:szCs w:val="21"/>
              </w:rPr>
            </w:pPr>
          </w:p>
        </w:tc>
        <w:tc>
          <w:tcPr>
            <w:tcW w:w="4022" w:type="pct"/>
            <w:vAlign w:val="top"/>
          </w:tcPr>
          <w:p w14:paraId="575B8318">
            <w:pPr>
              <w:ind w:firstLine="0" w:firstLineChars="0"/>
              <w:rPr>
                <w:rFonts w:cs="宋体"/>
                <w:kern w:val="0"/>
                <w:szCs w:val="21"/>
              </w:rPr>
            </w:pPr>
            <w:r>
              <w:rPr>
                <w:rFonts w:hint="eastAsia" w:cs="宋体"/>
                <w:kern w:val="0"/>
                <w:szCs w:val="21"/>
              </w:rPr>
              <w:t>产品应支持安全审计能力，可通过自定义时间、任务名称 、文件名称、文件类型、文件大小类型、源目的文件路径、源目IP等详细字段追溯业务数据流向，可自定义配置查询条件，查询条件策略可以自定义设置；</w:t>
            </w:r>
          </w:p>
        </w:tc>
      </w:tr>
      <w:tr w14:paraId="7F09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restart"/>
            <w:vAlign w:val="center"/>
          </w:tcPr>
          <w:p w14:paraId="7F41E5AC">
            <w:pPr>
              <w:ind w:firstLine="0" w:firstLineChars="0"/>
              <w:rPr>
                <w:rFonts w:cs="宋体"/>
                <w:kern w:val="0"/>
                <w:szCs w:val="21"/>
              </w:rPr>
            </w:pPr>
            <w:r>
              <w:rPr>
                <w:rFonts w:hint="eastAsia" w:cs="宋体"/>
                <w:kern w:val="0"/>
                <w:szCs w:val="21"/>
              </w:rPr>
              <w:t>告警中心</w:t>
            </w:r>
          </w:p>
        </w:tc>
        <w:tc>
          <w:tcPr>
            <w:tcW w:w="4022" w:type="pct"/>
            <w:vAlign w:val="top"/>
          </w:tcPr>
          <w:p w14:paraId="32DCE395">
            <w:pPr>
              <w:ind w:firstLine="0" w:firstLineChars="0"/>
              <w:rPr>
                <w:rFonts w:cs="宋体"/>
                <w:kern w:val="0"/>
                <w:szCs w:val="21"/>
              </w:rPr>
            </w:pPr>
            <w:r>
              <w:rPr>
                <w:rFonts w:hint="eastAsia" w:cs="宋体"/>
                <w:kern w:val="0"/>
                <w:szCs w:val="21"/>
              </w:rPr>
              <w:t>持按照功能模块，灵活开启告警功能，支持邮件告警、日志告警、SNMP等告警方式；</w:t>
            </w:r>
          </w:p>
        </w:tc>
      </w:tr>
      <w:tr w14:paraId="528F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Merge w:val="continue"/>
            <w:vAlign w:val="center"/>
          </w:tcPr>
          <w:p w14:paraId="067F0F96">
            <w:pPr>
              <w:ind w:firstLine="0" w:firstLineChars="0"/>
              <w:rPr>
                <w:rFonts w:cs="宋体"/>
                <w:kern w:val="0"/>
                <w:szCs w:val="21"/>
              </w:rPr>
            </w:pPr>
          </w:p>
        </w:tc>
        <w:tc>
          <w:tcPr>
            <w:tcW w:w="4022" w:type="pct"/>
            <w:vAlign w:val="top"/>
          </w:tcPr>
          <w:p w14:paraId="3151DEC2">
            <w:pPr>
              <w:ind w:firstLine="0" w:firstLineChars="0"/>
              <w:rPr>
                <w:rFonts w:cs="宋体"/>
                <w:kern w:val="0"/>
                <w:szCs w:val="21"/>
              </w:rPr>
            </w:pPr>
            <w:r>
              <w:rPr>
                <w:rFonts w:hint="eastAsia" w:cs="宋体"/>
                <w:kern w:val="0"/>
                <w:szCs w:val="21"/>
              </w:rPr>
              <w:t>支持多种告警类型：病毒告警、攻击告警、硬件异常、系统异常、资源异常、配置变化、日志告警，支持状态日志配置；</w:t>
            </w:r>
          </w:p>
        </w:tc>
      </w:tr>
      <w:tr w14:paraId="5FF5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8" w:type="pct"/>
            <w:vAlign w:val="center"/>
          </w:tcPr>
          <w:p w14:paraId="3197851F">
            <w:pPr>
              <w:ind w:firstLine="0" w:firstLineChars="0"/>
              <w:rPr>
                <w:rFonts w:cs="宋体"/>
                <w:kern w:val="0"/>
                <w:szCs w:val="21"/>
              </w:rPr>
            </w:pPr>
            <w:r>
              <w:rPr>
                <w:rFonts w:hint="eastAsia" w:cs="宋体"/>
                <w:kern w:val="0"/>
                <w:szCs w:val="21"/>
              </w:rPr>
              <w:t>病毒防护</w:t>
            </w:r>
          </w:p>
        </w:tc>
        <w:tc>
          <w:tcPr>
            <w:tcW w:w="4022" w:type="pct"/>
            <w:vAlign w:val="top"/>
          </w:tcPr>
          <w:p w14:paraId="0506141C">
            <w:pPr>
              <w:ind w:firstLine="0" w:firstLineChars="0"/>
              <w:rPr>
                <w:rFonts w:cs="宋体"/>
                <w:kern w:val="0"/>
                <w:szCs w:val="21"/>
              </w:rPr>
            </w:pPr>
            <w:r>
              <w:rPr>
                <w:rFonts w:hint="eastAsia" w:cs="宋体"/>
                <w:kern w:val="0"/>
                <w:szCs w:val="21"/>
              </w:rPr>
              <w:t>产品应支持云查杀模式，可联动云端文件鉴定中心，预判文件安全风险，防止恶意文件通过数据交换平台进入内网，提供高中低不同级别阻断策略；</w:t>
            </w:r>
          </w:p>
        </w:tc>
      </w:tr>
      <w:tr w14:paraId="13C8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pct"/>
            <w:vAlign w:val="center"/>
          </w:tcPr>
          <w:p w14:paraId="0F0CD9ED">
            <w:pPr>
              <w:ind w:firstLine="0" w:firstLineChars="0"/>
              <w:rPr>
                <w:rFonts w:cs="宋体"/>
                <w:kern w:val="0"/>
                <w:szCs w:val="21"/>
              </w:rPr>
            </w:pPr>
            <w:r>
              <w:rPr>
                <w:rFonts w:hint="eastAsia" w:cs="宋体"/>
                <w:kern w:val="0"/>
                <w:szCs w:val="21"/>
              </w:rPr>
              <w:t>兼容性</w:t>
            </w:r>
          </w:p>
        </w:tc>
        <w:tc>
          <w:tcPr>
            <w:tcW w:w="4022" w:type="pct"/>
            <w:vAlign w:val="top"/>
          </w:tcPr>
          <w:p w14:paraId="7FE06AFA">
            <w:pPr>
              <w:ind w:firstLine="0" w:firstLineChars="0"/>
              <w:rPr>
                <w:rFonts w:cs="宋体"/>
                <w:kern w:val="0"/>
                <w:szCs w:val="21"/>
              </w:rPr>
            </w:pPr>
            <w:r>
              <w:rPr>
                <w:rFonts w:hint="eastAsia" w:cs="宋体"/>
                <w:lang w:eastAsia="zh-CN"/>
              </w:rPr>
              <w:t>▲</w:t>
            </w:r>
            <w:r>
              <w:rPr>
                <w:rFonts w:hint="eastAsia" w:cs="宋体"/>
                <w:kern w:val="0"/>
                <w:szCs w:val="21"/>
              </w:rPr>
              <w:t>与现有隔离交换平台中服务调用产品（奇安信网神品牌）相兼容，可以互换部署和使用。</w:t>
            </w:r>
            <w:r>
              <w:rPr>
                <w:rFonts w:cs="宋体"/>
              </w:rPr>
              <w:t>（需提供设备原厂承诺，并加盖原厂公章）</w:t>
            </w:r>
          </w:p>
        </w:tc>
      </w:tr>
    </w:tbl>
    <w:p w14:paraId="0A1CCFF5"/>
    <w:p w14:paraId="191180C9">
      <w:pPr>
        <w:pStyle w:val="6"/>
        <w:numPr>
          <w:ilvl w:val="3"/>
          <w:numId w:val="0"/>
        </w:numPr>
        <w:spacing w:line="413" w:lineRule="auto"/>
      </w:pPr>
      <w:bookmarkStart w:id="64" w:name="_Toc9581"/>
      <w:bookmarkStart w:id="65" w:name="_Toc161989571"/>
      <w:r>
        <w:rPr>
          <w:rFonts w:hint="eastAsia"/>
        </w:rPr>
        <w:t>3.6单向光闸</w:t>
      </w:r>
      <w:bookmarkEnd w:id="64"/>
      <w:bookmarkEnd w:id="65"/>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6855"/>
      </w:tblGrid>
      <w:tr w14:paraId="77D4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81" w:type="pct"/>
            <w:vAlign w:val="center"/>
          </w:tcPr>
          <w:p w14:paraId="7305BCCA">
            <w:pPr>
              <w:ind w:firstLine="482"/>
              <w:contextualSpacing/>
              <w:jc w:val="center"/>
              <w:rPr>
                <w:b/>
                <w:szCs w:val="21"/>
              </w:rPr>
            </w:pPr>
            <w:r>
              <w:rPr>
                <w:rFonts w:hint="eastAsia"/>
                <w:b/>
                <w:szCs w:val="21"/>
              </w:rPr>
              <w:t>指标项</w:t>
            </w:r>
          </w:p>
        </w:tc>
        <w:tc>
          <w:tcPr>
            <w:tcW w:w="4019" w:type="pct"/>
            <w:vAlign w:val="center"/>
          </w:tcPr>
          <w:p w14:paraId="22D0C730">
            <w:pPr>
              <w:ind w:firstLine="482"/>
              <w:contextualSpacing/>
              <w:jc w:val="center"/>
              <w:rPr>
                <w:b/>
                <w:szCs w:val="21"/>
              </w:rPr>
            </w:pPr>
            <w:r>
              <w:rPr>
                <w:rFonts w:hint="eastAsia"/>
                <w:b/>
                <w:szCs w:val="21"/>
              </w:rPr>
              <w:t>技术指标</w:t>
            </w:r>
          </w:p>
        </w:tc>
      </w:tr>
      <w:tr w14:paraId="40E0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73DCC410">
            <w:pPr>
              <w:ind w:firstLine="0" w:firstLineChars="0"/>
              <w:contextualSpacing/>
              <w:rPr>
                <w:rFonts w:cs="黑体"/>
                <w:bCs/>
                <w:kern w:val="0"/>
                <w:szCs w:val="21"/>
              </w:rPr>
            </w:pPr>
            <w:r>
              <w:rPr>
                <w:rFonts w:hint="eastAsia" w:cs="黑体"/>
                <w:bCs/>
                <w:kern w:val="0"/>
                <w:szCs w:val="21"/>
              </w:rPr>
              <w:t>产品架构</w:t>
            </w:r>
          </w:p>
        </w:tc>
        <w:tc>
          <w:tcPr>
            <w:tcW w:w="4019" w:type="pct"/>
            <w:vAlign w:val="center"/>
          </w:tcPr>
          <w:p w14:paraId="68F354C5">
            <w:pPr>
              <w:ind w:firstLine="0" w:firstLineChars="0"/>
              <w:contextualSpacing/>
              <w:rPr>
                <w:rFonts w:cs="黑体"/>
                <w:bCs/>
                <w:kern w:val="0"/>
                <w:szCs w:val="21"/>
              </w:rPr>
            </w:pPr>
            <w:r>
              <w:rPr>
                <w:rFonts w:hint="eastAsia" w:cs="黑体"/>
                <w:bCs/>
                <w:kern w:val="0"/>
                <w:szCs w:val="21"/>
              </w:rPr>
              <w:t>采用</w:t>
            </w:r>
            <w:r>
              <w:rPr>
                <w:rFonts w:cs="黑体"/>
                <w:bCs/>
                <w:kern w:val="0"/>
                <w:szCs w:val="21"/>
              </w:rPr>
              <w:t>2+1模式，即系统由A网主机模块、B网主机模块和交换模块组成；</w:t>
            </w:r>
          </w:p>
        </w:tc>
      </w:tr>
      <w:tr w14:paraId="1EB3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2B244685">
            <w:pPr>
              <w:ind w:firstLine="0" w:firstLineChars="0"/>
              <w:contextualSpacing/>
              <w:rPr>
                <w:rFonts w:cs="黑体"/>
                <w:bCs/>
                <w:kern w:val="0"/>
                <w:szCs w:val="21"/>
              </w:rPr>
            </w:pPr>
            <w:r>
              <w:rPr>
                <w:rFonts w:hint="eastAsia" w:cs="黑体"/>
                <w:bCs/>
                <w:kern w:val="0"/>
                <w:szCs w:val="21"/>
              </w:rPr>
              <w:t>设备性能</w:t>
            </w:r>
          </w:p>
        </w:tc>
        <w:tc>
          <w:tcPr>
            <w:tcW w:w="4019" w:type="pct"/>
            <w:vAlign w:val="center"/>
          </w:tcPr>
          <w:p w14:paraId="5095C0B1">
            <w:pPr>
              <w:ind w:firstLine="0" w:firstLineChars="0"/>
              <w:contextualSpacing/>
              <w:rPr>
                <w:rFonts w:cs="黑体"/>
                <w:bCs/>
                <w:kern w:val="0"/>
                <w:szCs w:val="21"/>
              </w:rPr>
            </w:pPr>
            <w:r>
              <w:rPr>
                <w:rFonts w:hint="eastAsia" w:cs="黑体"/>
                <w:bCs/>
                <w:kern w:val="0"/>
                <w:szCs w:val="21"/>
              </w:rPr>
              <w:t>系统吞吐量≥</w:t>
            </w:r>
            <w:r>
              <w:rPr>
                <w:rFonts w:cs="黑体"/>
                <w:bCs/>
                <w:kern w:val="0"/>
                <w:szCs w:val="21"/>
              </w:rPr>
              <w:t>5Gbps；</w:t>
            </w:r>
          </w:p>
        </w:tc>
      </w:tr>
      <w:tr w14:paraId="0780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Align w:val="center"/>
          </w:tcPr>
          <w:p w14:paraId="2622DD35">
            <w:pPr>
              <w:ind w:firstLine="0" w:firstLineChars="0"/>
              <w:contextualSpacing/>
              <w:rPr>
                <w:rFonts w:cs="黑体"/>
                <w:bCs/>
                <w:kern w:val="0"/>
                <w:szCs w:val="21"/>
              </w:rPr>
            </w:pPr>
            <w:r>
              <w:rPr>
                <w:rFonts w:hint="eastAsia" w:cs="黑体"/>
                <w:bCs/>
                <w:kern w:val="0"/>
                <w:szCs w:val="21"/>
              </w:rPr>
              <w:t>网络接口</w:t>
            </w:r>
          </w:p>
        </w:tc>
        <w:tc>
          <w:tcPr>
            <w:tcW w:w="4019" w:type="pct"/>
            <w:vAlign w:val="center"/>
          </w:tcPr>
          <w:p w14:paraId="0B12ED13">
            <w:pPr>
              <w:ind w:firstLine="0" w:firstLineChars="0"/>
              <w:contextualSpacing/>
              <w:rPr>
                <w:rFonts w:cs="黑体"/>
                <w:bCs/>
                <w:kern w:val="0"/>
                <w:szCs w:val="21"/>
              </w:rPr>
            </w:pPr>
            <w:r>
              <w:rPr>
                <w:rFonts w:hint="eastAsia" w:cs="黑体"/>
                <w:bCs/>
                <w:kern w:val="0"/>
                <w:szCs w:val="21"/>
              </w:rPr>
              <w:t>内网侧标配千兆电口≥</w:t>
            </w:r>
            <w:r>
              <w:rPr>
                <w:rFonts w:cs="黑体"/>
                <w:bCs/>
                <w:kern w:val="0"/>
                <w:szCs w:val="21"/>
              </w:rPr>
              <w:t>4</w:t>
            </w:r>
            <w:r>
              <w:rPr>
                <w:rFonts w:hint="eastAsia" w:cs="黑体"/>
                <w:bCs/>
                <w:kern w:val="0"/>
                <w:szCs w:val="21"/>
              </w:rPr>
              <w:t>个，千兆光口≥</w:t>
            </w:r>
            <w:r>
              <w:rPr>
                <w:rFonts w:cs="黑体"/>
                <w:bCs/>
                <w:kern w:val="0"/>
                <w:szCs w:val="21"/>
              </w:rPr>
              <w:t>4个，接口板卡扩展插槽≥2</w:t>
            </w:r>
            <w:r>
              <w:rPr>
                <w:rFonts w:hint="eastAsia" w:cs="黑体"/>
                <w:bCs/>
                <w:kern w:val="0"/>
                <w:szCs w:val="21"/>
              </w:rPr>
              <w:t>个；外网侧标配千兆电口≥</w:t>
            </w:r>
            <w:r>
              <w:rPr>
                <w:rFonts w:cs="黑体"/>
                <w:bCs/>
                <w:kern w:val="0"/>
                <w:szCs w:val="21"/>
              </w:rPr>
              <w:t>4个，千兆光口≥4个，接口板卡扩展插槽≥2</w:t>
            </w:r>
            <w:r>
              <w:rPr>
                <w:rFonts w:hint="eastAsia" w:cs="黑体"/>
                <w:bCs/>
                <w:kern w:val="0"/>
                <w:szCs w:val="21"/>
              </w:rPr>
              <w:t>个；</w:t>
            </w:r>
          </w:p>
        </w:tc>
      </w:tr>
      <w:tr w14:paraId="59AE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0906B63B">
            <w:pPr>
              <w:ind w:firstLine="0" w:firstLineChars="0"/>
              <w:contextualSpacing/>
              <w:rPr>
                <w:rFonts w:cs="黑体"/>
                <w:bCs/>
                <w:kern w:val="0"/>
                <w:szCs w:val="21"/>
              </w:rPr>
            </w:pPr>
            <w:r>
              <w:rPr>
                <w:rFonts w:hint="eastAsia" w:cs="黑体"/>
                <w:bCs/>
                <w:kern w:val="0"/>
                <w:szCs w:val="21"/>
              </w:rPr>
              <w:t>硬件规格</w:t>
            </w:r>
          </w:p>
        </w:tc>
        <w:tc>
          <w:tcPr>
            <w:tcW w:w="4019" w:type="pct"/>
            <w:vAlign w:val="center"/>
          </w:tcPr>
          <w:p w14:paraId="3E454738">
            <w:pPr>
              <w:ind w:firstLine="0" w:firstLineChars="0"/>
              <w:contextualSpacing/>
              <w:rPr>
                <w:rFonts w:cs="黑体"/>
                <w:bCs/>
                <w:kern w:val="0"/>
                <w:szCs w:val="21"/>
              </w:rPr>
            </w:pPr>
            <w:r>
              <w:rPr>
                <w:rFonts w:cs="黑体"/>
                <w:bCs/>
                <w:kern w:val="0"/>
                <w:szCs w:val="21"/>
              </w:rPr>
              <w:t>产品应为标准机架式设备，冗余电源；</w:t>
            </w:r>
          </w:p>
        </w:tc>
      </w:tr>
      <w:tr w14:paraId="090B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6164A439">
            <w:pPr>
              <w:ind w:firstLine="0" w:firstLineChars="0"/>
              <w:contextualSpacing/>
              <w:rPr>
                <w:rFonts w:cs="黑体"/>
                <w:bCs/>
                <w:kern w:val="0"/>
                <w:szCs w:val="21"/>
              </w:rPr>
            </w:pPr>
            <w:r>
              <w:rPr>
                <w:rFonts w:hint="eastAsia" w:cs="黑体"/>
                <w:bCs/>
                <w:kern w:val="0"/>
                <w:szCs w:val="21"/>
              </w:rPr>
              <w:t>适配平台</w:t>
            </w:r>
          </w:p>
        </w:tc>
        <w:tc>
          <w:tcPr>
            <w:tcW w:w="4019" w:type="pct"/>
            <w:vAlign w:val="center"/>
          </w:tcPr>
          <w:p w14:paraId="3EE5F629">
            <w:pPr>
              <w:ind w:firstLine="0" w:firstLineChars="0"/>
              <w:contextualSpacing/>
              <w:rPr>
                <w:rFonts w:cs="黑体"/>
                <w:bCs/>
                <w:kern w:val="0"/>
                <w:szCs w:val="21"/>
              </w:rPr>
            </w:pPr>
            <w:r>
              <w:rPr>
                <w:rFonts w:cs="黑体"/>
                <w:bCs/>
                <w:kern w:val="0"/>
                <w:szCs w:val="21"/>
              </w:rPr>
              <w:t>支持信创CPU芯片和操作系统</w:t>
            </w:r>
            <w:r>
              <w:rPr>
                <w:rFonts w:hint="eastAsia" w:cs="黑体"/>
                <w:bCs/>
                <w:kern w:val="0"/>
                <w:szCs w:val="21"/>
              </w:rPr>
              <w:t>；</w:t>
            </w:r>
          </w:p>
        </w:tc>
      </w:tr>
      <w:tr w14:paraId="60AA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4C3E7700">
            <w:pPr>
              <w:ind w:firstLine="0" w:firstLineChars="0"/>
              <w:contextualSpacing/>
              <w:rPr>
                <w:rFonts w:cs="黑体"/>
                <w:bCs/>
                <w:kern w:val="0"/>
                <w:szCs w:val="21"/>
              </w:rPr>
            </w:pPr>
            <w:r>
              <w:rPr>
                <w:rFonts w:hint="eastAsia" w:cs="黑体"/>
                <w:bCs/>
                <w:kern w:val="0"/>
                <w:szCs w:val="21"/>
              </w:rPr>
              <w:t>文件导入</w:t>
            </w:r>
          </w:p>
        </w:tc>
        <w:tc>
          <w:tcPr>
            <w:tcW w:w="4019" w:type="pct"/>
            <w:vAlign w:val="center"/>
          </w:tcPr>
          <w:p w14:paraId="0D0A13FA">
            <w:pPr>
              <w:ind w:firstLine="0" w:firstLineChars="0"/>
              <w:contextualSpacing/>
              <w:rPr>
                <w:rFonts w:cs="黑体"/>
                <w:bCs/>
                <w:kern w:val="0"/>
                <w:szCs w:val="21"/>
              </w:rPr>
            </w:pPr>
            <w:r>
              <w:rPr>
                <w:rFonts w:hint="eastAsia" w:cs="黑体"/>
                <w:bCs/>
                <w:kern w:val="0"/>
                <w:szCs w:val="21"/>
              </w:rPr>
              <w:t>支持内嵌模式、客户端模式、服务端模式文件导入；</w:t>
            </w:r>
          </w:p>
        </w:tc>
      </w:tr>
      <w:tr w14:paraId="4FA32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Merge w:val="continue"/>
            <w:vAlign w:val="center"/>
          </w:tcPr>
          <w:p w14:paraId="5F8D6BF3">
            <w:pPr>
              <w:ind w:firstLine="0" w:firstLineChars="0"/>
              <w:contextualSpacing/>
              <w:rPr>
                <w:rFonts w:cs="黑体"/>
                <w:bCs/>
                <w:kern w:val="0"/>
                <w:szCs w:val="21"/>
              </w:rPr>
            </w:pPr>
          </w:p>
        </w:tc>
        <w:tc>
          <w:tcPr>
            <w:tcW w:w="4019" w:type="pct"/>
            <w:vAlign w:val="center"/>
          </w:tcPr>
          <w:p w14:paraId="6B8B632C">
            <w:pPr>
              <w:ind w:firstLine="0" w:firstLineChars="0"/>
              <w:contextualSpacing/>
              <w:rPr>
                <w:rFonts w:cs="黑体"/>
                <w:bCs/>
                <w:kern w:val="0"/>
                <w:szCs w:val="21"/>
              </w:rPr>
            </w:pPr>
            <w:r>
              <w:rPr>
                <w:rFonts w:hint="eastAsia" w:cs="黑体"/>
                <w:bCs/>
                <w:kern w:val="0"/>
                <w:szCs w:val="21"/>
              </w:rPr>
              <w:t>支持无客户端模式，不需要安装任何客户端软件；无客户端模式下，支持</w:t>
            </w:r>
            <w:r>
              <w:rPr>
                <w:rFonts w:cs="黑体"/>
                <w:bCs/>
                <w:kern w:val="0"/>
                <w:szCs w:val="21"/>
              </w:rPr>
              <w:t>FTP、SMB、NFS、SFTP方式的文件单向导入；</w:t>
            </w:r>
          </w:p>
        </w:tc>
      </w:tr>
      <w:tr w14:paraId="66E7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633D8AE4">
            <w:pPr>
              <w:ind w:firstLine="0" w:firstLineChars="0"/>
              <w:contextualSpacing/>
              <w:rPr>
                <w:rFonts w:cs="黑体"/>
                <w:bCs/>
                <w:kern w:val="0"/>
                <w:szCs w:val="21"/>
              </w:rPr>
            </w:pPr>
          </w:p>
        </w:tc>
        <w:tc>
          <w:tcPr>
            <w:tcW w:w="4019" w:type="pct"/>
            <w:vAlign w:val="center"/>
          </w:tcPr>
          <w:p w14:paraId="230B2C87">
            <w:pPr>
              <w:ind w:firstLine="0" w:firstLineChars="0"/>
              <w:contextualSpacing/>
              <w:rPr>
                <w:rFonts w:cs="黑体"/>
                <w:bCs/>
                <w:kern w:val="0"/>
                <w:szCs w:val="21"/>
              </w:rPr>
            </w:pPr>
            <w:r>
              <w:rPr>
                <w:rFonts w:hint="eastAsia" w:cs="黑体"/>
                <w:bCs/>
                <w:kern w:val="0"/>
                <w:szCs w:val="21"/>
              </w:rPr>
              <w:t>支持多种同步模式：</w:t>
            </w:r>
            <w:r>
              <w:rPr>
                <w:rFonts w:cs="黑体"/>
                <w:bCs/>
                <w:kern w:val="0"/>
                <w:szCs w:val="21"/>
              </w:rPr>
              <w:t xml:space="preserve"> 源端移动、源端删除、源端保留等模式； </w:t>
            </w:r>
          </w:p>
        </w:tc>
      </w:tr>
      <w:tr w14:paraId="1880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31A659C5">
            <w:pPr>
              <w:ind w:firstLine="0" w:firstLineChars="0"/>
              <w:contextualSpacing/>
              <w:rPr>
                <w:rFonts w:cs="黑体"/>
                <w:bCs/>
                <w:kern w:val="0"/>
                <w:szCs w:val="21"/>
              </w:rPr>
            </w:pPr>
          </w:p>
        </w:tc>
        <w:tc>
          <w:tcPr>
            <w:tcW w:w="4019" w:type="pct"/>
            <w:vAlign w:val="center"/>
          </w:tcPr>
          <w:p w14:paraId="1443C8A4">
            <w:pPr>
              <w:ind w:firstLine="0" w:firstLineChars="0"/>
              <w:contextualSpacing/>
              <w:rPr>
                <w:rFonts w:cs="黑体"/>
                <w:bCs/>
                <w:kern w:val="0"/>
                <w:szCs w:val="21"/>
              </w:rPr>
            </w:pPr>
            <w:r>
              <w:rPr>
                <w:rFonts w:hint="eastAsia" w:cs="黑体"/>
                <w:bCs/>
                <w:kern w:val="0"/>
                <w:szCs w:val="21"/>
              </w:rPr>
              <w:t>支持服务器数据传输编码形式；</w:t>
            </w:r>
          </w:p>
        </w:tc>
      </w:tr>
      <w:tr w14:paraId="6234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7D519FE8">
            <w:pPr>
              <w:ind w:firstLine="0" w:firstLineChars="0"/>
              <w:contextualSpacing/>
              <w:rPr>
                <w:rFonts w:cs="黑体"/>
                <w:bCs/>
                <w:kern w:val="0"/>
                <w:szCs w:val="21"/>
              </w:rPr>
            </w:pPr>
          </w:p>
        </w:tc>
        <w:tc>
          <w:tcPr>
            <w:tcW w:w="4019" w:type="pct"/>
            <w:vAlign w:val="center"/>
          </w:tcPr>
          <w:p w14:paraId="24BB53C4">
            <w:pPr>
              <w:ind w:firstLine="0" w:firstLineChars="0"/>
              <w:contextualSpacing/>
              <w:rPr>
                <w:rFonts w:cs="黑体"/>
                <w:bCs/>
                <w:kern w:val="0"/>
                <w:szCs w:val="21"/>
              </w:rPr>
            </w:pPr>
            <w:r>
              <w:rPr>
                <w:rFonts w:hint="eastAsia" w:cs="黑体"/>
                <w:bCs/>
                <w:kern w:val="0"/>
                <w:szCs w:val="21"/>
              </w:rPr>
              <w:t>支持客户端服务模式，当服务器异常重启，客户端可自行启动，无需人员干预；</w:t>
            </w:r>
          </w:p>
        </w:tc>
      </w:tr>
      <w:tr w14:paraId="785A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Merge w:val="continue"/>
            <w:vAlign w:val="center"/>
          </w:tcPr>
          <w:p w14:paraId="19F9F83E">
            <w:pPr>
              <w:ind w:firstLine="0" w:firstLineChars="0"/>
              <w:contextualSpacing/>
              <w:rPr>
                <w:rFonts w:cs="黑体"/>
                <w:bCs/>
                <w:kern w:val="0"/>
                <w:szCs w:val="21"/>
              </w:rPr>
            </w:pPr>
          </w:p>
        </w:tc>
        <w:tc>
          <w:tcPr>
            <w:tcW w:w="4019" w:type="pct"/>
            <w:vAlign w:val="center"/>
          </w:tcPr>
          <w:p w14:paraId="2F731CDF">
            <w:pPr>
              <w:ind w:firstLine="0" w:firstLineChars="0"/>
              <w:contextualSpacing/>
              <w:rPr>
                <w:rFonts w:cs="黑体"/>
                <w:bCs/>
                <w:kern w:val="0"/>
                <w:szCs w:val="21"/>
              </w:rPr>
            </w:pPr>
            <w:r>
              <w:rPr>
                <w:rFonts w:hint="eastAsia" w:cs="黑体"/>
                <w:bCs/>
                <w:kern w:val="0"/>
                <w:szCs w:val="21"/>
              </w:rPr>
              <w:t>支持病毒检测功能，支持通过文件大小控制病毒查杀；支持文件名及后缀名过滤，同时支持文件类型识别过滤，即不基于后缀名的过滤；</w:t>
            </w:r>
          </w:p>
        </w:tc>
      </w:tr>
      <w:tr w14:paraId="0E28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336C5D09">
            <w:pPr>
              <w:ind w:firstLine="0" w:firstLineChars="0"/>
              <w:contextualSpacing/>
              <w:rPr>
                <w:rFonts w:cs="黑体"/>
                <w:bCs/>
                <w:kern w:val="0"/>
                <w:szCs w:val="21"/>
              </w:rPr>
            </w:pPr>
          </w:p>
        </w:tc>
        <w:tc>
          <w:tcPr>
            <w:tcW w:w="4019" w:type="pct"/>
            <w:vAlign w:val="center"/>
          </w:tcPr>
          <w:p w14:paraId="33EE3721">
            <w:pPr>
              <w:ind w:firstLine="0" w:firstLineChars="0"/>
              <w:contextualSpacing/>
              <w:rPr>
                <w:rFonts w:cs="黑体"/>
                <w:bCs/>
                <w:kern w:val="0"/>
                <w:szCs w:val="21"/>
              </w:rPr>
            </w:pPr>
            <w:r>
              <w:rPr>
                <w:rFonts w:hint="eastAsia" w:cs="黑体"/>
                <w:bCs/>
                <w:kern w:val="0"/>
                <w:szCs w:val="21"/>
              </w:rPr>
              <w:t>支持文件安全策略细分到任务，可按需配置全局策略或细分任务策略；</w:t>
            </w:r>
          </w:p>
        </w:tc>
      </w:tr>
      <w:tr w14:paraId="3EA0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5902D6B8">
            <w:pPr>
              <w:ind w:firstLine="0" w:firstLineChars="0"/>
              <w:contextualSpacing/>
              <w:rPr>
                <w:rFonts w:cs="黑体"/>
                <w:bCs/>
                <w:kern w:val="0"/>
                <w:szCs w:val="21"/>
              </w:rPr>
            </w:pPr>
            <w:r>
              <w:rPr>
                <w:rFonts w:hint="eastAsia" w:cs="黑体"/>
                <w:bCs/>
                <w:kern w:val="0"/>
                <w:szCs w:val="21"/>
              </w:rPr>
              <w:t>数据库导入</w:t>
            </w:r>
          </w:p>
        </w:tc>
        <w:tc>
          <w:tcPr>
            <w:tcW w:w="4019" w:type="pct"/>
            <w:vAlign w:val="center"/>
          </w:tcPr>
          <w:p w14:paraId="59A3A6AD">
            <w:pPr>
              <w:ind w:firstLine="0" w:firstLineChars="0"/>
              <w:contextualSpacing/>
              <w:rPr>
                <w:rFonts w:cs="黑体"/>
                <w:bCs/>
                <w:kern w:val="0"/>
                <w:szCs w:val="21"/>
              </w:rPr>
            </w:pPr>
            <w:r>
              <w:rPr>
                <w:rFonts w:hint="eastAsia" w:cs="黑体"/>
                <w:bCs/>
                <w:kern w:val="0"/>
                <w:szCs w:val="21"/>
              </w:rPr>
              <w:t>支持</w:t>
            </w:r>
            <w:r>
              <w:rPr>
                <w:rFonts w:cs="黑体"/>
                <w:bCs/>
                <w:kern w:val="0"/>
                <w:szCs w:val="21"/>
              </w:rPr>
              <w:t>Oracle、SQL Server、人大金仓、达梦等主流国产数据库同步；</w:t>
            </w:r>
          </w:p>
        </w:tc>
      </w:tr>
      <w:tr w14:paraId="3894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74250A70">
            <w:pPr>
              <w:ind w:firstLine="0" w:firstLineChars="0"/>
              <w:contextualSpacing/>
              <w:rPr>
                <w:rFonts w:cs="黑体"/>
                <w:bCs/>
                <w:kern w:val="0"/>
                <w:szCs w:val="21"/>
              </w:rPr>
            </w:pPr>
          </w:p>
        </w:tc>
        <w:tc>
          <w:tcPr>
            <w:tcW w:w="4019" w:type="pct"/>
            <w:vAlign w:val="center"/>
          </w:tcPr>
          <w:p w14:paraId="046BAD5F">
            <w:pPr>
              <w:ind w:firstLine="0" w:firstLineChars="0"/>
              <w:contextualSpacing/>
              <w:rPr>
                <w:rFonts w:cs="黑体"/>
                <w:bCs/>
                <w:kern w:val="0"/>
                <w:szCs w:val="21"/>
              </w:rPr>
            </w:pPr>
            <w:r>
              <w:rPr>
                <w:rFonts w:hint="eastAsia" w:cs="黑体"/>
                <w:bCs/>
                <w:kern w:val="0"/>
                <w:szCs w:val="21"/>
              </w:rPr>
              <w:t>支持无客户端多种部署方式实现数据库同步，同步由网闸主动发起并完成，不需要第三方软件支持；</w:t>
            </w:r>
          </w:p>
        </w:tc>
      </w:tr>
      <w:tr w14:paraId="3430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Merge w:val="continue"/>
            <w:vAlign w:val="center"/>
          </w:tcPr>
          <w:p w14:paraId="02E933DC">
            <w:pPr>
              <w:ind w:firstLine="0" w:firstLineChars="0"/>
              <w:contextualSpacing/>
              <w:rPr>
                <w:rFonts w:cs="黑体"/>
                <w:bCs/>
                <w:kern w:val="0"/>
                <w:szCs w:val="21"/>
              </w:rPr>
            </w:pPr>
          </w:p>
        </w:tc>
        <w:tc>
          <w:tcPr>
            <w:tcW w:w="4019" w:type="pct"/>
            <w:vAlign w:val="center"/>
          </w:tcPr>
          <w:p w14:paraId="3C03EFEF">
            <w:pPr>
              <w:ind w:firstLine="0" w:firstLineChars="0"/>
              <w:contextualSpacing/>
              <w:rPr>
                <w:rFonts w:cs="黑体"/>
                <w:bCs/>
                <w:kern w:val="0"/>
                <w:szCs w:val="21"/>
              </w:rPr>
            </w:pPr>
            <w:r>
              <w:rPr>
                <w:rFonts w:hint="eastAsia" w:cs="黑体"/>
                <w:bCs/>
                <w:kern w:val="0"/>
                <w:szCs w:val="21"/>
              </w:rPr>
              <w:t>支持一对一、一对多、多对一数据库同步，支持设定同步时间和同步周期；</w:t>
            </w:r>
          </w:p>
        </w:tc>
      </w:tr>
      <w:tr w14:paraId="5991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2C852F35">
            <w:pPr>
              <w:ind w:firstLine="0" w:firstLineChars="0"/>
              <w:contextualSpacing/>
              <w:rPr>
                <w:rFonts w:cs="黑体"/>
                <w:bCs/>
                <w:kern w:val="0"/>
                <w:szCs w:val="21"/>
              </w:rPr>
            </w:pPr>
          </w:p>
        </w:tc>
        <w:tc>
          <w:tcPr>
            <w:tcW w:w="4019" w:type="pct"/>
            <w:vAlign w:val="center"/>
          </w:tcPr>
          <w:p w14:paraId="5673E59E">
            <w:pPr>
              <w:ind w:firstLine="0" w:firstLineChars="0"/>
              <w:contextualSpacing/>
              <w:rPr>
                <w:rFonts w:cs="黑体"/>
                <w:bCs/>
                <w:kern w:val="0"/>
                <w:szCs w:val="21"/>
              </w:rPr>
            </w:pPr>
            <w:r>
              <w:rPr>
                <w:rFonts w:hint="eastAsia" w:cs="黑体"/>
                <w:bCs/>
                <w:kern w:val="0"/>
                <w:szCs w:val="21"/>
              </w:rPr>
              <w:t>支持两台单向设备实现数据库的双向同步；</w:t>
            </w:r>
          </w:p>
        </w:tc>
      </w:tr>
      <w:tr w14:paraId="0A11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776F207D">
            <w:pPr>
              <w:ind w:firstLine="0" w:firstLineChars="0"/>
              <w:contextualSpacing/>
              <w:rPr>
                <w:rFonts w:cs="黑体"/>
                <w:bCs/>
                <w:kern w:val="0"/>
                <w:szCs w:val="21"/>
              </w:rPr>
            </w:pPr>
          </w:p>
        </w:tc>
        <w:tc>
          <w:tcPr>
            <w:tcW w:w="4019" w:type="pct"/>
            <w:vAlign w:val="center"/>
          </w:tcPr>
          <w:p w14:paraId="7377108D">
            <w:pPr>
              <w:ind w:firstLine="0" w:firstLineChars="0"/>
              <w:contextualSpacing/>
              <w:rPr>
                <w:rFonts w:cs="黑体"/>
                <w:bCs/>
                <w:kern w:val="0"/>
                <w:szCs w:val="21"/>
              </w:rPr>
            </w:pPr>
            <w:r>
              <w:rPr>
                <w:rFonts w:hint="eastAsia" w:cs="黑体"/>
                <w:bCs/>
                <w:kern w:val="0"/>
                <w:szCs w:val="21"/>
              </w:rPr>
              <w:t>支持数据库同步进度监控，支持数据库连接状态检测；</w:t>
            </w:r>
          </w:p>
        </w:tc>
      </w:tr>
      <w:tr w14:paraId="4F74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15DE6B0E">
            <w:pPr>
              <w:ind w:firstLine="0" w:firstLineChars="0"/>
              <w:contextualSpacing/>
              <w:rPr>
                <w:rFonts w:cs="黑体"/>
                <w:bCs/>
                <w:kern w:val="0"/>
                <w:szCs w:val="21"/>
              </w:rPr>
            </w:pPr>
            <w:r>
              <w:rPr>
                <w:rFonts w:hint="eastAsia" w:cs="黑体"/>
                <w:bCs/>
                <w:kern w:val="0"/>
                <w:szCs w:val="21"/>
              </w:rPr>
              <w:t>邮件导入</w:t>
            </w:r>
          </w:p>
        </w:tc>
        <w:tc>
          <w:tcPr>
            <w:tcW w:w="4019" w:type="pct"/>
            <w:vAlign w:val="center"/>
          </w:tcPr>
          <w:p w14:paraId="774C5DEB">
            <w:pPr>
              <w:ind w:firstLine="0" w:firstLineChars="0"/>
              <w:contextualSpacing/>
              <w:rPr>
                <w:rFonts w:cs="黑体"/>
                <w:bCs/>
                <w:kern w:val="0"/>
                <w:szCs w:val="21"/>
              </w:rPr>
            </w:pPr>
            <w:r>
              <w:rPr>
                <w:rFonts w:hint="eastAsia" w:cs="黑体"/>
                <w:bCs/>
                <w:kern w:val="0"/>
                <w:szCs w:val="21"/>
              </w:rPr>
              <w:t>支持发件人、收件人过滤、邮件主题过滤、邮件正文过滤、附件类型过滤、邮件传输大小设置；</w:t>
            </w:r>
          </w:p>
        </w:tc>
      </w:tr>
      <w:tr w14:paraId="2A49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Merge w:val="continue"/>
            <w:vAlign w:val="center"/>
          </w:tcPr>
          <w:p w14:paraId="552CABDF">
            <w:pPr>
              <w:ind w:firstLine="0" w:firstLineChars="0"/>
              <w:contextualSpacing/>
              <w:rPr>
                <w:rFonts w:cs="黑体"/>
                <w:bCs/>
                <w:kern w:val="0"/>
                <w:szCs w:val="21"/>
              </w:rPr>
            </w:pPr>
          </w:p>
        </w:tc>
        <w:tc>
          <w:tcPr>
            <w:tcW w:w="4019" w:type="pct"/>
            <w:vAlign w:val="center"/>
          </w:tcPr>
          <w:p w14:paraId="298BDD71">
            <w:pPr>
              <w:ind w:firstLine="0" w:firstLineChars="0"/>
              <w:contextualSpacing/>
              <w:rPr>
                <w:rFonts w:cs="黑体"/>
                <w:bCs/>
                <w:kern w:val="0"/>
                <w:szCs w:val="21"/>
              </w:rPr>
            </w:pPr>
            <w:r>
              <w:rPr>
                <w:rFonts w:hint="eastAsia" w:cs="黑体"/>
                <w:bCs/>
                <w:kern w:val="0"/>
                <w:szCs w:val="21"/>
              </w:rPr>
              <w:t>支持黑、白名单邮件导入控制；</w:t>
            </w:r>
          </w:p>
        </w:tc>
      </w:tr>
      <w:tr w14:paraId="1500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4E835D0D">
            <w:pPr>
              <w:ind w:firstLine="0" w:firstLineChars="0"/>
              <w:contextualSpacing/>
              <w:rPr>
                <w:rFonts w:cs="黑体"/>
                <w:bCs/>
                <w:kern w:val="0"/>
                <w:szCs w:val="21"/>
              </w:rPr>
            </w:pPr>
          </w:p>
        </w:tc>
        <w:tc>
          <w:tcPr>
            <w:tcW w:w="4019" w:type="pct"/>
            <w:vAlign w:val="center"/>
          </w:tcPr>
          <w:p w14:paraId="299C7B53">
            <w:pPr>
              <w:ind w:firstLine="0" w:firstLineChars="0"/>
              <w:contextualSpacing/>
              <w:rPr>
                <w:rFonts w:cs="黑体"/>
                <w:bCs/>
                <w:kern w:val="0"/>
                <w:szCs w:val="21"/>
              </w:rPr>
            </w:pPr>
            <w:r>
              <w:rPr>
                <w:rFonts w:hint="eastAsia" w:cs="黑体"/>
                <w:bCs/>
                <w:kern w:val="0"/>
                <w:szCs w:val="21"/>
              </w:rPr>
              <w:t>支持每秒最大并发数、每秒新建连接数、单链接最大吞吐量、每秒最大吞吐量设置；</w:t>
            </w:r>
          </w:p>
        </w:tc>
      </w:tr>
      <w:tr w14:paraId="08ED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50FE47C0">
            <w:pPr>
              <w:ind w:firstLine="0" w:firstLineChars="0"/>
              <w:contextualSpacing/>
              <w:rPr>
                <w:rFonts w:cs="黑体"/>
                <w:bCs/>
                <w:kern w:val="0"/>
                <w:szCs w:val="21"/>
              </w:rPr>
            </w:pPr>
            <w:r>
              <w:rPr>
                <w:rFonts w:hint="eastAsia" w:cs="黑体"/>
                <w:bCs/>
                <w:kern w:val="0"/>
                <w:szCs w:val="21"/>
              </w:rPr>
              <w:t>分发访问</w:t>
            </w:r>
          </w:p>
        </w:tc>
        <w:tc>
          <w:tcPr>
            <w:tcW w:w="4019" w:type="pct"/>
            <w:vAlign w:val="center"/>
          </w:tcPr>
          <w:p w14:paraId="2B3C7419">
            <w:pPr>
              <w:ind w:firstLine="0" w:firstLineChars="0"/>
              <w:contextualSpacing/>
              <w:rPr>
                <w:rFonts w:cs="黑体"/>
                <w:bCs/>
                <w:kern w:val="0"/>
                <w:szCs w:val="21"/>
              </w:rPr>
            </w:pPr>
            <w:r>
              <w:rPr>
                <w:rFonts w:hint="eastAsia" w:cs="黑体"/>
                <w:bCs/>
                <w:kern w:val="0"/>
                <w:szCs w:val="21"/>
              </w:rPr>
              <w:t>支持两台单向设备实现标准</w:t>
            </w:r>
            <w:r>
              <w:rPr>
                <w:rFonts w:cs="黑体"/>
                <w:bCs/>
                <w:kern w:val="0"/>
                <w:szCs w:val="21"/>
              </w:rPr>
              <w:t>TCP访问，由光闸自身完成，不需要第三方软件或服务器支持；</w:t>
            </w:r>
          </w:p>
        </w:tc>
      </w:tr>
      <w:tr w14:paraId="44E8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73B06E91">
            <w:pPr>
              <w:ind w:firstLine="0" w:firstLineChars="0"/>
              <w:contextualSpacing/>
              <w:rPr>
                <w:rFonts w:cs="黑体"/>
                <w:bCs/>
                <w:kern w:val="0"/>
                <w:szCs w:val="21"/>
              </w:rPr>
            </w:pPr>
            <w:r>
              <w:rPr>
                <w:rFonts w:hint="eastAsia" w:cs="黑体"/>
                <w:bCs/>
                <w:kern w:val="0"/>
                <w:szCs w:val="21"/>
              </w:rPr>
              <w:t>单向</w:t>
            </w:r>
            <w:r>
              <w:rPr>
                <w:rFonts w:cs="黑体"/>
                <w:bCs/>
                <w:kern w:val="0"/>
                <w:szCs w:val="21"/>
              </w:rPr>
              <w:t>TCP</w:t>
            </w:r>
          </w:p>
        </w:tc>
        <w:tc>
          <w:tcPr>
            <w:tcW w:w="4019" w:type="pct"/>
          </w:tcPr>
          <w:p w14:paraId="743483C2">
            <w:pPr>
              <w:ind w:firstLine="0" w:firstLineChars="0"/>
              <w:contextualSpacing/>
              <w:rPr>
                <w:rFonts w:cs="黑体"/>
                <w:bCs/>
                <w:kern w:val="0"/>
                <w:szCs w:val="21"/>
              </w:rPr>
            </w:pPr>
            <w:r>
              <w:rPr>
                <w:rFonts w:hint="eastAsia" w:cs="黑体"/>
                <w:bCs/>
                <w:kern w:val="0"/>
                <w:szCs w:val="21"/>
              </w:rPr>
              <w:t>支持单向</w:t>
            </w:r>
            <w:r>
              <w:rPr>
                <w:rFonts w:cs="黑体"/>
                <w:bCs/>
                <w:kern w:val="0"/>
                <w:szCs w:val="21"/>
              </w:rPr>
              <w:t xml:space="preserve">TCP定制服务； </w:t>
            </w:r>
          </w:p>
        </w:tc>
      </w:tr>
      <w:tr w14:paraId="7304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Merge w:val="continue"/>
            <w:vAlign w:val="center"/>
          </w:tcPr>
          <w:p w14:paraId="528BD305">
            <w:pPr>
              <w:ind w:firstLine="0" w:firstLineChars="0"/>
              <w:contextualSpacing/>
              <w:rPr>
                <w:rFonts w:cs="黑体"/>
                <w:bCs/>
                <w:kern w:val="0"/>
                <w:szCs w:val="21"/>
              </w:rPr>
            </w:pPr>
          </w:p>
        </w:tc>
        <w:tc>
          <w:tcPr>
            <w:tcW w:w="4019" w:type="pct"/>
          </w:tcPr>
          <w:p w14:paraId="35359783">
            <w:pPr>
              <w:ind w:firstLine="0" w:firstLineChars="0"/>
              <w:contextualSpacing/>
              <w:rPr>
                <w:rFonts w:cs="黑体"/>
                <w:bCs/>
                <w:kern w:val="0"/>
                <w:szCs w:val="21"/>
              </w:rPr>
            </w:pPr>
            <w:r>
              <w:rPr>
                <w:rFonts w:hint="eastAsia" w:cs="黑体"/>
                <w:bCs/>
                <w:kern w:val="0"/>
                <w:szCs w:val="21"/>
              </w:rPr>
              <w:t>支持源地址绑定、网络接口地址绑定功能；支持源地址、源端口、目的地址、目的端口过滤功能；</w:t>
            </w:r>
          </w:p>
        </w:tc>
      </w:tr>
      <w:tr w14:paraId="53BEB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1B14B572">
            <w:pPr>
              <w:ind w:firstLine="0" w:firstLineChars="0"/>
              <w:contextualSpacing/>
              <w:rPr>
                <w:rFonts w:cs="黑体"/>
                <w:bCs/>
                <w:kern w:val="0"/>
                <w:szCs w:val="21"/>
              </w:rPr>
            </w:pPr>
            <w:r>
              <w:rPr>
                <w:rFonts w:hint="eastAsia" w:cs="黑体"/>
                <w:bCs/>
                <w:kern w:val="0"/>
                <w:szCs w:val="21"/>
              </w:rPr>
              <w:t>单向</w:t>
            </w:r>
            <w:r>
              <w:rPr>
                <w:rFonts w:cs="黑体"/>
                <w:bCs/>
                <w:kern w:val="0"/>
                <w:szCs w:val="21"/>
              </w:rPr>
              <w:t>UDP</w:t>
            </w:r>
          </w:p>
        </w:tc>
        <w:tc>
          <w:tcPr>
            <w:tcW w:w="4019" w:type="pct"/>
          </w:tcPr>
          <w:p w14:paraId="249943F5">
            <w:pPr>
              <w:ind w:firstLine="0" w:firstLineChars="0"/>
              <w:contextualSpacing/>
              <w:rPr>
                <w:rFonts w:cs="黑体"/>
                <w:bCs/>
                <w:kern w:val="0"/>
                <w:szCs w:val="21"/>
              </w:rPr>
            </w:pPr>
            <w:r>
              <w:rPr>
                <w:rFonts w:hint="eastAsia" w:cs="黑体"/>
                <w:bCs/>
                <w:kern w:val="0"/>
                <w:szCs w:val="21"/>
              </w:rPr>
              <w:t>支持单向</w:t>
            </w:r>
            <w:r>
              <w:rPr>
                <w:rFonts w:cs="黑体"/>
                <w:bCs/>
                <w:kern w:val="0"/>
                <w:szCs w:val="21"/>
              </w:rPr>
              <w:t xml:space="preserve">UDP定制服务； </w:t>
            </w:r>
          </w:p>
        </w:tc>
      </w:tr>
      <w:tr w14:paraId="787D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74FFEFE0">
            <w:pPr>
              <w:ind w:firstLine="0" w:firstLineChars="0"/>
              <w:contextualSpacing/>
              <w:rPr>
                <w:rFonts w:cs="黑体"/>
                <w:bCs/>
                <w:kern w:val="0"/>
                <w:szCs w:val="21"/>
              </w:rPr>
            </w:pPr>
          </w:p>
        </w:tc>
        <w:tc>
          <w:tcPr>
            <w:tcW w:w="4019" w:type="pct"/>
          </w:tcPr>
          <w:p w14:paraId="69D72C9C">
            <w:pPr>
              <w:ind w:firstLine="0" w:firstLineChars="0"/>
              <w:contextualSpacing/>
              <w:rPr>
                <w:rFonts w:cs="黑体"/>
                <w:bCs/>
                <w:kern w:val="0"/>
                <w:szCs w:val="21"/>
              </w:rPr>
            </w:pPr>
            <w:r>
              <w:rPr>
                <w:rFonts w:hint="eastAsia" w:cs="黑体"/>
                <w:bCs/>
                <w:kern w:val="0"/>
                <w:szCs w:val="21"/>
              </w:rPr>
              <w:t>支持源地址绑定、网络接口地址绑定功能；支持源地址、源端口、目的地址、目的端口过滤功能；</w:t>
            </w:r>
          </w:p>
        </w:tc>
      </w:tr>
      <w:tr w14:paraId="05FA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02338381">
            <w:pPr>
              <w:ind w:firstLine="0" w:firstLineChars="0"/>
              <w:contextualSpacing/>
              <w:rPr>
                <w:rFonts w:cs="黑体"/>
                <w:bCs/>
                <w:kern w:val="0"/>
                <w:szCs w:val="21"/>
              </w:rPr>
            </w:pPr>
            <w:r>
              <w:rPr>
                <w:rFonts w:hint="eastAsia" w:cs="黑体"/>
                <w:bCs/>
                <w:kern w:val="0"/>
                <w:szCs w:val="21"/>
              </w:rPr>
              <w:t>单向</w:t>
            </w:r>
            <w:r>
              <w:rPr>
                <w:rFonts w:cs="黑体"/>
                <w:bCs/>
                <w:kern w:val="0"/>
                <w:szCs w:val="21"/>
              </w:rPr>
              <w:t>JMS</w:t>
            </w:r>
          </w:p>
        </w:tc>
        <w:tc>
          <w:tcPr>
            <w:tcW w:w="4019" w:type="pct"/>
          </w:tcPr>
          <w:p w14:paraId="596A3940">
            <w:pPr>
              <w:ind w:firstLine="0" w:firstLineChars="0"/>
              <w:contextualSpacing/>
              <w:rPr>
                <w:rFonts w:cs="黑体"/>
                <w:bCs/>
                <w:kern w:val="0"/>
                <w:szCs w:val="21"/>
              </w:rPr>
            </w:pPr>
            <w:r>
              <w:rPr>
                <w:rFonts w:hint="eastAsia" w:cs="黑体"/>
                <w:bCs/>
                <w:kern w:val="0"/>
                <w:szCs w:val="21"/>
              </w:rPr>
              <w:t>支持</w:t>
            </w:r>
            <w:r>
              <w:rPr>
                <w:rFonts w:cs="黑体"/>
                <w:bCs/>
                <w:kern w:val="0"/>
                <w:szCs w:val="21"/>
              </w:rPr>
              <w:t>JAVA平台上的信息单向通信，支持JMS监听队列配置；</w:t>
            </w:r>
          </w:p>
        </w:tc>
      </w:tr>
      <w:tr w14:paraId="5DFA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Align w:val="center"/>
          </w:tcPr>
          <w:p w14:paraId="16B8732F">
            <w:pPr>
              <w:ind w:firstLine="0" w:firstLineChars="0"/>
              <w:contextualSpacing/>
              <w:rPr>
                <w:rFonts w:cs="黑体"/>
                <w:bCs/>
                <w:kern w:val="0"/>
                <w:szCs w:val="21"/>
              </w:rPr>
            </w:pPr>
            <w:r>
              <w:rPr>
                <w:rFonts w:hint="eastAsia" w:cs="黑体"/>
                <w:bCs/>
                <w:kern w:val="0"/>
                <w:szCs w:val="21"/>
              </w:rPr>
              <w:t>单向探针</w:t>
            </w:r>
          </w:p>
        </w:tc>
        <w:tc>
          <w:tcPr>
            <w:tcW w:w="4019" w:type="pct"/>
          </w:tcPr>
          <w:p w14:paraId="7C558305">
            <w:pPr>
              <w:ind w:firstLine="0" w:firstLineChars="0"/>
              <w:contextualSpacing/>
              <w:rPr>
                <w:rFonts w:cs="黑体"/>
                <w:bCs/>
                <w:kern w:val="0"/>
                <w:szCs w:val="21"/>
              </w:rPr>
            </w:pPr>
            <w:r>
              <w:rPr>
                <w:rFonts w:hint="eastAsia" w:cs="黑体"/>
                <w:bCs/>
                <w:kern w:val="0"/>
                <w:szCs w:val="21"/>
              </w:rPr>
              <w:t>支持</w:t>
            </w:r>
            <w:r>
              <w:rPr>
                <w:rFonts w:cs="黑体"/>
                <w:bCs/>
                <w:kern w:val="0"/>
                <w:szCs w:val="21"/>
              </w:rPr>
              <w:t>KAFKA、ZMQ方式发送、接收消息；</w:t>
            </w:r>
          </w:p>
        </w:tc>
      </w:tr>
      <w:tr w14:paraId="3DFFF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13F7F161">
            <w:pPr>
              <w:ind w:firstLine="0" w:firstLineChars="0"/>
              <w:contextualSpacing/>
              <w:rPr>
                <w:rFonts w:cs="黑体"/>
                <w:bCs/>
                <w:kern w:val="0"/>
                <w:szCs w:val="21"/>
              </w:rPr>
            </w:pPr>
            <w:r>
              <w:rPr>
                <w:rFonts w:hint="eastAsia" w:cs="黑体"/>
                <w:bCs/>
                <w:kern w:val="0"/>
                <w:szCs w:val="21"/>
              </w:rPr>
              <w:t>防护设置</w:t>
            </w:r>
          </w:p>
        </w:tc>
        <w:tc>
          <w:tcPr>
            <w:tcW w:w="4019" w:type="pct"/>
            <w:vAlign w:val="center"/>
          </w:tcPr>
          <w:p w14:paraId="585956B0">
            <w:pPr>
              <w:ind w:firstLine="0" w:firstLineChars="0"/>
              <w:contextualSpacing/>
              <w:rPr>
                <w:rFonts w:cs="黑体"/>
                <w:bCs/>
                <w:kern w:val="0"/>
                <w:szCs w:val="21"/>
              </w:rPr>
            </w:pPr>
            <w:r>
              <w:rPr>
                <w:rFonts w:hint="eastAsia" w:cs="黑体"/>
                <w:bCs/>
                <w:kern w:val="0"/>
                <w:szCs w:val="21"/>
              </w:rPr>
              <w:t>支持双引擎病毒模块，可根据用户需求选择需要的病毒引擎；</w:t>
            </w:r>
          </w:p>
        </w:tc>
      </w:tr>
      <w:tr w14:paraId="48A7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7A97F88C">
            <w:pPr>
              <w:ind w:firstLine="0" w:firstLineChars="0"/>
              <w:contextualSpacing/>
              <w:rPr>
                <w:rFonts w:cs="黑体"/>
                <w:bCs/>
                <w:kern w:val="0"/>
                <w:szCs w:val="21"/>
              </w:rPr>
            </w:pPr>
          </w:p>
        </w:tc>
        <w:tc>
          <w:tcPr>
            <w:tcW w:w="4019" w:type="pct"/>
            <w:vAlign w:val="center"/>
          </w:tcPr>
          <w:p w14:paraId="56D21D51">
            <w:pPr>
              <w:ind w:firstLine="0" w:firstLineChars="0"/>
              <w:contextualSpacing/>
              <w:rPr>
                <w:rFonts w:cs="黑体"/>
                <w:bCs/>
                <w:kern w:val="0"/>
                <w:szCs w:val="21"/>
              </w:rPr>
            </w:pPr>
            <w:r>
              <w:rPr>
                <w:rFonts w:hint="eastAsia" w:cs="黑体"/>
                <w:bCs/>
                <w:kern w:val="0"/>
                <w:szCs w:val="21"/>
              </w:rPr>
              <w:t>支持抗</w:t>
            </w:r>
            <w:r>
              <w:rPr>
                <w:rFonts w:cs="黑体"/>
                <w:bCs/>
                <w:kern w:val="0"/>
                <w:szCs w:val="21"/>
              </w:rPr>
              <w:t>Dos攻击功能设置；</w:t>
            </w:r>
          </w:p>
        </w:tc>
      </w:tr>
      <w:tr w14:paraId="21AD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401FB5D3">
            <w:pPr>
              <w:ind w:firstLine="0" w:firstLineChars="0"/>
              <w:contextualSpacing/>
              <w:rPr>
                <w:rFonts w:cs="黑体"/>
                <w:bCs/>
                <w:kern w:val="0"/>
                <w:szCs w:val="21"/>
              </w:rPr>
            </w:pPr>
            <w:r>
              <w:rPr>
                <w:rFonts w:hint="eastAsia" w:cs="黑体"/>
                <w:bCs/>
                <w:kern w:val="0"/>
                <w:szCs w:val="21"/>
              </w:rPr>
              <w:t>安全管理</w:t>
            </w:r>
          </w:p>
        </w:tc>
        <w:tc>
          <w:tcPr>
            <w:tcW w:w="4019" w:type="pct"/>
            <w:vAlign w:val="center"/>
          </w:tcPr>
          <w:p w14:paraId="58276FEE">
            <w:pPr>
              <w:ind w:firstLine="0" w:firstLineChars="0"/>
              <w:contextualSpacing/>
              <w:rPr>
                <w:rFonts w:cs="黑体"/>
                <w:bCs/>
                <w:kern w:val="0"/>
                <w:szCs w:val="21"/>
              </w:rPr>
            </w:pPr>
            <w:r>
              <w:rPr>
                <w:rFonts w:hint="eastAsia" w:cs="黑体"/>
                <w:bCs/>
                <w:kern w:val="0"/>
                <w:szCs w:val="21"/>
              </w:rPr>
              <w:t>支持内、外网分别具有独立的管理接口，而不是通过内</w:t>
            </w:r>
            <w:r>
              <w:rPr>
                <w:rFonts w:cs="黑体"/>
                <w:bCs/>
                <w:kern w:val="0"/>
                <w:szCs w:val="21"/>
              </w:rPr>
              <w:t>/外网一个管理接口完成全部管理；</w:t>
            </w:r>
          </w:p>
        </w:tc>
      </w:tr>
      <w:tr w14:paraId="68EE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Merge w:val="continue"/>
            <w:vAlign w:val="center"/>
          </w:tcPr>
          <w:p w14:paraId="54400AB1">
            <w:pPr>
              <w:ind w:firstLine="0" w:firstLineChars="0"/>
              <w:contextualSpacing/>
              <w:rPr>
                <w:rFonts w:cs="黑体"/>
                <w:bCs/>
                <w:kern w:val="0"/>
                <w:szCs w:val="21"/>
              </w:rPr>
            </w:pPr>
          </w:p>
        </w:tc>
        <w:tc>
          <w:tcPr>
            <w:tcW w:w="4019" w:type="pct"/>
            <w:vAlign w:val="center"/>
          </w:tcPr>
          <w:p w14:paraId="7AD0939B">
            <w:pPr>
              <w:ind w:firstLine="0" w:firstLineChars="0"/>
              <w:contextualSpacing/>
              <w:rPr>
                <w:rFonts w:cs="黑体"/>
                <w:bCs/>
                <w:kern w:val="0"/>
                <w:szCs w:val="21"/>
              </w:rPr>
            </w:pPr>
            <w:r>
              <w:rPr>
                <w:rFonts w:hint="eastAsia" w:cs="黑体"/>
                <w:bCs/>
                <w:kern w:val="0"/>
                <w:szCs w:val="21"/>
              </w:rPr>
              <w:t>支持基于</w:t>
            </w:r>
            <w:r>
              <w:rPr>
                <w:rFonts w:cs="黑体"/>
                <w:bCs/>
                <w:kern w:val="0"/>
                <w:szCs w:val="21"/>
              </w:rPr>
              <w:t>https的图形化安全管理；支持用户名/密码+U-KEY、用户名/密码+数字证书等双因子认证方式；</w:t>
            </w:r>
          </w:p>
        </w:tc>
      </w:tr>
      <w:tr w14:paraId="05B54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3C59EE04">
            <w:pPr>
              <w:ind w:firstLine="0" w:firstLineChars="0"/>
              <w:contextualSpacing/>
              <w:rPr>
                <w:rFonts w:cs="黑体"/>
                <w:bCs/>
                <w:kern w:val="0"/>
                <w:szCs w:val="21"/>
              </w:rPr>
            </w:pPr>
          </w:p>
        </w:tc>
        <w:tc>
          <w:tcPr>
            <w:tcW w:w="4019" w:type="pct"/>
            <w:vAlign w:val="center"/>
          </w:tcPr>
          <w:p w14:paraId="493EC2A9">
            <w:pPr>
              <w:ind w:firstLine="0" w:firstLineChars="0"/>
              <w:contextualSpacing/>
              <w:rPr>
                <w:rFonts w:cs="黑体"/>
                <w:bCs/>
                <w:kern w:val="0"/>
                <w:szCs w:val="21"/>
              </w:rPr>
            </w:pPr>
            <w:r>
              <w:rPr>
                <w:rFonts w:hint="eastAsia" w:cs="黑体"/>
                <w:bCs/>
                <w:kern w:val="0"/>
                <w:szCs w:val="21"/>
              </w:rPr>
              <w:t>支持带内管理，可通过业务口进行管理工作；用户可自行选择是否启用带内管理功能；</w:t>
            </w:r>
          </w:p>
        </w:tc>
      </w:tr>
      <w:tr w14:paraId="57BC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continue"/>
            <w:vAlign w:val="center"/>
          </w:tcPr>
          <w:p w14:paraId="417C4372">
            <w:pPr>
              <w:ind w:firstLine="0" w:firstLineChars="0"/>
              <w:contextualSpacing/>
              <w:rPr>
                <w:rFonts w:cs="黑体"/>
                <w:bCs/>
                <w:kern w:val="0"/>
                <w:szCs w:val="21"/>
              </w:rPr>
            </w:pPr>
          </w:p>
        </w:tc>
        <w:tc>
          <w:tcPr>
            <w:tcW w:w="4019" w:type="pct"/>
            <w:vAlign w:val="center"/>
          </w:tcPr>
          <w:p w14:paraId="185F4456">
            <w:pPr>
              <w:ind w:firstLine="0" w:firstLineChars="0"/>
              <w:contextualSpacing/>
              <w:rPr>
                <w:rFonts w:cs="黑体"/>
                <w:bCs/>
                <w:kern w:val="0"/>
                <w:szCs w:val="21"/>
              </w:rPr>
            </w:pPr>
            <w:r>
              <w:rPr>
                <w:rFonts w:hint="eastAsia" w:cs="黑体"/>
                <w:bCs/>
                <w:kern w:val="0"/>
                <w:szCs w:val="21"/>
              </w:rPr>
              <w:t>支持跨网段管理，实现管理终端</w:t>
            </w:r>
            <w:r>
              <w:rPr>
                <w:rFonts w:cs="黑体"/>
                <w:bCs/>
                <w:kern w:val="0"/>
                <w:szCs w:val="21"/>
              </w:rPr>
              <w:t>IP地址和端口的访问控制；管理员及审计员区分并独立，支持分权管理；具有独立审计用户，提供完善的日志审计功能</w:t>
            </w:r>
          </w:p>
        </w:tc>
      </w:tr>
      <w:tr w14:paraId="5F3C8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Merge w:val="restart"/>
            <w:vAlign w:val="center"/>
          </w:tcPr>
          <w:p w14:paraId="64F09F01">
            <w:pPr>
              <w:ind w:firstLine="0" w:firstLineChars="0"/>
              <w:contextualSpacing/>
              <w:rPr>
                <w:rFonts w:cs="黑体"/>
                <w:bCs/>
                <w:kern w:val="0"/>
                <w:szCs w:val="21"/>
              </w:rPr>
            </w:pPr>
            <w:r>
              <w:rPr>
                <w:rFonts w:hint="eastAsia" w:cs="黑体"/>
                <w:bCs/>
                <w:kern w:val="0"/>
                <w:szCs w:val="21"/>
              </w:rPr>
              <w:t>运维管理</w:t>
            </w:r>
          </w:p>
        </w:tc>
        <w:tc>
          <w:tcPr>
            <w:tcW w:w="4019" w:type="pct"/>
            <w:vAlign w:val="center"/>
          </w:tcPr>
          <w:p w14:paraId="6E98F7B8">
            <w:pPr>
              <w:ind w:firstLine="0" w:firstLineChars="0"/>
              <w:contextualSpacing/>
              <w:rPr>
                <w:rFonts w:cs="黑体"/>
                <w:bCs/>
                <w:kern w:val="0"/>
                <w:szCs w:val="21"/>
              </w:rPr>
            </w:pPr>
            <w:r>
              <w:rPr>
                <w:rFonts w:hint="eastAsia" w:cs="黑体"/>
                <w:bCs/>
                <w:kern w:val="0"/>
                <w:szCs w:val="21"/>
              </w:rPr>
              <w:t>支持设备运行状态检测、系统资源监控；支持通过界面能够查看到多核</w:t>
            </w:r>
            <w:r>
              <w:rPr>
                <w:rFonts w:cs="黑体"/>
                <w:bCs/>
                <w:kern w:val="0"/>
                <w:szCs w:val="21"/>
              </w:rPr>
              <w:t>CPU使用率，进行设备的远程关闭及重启功能；</w:t>
            </w:r>
          </w:p>
        </w:tc>
      </w:tr>
      <w:tr w14:paraId="0F0A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1" w:type="pct"/>
            <w:vMerge w:val="continue"/>
            <w:vAlign w:val="center"/>
          </w:tcPr>
          <w:p w14:paraId="5C888B07">
            <w:pPr>
              <w:ind w:firstLine="0" w:firstLineChars="0"/>
              <w:contextualSpacing/>
              <w:rPr>
                <w:rFonts w:cs="黑体"/>
                <w:bCs/>
                <w:kern w:val="0"/>
                <w:szCs w:val="21"/>
              </w:rPr>
            </w:pPr>
          </w:p>
        </w:tc>
        <w:tc>
          <w:tcPr>
            <w:tcW w:w="4019" w:type="pct"/>
            <w:vAlign w:val="center"/>
          </w:tcPr>
          <w:p w14:paraId="3AF9E98A">
            <w:pPr>
              <w:ind w:firstLine="0" w:firstLineChars="0"/>
              <w:contextualSpacing/>
              <w:rPr>
                <w:rFonts w:cs="黑体"/>
                <w:bCs/>
                <w:kern w:val="0"/>
                <w:szCs w:val="21"/>
              </w:rPr>
            </w:pPr>
            <w:r>
              <w:rPr>
                <w:rFonts w:hint="eastAsia" w:cs="黑体"/>
                <w:bCs/>
                <w:kern w:val="0"/>
                <w:szCs w:val="21"/>
              </w:rPr>
              <w:t>支持提供调制工具，包括</w:t>
            </w:r>
            <w:r>
              <w:rPr>
                <w:rFonts w:cs="黑体"/>
                <w:bCs/>
                <w:kern w:val="0"/>
                <w:szCs w:val="21"/>
              </w:rPr>
              <w:t>trace、ping、telnet、arp等</w:t>
            </w:r>
          </w:p>
        </w:tc>
      </w:tr>
      <w:tr w14:paraId="525E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1E46731B">
            <w:pPr>
              <w:ind w:firstLine="0" w:firstLineChars="0"/>
              <w:contextualSpacing/>
              <w:rPr>
                <w:rFonts w:cs="黑体"/>
                <w:bCs/>
                <w:kern w:val="0"/>
                <w:szCs w:val="21"/>
              </w:rPr>
            </w:pPr>
            <w:r>
              <w:rPr>
                <w:rFonts w:hint="eastAsia" w:cs="黑体"/>
                <w:bCs/>
                <w:kern w:val="0"/>
                <w:szCs w:val="21"/>
              </w:rPr>
              <w:t>集中监控</w:t>
            </w:r>
          </w:p>
        </w:tc>
        <w:tc>
          <w:tcPr>
            <w:tcW w:w="4019" w:type="pct"/>
            <w:vAlign w:val="center"/>
          </w:tcPr>
          <w:p w14:paraId="4E71C9AA">
            <w:pPr>
              <w:ind w:firstLine="0" w:firstLineChars="0"/>
              <w:contextualSpacing/>
              <w:rPr>
                <w:rFonts w:cs="黑体"/>
                <w:bCs/>
                <w:kern w:val="0"/>
                <w:szCs w:val="21"/>
              </w:rPr>
            </w:pPr>
            <w:r>
              <w:rPr>
                <w:rFonts w:hint="eastAsia" w:cs="黑体"/>
                <w:bCs/>
                <w:kern w:val="0"/>
                <w:szCs w:val="21"/>
              </w:rPr>
              <w:t>支持集中监管平台，可对多台光闸进行统一监控，记录每台设备的系统资源运行情况；</w:t>
            </w:r>
          </w:p>
        </w:tc>
      </w:tr>
      <w:tr w14:paraId="4F6B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pct"/>
            <w:vAlign w:val="center"/>
          </w:tcPr>
          <w:p w14:paraId="6FCFEF8F">
            <w:pPr>
              <w:ind w:firstLine="0" w:firstLineChars="0"/>
              <w:contextualSpacing/>
              <w:rPr>
                <w:rFonts w:cs="黑体"/>
                <w:bCs/>
                <w:kern w:val="0"/>
                <w:szCs w:val="21"/>
              </w:rPr>
            </w:pPr>
            <w:r>
              <w:rPr>
                <w:rFonts w:hint="eastAsia" w:cs="黑体"/>
                <w:bCs/>
                <w:kern w:val="0"/>
                <w:szCs w:val="21"/>
              </w:rPr>
              <w:t>兼容性</w:t>
            </w:r>
          </w:p>
        </w:tc>
        <w:tc>
          <w:tcPr>
            <w:tcW w:w="4019" w:type="pct"/>
            <w:vAlign w:val="center"/>
          </w:tcPr>
          <w:p w14:paraId="4D221D8A">
            <w:pPr>
              <w:ind w:firstLine="0" w:firstLineChars="0"/>
              <w:contextualSpacing/>
              <w:rPr>
                <w:rFonts w:cs="黑体"/>
                <w:bCs/>
                <w:kern w:val="0"/>
                <w:szCs w:val="21"/>
              </w:rPr>
            </w:pPr>
            <w:r>
              <w:rPr>
                <w:rFonts w:hint="eastAsia"/>
                <w:lang w:eastAsia="zh-CN"/>
              </w:rPr>
              <w:t>▲</w:t>
            </w:r>
            <w:r>
              <w:rPr>
                <w:rFonts w:hint="eastAsia" w:cs="宋体"/>
                <w:kern w:val="0"/>
                <w:szCs w:val="21"/>
              </w:rPr>
              <w:t>与现有隔离交换平台中的单向光闸产品（奇安信网神品牌）相兼容，可以互换部署和使用。</w:t>
            </w:r>
            <w:r>
              <w:rPr>
                <w:rFonts w:hint="eastAsia" w:cs="黑体"/>
                <w:bCs/>
                <w:kern w:val="0"/>
                <w:szCs w:val="21"/>
              </w:rPr>
              <w:t>（需提供设备原厂承诺，并加盖原厂公章）</w:t>
            </w:r>
          </w:p>
        </w:tc>
      </w:tr>
    </w:tbl>
    <w:p w14:paraId="6EF486D9">
      <w:pPr>
        <w:ind w:firstLine="0" w:firstLineChars="0"/>
      </w:pPr>
    </w:p>
    <w:bookmarkEnd w:id="53"/>
    <w:p w14:paraId="0C2F3470">
      <w:pPr>
        <w:pStyle w:val="5"/>
        <w:ind w:firstLine="0" w:firstLineChars="0"/>
      </w:pPr>
      <w:bookmarkStart w:id="66" w:name="_Toc161989572"/>
      <w:bookmarkStart w:id="67" w:name="_Toc29475"/>
      <w:r>
        <w:rPr>
          <w:rFonts w:hint="eastAsia"/>
        </w:rPr>
        <w:t>4、运维终端数据防泄漏</w:t>
      </w:r>
      <w:bookmarkEnd w:id="66"/>
      <w:bookmarkEnd w:id="67"/>
    </w:p>
    <w:p w14:paraId="17781ECB">
      <w:pPr>
        <w:pStyle w:val="6"/>
        <w:numPr>
          <w:ilvl w:val="3"/>
          <w:numId w:val="0"/>
        </w:numPr>
        <w:spacing w:line="413" w:lineRule="auto"/>
      </w:pPr>
      <w:bookmarkStart w:id="68" w:name="_Toc8476"/>
      <w:bookmarkStart w:id="69" w:name="_Toc161989573"/>
      <w:r>
        <w:rPr>
          <w:rFonts w:hint="eastAsia"/>
        </w:rPr>
        <w:t>4.1互联网数据防泄露</w:t>
      </w:r>
      <w:bookmarkEnd w:id="68"/>
      <w:bookmarkEnd w:id="69"/>
    </w:p>
    <w:p w14:paraId="6911E6E2">
      <w:pPr>
        <w:pStyle w:val="21"/>
        <w:ind w:firstLine="480"/>
      </w:pPr>
      <w:r>
        <w:rPr>
          <w:rFonts w:hint="eastAsia"/>
        </w:rPr>
        <w:t>本系统包含控制台和客户端两部分。控制台是系统的管理中心，进行安全策略设置、事件管理、用户、日志等管理；客户端功能包含发现、识别、监控终端中的敏感数据，对终端数据资产分布、终端敏感数据的违规存储进行展现；对终端敏感数据的违规使用、扩散等敏感行为进行策略响应控制。</w:t>
      </w:r>
    </w:p>
    <w:p w14:paraId="4224A943">
      <w:pPr>
        <w:pStyle w:val="21"/>
        <w:ind w:firstLine="480"/>
      </w:pPr>
      <w:r>
        <w:rPr>
          <w:rFonts w:hint="eastAsia"/>
        </w:rPr>
        <w:t>产品若是列入《网络关键设备和网络安全专用产品目录》的网络安全专用产品应至少符合以下条件之一，方可提供：一是按照《信息安全技术</w:t>
      </w:r>
      <w:r>
        <w:t xml:space="preserve"> 网络安全专用产品安全技术要求》等相关国家标准强制性要求，由具备资格的机构安全认证合格或安全检测符合要求的；二是此前已经获得《计算机信息系统安全专用产品销售许可证》，且在有效期内的。</w:t>
      </w:r>
    </w:p>
    <w:p w14:paraId="647E547B">
      <w:pPr>
        <w:pStyle w:val="21"/>
        <w:ind w:firstLine="480"/>
      </w:pPr>
      <w:r>
        <w:rPr>
          <w:rFonts w:hint="eastAsia"/>
        </w:rPr>
        <w:t>控制台和客户端的技术规格参数分别如下：</w:t>
      </w:r>
    </w:p>
    <w:p w14:paraId="4B1EA5F6">
      <w:pPr>
        <w:pStyle w:val="7"/>
        <w:spacing w:line="413" w:lineRule="auto"/>
        <w:ind w:firstLine="0" w:firstLineChars="0"/>
      </w:pPr>
      <w:r>
        <w:rPr>
          <w:rFonts w:hint="eastAsia"/>
        </w:rPr>
        <w:t>4.1.1控制台技术规格参数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6061"/>
      </w:tblGrid>
      <w:tr w14:paraId="0675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46" w:type="pct"/>
            <w:vAlign w:val="center"/>
          </w:tcPr>
          <w:p w14:paraId="152FC124">
            <w:pPr>
              <w:ind w:firstLine="482"/>
              <w:jc w:val="center"/>
              <w:rPr>
                <w:b/>
                <w:bCs/>
                <w:szCs w:val="21"/>
              </w:rPr>
            </w:pPr>
            <w:r>
              <w:rPr>
                <w:rFonts w:hint="eastAsia"/>
                <w:b/>
                <w:bCs/>
                <w:szCs w:val="21"/>
              </w:rPr>
              <w:t>配置要求</w:t>
            </w:r>
          </w:p>
        </w:tc>
        <w:tc>
          <w:tcPr>
            <w:tcW w:w="3553" w:type="pct"/>
            <w:vAlign w:val="center"/>
          </w:tcPr>
          <w:p w14:paraId="0194723F">
            <w:pPr>
              <w:ind w:firstLine="482"/>
              <w:jc w:val="center"/>
              <w:rPr>
                <w:b/>
                <w:bCs/>
                <w:szCs w:val="21"/>
              </w:rPr>
            </w:pPr>
            <w:r>
              <w:rPr>
                <w:rFonts w:hint="eastAsia"/>
                <w:b/>
                <w:bCs/>
                <w:szCs w:val="21"/>
              </w:rPr>
              <w:t>技术规范</w:t>
            </w:r>
          </w:p>
        </w:tc>
      </w:tr>
      <w:tr w14:paraId="1409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3B57B48B">
            <w:pPr>
              <w:ind w:firstLine="0" w:firstLineChars="0"/>
              <w:rPr>
                <w:szCs w:val="21"/>
              </w:rPr>
            </w:pPr>
            <w:r>
              <w:rPr>
                <w:rFonts w:hint="eastAsia"/>
                <w:szCs w:val="21"/>
              </w:rPr>
              <w:t>安全策略设置</w:t>
            </w:r>
          </w:p>
        </w:tc>
        <w:tc>
          <w:tcPr>
            <w:tcW w:w="3553" w:type="pct"/>
            <w:vAlign w:val="center"/>
          </w:tcPr>
          <w:p w14:paraId="3C287C14">
            <w:pPr>
              <w:ind w:firstLine="0" w:firstLineChars="0"/>
              <w:rPr>
                <w:szCs w:val="21"/>
              </w:rPr>
            </w:pPr>
            <w:r>
              <w:rPr>
                <w:rFonts w:hint="eastAsia"/>
                <w:szCs w:val="21"/>
              </w:rPr>
              <w:t>具有统一、可视化的管理平台</w:t>
            </w:r>
          </w:p>
        </w:tc>
      </w:tr>
      <w:tr w14:paraId="153F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B8C49AB">
            <w:pPr>
              <w:ind w:firstLine="0" w:firstLineChars="0"/>
              <w:rPr>
                <w:szCs w:val="21"/>
              </w:rPr>
            </w:pPr>
          </w:p>
        </w:tc>
        <w:tc>
          <w:tcPr>
            <w:tcW w:w="3553" w:type="pct"/>
            <w:vAlign w:val="center"/>
          </w:tcPr>
          <w:p w14:paraId="5A779CB3">
            <w:pPr>
              <w:ind w:firstLine="0" w:firstLineChars="0"/>
              <w:rPr>
                <w:szCs w:val="21"/>
              </w:rPr>
            </w:pPr>
            <w:r>
              <w:rPr>
                <w:rFonts w:hint="eastAsia"/>
                <w:szCs w:val="21"/>
              </w:rPr>
              <w:t>系统支持中英文界面，根据登录用户的设置自动进行显示</w:t>
            </w:r>
          </w:p>
        </w:tc>
      </w:tr>
      <w:tr w14:paraId="1BC2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3123348">
            <w:pPr>
              <w:ind w:firstLine="0" w:firstLineChars="0"/>
              <w:rPr>
                <w:szCs w:val="21"/>
              </w:rPr>
            </w:pPr>
          </w:p>
        </w:tc>
        <w:tc>
          <w:tcPr>
            <w:tcW w:w="3553" w:type="pct"/>
            <w:vAlign w:val="center"/>
          </w:tcPr>
          <w:p w14:paraId="1C1DD886">
            <w:pPr>
              <w:ind w:firstLine="0" w:firstLineChars="0"/>
              <w:rPr>
                <w:szCs w:val="21"/>
              </w:rPr>
            </w:pPr>
            <w:r>
              <w:rPr>
                <w:rFonts w:hint="eastAsia"/>
                <w:szCs w:val="21"/>
              </w:rPr>
              <w:t>通过 DLP 内容检测，实现分类分级的落地执行和数据流动的可追溯性</w:t>
            </w:r>
          </w:p>
        </w:tc>
      </w:tr>
      <w:tr w14:paraId="7157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17B7013">
            <w:pPr>
              <w:ind w:firstLine="0" w:firstLineChars="0"/>
              <w:rPr>
                <w:szCs w:val="21"/>
              </w:rPr>
            </w:pPr>
          </w:p>
        </w:tc>
        <w:tc>
          <w:tcPr>
            <w:tcW w:w="3553" w:type="pct"/>
            <w:vAlign w:val="center"/>
          </w:tcPr>
          <w:p w14:paraId="5D185952">
            <w:pPr>
              <w:ind w:firstLine="0" w:firstLineChars="0"/>
              <w:rPr>
                <w:szCs w:val="21"/>
              </w:rPr>
            </w:pPr>
            <w:r>
              <w:rPr>
                <w:rFonts w:hint="eastAsia"/>
                <w:szCs w:val="21"/>
              </w:rPr>
              <w:t>支持正则表达式检测内容。要求应提供常见的正则表达式，如手机号码、固话号码、姓名、地址等</w:t>
            </w:r>
          </w:p>
        </w:tc>
      </w:tr>
      <w:tr w14:paraId="6B67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198DBDF">
            <w:pPr>
              <w:ind w:firstLine="0" w:firstLineChars="0"/>
              <w:rPr>
                <w:szCs w:val="21"/>
              </w:rPr>
            </w:pPr>
          </w:p>
        </w:tc>
        <w:tc>
          <w:tcPr>
            <w:tcW w:w="3553" w:type="pct"/>
            <w:vAlign w:val="center"/>
          </w:tcPr>
          <w:p w14:paraId="34E54ADF">
            <w:pPr>
              <w:ind w:firstLine="0" w:firstLineChars="0"/>
              <w:rPr>
                <w:szCs w:val="21"/>
              </w:rPr>
            </w:pPr>
            <w:r>
              <w:rPr>
                <w:rFonts w:hint="eastAsia"/>
                <w:szCs w:val="21"/>
              </w:rPr>
              <w:t>支持脚本方式定义，预置身份证、信用卡等常用脚本检测数据</w:t>
            </w:r>
          </w:p>
        </w:tc>
      </w:tr>
      <w:tr w14:paraId="352E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D5BF8EC">
            <w:pPr>
              <w:ind w:firstLine="0" w:firstLineChars="0"/>
              <w:rPr>
                <w:szCs w:val="21"/>
              </w:rPr>
            </w:pPr>
          </w:p>
        </w:tc>
        <w:tc>
          <w:tcPr>
            <w:tcW w:w="3553" w:type="pct"/>
            <w:vAlign w:val="center"/>
          </w:tcPr>
          <w:p w14:paraId="2344FFD6">
            <w:pPr>
              <w:ind w:firstLine="0" w:firstLineChars="0"/>
              <w:rPr>
                <w:szCs w:val="21"/>
              </w:rPr>
            </w:pPr>
            <w:r>
              <w:rPr>
                <w:rFonts w:hint="eastAsia"/>
                <w:szCs w:val="21"/>
              </w:rPr>
              <w:t>支持对常用文件系统进行非结构化指纹、支持对常用数据库系统进行结构化指纹</w:t>
            </w:r>
          </w:p>
        </w:tc>
      </w:tr>
      <w:tr w14:paraId="3179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161D895">
            <w:pPr>
              <w:ind w:firstLine="0" w:firstLineChars="0"/>
              <w:rPr>
                <w:szCs w:val="21"/>
              </w:rPr>
            </w:pPr>
          </w:p>
        </w:tc>
        <w:tc>
          <w:tcPr>
            <w:tcW w:w="3553" w:type="pct"/>
            <w:vAlign w:val="center"/>
          </w:tcPr>
          <w:p w14:paraId="7F5087BE">
            <w:pPr>
              <w:ind w:firstLine="0" w:firstLineChars="0"/>
              <w:rPr>
                <w:szCs w:val="21"/>
              </w:rPr>
            </w:pPr>
            <w:r>
              <w:rPr>
                <w:rFonts w:hint="eastAsia"/>
                <w:szCs w:val="21"/>
              </w:rPr>
              <w:t>支持对有规范的模板类文件进行智能学习定义</w:t>
            </w:r>
          </w:p>
        </w:tc>
      </w:tr>
      <w:tr w14:paraId="1B5A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216250A">
            <w:pPr>
              <w:ind w:firstLine="0" w:firstLineChars="0"/>
              <w:rPr>
                <w:szCs w:val="21"/>
              </w:rPr>
            </w:pPr>
          </w:p>
        </w:tc>
        <w:tc>
          <w:tcPr>
            <w:tcW w:w="3553" w:type="pct"/>
            <w:vAlign w:val="center"/>
          </w:tcPr>
          <w:p w14:paraId="3E3A861B">
            <w:pPr>
              <w:ind w:firstLine="0" w:firstLineChars="0"/>
              <w:rPr>
                <w:szCs w:val="21"/>
              </w:rPr>
            </w:pPr>
            <w:r>
              <w:rPr>
                <w:rFonts w:hint="eastAsia"/>
                <w:szCs w:val="21"/>
              </w:rPr>
              <w:t>支持文件格式识别支持（pdf，office 文件，压缩文件，图片文件，加壳文件等），并提供具体可识别文件类型列表</w:t>
            </w:r>
          </w:p>
        </w:tc>
      </w:tr>
      <w:tr w14:paraId="62AEA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B1174EA">
            <w:pPr>
              <w:ind w:firstLine="0" w:firstLineChars="0"/>
              <w:rPr>
                <w:szCs w:val="21"/>
              </w:rPr>
            </w:pPr>
          </w:p>
        </w:tc>
        <w:tc>
          <w:tcPr>
            <w:tcW w:w="3553" w:type="pct"/>
            <w:vAlign w:val="center"/>
          </w:tcPr>
          <w:p w14:paraId="44B3C8F1">
            <w:pPr>
              <w:ind w:firstLine="0" w:firstLineChars="0"/>
              <w:rPr>
                <w:szCs w:val="21"/>
              </w:rPr>
            </w:pPr>
            <w:r>
              <w:rPr>
                <w:rFonts w:hint="eastAsia"/>
                <w:szCs w:val="21"/>
              </w:rPr>
              <w:t>支持数据自动标签功能，对 URL 站点下载到本地的文件内容自动标记，可基于文件类型，关键字词等不同规则自动标签，针对包含关键词或带标签的文件 DLP 可以审计/阻断</w:t>
            </w:r>
          </w:p>
        </w:tc>
      </w:tr>
      <w:tr w14:paraId="4112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F96E244">
            <w:pPr>
              <w:ind w:firstLine="0" w:firstLineChars="0"/>
              <w:rPr>
                <w:szCs w:val="21"/>
              </w:rPr>
            </w:pPr>
          </w:p>
        </w:tc>
        <w:tc>
          <w:tcPr>
            <w:tcW w:w="3553" w:type="pct"/>
            <w:vAlign w:val="center"/>
          </w:tcPr>
          <w:p w14:paraId="39215FF0">
            <w:pPr>
              <w:ind w:firstLine="0" w:firstLineChars="0"/>
              <w:rPr>
                <w:szCs w:val="21"/>
              </w:rPr>
            </w:pPr>
            <w:r>
              <w:rPr>
                <w:rFonts w:hint="eastAsia"/>
                <w:szCs w:val="21"/>
              </w:rPr>
              <w:t>支持数据分级分类定义，可策略调用</w:t>
            </w:r>
          </w:p>
        </w:tc>
      </w:tr>
      <w:tr w14:paraId="2166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2AF58E3">
            <w:pPr>
              <w:ind w:firstLine="0" w:firstLineChars="0"/>
              <w:rPr>
                <w:szCs w:val="21"/>
              </w:rPr>
            </w:pPr>
          </w:p>
        </w:tc>
        <w:tc>
          <w:tcPr>
            <w:tcW w:w="3553" w:type="pct"/>
            <w:vAlign w:val="center"/>
          </w:tcPr>
          <w:p w14:paraId="5A4F311C">
            <w:pPr>
              <w:ind w:firstLine="0" w:firstLineChars="0"/>
              <w:rPr>
                <w:szCs w:val="21"/>
              </w:rPr>
            </w:pPr>
            <w:r>
              <w:rPr>
                <w:rFonts w:hint="eastAsia"/>
                <w:szCs w:val="21"/>
              </w:rPr>
              <w:t>支持数据聚类功能，辅助数据梳理和策略定义</w:t>
            </w:r>
          </w:p>
        </w:tc>
      </w:tr>
      <w:tr w14:paraId="5501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CE7E33F">
            <w:pPr>
              <w:ind w:firstLine="0" w:firstLineChars="0"/>
              <w:rPr>
                <w:szCs w:val="21"/>
              </w:rPr>
            </w:pPr>
          </w:p>
        </w:tc>
        <w:tc>
          <w:tcPr>
            <w:tcW w:w="3553" w:type="pct"/>
            <w:vAlign w:val="center"/>
          </w:tcPr>
          <w:p w14:paraId="7979488C">
            <w:pPr>
              <w:ind w:firstLine="0" w:firstLineChars="0"/>
              <w:rPr>
                <w:szCs w:val="21"/>
              </w:rPr>
            </w:pPr>
            <w:r>
              <w:rPr>
                <w:rFonts w:hint="eastAsia"/>
                <w:szCs w:val="21"/>
              </w:rPr>
              <w:t>支持识别多种图像格式文档中的敏感信息</w:t>
            </w:r>
          </w:p>
        </w:tc>
      </w:tr>
      <w:tr w14:paraId="030C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CE64029">
            <w:pPr>
              <w:ind w:firstLine="0" w:firstLineChars="0"/>
              <w:rPr>
                <w:szCs w:val="21"/>
              </w:rPr>
            </w:pPr>
          </w:p>
        </w:tc>
        <w:tc>
          <w:tcPr>
            <w:tcW w:w="3553" w:type="pct"/>
            <w:vAlign w:val="center"/>
          </w:tcPr>
          <w:p w14:paraId="52FC20B6">
            <w:pPr>
              <w:ind w:firstLine="0" w:firstLineChars="0"/>
              <w:rPr>
                <w:szCs w:val="21"/>
              </w:rPr>
            </w:pPr>
            <w:r>
              <w:rPr>
                <w:rFonts w:hint="eastAsia"/>
                <w:szCs w:val="21"/>
              </w:rPr>
              <w:t>系统预置多种模板，如：政治言论、高管信息、非法言论、技术方案、会议纪要、采购计划、网络安全、投资信息、GDPR、简历等</w:t>
            </w:r>
          </w:p>
        </w:tc>
      </w:tr>
      <w:tr w14:paraId="7427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6D00FA86">
            <w:pPr>
              <w:ind w:firstLine="0" w:firstLineChars="0"/>
              <w:rPr>
                <w:szCs w:val="21"/>
              </w:rPr>
            </w:pPr>
            <w:r>
              <w:rPr>
                <w:rFonts w:hint="eastAsia"/>
                <w:szCs w:val="21"/>
              </w:rPr>
              <w:t>事件管理</w:t>
            </w:r>
          </w:p>
        </w:tc>
        <w:tc>
          <w:tcPr>
            <w:tcW w:w="3553" w:type="pct"/>
            <w:vAlign w:val="center"/>
          </w:tcPr>
          <w:p w14:paraId="32483BE0">
            <w:pPr>
              <w:ind w:firstLine="0" w:firstLineChars="0"/>
              <w:rPr>
                <w:szCs w:val="21"/>
              </w:rPr>
            </w:pPr>
            <w:r>
              <w:rPr>
                <w:rFonts w:hint="eastAsia"/>
                <w:szCs w:val="21"/>
              </w:rPr>
              <w:t>提供预置及定制趋势分析的报告，包括：支持显示一周内的事件趋势图、支持显示安全等级事件趋势图、支持显示策略事件趋势图、来源事件 TOPN、目标事件 TOPN、来源总匹配 TOP20</w:t>
            </w:r>
          </w:p>
        </w:tc>
      </w:tr>
      <w:tr w14:paraId="4578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D8EEF7D">
            <w:pPr>
              <w:ind w:firstLine="0" w:firstLineChars="0"/>
              <w:rPr>
                <w:szCs w:val="21"/>
              </w:rPr>
            </w:pPr>
          </w:p>
        </w:tc>
        <w:tc>
          <w:tcPr>
            <w:tcW w:w="3553" w:type="pct"/>
            <w:vAlign w:val="center"/>
          </w:tcPr>
          <w:p w14:paraId="7F07FF77">
            <w:pPr>
              <w:ind w:firstLine="0" w:firstLineChars="0"/>
              <w:rPr>
                <w:szCs w:val="21"/>
              </w:rPr>
            </w:pPr>
            <w:r>
              <w:rPr>
                <w:rFonts w:hint="eastAsia"/>
                <w:szCs w:val="21"/>
              </w:rPr>
              <w:t>能够设置定制报告模板的样式及条件</w:t>
            </w:r>
          </w:p>
        </w:tc>
      </w:tr>
      <w:tr w14:paraId="49C9D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BDF983F">
            <w:pPr>
              <w:ind w:firstLine="0" w:firstLineChars="0"/>
              <w:rPr>
                <w:szCs w:val="21"/>
              </w:rPr>
            </w:pPr>
          </w:p>
        </w:tc>
        <w:tc>
          <w:tcPr>
            <w:tcW w:w="3553" w:type="pct"/>
            <w:vAlign w:val="center"/>
          </w:tcPr>
          <w:p w14:paraId="6C64D123">
            <w:pPr>
              <w:ind w:firstLine="0" w:firstLineChars="0"/>
              <w:rPr>
                <w:szCs w:val="21"/>
              </w:rPr>
            </w:pPr>
            <w:r>
              <w:rPr>
                <w:rFonts w:hint="eastAsia"/>
                <w:szCs w:val="21"/>
              </w:rPr>
              <w:t>支持定制数据统计分析，如多种 TOP 排名能力（可定制）的报表展示能力</w:t>
            </w:r>
          </w:p>
        </w:tc>
      </w:tr>
      <w:tr w14:paraId="0427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33AD7E6">
            <w:pPr>
              <w:ind w:firstLine="0" w:firstLineChars="0"/>
              <w:rPr>
                <w:szCs w:val="21"/>
              </w:rPr>
            </w:pPr>
          </w:p>
        </w:tc>
        <w:tc>
          <w:tcPr>
            <w:tcW w:w="3553" w:type="pct"/>
            <w:vAlign w:val="center"/>
          </w:tcPr>
          <w:p w14:paraId="46D48FF0">
            <w:pPr>
              <w:ind w:firstLine="0" w:firstLineChars="0"/>
              <w:rPr>
                <w:szCs w:val="21"/>
              </w:rPr>
            </w:pPr>
            <w:r>
              <w:rPr>
                <w:rFonts w:hint="eastAsia"/>
                <w:szCs w:val="21"/>
              </w:rPr>
              <w:t>支持多种报告模板，详见各模块报告功能参数</w:t>
            </w:r>
          </w:p>
        </w:tc>
      </w:tr>
      <w:tr w14:paraId="3000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019BC9B">
            <w:pPr>
              <w:ind w:firstLine="0" w:firstLineChars="0"/>
              <w:rPr>
                <w:szCs w:val="21"/>
              </w:rPr>
            </w:pPr>
          </w:p>
        </w:tc>
        <w:tc>
          <w:tcPr>
            <w:tcW w:w="3553" w:type="pct"/>
            <w:vAlign w:val="center"/>
          </w:tcPr>
          <w:p w14:paraId="5425E34F">
            <w:pPr>
              <w:ind w:firstLine="0" w:firstLineChars="0"/>
              <w:rPr>
                <w:szCs w:val="21"/>
              </w:rPr>
            </w:pPr>
            <w:r>
              <w:rPr>
                <w:rFonts w:hint="eastAsia"/>
                <w:szCs w:val="21"/>
              </w:rPr>
              <w:t>提供设置定时事件报告发送给特定的管理人员</w:t>
            </w:r>
          </w:p>
        </w:tc>
      </w:tr>
      <w:tr w14:paraId="4AE8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5ADFE91">
            <w:pPr>
              <w:ind w:firstLine="0" w:firstLineChars="0"/>
              <w:rPr>
                <w:szCs w:val="21"/>
              </w:rPr>
            </w:pPr>
          </w:p>
        </w:tc>
        <w:tc>
          <w:tcPr>
            <w:tcW w:w="3553" w:type="pct"/>
            <w:vAlign w:val="center"/>
          </w:tcPr>
          <w:p w14:paraId="0F0766DC">
            <w:pPr>
              <w:ind w:firstLine="0" w:firstLineChars="0"/>
              <w:rPr>
                <w:szCs w:val="21"/>
              </w:rPr>
            </w:pPr>
            <w:r>
              <w:rPr>
                <w:rFonts w:hint="eastAsia"/>
                <w:szCs w:val="21"/>
              </w:rPr>
              <w:t>可定制的图表报告，用直观的图表同时显示多个报告，至少提供 10 个图表。可点击报告，向下展开额外的事件细节。</w:t>
            </w:r>
          </w:p>
        </w:tc>
      </w:tr>
      <w:tr w14:paraId="6BEB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547C747">
            <w:pPr>
              <w:ind w:firstLine="0" w:firstLineChars="0"/>
              <w:rPr>
                <w:szCs w:val="21"/>
              </w:rPr>
            </w:pPr>
          </w:p>
        </w:tc>
        <w:tc>
          <w:tcPr>
            <w:tcW w:w="3553" w:type="pct"/>
            <w:vAlign w:val="center"/>
          </w:tcPr>
          <w:p w14:paraId="643E97AA">
            <w:pPr>
              <w:ind w:firstLine="0" w:firstLineChars="0"/>
              <w:rPr>
                <w:szCs w:val="21"/>
              </w:rPr>
            </w:pPr>
            <w:r>
              <w:rPr>
                <w:rFonts w:hint="eastAsia"/>
                <w:szCs w:val="21"/>
              </w:rPr>
              <w:t>产品监控的数据均可以按照每小时、每天、每周显示，并均可以下载或导出至 PDF 和 XLS 文件</w:t>
            </w:r>
          </w:p>
        </w:tc>
      </w:tr>
      <w:tr w14:paraId="1BA9E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EB5D1ED">
            <w:pPr>
              <w:ind w:firstLine="0" w:firstLineChars="0"/>
              <w:rPr>
                <w:szCs w:val="21"/>
              </w:rPr>
            </w:pPr>
          </w:p>
        </w:tc>
        <w:tc>
          <w:tcPr>
            <w:tcW w:w="3553" w:type="pct"/>
            <w:vAlign w:val="center"/>
          </w:tcPr>
          <w:p w14:paraId="2EB87B70">
            <w:pPr>
              <w:ind w:firstLine="0" w:firstLineChars="0"/>
              <w:rPr>
                <w:szCs w:val="21"/>
              </w:rPr>
            </w:pPr>
            <w:r>
              <w:rPr>
                <w:rFonts w:hint="eastAsia"/>
                <w:szCs w:val="21"/>
              </w:rPr>
              <w:t>系统邮件记录的统计、分析、报表等支持 IPv6 相关的内容输出</w:t>
            </w:r>
          </w:p>
        </w:tc>
      </w:tr>
      <w:tr w14:paraId="5A6A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0AC63345">
            <w:pPr>
              <w:ind w:firstLine="0" w:firstLineChars="0"/>
              <w:rPr>
                <w:szCs w:val="21"/>
              </w:rPr>
            </w:pPr>
            <w:r>
              <w:rPr>
                <w:rFonts w:hint="eastAsia"/>
                <w:szCs w:val="21"/>
              </w:rPr>
              <w:t>用户管理</w:t>
            </w:r>
          </w:p>
        </w:tc>
        <w:tc>
          <w:tcPr>
            <w:tcW w:w="3553" w:type="pct"/>
            <w:vAlign w:val="center"/>
          </w:tcPr>
          <w:p w14:paraId="17EE3B3E">
            <w:pPr>
              <w:ind w:firstLine="0" w:firstLineChars="0"/>
              <w:rPr>
                <w:szCs w:val="21"/>
              </w:rPr>
            </w:pPr>
            <w:r>
              <w:rPr>
                <w:rFonts w:hint="eastAsia"/>
                <w:szCs w:val="21"/>
              </w:rPr>
              <w:t>支持通过管理平台后台配置启用三权分立，提供多权分立角色管理，各角色之间的功能没有交叉，每一种角色类型都有预置的管理员，包括系统管理员、事件管理员、审计管理员、安全管理员等</w:t>
            </w:r>
          </w:p>
        </w:tc>
      </w:tr>
      <w:tr w14:paraId="4C94C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623721F">
            <w:pPr>
              <w:ind w:firstLine="0" w:firstLineChars="0"/>
              <w:rPr>
                <w:szCs w:val="21"/>
              </w:rPr>
            </w:pPr>
          </w:p>
        </w:tc>
        <w:tc>
          <w:tcPr>
            <w:tcW w:w="3553" w:type="pct"/>
            <w:vAlign w:val="center"/>
          </w:tcPr>
          <w:p w14:paraId="7AF38078">
            <w:pPr>
              <w:ind w:firstLine="0" w:firstLineChars="0"/>
              <w:rPr>
                <w:szCs w:val="21"/>
              </w:rPr>
            </w:pPr>
            <w:r>
              <w:rPr>
                <w:rFonts w:hint="eastAsia"/>
                <w:szCs w:val="21"/>
              </w:rPr>
              <w:t>支持基于实际需要的权限分配，结合用户分组和分级进行灵活定义</w:t>
            </w:r>
          </w:p>
        </w:tc>
      </w:tr>
      <w:tr w14:paraId="52C6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1FC59A8">
            <w:pPr>
              <w:ind w:firstLine="0" w:firstLineChars="0"/>
              <w:rPr>
                <w:szCs w:val="21"/>
              </w:rPr>
            </w:pPr>
          </w:p>
        </w:tc>
        <w:tc>
          <w:tcPr>
            <w:tcW w:w="3553" w:type="pct"/>
            <w:vAlign w:val="center"/>
          </w:tcPr>
          <w:p w14:paraId="6C9F025F">
            <w:pPr>
              <w:ind w:firstLine="0" w:firstLineChars="0"/>
              <w:rPr>
                <w:szCs w:val="21"/>
              </w:rPr>
            </w:pPr>
            <w:r>
              <w:rPr>
                <w:rFonts w:hint="eastAsia"/>
                <w:szCs w:val="21"/>
              </w:rPr>
              <w:t>支持定期及手动方式从第三方同步用户信息</w:t>
            </w:r>
          </w:p>
        </w:tc>
      </w:tr>
      <w:tr w14:paraId="2FB17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82CB684">
            <w:pPr>
              <w:ind w:firstLine="0" w:firstLineChars="0"/>
              <w:rPr>
                <w:szCs w:val="21"/>
              </w:rPr>
            </w:pPr>
          </w:p>
        </w:tc>
        <w:tc>
          <w:tcPr>
            <w:tcW w:w="3553" w:type="pct"/>
            <w:vAlign w:val="center"/>
          </w:tcPr>
          <w:p w14:paraId="195B96E7">
            <w:pPr>
              <w:ind w:firstLine="0" w:firstLineChars="0"/>
              <w:rPr>
                <w:szCs w:val="21"/>
              </w:rPr>
            </w:pPr>
            <w:r>
              <w:rPr>
                <w:rFonts w:hint="eastAsia"/>
                <w:szCs w:val="21"/>
              </w:rPr>
              <w:t>支持集成的第三方系统：AD、Generic Ldap、Domino、ADAM、CSV</w:t>
            </w:r>
          </w:p>
        </w:tc>
      </w:tr>
      <w:tr w14:paraId="6B8D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B4CFE13">
            <w:pPr>
              <w:ind w:firstLine="0" w:firstLineChars="0"/>
              <w:rPr>
                <w:szCs w:val="21"/>
              </w:rPr>
            </w:pPr>
          </w:p>
        </w:tc>
        <w:tc>
          <w:tcPr>
            <w:tcW w:w="3553" w:type="pct"/>
            <w:vAlign w:val="center"/>
          </w:tcPr>
          <w:p w14:paraId="4F1D262B">
            <w:pPr>
              <w:ind w:firstLine="0" w:firstLineChars="0"/>
              <w:rPr>
                <w:szCs w:val="21"/>
              </w:rPr>
            </w:pPr>
            <w:r>
              <w:rPr>
                <w:rFonts w:hint="eastAsia"/>
                <w:szCs w:val="21"/>
              </w:rPr>
              <w:t>支持用户目录设置高级对应同步，同时也支持过滤用户属性同步</w:t>
            </w:r>
          </w:p>
        </w:tc>
      </w:tr>
      <w:tr w14:paraId="624EE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8419B76">
            <w:pPr>
              <w:ind w:firstLine="0" w:firstLineChars="0"/>
              <w:rPr>
                <w:szCs w:val="21"/>
              </w:rPr>
            </w:pPr>
          </w:p>
        </w:tc>
        <w:tc>
          <w:tcPr>
            <w:tcW w:w="3553" w:type="pct"/>
            <w:vAlign w:val="center"/>
          </w:tcPr>
          <w:p w14:paraId="09F802BD">
            <w:pPr>
              <w:ind w:firstLine="0" w:firstLineChars="0"/>
              <w:rPr>
                <w:szCs w:val="21"/>
              </w:rPr>
            </w:pPr>
            <w:r>
              <w:rPr>
                <w:rFonts w:hint="eastAsia"/>
                <w:szCs w:val="21"/>
              </w:rPr>
              <w:t>支持自定义组织架构及导入导出功能，包括自定义用户、用户主管、部门、部门主管、计算机组织架构信息</w:t>
            </w:r>
          </w:p>
        </w:tc>
      </w:tr>
      <w:tr w14:paraId="3287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D458347">
            <w:pPr>
              <w:ind w:firstLine="0" w:firstLineChars="0"/>
              <w:rPr>
                <w:szCs w:val="21"/>
              </w:rPr>
            </w:pPr>
          </w:p>
        </w:tc>
        <w:tc>
          <w:tcPr>
            <w:tcW w:w="3553" w:type="pct"/>
            <w:vAlign w:val="center"/>
          </w:tcPr>
          <w:p w14:paraId="4E6A806B">
            <w:pPr>
              <w:ind w:firstLine="0" w:firstLineChars="0"/>
              <w:rPr>
                <w:szCs w:val="21"/>
              </w:rPr>
            </w:pPr>
            <w:r>
              <w:rPr>
                <w:rFonts w:hint="eastAsia"/>
                <w:szCs w:val="21"/>
              </w:rPr>
              <w:t>支持基于用户目录及自定义组织架构定义用户目录组，实现已有系统用户信息及自定义用户的重新分组，用于策略通知、事件审批及告警通知</w:t>
            </w:r>
          </w:p>
        </w:tc>
      </w:tr>
      <w:tr w14:paraId="68E3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ADCECFF">
            <w:pPr>
              <w:ind w:firstLine="0" w:firstLineChars="0"/>
              <w:rPr>
                <w:szCs w:val="21"/>
              </w:rPr>
            </w:pPr>
          </w:p>
        </w:tc>
        <w:tc>
          <w:tcPr>
            <w:tcW w:w="3553" w:type="pct"/>
            <w:vAlign w:val="center"/>
          </w:tcPr>
          <w:p w14:paraId="4738074C">
            <w:pPr>
              <w:ind w:firstLine="0" w:firstLineChars="0"/>
              <w:rPr>
                <w:szCs w:val="21"/>
              </w:rPr>
            </w:pPr>
            <w:r>
              <w:rPr>
                <w:rFonts w:hint="eastAsia"/>
                <w:szCs w:val="21"/>
              </w:rPr>
              <w:t>分级对象应支持三级管理，上级可管理本级和下级用户的日志、策略以及设备</w:t>
            </w:r>
          </w:p>
        </w:tc>
      </w:tr>
      <w:tr w14:paraId="4E38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D11F05C">
            <w:pPr>
              <w:ind w:firstLine="0" w:firstLineChars="0"/>
              <w:rPr>
                <w:szCs w:val="21"/>
              </w:rPr>
            </w:pPr>
          </w:p>
        </w:tc>
        <w:tc>
          <w:tcPr>
            <w:tcW w:w="3553" w:type="pct"/>
            <w:vAlign w:val="center"/>
          </w:tcPr>
          <w:p w14:paraId="1A2D11EF">
            <w:pPr>
              <w:ind w:firstLine="0" w:firstLineChars="0"/>
              <w:rPr>
                <w:szCs w:val="21"/>
              </w:rPr>
            </w:pPr>
            <w:r>
              <w:rPr>
                <w:rFonts w:hint="eastAsia"/>
                <w:szCs w:val="21"/>
              </w:rPr>
              <w:t>可根据分级架构，为不同分支机构管理员实现不同的角色权限控制</w:t>
            </w:r>
          </w:p>
        </w:tc>
      </w:tr>
      <w:tr w14:paraId="2415C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B68DB40">
            <w:pPr>
              <w:ind w:firstLine="0" w:firstLineChars="0"/>
              <w:rPr>
                <w:szCs w:val="21"/>
              </w:rPr>
            </w:pPr>
          </w:p>
        </w:tc>
        <w:tc>
          <w:tcPr>
            <w:tcW w:w="3553" w:type="pct"/>
            <w:vAlign w:val="center"/>
          </w:tcPr>
          <w:p w14:paraId="06A630AB">
            <w:pPr>
              <w:ind w:firstLine="0" w:firstLineChars="0"/>
              <w:rPr>
                <w:szCs w:val="21"/>
              </w:rPr>
            </w:pPr>
            <w:r>
              <w:rPr>
                <w:rFonts w:hint="eastAsia"/>
                <w:szCs w:val="21"/>
              </w:rPr>
              <w:t>支持继承上级对象的用户管理范围，此种方式下，下级与上级对象管理的用户事件日志范围一致</w:t>
            </w:r>
          </w:p>
        </w:tc>
      </w:tr>
      <w:tr w14:paraId="426C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A32925A">
            <w:pPr>
              <w:ind w:firstLine="0" w:firstLineChars="0"/>
              <w:rPr>
                <w:szCs w:val="21"/>
              </w:rPr>
            </w:pPr>
          </w:p>
        </w:tc>
        <w:tc>
          <w:tcPr>
            <w:tcW w:w="3553" w:type="pct"/>
            <w:vAlign w:val="center"/>
          </w:tcPr>
          <w:p w14:paraId="48BD5FE9">
            <w:pPr>
              <w:ind w:firstLine="0" w:firstLineChars="0"/>
              <w:rPr>
                <w:szCs w:val="21"/>
              </w:rPr>
            </w:pPr>
            <w:r>
              <w:rPr>
                <w:rFonts w:hint="eastAsia"/>
                <w:szCs w:val="21"/>
              </w:rPr>
              <w:t>支持指定用户范围的分级管理，可根据组织架构或者自定义用户组，对事件日志进行用户分级管理</w:t>
            </w:r>
          </w:p>
        </w:tc>
      </w:tr>
      <w:tr w14:paraId="518D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E95495E">
            <w:pPr>
              <w:ind w:firstLine="0" w:firstLineChars="0"/>
              <w:rPr>
                <w:szCs w:val="21"/>
              </w:rPr>
            </w:pPr>
          </w:p>
        </w:tc>
        <w:tc>
          <w:tcPr>
            <w:tcW w:w="3553" w:type="pct"/>
            <w:vAlign w:val="center"/>
          </w:tcPr>
          <w:p w14:paraId="5058C0D8">
            <w:pPr>
              <w:ind w:firstLine="0" w:firstLineChars="0"/>
              <w:rPr>
                <w:szCs w:val="21"/>
              </w:rPr>
            </w:pPr>
            <w:r>
              <w:rPr>
                <w:rFonts w:hint="eastAsia"/>
                <w:szCs w:val="21"/>
              </w:rPr>
              <w:t>支持指定设备的用户分级管理，即只要该用户通过该设备即可管理该用户产生的事件日志信息</w:t>
            </w:r>
          </w:p>
        </w:tc>
      </w:tr>
      <w:tr w14:paraId="28C8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C32A91F">
            <w:pPr>
              <w:ind w:firstLine="0" w:firstLineChars="0"/>
              <w:rPr>
                <w:szCs w:val="21"/>
              </w:rPr>
            </w:pPr>
          </w:p>
        </w:tc>
        <w:tc>
          <w:tcPr>
            <w:tcW w:w="3553" w:type="pct"/>
            <w:vAlign w:val="center"/>
          </w:tcPr>
          <w:p w14:paraId="29AD0307">
            <w:pPr>
              <w:ind w:firstLine="0" w:firstLineChars="0"/>
              <w:rPr>
                <w:szCs w:val="21"/>
              </w:rPr>
            </w:pPr>
            <w:r>
              <w:rPr>
                <w:rFonts w:hint="eastAsia"/>
                <w:szCs w:val="21"/>
              </w:rPr>
              <w:t>产品应支持不同分支机构具备管理自己分支设备权限，上级机构可查看管理下级设备，下级只能对上级分配的设备进行监控管理</w:t>
            </w:r>
          </w:p>
        </w:tc>
      </w:tr>
      <w:tr w14:paraId="4EE4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03821E2">
            <w:pPr>
              <w:ind w:firstLine="0" w:firstLineChars="0"/>
              <w:rPr>
                <w:szCs w:val="21"/>
              </w:rPr>
            </w:pPr>
          </w:p>
        </w:tc>
        <w:tc>
          <w:tcPr>
            <w:tcW w:w="3553" w:type="pct"/>
            <w:vAlign w:val="center"/>
          </w:tcPr>
          <w:p w14:paraId="0C7B1B46">
            <w:pPr>
              <w:ind w:firstLine="0" w:firstLineChars="0"/>
              <w:rPr>
                <w:szCs w:val="21"/>
              </w:rPr>
            </w:pPr>
            <w:r>
              <w:rPr>
                <w:rFonts w:hint="eastAsia"/>
                <w:szCs w:val="21"/>
              </w:rPr>
              <w:t>产品应支持根据分级对象设置不同分级的策略，上级策略对下级策略生效，也可根据策略优先级设置上级策略对下级生效的优先程度</w:t>
            </w:r>
          </w:p>
        </w:tc>
      </w:tr>
      <w:tr w14:paraId="73631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0F47F97">
            <w:pPr>
              <w:ind w:firstLine="0" w:firstLineChars="0"/>
              <w:rPr>
                <w:szCs w:val="21"/>
              </w:rPr>
            </w:pPr>
          </w:p>
        </w:tc>
        <w:tc>
          <w:tcPr>
            <w:tcW w:w="3553" w:type="pct"/>
            <w:vAlign w:val="center"/>
          </w:tcPr>
          <w:p w14:paraId="384F0542">
            <w:pPr>
              <w:ind w:firstLine="0" w:firstLineChars="0"/>
              <w:rPr>
                <w:szCs w:val="21"/>
              </w:rPr>
            </w:pPr>
            <w:r>
              <w:rPr>
                <w:rFonts w:hint="eastAsia"/>
                <w:szCs w:val="21"/>
              </w:rPr>
              <w:t>产品应支持上级查看管理本级和下级策略，同时下级也能查看上级策略</w:t>
            </w:r>
          </w:p>
        </w:tc>
      </w:tr>
      <w:tr w14:paraId="3B4D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D9AC253">
            <w:pPr>
              <w:ind w:firstLine="0" w:firstLineChars="0"/>
              <w:rPr>
                <w:szCs w:val="21"/>
              </w:rPr>
            </w:pPr>
          </w:p>
        </w:tc>
        <w:tc>
          <w:tcPr>
            <w:tcW w:w="3553" w:type="pct"/>
            <w:vAlign w:val="center"/>
          </w:tcPr>
          <w:p w14:paraId="73BBF801">
            <w:pPr>
              <w:ind w:firstLine="0" w:firstLineChars="0"/>
              <w:rPr>
                <w:szCs w:val="21"/>
              </w:rPr>
            </w:pPr>
            <w:r>
              <w:rPr>
                <w:rFonts w:hint="eastAsia"/>
                <w:szCs w:val="21"/>
              </w:rPr>
              <w:t>产品应支持根据用户分级架构，不同分级管理员查看管理各自分级的事件日志和报告</w:t>
            </w:r>
          </w:p>
        </w:tc>
      </w:tr>
      <w:tr w14:paraId="5C01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074D02E5">
            <w:pPr>
              <w:ind w:firstLine="0" w:firstLineChars="0"/>
              <w:rPr>
                <w:szCs w:val="21"/>
              </w:rPr>
            </w:pPr>
            <w:r>
              <w:rPr>
                <w:rFonts w:hint="eastAsia"/>
                <w:szCs w:val="21"/>
              </w:rPr>
              <w:t>日志管理</w:t>
            </w:r>
          </w:p>
        </w:tc>
        <w:tc>
          <w:tcPr>
            <w:tcW w:w="3553" w:type="pct"/>
            <w:vAlign w:val="center"/>
          </w:tcPr>
          <w:p w14:paraId="5F37B057">
            <w:pPr>
              <w:ind w:firstLine="0" w:firstLineChars="0"/>
              <w:rPr>
                <w:szCs w:val="21"/>
              </w:rPr>
            </w:pPr>
            <w:r>
              <w:rPr>
                <w:rFonts w:hint="eastAsia"/>
                <w:szCs w:val="21"/>
              </w:rPr>
              <w:t>能够以 SNMP 的方式向外部系统实时对接设别信息，支持主动和被动方式，支持 TCP 和 UDP 连接</w:t>
            </w:r>
          </w:p>
        </w:tc>
      </w:tr>
      <w:tr w14:paraId="72B20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E7929B4">
            <w:pPr>
              <w:ind w:firstLine="0" w:firstLineChars="0"/>
              <w:rPr>
                <w:szCs w:val="21"/>
              </w:rPr>
            </w:pPr>
          </w:p>
        </w:tc>
        <w:tc>
          <w:tcPr>
            <w:tcW w:w="3553" w:type="pct"/>
            <w:vAlign w:val="center"/>
          </w:tcPr>
          <w:p w14:paraId="333A9799">
            <w:pPr>
              <w:ind w:firstLine="0" w:firstLineChars="0"/>
              <w:rPr>
                <w:szCs w:val="21"/>
              </w:rPr>
            </w:pPr>
            <w:r>
              <w:rPr>
                <w:rFonts w:hint="eastAsia"/>
                <w:szCs w:val="21"/>
              </w:rPr>
              <w:t>能够向第三方日志系统实时传输后台日志，包括但不限于：系统日志、网络日志、审计日志、邮件日志、风险事件。</w:t>
            </w:r>
          </w:p>
        </w:tc>
      </w:tr>
      <w:tr w14:paraId="00D2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35D977AD">
            <w:pPr>
              <w:ind w:firstLine="0" w:firstLineChars="0"/>
              <w:rPr>
                <w:szCs w:val="21"/>
              </w:rPr>
            </w:pPr>
            <w:r>
              <w:rPr>
                <w:rFonts w:hint="eastAsia"/>
                <w:szCs w:val="21"/>
              </w:rPr>
              <w:t>其他功能</w:t>
            </w:r>
          </w:p>
        </w:tc>
        <w:tc>
          <w:tcPr>
            <w:tcW w:w="3553" w:type="pct"/>
            <w:vAlign w:val="center"/>
          </w:tcPr>
          <w:p w14:paraId="3788AB81">
            <w:pPr>
              <w:ind w:firstLine="0" w:firstLineChars="0"/>
              <w:rPr>
                <w:szCs w:val="21"/>
              </w:rPr>
            </w:pPr>
            <w:r>
              <w:rPr>
                <w:rFonts w:hint="eastAsia"/>
                <w:szCs w:val="21"/>
              </w:rPr>
              <w:t>在线下载或上传升级包进行升级，升级失败自动回退</w:t>
            </w:r>
          </w:p>
        </w:tc>
      </w:tr>
      <w:tr w14:paraId="50DC3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7C43712">
            <w:pPr>
              <w:ind w:firstLine="0" w:firstLineChars="0"/>
              <w:rPr>
                <w:szCs w:val="21"/>
              </w:rPr>
            </w:pPr>
          </w:p>
        </w:tc>
        <w:tc>
          <w:tcPr>
            <w:tcW w:w="3553" w:type="pct"/>
            <w:vAlign w:val="center"/>
          </w:tcPr>
          <w:p w14:paraId="49C9B9F7">
            <w:pPr>
              <w:ind w:firstLine="0" w:firstLineChars="0"/>
              <w:rPr>
                <w:szCs w:val="21"/>
              </w:rPr>
            </w:pPr>
            <w:r>
              <w:rPr>
                <w:rFonts w:hint="eastAsia"/>
                <w:szCs w:val="21"/>
              </w:rPr>
              <w:t>升级成功以后可以进行版本回退</w:t>
            </w:r>
          </w:p>
        </w:tc>
      </w:tr>
      <w:tr w14:paraId="5568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CC542BA">
            <w:pPr>
              <w:ind w:firstLine="0" w:firstLineChars="0"/>
              <w:rPr>
                <w:szCs w:val="21"/>
              </w:rPr>
            </w:pPr>
          </w:p>
        </w:tc>
        <w:tc>
          <w:tcPr>
            <w:tcW w:w="3553" w:type="pct"/>
            <w:vAlign w:val="center"/>
          </w:tcPr>
          <w:p w14:paraId="291BA01F">
            <w:pPr>
              <w:ind w:firstLine="0" w:firstLineChars="0"/>
              <w:rPr>
                <w:szCs w:val="21"/>
              </w:rPr>
            </w:pPr>
            <w:r>
              <w:rPr>
                <w:rFonts w:hint="eastAsia"/>
                <w:szCs w:val="21"/>
              </w:rPr>
              <w:t>在线检查最新补丁，在线下载或上传补丁包打补丁</w:t>
            </w:r>
          </w:p>
        </w:tc>
      </w:tr>
      <w:tr w14:paraId="6568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446" w:type="pct"/>
            <w:vMerge w:val="continue"/>
            <w:vAlign w:val="center"/>
          </w:tcPr>
          <w:p w14:paraId="0C2D0F84">
            <w:pPr>
              <w:ind w:firstLine="0" w:firstLineChars="0"/>
              <w:rPr>
                <w:szCs w:val="21"/>
              </w:rPr>
            </w:pPr>
          </w:p>
        </w:tc>
        <w:tc>
          <w:tcPr>
            <w:tcW w:w="3553" w:type="pct"/>
            <w:vAlign w:val="center"/>
          </w:tcPr>
          <w:p w14:paraId="2F60D24E">
            <w:pPr>
              <w:ind w:firstLine="0" w:firstLineChars="0"/>
              <w:rPr>
                <w:szCs w:val="21"/>
              </w:rPr>
            </w:pPr>
            <w:r>
              <w:rPr>
                <w:rFonts w:hint="eastAsia"/>
                <w:szCs w:val="21"/>
                <w:lang w:eastAsia="zh-CN"/>
              </w:rPr>
              <w:t>▲</w:t>
            </w:r>
            <w:r>
              <w:rPr>
                <w:rFonts w:hint="eastAsia"/>
                <w:szCs w:val="21"/>
              </w:rPr>
              <w:t>数据防泄露系统需支持国产化硬件环境，软件产品为国内自主研发，符合国家自主可控要求</w:t>
            </w:r>
          </w:p>
        </w:tc>
      </w:tr>
      <w:tr w14:paraId="64C0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21789B9">
            <w:pPr>
              <w:ind w:firstLine="0" w:firstLineChars="0"/>
              <w:rPr>
                <w:szCs w:val="21"/>
              </w:rPr>
            </w:pPr>
          </w:p>
        </w:tc>
        <w:tc>
          <w:tcPr>
            <w:tcW w:w="3553" w:type="pct"/>
            <w:vAlign w:val="center"/>
          </w:tcPr>
          <w:p w14:paraId="7B8D7D0A">
            <w:pPr>
              <w:ind w:firstLine="0" w:firstLineChars="0"/>
              <w:rPr>
                <w:szCs w:val="21"/>
              </w:rPr>
            </w:pPr>
            <w:r>
              <w:rPr>
                <w:rFonts w:hint="eastAsia"/>
                <w:szCs w:val="21"/>
              </w:rPr>
              <w:t>▲数据防泄露系统须覆盖终端、网络和邮件通道数据泄漏的审计和阻止功能，统一集中管理平台要求，进行策略、日志报告等统一管理</w:t>
            </w:r>
          </w:p>
        </w:tc>
      </w:tr>
      <w:tr w14:paraId="4854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691903C">
            <w:pPr>
              <w:ind w:firstLine="0" w:firstLineChars="0"/>
              <w:rPr>
                <w:szCs w:val="21"/>
              </w:rPr>
            </w:pPr>
          </w:p>
        </w:tc>
        <w:tc>
          <w:tcPr>
            <w:tcW w:w="3553" w:type="pct"/>
            <w:vAlign w:val="center"/>
          </w:tcPr>
          <w:p w14:paraId="7DAD4518">
            <w:pPr>
              <w:ind w:firstLine="0" w:firstLineChars="0"/>
              <w:rPr>
                <w:szCs w:val="21"/>
              </w:rPr>
            </w:pPr>
            <w:r>
              <w:rPr>
                <w:rFonts w:hint="eastAsia"/>
                <w:szCs w:val="21"/>
              </w:rPr>
              <w:t>产品品牌要求国际主流机构（Gartner）连续 3 年推荐 DLP 厂商、数据与分析机构（IDC）连续多年 2 年数据防泄漏市场份额 TOP3，并具备中国本地原厂技术服务研发能力</w:t>
            </w:r>
          </w:p>
        </w:tc>
      </w:tr>
      <w:tr w14:paraId="31A2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9495137">
            <w:pPr>
              <w:ind w:firstLine="0" w:firstLineChars="0"/>
              <w:rPr>
                <w:szCs w:val="21"/>
              </w:rPr>
            </w:pPr>
          </w:p>
        </w:tc>
        <w:tc>
          <w:tcPr>
            <w:tcW w:w="3553" w:type="pct"/>
            <w:vAlign w:val="center"/>
          </w:tcPr>
          <w:p w14:paraId="090EB494">
            <w:pPr>
              <w:ind w:firstLine="0" w:firstLineChars="0"/>
              <w:rPr>
                <w:szCs w:val="21"/>
              </w:rPr>
            </w:pPr>
            <w:r>
              <w:rPr>
                <w:rFonts w:hint="eastAsia"/>
                <w:szCs w:val="21"/>
              </w:rPr>
              <w:t>投标方持有制造商出具的项目授权函及售后服务承诺函</w:t>
            </w:r>
          </w:p>
        </w:tc>
      </w:tr>
      <w:tr w14:paraId="0136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FA0C472">
            <w:pPr>
              <w:ind w:firstLine="0" w:firstLineChars="0"/>
              <w:rPr>
                <w:szCs w:val="21"/>
              </w:rPr>
            </w:pPr>
          </w:p>
        </w:tc>
        <w:tc>
          <w:tcPr>
            <w:tcW w:w="3553" w:type="pct"/>
            <w:vAlign w:val="center"/>
          </w:tcPr>
          <w:p w14:paraId="53914E59">
            <w:pPr>
              <w:ind w:firstLine="0" w:firstLineChars="0"/>
              <w:rPr>
                <w:szCs w:val="21"/>
              </w:rPr>
            </w:pPr>
            <w:r>
              <w:rPr>
                <w:rFonts w:hint="eastAsia"/>
                <w:szCs w:val="21"/>
              </w:rPr>
              <w:t>终端 DLP 支持windows操作系统，支持DLP 检测和阻止功能。</w:t>
            </w:r>
          </w:p>
          <w:p w14:paraId="1B3EC317">
            <w:pPr>
              <w:ind w:firstLine="0" w:firstLineChars="0"/>
              <w:rPr>
                <w:szCs w:val="21"/>
              </w:rPr>
            </w:pPr>
            <w:r>
              <w:rPr>
                <w:rFonts w:hint="eastAsia"/>
                <w:szCs w:val="21"/>
              </w:rPr>
              <w:t>支持 Ubuntu、麒麟（中标&amp;银河）及 UOS 通信平台等操作系统，支持DLP 检测和阻止功能</w:t>
            </w:r>
          </w:p>
        </w:tc>
      </w:tr>
      <w:tr w14:paraId="23863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9A51A51">
            <w:pPr>
              <w:ind w:firstLine="0" w:firstLineChars="0"/>
              <w:rPr>
                <w:szCs w:val="21"/>
              </w:rPr>
            </w:pPr>
          </w:p>
        </w:tc>
        <w:tc>
          <w:tcPr>
            <w:tcW w:w="3553" w:type="pct"/>
            <w:vAlign w:val="center"/>
          </w:tcPr>
          <w:p w14:paraId="14EDA91F">
            <w:pPr>
              <w:ind w:firstLine="0" w:firstLineChars="0"/>
              <w:rPr>
                <w:szCs w:val="21"/>
              </w:rPr>
            </w:pPr>
            <w:r>
              <w:rPr>
                <w:rFonts w:hint="eastAsia"/>
                <w:szCs w:val="21"/>
              </w:rPr>
              <w:t>与使用的终端安全产品兼容（桌管及防病毒等），在不影响现有终端管理的模式下，实现终端数据防泄密的管理需求。</w:t>
            </w:r>
          </w:p>
        </w:tc>
      </w:tr>
      <w:tr w14:paraId="07E5C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90B3399">
            <w:pPr>
              <w:ind w:firstLine="0" w:firstLineChars="0"/>
              <w:rPr>
                <w:szCs w:val="21"/>
              </w:rPr>
            </w:pPr>
          </w:p>
        </w:tc>
        <w:tc>
          <w:tcPr>
            <w:tcW w:w="3553" w:type="pct"/>
            <w:vAlign w:val="center"/>
          </w:tcPr>
          <w:p w14:paraId="2DC7FBC8">
            <w:pPr>
              <w:ind w:firstLine="0" w:firstLineChars="0"/>
              <w:rPr>
                <w:szCs w:val="21"/>
              </w:rPr>
            </w:pPr>
            <w:r>
              <w:rPr>
                <w:rFonts w:hint="eastAsia"/>
                <w:szCs w:val="21"/>
              </w:rPr>
              <w:t>产品必须支持 6 个月本地日志存量</w:t>
            </w:r>
          </w:p>
        </w:tc>
      </w:tr>
    </w:tbl>
    <w:p w14:paraId="4C7C486D">
      <w:pPr>
        <w:pStyle w:val="21"/>
        <w:ind w:firstLine="480"/>
      </w:pPr>
    </w:p>
    <w:p w14:paraId="25BE9349">
      <w:pPr>
        <w:pStyle w:val="7"/>
        <w:spacing w:line="413" w:lineRule="auto"/>
        <w:ind w:firstLine="0" w:firstLineChars="0"/>
      </w:pPr>
      <w:r>
        <w:rPr>
          <w:rFonts w:hint="eastAsia"/>
        </w:rPr>
        <w:t>4.1.2客户端技术规格参数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6"/>
        <w:gridCol w:w="6062"/>
      </w:tblGrid>
      <w:tr w14:paraId="7543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46" w:type="pct"/>
            <w:vAlign w:val="center"/>
          </w:tcPr>
          <w:p w14:paraId="0F227D42">
            <w:pPr>
              <w:ind w:firstLine="482"/>
              <w:jc w:val="center"/>
              <w:rPr>
                <w:b/>
                <w:bCs/>
                <w:szCs w:val="21"/>
              </w:rPr>
            </w:pPr>
            <w:r>
              <w:rPr>
                <w:rFonts w:hint="eastAsia"/>
                <w:b/>
                <w:bCs/>
                <w:szCs w:val="21"/>
              </w:rPr>
              <w:t>配置要求</w:t>
            </w:r>
          </w:p>
        </w:tc>
        <w:tc>
          <w:tcPr>
            <w:tcW w:w="3554" w:type="pct"/>
            <w:vAlign w:val="center"/>
          </w:tcPr>
          <w:p w14:paraId="3D800226">
            <w:pPr>
              <w:ind w:firstLine="482"/>
              <w:jc w:val="center"/>
              <w:rPr>
                <w:b/>
                <w:bCs/>
                <w:szCs w:val="21"/>
              </w:rPr>
            </w:pPr>
            <w:r>
              <w:rPr>
                <w:rFonts w:hint="eastAsia"/>
                <w:b/>
                <w:bCs/>
                <w:szCs w:val="21"/>
              </w:rPr>
              <w:t>技术规范</w:t>
            </w:r>
          </w:p>
        </w:tc>
      </w:tr>
      <w:tr w14:paraId="24A0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1088B692">
            <w:pPr>
              <w:ind w:firstLine="0" w:firstLineChars="0"/>
              <w:rPr>
                <w:szCs w:val="21"/>
              </w:rPr>
            </w:pPr>
            <w:r>
              <w:rPr>
                <w:rFonts w:hint="eastAsia"/>
                <w:szCs w:val="21"/>
              </w:rPr>
              <w:t>敏感数据发现与识别</w:t>
            </w:r>
          </w:p>
        </w:tc>
        <w:tc>
          <w:tcPr>
            <w:tcW w:w="3554" w:type="pct"/>
          </w:tcPr>
          <w:p w14:paraId="11AE2DD7">
            <w:pPr>
              <w:ind w:firstLine="0" w:firstLineChars="0"/>
              <w:rPr>
                <w:szCs w:val="21"/>
              </w:rPr>
            </w:pPr>
            <w:r>
              <w:rPr>
                <w:rFonts w:hint="eastAsia"/>
                <w:szCs w:val="21"/>
              </w:rPr>
              <w:t>支持终端敏感内容发现。</w:t>
            </w:r>
          </w:p>
        </w:tc>
      </w:tr>
      <w:tr w14:paraId="695E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3EFB7A9">
            <w:pPr>
              <w:ind w:firstLine="0" w:firstLineChars="0"/>
              <w:rPr>
                <w:szCs w:val="21"/>
              </w:rPr>
            </w:pPr>
          </w:p>
        </w:tc>
        <w:tc>
          <w:tcPr>
            <w:tcW w:w="3554" w:type="pct"/>
          </w:tcPr>
          <w:p w14:paraId="63D00679">
            <w:pPr>
              <w:ind w:firstLine="0" w:firstLineChars="0"/>
              <w:rPr>
                <w:szCs w:val="21"/>
              </w:rPr>
            </w:pPr>
            <w:r>
              <w:rPr>
                <w:rFonts w:hint="eastAsia"/>
                <w:szCs w:val="21"/>
              </w:rPr>
              <w:t>支持终端发现任务计划定期扫描，支持增量与全量扫描</w:t>
            </w:r>
          </w:p>
        </w:tc>
      </w:tr>
      <w:tr w14:paraId="4402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61A7D35">
            <w:pPr>
              <w:ind w:firstLine="0" w:firstLineChars="0"/>
              <w:rPr>
                <w:szCs w:val="21"/>
              </w:rPr>
            </w:pPr>
          </w:p>
        </w:tc>
        <w:tc>
          <w:tcPr>
            <w:tcW w:w="3554" w:type="pct"/>
          </w:tcPr>
          <w:p w14:paraId="19FA5F0D">
            <w:pPr>
              <w:ind w:firstLine="0" w:firstLineChars="0"/>
              <w:rPr>
                <w:szCs w:val="21"/>
              </w:rPr>
            </w:pPr>
            <w:r>
              <w:rPr>
                <w:rFonts w:hint="eastAsia"/>
                <w:szCs w:val="21"/>
              </w:rPr>
              <w:t>支持终端离线时所有终端 DLP 防护策略依然有效</w:t>
            </w:r>
          </w:p>
          <w:p w14:paraId="2BE022B7">
            <w:pPr>
              <w:ind w:firstLine="0" w:firstLineChars="0"/>
              <w:rPr>
                <w:szCs w:val="21"/>
              </w:rPr>
            </w:pPr>
            <w:r>
              <w:rPr>
                <w:rFonts w:hint="eastAsia"/>
                <w:szCs w:val="21"/>
              </w:rPr>
              <w:t>（离线可控）</w:t>
            </w:r>
          </w:p>
        </w:tc>
      </w:tr>
      <w:tr w14:paraId="1EA1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1C5FFE7">
            <w:pPr>
              <w:ind w:firstLine="0" w:firstLineChars="0"/>
              <w:rPr>
                <w:szCs w:val="21"/>
              </w:rPr>
            </w:pPr>
          </w:p>
        </w:tc>
        <w:tc>
          <w:tcPr>
            <w:tcW w:w="3554" w:type="pct"/>
          </w:tcPr>
          <w:p w14:paraId="7AB8E045">
            <w:pPr>
              <w:ind w:firstLine="0" w:firstLineChars="0"/>
              <w:rPr>
                <w:szCs w:val="21"/>
              </w:rPr>
            </w:pPr>
            <w:r>
              <w:rPr>
                <w:rFonts w:hint="eastAsia"/>
                <w:szCs w:val="21"/>
              </w:rPr>
              <w:t>支持用户端分级分类标签定义功能，支持终端 DLP 用户手动方式右键属性标记分类标签，支持终端 DLP 用户手动方式右键属性标记指纹标签</w:t>
            </w:r>
          </w:p>
        </w:tc>
      </w:tr>
      <w:tr w14:paraId="2C4D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1EEE451">
            <w:pPr>
              <w:ind w:firstLine="0" w:firstLineChars="0"/>
              <w:rPr>
                <w:szCs w:val="21"/>
              </w:rPr>
            </w:pPr>
          </w:p>
        </w:tc>
        <w:tc>
          <w:tcPr>
            <w:tcW w:w="3554" w:type="pct"/>
          </w:tcPr>
          <w:p w14:paraId="51DBC4DB">
            <w:pPr>
              <w:ind w:firstLine="0" w:firstLineChars="0"/>
              <w:rPr>
                <w:szCs w:val="21"/>
              </w:rPr>
            </w:pPr>
            <w:r>
              <w:rPr>
                <w:rFonts w:hint="eastAsia"/>
                <w:szCs w:val="21"/>
              </w:rPr>
              <w:t>支持终端日志多种多种收集途径：本地手动收集、管理平台在线自动收集</w:t>
            </w:r>
          </w:p>
        </w:tc>
      </w:tr>
      <w:tr w14:paraId="436C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756E016">
            <w:pPr>
              <w:ind w:firstLine="0" w:firstLineChars="0"/>
              <w:rPr>
                <w:szCs w:val="21"/>
              </w:rPr>
            </w:pPr>
          </w:p>
        </w:tc>
        <w:tc>
          <w:tcPr>
            <w:tcW w:w="3554" w:type="pct"/>
          </w:tcPr>
          <w:p w14:paraId="3CB4E246">
            <w:pPr>
              <w:ind w:firstLine="0" w:firstLineChars="0"/>
              <w:rPr>
                <w:szCs w:val="21"/>
              </w:rPr>
            </w:pPr>
            <w:r>
              <w:rPr>
                <w:rFonts w:hint="eastAsia"/>
                <w:szCs w:val="21"/>
              </w:rPr>
              <w:t>支持终端发现任务计划定期、增量扫描与全量扫描</w:t>
            </w:r>
          </w:p>
          <w:p w14:paraId="58AABE16">
            <w:pPr>
              <w:ind w:firstLine="0" w:firstLineChars="0"/>
              <w:rPr>
                <w:szCs w:val="21"/>
              </w:rPr>
            </w:pPr>
            <w:r>
              <w:rPr>
                <w:rFonts w:hint="eastAsia"/>
                <w:szCs w:val="21"/>
              </w:rPr>
              <w:t>支持终端发现指定计算机、指定扫描目标、指定策略、文件属性过滤器、扫描时间计划、增量扫描、手动数据发现、手动数据发现报告</w:t>
            </w:r>
          </w:p>
        </w:tc>
      </w:tr>
      <w:tr w14:paraId="2AFF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446" w:type="pct"/>
            <w:vMerge w:val="restart"/>
            <w:vAlign w:val="center"/>
          </w:tcPr>
          <w:p w14:paraId="30E9226E">
            <w:pPr>
              <w:ind w:firstLine="0" w:firstLineChars="0"/>
              <w:rPr>
                <w:szCs w:val="21"/>
              </w:rPr>
            </w:pPr>
            <w:r>
              <w:rPr>
                <w:rFonts w:hint="eastAsia"/>
                <w:szCs w:val="21"/>
              </w:rPr>
              <w:t>敏感数据分布及展示</w:t>
            </w:r>
          </w:p>
        </w:tc>
        <w:tc>
          <w:tcPr>
            <w:tcW w:w="3554" w:type="pct"/>
          </w:tcPr>
          <w:p w14:paraId="7A91E0DC">
            <w:pPr>
              <w:ind w:firstLine="0" w:firstLineChars="0"/>
              <w:rPr>
                <w:szCs w:val="21"/>
              </w:rPr>
            </w:pPr>
            <w:r>
              <w:rPr>
                <w:rFonts w:hint="eastAsia"/>
                <w:szCs w:val="21"/>
              </w:rPr>
              <w:t>提供预置及定制趋势分析的报告，包括：支持显示一周内的事件趋势 图、支持显示安全等级事件趋势图、支持显示策略事件趋势图、来源事件 TOPN、目标事件 TOPN、来源总匹配 TOP20</w:t>
            </w:r>
          </w:p>
        </w:tc>
      </w:tr>
      <w:tr w14:paraId="7502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5423573">
            <w:pPr>
              <w:ind w:firstLine="0" w:firstLineChars="0"/>
              <w:rPr>
                <w:szCs w:val="21"/>
              </w:rPr>
            </w:pPr>
          </w:p>
        </w:tc>
        <w:tc>
          <w:tcPr>
            <w:tcW w:w="3554" w:type="pct"/>
            <w:vAlign w:val="center"/>
          </w:tcPr>
          <w:p w14:paraId="5160D023">
            <w:pPr>
              <w:ind w:firstLine="0" w:firstLineChars="0"/>
              <w:rPr>
                <w:szCs w:val="21"/>
              </w:rPr>
            </w:pPr>
            <w:r>
              <w:rPr>
                <w:rFonts w:hint="eastAsia"/>
                <w:szCs w:val="21"/>
              </w:rPr>
              <w:t>能够设置定制报告模板的样式及条件</w:t>
            </w:r>
          </w:p>
        </w:tc>
      </w:tr>
      <w:tr w14:paraId="3325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76FB340">
            <w:pPr>
              <w:ind w:firstLine="0" w:firstLineChars="0"/>
              <w:rPr>
                <w:szCs w:val="21"/>
              </w:rPr>
            </w:pPr>
          </w:p>
        </w:tc>
        <w:tc>
          <w:tcPr>
            <w:tcW w:w="3554" w:type="pct"/>
            <w:vAlign w:val="center"/>
          </w:tcPr>
          <w:p w14:paraId="25B5DEDA">
            <w:pPr>
              <w:ind w:firstLine="0" w:firstLineChars="0"/>
              <w:rPr>
                <w:szCs w:val="21"/>
              </w:rPr>
            </w:pPr>
            <w:r>
              <w:rPr>
                <w:rFonts w:hint="eastAsia"/>
                <w:szCs w:val="21"/>
              </w:rPr>
              <w:t>支持定制数据统计分析，如多种 TOP 排名能力（可定制）的报表展示能力</w:t>
            </w:r>
          </w:p>
        </w:tc>
      </w:tr>
      <w:tr w14:paraId="10F0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8731DEB">
            <w:pPr>
              <w:ind w:firstLine="0" w:firstLineChars="0"/>
              <w:rPr>
                <w:szCs w:val="21"/>
              </w:rPr>
            </w:pPr>
          </w:p>
        </w:tc>
        <w:tc>
          <w:tcPr>
            <w:tcW w:w="3554" w:type="pct"/>
            <w:vAlign w:val="center"/>
          </w:tcPr>
          <w:p w14:paraId="4C35DCB9">
            <w:pPr>
              <w:ind w:firstLine="0" w:firstLineChars="0"/>
              <w:rPr>
                <w:szCs w:val="21"/>
              </w:rPr>
            </w:pPr>
            <w:r>
              <w:rPr>
                <w:rFonts w:hint="eastAsia"/>
                <w:szCs w:val="21"/>
              </w:rPr>
              <w:t>支持多种报告模板，详见各模块报告功能参数</w:t>
            </w:r>
          </w:p>
        </w:tc>
      </w:tr>
      <w:tr w14:paraId="08029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A67C614">
            <w:pPr>
              <w:ind w:firstLine="0" w:firstLineChars="0"/>
              <w:rPr>
                <w:szCs w:val="21"/>
              </w:rPr>
            </w:pPr>
          </w:p>
        </w:tc>
        <w:tc>
          <w:tcPr>
            <w:tcW w:w="3554" w:type="pct"/>
            <w:vAlign w:val="center"/>
          </w:tcPr>
          <w:p w14:paraId="611C01A5">
            <w:pPr>
              <w:ind w:firstLine="0" w:firstLineChars="0"/>
              <w:rPr>
                <w:szCs w:val="21"/>
              </w:rPr>
            </w:pPr>
            <w:r>
              <w:rPr>
                <w:rFonts w:hint="eastAsia"/>
                <w:szCs w:val="21"/>
              </w:rPr>
              <w:t>提供设置定时事件报告发送给特定的管理人员</w:t>
            </w:r>
          </w:p>
        </w:tc>
      </w:tr>
      <w:tr w14:paraId="5F00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9EFFC51">
            <w:pPr>
              <w:ind w:firstLine="0" w:firstLineChars="0"/>
              <w:rPr>
                <w:szCs w:val="21"/>
              </w:rPr>
            </w:pPr>
          </w:p>
        </w:tc>
        <w:tc>
          <w:tcPr>
            <w:tcW w:w="3554" w:type="pct"/>
            <w:vAlign w:val="center"/>
          </w:tcPr>
          <w:p w14:paraId="56ABE0AA">
            <w:pPr>
              <w:ind w:firstLine="0" w:firstLineChars="0"/>
              <w:rPr>
                <w:szCs w:val="21"/>
              </w:rPr>
            </w:pPr>
            <w:r>
              <w:rPr>
                <w:rFonts w:hint="eastAsia"/>
                <w:szCs w:val="21"/>
              </w:rPr>
              <w:t>可定制的图表报告，用直观的图表同时显示多个报告，至少提供 10 个图表。可点击报告，向下展开额外的事件细节。</w:t>
            </w:r>
          </w:p>
        </w:tc>
      </w:tr>
      <w:tr w14:paraId="7C70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37B38BD">
            <w:pPr>
              <w:ind w:firstLine="0" w:firstLineChars="0"/>
              <w:rPr>
                <w:szCs w:val="21"/>
              </w:rPr>
            </w:pPr>
          </w:p>
        </w:tc>
        <w:tc>
          <w:tcPr>
            <w:tcW w:w="3554" w:type="pct"/>
            <w:vAlign w:val="center"/>
          </w:tcPr>
          <w:p w14:paraId="627D7C3B">
            <w:pPr>
              <w:ind w:firstLine="0" w:firstLineChars="0"/>
              <w:rPr>
                <w:szCs w:val="21"/>
              </w:rPr>
            </w:pPr>
            <w:r>
              <w:rPr>
                <w:rFonts w:hint="eastAsia"/>
                <w:szCs w:val="21"/>
              </w:rPr>
              <w:t>产品监控的数据均可以按照每小时、每天、每周显示，并均可以下载或导出至 PDF 和 XLS 文件</w:t>
            </w:r>
          </w:p>
        </w:tc>
      </w:tr>
      <w:tr w14:paraId="6B42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9266F87">
            <w:pPr>
              <w:ind w:firstLine="0" w:firstLineChars="0"/>
              <w:rPr>
                <w:szCs w:val="21"/>
              </w:rPr>
            </w:pPr>
          </w:p>
        </w:tc>
        <w:tc>
          <w:tcPr>
            <w:tcW w:w="3554" w:type="pct"/>
            <w:vAlign w:val="center"/>
          </w:tcPr>
          <w:p w14:paraId="7CB282B0">
            <w:pPr>
              <w:ind w:firstLine="0" w:firstLineChars="0"/>
              <w:rPr>
                <w:szCs w:val="21"/>
              </w:rPr>
            </w:pPr>
            <w:r>
              <w:rPr>
                <w:rFonts w:hint="eastAsia"/>
                <w:szCs w:val="21"/>
              </w:rPr>
              <w:t>系统邮件记录的统计、分析、报表等支持 IPv6 相关的内容输出</w:t>
            </w:r>
          </w:p>
        </w:tc>
      </w:tr>
      <w:tr w14:paraId="24EB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446" w:type="pct"/>
            <w:vMerge w:val="restart"/>
            <w:vAlign w:val="center"/>
          </w:tcPr>
          <w:p w14:paraId="5A9B0849">
            <w:pPr>
              <w:ind w:firstLine="0" w:firstLineChars="0"/>
              <w:rPr>
                <w:szCs w:val="21"/>
              </w:rPr>
            </w:pPr>
            <w:r>
              <w:rPr>
                <w:rFonts w:hint="eastAsia"/>
                <w:szCs w:val="21"/>
              </w:rPr>
              <w:t>用户管理敏感数据监控及违规使用控制</w:t>
            </w:r>
          </w:p>
        </w:tc>
        <w:tc>
          <w:tcPr>
            <w:tcW w:w="3554" w:type="pct"/>
            <w:vAlign w:val="center"/>
          </w:tcPr>
          <w:p w14:paraId="78802D74">
            <w:pPr>
              <w:ind w:firstLine="0" w:firstLineChars="0"/>
              <w:rPr>
                <w:szCs w:val="21"/>
              </w:rPr>
            </w:pPr>
            <w:r>
              <w:rPr>
                <w:rFonts w:hint="eastAsia"/>
                <w:szCs w:val="21"/>
              </w:rPr>
              <w:t>支持终端应用控制，粘贴复制，截屏、文件访问控制</w:t>
            </w:r>
          </w:p>
        </w:tc>
      </w:tr>
      <w:tr w14:paraId="346B2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0ACAA32">
            <w:pPr>
              <w:ind w:firstLine="0" w:firstLineChars="0"/>
              <w:rPr>
                <w:szCs w:val="21"/>
              </w:rPr>
            </w:pPr>
          </w:p>
        </w:tc>
        <w:tc>
          <w:tcPr>
            <w:tcW w:w="3554" w:type="pct"/>
          </w:tcPr>
          <w:p w14:paraId="69158E03">
            <w:pPr>
              <w:ind w:firstLine="0" w:firstLineChars="0"/>
              <w:rPr>
                <w:szCs w:val="21"/>
              </w:rPr>
            </w:pPr>
            <w:r>
              <w:rPr>
                <w:rFonts w:hint="eastAsia"/>
                <w:szCs w:val="21"/>
              </w:rPr>
              <w:t>支持屏幕水印，应用水印，打印水印。</w:t>
            </w:r>
          </w:p>
        </w:tc>
      </w:tr>
      <w:tr w14:paraId="7FF29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56035D1">
            <w:pPr>
              <w:ind w:firstLine="0" w:firstLineChars="0"/>
              <w:rPr>
                <w:szCs w:val="21"/>
              </w:rPr>
            </w:pPr>
          </w:p>
        </w:tc>
        <w:tc>
          <w:tcPr>
            <w:tcW w:w="3554" w:type="pct"/>
          </w:tcPr>
          <w:p w14:paraId="726E3902">
            <w:pPr>
              <w:ind w:firstLine="0" w:firstLineChars="0"/>
              <w:rPr>
                <w:szCs w:val="21"/>
              </w:rPr>
            </w:pPr>
            <w:r>
              <w:rPr>
                <w:rFonts w:hint="eastAsia"/>
                <w:szCs w:val="21"/>
              </w:rPr>
              <w:t>支持终端 DLP 用户在保存未分类 Office 文档时，强制弹处分类弹窗标记文档（属性标签）</w:t>
            </w:r>
          </w:p>
        </w:tc>
      </w:tr>
      <w:tr w14:paraId="1C70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BDEE6B1">
            <w:pPr>
              <w:ind w:firstLine="0" w:firstLineChars="0"/>
              <w:rPr>
                <w:szCs w:val="21"/>
              </w:rPr>
            </w:pPr>
          </w:p>
        </w:tc>
        <w:tc>
          <w:tcPr>
            <w:tcW w:w="3554" w:type="pct"/>
          </w:tcPr>
          <w:p w14:paraId="692CB545">
            <w:pPr>
              <w:ind w:firstLine="0" w:firstLineChars="0"/>
              <w:rPr>
                <w:szCs w:val="21"/>
              </w:rPr>
            </w:pPr>
            <w:r>
              <w:rPr>
                <w:rFonts w:hint="eastAsia"/>
                <w:szCs w:val="21"/>
              </w:rPr>
              <w:t>支持对打印的文件进行内容分析，并支持放行、阻断、确认动作</w:t>
            </w:r>
          </w:p>
        </w:tc>
      </w:tr>
      <w:tr w14:paraId="50071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345EBD8">
            <w:pPr>
              <w:ind w:firstLine="0" w:firstLineChars="0"/>
              <w:rPr>
                <w:szCs w:val="21"/>
              </w:rPr>
            </w:pPr>
          </w:p>
        </w:tc>
        <w:tc>
          <w:tcPr>
            <w:tcW w:w="3554" w:type="pct"/>
            <w:vAlign w:val="center"/>
          </w:tcPr>
          <w:p w14:paraId="2336AE75">
            <w:pPr>
              <w:ind w:firstLine="0" w:firstLineChars="0"/>
              <w:rPr>
                <w:szCs w:val="21"/>
              </w:rPr>
            </w:pPr>
            <w:r>
              <w:rPr>
                <w:rFonts w:hint="eastAsia"/>
                <w:szCs w:val="21"/>
              </w:rPr>
              <w:t>支持信创环境屏幕水印支持屏幕水印</w:t>
            </w:r>
          </w:p>
        </w:tc>
      </w:tr>
      <w:tr w14:paraId="2F33F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AAF0BE1">
            <w:pPr>
              <w:ind w:firstLine="0" w:firstLineChars="0"/>
              <w:rPr>
                <w:szCs w:val="21"/>
              </w:rPr>
            </w:pPr>
          </w:p>
        </w:tc>
        <w:tc>
          <w:tcPr>
            <w:tcW w:w="3554" w:type="pct"/>
          </w:tcPr>
          <w:p w14:paraId="505CF839">
            <w:pPr>
              <w:ind w:firstLine="0" w:firstLineChars="0"/>
              <w:rPr>
                <w:szCs w:val="21"/>
              </w:rPr>
            </w:pPr>
            <w:r>
              <w:rPr>
                <w:rFonts w:hint="eastAsia"/>
                <w:szCs w:val="21"/>
              </w:rPr>
              <w:t>支持基于源/目标 IP、源/目标 IP 段、域名、域名通配符、发件人、发件人邮箱通配符、路径的终端白名单设置</w:t>
            </w:r>
          </w:p>
        </w:tc>
      </w:tr>
      <w:tr w14:paraId="0154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446" w:type="pct"/>
            <w:vMerge w:val="restart"/>
            <w:vAlign w:val="center"/>
          </w:tcPr>
          <w:p w14:paraId="1ED7AC7B">
            <w:pPr>
              <w:ind w:firstLine="0" w:firstLineChars="0"/>
              <w:rPr>
                <w:szCs w:val="21"/>
              </w:rPr>
            </w:pPr>
            <w:r>
              <w:rPr>
                <w:rFonts w:hint="eastAsia"/>
                <w:szCs w:val="21"/>
              </w:rPr>
              <w:t>敏感数据防扩散</w:t>
            </w:r>
          </w:p>
        </w:tc>
        <w:tc>
          <w:tcPr>
            <w:tcW w:w="3554" w:type="pct"/>
          </w:tcPr>
          <w:p w14:paraId="747C0A53">
            <w:pPr>
              <w:ind w:firstLine="0" w:firstLineChars="0"/>
              <w:rPr>
                <w:szCs w:val="21"/>
              </w:rPr>
            </w:pPr>
            <w:r>
              <w:rPr>
                <w:rFonts w:hint="eastAsia"/>
                <w:szCs w:val="21"/>
              </w:rPr>
              <w:t>支持终端协议（如HTTP、HTTPS、FTP、SMTP、SMB）内容审计和阻断</w:t>
            </w:r>
          </w:p>
        </w:tc>
      </w:tr>
      <w:tr w14:paraId="785E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3B7005D">
            <w:pPr>
              <w:ind w:firstLine="0" w:firstLineChars="0"/>
              <w:rPr>
                <w:szCs w:val="21"/>
              </w:rPr>
            </w:pPr>
          </w:p>
        </w:tc>
        <w:tc>
          <w:tcPr>
            <w:tcW w:w="3554" w:type="pct"/>
          </w:tcPr>
          <w:p w14:paraId="1994BE0B">
            <w:pPr>
              <w:ind w:firstLine="0" w:firstLineChars="0"/>
              <w:rPr>
                <w:szCs w:val="21"/>
              </w:rPr>
            </w:pPr>
            <w:r>
              <w:rPr>
                <w:rFonts w:hint="eastAsia"/>
                <w:szCs w:val="21"/>
              </w:rPr>
              <w:t>支持终端通道（应用程序、USB 存储、蓝牙、光盘、打印、截屏等）管理、审计和阻断</w:t>
            </w:r>
          </w:p>
        </w:tc>
      </w:tr>
      <w:tr w14:paraId="3805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5F83741">
            <w:pPr>
              <w:ind w:firstLine="0" w:firstLineChars="0"/>
              <w:rPr>
                <w:szCs w:val="21"/>
              </w:rPr>
            </w:pPr>
          </w:p>
        </w:tc>
        <w:tc>
          <w:tcPr>
            <w:tcW w:w="3554" w:type="pct"/>
          </w:tcPr>
          <w:p w14:paraId="0766AD8C">
            <w:pPr>
              <w:ind w:firstLine="0" w:firstLineChars="0"/>
              <w:rPr>
                <w:szCs w:val="21"/>
              </w:rPr>
            </w:pPr>
            <w:r>
              <w:rPr>
                <w:rFonts w:hint="eastAsia"/>
                <w:szCs w:val="21"/>
              </w:rPr>
              <w:t>支持在终端离开办公网络的环境下可以控制终端访问特定的 Web 网站类别</w:t>
            </w:r>
          </w:p>
        </w:tc>
      </w:tr>
      <w:tr w14:paraId="449E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4BC3C08">
            <w:pPr>
              <w:ind w:firstLine="0" w:firstLineChars="0"/>
              <w:rPr>
                <w:szCs w:val="21"/>
              </w:rPr>
            </w:pPr>
          </w:p>
        </w:tc>
        <w:tc>
          <w:tcPr>
            <w:tcW w:w="3554" w:type="pct"/>
            <w:vAlign w:val="center"/>
          </w:tcPr>
          <w:p w14:paraId="232F5CD3">
            <w:pPr>
              <w:ind w:firstLine="0" w:firstLineChars="0"/>
              <w:rPr>
                <w:szCs w:val="21"/>
              </w:rPr>
            </w:pPr>
            <w:r>
              <w:rPr>
                <w:rFonts w:hint="eastAsia"/>
                <w:szCs w:val="21"/>
              </w:rPr>
              <w:t>支持安全 URL 过滤功能，恶意 URL 识别率超过 95%</w:t>
            </w:r>
          </w:p>
        </w:tc>
      </w:tr>
      <w:tr w14:paraId="4D6B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726432E">
            <w:pPr>
              <w:ind w:firstLine="0" w:firstLineChars="0"/>
              <w:rPr>
                <w:szCs w:val="21"/>
              </w:rPr>
            </w:pPr>
          </w:p>
        </w:tc>
        <w:tc>
          <w:tcPr>
            <w:tcW w:w="3554" w:type="pct"/>
            <w:vAlign w:val="center"/>
          </w:tcPr>
          <w:p w14:paraId="6DB64AC2">
            <w:pPr>
              <w:ind w:firstLine="0" w:firstLineChars="0"/>
              <w:rPr>
                <w:szCs w:val="21"/>
              </w:rPr>
            </w:pPr>
            <w:r>
              <w:rPr>
                <w:rFonts w:hint="eastAsia"/>
                <w:szCs w:val="21"/>
              </w:rPr>
              <w:t>支持终端部署在 VDI 系统，并审计 VDI 系统里的数据流转</w:t>
            </w:r>
          </w:p>
        </w:tc>
      </w:tr>
      <w:tr w14:paraId="4F58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5681A63">
            <w:pPr>
              <w:ind w:firstLine="0" w:firstLineChars="0"/>
              <w:rPr>
                <w:szCs w:val="21"/>
              </w:rPr>
            </w:pPr>
          </w:p>
        </w:tc>
        <w:tc>
          <w:tcPr>
            <w:tcW w:w="3554" w:type="pct"/>
          </w:tcPr>
          <w:p w14:paraId="213605B2">
            <w:pPr>
              <w:ind w:firstLine="0" w:firstLineChars="0"/>
              <w:rPr>
                <w:szCs w:val="21"/>
              </w:rPr>
            </w:pPr>
            <w:r>
              <w:rPr>
                <w:rFonts w:hint="eastAsia"/>
                <w:szCs w:val="21"/>
              </w:rPr>
              <w:t>支持 IM 应用的消息和文件内容审计和阻断,及证据截屏</w:t>
            </w:r>
          </w:p>
        </w:tc>
      </w:tr>
      <w:tr w14:paraId="2F54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470EF21">
            <w:pPr>
              <w:ind w:firstLine="0" w:firstLineChars="0"/>
              <w:rPr>
                <w:szCs w:val="21"/>
              </w:rPr>
            </w:pPr>
          </w:p>
        </w:tc>
        <w:tc>
          <w:tcPr>
            <w:tcW w:w="3554" w:type="pct"/>
          </w:tcPr>
          <w:p w14:paraId="1BB006B6">
            <w:pPr>
              <w:ind w:firstLine="0" w:firstLineChars="0"/>
              <w:rPr>
                <w:szCs w:val="21"/>
              </w:rPr>
            </w:pPr>
            <w:r>
              <w:rPr>
                <w:rFonts w:hint="eastAsia"/>
                <w:szCs w:val="21"/>
              </w:rPr>
              <w:t>支持 Ubuntu、NeoKylin 7 、UOS （X86_64 &amp; ARM64）、KylinV10 SP1</w:t>
            </w:r>
          </w:p>
          <w:p w14:paraId="5BFE1349">
            <w:pPr>
              <w:ind w:firstLine="0" w:firstLineChars="0"/>
              <w:rPr>
                <w:szCs w:val="21"/>
              </w:rPr>
            </w:pPr>
            <w:r>
              <w:rPr>
                <w:rFonts w:hint="eastAsia"/>
                <w:szCs w:val="21"/>
              </w:rPr>
              <w:t>（ X86_64 &amp; ARM64 &amp; la64）等信创操作系统。</w:t>
            </w:r>
          </w:p>
        </w:tc>
      </w:tr>
      <w:tr w14:paraId="635C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4572E5E">
            <w:pPr>
              <w:ind w:firstLine="0" w:firstLineChars="0"/>
              <w:rPr>
                <w:szCs w:val="21"/>
              </w:rPr>
            </w:pPr>
          </w:p>
        </w:tc>
        <w:tc>
          <w:tcPr>
            <w:tcW w:w="3554" w:type="pct"/>
          </w:tcPr>
          <w:p w14:paraId="003B7E8A">
            <w:pPr>
              <w:ind w:firstLine="0" w:firstLineChars="0"/>
              <w:rPr>
                <w:szCs w:val="21"/>
              </w:rPr>
            </w:pPr>
            <w:r>
              <w:rPr>
                <w:rFonts w:hint="eastAsia"/>
                <w:szCs w:val="21"/>
              </w:rPr>
              <w:t>支持企业级深度内容识别技术，对外发文档做敏感内容检测和阻断</w:t>
            </w:r>
          </w:p>
        </w:tc>
      </w:tr>
      <w:tr w14:paraId="186B9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E4E458B">
            <w:pPr>
              <w:ind w:firstLine="0" w:firstLineChars="0"/>
              <w:rPr>
                <w:szCs w:val="21"/>
              </w:rPr>
            </w:pPr>
          </w:p>
        </w:tc>
        <w:tc>
          <w:tcPr>
            <w:tcW w:w="3554" w:type="pct"/>
          </w:tcPr>
          <w:p w14:paraId="5C44A0B0">
            <w:pPr>
              <w:ind w:firstLine="0" w:firstLineChars="0"/>
              <w:rPr>
                <w:szCs w:val="21"/>
              </w:rPr>
            </w:pPr>
            <w:r>
              <w:rPr>
                <w:rFonts w:hint="eastAsia"/>
                <w:szCs w:val="21"/>
              </w:rPr>
              <w:t>支持 信创终端上 HTTP/HTTPS/FTP/SMB/NFS/SAMBA/WEBDAV 等网络数据传输控制，必须可以对敏感数据的外发进行阻断</w:t>
            </w:r>
          </w:p>
        </w:tc>
      </w:tr>
      <w:tr w14:paraId="6056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9E8A109">
            <w:pPr>
              <w:ind w:firstLine="0" w:firstLineChars="0"/>
              <w:rPr>
                <w:szCs w:val="21"/>
              </w:rPr>
            </w:pPr>
          </w:p>
        </w:tc>
        <w:tc>
          <w:tcPr>
            <w:tcW w:w="3554" w:type="pct"/>
          </w:tcPr>
          <w:p w14:paraId="23DC0EB0">
            <w:pPr>
              <w:ind w:firstLine="0" w:firstLineChars="0"/>
              <w:rPr>
                <w:szCs w:val="21"/>
              </w:rPr>
            </w:pPr>
            <w:r>
              <w:rPr>
                <w:rFonts w:hint="eastAsia"/>
                <w:szCs w:val="21"/>
              </w:rPr>
              <w:t>支持应用程序管理（剪切板/文件访问/截屏/应用程序水印）审计和阻断</w:t>
            </w:r>
          </w:p>
        </w:tc>
      </w:tr>
      <w:tr w14:paraId="628B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17F0F37E">
            <w:pPr>
              <w:ind w:firstLine="0" w:firstLineChars="0"/>
              <w:rPr>
                <w:szCs w:val="21"/>
              </w:rPr>
            </w:pPr>
            <w:r>
              <w:rPr>
                <w:rFonts w:hint="eastAsia"/>
                <w:szCs w:val="21"/>
              </w:rPr>
              <w:t>其他功能</w:t>
            </w:r>
          </w:p>
        </w:tc>
        <w:tc>
          <w:tcPr>
            <w:tcW w:w="3554" w:type="pct"/>
          </w:tcPr>
          <w:p w14:paraId="5630268A">
            <w:pPr>
              <w:ind w:firstLine="0" w:firstLineChars="0"/>
              <w:rPr>
                <w:szCs w:val="21"/>
              </w:rPr>
            </w:pPr>
            <w:r>
              <w:rPr>
                <w:rFonts w:hint="eastAsia"/>
                <w:szCs w:val="21"/>
              </w:rPr>
              <w:t>支持 32/64bit Windows XP/7/8/10/11、Windows server2003 R2 至 Windows Server2022 主流操作系统终端 DLP 部署</w:t>
            </w:r>
          </w:p>
        </w:tc>
      </w:tr>
      <w:tr w14:paraId="02DC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71374B3">
            <w:pPr>
              <w:ind w:firstLine="0" w:firstLineChars="0"/>
              <w:rPr>
                <w:szCs w:val="21"/>
              </w:rPr>
            </w:pPr>
          </w:p>
        </w:tc>
        <w:tc>
          <w:tcPr>
            <w:tcW w:w="3554" w:type="pct"/>
          </w:tcPr>
          <w:p w14:paraId="3A06DCA6">
            <w:pPr>
              <w:ind w:firstLine="0" w:firstLineChars="0"/>
              <w:rPr>
                <w:szCs w:val="21"/>
              </w:rPr>
            </w:pPr>
            <w:r>
              <w:rPr>
                <w:rFonts w:hint="eastAsia"/>
                <w:szCs w:val="21"/>
              </w:rPr>
              <w:t>支持信创环境麒麟、统信等主流操作系统</w:t>
            </w:r>
          </w:p>
        </w:tc>
      </w:tr>
      <w:tr w14:paraId="3112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0AE3D92">
            <w:pPr>
              <w:ind w:firstLine="0" w:firstLineChars="0"/>
              <w:rPr>
                <w:szCs w:val="21"/>
              </w:rPr>
            </w:pPr>
          </w:p>
        </w:tc>
        <w:tc>
          <w:tcPr>
            <w:tcW w:w="3554" w:type="pct"/>
          </w:tcPr>
          <w:p w14:paraId="0DA5983F">
            <w:pPr>
              <w:ind w:firstLine="0" w:firstLineChars="0"/>
              <w:rPr>
                <w:szCs w:val="21"/>
              </w:rPr>
            </w:pPr>
            <w:r>
              <w:rPr>
                <w:rFonts w:hint="eastAsia"/>
                <w:szCs w:val="21"/>
              </w:rPr>
              <w:t>支持终端 CPU 占用、带宽、日志存储大小控制，避免过度占用操作系统主机资源</w:t>
            </w:r>
          </w:p>
        </w:tc>
      </w:tr>
      <w:tr w14:paraId="356C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8CB762E">
            <w:pPr>
              <w:ind w:firstLine="0" w:firstLineChars="0"/>
              <w:rPr>
                <w:szCs w:val="21"/>
              </w:rPr>
            </w:pPr>
          </w:p>
        </w:tc>
        <w:tc>
          <w:tcPr>
            <w:tcW w:w="3554" w:type="pct"/>
          </w:tcPr>
          <w:p w14:paraId="0A081784">
            <w:pPr>
              <w:ind w:firstLine="0" w:firstLineChars="0"/>
              <w:rPr>
                <w:szCs w:val="21"/>
              </w:rPr>
            </w:pPr>
            <w:r>
              <w:rPr>
                <w:rFonts w:hint="eastAsia"/>
                <w:szCs w:val="21"/>
              </w:rPr>
              <w:t>终端服务器支持分布式管理</w:t>
            </w:r>
          </w:p>
        </w:tc>
      </w:tr>
      <w:tr w14:paraId="1912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2831FA7">
            <w:pPr>
              <w:ind w:firstLine="0" w:firstLineChars="0"/>
              <w:rPr>
                <w:szCs w:val="21"/>
              </w:rPr>
            </w:pPr>
          </w:p>
        </w:tc>
        <w:tc>
          <w:tcPr>
            <w:tcW w:w="3554" w:type="pct"/>
          </w:tcPr>
          <w:p w14:paraId="66F3D4AD">
            <w:pPr>
              <w:ind w:firstLine="0" w:firstLineChars="0"/>
              <w:rPr>
                <w:szCs w:val="21"/>
              </w:rPr>
            </w:pPr>
            <w:r>
              <w:rPr>
                <w:rFonts w:hint="eastAsia"/>
                <w:szCs w:val="21"/>
              </w:rPr>
              <w:t>支持终端卸载密码保护控制，密码校验正确才可以卸载。包括全局密码和临时密码</w:t>
            </w:r>
          </w:p>
        </w:tc>
      </w:tr>
      <w:tr w14:paraId="090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7736CA4">
            <w:pPr>
              <w:ind w:firstLine="0" w:firstLineChars="0"/>
              <w:rPr>
                <w:szCs w:val="21"/>
              </w:rPr>
            </w:pPr>
          </w:p>
        </w:tc>
        <w:tc>
          <w:tcPr>
            <w:tcW w:w="3554" w:type="pct"/>
          </w:tcPr>
          <w:p w14:paraId="13E2B745">
            <w:pPr>
              <w:ind w:firstLine="0" w:firstLineChars="0"/>
              <w:rPr>
                <w:szCs w:val="21"/>
              </w:rPr>
            </w:pPr>
            <w:r>
              <w:rPr>
                <w:rFonts w:hint="eastAsia"/>
                <w:szCs w:val="21"/>
              </w:rPr>
              <w:t>支持管理端远程在线卸载与禁用</w:t>
            </w:r>
          </w:p>
        </w:tc>
      </w:tr>
      <w:tr w14:paraId="703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E9B5180">
            <w:pPr>
              <w:ind w:firstLine="0" w:firstLineChars="0"/>
              <w:rPr>
                <w:szCs w:val="21"/>
              </w:rPr>
            </w:pPr>
          </w:p>
        </w:tc>
        <w:tc>
          <w:tcPr>
            <w:tcW w:w="3554" w:type="pct"/>
            <w:vAlign w:val="center"/>
          </w:tcPr>
          <w:p w14:paraId="0615DB3E">
            <w:pPr>
              <w:ind w:firstLine="0" w:firstLineChars="0"/>
              <w:rPr>
                <w:szCs w:val="21"/>
              </w:rPr>
            </w:pPr>
            <w:r>
              <w:rPr>
                <w:rFonts w:hint="eastAsia"/>
                <w:szCs w:val="21"/>
              </w:rPr>
              <w:t>支持终端邮件 SMTP、内外部邮件域功能设置</w:t>
            </w:r>
          </w:p>
        </w:tc>
      </w:tr>
    </w:tbl>
    <w:p w14:paraId="3B9E089C">
      <w:pPr>
        <w:pStyle w:val="21"/>
        <w:ind w:firstLine="480"/>
      </w:pPr>
    </w:p>
    <w:p w14:paraId="057E607A">
      <w:pPr>
        <w:pStyle w:val="6"/>
        <w:numPr>
          <w:ilvl w:val="3"/>
          <w:numId w:val="0"/>
        </w:numPr>
        <w:spacing w:line="413" w:lineRule="auto"/>
      </w:pPr>
      <w:bookmarkStart w:id="70" w:name="_Toc161989574"/>
      <w:bookmarkStart w:id="71" w:name="_Toc9489"/>
      <w:r>
        <w:rPr>
          <w:rFonts w:hint="eastAsia"/>
        </w:rPr>
        <w:t>4.2法院专网数据防泄露</w:t>
      </w:r>
      <w:bookmarkEnd w:id="70"/>
      <w:bookmarkEnd w:id="71"/>
    </w:p>
    <w:p w14:paraId="4DFC5966">
      <w:pPr>
        <w:pStyle w:val="21"/>
        <w:ind w:firstLine="480"/>
      </w:pPr>
      <w:r>
        <w:rPr>
          <w:rFonts w:hint="eastAsia"/>
        </w:rPr>
        <w:t>本系统包含控制台和客户端两部分。控制台是系统的管理中心，进行安全策略设置、事件管理、用户、日志等管理；客户端功能包含发现、识别、监控终端中的敏感数据，对终端数据资产分布、终端敏感数据的违规存储进行展现；对终端敏感数据的违规使用、扩散等敏感行为进行策略响应控制。</w:t>
      </w:r>
    </w:p>
    <w:p w14:paraId="0944CC62">
      <w:pPr>
        <w:pStyle w:val="21"/>
        <w:ind w:firstLine="480"/>
      </w:pPr>
      <w:r>
        <w:rPr>
          <w:rFonts w:hint="eastAsia"/>
        </w:rPr>
        <w:t>产品若是列入《网络关键设备和网络安全专用产品目录》的网络安全专用产品应至少符合以下条件之一，方可提供：一是按照《信息安全技术</w:t>
      </w:r>
      <w:r>
        <w:t xml:space="preserve"> 网络安全专用产品安全技术要求》等相关国家标准强制性要求，由具备资格的机构安全认证合格或安全检测符合要求的；二是此前已经获得《计算机信息系统安全专用产品销售许可证》，且在有效期内的。</w:t>
      </w:r>
    </w:p>
    <w:p w14:paraId="639DCE0F">
      <w:pPr>
        <w:pStyle w:val="21"/>
        <w:ind w:firstLine="480"/>
      </w:pPr>
      <w:r>
        <w:rPr>
          <w:rFonts w:hint="eastAsia"/>
        </w:rPr>
        <w:t>控制台和客户端的技术规格参数分别如下：</w:t>
      </w:r>
    </w:p>
    <w:p w14:paraId="3A08ADF9">
      <w:pPr>
        <w:pStyle w:val="7"/>
        <w:spacing w:line="413" w:lineRule="auto"/>
        <w:ind w:firstLine="0" w:firstLineChars="0"/>
      </w:pPr>
      <w:r>
        <w:rPr>
          <w:rFonts w:hint="eastAsia"/>
        </w:rPr>
        <w:t>4.2.1控制台技术规格参数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6061"/>
      </w:tblGrid>
      <w:tr w14:paraId="033C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1446" w:type="pct"/>
            <w:vAlign w:val="center"/>
          </w:tcPr>
          <w:p w14:paraId="1986C484">
            <w:pPr>
              <w:ind w:firstLine="482"/>
              <w:jc w:val="center"/>
              <w:rPr>
                <w:b/>
                <w:bCs/>
                <w:szCs w:val="21"/>
              </w:rPr>
            </w:pPr>
            <w:r>
              <w:rPr>
                <w:rFonts w:hint="eastAsia"/>
                <w:b/>
                <w:bCs/>
                <w:szCs w:val="21"/>
              </w:rPr>
              <w:t>配置要求</w:t>
            </w:r>
          </w:p>
        </w:tc>
        <w:tc>
          <w:tcPr>
            <w:tcW w:w="3553" w:type="pct"/>
            <w:vAlign w:val="center"/>
          </w:tcPr>
          <w:p w14:paraId="30395517">
            <w:pPr>
              <w:ind w:firstLine="482"/>
              <w:jc w:val="center"/>
              <w:rPr>
                <w:b/>
                <w:bCs/>
                <w:szCs w:val="21"/>
              </w:rPr>
            </w:pPr>
            <w:r>
              <w:rPr>
                <w:rFonts w:hint="eastAsia"/>
                <w:b/>
                <w:bCs/>
                <w:szCs w:val="21"/>
              </w:rPr>
              <w:t>技术规范</w:t>
            </w:r>
          </w:p>
        </w:tc>
      </w:tr>
      <w:tr w14:paraId="28539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16926EAB">
            <w:pPr>
              <w:ind w:firstLine="0" w:firstLineChars="0"/>
              <w:rPr>
                <w:szCs w:val="21"/>
              </w:rPr>
            </w:pPr>
            <w:r>
              <w:rPr>
                <w:rFonts w:hint="eastAsia"/>
                <w:szCs w:val="21"/>
              </w:rPr>
              <w:t>安全策略设置</w:t>
            </w:r>
          </w:p>
        </w:tc>
        <w:tc>
          <w:tcPr>
            <w:tcW w:w="3553" w:type="pct"/>
            <w:vAlign w:val="center"/>
          </w:tcPr>
          <w:p w14:paraId="60E16747">
            <w:pPr>
              <w:ind w:firstLine="0" w:firstLineChars="0"/>
              <w:rPr>
                <w:szCs w:val="21"/>
              </w:rPr>
            </w:pPr>
            <w:r>
              <w:rPr>
                <w:rFonts w:hint="eastAsia"/>
                <w:szCs w:val="21"/>
              </w:rPr>
              <w:t>具有统一、可视化的管理平台</w:t>
            </w:r>
          </w:p>
        </w:tc>
      </w:tr>
      <w:tr w14:paraId="6E103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7FBD87D">
            <w:pPr>
              <w:ind w:firstLine="0" w:firstLineChars="0"/>
              <w:rPr>
                <w:szCs w:val="21"/>
              </w:rPr>
            </w:pPr>
          </w:p>
        </w:tc>
        <w:tc>
          <w:tcPr>
            <w:tcW w:w="3553" w:type="pct"/>
            <w:vAlign w:val="center"/>
          </w:tcPr>
          <w:p w14:paraId="2F879D65">
            <w:pPr>
              <w:ind w:firstLine="0" w:firstLineChars="0"/>
              <w:rPr>
                <w:szCs w:val="21"/>
              </w:rPr>
            </w:pPr>
            <w:r>
              <w:rPr>
                <w:rFonts w:hint="eastAsia"/>
                <w:szCs w:val="21"/>
              </w:rPr>
              <w:t>系统支持中英文界面，根据登录用户的设置自动进行显示</w:t>
            </w:r>
          </w:p>
        </w:tc>
      </w:tr>
      <w:tr w14:paraId="15180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87741A6">
            <w:pPr>
              <w:ind w:firstLine="0" w:firstLineChars="0"/>
              <w:rPr>
                <w:szCs w:val="21"/>
              </w:rPr>
            </w:pPr>
          </w:p>
        </w:tc>
        <w:tc>
          <w:tcPr>
            <w:tcW w:w="3553" w:type="pct"/>
            <w:vAlign w:val="center"/>
          </w:tcPr>
          <w:p w14:paraId="6724325B">
            <w:pPr>
              <w:ind w:firstLine="0" w:firstLineChars="0"/>
              <w:rPr>
                <w:szCs w:val="21"/>
              </w:rPr>
            </w:pPr>
            <w:r>
              <w:rPr>
                <w:rFonts w:hint="eastAsia"/>
                <w:szCs w:val="21"/>
              </w:rPr>
              <w:t>通过 DLP 内容检测，实现分类分级的落地执行和数据流动的可追溯性</w:t>
            </w:r>
          </w:p>
        </w:tc>
      </w:tr>
      <w:tr w14:paraId="5273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093ADEF">
            <w:pPr>
              <w:ind w:firstLine="0" w:firstLineChars="0"/>
              <w:rPr>
                <w:szCs w:val="21"/>
              </w:rPr>
            </w:pPr>
          </w:p>
        </w:tc>
        <w:tc>
          <w:tcPr>
            <w:tcW w:w="3553" w:type="pct"/>
            <w:vAlign w:val="center"/>
          </w:tcPr>
          <w:p w14:paraId="0CCC4315">
            <w:pPr>
              <w:ind w:firstLine="0" w:firstLineChars="0"/>
              <w:rPr>
                <w:szCs w:val="21"/>
              </w:rPr>
            </w:pPr>
            <w:r>
              <w:rPr>
                <w:rFonts w:hint="eastAsia"/>
                <w:szCs w:val="21"/>
              </w:rPr>
              <w:t>支持正则表达式检测内容。要求应提供常见的正则表达式，如手机号码、固话号码、姓名、地址等</w:t>
            </w:r>
          </w:p>
        </w:tc>
      </w:tr>
      <w:tr w14:paraId="07AF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626EA7A">
            <w:pPr>
              <w:ind w:firstLine="0" w:firstLineChars="0"/>
              <w:rPr>
                <w:szCs w:val="21"/>
              </w:rPr>
            </w:pPr>
          </w:p>
        </w:tc>
        <w:tc>
          <w:tcPr>
            <w:tcW w:w="3553" w:type="pct"/>
            <w:vAlign w:val="center"/>
          </w:tcPr>
          <w:p w14:paraId="59365047">
            <w:pPr>
              <w:ind w:firstLine="0" w:firstLineChars="0"/>
              <w:rPr>
                <w:szCs w:val="21"/>
              </w:rPr>
            </w:pPr>
            <w:r>
              <w:rPr>
                <w:rFonts w:hint="eastAsia"/>
                <w:szCs w:val="21"/>
              </w:rPr>
              <w:t>支持脚本方式定义，预置身份证、信用卡等常用脚本检测数据</w:t>
            </w:r>
          </w:p>
        </w:tc>
      </w:tr>
      <w:tr w14:paraId="5C0F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590A928">
            <w:pPr>
              <w:ind w:firstLine="0" w:firstLineChars="0"/>
              <w:rPr>
                <w:szCs w:val="21"/>
              </w:rPr>
            </w:pPr>
          </w:p>
        </w:tc>
        <w:tc>
          <w:tcPr>
            <w:tcW w:w="3553" w:type="pct"/>
            <w:vAlign w:val="center"/>
          </w:tcPr>
          <w:p w14:paraId="55AA3461">
            <w:pPr>
              <w:ind w:firstLine="0" w:firstLineChars="0"/>
              <w:rPr>
                <w:szCs w:val="21"/>
              </w:rPr>
            </w:pPr>
            <w:r>
              <w:rPr>
                <w:rFonts w:hint="eastAsia"/>
                <w:szCs w:val="21"/>
              </w:rPr>
              <w:t>支持对常用文件系统进行非结构化指纹、支持对常用数据库系统进行结构化指纹</w:t>
            </w:r>
          </w:p>
        </w:tc>
      </w:tr>
      <w:tr w14:paraId="68A5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35C2110">
            <w:pPr>
              <w:ind w:firstLine="0" w:firstLineChars="0"/>
              <w:rPr>
                <w:szCs w:val="21"/>
              </w:rPr>
            </w:pPr>
          </w:p>
        </w:tc>
        <w:tc>
          <w:tcPr>
            <w:tcW w:w="3553" w:type="pct"/>
            <w:vAlign w:val="center"/>
          </w:tcPr>
          <w:p w14:paraId="34BDD3A3">
            <w:pPr>
              <w:ind w:firstLine="0" w:firstLineChars="0"/>
              <w:rPr>
                <w:szCs w:val="21"/>
              </w:rPr>
            </w:pPr>
            <w:r>
              <w:rPr>
                <w:rFonts w:hint="eastAsia"/>
                <w:szCs w:val="21"/>
              </w:rPr>
              <w:t>支持对有规范的模板类文件进行智能学习定义</w:t>
            </w:r>
          </w:p>
        </w:tc>
      </w:tr>
      <w:tr w14:paraId="100C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F578A69">
            <w:pPr>
              <w:ind w:firstLine="0" w:firstLineChars="0"/>
              <w:rPr>
                <w:szCs w:val="21"/>
              </w:rPr>
            </w:pPr>
          </w:p>
        </w:tc>
        <w:tc>
          <w:tcPr>
            <w:tcW w:w="3553" w:type="pct"/>
            <w:vAlign w:val="center"/>
          </w:tcPr>
          <w:p w14:paraId="4933CFDB">
            <w:pPr>
              <w:ind w:firstLine="0" w:firstLineChars="0"/>
              <w:rPr>
                <w:szCs w:val="21"/>
              </w:rPr>
            </w:pPr>
            <w:r>
              <w:rPr>
                <w:rFonts w:hint="eastAsia"/>
                <w:szCs w:val="21"/>
              </w:rPr>
              <w:t>支持文件格式识别支持（pdf，office 文件，压缩文件，图片文件，加壳文件等），并提供具体可识别文件类型列表</w:t>
            </w:r>
          </w:p>
        </w:tc>
      </w:tr>
      <w:tr w14:paraId="0672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1EEF5F1">
            <w:pPr>
              <w:ind w:firstLine="0" w:firstLineChars="0"/>
              <w:rPr>
                <w:szCs w:val="21"/>
              </w:rPr>
            </w:pPr>
          </w:p>
        </w:tc>
        <w:tc>
          <w:tcPr>
            <w:tcW w:w="3553" w:type="pct"/>
            <w:vAlign w:val="center"/>
          </w:tcPr>
          <w:p w14:paraId="304E76AF">
            <w:pPr>
              <w:ind w:firstLine="0" w:firstLineChars="0"/>
              <w:rPr>
                <w:szCs w:val="21"/>
              </w:rPr>
            </w:pPr>
            <w:r>
              <w:rPr>
                <w:rFonts w:hint="eastAsia"/>
                <w:szCs w:val="21"/>
              </w:rPr>
              <w:t>支持数据自动标签功能，对 URL 站点下载到本地的文件内容自动标记，可基于文件类型，关键字词等不同规则自动标签，针对包含关键词或带标签的文件 DLP 可以审计/阻断</w:t>
            </w:r>
          </w:p>
        </w:tc>
      </w:tr>
      <w:tr w14:paraId="3DFA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DDEBCBF">
            <w:pPr>
              <w:ind w:firstLine="0" w:firstLineChars="0"/>
              <w:rPr>
                <w:szCs w:val="21"/>
              </w:rPr>
            </w:pPr>
          </w:p>
        </w:tc>
        <w:tc>
          <w:tcPr>
            <w:tcW w:w="3553" w:type="pct"/>
            <w:vAlign w:val="center"/>
          </w:tcPr>
          <w:p w14:paraId="562D7E45">
            <w:pPr>
              <w:ind w:firstLine="0" w:firstLineChars="0"/>
              <w:rPr>
                <w:szCs w:val="21"/>
              </w:rPr>
            </w:pPr>
            <w:r>
              <w:rPr>
                <w:rFonts w:hint="eastAsia"/>
                <w:szCs w:val="21"/>
              </w:rPr>
              <w:t>支持数据分级分类定义，可策略调用</w:t>
            </w:r>
          </w:p>
        </w:tc>
      </w:tr>
      <w:tr w14:paraId="201F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7BBB56B">
            <w:pPr>
              <w:ind w:firstLine="0" w:firstLineChars="0"/>
              <w:rPr>
                <w:szCs w:val="21"/>
              </w:rPr>
            </w:pPr>
          </w:p>
        </w:tc>
        <w:tc>
          <w:tcPr>
            <w:tcW w:w="3553" w:type="pct"/>
            <w:vAlign w:val="center"/>
          </w:tcPr>
          <w:p w14:paraId="12D4D1E6">
            <w:pPr>
              <w:ind w:firstLine="0" w:firstLineChars="0"/>
              <w:rPr>
                <w:szCs w:val="21"/>
              </w:rPr>
            </w:pPr>
            <w:r>
              <w:rPr>
                <w:rFonts w:hint="eastAsia"/>
                <w:szCs w:val="21"/>
              </w:rPr>
              <w:t>支持数据聚类功能，辅助数据梳理和策略定义</w:t>
            </w:r>
          </w:p>
        </w:tc>
      </w:tr>
      <w:tr w14:paraId="2721C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78B1518">
            <w:pPr>
              <w:ind w:firstLine="0" w:firstLineChars="0"/>
              <w:rPr>
                <w:szCs w:val="21"/>
              </w:rPr>
            </w:pPr>
          </w:p>
        </w:tc>
        <w:tc>
          <w:tcPr>
            <w:tcW w:w="3553" w:type="pct"/>
            <w:vAlign w:val="center"/>
          </w:tcPr>
          <w:p w14:paraId="7CB4BC00">
            <w:pPr>
              <w:ind w:firstLine="0" w:firstLineChars="0"/>
              <w:rPr>
                <w:szCs w:val="21"/>
              </w:rPr>
            </w:pPr>
            <w:r>
              <w:rPr>
                <w:rFonts w:hint="eastAsia"/>
                <w:szCs w:val="21"/>
              </w:rPr>
              <w:t>支持识别多种图像格式文档中的敏感信息</w:t>
            </w:r>
          </w:p>
        </w:tc>
      </w:tr>
      <w:tr w14:paraId="1E94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91DED57">
            <w:pPr>
              <w:ind w:firstLine="0" w:firstLineChars="0"/>
              <w:rPr>
                <w:szCs w:val="21"/>
              </w:rPr>
            </w:pPr>
          </w:p>
        </w:tc>
        <w:tc>
          <w:tcPr>
            <w:tcW w:w="3553" w:type="pct"/>
            <w:vAlign w:val="center"/>
          </w:tcPr>
          <w:p w14:paraId="243B8B2A">
            <w:pPr>
              <w:ind w:firstLine="0" w:firstLineChars="0"/>
              <w:rPr>
                <w:szCs w:val="21"/>
              </w:rPr>
            </w:pPr>
            <w:r>
              <w:rPr>
                <w:rFonts w:hint="eastAsia"/>
                <w:szCs w:val="21"/>
              </w:rPr>
              <w:t>系统预置多种模板，如：政治言论、高管信息、非法言 论、技术方案、会议纪要、采购计划、网络安全、投资信息、GDPR、简历等</w:t>
            </w:r>
          </w:p>
        </w:tc>
      </w:tr>
      <w:tr w14:paraId="5129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031D3F3D">
            <w:pPr>
              <w:ind w:firstLine="0" w:firstLineChars="0"/>
              <w:rPr>
                <w:szCs w:val="21"/>
              </w:rPr>
            </w:pPr>
            <w:r>
              <w:rPr>
                <w:rFonts w:hint="eastAsia"/>
                <w:szCs w:val="21"/>
              </w:rPr>
              <w:t>事件管理</w:t>
            </w:r>
          </w:p>
        </w:tc>
        <w:tc>
          <w:tcPr>
            <w:tcW w:w="3553" w:type="pct"/>
            <w:vAlign w:val="center"/>
          </w:tcPr>
          <w:p w14:paraId="23E71BFB">
            <w:pPr>
              <w:ind w:firstLine="0" w:firstLineChars="0"/>
              <w:rPr>
                <w:szCs w:val="21"/>
              </w:rPr>
            </w:pPr>
            <w:r>
              <w:rPr>
                <w:rFonts w:hint="eastAsia"/>
                <w:szCs w:val="21"/>
              </w:rPr>
              <w:t>提供预置及定制趋势分析的报告，包括：支持显示一周内的事件趋势 图、支持显示安全等级事件趋势图、支持显示策略事件趋势图、来源事件 TOPN、目标事件 TOPN、来源总匹配 TOP20</w:t>
            </w:r>
          </w:p>
        </w:tc>
      </w:tr>
      <w:tr w14:paraId="1B09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B741E1C">
            <w:pPr>
              <w:ind w:firstLine="0" w:firstLineChars="0"/>
              <w:rPr>
                <w:szCs w:val="21"/>
              </w:rPr>
            </w:pPr>
          </w:p>
        </w:tc>
        <w:tc>
          <w:tcPr>
            <w:tcW w:w="3553" w:type="pct"/>
            <w:vAlign w:val="center"/>
          </w:tcPr>
          <w:p w14:paraId="6BE922A7">
            <w:pPr>
              <w:ind w:firstLine="0" w:firstLineChars="0"/>
              <w:rPr>
                <w:szCs w:val="21"/>
              </w:rPr>
            </w:pPr>
            <w:r>
              <w:rPr>
                <w:rFonts w:hint="eastAsia"/>
                <w:szCs w:val="21"/>
              </w:rPr>
              <w:t>能够设置定制报告模板的样式及条件</w:t>
            </w:r>
          </w:p>
        </w:tc>
      </w:tr>
      <w:tr w14:paraId="5CE7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E82111E">
            <w:pPr>
              <w:ind w:firstLine="0" w:firstLineChars="0"/>
              <w:rPr>
                <w:szCs w:val="21"/>
              </w:rPr>
            </w:pPr>
          </w:p>
        </w:tc>
        <w:tc>
          <w:tcPr>
            <w:tcW w:w="3553" w:type="pct"/>
            <w:vAlign w:val="center"/>
          </w:tcPr>
          <w:p w14:paraId="1064F9B9">
            <w:pPr>
              <w:ind w:firstLine="0" w:firstLineChars="0"/>
              <w:rPr>
                <w:szCs w:val="21"/>
              </w:rPr>
            </w:pPr>
            <w:r>
              <w:rPr>
                <w:rFonts w:hint="eastAsia"/>
                <w:szCs w:val="21"/>
              </w:rPr>
              <w:t>支持定制数据统计分析，如多种 TOP 排名能力（可定制）的报表展示能力</w:t>
            </w:r>
          </w:p>
        </w:tc>
      </w:tr>
      <w:tr w14:paraId="341F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C58FE4C">
            <w:pPr>
              <w:ind w:firstLine="0" w:firstLineChars="0"/>
              <w:rPr>
                <w:szCs w:val="21"/>
              </w:rPr>
            </w:pPr>
          </w:p>
        </w:tc>
        <w:tc>
          <w:tcPr>
            <w:tcW w:w="3553" w:type="pct"/>
            <w:vAlign w:val="center"/>
          </w:tcPr>
          <w:p w14:paraId="0240D730">
            <w:pPr>
              <w:ind w:firstLine="0" w:firstLineChars="0"/>
              <w:rPr>
                <w:szCs w:val="21"/>
              </w:rPr>
            </w:pPr>
            <w:r>
              <w:rPr>
                <w:rFonts w:hint="eastAsia"/>
                <w:szCs w:val="21"/>
              </w:rPr>
              <w:t>支持多种报告模板，详见各模块报告功能参数</w:t>
            </w:r>
          </w:p>
        </w:tc>
      </w:tr>
      <w:tr w14:paraId="78C3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433F2C4">
            <w:pPr>
              <w:ind w:firstLine="0" w:firstLineChars="0"/>
              <w:rPr>
                <w:szCs w:val="21"/>
              </w:rPr>
            </w:pPr>
          </w:p>
        </w:tc>
        <w:tc>
          <w:tcPr>
            <w:tcW w:w="3553" w:type="pct"/>
            <w:vAlign w:val="center"/>
          </w:tcPr>
          <w:p w14:paraId="36F6027D">
            <w:pPr>
              <w:ind w:firstLine="0" w:firstLineChars="0"/>
              <w:rPr>
                <w:szCs w:val="21"/>
              </w:rPr>
            </w:pPr>
            <w:r>
              <w:rPr>
                <w:rFonts w:hint="eastAsia"/>
                <w:szCs w:val="21"/>
              </w:rPr>
              <w:t>提供设置定时事件报告发送给特定的管理人员</w:t>
            </w:r>
          </w:p>
        </w:tc>
      </w:tr>
      <w:tr w14:paraId="4F47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280A467">
            <w:pPr>
              <w:ind w:firstLine="0" w:firstLineChars="0"/>
              <w:rPr>
                <w:szCs w:val="21"/>
              </w:rPr>
            </w:pPr>
          </w:p>
        </w:tc>
        <w:tc>
          <w:tcPr>
            <w:tcW w:w="3553" w:type="pct"/>
            <w:vAlign w:val="center"/>
          </w:tcPr>
          <w:p w14:paraId="7096C4E4">
            <w:pPr>
              <w:ind w:firstLine="0" w:firstLineChars="0"/>
              <w:rPr>
                <w:szCs w:val="21"/>
              </w:rPr>
            </w:pPr>
            <w:r>
              <w:rPr>
                <w:rFonts w:hint="eastAsia"/>
                <w:szCs w:val="21"/>
              </w:rPr>
              <w:t>可定制的图表报告，用直观的图表同时显示多个报告，至少提供 10 个图表。可点击报告，向下展开额外的事件细节。</w:t>
            </w:r>
          </w:p>
        </w:tc>
      </w:tr>
      <w:tr w14:paraId="2914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2A07960">
            <w:pPr>
              <w:ind w:firstLine="0" w:firstLineChars="0"/>
              <w:rPr>
                <w:szCs w:val="21"/>
              </w:rPr>
            </w:pPr>
          </w:p>
        </w:tc>
        <w:tc>
          <w:tcPr>
            <w:tcW w:w="3553" w:type="pct"/>
            <w:vAlign w:val="center"/>
          </w:tcPr>
          <w:p w14:paraId="25C606D5">
            <w:pPr>
              <w:ind w:firstLine="0" w:firstLineChars="0"/>
              <w:rPr>
                <w:szCs w:val="21"/>
              </w:rPr>
            </w:pPr>
            <w:r>
              <w:rPr>
                <w:rFonts w:hint="eastAsia"/>
                <w:szCs w:val="21"/>
              </w:rPr>
              <w:t>产品监控的数据均可以按照每小时、每天、每周显示，并均可以下载或导出至 PDF 和 XLS 文件</w:t>
            </w:r>
          </w:p>
        </w:tc>
      </w:tr>
      <w:tr w14:paraId="05E6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79BFCDD">
            <w:pPr>
              <w:ind w:firstLine="0" w:firstLineChars="0"/>
              <w:rPr>
                <w:szCs w:val="21"/>
              </w:rPr>
            </w:pPr>
          </w:p>
        </w:tc>
        <w:tc>
          <w:tcPr>
            <w:tcW w:w="3553" w:type="pct"/>
            <w:vAlign w:val="center"/>
          </w:tcPr>
          <w:p w14:paraId="32F7BBF7">
            <w:pPr>
              <w:ind w:firstLine="0" w:firstLineChars="0"/>
              <w:rPr>
                <w:szCs w:val="21"/>
              </w:rPr>
            </w:pPr>
            <w:r>
              <w:rPr>
                <w:rFonts w:hint="eastAsia"/>
                <w:szCs w:val="21"/>
              </w:rPr>
              <w:t>系统邮件记录的统计、分析、报表等支持 IPv6 相关的内容输出</w:t>
            </w:r>
          </w:p>
        </w:tc>
      </w:tr>
      <w:tr w14:paraId="250D8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12AAB6F5">
            <w:pPr>
              <w:ind w:firstLine="0" w:firstLineChars="0"/>
              <w:rPr>
                <w:szCs w:val="21"/>
              </w:rPr>
            </w:pPr>
            <w:r>
              <w:rPr>
                <w:rFonts w:hint="eastAsia"/>
                <w:szCs w:val="21"/>
              </w:rPr>
              <w:t>用户管理</w:t>
            </w:r>
          </w:p>
        </w:tc>
        <w:tc>
          <w:tcPr>
            <w:tcW w:w="3553" w:type="pct"/>
            <w:vAlign w:val="center"/>
          </w:tcPr>
          <w:p w14:paraId="26F2431F">
            <w:pPr>
              <w:ind w:firstLine="0" w:firstLineChars="0"/>
              <w:rPr>
                <w:szCs w:val="21"/>
              </w:rPr>
            </w:pPr>
            <w:r>
              <w:rPr>
                <w:rFonts w:hint="eastAsia"/>
                <w:szCs w:val="21"/>
              </w:rPr>
              <w:t>支持通过管理平台后台配置启用三权分立，提供多权分立角色管理，各角色之间的功能没有交叉，每一种角色类型都有预置的管理员，包括系统管理员、事件管理员、审计管理员、安全管理员等</w:t>
            </w:r>
          </w:p>
        </w:tc>
      </w:tr>
      <w:tr w14:paraId="4CFC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56DA8B0">
            <w:pPr>
              <w:ind w:firstLine="0" w:firstLineChars="0"/>
              <w:rPr>
                <w:szCs w:val="21"/>
              </w:rPr>
            </w:pPr>
          </w:p>
        </w:tc>
        <w:tc>
          <w:tcPr>
            <w:tcW w:w="3553" w:type="pct"/>
            <w:vAlign w:val="center"/>
          </w:tcPr>
          <w:p w14:paraId="3EBE372E">
            <w:pPr>
              <w:ind w:firstLine="0" w:firstLineChars="0"/>
              <w:rPr>
                <w:szCs w:val="21"/>
              </w:rPr>
            </w:pPr>
            <w:r>
              <w:rPr>
                <w:rFonts w:hint="eastAsia"/>
                <w:szCs w:val="21"/>
              </w:rPr>
              <w:t>支持基于实际需要的权限分配，结合用户分组和分级进行灵活定义</w:t>
            </w:r>
          </w:p>
        </w:tc>
      </w:tr>
      <w:tr w14:paraId="20F9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2888617">
            <w:pPr>
              <w:ind w:firstLine="0" w:firstLineChars="0"/>
              <w:rPr>
                <w:szCs w:val="21"/>
              </w:rPr>
            </w:pPr>
          </w:p>
        </w:tc>
        <w:tc>
          <w:tcPr>
            <w:tcW w:w="3553" w:type="pct"/>
            <w:vAlign w:val="center"/>
          </w:tcPr>
          <w:p w14:paraId="7CA0BE47">
            <w:pPr>
              <w:ind w:firstLine="0" w:firstLineChars="0"/>
              <w:rPr>
                <w:szCs w:val="21"/>
              </w:rPr>
            </w:pPr>
            <w:r>
              <w:rPr>
                <w:rFonts w:hint="eastAsia"/>
                <w:szCs w:val="21"/>
              </w:rPr>
              <w:t>支持定期及手动方式从第三方同步用户信息</w:t>
            </w:r>
          </w:p>
        </w:tc>
      </w:tr>
      <w:tr w14:paraId="65FD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D6BC0AE">
            <w:pPr>
              <w:ind w:firstLine="0" w:firstLineChars="0"/>
              <w:rPr>
                <w:szCs w:val="21"/>
              </w:rPr>
            </w:pPr>
          </w:p>
        </w:tc>
        <w:tc>
          <w:tcPr>
            <w:tcW w:w="3553" w:type="pct"/>
            <w:vAlign w:val="center"/>
          </w:tcPr>
          <w:p w14:paraId="5E63B4B3">
            <w:pPr>
              <w:ind w:firstLine="0" w:firstLineChars="0"/>
              <w:rPr>
                <w:szCs w:val="21"/>
              </w:rPr>
            </w:pPr>
            <w:r>
              <w:rPr>
                <w:rFonts w:hint="eastAsia"/>
                <w:szCs w:val="21"/>
              </w:rPr>
              <w:t>支持集成的第三方系统：AD、Generic Ldap、Domino、ADAM、CSV</w:t>
            </w:r>
          </w:p>
        </w:tc>
      </w:tr>
      <w:tr w14:paraId="3543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6F5FC4A">
            <w:pPr>
              <w:ind w:firstLine="0" w:firstLineChars="0"/>
              <w:rPr>
                <w:szCs w:val="21"/>
              </w:rPr>
            </w:pPr>
          </w:p>
        </w:tc>
        <w:tc>
          <w:tcPr>
            <w:tcW w:w="3553" w:type="pct"/>
            <w:vAlign w:val="center"/>
          </w:tcPr>
          <w:p w14:paraId="7E9E97D2">
            <w:pPr>
              <w:ind w:firstLine="0" w:firstLineChars="0"/>
              <w:rPr>
                <w:szCs w:val="21"/>
              </w:rPr>
            </w:pPr>
            <w:r>
              <w:rPr>
                <w:rFonts w:hint="eastAsia"/>
                <w:szCs w:val="21"/>
              </w:rPr>
              <w:t>支持用户目录设置高级对应同步，同时也支持过滤用户属性同步</w:t>
            </w:r>
          </w:p>
        </w:tc>
      </w:tr>
      <w:tr w14:paraId="17CE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0E3E347">
            <w:pPr>
              <w:ind w:firstLine="0" w:firstLineChars="0"/>
              <w:rPr>
                <w:szCs w:val="21"/>
              </w:rPr>
            </w:pPr>
          </w:p>
        </w:tc>
        <w:tc>
          <w:tcPr>
            <w:tcW w:w="3553" w:type="pct"/>
            <w:vAlign w:val="center"/>
          </w:tcPr>
          <w:p w14:paraId="391E0B13">
            <w:pPr>
              <w:ind w:firstLine="0" w:firstLineChars="0"/>
              <w:rPr>
                <w:szCs w:val="21"/>
              </w:rPr>
            </w:pPr>
            <w:r>
              <w:rPr>
                <w:rFonts w:hint="eastAsia"/>
                <w:szCs w:val="21"/>
              </w:rPr>
              <w:t>支持自定义组织架构及导入导出功能，包括自定义用户、用户主管、部门、部门主管、计算机组织架构信息</w:t>
            </w:r>
          </w:p>
        </w:tc>
      </w:tr>
      <w:tr w14:paraId="1513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6F375A9">
            <w:pPr>
              <w:ind w:firstLine="0" w:firstLineChars="0"/>
              <w:rPr>
                <w:szCs w:val="21"/>
              </w:rPr>
            </w:pPr>
          </w:p>
        </w:tc>
        <w:tc>
          <w:tcPr>
            <w:tcW w:w="3553" w:type="pct"/>
            <w:vAlign w:val="center"/>
          </w:tcPr>
          <w:p w14:paraId="14EF41B5">
            <w:pPr>
              <w:ind w:firstLine="0" w:firstLineChars="0"/>
              <w:rPr>
                <w:szCs w:val="21"/>
              </w:rPr>
            </w:pPr>
            <w:r>
              <w:rPr>
                <w:rFonts w:hint="eastAsia"/>
                <w:szCs w:val="21"/>
              </w:rPr>
              <w:t>支持基于用户目录及自定义组织架构定义用户目录组，实现已有系统用户信息及自定义用户的重新分组，用于策略通知、事件审批及告警通知</w:t>
            </w:r>
          </w:p>
        </w:tc>
      </w:tr>
      <w:tr w14:paraId="2EC7C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0855C0B">
            <w:pPr>
              <w:ind w:firstLine="0" w:firstLineChars="0"/>
              <w:rPr>
                <w:szCs w:val="21"/>
              </w:rPr>
            </w:pPr>
          </w:p>
        </w:tc>
        <w:tc>
          <w:tcPr>
            <w:tcW w:w="3553" w:type="pct"/>
            <w:vAlign w:val="center"/>
          </w:tcPr>
          <w:p w14:paraId="4D07E2A5">
            <w:pPr>
              <w:ind w:firstLine="0" w:firstLineChars="0"/>
              <w:rPr>
                <w:szCs w:val="21"/>
              </w:rPr>
            </w:pPr>
            <w:r>
              <w:rPr>
                <w:rFonts w:hint="eastAsia"/>
                <w:szCs w:val="21"/>
              </w:rPr>
              <w:t>分级对象应支持三级管理，上级可管理本级和下级用户的日志、策略以及设备</w:t>
            </w:r>
          </w:p>
        </w:tc>
      </w:tr>
      <w:tr w14:paraId="6C4D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3C2F69F">
            <w:pPr>
              <w:ind w:firstLine="0" w:firstLineChars="0"/>
              <w:rPr>
                <w:szCs w:val="21"/>
              </w:rPr>
            </w:pPr>
          </w:p>
        </w:tc>
        <w:tc>
          <w:tcPr>
            <w:tcW w:w="3553" w:type="pct"/>
            <w:vAlign w:val="center"/>
          </w:tcPr>
          <w:p w14:paraId="49B95B9C">
            <w:pPr>
              <w:ind w:firstLine="0" w:firstLineChars="0"/>
              <w:rPr>
                <w:szCs w:val="21"/>
              </w:rPr>
            </w:pPr>
            <w:r>
              <w:rPr>
                <w:rFonts w:hint="eastAsia"/>
                <w:szCs w:val="21"/>
              </w:rPr>
              <w:t>可根据分级架构，为不同分支机构管理员实现不同的角色权限控制</w:t>
            </w:r>
          </w:p>
        </w:tc>
      </w:tr>
      <w:tr w14:paraId="59E5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606815B3">
            <w:pPr>
              <w:ind w:firstLine="0" w:firstLineChars="0"/>
              <w:rPr>
                <w:szCs w:val="21"/>
              </w:rPr>
            </w:pPr>
          </w:p>
        </w:tc>
        <w:tc>
          <w:tcPr>
            <w:tcW w:w="3553" w:type="pct"/>
            <w:vAlign w:val="center"/>
          </w:tcPr>
          <w:p w14:paraId="7A01341C">
            <w:pPr>
              <w:ind w:firstLine="0" w:firstLineChars="0"/>
              <w:rPr>
                <w:szCs w:val="21"/>
              </w:rPr>
            </w:pPr>
            <w:r>
              <w:rPr>
                <w:rFonts w:hint="eastAsia"/>
                <w:szCs w:val="21"/>
              </w:rPr>
              <w:t>支持继承上级对象的用户管理范围，此种方式下，下级与上级对象管理的用户事件日志范围一致</w:t>
            </w:r>
          </w:p>
        </w:tc>
      </w:tr>
      <w:tr w14:paraId="7154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864B597">
            <w:pPr>
              <w:ind w:firstLine="0" w:firstLineChars="0"/>
              <w:rPr>
                <w:szCs w:val="21"/>
              </w:rPr>
            </w:pPr>
          </w:p>
        </w:tc>
        <w:tc>
          <w:tcPr>
            <w:tcW w:w="3553" w:type="pct"/>
            <w:vAlign w:val="center"/>
          </w:tcPr>
          <w:p w14:paraId="723F29A5">
            <w:pPr>
              <w:ind w:firstLine="0" w:firstLineChars="0"/>
              <w:rPr>
                <w:szCs w:val="21"/>
              </w:rPr>
            </w:pPr>
            <w:r>
              <w:rPr>
                <w:rFonts w:hint="eastAsia"/>
                <w:szCs w:val="21"/>
              </w:rPr>
              <w:t>支持指定用户范围的分级管理，可根据组织架构或者自定义用户组，对事件日志进行用户分级管理</w:t>
            </w:r>
          </w:p>
        </w:tc>
      </w:tr>
      <w:tr w14:paraId="1B22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37E36D6">
            <w:pPr>
              <w:ind w:firstLine="0" w:firstLineChars="0"/>
              <w:rPr>
                <w:szCs w:val="21"/>
              </w:rPr>
            </w:pPr>
          </w:p>
        </w:tc>
        <w:tc>
          <w:tcPr>
            <w:tcW w:w="3553" w:type="pct"/>
            <w:vAlign w:val="center"/>
          </w:tcPr>
          <w:p w14:paraId="113D3DE0">
            <w:pPr>
              <w:ind w:firstLine="0" w:firstLineChars="0"/>
              <w:rPr>
                <w:szCs w:val="21"/>
              </w:rPr>
            </w:pPr>
            <w:r>
              <w:rPr>
                <w:rFonts w:hint="eastAsia"/>
                <w:szCs w:val="21"/>
              </w:rPr>
              <w:t>支持指定设备的用户分级管理，即只要该用户通过该设备即可管理该用户产生的事件日志信息</w:t>
            </w:r>
          </w:p>
        </w:tc>
      </w:tr>
      <w:tr w14:paraId="542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B465477">
            <w:pPr>
              <w:ind w:firstLine="0" w:firstLineChars="0"/>
              <w:rPr>
                <w:szCs w:val="21"/>
              </w:rPr>
            </w:pPr>
          </w:p>
        </w:tc>
        <w:tc>
          <w:tcPr>
            <w:tcW w:w="3553" w:type="pct"/>
            <w:vAlign w:val="center"/>
          </w:tcPr>
          <w:p w14:paraId="24E26211">
            <w:pPr>
              <w:ind w:firstLine="0" w:firstLineChars="0"/>
              <w:rPr>
                <w:szCs w:val="21"/>
              </w:rPr>
            </w:pPr>
            <w:r>
              <w:rPr>
                <w:rFonts w:hint="eastAsia"/>
                <w:szCs w:val="21"/>
              </w:rPr>
              <w:t>产品应支持不同分支机构具备管理自己分支设备权限，上级机构可查看管理下级设备，下级只能对上级分配的设备进行监控管理</w:t>
            </w:r>
          </w:p>
        </w:tc>
      </w:tr>
      <w:tr w14:paraId="6646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613CBDB">
            <w:pPr>
              <w:ind w:firstLine="0" w:firstLineChars="0"/>
              <w:rPr>
                <w:szCs w:val="21"/>
              </w:rPr>
            </w:pPr>
          </w:p>
        </w:tc>
        <w:tc>
          <w:tcPr>
            <w:tcW w:w="3553" w:type="pct"/>
            <w:vAlign w:val="center"/>
          </w:tcPr>
          <w:p w14:paraId="1BBEC546">
            <w:pPr>
              <w:ind w:firstLine="0" w:firstLineChars="0"/>
              <w:rPr>
                <w:szCs w:val="21"/>
              </w:rPr>
            </w:pPr>
            <w:r>
              <w:rPr>
                <w:rFonts w:hint="eastAsia"/>
                <w:szCs w:val="21"/>
              </w:rPr>
              <w:t>产品应支持根据分级对象设置不同分级的策略，上级策略对下级策略生效，也可根据策略优先级设置上级策略对下级生效的优先程度</w:t>
            </w:r>
          </w:p>
        </w:tc>
      </w:tr>
      <w:tr w14:paraId="4064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2F55B6BD">
            <w:pPr>
              <w:ind w:firstLine="0" w:firstLineChars="0"/>
              <w:rPr>
                <w:szCs w:val="21"/>
              </w:rPr>
            </w:pPr>
          </w:p>
        </w:tc>
        <w:tc>
          <w:tcPr>
            <w:tcW w:w="3553" w:type="pct"/>
            <w:vAlign w:val="center"/>
          </w:tcPr>
          <w:p w14:paraId="63E54C50">
            <w:pPr>
              <w:ind w:firstLine="0" w:firstLineChars="0"/>
              <w:rPr>
                <w:szCs w:val="21"/>
              </w:rPr>
            </w:pPr>
            <w:r>
              <w:rPr>
                <w:rFonts w:hint="eastAsia"/>
                <w:szCs w:val="21"/>
              </w:rPr>
              <w:t>产品应支持上级查看管理本级和下级策略，同时下级也能查看上级策略</w:t>
            </w:r>
          </w:p>
        </w:tc>
      </w:tr>
      <w:tr w14:paraId="27312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BF89F8F">
            <w:pPr>
              <w:ind w:firstLine="0" w:firstLineChars="0"/>
              <w:rPr>
                <w:szCs w:val="21"/>
              </w:rPr>
            </w:pPr>
          </w:p>
        </w:tc>
        <w:tc>
          <w:tcPr>
            <w:tcW w:w="3553" w:type="pct"/>
            <w:vAlign w:val="center"/>
          </w:tcPr>
          <w:p w14:paraId="25CE5178">
            <w:pPr>
              <w:ind w:firstLine="0" w:firstLineChars="0"/>
              <w:rPr>
                <w:szCs w:val="21"/>
              </w:rPr>
            </w:pPr>
            <w:r>
              <w:rPr>
                <w:rFonts w:hint="eastAsia"/>
                <w:szCs w:val="21"/>
              </w:rPr>
              <w:t>产品应支持根据用户分级架构，不同分级管理员查看管理各自分级的事件日志和报告</w:t>
            </w:r>
          </w:p>
        </w:tc>
      </w:tr>
      <w:tr w14:paraId="11A2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2ACBC168">
            <w:pPr>
              <w:ind w:firstLine="0" w:firstLineChars="0"/>
              <w:rPr>
                <w:szCs w:val="21"/>
              </w:rPr>
            </w:pPr>
            <w:r>
              <w:rPr>
                <w:rFonts w:hint="eastAsia"/>
                <w:szCs w:val="21"/>
              </w:rPr>
              <w:t>日志管理</w:t>
            </w:r>
          </w:p>
        </w:tc>
        <w:tc>
          <w:tcPr>
            <w:tcW w:w="3553" w:type="pct"/>
            <w:vAlign w:val="center"/>
          </w:tcPr>
          <w:p w14:paraId="5A2CFA96">
            <w:pPr>
              <w:ind w:firstLine="0" w:firstLineChars="0"/>
              <w:rPr>
                <w:szCs w:val="21"/>
              </w:rPr>
            </w:pPr>
            <w:r>
              <w:rPr>
                <w:rFonts w:hint="eastAsia"/>
                <w:szCs w:val="21"/>
              </w:rPr>
              <w:t>能够以 SNMP 的方式向外部系统实时对接设别信息，支持主动和被动方式，支持 TCP 和 UDP 连接</w:t>
            </w:r>
          </w:p>
        </w:tc>
      </w:tr>
      <w:tr w14:paraId="6D30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1016F49">
            <w:pPr>
              <w:ind w:firstLine="0" w:firstLineChars="0"/>
              <w:rPr>
                <w:szCs w:val="21"/>
              </w:rPr>
            </w:pPr>
          </w:p>
        </w:tc>
        <w:tc>
          <w:tcPr>
            <w:tcW w:w="3553" w:type="pct"/>
            <w:vAlign w:val="center"/>
          </w:tcPr>
          <w:p w14:paraId="08494C2B">
            <w:pPr>
              <w:ind w:firstLine="0" w:firstLineChars="0"/>
              <w:rPr>
                <w:szCs w:val="21"/>
              </w:rPr>
            </w:pPr>
            <w:r>
              <w:rPr>
                <w:rFonts w:hint="eastAsia"/>
                <w:szCs w:val="21"/>
              </w:rPr>
              <w:t>能够向第三方日志系统实时传输后台日志，包括但不限于：系统日志、网络日志、审计日志、邮件日志、风险事件。</w:t>
            </w:r>
          </w:p>
        </w:tc>
      </w:tr>
      <w:tr w14:paraId="3050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restart"/>
            <w:vAlign w:val="center"/>
          </w:tcPr>
          <w:p w14:paraId="75D9F526">
            <w:pPr>
              <w:ind w:firstLine="0" w:firstLineChars="0"/>
              <w:rPr>
                <w:szCs w:val="21"/>
              </w:rPr>
            </w:pPr>
            <w:r>
              <w:rPr>
                <w:rFonts w:hint="eastAsia"/>
                <w:szCs w:val="21"/>
              </w:rPr>
              <w:t>其他功能</w:t>
            </w:r>
          </w:p>
        </w:tc>
        <w:tc>
          <w:tcPr>
            <w:tcW w:w="3553" w:type="pct"/>
            <w:vAlign w:val="center"/>
          </w:tcPr>
          <w:p w14:paraId="58CACB05">
            <w:pPr>
              <w:ind w:firstLine="0" w:firstLineChars="0"/>
              <w:rPr>
                <w:szCs w:val="21"/>
              </w:rPr>
            </w:pPr>
            <w:r>
              <w:rPr>
                <w:rFonts w:hint="eastAsia"/>
                <w:szCs w:val="21"/>
              </w:rPr>
              <w:t>在线下载或上传升级包进行升级，升级失败自动回退</w:t>
            </w:r>
          </w:p>
        </w:tc>
      </w:tr>
      <w:tr w14:paraId="35C2B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57B0062C">
            <w:pPr>
              <w:ind w:firstLine="0" w:firstLineChars="0"/>
              <w:rPr>
                <w:szCs w:val="21"/>
              </w:rPr>
            </w:pPr>
          </w:p>
        </w:tc>
        <w:tc>
          <w:tcPr>
            <w:tcW w:w="3553" w:type="pct"/>
            <w:vAlign w:val="center"/>
          </w:tcPr>
          <w:p w14:paraId="72D4ED9C">
            <w:pPr>
              <w:ind w:firstLine="0" w:firstLineChars="0"/>
              <w:rPr>
                <w:szCs w:val="21"/>
              </w:rPr>
            </w:pPr>
            <w:r>
              <w:rPr>
                <w:rFonts w:hint="eastAsia"/>
                <w:szCs w:val="21"/>
              </w:rPr>
              <w:t>升级成功以后可以进行版本回退</w:t>
            </w:r>
          </w:p>
        </w:tc>
      </w:tr>
      <w:tr w14:paraId="6D9E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8FB78FD">
            <w:pPr>
              <w:ind w:firstLine="0" w:firstLineChars="0"/>
              <w:rPr>
                <w:szCs w:val="21"/>
              </w:rPr>
            </w:pPr>
          </w:p>
        </w:tc>
        <w:tc>
          <w:tcPr>
            <w:tcW w:w="3553" w:type="pct"/>
            <w:vAlign w:val="center"/>
          </w:tcPr>
          <w:p w14:paraId="0B079D05">
            <w:pPr>
              <w:ind w:firstLine="0" w:firstLineChars="0"/>
              <w:rPr>
                <w:szCs w:val="21"/>
              </w:rPr>
            </w:pPr>
            <w:r>
              <w:rPr>
                <w:rFonts w:hint="eastAsia"/>
                <w:szCs w:val="21"/>
              </w:rPr>
              <w:t>在线检查最新补丁，在线下载或上传补丁包打补丁</w:t>
            </w:r>
          </w:p>
        </w:tc>
      </w:tr>
      <w:tr w14:paraId="5D16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446" w:type="pct"/>
            <w:vMerge w:val="continue"/>
            <w:vAlign w:val="center"/>
          </w:tcPr>
          <w:p w14:paraId="03A9F141">
            <w:pPr>
              <w:ind w:firstLine="0" w:firstLineChars="0"/>
              <w:rPr>
                <w:szCs w:val="21"/>
              </w:rPr>
            </w:pPr>
          </w:p>
        </w:tc>
        <w:tc>
          <w:tcPr>
            <w:tcW w:w="3553" w:type="pct"/>
            <w:vAlign w:val="center"/>
          </w:tcPr>
          <w:p w14:paraId="6263F930">
            <w:pPr>
              <w:ind w:firstLine="0" w:firstLineChars="0"/>
              <w:rPr>
                <w:szCs w:val="21"/>
              </w:rPr>
            </w:pPr>
            <w:r>
              <w:rPr>
                <w:rFonts w:hint="eastAsia"/>
                <w:szCs w:val="21"/>
                <w:lang w:eastAsia="zh-CN"/>
              </w:rPr>
              <w:t>▲</w:t>
            </w:r>
            <w:r>
              <w:rPr>
                <w:rFonts w:hint="eastAsia"/>
                <w:szCs w:val="21"/>
              </w:rPr>
              <w:t>数据防泄露系统需支持国产化硬件环境，软件产品为国内自主研发，符合国家自主可控要求</w:t>
            </w:r>
          </w:p>
        </w:tc>
      </w:tr>
      <w:tr w14:paraId="49D8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0D645EC3">
            <w:pPr>
              <w:ind w:firstLine="0" w:firstLineChars="0"/>
              <w:rPr>
                <w:szCs w:val="21"/>
              </w:rPr>
            </w:pPr>
          </w:p>
        </w:tc>
        <w:tc>
          <w:tcPr>
            <w:tcW w:w="3553" w:type="pct"/>
            <w:vAlign w:val="center"/>
          </w:tcPr>
          <w:p w14:paraId="142E6CBD">
            <w:pPr>
              <w:ind w:firstLine="0" w:firstLineChars="0"/>
              <w:rPr>
                <w:szCs w:val="21"/>
              </w:rPr>
            </w:pPr>
            <w:r>
              <w:rPr>
                <w:rFonts w:hint="eastAsia"/>
                <w:szCs w:val="21"/>
              </w:rPr>
              <w:t>▲数据防泄露系统须覆盖终端、网络和邮件通道数据泄漏的审计和阻止功能，统一集中管理平台要求，进行策略、日志报告等统一管理</w:t>
            </w:r>
          </w:p>
        </w:tc>
      </w:tr>
      <w:tr w14:paraId="4A0B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74489BAA">
            <w:pPr>
              <w:ind w:firstLine="0" w:firstLineChars="0"/>
              <w:rPr>
                <w:szCs w:val="21"/>
              </w:rPr>
            </w:pPr>
          </w:p>
        </w:tc>
        <w:tc>
          <w:tcPr>
            <w:tcW w:w="3553" w:type="pct"/>
            <w:vAlign w:val="center"/>
          </w:tcPr>
          <w:p w14:paraId="43BBD244">
            <w:pPr>
              <w:ind w:firstLine="0" w:firstLineChars="0"/>
              <w:rPr>
                <w:szCs w:val="21"/>
              </w:rPr>
            </w:pPr>
            <w:r>
              <w:rPr>
                <w:rFonts w:hint="eastAsia"/>
                <w:szCs w:val="21"/>
              </w:rPr>
              <w:t>产品品牌要求国际主流机构（Gartner）连续 3 年推荐 DLP 厂商、数据与分析机构（IDC）连续多年 2 年数据防泄漏市场份额 TOP3，并具备中国本地原厂技术服务研发能力</w:t>
            </w:r>
          </w:p>
        </w:tc>
      </w:tr>
      <w:tr w14:paraId="5977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3391B282">
            <w:pPr>
              <w:ind w:firstLine="0" w:firstLineChars="0"/>
              <w:rPr>
                <w:szCs w:val="21"/>
              </w:rPr>
            </w:pPr>
          </w:p>
        </w:tc>
        <w:tc>
          <w:tcPr>
            <w:tcW w:w="3553" w:type="pct"/>
            <w:vAlign w:val="center"/>
          </w:tcPr>
          <w:p w14:paraId="074BA4E1">
            <w:pPr>
              <w:ind w:firstLine="0" w:firstLineChars="0"/>
              <w:rPr>
                <w:szCs w:val="21"/>
              </w:rPr>
            </w:pPr>
            <w:r>
              <w:rPr>
                <w:rFonts w:hint="eastAsia"/>
                <w:szCs w:val="21"/>
              </w:rPr>
              <w:t>投标方持有制造商出具的项目授权函及售后服务承诺函</w:t>
            </w:r>
          </w:p>
        </w:tc>
      </w:tr>
      <w:tr w14:paraId="5C9B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DF38EF8">
            <w:pPr>
              <w:ind w:firstLine="0" w:firstLineChars="0"/>
              <w:rPr>
                <w:szCs w:val="21"/>
              </w:rPr>
            </w:pPr>
          </w:p>
        </w:tc>
        <w:tc>
          <w:tcPr>
            <w:tcW w:w="3553" w:type="pct"/>
            <w:vAlign w:val="center"/>
          </w:tcPr>
          <w:p w14:paraId="49C8C67E">
            <w:pPr>
              <w:ind w:firstLine="0" w:firstLineChars="0"/>
              <w:rPr>
                <w:szCs w:val="21"/>
              </w:rPr>
            </w:pPr>
            <w:r>
              <w:rPr>
                <w:rFonts w:hint="eastAsia"/>
                <w:szCs w:val="21"/>
              </w:rPr>
              <w:t>终端 DLP 支持windows操作系统，支持DLP 检测和阻止功能。</w:t>
            </w:r>
          </w:p>
          <w:p w14:paraId="3E0F8EEB">
            <w:pPr>
              <w:ind w:firstLine="0" w:firstLineChars="0"/>
              <w:rPr>
                <w:szCs w:val="21"/>
              </w:rPr>
            </w:pPr>
            <w:r>
              <w:rPr>
                <w:rFonts w:hint="eastAsia"/>
                <w:szCs w:val="21"/>
              </w:rPr>
              <w:t>支持 Ubuntu、麒麟（中标&amp;银河）及 UOS 通信平台等操作系统，支持DLP 检测和阻止功能</w:t>
            </w:r>
          </w:p>
        </w:tc>
      </w:tr>
      <w:tr w14:paraId="354E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4FE901AC">
            <w:pPr>
              <w:ind w:firstLine="0" w:firstLineChars="0"/>
              <w:rPr>
                <w:szCs w:val="21"/>
              </w:rPr>
            </w:pPr>
          </w:p>
        </w:tc>
        <w:tc>
          <w:tcPr>
            <w:tcW w:w="3553" w:type="pct"/>
            <w:vAlign w:val="center"/>
          </w:tcPr>
          <w:p w14:paraId="24087E65">
            <w:pPr>
              <w:ind w:firstLine="0" w:firstLineChars="0"/>
              <w:rPr>
                <w:szCs w:val="21"/>
              </w:rPr>
            </w:pPr>
            <w:r>
              <w:rPr>
                <w:rFonts w:hint="eastAsia"/>
                <w:szCs w:val="21"/>
              </w:rPr>
              <w:t>与使用的终端安全产品兼容（桌管及防病毒等），在不影响现有终端管理的模式下，实现终端数据防泄密的管理需求。</w:t>
            </w:r>
          </w:p>
        </w:tc>
      </w:tr>
      <w:tr w14:paraId="1260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6" w:type="pct"/>
            <w:vMerge w:val="continue"/>
            <w:vAlign w:val="center"/>
          </w:tcPr>
          <w:p w14:paraId="1C5D413A">
            <w:pPr>
              <w:ind w:firstLine="0" w:firstLineChars="0"/>
              <w:rPr>
                <w:szCs w:val="21"/>
              </w:rPr>
            </w:pPr>
          </w:p>
        </w:tc>
        <w:tc>
          <w:tcPr>
            <w:tcW w:w="3553" w:type="pct"/>
            <w:vAlign w:val="center"/>
          </w:tcPr>
          <w:p w14:paraId="5076177C">
            <w:pPr>
              <w:ind w:firstLine="0" w:firstLineChars="0"/>
              <w:rPr>
                <w:szCs w:val="21"/>
              </w:rPr>
            </w:pPr>
            <w:r>
              <w:rPr>
                <w:rFonts w:hint="eastAsia"/>
                <w:szCs w:val="21"/>
              </w:rPr>
              <w:t>产品必须支持 6 个月本地日志存量</w:t>
            </w:r>
          </w:p>
        </w:tc>
      </w:tr>
    </w:tbl>
    <w:p w14:paraId="71F0ECEC">
      <w:pPr>
        <w:pStyle w:val="21"/>
        <w:ind w:firstLine="480"/>
      </w:pPr>
    </w:p>
    <w:p w14:paraId="2CE3A1CE">
      <w:pPr>
        <w:pStyle w:val="7"/>
        <w:spacing w:line="413" w:lineRule="auto"/>
        <w:ind w:firstLine="0" w:firstLineChars="0"/>
      </w:pPr>
      <w:r>
        <w:rPr>
          <w:rFonts w:hint="eastAsia"/>
        </w:rPr>
        <w:t>4.2.2客户端技术规格参数</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9"/>
        <w:gridCol w:w="6899"/>
      </w:tblGrid>
      <w:tr w14:paraId="5D52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955" w:type="pct"/>
            <w:vAlign w:val="center"/>
          </w:tcPr>
          <w:p w14:paraId="6DDE4E06">
            <w:pPr>
              <w:ind w:firstLine="0" w:firstLineChars="0"/>
              <w:rPr>
                <w:b/>
                <w:bCs/>
                <w:szCs w:val="21"/>
              </w:rPr>
            </w:pPr>
            <w:r>
              <w:rPr>
                <w:rFonts w:hint="eastAsia"/>
                <w:b/>
                <w:bCs/>
                <w:szCs w:val="21"/>
              </w:rPr>
              <w:t>配置要求</w:t>
            </w:r>
          </w:p>
        </w:tc>
        <w:tc>
          <w:tcPr>
            <w:tcW w:w="4045" w:type="pct"/>
            <w:vAlign w:val="center"/>
          </w:tcPr>
          <w:p w14:paraId="6F5715A2">
            <w:pPr>
              <w:ind w:firstLine="482"/>
              <w:jc w:val="center"/>
              <w:rPr>
                <w:b/>
                <w:bCs/>
                <w:szCs w:val="21"/>
              </w:rPr>
            </w:pPr>
            <w:r>
              <w:rPr>
                <w:rFonts w:hint="eastAsia"/>
                <w:b/>
                <w:bCs/>
                <w:szCs w:val="21"/>
              </w:rPr>
              <w:t>技术规范</w:t>
            </w:r>
          </w:p>
        </w:tc>
      </w:tr>
      <w:tr w14:paraId="0C4A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restart"/>
            <w:vAlign w:val="center"/>
          </w:tcPr>
          <w:p w14:paraId="73B65928">
            <w:pPr>
              <w:ind w:firstLine="0" w:firstLineChars="0"/>
              <w:rPr>
                <w:szCs w:val="21"/>
              </w:rPr>
            </w:pPr>
            <w:r>
              <w:rPr>
                <w:rFonts w:hint="eastAsia"/>
                <w:szCs w:val="21"/>
              </w:rPr>
              <w:t>敏感数据发现与识别</w:t>
            </w:r>
          </w:p>
        </w:tc>
        <w:tc>
          <w:tcPr>
            <w:tcW w:w="4045" w:type="pct"/>
          </w:tcPr>
          <w:p w14:paraId="0E4587D0">
            <w:pPr>
              <w:ind w:firstLine="0" w:firstLineChars="0"/>
              <w:rPr>
                <w:szCs w:val="21"/>
              </w:rPr>
            </w:pPr>
            <w:r>
              <w:rPr>
                <w:rFonts w:hint="eastAsia"/>
                <w:szCs w:val="21"/>
              </w:rPr>
              <w:t>支持终端敏感内容发现。</w:t>
            </w:r>
          </w:p>
        </w:tc>
      </w:tr>
      <w:tr w14:paraId="66FE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4B88E997">
            <w:pPr>
              <w:ind w:firstLine="0" w:firstLineChars="0"/>
              <w:rPr>
                <w:szCs w:val="21"/>
              </w:rPr>
            </w:pPr>
          </w:p>
        </w:tc>
        <w:tc>
          <w:tcPr>
            <w:tcW w:w="4045" w:type="pct"/>
          </w:tcPr>
          <w:p w14:paraId="3794EEDF">
            <w:pPr>
              <w:ind w:firstLine="0" w:firstLineChars="0"/>
              <w:rPr>
                <w:szCs w:val="21"/>
              </w:rPr>
            </w:pPr>
            <w:r>
              <w:rPr>
                <w:rFonts w:hint="eastAsia"/>
                <w:szCs w:val="21"/>
              </w:rPr>
              <w:t>支持终端发现任务计划定期扫描，支持增量与全量扫描</w:t>
            </w:r>
          </w:p>
        </w:tc>
      </w:tr>
      <w:tr w14:paraId="1E80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348483DB">
            <w:pPr>
              <w:ind w:firstLine="0" w:firstLineChars="0"/>
              <w:rPr>
                <w:szCs w:val="21"/>
              </w:rPr>
            </w:pPr>
          </w:p>
        </w:tc>
        <w:tc>
          <w:tcPr>
            <w:tcW w:w="4045" w:type="pct"/>
          </w:tcPr>
          <w:p w14:paraId="21F46FF3">
            <w:pPr>
              <w:ind w:firstLine="0" w:firstLineChars="0"/>
              <w:rPr>
                <w:szCs w:val="21"/>
              </w:rPr>
            </w:pPr>
            <w:r>
              <w:rPr>
                <w:rFonts w:hint="eastAsia"/>
                <w:szCs w:val="21"/>
              </w:rPr>
              <w:t>支持终端离线时所有终端 DLP 防护策略依然有效</w:t>
            </w:r>
          </w:p>
          <w:p w14:paraId="235692DE">
            <w:pPr>
              <w:ind w:firstLine="0" w:firstLineChars="0"/>
              <w:rPr>
                <w:szCs w:val="21"/>
              </w:rPr>
            </w:pPr>
            <w:r>
              <w:rPr>
                <w:rFonts w:hint="eastAsia"/>
                <w:szCs w:val="21"/>
              </w:rPr>
              <w:t>（离线可控）</w:t>
            </w:r>
          </w:p>
        </w:tc>
      </w:tr>
      <w:tr w14:paraId="54667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7343DF67">
            <w:pPr>
              <w:ind w:firstLine="0" w:firstLineChars="0"/>
              <w:rPr>
                <w:szCs w:val="21"/>
              </w:rPr>
            </w:pPr>
          </w:p>
        </w:tc>
        <w:tc>
          <w:tcPr>
            <w:tcW w:w="4045" w:type="pct"/>
          </w:tcPr>
          <w:p w14:paraId="41CCD58B">
            <w:pPr>
              <w:ind w:firstLine="0" w:firstLineChars="0"/>
              <w:rPr>
                <w:szCs w:val="21"/>
              </w:rPr>
            </w:pPr>
            <w:r>
              <w:rPr>
                <w:rFonts w:hint="eastAsia"/>
                <w:szCs w:val="21"/>
              </w:rPr>
              <w:t>支持用户端分级分类标签定义功能，支持终端 DLP 用户手动方式右键属性标记分类标签，支持终端 DLP 用户手动方式右键属性标记指纹标签</w:t>
            </w:r>
          </w:p>
        </w:tc>
      </w:tr>
      <w:tr w14:paraId="3BB3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76D0FD6B">
            <w:pPr>
              <w:ind w:firstLine="0" w:firstLineChars="0"/>
              <w:rPr>
                <w:szCs w:val="21"/>
              </w:rPr>
            </w:pPr>
          </w:p>
        </w:tc>
        <w:tc>
          <w:tcPr>
            <w:tcW w:w="4045" w:type="pct"/>
          </w:tcPr>
          <w:p w14:paraId="31238131">
            <w:pPr>
              <w:ind w:firstLine="0" w:firstLineChars="0"/>
              <w:rPr>
                <w:szCs w:val="21"/>
              </w:rPr>
            </w:pPr>
            <w:r>
              <w:rPr>
                <w:rFonts w:hint="eastAsia"/>
                <w:szCs w:val="21"/>
              </w:rPr>
              <w:t>支持终端日志多种多种收集途径：本地手动收集、管理平台在线自动收集</w:t>
            </w:r>
          </w:p>
        </w:tc>
      </w:tr>
      <w:tr w14:paraId="091B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3F43F43C">
            <w:pPr>
              <w:ind w:firstLine="0" w:firstLineChars="0"/>
              <w:rPr>
                <w:szCs w:val="21"/>
              </w:rPr>
            </w:pPr>
          </w:p>
        </w:tc>
        <w:tc>
          <w:tcPr>
            <w:tcW w:w="4045" w:type="pct"/>
          </w:tcPr>
          <w:p w14:paraId="3951D3AF">
            <w:pPr>
              <w:ind w:firstLine="0" w:firstLineChars="0"/>
              <w:rPr>
                <w:szCs w:val="21"/>
              </w:rPr>
            </w:pPr>
            <w:r>
              <w:rPr>
                <w:rFonts w:hint="eastAsia"/>
                <w:szCs w:val="21"/>
              </w:rPr>
              <w:t>支持终端发现任务计划定期、增量扫描与全量扫描</w:t>
            </w:r>
          </w:p>
          <w:p w14:paraId="56E7985C">
            <w:pPr>
              <w:ind w:firstLine="0" w:firstLineChars="0"/>
              <w:rPr>
                <w:szCs w:val="21"/>
              </w:rPr>
            </w:pPr>
            <w:r>
              <w:rPr>
                <w:rFonts w:hint="eastAsia"/>
                <w:szCs w:val="21"/>
              </w:rPr>
              <w:t>支持终端发现指定计算机、指定扫描目标、指定策略、文件属性过滤器、扫描时间计划、增量扫描、手动数据发现、手动数据发现报告</w:t>
            </w:r>
          </w:p>
        </w:tc>
      </w:tr>
      <w:tr w14:paraId="0CB6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955" w:type="pct"/>
            <w:vMerge w:val="restart"/>
            <w:vAlign w:val="center"/>
          </w:tcPr>
          <w:p w14:paraId="2BEDA3BD">
            <w:pPr>
              <w:ind w:firstLine="0" w:firstLineChars="0"/>
              <w:rPr>
                <w:szCs w:val="21"/>
              </w:rPr>
            </w:pPr>
            <w:r>
              <w:rPr>
                <w:rFonts w:hint="eastAsia"/>
                <w:szCs w:val="21"/>
              </w:rPr>
              <w:t>敏感数据分布及展示</w:t>
            </w:r>
          </w:p>
        </w:tc>
        <w:tc>
          <w:tcPr>
            <w:tcW w:w="4045" w:type="pct"/>
          </w:tcPr>
          <w:p w14:paraId="4B9EA203">
            <w:pPr>
              <w:ind w:firstLine="0" w:firstLineChars="0"/>
              <w:rPr>
                <w:szCs w:val="21"/>
              </w:rPr>
            </w:pPr>
            <w:r>
              <w:rPr>
                <w:rFonts w:hint="eastAsia"/>
                <w:szCs w:val="21"/>
              </w:rPr>
              <w:t>提供预置及定制趋势分析的报告，包括：支持显示一周内的事件趋势 图、支持显示安全等级事件趋势图、支持显示策略事件趋势图、来源事件 TOPN、目标事件 TOPN、来源总匹配 TOP20</w:t>
            </w:r>
          </w:p>
        </w:tc>
      </w:tr>
      <w:tr w14:paraId="2AA5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54DDAD08">
            <w:pPr>
              <w:ind w:firstLine="0" w:firstLineChars="0"/>
              <w:rPr>
                <w:szCs w:val="21"/>
              </w:rPr>
            </w:pPr>
          </w:p>
        </w:tc>
        <w:tc>
          <w:tcPr>
            <w:tcW w:w="4045" w:type="pct"/>
            <w:vAlign w:val="center"/>
          </w:tcPr>
          <w:p w14:paraId="101EAFEE">
            <w:pPr>
              <w:ind w:firstLine="0" w:firstLineChars="0"/>
              <w:rPr>
                <w:szCs w:val="21"/>
              </w:rPr>
            </w:pPr>
            <w:r>
              <w:rPr>
                <w:rFonts w:hint="eastAsia"/>
                <w:szCs w:val="21"/>
              </w:rPr>
              <w:t>能够设置定制报告模板的样式及条件</w:t>
            </w:r>
          </w:p>
        </w:tc>
      </w:tr>
      <w:tr w14:paraId="6006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36CBDF86">
            <w:pPr>
              <w:ind w:firstLine="0" w:firstLineChars="0"/>
              <w:rPr>
                <w:szCs w:val="21"/>
              </w:rPr>
            </w:pPr>
          </w:p>
        </w:tc>
        <w:tc>
          <w:tcPr>
            <w:tcW w:w="4045" w:type="pct"/>
            <w:vAlign w:val="center"/>
          </w:tcPr>
          <w:p w14:paraId="07F14574">
            <w:pPr>
              <w:ind w:firstLine="0" w:firstLineChars="0"/>
              <w:rPr>
                <w:szCs w:val="21"/>
              </w:rPr>
            </w:pPr>
            <w:r>
              <w:rPr>
                <w:rFonts w:hint="eastAsia"/>
                <w:szCs w:val="21"/>
              </w:rPr>
              <w:t>支持定制数据统计分析，如多种 TOP 排名能力（可定制）的报表展示能力</w:t>
            </w:r>
          </w:p>
        </w:tc>
      </w:tr>
      <w:tr w14:paraId="7996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280E7609">
            <w:pPr>
              <w:ind w:firstLine="0" w:firstLineChars="0"/>
              <w:rPr>
                <w:szCs w:val="21"/>
              </w:rPr>
            </w:pPr>
          </w:p>
        </w:tc>
        <w:tc>
          <w:tcPr>
            <w:tcW w:w="4045" w:type="pct"/>
            <w:vAlign w:val="center"/>
          </w:tcPr>
          <w:p w14:paraId="553B6010">
            <w:pPr>
              <w:ind w:firstLine="0" w:firstLineChars="0"/>
              <w:rPr>
                <w:szCs w:val="21"/>
              </w:rPr>
            </w:pPr>
            <w:r>
              <w:rPr>
                <w:rFonts w:hint="eastAsia"/>
                <w:szCs w:val="21"/>
              </w:rPr>
              <w:t>支持多种报告模板，详见各模块报告功能参数</w:t>
            </w:r>
          </w:p>
        </w:tc>
      </w:tr>
      <w:tr w14:paraId="4CD0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518C6DB5">
            <w:pPr>
              <w:ind w:firstLine="0" w:firstLineChars="0"/>
              <w:rPr>
                <w:szCs w:val="21"/>
              </w:rPr>
            </w:pPr>
          </w:p>
        </w:tc>
        <w:tc>
          <w:tcPr>
            <w:tcW w:w="4045" w:type="pct"/>
            <w:vAlign w:val="center"/>
          </w:tcPr>
          <w:p w14:paraId="5E5EAF30">
            <w:pPr>
              <w:ind w:firstLine="0" w:firstLineChars="0"/>
              <w:rPr>
                <w:szCs w:val="21"/>
              </w:rPr>
            </w:pPr>
            <w:r>
              <w:rPr>
                <w:rFonts w:hint="eastAsia"/>
                <w:szCs w:val="21"/>
              </w:rPr>
              <w:t>提供设置定时事件报告发送给特定的管理人员</w:t>
            </w:r>
          </w:p>
        </w:tc>
      </w:tr>
      <w:tr w14:paraId="0925F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0D160534">
            <w:pPr>
              <w:ind w:firstLine="0" w:firstLineChars="0"/>
              <w:rPr>
                <w:szCs w:val="21"/>
              </w:rPr>
            </w:pPr>
          </w:p>
        </w:tc>
        <w:tc>
          <w:tcPr>
            <w:tcW w:w="4045" w:type="pct"/>
            <w:vAlign w:val="center"/>
          </w:tcPr>
          <w:p w14:paraId="20049B67">
            <w:pPr>
              <w:ind w:firstLine="0" w:firstLineChars="0"/>
              <w:rPr>
                <w:szCs w:val="21"/>
              </w:rPr>
            </w:pPr>
            <w:r>
              <w:rPr>
                <w:rFonts w:hint="eastAsia"/>
                <w:szCs w:val="21"/>
              </w:rPr>
              <w:t>可定制的图表报告，用直观的图表同时显示多个报告，至少提供 10 个图表。可点击报告，向下展开额外的事件细节。</w:t>
            </w:r>
          </w:p>
        </w:tc>
      </w:tr>
      <w:tr w14:paraId="0EE3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56CF1BFB">
            <w:pPr>
              <w:ind w:firstLine="0" w:firstLineChars="0"/>
              <w:rPr>
                <w:szCs w:val="21"/>
              </w:rPr>
            </w:pPr>
          </w:p>
        </w:tc>
        <w:tc>
          <w:tcPr>
            <w:tcW w:w="4045" w:type="pct"/>
            <w:vAlign w:val="center"/>
          </w:tcPr>
          <w:p w14:paraId="1159ACDD">
            <w:pPr>
              <w:ind w:firstLine="0" w:firstLineChars="0"/>
              <w:rPr>
                <w:szCs w:val="21"/>
              </w:rPr>
            </w:pPr>
            <w:r>
              <w:rPr>
                <w:rFonts w:hint="eastAsia"/>
                <w:szCs w:val="21"/>
              </w:rPr>
              <w:t>产品监控的数据均可以按照每小时、每天、每周显示，并均可以下载或导出至 PDF 和 XLS 文件</w:t>
            </w:r>
          </w:p>
        </w:tc>
      </w:tr>
      <w:tr w14:paraId="209B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374D0059">
            <w:pPr>
              <w:ind w:firstLine="0" w:firstLineChars="0"/>
              <w:rPr>
                <w:szCs w:val="21"/>
              </w:rPr>
            </w:pPr>
          </w:p>
        </w:tc>
        <w:tc>
          <w:tcPr>
            <w:tcW w:w="4045" w:type="pct"/>
            <w:vAlign w:val="center"/>
          </w:tcPr>
          <w:p w14:paraId="42F2398D">
            <w:pPr>
              <w:ind w:firstLine="0" w:firstLineChars="0"/>
              <w:rPr>
                <w:szCs w:val="21"/>
              </w:rPr>
            </w:pPr>
            <w:r>
              <w:rPr>
                <w:rFonts w:hint="eastAsia"/>
                <w:szCs w:val="21"/>
              </w:rPr>
              <w:t>系统邮件记录的统计、分析、报表等支持 IPv6 相关的内容输出</w:t>
            </w:r>
          </w:p>
        </w:tc>
      </w:tr>
      <w:tr w14:paraId="0B40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55" w:type="pct"/>
            <w:vMerge w:val="restart"/>
            <w:vAlign w:val="center"/>
          </w:tcPr>
          <w:p w14:paraId="622171C0">
            <w:pPr>
              <w:ind w:firstLine="0" w:firstLineChars="0"/>
              <w:rPr>
                <w:szCs w:val="21"/>
              </w:rPr>
            </w:pPr>
            <w:r>
              <w:rPr>
                <w:rFonts w:hint="eastAsia"/>
                <w:szCs w:val="21"/>
              </w:rPr>
              <w:t>用户管理敏感数据监控及违规使用控制</w:t>
            </w:r>
          </w:p>
        </w:tc>
        <w:tc>
          <w:tcPr>
            <w:tcW w:w="4045" w:type="pct"/>
            <w:vAlign w:val="center"/>
          </w:tcPr>
          <w:p w14:paraId="22635605">
            <w:pPr>
              <w:ind w:firstLine="0" w:firstLineChars="0"/>
              <w:rPr>
                <w:szCs w:val="21"/>
              </w:rPr>
            </w:pPr>
            <w:r>
              <w:rPr>
                <w:rFonts w:hint="eastAsia"/>
                <w:szCs w:val="21"/>
              </w:rPr>
              <w:t>支持终端应用控制，粘贴复制，截屏、文件访问控制</w:t>
            </w:r>
          </w:p>
        </w:tc>
      </w:tr>
      <w:tr w14:paraId="6D59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7B403C27">
            <w:pPr>
              <w:ind w:firstLine="0" w:firstLineChars="0"/>
              <w:rPr>
                <w:szCs w:val="21"/>
              </w:rPr>
            </w:pPr>
          </w:p>
        </w:tc>
        <w:tc>
          <w:tcPr>
            <w:tcW w:w="4045" w:type="pct"/>
          </w:tcPr>
          <w:p w14:paraId="56E513A2">
            <w:pPr>
              <w:ind w:firstLine="0" w:firstLineChars="0"/>
              <w:rPr>
                <w:szCs w:val="21"/>
              </w:rPr>
            </w:pPr>
            <w:r>
              <w:rPr>
                <w:rFonts w:hint="eastAsia"/>
                <w:szCs w:val="21"/>
              </w:rPr>
              <w:t>支持屏幕水印，应用水印，打印水印。</w:t>
            </w:r>
          </w:p>
        </w:tc>
      </w:tr>
      <w:tr w14:paraId="27C2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6B4F3861">
            <w:pPr>
              <w:ind w:firstLine="0" w:firstLineChars="0"/>
              <w:rPr>
                <w:szCs w:val="21"/>
              </w:rPr>
            </w:pPr>
          </w:p>
        </w:tc>
        <w:tc>
          <w:tcPr>
            <w:tcW w:w="4045" w:type="pct"/>
          </w:tcPr>
          <w:p w14:paraId="77E2FB75">
            <w:pPr>
              <w:ind w:firstLine="0" w:firstLineChars="0"/>
              <w:rPr>
                <w:szCs w:val="21"/>
              </w:rPr>
            </w:pPr>
            <w:r>
              <w:rPr>
                <w:rFonts w:hint="eastAsia"/>
                <w:szCs w:val="21"/>
              </w:rPr>
              <w:t>支持终端 DLP 用户在保存未分类 Office 文档时，强制弹处分类弹窗标记文档（属性标签）</w:t>
            </w:r>
          </w:p>
        </w:tc>
      </w:tr>
      <w:tr w14:paraId="426E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76361973">
            <w:pPr>
              <w:ind w:firstLine="0" w:firstLineChars="0"/>
              <w:rPr>
                <w:szCs w:val="21"/>
              </w:rPr>
            </w:pPr>
          </w:p>
        </w:tc>
        <w:tc>
          <w:tcPr>
            <w:tcW w:w="4045" w:type="pct"/>
          </w:tcPr>
          <w:p w14:paraId="790D5D5E">
            <w:pPr>
              <w:ind w:firstLine="0" w:firstLineChars="0"/>
              <w:rPr>
                <w:szCs w:val="21"/>
              </w:rPr>
            </w:pPr>
            <w:r>
              <w:rPr>
                <w:rFonts w:hint="eastAsia"/>
                <w:szCs w:val="21"/>
              </w:rPr>
              <w:t>支持对打印的文件进行内容分析，并支持放行、阻断、确认动作</w:t>
            </w:r>
          </w:p>
        </w:tc>
      </w:tr>
      <w:tr w14:paraId="26FE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4DBCA4B5">
            <w:pPr>
              <w:ind w:firstLine="0" w:firstLineChars="0"/>
              <w:rPr>
                <w:szCs w:val="21"/>
              </w:rPr>
            </w:pPr>
          </w:p>
        </w:tc>
        <w:tc>
          <w:tcPr>
            <w:tcW w:w="4045" w:type="pct"/>
            <w:vAlign w:val="center"/>
          </w:tcPr>
          <w:p w14:paraId="4C7561F0">
            <w:pPr>
              <w:ind w:firstLine="0" w:firstLineChars="0"/>
              <w:rPr>
                <w:szCs w:val="21"/>
              </w:rPr>
            </w:pPr>
            <w:r>
              <w:rPr>
                <w:rFonts w:hint="eastAsia"/>
                <w:szCs w:val="21"/>
              </w:rPr>
              <w:t>支持 信创环境屏幕水印支持屏幕水印</w:t>
            </w:r>
          </w:p>
        </w:tc>
      </w:tr>
      <w:tr w14:paraId="48F0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66DB3549">
            <w:pPr>
              <w:ind w:firstLine="0" w:firstLineChars="0"/>
              <w:rPr>
                <w:szCs w:val="21"/>
              </w:rPr>
            </w:pPr>
          </w:p>
        </w:tc>
        <w:tc>
          <w:tcPr>
            <w:tcW w:w="4045" w:type="pct"/>
          </w:tcPr>
          <w:p w14:paraId="617A730E">
            <w:pPr>
              <w:ind w:firstLine="0" w:firstLineChars="0"/>
              <w:rPr>
                <w:szCs w:val="21"/>
              </w:rPr>
            </w:pPr>
            <w:r>
              <w:rPr>
                <w:rFonts w:hint="eastAsia"/>
                <w:szCs w:val="21"/>
              </w:rPr>
              <w:t>支持基于源/目标 IP、源/目标 IP 段、域名、域名通配符、发件人、发件人邮箱通配符、路径的终端白名单设置</w:t>
            </w:r>
          </w:p>
        </w:tc>
      </w:tr>
      <w:tr w14:paraId="3865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55" w:type="pct"/>
            <w:vMerge w:val="restart"/>
            <w:vAlign w:val="center"/>
          </w:tcPr>
          <w:p w14:paraId="310848D2">
            <w:pPr>
              <w:ind w:firstLine="0" w:firstLineChars="0"/>
              <w:rPr>
                <w:szCs w:val="21"/>
              </w:rPr>
            </w:pPr>
            <w:r>
              <w:rPr>
                <w:rFonts w:hint="eastAsia"/>
                <w:szCs w:val="21"/>
              </w:rPr>
              <w:t>敏感数据防扩散</w:t>
            </w:r>
          </w:p>
        </w:tc>
        <w:tc>
          <w:tcPr>
            <w:tcW w:w="4045" w:type="pct"/>
          </w:tcPr>
          <w:p w14:paraId="325DDAA4">
            <w:pPr>
              <w:ind w:firstLine="0" w:firstLineChars="0"/>
              <w:rPr>
                <w:szCs w:val="21"/>
              </w:rPr>
            </w:pPr>
            <w:r>
              <w:rPr>
                <w:rFonts w:hint="eastAsia"/>
                <w:szCs w:val="21"/>
              </w:rPr>
              <w:t>支持终端协议（如HTTP、HTTPS、FTP、SMTP、SMB）内容审计和阻断</w:t>
            </w:r>
          </w:p>
        </w:tc>
      </w:tr>
      <w:tr w14:paraId="6A92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14075681">
            <w:pPr>
              <w:ind w:firstLine="0" w:firstLineChars="0"/>
              <w:rPr>
                <w:szCs w:val="21"/>
              </w:rPr>
            </w:pPr>
          </w:p>
        </w:tc>
        <w:tc>
          <w:tcPr>
            <w:tcW w:w="4045" w:type="pct"/>
          </w:tcPr>
          <w:p w14:paraId="410FBC11">
            <w:pPr>
              <w:ind w:firstLine="0" w:firstLineChars="0"/>
              <w:rPr>
                <w:szCs w:val="21"/>
              </w:rPr>
            </w:pPr>
            <w:r>
              <w:rPr>
                <w:rFonts w:hint="eastAsia"/>
                <w:szCs w:val="21"/>
              </w:rPr>
              <w:t>支持终端通道（应用程序、USB 存储、蓝牙、光盘、打印、截屏等）管理、审计和阻断</w:t>
            </w:r>
          </w:p>
        </w:tc>
      </w:tr>
      <w:tr w14:paraId="3CDD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2488D4F4">
            <w:pPr>
              <w:ind w:firstLine="0" w:firstLineChars="0"/>
              <w:rPr>
                <w:szCs w:val="21"/>
              </w:rPr>
            </w:pPr>
          </w:p>
        </w:tc>
        <w:tc>
          <w:tcPr>
            <w:tcW w:w="4045" w:type="pct"/>
          </w:tcPr>
          <w:p w14:paraId="1C573D67">
            <w:pPr>
              <w:ind w:firstLine="0" w:firstLineChars="0"/>
              <w:rPr>
                <w:szCs w:val="21"/>
              </w:rPr>
            </w:pPr>
            <w:r>
              <w:rPr>
                <w:rFonts w:hint="eastAsia"/>
                <w:szCs w:val="21"/>
              </w:rPr>
              <w:t>支持在终端离开办公网络的环境下可以控制终端访问特定的 Web 网站类别</w:t>
            </w:r>
          </w:p>
        </w:tc>
      </w:tr>
      <w:tr w14:paraId="5BC3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185A08E4">
            <w:pPr>
              <w:ind w:firstLine="0" w:firstLineChars="0"/>
              <w:rPr>
                <w:szCs w:val="21"/>
              </w:rPr>
            </w:pPr>
          </w:p>
        </w:tc>
        <w:tc>
          <w:tcPr>
            <w:tcW w:w="4045" w:type="pct"/>
            <w:vAlign w:val="center"/>
          </w:tcPr>
          <w:p w14:paraId="10DDA387">
            <w:pPr>
              <w:ind w:firstLine="0" w:firstLineChars="0"/>
              <w:rPr>
                <w:szCs w:val="21"/>
              </w:rPr>
            </w:pPr>
            <w:r>
              <w:rPr>
                <w:rFonts w:hint="eastAsia"/>
                <w:szCs w:val="21"/>
              </w:rPr>
              <w:t>支持安全 URL 过滤功能，恶意 URL 识别率超过 95%</w:t>
            </w:r>
          </w:p>
        </w:tc>
      </w:tr>
      <w:tr w14:paraId="5B92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19E41726">
            <w:pPr>
              <w:ind w:firstLine="0" w:firstLineChars="0"/>
              <w:rPr>
                <w:szCs w:val="21"/>
              </w:rPr>
            </w:pPr>
          </w:p>
        </w:tc>
        <w:tc>
          <w:tcPr>
            <w:tcW w:w="4045" w:type="pct"/>
            <w:vAlign w:val="center"/>
          </w:tcPr>
          <w:p w14:paraId="1713B553">
            <w:pPr>
              <w:ind w:firstLine="0" w:firstLineChars="0"/>
              <w:rPr>
                <w:szCs w:val="21"/>
              </w:rPr>
            </w:pPr>
            <w:r>
              <w:rPr>
                <w:rFonts w:hint="eastAsia"/>
                <w:szCs w:val="21"/>
              </w:rPr>
              <w:t>支持终端部署在 VDI 系统，并审计 VDI 系统里的数据流转</w:t>
            </w:r>
          </w:p>
        </w:tc>
      </w:tr>
      <w:tr w14:paraId="5F8D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6D4ADA0E">
            <w:pPr>
              <w:ind w:firstLine="0" w:firstLineChars="0"/>
              <w:rPr>
                <w:szCs w:val="21"/>
              </w:rPr>
            </w:pPr>
          </w:p>
        </w:tc>
        <w:tc>
          <w:tcPr>
            <w:tcW w:w="4045" w:type="pct"/>
          </w:tcPr>
          <w:p w14:paraId="549D2451">
            <w:pPr>
              <w:ind w:firstLine="0" w:firstLineChars="0"/>
              <w:rPr>
                <w:szCs w:val="21"/>
              </w:rPr>
            </w:pPr>
            <w:r>
              <w:rPr>
                <w:rFonts w:hint="eastAsia"/>
                <w:szCs w:val="21"/>
              </w:rPr>
              <w:t>支持 IM 应用的消息和文件内容审计和阻断,及证据截屏</w:t>
            </w:r>
          </w:p>
        </w:tc>
      </w:tr>
      <w:tr w14:paraId="0DE1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09959A11">
            <w:pPr>
              <w:ind w:firstLine="0" w:firstLineChars="0"/>
              <w:rPr>
                <w:szCs w:val="21"/>
              </w:rPr>
            </w:pPr>
          </w:p>
        </w:tc>
        <w:tc>
          <w:tcPr>
            <w:tcW w:w="4045" w:type="pct"/>
          </w:tcPr>
          <w:p w14:paraId="1E3EE879">
            <w:pPr>
              <w:ind w:firstLine="0" w:firstLineChars="0"/>
              <w:rPr>
                <w:szCs w:val="21"/>
              </w:rPr>
            </w:pPr>
            <w:r>
              <w:rPr>
                <w:rFonts w:hint="eastAsia"/>
                <w:szCs w:val="21"/>
              </w:rPr>
              <w:t>支持 Ubuntu、NeoKylin 7 、UOS （X86_64 &amp; ARM64）、KylinV10 SP1</w:t>
            </w:r>
          </w:p>
          <w:p w14:paraId="5EF1DCAD">
            <w:pPr>
              <w:ind w:firstLine="0" w:firstLineChars="0"/>
              <w:rPr>
                <w:szCs w:val="21"/>
              </w:rPr>
            </w:pPr>
            <w:r>
              <w:rPr>
                <w:rFonts w:hint="eastAsia"/>
                <w:szCs w:val="21"/>
              </w:rPr>
              <w:t>（ X86_64 &amp; ARM64 &amp; la64）等信创操作系统。</w:t>
            </w:r>
          </w:p>
        </w:tc>
      </w:tr>
      <w:tr w14:paraId="6BBA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334E7702">
            <w:pPr>
              <w:ind w:firstLine="0" w:firstLineChars="0"/>
              <w:rPr>
                <w:szCs w:val="21"/>
              </w:rPr>
            </w:pPr>
          </w:p>
        </w:tc>
        <w:tc>
          <w:tcPr>
            <w:tcW w:w="4045" w:type="pct"/>
          </w:tcPr>
          <w:p w14:paraId="130A08C2">
            <w:pPr>
              <w:ind w:firstLine="0" w:firstLineChars="0"/>
              <w:rPr>
                <w:szCs w:val="21"/>
              </w:rPr>
            </w:pPr>
            <w:r>
              <w:rPr>
                <w:rFonts w:hint="eastAsia"/>
                <w:szCs w:val="21"/>
              </w:rPr>
              <w:t>支持企业级深度内容识别技术，对外发文档做敏感内容检测和阻断</w:t>
            </w:r>
          </w:p>
        </w:tc>
      </w:tr>
      <w:tr w14:paraId="6FF3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5A950102">
            <w:pPr>
              <w:ind w:firstLine="0" w:firstLineChars="0"/>
              <w:rPr>
                <w:szCs w:val="21"/>
              </w:rPr>
            </w:pPr>
          </w:p>
        </w:tc>
        <w:tc>
          <w:tcPr>
            <w:tcW w:w="4045" w:type="pct"/>
          </w:tcPr>
          <w:p w14:paraId="78B2A85D">
            <w:pPr>
              <w:ind w:firstLine="0" w:firstLineChars="0"/>
              <w:rPr>
                <w:szCs w:val="21"/>
              </w:rPr>
            </w:pPr>
            <w:r>
              <w:rPr>
                <w:rFonts w:hint="eastAsia"/>
                <w:szCs w:val="21"/>
              </w:rPr>
              <w:t>支持 信创终端上 HTTP/HTTPS/FTP/SMB/NFS/SAMBA/WEBDAV 等网络数据传输控制，必须可以对敏感数据的外发进行阻断</w:t>
            </w:r>
          </w:p>
        </w:tc>
      </w:tr>
      <w:tr w14:paraId="1E3A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46E89E35">
            <w:pPr>
              <w:ind w:firstLine="0" w:firstLineChars="0"/>
              <w:rPr>
                <w:szCs w:val="21"/>
              </w:rPr>
            </w:pPr>
          </w:p>
        </w:tc>
        <w:tc>
          <w:tcPr>
            <w:tcW w:w="4045" w:type="pct"/>
          </w:tcPr>
          <w:p w14:paraId="54E3ACD3">
            <w:pPr>
              <w:ind w:firstLine="0" w:firstLineChars="0"/>
              <w:rPr>
                <w:szCs w:val="21"/>
              </w:rPr>
            </w:pPr>
            <w:r>
              <w:rPr>
                <w:rFonts w:hint="eastAsia"/>
                <w:szCs w:val="21"/>
              </w:rPr>
              <w:t>支持应用程序管理（剪切板/文件访问/截屏/应用程序水印）审计和阻断</w:t>
            </w:r>
          </w:p>
        </w:tc>
      </w:tr>
      <w:tr w14:paraId="740E6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restart"/>
            <w:vAlign w:val="center"/>
          </w:tcPr>
          <w:p w14:paraId="123CF72E">
            <w:pPr>
              <w:ind w:firstLine="0" w:firstLineChars="0"/>
              <w:rPr>
                <w:szCs w:val="21"/>
              </w:rPr>
            </w:pPr>
            <w:r>
              <w:rPr>
                <w:rFonts w:hint="eastAsia"/>
                <w:szCs w:val="21"/>
              </w:rPr>
              <w:t>其他功能</w:t>
            </w:r>
          </w:p>
        </w:tc>
        <w:tc>
          <w:tcPr>
            <w:tcW w:w="4045" w:type="pct"/>
          </w:tcPr>
          <w:p w14:paraId="3D9F5FD5">
            <w:pPr>
              <w:ind w:firstLine="0" w:firstLineChars="0"/>
              <w:rPr>
                <w:szCs w:val="21"/>
              </w:rPr>
            </w:pPr>
            <w:r>
              <w:rPr>
                <w:rFonts w:hint="eastAsia"/>
                <w:szCs w:val="21"/>
              </w:rPr>
              <w:t>支持 32/64bit Windows XP/7/8/10/11、Windows server2003 R2 至 Windows Server2022 主流操作系统终端 DLP 部署</w:t>
            </w:r>
          </w:p>
        </w:tc>
      </w:tr>
      <w:tr w14:paraId="63AD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354FD16B">
            <w:pPr>
              <w:ind w:firstLine="0" w:firstLineChars="0"/>
              <w:rPr>
                <w:szCs w:val="21"/>
              </w:rPr>
            </w:pPr>
          </w:p>
        </w:tc>
        <w:tc>
          <w:tcPr>
            <w:tcW w:w="4045" w:type="pct"/>
          </w:tcPr>
          <w:p w14:paraId="29C01A2E">
            <w:pPr>
              <w:ind w:firstLine="0" w:firstLineChars="0"/>
              <w:rPr>
                <w:szCs w:val="21"/>
              </w:rPr>
            </w:pPr>
            <w:r>
              <w:rPr>
                <w:rFonts w:hint="eastAsia"/>
                <w:szCs w:val="21"/>
              </w:rPr>
              <w:t>支持信创环境麒麟、统信等主流操作系统</w:t>
            </w:r>
            <w:bookmarkStart w:id="101" w:name="_GoBack"/>
            <w:bookmarkEnd w:id="101"/>
          </w:p>
        </w:tc>
      </w:tr>
      <w:tr w14:paraId="4929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39A9A0F7">
            <w:pPr>
              <w:ind w:firstLine="0" w:firstLineChars="0"/>
              <w:rPr>
                <w:szCs w:val="21"/>
              </w:rPr>
            </w:pPr>
          </w:p>
        </w:tc>
        <w:tc>
          <w:tcPr>
            <w:tcW w:w="4045" w:type="pct"/>
          </w:tcPr>
          <w:p w14:paraId="7B9F2BBA">
            <w:pPr>
              <w:ind w:firstLine="0" w:firstLineChars="0"/>
              <w:rPr>
                <w:szCs w:val="21"/>
              </w:rPr>
            </w:pPr>
            <w:r>
              <w:rPr>
                <w:rFonts w:hint="eastAsia"/>
                <w:szCs w:val="21"/>
              </w:rPr>
              <w:t>支持终端 CPU 占用、带宽、日志存储大小控制，避免过度占用操作系统主机资源</w:t>
            </w:r>
          </w:p>
        </w:tc>
      </w:tr>
      <w:tr w14:paraId="16E8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40F96769">
            <w:pPr>
              <w:ind w:firstLine="0" w:firstLineChars="0"/>
              <w:rPr>
                <w:szCs w:val="21"/>
              </w:rPr>
            </w:pPr>
          </w:p>
        </w:tc>
        <w:tc>
          <w:tcPr>
            <w:tcW w:w="4045" w:type="pct"/>
          </w:tcPr>
          <w:p w14:paraId="537E1658">
            <w:pPr>
              <w:ind w:firstLine="0" w:firstLineChars="0"/>
              <w:rPr>
                <w:szCs w:val="21"/>
              </w:rPr>
            </w:pPr>
            <w:r>
              <w:rPr>
                <w:rFonts w:hint="eastAsia"/>
                <w:szCs w:val="21"/>
              </w:rPr>
              <w:t>终端服务器支持分布式管理</w:t>
            </w:r>
          </w:p>
        </w:tc>
      </w:tr>
      <w:tr w14:paraId="4C91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5F5FFE15">
            <w:pPr>
              <w:ind w:firstLine="0" w:firstLineChars="0"/>
              <w:rPr>
                <w:szCs w:val="21"/>
              </w:rPr>
            </w:pPr>
          </w:p>
        </w:tc>
        <w:tc>
          <w:tcPr>
            <w:tcW w:w="4045" w:type="pct"/>
          </w:tcPr>
          <w:p w14:paraId="4E6A3482">
            <w:pPr>
              <w:ind w:firstLine="0" w:firstLineChars="0"/>
              <w:rPr>
                <w:szCs w:val="21"/>
              </w:rPr>
            </w:pPr>
            <w:r>
              <w:rPr>
                <w:rFonts w:hint="eastAsia"/>
                <w:szCs w:val="21"/>
              </w:rPr>
              <w:t>支持终端卸载密码保护控制，密码校验正确才可以卸载。包括全局密码和临时密码</w:t>
            </w:r>
          </w:p>
        </w:tc>
      </w:tr>
      <w:tr w14:paraId="2678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01C3F311">
            <w:pPr>
              <w:ind w:firstLine="0" w:firstLineChars="0"/>
              <w:rPr>
                <w:szCs w:val="21"/>
              </w:rPr>
            </w:pPr>
          </w:p>
        </w:tc>
        <w:tc>
          <w:tcPr>
            <w:tcW w:w="4045" w:type="pct"/>
          </w:tcPr>
          <w:p w14:paraId="02D27F1F">
            <w:pPr>
              <w:ind w:firstLine="0" w:firstLineChars="0"/>
              <w:rPr>
                <w:szCs w:val="21"/>
              </w:rPr>
            </w:pPr>
            <w:r>
              <w:rPr>
                <w:rFonts w:hint="eastAsia"/>
                <w:szCs w:val="21"/>
              </w:rPr>
              <w:t>支持管理端远程在线卸载与禁用</w:t>
            </w:r>
          </w:p>
        </w:tc>
      </w:tr>
      <w:tr w14:paraId="00595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5" w:type="pct"/>
            <w:vMerge w:val="continue"/>
            <w:vAlign w:val="center"/>
          </w:tcPr>
          <w:p w14:paraId="551819C7">
            <w:pPr>
              <w:ind w:firstLine="0" w:firstLineChars="0"/>
              <w:rPr>
                <w:szCs w:val="21"/>
              </w:rPr>
            </w:pPr>
          </w:p>
        </w:tc>
        <w:tc>
          <w:tcPr>
            <w:tcW w:w="4045" w:type="pct"/>
            <w:vAlign w:val="center"/>
          </w:tcPr>
          <w:p w14:paraId="7AE893C4">
            <w:pPr>
              <w:ind w:firstLine="0" w:firstLineChars="0"/>
              <w:rPr>
                <w:szCs w:val="21"/>
              </w:rPr>
            </w:pPr>
            <w:r>
              <w:rPr>
                <w:rFonts w:hint="eastAsia"/>
                <w:szCs w:val="21"/>
              </w:rPr>
              <w:t>支持终端邮件 SMTP、内外部邮件域功能设置</w:t>
            </w:r>
          </w:p>
        </w:tc>
      </w:tr>
    </w:tbl>
    <w:p w14:paraId="3CCD5C07">
      <w:pPr>
        <w:pStyle w:val="21"/>
        <w:ind w:firstLine="480"/>
      </w:pPr>
    </w:p>
    <w:p w14:paraId="4F83C2DB"/>
    <w:p w14:paraId="27D3D977">
      <w:pPr>
        <w:pStyle w:val="3"/>
      </w:pPr>
      <w:bookmarkStart w:id="72" w:name="_Toc63785502"/>
      <w:r>
        <w:rPr>
          <w:rFonts w:hint="eastAsia"/>
        </w:rPr>
        <w:t>电子政务云资源需求</w:t>
      </w:r>
      <w:bookmarkEnd w:id="72"/>
    </w:p>
    <w:p w14:paraId="78150AE1">
      <w:pPr>
        <w:rPr>
          <w:b/>
        </w:rPr>
      </w:pPr>
      <w:r>
        <w:rPr>
          <w:rFonts w:hint="eastAsia"/>
        </w:rPr>
        <w:t>根据项目前期资源现状，本次建设根据估算拟向电子政务云申请24台服务器资源CPU228核 、内存656G、存储88.5T，其中虚拟机24台，物理机0台。</w:t>
      </w:r>
    </w:p>
    <w:p w14:paraId="16D6BEF6">
      <w:r>
        <w:rPr>
          <w:rFonts w:hint="eastAsia"/>
        </w:rPr>
        <w:t>申请国产化操作系统10套、国产化应用中间件服务器软件3套、国产化数据库软件7套。</w:t>
      </w:r>
    </w:p>
    <w:p w14:paraId="38131BE5">
      <w:pPr>
        <w:pStyle w:val="3"/>
      </w:pPr>
      <w:bookmarkStart w:id="73" w:name="_Toc63785503"/>
      <w:r>
        <w:rPr>
          <w:rFonts w:hint="eastAsia"/>
        </w:rPr>
        <w:t>其他工作要求</w:t>
      </w:r>
      <w:bookmarkEnd w:id="73"/>
    </w:p>
    <w:p w14:paraId="4F2FDC63">
      <w:pPr>
        <w:keepNext/>
        <w:keepLines/>
        <w:numPr>
          <w:ilvl w:val="1"/>
          <w:numId w:val="4"/>
        </w:numPr>
        <w:tabs>
          <w:tab w:val="left" w:pos="360"/>
        </w:tabs>
        <w:spacing w:before="120" w:line="240" w:lineRule="auto"/>
        <w:ind w:left="0" w:firstLine="0" w:firstLineChars="0"/>
        <w:outlineLvl w:val="1"/>
        <w:rPr>
          <w:rFonts w:ascii="仿宋" w:hAnsi="仿宋" w:eastAsia="仿宋"/>
          <w:b/>
          <w:vanish/>
          <w:color w:val="000000"/>
          <w:sz w:val="28"/>
          <w:szCs w:val="20"/>
        </w:rPr>
      </w:pPr>
      <w:bookmarkStart w:id="74" w:name="_Toc61968111"/>
      <w:bookmarkEnd w:id="74"/>
      <w:bookmarkStart w:id="75" w:name="_Toc63585480"/>
      <w:bookmarkEnd w:id="75"/>
      <w:bookmarkStart w:id="76" w:name="_Toc63785504"/>
      <w:bookmarkEnd w:id="76"/>
      <w:bookmarkStart w:id="77" w:name="_Toc62219358"/>
      <w:bookmarkEnd w:id="77"/>
      <w:bookmarkStart w:id="78" w:name="_Toc62209488"/>
      <w:bookmarkEnd w:id="78"/>
      <w:bookmarkStart w:id="79" w:name="_Toc63762370"/>
      <w:bookmarkEnd w:id="79"/>
      <w:bookmarkStart w:id="80" w:name="_Toc63785439"/>
      <w:bookmarkEnd w:id="80"/>
      <w:bookmarkStart w:id="81" w:name="_Toc63151871"/>
      <w:bookmarkEnd w:id="81"/>
    </w:p>
    <w:p w14:paraId="4F9124C2">
      <w:pPr>
        <w:pStyle w:val="4"/>
        <w:ind w:left="15" w:hanging="15" w:hangingChars="5"/>
      </w:pPr>
      <w:bookmarkStart w:id="82" w:name="_Toc63785505"/>
      <w:r>
        <w:rPr>
          <w:rFonts w:hint="eastAsia"/>
        </w:rPr>
        <w:t>售后服务要求</w:t>
      </w:r>
      <w:bookmarkEnd w:id="82"/>
    </w:p>
    <w:p w14:paraId="1F1B9F08">
      <w:pPr>
        <w:pStyle w:val="19"/>
        <w:snapToGrid w:val="0"/>
        <w:spacing w:line="360" w:lineRule="auto"/>
        <w:ind w:firstLine="480"/>
        <w:rPr>
          <w:rFonts w:ascii="宋体" w:hAnsi="宋体"/>
          <w:sz w:val="24"/>
          <w:szCs w:val="24"/>
        </w:rPr>
      </w:pPr>
      <w:r>
        <w:rPr>
          <w:rFonts w:hint="eastAsia" w:ascii="宋体" w:hAnsi="宋体"/>
          <w:sz w:val="24"/>
          <w:szCs w:val="24"/>
        </w:rPr>
        <w:t>本项目从系统验收通过之日起3年内提供</w:t>
      </w:r>
      <w:r>
        <w:rPr>
          <w:rFonts w:ascii="宋体" w:hAnsi="宋体"/>
          <w:sz w:val="24"/>
          <w:szCs w:val="24"/>
        </w:rPr>
        <w:t>7*24小时免费技术支持</w:t>
      </w:r>
      <w:r>
        <w:rPr>
          <w:rFonts w:hint="eastAsia" w:ascii="宋体" w:hAnsi="宋体"/>
          <w:sz w:val="24"/>
          <w:szCs w:val="24"/>
        </w:rPr>
        <w:t>和售后服务，3年后进入有偿维护期。</w:t>
      </w:r>
    </w:p>
    <w:p w14:paraId="086A51C4">
      <w:pPr>
        <w:pStyle w:val="19"/>
        <w:snapToGrid w:val="0"/>
        <w:spacing w:line="360" w:lineRule="auto"/>
        <w:ind w:firstLine="480"/>
        <w:rPr>
          <w:rFonts w:ascii="宋体" w:hAnsi="宋体"/>
          <w:sz w:val="24"/>
          <w:szCs w:val="24"/>
        </w:rPr>
      </w:pPr>
      <w:r>
        <w:rPr>
          <w:rFonts w:hint="eastAsia" w:ascii="宋体" w:hAnsi="宋体"/>
          <w:sz w:val="24"/>
          <w:szCs w:val="24"/>
        </w:rPr>
        <w:t>在质量保证期内，供应商将按照售后服务的承诺提供保修和运行维护服务，如果厂商对信息系统中软、硬件设备等产品中的部分保修期超过上述期限的，则按照厂商的规定进行免费保修。</w:t>
      </w:r>
    </w:p>
    <w:p w14:paraId="72C3BEC5">
      <w:pPr>
        <w:pStyle w:val="19"/>
        <w:snapToGrid w:val="0"/>
        <w:spacing w:line="360" w:lineRule="auto"/>
        <w:ind w:firstLine="480"/>
        <w:rPr>
          <w:rFonts w:ascii="宋体" w:hAnsi="宋体"/>
          <w:sz w:val="24"/>
          <w:szCs w:val="24"/>
        </w:rPr>
      </w:pPr>
      <w:r>
        <w:rPr>
          <w:rFonts w:hint="eastAsia" w:ascii="宋体" w:hAnsi="宋体"/>
          <w:sz w:val="24"/>
          <w:szCs w:val="24"/>
        </w:rPr>
        <w:t>在质量保证期内，供应商负责信息系统的运行维护工作，确保信息系统安全、稳定、可靠地运行。本项目涉及的运行维护工作范围为：</w:t>
      </w:r>
    </w:p>
    <w:p w14:paraId="07EEB550">
      <w:pPr>
        <w:pStyle w:val="21"/>
        <w:ind w:firstLine="480"/>
      </w:pPr>
      <w:r>
        <w:rPr>
          <w:rFonts w:hint="eastAsia"/>
        </w:rPr>
        <w:t>（1）</w:t>
      </w:r>
      <w:r>
        <w:t>本项目要求提供项目整体（含所有软硬件）自竣工验收之日起不少于3年的质保期；</w:t>
      </w:r>
    </w:p>
    <w:p w14:paraId="01794252">
      <w:pPr>
        <w:pStyle w:val="21"/>
        <w:ind w:firstLine="480"/>
      </w:pPr>
      <w:r>
        <w:rPr>
          <w:rFonts w:hint="eastAsia"/>
        </w:rPr>
        <w:t>（2）</w:t>
      </w:r>
      <w:r>
        <w:t>提供所有软件的三年免费服务，包括软件升级、电话技术支持；</w:t>
      </w:r>
    </w:p>
    <w:p w14:paraId="651D157D">
      <w:pPr>
        <w:pStyle w:val="21"/>
        <w:ind w:firstLine="480"/>
      </w:pPr>
      <w:r>
        <w:rPr>
          <w:rFonts w:hint="eastAsia"/>
        </w:rPr>
        <w:t>（3）</w:t>
      </w:r>
      <w:r>
        <w:t>提供2人每周5天、每天9小时驻场运维服务，负责</w:t>
      </w:r>
      <w:r>
        <w:rPr>
          <w:rFonts w:hint="eastAsia"/>
        </w:rPr>
        <w:t>安全平台监测及安全事件</w:t>
      </w:r>
      <w:r>
        <w:t>响应；服务地点：上海市高级人民法院</w:t>
      </w:r>
    </w:p>
    <w:p w14:paraId="74E26F40">
      <w:pPr>
        <w:pStyle w:val="21"/>
        <w:ind w:firstLine="480"/>
      </w:pPr>
      <w:r>
        <w:rPr>
          <w:rFonts w:hint="eastAsia"/>
        </w:rPr>
        <w:t>（4）</w:t>
      </w:r>
      <w:r>
        <w:t>各投标单位在方案中应针对项目的特点制定的质保期承诺和售后服务承诺及措施、突发情况下的应急措施和承诺、人员培训计划、备品备件的供应计划等。</w:t>
      </w:r>
    </w:p>
    <w:p w14:paraId="1577AF63">
      <w:pPr>
        <w:pStyle w:val="24"/>
        <w:ind w:firstLine="480"/>
      </w:pPr>
      <w:r>
        <w:rPr>
          <w:rFonts w:hint="eastAsia"/>
        </w:rPr>
        <w:t>（5）质保期内需根据甲方要求提供全年重大敏感时期及节假日保障服务，重大保障工作期间，提供临时增加巡检、增加运行监测、系统加固、策略优化、值守保障等服务，并在紧急安全事件发生时提供应急响应支持。</w:t>
      </w:r>
    </w:p>
    <w:p w14:paraId="25C71D96">
      <w:pPr>
        <w:pStyle w:val="24"/>
        <w:ind w:firstLine="480"/>
      </w:pPr>
      <w:r>
        <w:rPr>
          <w:rFonts w:hint="eastAsia"/>
        </w:rPr>
        <w:t>投标方需具有按等级保护要求开展安全运维的能力。</w:t>
      </w:r>
    </w:p>
    <w:p w14:paraId="5225022A">
      <w:pPr>
        <w:pStyle w:val="4"/>
        <w:ind w:left="15" w:hanging="15" w:hangingChars="5"/>
      </w:pPr>
      <w:bookmarkStart w:id="83" w:name="_Toc63785506"/>
      <w:r>
        <w:rPr>
          <w:rFonts w:hint="eastAsia"/>
        </w:rPr>
        <w:t>应急响应要求</w:t>
      </w:r>
      <w:bookmarkEnd w:id="83"/>
    </w:p>
    <w:p w14:paraId="1E11E31E">
      <w:pPr>
        <w:pStyle w:val="19"/>
        <w:snapToGrid w:val="0"/>
        <w:spacing w:line="360" w:lineRule="auto"/>
        <w:ind w:firstLine="480"/>
        <w:rPr>
          <w:rFonts w:ascii="宋体" w:hAnsi="宋体"/>
          <w:sz w:val="24"/>
          <w:szCs w:val="24"/>
        </w:rPr>
      </w:pPr>
      <w:r>
        <w:rPr>
          <w:rFonts w:hint="eastAsia" w:ascii="宋体" w:hAnsi="宋体"/>
          <w:sz w:val="24"/>
          <w:szCs w:val="24"/>
        </w:rPr>
        <w:t>供应商对系统故障应能够实时响应，若系统发生故障，接到通知后15</w:t>
      </w:r>
      <w:r>
        <w:rPr>
          <w:rFonts w:ascii="宋体" w:hAnsi="宋体"/>
          <w:sz w:val="24"/>
          <w:szCs w:val="24"/>
        </w:rPr>
        <w:t>分钟之内响应，专业工程师</w:t>
      </w:r>
      <w:r>
        <w:rPr>
          <w:rFonts w:hint="eastAsia" w:ascii="宋体" w:hAnsi="宋体"/>
          <w:sz w:val="24"/>
          <w:szCs w:val="24"/>
        </w:rPr>
        <w:t>半</w:t>
      </w:r>
      <w:r>
        <w:rPr>
          <w:rFonts w:ascii="宋体" w:hAnsi="宋体"/>
          <w:sz w:val="24"/>
          <w:szCs w:val="24"/>
        </w:rPr>
        <w:t>小时内到达现场</w:t>
      </w:r>
      <w:r>
        <w:rPr>
          <w:rFonts w:hint="eastAsia" w:ascii="宋体" w:hAnsi="宋体"/>
          <w:sz w:val="24"/>
          <w:szCs w:val="24"/>
        </w:rPr>
        <w:t>。特殊故障与客户沟通协商后，按照协商的方式制定解决方案并进行处理。</w:t>
      </w:r>
    </w:p>
    <w:p w14:paraId="26B7A54C">
      <w:pPr>
        <w:pStyle w:val="19"/>
        <w:snapToGrid w:val="0"/>
        <w:spacing w:line="360" w:lineRule="auto"/>
        <w:ind w:firstLine="480"/>
        <w:rPr>
          <w:rFonts w:ascii="宋体" w:hAnsi="宋体"/>
          <w:sz w:val="24"/>
          <w:szCs w:val="24"/>
        </w:rPr>
      </w:pPr>
      <w:r>
        <w:rPr>
          <w:rFonts w:hint="eastAsia" w:ascii="宋体" w:hAnsi="宋体"/>
          <w:sz w:val="24"/>
          <w:szCs w:val="24"/>
        </w:rPr>
        <w:t>具体故障级别及对应的应急响应要求如下：</w:t>
      </w:r>
    </w:p>
    <w:p w14:paraId="3D486C2B">
      <w:pPr>
        <w:pStyle w:val="19"/>
        <w:snapToGrid w:val="0"/>
        <w:spacing w:line="360" w:lineRule="auto"/>
        <w:ind w:firstLine="480"/>
        <w:rPr>
          <w:rFonts w:ascii="宋体" w:hAnsi="宋体"/>
          <w:sz w:val="24"/>
          <w:szCs w:val="24"/>
        </w:rPr>
      </w:pPr>
      <w:r>
        <w:rPr>
          <w:rFonts w:hint="eastAsia" w:ascii="宋体" w:hAnsi="宋体"/>
          <w:sz w:val="24"/>
          <w:szCs w:val="24"/>
        </w:rPr>
        <w:t>一级故障：在</w:t>
      </w:r>
      <w:r>
        <w:rPr>
          <w:rFonts w:ascii="宋体" w:hAnsi="宋体"/>
          <w:sz w:val="24"/>
          <w:szCs w:val="24"/>
        </w:rPr>
        <w:t>1小时内确诊，总故障解决时间不超过4小时。</w:t>
      </w:r>
    </w:p>
    <w:p w14:paraId="6665595C">
      <w:pPr>
        <w:pStyle w:val="19"/>
        <w:snapToGrid w:val="0"/>
        <w:spacing w:line="360" w:lineRule="auto"/>
        <w:ind w:firstLine="480"/>
        <w:rPr>
          <w:rFonts w:ascii="宋体" w:hAnsi="宋体"/>
          <w:sz w:val="24"/>
          <w:szCs w:val="24"/>
        </w:rPr>
      </w:pPr>
      <w:r>
        <w:rPr>
          <w:rFonts w:hint="eastAsia" w:ascii="宋体" w:hAnsi="宋体"/>
          <w:sz w:val="24"/>
          <w:szCs w:val="24"/>
        </w:rPr>
        <w:t>二级故障：在</w:t>
      </w:r>
      <w:r>
        <w:rPr>
          <w:rFonts w:ascii="宋体" w:hAnsi="宋体"/>
          <w:sz w:val="24"/>
          <w:szCs w:val="24"/>
        </w:rPr>
        <w:t>2小时内确诊，并在4小时内由专家到达现场确诊并解决，总故障解决时间不超过8小时；</w:t>
      </w:r>
    </w:p>
    <w:p w14:paraId="18061A7C">
      <w:pPr>
        <w:pStyle w:val="19"/>
        <w:numPr>
          <w:ilvl w:val="0"/>
          <w:numId w:val="5"/>
        </w:numPr>
        <w:snapToGrid w:val="0"/>
        <w:spacing w:line="360" w:lineRule="auto"/>
        <w:ind w:firstLine="480"/>
        <w:rPr>
          <w:rFonts w:ascii="宋体" w:hAnsi="宋体"/>
          <w:sz w:val="24"/>
          <w:szCs w:val="24"/>
        </w:rPr>
      </w:pPr>
      <w:r>
        <w:rPr>
          <w:rFonts w:hint="eastAsia" w:ascii="宋体" w:hAnsi="宋体"/>
          <w:sz w:val="24"/>
          <w:szCs w:val="24"/>
        </w:rPr>
        <w:t>四级故障：在</w:t>
      </w:r>
      <w:r>
        <w:rPr>
          <w:rFonts w:ascii="宋体" w:hAnsi="宋体"/>
          <w:sz w:val="24"/>
          <w:szCs w:val="24"/>
        </w:rPr>
        <w:t>4小时内确诊故障，总故障解决时间不超过16小时。</w:t>
      </w:r>
    </w:p>
    <w:p w14:paraId="0193DE7A">
      <w:pPr>
        <w:pStyle w:val="19"/>
        <w:snapToGrid w:val="0"/>
        <w:spacing w:line="360" w:lineRule="auto"/>
        <w:ind w:firstLine="480"/>
        <w:rPr>
          <w:rFonts w:ascii="宋体" w:hAnsi="宋体"/>
          <w:sz w:val="24"/>
          <w:szCs w:val="24"/>
        </w:rPr>
      </w:pPr>
      <w:r>
        <w:rPr>
          <w:rFonts w:hint="eastAsia" w:ascii="宋体" w:hAnsi="宋体"/>
          <w:sz w:val="24"/>
          <w:szCs w:val="24"/>
        </w:rPr>
        <w:t>若属于硬件故障，应在24小时内修复，不能立即修复的应提供备品备件应急使用。</w:t>
      </w:r>
    </w:p>
    <w:p w14:paraId="29F627E1">
      <w:pPr>
        <w:pStyle w:val="19"/>
        <w:snapToGrid w:val="0"/>
        <w:spacing w:line="360" w:lineRule="auto"/>
        <w:ind w:firstLine="480"/>
        <w:rPr>
          <w:rFonts w:ascii="宋体" w:hAnsi="宋体"/>
          <w:sz w:val="24"/>
          <w:szCs w:val="24"/>
        </w:rPr>
      </w:pPr>
    </w:p>
    <w:p w14:paraId="4014C218">
      <w:pPr>
        <w:pStyle w:val="4"/>
        <w:ind w:left="15" w:hanging="15" w:hangingChars="5"/>
      </w:pPr>
      <w:bookmarkStart w:id="84" w:name="_Toc63785507"/>
      <w:r>
        <w:rPr>
          <w:rFonts w:hint="eastAsia"/>
        </w:rPr>
        <w:t>培训要求</w:t>
      </w:r>
      <w:bookmarkEnd w:id="84"/>
    </w:p>
    <w:p w14:paraId="24C1A900">
      <w:r>
        <w:rPr>
          <w:rFonts w:hint="eastAsia"/>
        </w:rPr>
        <w:t>对系统使用单位提供业务操作培训，应提供详细培训方案。</w:t>
      </w:r>
    </w:p>
    <w:p w14:paraId="7A48522F">
      <w:r>
        <w:rPr>
          <w:rFonts w:hint="eastAsia"/>
        </w:rPr>
        <w:t>(1)在质量保证期内，至少提供3次与项目相关的必要培训。</w:t>
      </w:r>
    </w:p>
    <w:p w14:paraId="36B6EE01">
      <w:r>
        <w:rPr>
          <w:rFonts w:hint="eastAsia"/>
        </w:rPr>
        <w:t>(2)供应商需要开展分层次的人员培训工作，每次培训后应对参加培训人员进行测试，确保用户对象能够掌握对应的操作技能。</w:t>
      </w:r>
    </w:p>
    <w:p w14:paraId="287F9E21">
      <w:pPr>
        <w:rPr>
          <w:strike/>
          <w:szCs w:val="21"/>
        </w:rPr>
      </w:pPr>
    </w:p>
    <w:p w14:paraId="3A7F210E">
      <w:pPr>
        <w:pStyle w:val="4"/>
        <w:ind w:left="15" w:hanging="15" w:hangingChars="5"/>
      </w:pPr>
      <w:bookmarkStart w:id="85" w:name="_Toc63785509"/>
      <w:r>
        <w:rPr>
          <w:rFonts w:hint="eastAsia"/>
        </w:rPr>
        <w:t>进度要求</w:t>
      </w:r>
      <w:bookmarkEnd w:id="85"/>
    </w:p>
    <w:p w14:paraId="113FEB6F">
      <w:r>
        <w:rPr>
          <w:rFonts w:hint="eastAsia"/>
        </w:rPr>
        <w:t>投标单位应根据建设内容，分阶段制定合理的时间进度，并且应根据招标方要求进行调整和细化。</w:t>
      </w:r>
    </w:p>
    <w:p w14:paraId="5ED50B5B">
      <w:r>
        <w:rPr>
          <w:rFonts w:hint="eastAsia"/>
        </w:rPr>
        <w:t>本项目建设周期为6个月。要求项目合同签订后，第1个月内完成项目系统深化设计、需求调研、设备到货。第2-5个月内完成系统部署、设备安装调试，并具备上线运行条件。第6个月系统试运行，期间应能够按照建设单位需求进行优化。</w:t>
      </w:r>
    </w:p>
    <w:p w14:paraId="515B8BF2">
      <w:r>
        <w:rPr>
          <w:rFonts w:hint="eastAsia"/>
        </w:rPr>
        <w:t>采购人有权监督和管理投标项目的测试、安装、集成、验收等各项工作，投标方必须接受并服从采购人的监督、管理要求。</w:t>
      </w:r>
    </w:p>
    <w:p w14:paraId="1CE6A4D8">
      <w:r>
        <w:rPr>
          <w:rFonts w:hint="eastAsia"/>
        </w:rPr>
        <w:t>投标单位中标后必须提交正式的系统集成工作方案，明确系统集成方式、方法、过程步骤、需协调的事项等，并经采购人审核、同意。</w:t>
      </w:r>
    </w:p>
    <w:p w14:paraId="421E05A6">
      <w:r>
        <w:rPr>
          <w:rFonts w:hint="eastAsia"/>
        </w:rPr>
        <w:t>中标人在实施过程中必须按周、月提交进度报告，对项目问题等进行说明，制定合理的解决措施。</w:t>
      </w:r>
    </w:p>
    <w:p w14:paraId="4DCDBC9B"/>
    <w:p w14:paraId="7FA5335D">
      <w:pPr>
        <w:pStyle w:val="4"/>
        <w:ind w:left="15" w:hanging="15" w:hangingChars="5"/>
      </w:pPr>
      <w:bookmarkStart w:id="86" w:name="_Toc63785510"/>
      <w:r>
        <w:rPr>
          <w:rFonts w:hint="eastAsia"/>
        </w:rPr>
        <w:t>项目团队及驻场人员要求</w:t>
      </w:r>
      <w:bookmarkEnd w:id="86"/>
    </w:p>
    <w:p w14:paraId="559A03C8">
      <w:r>
        <w:rPr>
          <w:rFonts w:hint="eastAsia"/>
        </w:rPr>
        <w:t>（1）</w:t>
      </w:r>
      <w:r>
        <w:t>投标人须具有稳定的在职技术保障力量，能够提供及时的技术支援或服务，应针对本项目提供不少于</w:t>
      </w:r>
      <w:r>
        <w:rPr>
          <w:rFonts w:hint="eastAsia"/>
        </w:rPr>
        <w:t>6</w:t>
      </w:r>
      <w:r>
        <w:t>人的项目服务团队（包括</w:t>
      </w:r>
      <w:r>
        <w:rPr>
          <w:rFonts w:hint="eastAsia"/>
          <w:lang w:eastAsia="zh-CN"/>
        </w:rPr>
        <w:t>项目负责人</w:t>
      </w:r>
      <w:r>
        <w:t>、</w:t>
      </w:r>
      <w:r>
        <w:rPr>
          <w:rFonts w:hint="eastAsia"/>
        </w:rPr>
        <w:t>实施工程师</w:t>
      </w:r>
      <w:r>
        <w:t>等），投标单位的相关服务人员需具备相应的服务能力，需提供相关证明。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1568"/>
        <w:gridCol w:w="1180"/>
        <w:gridCol w:w="3184"/>
        <w:gridCol w:w="1180"/>
      </w:tblGrid>
      <w:tr w14:paraId="2EEE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67751893">
            <w:pPr>
              <w:widowControl/>
              <w:spacing w:line="240" w:lineRule="auto"/>
              <w:ind w:firstLine="0" w:firstLineChars="0"/>
              <w:jc w:val="center"/>
              <w:rPr>
                <w:b/>
              </w:rPr>
            </w:pPr>
            <w:r>
              <w:rPr>
                <w:rFonts w:hint="eastAsia"/>
                <w:b/>
              </w:rPr>
              <w:t>角色</w:t>
            </w:r>
          </w:p>
        </w:tc>
        <w:tc>
          <w:tcPr>
            <w:tcW w:w="0" w:type="auto"/>
            <w:shd w:val="clear" w:color="auto" w:fill="auto"/>
            <w:noWrap/>
            <w:vAlign w:val="center"/>
          </w:tcPr>
          <w:p w14:paraId="192893EC">
            <w:pPr>
              <w:widowControl/>
              <w:spacing w:line="240" w:lineRule="auto"/>
              <w:ind w:firstLine="0" w:firstLineChars="0"/>
              <w:jc w:val="center"/>
              <w:rPr>
                <w:b/>
              </w:rPr>
            </w:pPr>
            <w:r>
              <w:rPr>
                <w:rFonts w:hint="eastAsia"/>
                <w:b/>
              </w:rPr>
              <w:t>主要职责</w:t>
            </w:r>
          </w:p>
        </w:tc>
        <w:tc>
          <w:tcPr>
            <w:tcW w:w="0" w:type="auto"/>
            <w:shd w:val="clear" w:color="auto" w:fill="auto"/>
            <w:noWrap/>
            <w:vAlign w:val="center"/>
          </w:tcPr>
          <w:p w14:paraId="7B891C66">
            <w:pPr>
              <w:widowControl/>
              <w:spacing w:line="240" w:lineRule="auto"/>
              <w:ind w:firstLine="0" w:firstLineChars="0"/>
              <w:jc w:val="center"/>
              <w:rPr>
                <w:b/>
              </w:rPr>
            </w:pPr>
            <w:r>
              <w:rPr>
                <w:rFonts w:hint="eastAsia"/>
                <w:b/>
              </w:rPr>
              <w:t>人员数量</w:t>
            </w:r>
          </w:p>
        </w:tc>
        <w:tc>
          <w:tcPr>
            <w:tcW w:w="0" w:type="auto"/>
            <w:vAlign w:val="center"/>
          </w:tcPr>
          <w:p w14:paraId="3AF80D19">
            <w:pPr>
              <w:widowControl/>
              <w:spacing w:line="240" w:lineRule="auto"/>
              <w:ind w:firstLine="0" w:firstLineChars="0"/>
              <w:jc w:val="center"/>
              <w:rPr>
                <w:b/>
              </w:rPr>
            </w:pPr>
            <w:r>
              <w:rPr>
                <w:rFonts w:hint="eastAsia"/>
                <w:b/>
              </w:rPr>
              <w:t>人员要求</w:t>
            </w:r>
          </w:p>
        </w:tc>
        <w:tc>
          <w:tcPr>
            <w:tcW w:w="0" w:type="auto"/>
            <w:shd w:val="clear" w:color="auto" w:fill="auto"/>
            <w:noWrap/>
            <w:vAlign w:val="center"/>
          </w:tcPr>
          <w:p w14:paraId="67936839">
            <w:pPr>
              <w:widowControl/>
              <w:spacing w:line="240" w:lineRule="auto"/>
              <w:ind w:firstLine="0" w:firstLineChars="0"/>
              <w:jc w:val="center"/>
              <w:rPr>
                <w:b/>
              </w:rPr>
            </w:pPr>
            <w:r>
              <w:rPr>
                <w:rFonts w:hint="eastAsia"/>
                <w:b/>
              </w:rPr>
              <w:t>驻场要求</w:t>
            </w:r>
          </w:p>
        </w:tc>
      </w:tr>
      <w:tr w14:paraId="5D64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0" w:type="auto"/>
            <w:shd w:val="clear" w:color="auto" w:fill="auto"/>
            <w:noWrap/>
            <w:vAlign w:val="center"/>
          </w:tcPr>
          <w:p w14:paraId="74DB565B">
            <w:pPr>
              <w:widowControl/>
              <w:spacing w:line="240" w:lineRule="auto"/>
              <w:ind w:firstLine="0" w:firstLineChars="0"/>
              <w:jc w:val="center"/>
              <w:rPr>
                <w:rFonts w:hint="eastAsia" w:eastAsia="宋体"/>
                <w:lang w:eastAsia="zh-CN"/>
              </w:rPr>
            </w:pPr>
            <w:r>
              <w:rPr>
                <w:rFonts w:hint="eastAsia"/>
                <w:lang w:eastAsia="zh-CN"/>
              </w:rPr>
              <w:t>项目负责人</w:t>
            </w:r>
          </w:p>
        </w:tc>
        <w:tc>
          <w:tcPr>
            <w:tcW w:w="0" w:type="auto"/>
            <w:shd w:val="clear" w:color="auto" w:fill="auto"/>
            <w:vAlign w:val="center"/>
          </w:tcPr>
          <w:p w14:paraId="18FBD267">
            <w:pPr>
              <w:widowControl/>
              <w:spacing w:line="240" w:lineRule="auto"/>
              <w:ind w:firstLine="0" w:firstLineChars="0"/>
              <w:jc w:val="center"/>
            </w:pPr>
            <w:r>
              <w:rPr>
                <w:rFonts w:hint="eastAsia"/>
              </w:rPr>
              <w:t>负责项目质量和进度控制</w:t>
            </w:r>
          </w:p>
        </w:tc>
        <w:tc>
          <w:tcPr>
            <w:tcW w:w="0" w:type="auto"/>
            <w:shd w:val="clear" w:color="auto" w:fill="auto"/>
            <w:noWrap/>
            <w:vAlign w:val="center"/>
          </w:tcPr>
          <w:p w14:paraId="47F72D3C">
            <w:pPr>
              <w:widowControl/>
              <w:spacing w:line="240" w:lineRule="auto"/>
              <w:ind w:firstLine="0" w:firstLineChars="0"/>
              <w:jc w:val="center"/>
            </w:pPr>
            <w:r>
              <w:rPr>
                <w:rFonts w:hint="eastAsia"/>
              </w:rPr>
              <w:t>1人</w:t>
            </w:r>
          </w:p>
        </w:tc>
        <w:tc>
          <w:tcPr>
            <w:tcW w:w="0" w:type="auto"/>
            <w:vAlign w:val="center"/>
          </w:tcPr>
          <w:p w14:paraId="5D0CA587">
            <w:pPr>
              <w:widowControl/>
              <w:spacing w:line="240" w:lineRule="auto"/>
              <w:ind w:firstLine="0" w:firstLineChars="0"/>
              <w:jc w:val="center"/>
            </w:pPr>
            <w:r>
              <w:rPr>
                <w:rFonts w:hint="eastAsia"/>
                <w:lang w:eastAsia="zh-CN"/>
              </w:rPr>
              <w:t>项目负责人</w:t>
            </w:r>
            <w:r>
              <w:rPr>
                <w:rFonts w:hint="eastAsia"/>
              </w:rPr>
              <w:t>具有本科或以上学历，具有计算机类高级技术职称，5年及以上类似项目实施经验的优先考虑。</w:t>
            </w:r>
          </w:p>
        </w:tc>
        <w:tc>
          <w:tcPr>
            <w:tcW w:w="0" w:type="auto"/>
            <w:shd w:val="clear" w:color="auto" w:fill="auto"/>
            <w:noWrap/>
            <w:vAlign w:val="center"/>
          </w:tcPr>
          <w:p w14:paraId="792AA8F9">
            <w:pPr>
              <w:widowControl/>
              <w:spacing w:line="240" w:lineRule="auto"/>
              <w:ind w:firstLine="0" w:firstLineChars="0"/>
              <w:jc w:val="center"/>
            </w:pPr>
            <w:r>
              <w:rPr>
                <w:rFonts w:hint="eastAsia"/>
              </w:rPr>
              <w:t>驻场</w:t>
            </w:r>
          </w:p>
        </w:tc>
      </w:tr>
      <w:tr w14:paraId="14FF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0F8E2373">
            <w:pPr>
              <w:widowControl/>
              <w:spacing w:line="240" w:lineRule="auto"/>
              <w:ind w:firstLine="0" w:firstLineChars="0"/>
              <w:jc w:val="center"/>
            </w:pPr>
            <w:r>
              <w:rPr>
                <w:rFonts w:hint="eastAsia"/>
              </w:rPr>
              <w:t>实施工程师</w:t>
            </w:r>
          </w:p>
        </w:tc>
        <w:tc>
          <w:tcPr>
            <w:tcW w:w="0" w:type="auto"/>
            <w:shd w:val="clear" w:color="auto" w:fill="auto"/>
            <w:vAlign w:val="center"/>
          </w:tcPr>
          <w:p w14:paraId="7F12F90E">
            <w:pPr>
              <w:widowControl/>
              <w:spacing w:line="240" w:lineRule="auto"/>
              <w:ind w:firstLine="0" w:firstLineChars="0"/>
              <w:jc w:val="center"/>
            </w:pPr>
            <w:r>
              <w:rPr>
                <w:rFonts w:hint="eastAsia"/>
              </w:rPr>
              <w:t>负责项目实施工作</w:t>
            </w:r>
          </w:p>
        </w:tc>
        <w:tc>
          <w:tcPr>
            <w:tcW w:w="0" w:type="auto"/>
            <w:shd w:val="clear" w:color="auto" w:fill="auto"/>
            <w:noWrap/>
            <w:vAlign w:val="center"/>
          </w:tcPr>
          <w:p w14:paraId="3524E2AE">
            <w:pPr>
              <w:widowControl/>
              <w:spacing w:line="240" w:lineRule="auto"/>
              <w:ind w:firstLine="0" w:firstLineChars="0"/>
              <w:jc w:val="center"/>
            </w:pPr>
            <w:r>
              <w:rPr>
                <w:rFonts w:hint="eastAsia"/>
              </w:rPr>
              <w:t>5人</w:t>
            </w:r>
          </w:p>
        </w:tc>
        <w:tc>
          <w:tcPr>
            <w:tcW w:w="0" w:type="auto"/>
            <w:vAlign w:val="center"/>
          </w:tcPr>
          <w:p w14:paraId="2B1D2DE4">
            <w:pPr>
              <w:widowControl/>
              <w:spacing w:line="240" w:lineRule="auto"/>
              <w:ind w:firstLine="0" w:firstLineChars="0"/>
              <w:jc w:val="center"/>
            </w:pPr>
          </w:p>
        </w:tc>
        <w:tc>
          <w:tcPr>
            <w:tcW w:w="0" w:type="auto"/>
            <w:shd w:val="clear" w:color="auto" w:fill="auto"/>
            <w:noWrap/>
            <w:vAlign w:val="center"/>
          </w:tcPr>
          <w:p w14:paraId="4AA90958">
            <w:pPr>
              <w:widowControl/>
              <w:spacing w:line="240" w:lineRule="auto"/>
              <w:ind w:firstLine="0" w:firstLineChars="0"/>
              <w:jc w:val="center"/>
            </w:pPr>
            <w:r>
              <w:rPr>
                <w:rFonts w:hint="eastAsia"/>
              </w:rPr>
              <w:t>不驻场</w:t>
            </w:r>
          </w:p>
        </w:tc>
      </w:tr>
    </w:tbl>
    <w:p w14:paraId="7917590B">
      <w:bookmarkStart w:id="87" w:name="_Toc63785511"/>
      <w:r>
        <w:rPr>
          <w:rFonts w:hint="eastAsia"/>
        </w:rPr>
        <w:t>（2）</w:t>
      </w:r>
      <w:r>
        <w:t>投标人应针对本项目提供不少于</w:t>
      </w:r>
      <w:r>
        <w:rPr>
          <w:rFonts w:hint="eastAsia"/>
        </w:rPr>
        <w:t>2</w:t>
      </w:r>
      <w:r>
        <w:t>人的质保期间支撑团队（其中技术工程师不少于</w:t>
      </w:r>
      <w:r>
        <w:rPr>
          <w:rFonts w:hint="eastAsia"/>
        </w:rPr>
        <w:t>2</w:t>
      </w:r>
      <w:r>
        <w:t>人）；投标人的相关服务人员需具备相应的服务能力，需提供相关证明（最近一个季度依法缴纳社保费的证明）。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2136"/>
        <w:gridCol w:w="1180"/>
        <w:gridCol w:w="2616"/>
        <w:gridCol w:w="1180"/>
      </w:tblGrid>
      <w:tr w14:paraId="0146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31BF6BE4">
            <w:pPr>
              <w:widowControl/>
              <w:spacing w:line="240" w:lineRule="auto"/>
              <w:ind w:firstLine="0" w:firstLineChars="0"/>
              <w:jc w:val="center"/>
              <w:rPr>
                <w:b/>
              </w:rPr>
            </w:pPr>
            <w:r>
              <w:rPr>
                <w:rFonts w:hint="eastAsia"/>
                <w:b/>
              </w:rPr>
              <w:t>角色</w:t>
            </w:r>
          </w:p>
        </w:tc>
        <w:tc>
          <w:tcPr>
            <w:tcW w:w="0" w:type="auto"/>
            <w:shd w:val="clear" w:color="auto" w:fill="auto"/>
            <w:noWrap/>
            <w:vAlign w:val="center"/>
          </w:tcPr>
          <w:p w14:paraId="48EECB98">
            <w:pPr>
              <w:widowControl/>
              <w:spacing w:line="240" w:lineRule="auto"/>
              <w:ind w:firstLine="0" w:firstLineChars="0"/>
              <w:jc w:val="center"/>
              <w:rPr>
                <w:b/>
              </w:rPr>
            </w:pPr>
            <w:r>
              <w:rPr>
                <w:rFonts w:hint="eastAsia"/>
                <w:b/>
              </w:rPr>
              <w:t>主要职责</w:t>
            </w:r>
          </w:p>
        </w:tc>
        <w:tc>
          <w:tcPr>
            <w:tcW w:w="0" w:type="auto"/>
            <w:shd w:val="clear" w:color="auto" w:fill="auto"/>
            <w:noWrap/>
            <w:vAlign w:val="center"/>
          </w:tcPr>
          <w:p w14:paraId="64978168">
            <w:pPr>
              <w:widowControl/>
              <w:spacing w:line="240" w:lineRule="auto"/>
              <w:ind w:firstLine="0" w:firstLineChars="0"/>
              <w:jc w:val="center"/>
              <w:rPr>
                <w:b/>
              </w:rPr>
            </w:pPr>
            <w:r>
              <w:rPr>
                <w:rFonts w:hint="eastAsia"/>
                <w:b/>
              </w:rPr>
              <w:t>人员数量</w:t>
            </w:r>
          </w:p>
        </w:tc>
        <w:tc>
          <w:tcPr>
            <w:tcW w:w="0" w:type="auto"/>
            <w:vAlign w:val="center"/>
          </w:tcPr>
          <w:p w14:paraId="69F2D18A">
            <w:pPr>
              <w:widowControl/>
              <w:spacing w:line="240" w:lineRule="auto"/>
              <w:ind w:firstLine="0" w:firstLineChars="0"/>
              <w:jc w:val="center"/>
              <w:rPr>
                <w:b/>
              </w:rPr>
            </w:pPr>
            <w:r>
              <w:rPr>
                <w:rFonts w:hint="eastAsia"/>
                <w:b/>
              </w:rPr>
              <w:t>人员要求</w:t>
            </w:r>
          </w:p>
        </w:tc>
        <w:tc>
          <w:tcPr>
            <w:tcW w:w="0" w:type="auto"/>
            <w:shd w:val="clear" w:color="auto" w:fill="auto"/>
            <w:noWrap/>
            <w:vAlign w:val="center"/>
          </w:tcPr>
          <w:p w14:paraId="14B71091">
            <w:pPr>
              <w:widowControl/>
              <w:spacing w:line="240" w:lineRule="auto"/>
              <w:ind w:firstLine="0" w:firstLineChars="0"/>
              <w:jc w:val="center"/>
              <w:rPr>
                <w:b/>
              </w:rPr>
            </w:pPr>
            <w:r>
              <w:rPr>
                <w:rFonts w:hint="eastAsia"/>
                <w:b/>
              </w:rPr>
              <w:t>驻场要求</w:t>
            </w:r>
          </w:p>
        </w:tc>
      </w:tr>
      <w:tr w14:paraId="118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0" w:type="auto"/>
            <w:shd w:val="clear" w:color="auto" w:fill="auto"/>
            <w:noWrap/>
            <w:vAlign w:val="center"/>
          </w:tcPr>
          <w:p w14:paraId="293BCADF">
            <w:pPr>
              <w:widowControl/>
              <w:spacing w:line="240" w:lineRule="auto"/>
              <w:ind w:firstLine="0" w:firstLineChars="0"/>
              <w:jc w:val="center"/>
            </w:pPr>
            <w:r>
              <w:rPr>
                <w:rFonts w:hint="eastAsia"/>
              </w:rPr>
              <w:t>技术工程师</w:t>
            </w:r>
          </w:p>
        </w:tc>
        <w:tc>
          <w:tcPr>
            <w:tcW w:w="0" w:type="auto"/>
            <w:shd w:val="clear" w:color="auto" w:fill="auto"/>
            <w:noWrap/>
            <w:vAlign w:val="center"/>
          </w:tcPr>
          <w:p w14:paraId="15E03C5C">
            <w:pPr>
              <w:widowControl/>
              <w:spacing w:line="240" w:lineRule="auto"/>
              <w:ind w:firstLine="0" w:firstLineChars="0"/>
              <w:jc w:val="center"/>
            </w:pPr>
            <w:r>
              <w:rPr>
                <w:rFonts w:hint="eastAsia"/>
              </w:rPr>
              <w:t>负责项目运行维护</w:t>
            </w:r>
          </w:p>
        </w:tc>
        <w:tc>
          <w:tcPr>
            <w:tcW w:w="0" w:type="auto"/>
            <w:shd w:val="clear" w:color="auto" w:fill="auto"/>
            <w:noWrap/>
            <w:vAlign w:val="center"/>
          </w:tcPr>
          <w:p w14:paraId="66DC2CD6">
            <w:pPr>
              <w:widowControl/>
              <w:spacing w:line="240" w:lineRule="auto"/>
              <w:ind w:firstLine="0" w:firstLineChars="0"/>
              <w:jc w:val="center"/>
            </w:pPr>
            <w:r>
              <w:rPr>
                <w:rFonts w:hint="eastAsia"/>
              </w:rPr>
              <w:t>2人</w:t>
            </w:r>
          </w:p>
        </w:tc>
        <w:tc>
          <w:tcPr>
            <w:tcW w:w="0" w:type="auto"/>
            <w:vAlign w:val="center"/>
          </w:tcPr>
          <w:p w14:paraId="3C58C74B">
            <w:pPr>
              <w:widowControl/>
              <w:spacing w:line="240" w:lineRule="auto"/>
              <w:ind w:firstLine="0" w:firstLineChars="0"/>
              <w:jc w:val="center"/>
              <w:rPr>
                <w:rFonts w:ascii="Times New Roman" w:hAnsi="Times New Roman"/>
              </w:rPr>
            </w:pPr>
            <w:r>
              <w:rPr>
                <w:rFonts w:hint="eastAsia" w:ascii="Times New Roman" w:hAnsi="Times New Roman"/>
              </w:rPr>
              <w:t>专职技术工程师，提供的5*9</w:t>
            </w:r>
            <w:r>
              <w:t>驻场运维服务</w:t>
            </w:r>
            <w:r>
              <w:rPr>
                <w:rFonts w:hint="eastAsia" w:ascii="Times New Roman" w:hAnsi="Times New Roman"/>
              </w:rPr>
              <w:t>，</w:t>
            </w:r>
            <w:r>
              <w:t>负责</w:t>
            </w:r>
            <w:r>
              <w:rPr>
                <w:rFonts w:hint="eastAsia"/>
              </w:rPr>
              <w:t>安全平台监测及安全事件</w:t>
            </w:r>
            <w:r>
              <w:t>响应；</w:t>
            </w:r>
          </w:p>
          <w:p w14:paraId="0397E874">
            <w:pPr>
              <w:widowControl/>
              <w:spacing w:line="240" w:lineRule="auto"/>
              <w:ind w:firstLine="0" w:firstLineChars="0"/>
              <w:jc w:val="center"/>
            </w:pPr>
            <w:r>
              <w:rPr>
                <w:rFonts w:hint="eastAsia" w:ascii="Times New Roman" w:hAnsi="Times New Roman"/>
              </w:rPr>
              <w:t>服务商委派的工程师须经过高院检查认可方可入驻，一经认可后，人员调动需经高院同意。</w:t>
            </w:r>
          </w:p>
        </w:tc>
        <w:tc>
          <w:tcPr>
            <w:tcW w:w="0" w:type="auto"/>
            <w:shd w:val="clear" w:color="auto" w:fill="auto"/>
            <w:noWrap/>
            <w:vAlign w:val="center"/>
          </w:tcPr>
          <w:p w14:paraId="3A70A357">
            <w:pPr>
              <w:widowControl/>
              <w:spacing w:line="240" w:lineRule="auto"/>
              <w:ind w:firstLine="0" w:firstLineChars="0"/>
              <w:jc w:val="center"/>
            </w:pPr>
            <w:r>
              <w:rPr>
                <w:rFonts w:hint="eastAsia"/>
              </w:rPr>
              <w:t>驻场</w:t>
            </w:r>
          </w:p>
        </w:tc>
      </w:tr>
    </w:tbl>
    <w:p w14:paraId="781F856A">
      <w:pPr>
        <w:pStyle w:val="4"/>
        <w:ind w:left="15" w:hanging="15" w:hangingChars="5"/>
      </w:pPr>
      <w:r>
        <w:rPr>
          <w:rFonts w:hint="eastAsia"/>
        </w:rPr>
        <w:t>等级保护要求</w:t>
      </w:r>
      <w:bookmarkEnd w:id="87"/>
    </w:p>
    <w:p w14:paraId="2DDC66B4">
      <w:pPr>
        <w:rPr>
          <w:rFonts w:cs="宋体"/>
        </w:rPr>
      </w:pPr>
      <w:r>
        <w:rPr>
          <w:rFonts w:cs="宋体"/>
        </w:rPr>
        <w:t>本项目按照GB/T 22239-2019《信息安全技术 网络安全等级保护基本要求》中第三级安全要求建设本项目的安全保障系统。</w:t>
      </w:r>
    </w:p>
    <w:p w14:paraId="4F969277">
      <w:pPr>
        <w:pStyle w:val="4"/>
        <w:ind w:left="15" w:hanging="15" w:hangingChars="5"/>
      </w:pPr>
      <w:r>
        <w:rPr>
          <w:rFonts w:hint="eastAsia"/>
        </w:rPr>
        <w:t>商业密码应用需求</w:t>
      </w:r>
    </w:p>
    <w:p w14:paraId="4CE32A0F">
      <w:pPr>
        <w:rPr>
          <w:rFonts w:cs="宋体"/>
        </w:rPr>
      </w:pPr>
      <w:r>
        <w:rPr>
          <w:rFonts w:hint="eastAsia" w:cs="宋体"/>
        </w:rPr>
        <w:t>本项目不涉及。</w:t>
      </w:r>
    </w:p>
    <w:p w14:paraId="1A5EE064">
      <w:pPr>
        <w:pStyle w:val="4"/>
        <w:ind w:left="15" w:hanging="15" w:hangingChars="5"/>
      </w:pPr>
      <w:bookmarkStart w:id="88" w:name="_Toc63785512"/>
      <w:r>
        <w:rPr>
          <w:rFonts w:hint="eastAsia"/>
        </w:rPr>
        <w:t>技术文件要求</w:t>
      </w:r>
    </w:p>
    <w:p w14:paraId="521F771A">
      <w:r>
        <w:rPr>
          <w:rFonts w:cs="宋体"/>
        </w:rPr>
        <w:t>投标人提供的书面技术资料应能确保系统正常运行所需的管理、运营及维护有关的全套文件。技术文件应该全面、完整、详细。技术响应文件可以是文字资料、表格、图纸和数据等各项资料，其内容应包括但不限于人力、物力等资源的投入以及服务内容、方式、手段、措施、质量保证及建议等。</w:t>
      </w:r>
    </w:p>
    <w:bookmarkEnd w:id="88"/>
    <w:p w14:paraId="1996C99D"/>
    <w:p w14:paraId="3CBACA61">
      <w:pPr>
        <w:pStyle w:val="4"/>
        <w:ind w:left="15" w:hanging="15" w:hangingChars="5"/>
      </w:pPr>
      <w:r>
        <w:rPr>
          <w:rFonts w:hint="eastAsia"/>
        </w:rPr>
        <w:t>系统集成要求</w:t>
      </w:r>
    </w:p>
    <w:p w14:paraId="6B14BB57">
      <w:pPr>
        <w:pStyle w:val="5"/>
        <w:numPr>
          <w:ilvl w:val="2"/>
          <w:numId w:val="1"/>
        </w:numPr>
        <w:ind w:left="410" w:leftChars="171" w:firstLine="67" w:firstLineChars="21"/>
      </w:pPr>
      <w:bookmarkStart w:id="89" w:name="_Toc6490"/>
      <w:bookmarkStart w:id="90" w:name="_Toc161989576"/>
      <w:r>
        <w:rPr>
          <w:rFonts w:hint="eastAsia"/>
        </w:rPr>
        <w:t>系统</w:t>
      </w:r>
      <w:r>
        <w:t>对接</w:t>
      </w:r>
      <w:bookmarkEnd w:id="89"/>
      <w:bookmarkEnd w:id="90"/>
    </w:p>
    <w:p w14:paraId="22F14802">
      <w:pPr>
        <w:pStyle w:val="21"/>
        <w:ind w:firstLine="480"/>
      </w:pPr>
      <w:r>
        <w:rPr>
          <w:rFonts w:hint="eastAsia"/>
        </w:rPr>
        <w:t>（1）安全监管运营平台需与高院现有ITIL</w:t>
      </w:r>
      <w:r>
        <w:t>平台进行对接，以API接口方式，接收</w:t>
      </w:r>
      <w:r>
        <w:rPr>
          <w:rFonts w:hint="eastAsia"/>
        </w:rPr>
        <w:t>ITIL</w:t>
      </w:r>
      <w:r>
        <w:t>平台的资产信息。</w:t>
      </w:r>
    </w:p>
    <w:p w14:paraId="40911CD6">
      <w:pPr>
        <w:pStyle w:val="21"/>
        <w:ind w:firstLine="480"/>
      </w:pPr>
      <w:r>
        <w:rPr>
          <w:rFonts w:hint="eastAsia"/>
        </w:rPr>
        <w:t>（2）安全监管运营平台需与高院主机安全管控系统进行对接，通过</w:t>
      </w:r>
      <w:r>
        <w:t>API接口等方式，定时获取主机资产信息，包括主机资产内安装的软件包、进程、服务等详细信息，建立资产的指纹信息和档案。</w:t>
      </w:r>
    </w:p>
    <w:p w14:paraId="0A09CE04">
      <w:pPr>
        <w:pStyle w:val="21"/>
        <w:ind w:firstLine="480"/>
      </w:pPr>
      <w:r>
        <w:rPr>
          <w:rFonts w:hint="eastAsia"/>
        </w:rPr>
        <w:t>（3）安全监管运营平台需要与高院现有防病毒系统、终端安全管理系统对接，获得安全事件告警信息。</w:t>
      </w:r>
    </w:p>
    <w:p w14:paraId="36344DDA">
      <w:pPr>
        <w:pStyle w:val="21"/>
        <w:ind w:firstLine="480"/>
      </w:pPr>
      <w:r>
        <w:rPr>
          <w:rFonts w:hint="eastAsia"/>
        </w:rPr>
        <w:t>（4）安全监管运营平台需与高院互联网现有网络流量采集探针对接，通过隔离交换平台实现对高院互联网安全态势的统一管理。</w:t>
      </w:r>
    </w:p>
    <w:p w14:paraId="6E1A1799">
      <w:pPr>
        <w:pStyle w:val="21"/>
        <w:ind w:firstLine="480"/>
      </w:pPr>
      <w:r>
        <w:rPr>
          <w:rFonts w:hint="eastAsia"/>
        </w:rPr>
        <w:t>（5）投标人所提供的</w:t>
      </w:r>
      <w:r>
        <w:t>XC网络终端安全管理系统统一管理平台和XC网络终端安全管理系统需与上海法院现有终端安全管理系统对接，确保本次安全建设不影响上海法院现有终端的平稳运行。</w:t>
      </w:r>
    </w:p>
    <w:p w14:paraId="2893F91B">
      <w:pPr>
        <w:pStyle w:val="21"/>
        <w:ind w:firstLine="480"/>
      </w:pPr>
      <w:r>
        <w:rPr>
          <w:rFonts w:hint="eastAsia"/>
        </w:rPr>
        <w:t>（6）上海高院现有一套移动业务系统和身份认证系统，投标人所提供的移动终端安全管理平台、零信任控制中心、零信任网关需与该移动业务系统和身份认证系统进行对接，确保本次安全建设不影响上海高院现有移动业务的平稳运行。</w:t>
      </w:r>
    </w:p>
    <w:p w14:paraId="68F02692">
      <w:pPr>
        <w:pStyle w:val="5"/>
        <w:numPr>
          <w:ilvl w:val="2"/>
          <w:numId w:val="1"/>
        </w:numPr>
        <w:ind w:left="410" w:leftChars="171" w:firstLine="89" w:firstLineChars="28"/>
      </w:pPr>
      <w:bookmarkStart w:id="91" w:name="_Toc161989577"/>
      <w:bookmarkStart w:id="92" w:name="_Toc9903"/>
      <w:r>
        <w:rPr>
          <w:rFonts w:hint="eastAsia"/>
        </w:rPr>
        <w:t>安全剧本制定</w:t>
      </w:r>
      <w:bookmarkEnd w:id="91"/>
      <w:bookmarkEnd w:id="92"/>
    </w:p>
    <w:p w14:paraId="56A09415">
      <w:pPr>
        <w:pStyle w:val="21"/>
        <w:ind w:firstLine="480"/>
      </w:pPr>
      <w:r>
        <w:rPr>
          <w:rFonts w:hint="eastAsia"/>
        </w:rPr>
        <w:t>基于安全专家经验积累，结合高院的网络环境、业务流程和安全运营流程，编制安全识别、检测、响应和恢复的安全运维剧本，用于自动联动各类网络安全设备执行网络安全任务，提高安全事件处置的效率。</w:t>
      </w:r>
    </w:p>
    <w:p w14:paraId="0469BC6B">
      <w:pPr>
        <w:pStyle w:val="5"/>
        <w:numPr>
          <w:ilvl w:val="2"/>
          <w:numId w:val="1"/>
        </w:numPr>
        <w:ind w:left="410" w:leftChars="171" w:firstLine="89" w:firstLineChars="28"/>
      </w:pPr>
      <w:bookmarkStart w:id="93" w:name="_Toc10994"/>
      <w:bookmarkStart w:id="94" w:name="_Toc161989578"/>
      <w:r>
        <w:rPr>
          <w:rFonts w:hint="eastAsia"/>
        </w:rPr>
        <w:t>接口定制开发</w:t>
      </w:r>
      <w:bookmarkEnd w:id="93"/>
      <w:bookmarkEnd w:id="94"/>
    </w:p>
    <w:p w14:paraId="3EF185D1">
      <w:pPr>
        <w:pStyle w:val="21"/>
        <w:ind w:firstLine="480"/>
      </w:pPr>
      <w:r>
        <w:rPr>
          <w:rFonts w:hint="eastAsia"/>
        </w:rPr>
        <w:t>为满足安全监管运营平台的使用需要，需提供安全设备告警日志格式解析适配、跨光闸数据传输格式定制开发。</w:t>
      </w:r>
    </w:p>
    <w:p w14:paraId="7439C6DE">
      <w:pPr>
        <w:pStyle w:val="5"/>
        <w:numPr>
          <w:ilvl w:val="2"/>
          <w:numId w:val="1"/>
        </w:numPr>
        <w:ind w:left="410" w:leftChars="171" w:firstLine="89" w:firstLineChars="28"/>
      </w:pPr>
      <w:bookmarkStart w:id="95" w:name="_Toc25295"/>
      <w:bookmarkStart w:id="96" w:name="_Toc161989579"/>
      <w:r>
        <w:rPr>
          <w:rFonts w:hint="eastAsia"/>
        </w:rPr>
        <w:t>数据的初始化服务</w:t>
      </w:r>
      <w:bookmarkEnd w:id="95"/>
      <w:bookmarkEnd w:id="96"/>
    </w:p>
    <w:p w14:paraId="6243C182">
      <w:pPr>
        <w:pStyle w:val="21"/>
        <w:ind w:firstLine="480"/>
      </w:pPr>
      <w:r>
        <w:rPr>
          <w:rFonts w:hint="eastAsia"/>
        </w:rPr>
        <w:t>平台部署完成后，与高院现有ITIL</w:t>
      </w:r>
      <w:r>
        <w:t>平台进行对接以获取资产信息，对资产属性进行配置，完成资产信息初始化；与</w:t>
      </w:r>
      <w:r>
        <w:rPr>
          <w:rFonts w:hint="eastAsia"/>
        </w:rPr>
        <w:t>高院</w:t>
      </w:r>
      <w:r>
        <w:t>主机安全</w:t>
      </w:r>
      <w:r>
        <w:rPr>
          <w:rFonts w:hint="eastAsia"/>
        </w:rPr>
        <w:t>管控系统</w:t>
      </w:r>
      <w:r>
        <w:t>进行对接，获取主机资产的漏洞和脆弱性信息，完成脆弱性信息初始化；配置接入主机流量日志和安全设备的日志，完成安全数据接入初始化。</w:t>
      </w:r>
    </w:p>
    <w:p w14:paraId="0681EC25">
      <w:r>
        <w:rPr>
          <w:rFonts w:hint="eastAsia"/>
        </w:rPr>
        <w:t>根据场景需要，完成系统管理相关的用户、角色、权限、告警策略等初始化配置工作。基于安全运营的场景，开展告警降噪和优化服务，对分析模型进行优化，提升告警准确率。</w:t>
      </w:r>
    </w:p>
    <w:p w14:paraId="111DB02E">
      <w:pPr>
        <w:pStyle w:val="4"/>
        <w:ind w:left="15" w:hanging="15" w:hangingChars="5"/>
      </w:pPr>
      <w:r>
        <w:rPr>
          <w:rFonts w:hint="eastAsia"/>
        </w:rPr>
        <w:t>系统验收要求</w:t>
      </w:r>
    </w:p>
    <w:p w14:paraId="269B52D9">
      <w:pPr>
        <w:pStyle w:val="21"/>
        <w:ind w:firstLine="480"/>
      </w:pPr>
      <w:r>
        <w:rPr>
          <w:rFonts w:hint="eastAsia"/>
        </w:rPr>
        <w:t>（1）</w:t>
      </w:r>
      <w:r>
        <w:t>中标单位应当完成招标要求及合同规定的全部工程建设内容；</w:t>
      </w:r>
    </w:p>
    <w:p w14:paraId="45835372">
      <w:pPr>
        <w:pStyle w:val="21"/>
        <w:ind w:firstLine="480"/>
      </w:pPr>
      <w:r>
        <w:rPr>
          <w:rFonts w:hint="eastAsia"/>
        </w:rPr>
        <w:t>（2）</w:t>
      </w:r>
      <w:r>
        <w:t>系统经过总体功能测试，并提交测试报告；</w:t>
      </w:r>
    </w:p>
    <w:p w14:paraId="4390D9D5">
      <w:pPr>
        <w:pStyle w:val="21"/>
        <w:ind w:firstLine="480"/>
      </w:pPr>
      <w:r>
        <w:rPr>
          <w:rFonts w:hint="eastAsia"/>
        </w:rPr>
        <w:t>（3）</w:t>
      </w:r>
      <w:r>
        <w:t>系统经过约定时间期限的试运行，并提交试运行报告；</w:t>
      </w:r>
    </w:p>
    <w:p w14:paraId="53C785B1">
      <w:pPr>
        <w:pStyle w:val="21"/>
        <w:ind w:firstLine="480"/>
      </w:pPr>
      <w:r>
        <w:rPr>
          <w:rFonts w:hint="eastAsia"/>
        </w:rPr>
        <w:t>（4）</w:t>
      </w:r>
      <w:r>
        <w:t>工程项目的所有技术文档、图纸已整理完成并经过审核，符合规范要求；</w:t>
      </w:r>
    </w:p>
    <w:p w14:paraId="5DD29786">
      <w:pPr>
        <w:pStyle w:val="21"/>
        <w:ind w:firstLine="480"/>
      </w:pPr>
      <w:r>
        <w:rPr>
          <w:rFonts w:hint="eastAsia"/>
        </w:rPr>
        <w:t>（5）</w:t>
      </w:r>
      <w:r>
        <w:t>测试完成后，提请甲方验收。</w:t>
      </w:r>
    </w:p>
    <w:p w14:paraId="1F76097B">
      <w:pPr>
        <w:pStyle w:val="4"/>
        <w:ind w:left="15" w:hanging="15" w:hangingChars="5"/>
      </w:pPr>
      <w:r>
        <w:rPr>
          <w:rFonts w:hint="eastAsia"/>
        </w:rPr>
        <w:t>知识产权要求</w:t>
      </w:r>
    </w:p>
    <w:p w14:paraId="5CD9B9AB">
      <w:pPr>
        <w:pStyle w:val="21"/>
        <w:ind w:firstLine="480"/>
      </w:pPr>
      <w:r>
        <w:rPr>
          <w:rFonts w:hint="eastAsia"/>
        </w:rPr>
        <w:t>（1）投标人应保证在本项目中使用的投标货物、技术、工程、服务或其任何一部分，均不会产生因第三方提出侵犯其专利权、商标权或其它知识产权而引起的法律和经济纠纷，若有纠纷，由投标人承担全部责任。如投标人不拥有相应的知识产权，则在投标价中应包括合法获取该知识产权的相关费用。</w:t>
      </w:r>
    </w:p>
    <w:p w14:paraId="2E4680BD">
      <w:pPr>
        <w:pStyle w:val="21"/>
        <w:ind w:firstLine="480"/>
      </w:pPr>
      <w:r>
        <w:rPr>
          <w:rFonts w:hint="eastAsia"/>
        </w:rPr>
        <w:t>（2）除了投标方在投标书中明确知识产权权属的产品外，所有应用软件开发，包括二次开发的成果应归用户单位所有，其知识产权由用户单位和开发商共同享有。</w:t>
      </w:r>
    </w:p>
    <w:p w14:paraId="6C43BB00">
      <w:pPr>
        <w:pStyle w:val="4"/>
        <w:ind w:left="15" w:hanging="15" w:hangingChars="5"/>
      </w:pPr>
      <w:r>
        <w:rPr>
          <w:rFonts w:hint="eastAsia"/>
        </w:rPr>
        <w:t>安全保密要求</w:t>
      </w:r>
    </w:p>
    <w:p w14:paraId="2BC5A2E0">
      <w:pPr>
        <w:pStyle w:val="21"/>
        <w:ind w:firstLine="480"/>
      </w:pPr>
      <w:r>
        <w:rPr>
          <w:rFonts w:hint="eastAsia"/>
        </w:rPr>
        <w:t>（1）</w:t>
      </w:r>
      <w:r>
        <w:t>投标人在参与本项目投标以及中标后的实施过程中，均应遵守国家保密法律、法规和规章制度。</w:t>
      </w:r>
    </w:p>
    <w:p w14:paraId="6BAFEB29">
      <w:pPr>
        <w:pStyle w:val="21"/>
        <w:ind w:firstLine="480"/>
      </w:pPr>
      <w:r>
        <w:rPr>
          <w:rFonts w:hint="eastAsia"/>
        </w:rPr>
        <w:t>（2）</w:t>
      </w:r>
      <w:r>
        <w:t>投标人应妥善保管本项目投标以及中标建设过程中的所有技术文档，保证不被不应获取者获取，保证未经用户方同意不以任何方式泄露其内容</w:t>
      </w:r>
    </w:p>
    <w:p w14:paraId="0321AD2F">
      <w:pPr>
        <w:pStyle w:val="4"/>
        <w:ind w:left="15" w:hanging="15" w:hangingChars="5"/>
      </w:pPr>
      <w:bookmarkStart w:id="97" w:name="_Toc161989587"/>
      <w:bookmarkStart w:id="98" w:name="_Toc23308"/>
      <w:r>
        <w:rPr>
          <w:rFonts w:hint="eastAsia"/>
        </w:rPr>
        <w:t>项目管理要求</w:t>
      </w:r>
      <w:bookmarkEnd w:id="97"/>
      <w:bookmarkEnd w:id="98"/>
    </w:p>
    <w:p w14:paraId="6E9D67ED">
      <w:pPr>
        <w:pStyle w:val="21"/>
        <w:ind w:firstLine="480"/>
      </w:pPr>
      <w:r>
        <w:rPr>
          <w:rFonts w:hint="eastAsia"/>
        </w:rPr>
        <w:t>（1）</w:t>
      </w:r>
      <w:r>
        <w:t>投标方应当提供实施本项目的完整的项目管理方案，并在项目建设过程中严格执行；</w:t>
      </w:r>
    </w:p>
    <w:p w14:paraId="25044F39">
      <w:pPr>
        <w:pStyle w:val="21"/>
        <w:ind w:firstLine="480"/>
      </w:pPr>
      <w:r>
        <w:rPr>
          <w:rFonts w:hint="eastAsia"/>
        </w:rPr>
        <w:t>（2）</w:t>
      </w:r>
      <w:r>
        <w:t>项目计划的制定和执行要与用户进行协调；</w:t>
      </w:r>
    </w:p>
    <w:p w14:paraId="7709A852">
      <w:pPr>
        <w:pStyle w:val="21"/>
        <w:ind w:firstLine="480"/>
      </w:pPr>
      <w:r>
        <w:rPr>
          <w:rFonts w:hint="eastAsia"/>
        </w:rPr>
        <w:t>（3）</w:t>
      </w:r>
      <w:r>
        <w:t>应当提供完善、规范的各类项目文档，建立中间环节和文档的审核发布；</w:t>
      </w:r>
    </w:p>
    <w:p w14:paraId="77A5AB31">
      <w:pPr>
        <w:pStyle w:val="4"/>
        <w:ind w:left="15" w:hanging="15" w:hangingChars="5"/>
      </w:pPr>
      <w:bookmarkStart w:id="99" w:name="_Toc7064"/>
      <w:bookmarkStart w:id="100" w:name="_Toc13649"/>
      <w:r>
        <w:rPr>
          <w:rFonts w:hint="eastAsia"/>
        </w:rPr>
        <w:t>投标单位资质要求</w:t>
      </w:r>
      <w:bookmarkEnd w:id="99"/>
      <w:bookmarkEnd w:id="100"/>
    </w:p>
    <w:p w14:paraId="0693D986">
      <w:r>
        <w:rPr>
          <w:rFonts w:hint="eastAsia"/>
        </w:rPr>
        <w:t>具备</w:t>
      </w:r>
      <w:r>
        <w:t>ISO9001质量管理体系认证证书、ISO20000管理体系认证证书、ITSS信息技术服务标准符合性证书</w:t>
      </w:r>
      <w:r>
        <w:rPr>
          <w:rFonts w:hint="eastAsia"/>
        </w:rPr>
        <w:t>、</w:t>
      </w:r>
      <w:r>
        <w:rPr>
          <w:rFonts w:cs="宋体"/>
        </w:rPr>
        <w:t>ISO27001信息安全管理体系认证</w:t>
      </w:r>
      <w:r>
        <w:rPr>
          <w:rFonts w:hint="eastAsia" w:cs="宋体"/>
        </w:rPr>
        <w:t>、</w:t>
      </w:r>
      <w:r>
        <w:t>信息系统建设和服务能力三级（CS3）及以上</w:t>
      </w:r>
      <w:r>
        <w:rPr>
          <w:rFonts w:hint="eastAsia"/>
        </w:rPr>
        <w:t>的优先考虑。</w:t>
      </w:r>
    </w:p>
    <w:p w14:paraId="72B7EA17"/>
    <w:sectPr>
      <w:headerReference r:id="rId7" w:type="first"/>
      <w:footerReference r:id="rId10" w:type="first"/>
      <w:headerReference r:id="rId5" w:type="default"/>
      <w:footerReference r:id="rId8" w:type="default"/>
      <w:headerReference r:id="rId6" w:type="even"/>
      <w:footerReference r:id="rId9" w:type="even"/>
      <w:pgSz w:w="11906" w:h="16838"/>
      <w:pgMar w:top="1134" w:right="1797" w:bottom="1135" w:left="1797" w:header="340" w:footer="7" w:gutter="0"/>
      <w:pgNumType w:start="1"/>
      <w:cols w:space="720" w:num="1"/>
      <w:titlePg/>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03" w:usb1="2BDF3C10" w:usb2="00000016" w:usb3="00000000" w:csb0="602E0107" w:csb1="00000000"/>
  </w:font>
  <w:font w:name="Helvetica">
    <w:altName w:val="Liberation Sans"/>
    <w:panose1 w:val="020B06040202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D794">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ECBCB">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3BDA9">
    <w:pPr>
      <w:ind w:firstLine="0" w:firstLineChars="0"/>
      <w:jc w:val="center"/>
      <w:rPr>
        <w:lang w:val="zh-CN"/>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p w14:paraId="079087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7F805">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A2E33">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C63BC">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CC7CA"/>
    <w:multiLevelType w:val="singleLevel"/>
    <w:tmpl w:val="8ABCC7CA"/>
    <w:lvl w:ilvl="0" w:tentative="0">
      <w:start w:val="1"/>
      <w:numFmt w:val="decimal"/>
      <w:lvlText w:val="%1)"/>
      <w:lvlJc w:val="left"/>
      <w:pPr>
        <w:ind w:left="425" w:hanging="425"/>
      </w:pPr>
      <w:rPr>
        <w:rFonts w:hint="default"/>
      </w:rPr>
    </w:lvl>
  </w:abstractNum>
  <w:abstractNum w:abstractNumId="1">
    <w:nsid w:val="E5450DB0"/>
    <w:multiLevelType w:val="singleLevel"/>
    <w:tmpl w:val="E5450DB0"/>
    <w:lvl w:ilvl="0" w:tentative="0">
      <w:start w:val="3"/>
      <w:numFmt w:val="chineseCounting"/>
      <w:suff w:val="nothing"/>
      <w:lvlText w:val="%1、"/>
      <w:lvlJc w:val="left"/>
      <w:rPr>
        <w:rFonts w:hint="eastAsia"/>
      </w:rPr>
    </w:lvl>
  </w:abstractNum>
  <w:abstractNum w:abstractNumId="2">
    <w:nsid w:val="4E65384C"/>
    <w:multiLevelType w:val="multilevel"/>
    <w:tmpl w:val="4E65384C"/>
    <w:lvl w:ilvl="0" w:tentative="0">
      <w:start w:val="1"/>
      <w:numFmt w:val="decimal"/>
      <w:suff w:val="space"/>
      <w:lvlText w:val="%1"/>
      <w:lvlJc w:val="left"/>
      <w:pPr>
        <w:ind w:left="432" w:hanging="432"/>
      </w:pPr>
      <w:rPr>
        <w:rFonts w:hint="eastAsia"/>
      </w:rPr>
    </w:lvl>
    <w:lvl w:ilvl="1" w:tentative="0">
      <w:start w:val="1"/>
      <w:numFmt w:val="decimal"/>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pStyle w:val="6"/>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3">
    <w:nsid w:val="6712709C"/>
    <w:multiLevelType w:val="multilevel"/>
    <w:tmpl w:val="6712709C"/>
    <w:lvl w:ilvl="0" w:tentative="0">
      <w:start w:val="1"/>
      <w:numFmt w:val="chineseCountingThousand"/>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pStyle w:val="8"/>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4">
    <w:nsid w:val="6A2F4AB3"/>
    <w:multiLevelType w:val="multilevel"/>
    <w:tmpl w:val="6A2F4AB3"/>
    <w:lvl w:ilvl="0" w:tentative="0">
      <w:start w:val="1"/>
      <w:numFmt w:val="chineseCountingThousand"/>
      <w:pStyle w:val="3"/>
      <w:suff w:val="nothing"/>
      <w:lvlText w:val="%1、"/>
      <w:lvlJc w:val="left"/>
      <w:pPr>
        <w:ind w:left="425" w:hanging="425"/>
      </w:pPr>
      <w:rPr>
        <w:rFonts w:hint="eastAsia"/>
        <w:sz w:val="32"/>
        <w:szCs w:val="32"/>
      </w:rPr>
    </w:lvl>
    <w:lvl w:ilvl="1" w:tentative="0">
      <w:start w:val="1"/>
      <w:numFmt w:val="decimal"/>
      <w:pStyle w:val="4"/>
      <w:isLgl/>
      <w:suff w:val="nothing"/>
      <w:lvlText w:val="%1.%2、"/>
      <w:lvlJc w:val="left"/>
      <w:pPr>
        <w:ind w:left="1135" w:hanging="567"/>
      </w:pPr>
    </w:lvl>
    <w:lvl w:ilvl="2" w:tentative="0">
      <w:start w:val="1"/>
      <w:numFmt w:val="decimal"/>
      <w:isLgl/>
      <w:suff w:val="nothing"/>
      <w:lvlText w:val="%1.%2.%3、"/>
      <w:lvlJc w:val="left"/>
      <w:pPr>
        <w:ind w:left="1069" w:hanging="1069"/>
      </w:pPr>
      <w:rPr>
        <w:rFonts w:hint="default" w:ascii="宋体" w:hAnsi="宋体" w:eastAsia="宋体" w:cs="Arial"/>
      </w:rPr>
    </w:lvl>
    <w:lvl w:ilvl="3" w:tentative="0">
      <w:start w:val="1"/>
      <w:numFmt w:val="decimal"/>
      <w:isLgl/>
      <w:suff w:val="nothing"/>
      <w:lvlText w:val="%1.%2.%3.%4、"/>
      <w:lvlJc w:val="left"/>
      <w:pPr>
        <w:ind w:left="3403" w:hanging="851"/>
      </w:pPr>
    </w:lvl>
    <w:lvl w:ilvl="4" w:tentative="0">
      <w:start w:val="1"/>
      <w:numFmt w:val="decimal"/>
      <w:isLgl/>
      <w:suff w:val="nothing"/>
      <w:lvlText w:val="%1.%2.%3.%4.%5、"/>
      <w:lvlJc w:val="left"/>
      <w:pPr>
        <w:ind w:left="3544" w:hanging="992"/>
      </w:pPr>
      <w:rPr>
        <w:rFonts w:hint="eastAsia"/>
      </w:rPr>
    </w:lvl>
    <w:lvl w:ilvl="5" w:tentative="0">
      <w:start w:val="1"/>
      <w:numFmt w:val="decimal"/>
      <w:isLgl/>
      <w:suff w:val="nothing"/>
      <w:lvlText w:val="%1.%2.%3.%4.%5.%6、"/>
      <w:lvlJc w:val="left"/>
      <w:pPr>
        <w:ind w:left="1134" w:hanging="1134"/>
      </w:pPr>
      <w:rPr>
        <w:rFonts w:hint="eastAsia"/>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jgwYzc2ODNhNDUzNzVhMjMyOTgzZDBjNjMxMmQifQ=="/>
  </w:docVars>
  <w:rsids>
    <w:rsidRoot w:val="007F64E3"/>
    <w:rsid w:val="00501AA4"/>
    <w:rsid w:val="007F64E3"/>
    <w:rsid w:val="00CC2861"/>
    <w:rsid w:val="015C3563"/>
    <w:rsid w:val="060212D4"/>
    <w:rsid w:val="0AE42701"/>
    <w:rsid w:val="0B4D37F6"/>
    <w:rsid w:val="0CAA0BCF"/>
    <w:rsid w:val="0D392DF2"/>
    <w:rsid w:val="13625066"/>
    <w:rsid w:val="13FB73BF"/>
    <w:rsid w:val="14FF02FE"/>
    <w:rsid w:val="164B7AC0"/>
    <w:rsid w:val="180224BC"/>
    <w:rsid w:val="1BEB6FF2"/>
    <w:rsid w:val="1CFB3CC5"/>
    <w:rsid w:val="1FFD6B0A"/>
    <w:rsid w:val="208A388F"/>
    <w:rsid w:val="226B32C4"/>
    <w:rsid w:val="2DBC08C1"/>
    <w:rsid w:val="30363F85"/>
    <w:rsid w:val="32F3CE9E"/>
    <w:rsid w:val="3464301F"/>
    <w:rsid w:val="347A7C75"/>
    <w:rsid w:val="35117A0A"/>
    <w:rsid w:val="35CB9784"/>
    <w:rsid w:val="3779C4E1"/>
    <w:rsid w:val="37EFD5C8"/>
    <w:rsid w:val="39E50991"/>
    <w:rsid w:val="3DA90BF6"/>
    <w:rsid w:val="3E0E7F6B"/>
    <w:rsid w:val="3FEF8E1B"/>
    <w:rsid w:val="3FFDE55D"/>
    <w:rsid w:val="427771CD"/>
    <w:rsid w:val="4A1845CE"/>
    <w:rsid w:val="4D7C72B0"/>
    <w:rsid w:val="4D8873F0"/>
    <w:rsid w:val="4E4B7FD1"/>
    <w:rsid w:val="51D84E64"/>
    <w:rsid w:val="51DC17AB"/>
    <w:rsid w:val="553DED38"/>
    <w:rsid w:val="5B2B7F94"/>
    <w:rsid w:val="5D735E18"/>
    <w:rsid w:val="5DCDE196"/>
    <w:rsid w:val="5EFBBFB0"/>
    <w:rsid w:val="606941EA"/>
    <w:rsid w:val="645D785C"/>
    <w:rsid w:val="64CB4994"/>
    <w:rsid w:val="65D93351"/>
    <w:rsid w:val="6EE40035"/>
    <w:rsid w:val="70FECB3C"/>
    <w:rsid w:val="73E93E28"/>
    <w:rsid w:val="73EE9D72"/>
    <w:rsid w:val="77771A06"/>
    <w:rsid w:val="77BA97C4"/>
    <w:rsid w:val="77FEF6BE"/>
    <w:rsid w:val="78CB7F01"/>
    <w:rsid w:val="7AF7B577"/>
    <w:rsid w:val="7B9F6BB8"/>
    <w:rsid w:val="7C564A51"/>
    <w:rsid w:val="7D664CA4"/>
    <w:rsid w:val="7DFFAB2D"/>
    <w:rsid w:val="7E4EF7E6"/>
    <w:rsid w:val="7FDA2E61"/>
    <w:rsid w:val="9EA7112A"/>
    <w:rsid w:val="B7FFB7F7"/>
    <w:rsid w:val="BEFF09A9"/>
    <w:rsid w:val="C77E4C8C"/>
    <w:rsid w:val="CD7FB8C1"/>
    <w:rsid w:val="CFB79363"/>
    <w:rsid w:val="DF5B8D65"/>
    <w:rsid w:val="F6F51737"/>
    <w:rsid w:val="FAEF6257"/>
    <w:rsid w:val="FC7A674A"/>
    <w:rsid w:val="FC7ECA85"/>
    <w:rsid w:val="FDEFADF9"/>
    <w:rsid w:val="FF3D20E9"/>
    <w:rsid w:val="FF3FB109"/>
    <w:rsid w:val="FFBBEEB7"/>
    <w:rsid w:val="FFFFA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semiHidden="0" w:name="heading 4"/>
    <w:lsdException w:qFormat="1" w:uiPriority="0" w:name="heading 5"/>
    <w:lsdException w:qFormat="1" w:uiPriority="9"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120" w:after="120"/>
      <w:ind w:firstLine="0" w:firstLineChars="0"/>
      <w:outlineLvl w:val="0"/>
    </w:pPr>
    <w:rPr>
      <w:rFonts w:eastAsia="黑体"/>
      <w:b/>
      <w:bCs/>
      <w:kern w:val="44"/>
      <w:sz w:val="32"/>
      <w:szCs w:val="28"/>
    </w:rPr>
  </w:style>
  <w:style w:type="paragraph" w:styleId="4">
    <w:name w:val="heading 2"/>
    <w:basedOn w:val="1"/>
    <w:next w:val="1"/>
    <w:qFormat/>
    <w:uiPriority w:val="9"/>
    <w:pPr>
      <w:keepNext/>
      <w:keepLines/>
      <w:numPr>
        <w:ilvl w:val="1"/>
        <w:numId w:val="1"/>
      </w:numPr>
      <w:spacing w:before="120" w:after="120"/>
      <w:ind w:firstLine="0" w:firstLineChars="0"/>
      <w:outlineLvl w:val="1"/>
    </w:pPr>
    <w:rPr>
      <w:b/>
      <w:bCs/>
      <w:sz w:val="30"/>
      <w:szCs w:val="32"/>
    </w:rPr>
  </w:style>
  <w:style w:type="paragraph" w:styleId="5">
    <w:name w:val="heading 3"/>
    <w:basedOn w:val="1"/>
    <w:next w:val="1"/>
    <w:semiHidden/>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semiHidden/>
    <w:unhideWhenUsed/>
    <w:qFormat/>
    <w:uiPriority w:val="0"/>
    <w:pPr>
      <w:keepNext/>
      <w:keepLines/>
      <w:spacing w:before="280" w:after="290" w:line="372" w:lineRule="auto"/>
      <w:outlineLvl w:val="4"/>
    </w:pPr>
    <w:rPr>
      <w:b/>
      <w:sz w:val="28"/>
    </w:rPr>
  </w:style>
  <w:style w:type="paragraph" w:styleId="8">
    <w:name w:val="heading 6"/>
    <w:basedOn w:val="1"/>
    <w:next w:val="1"/>
    <w:unhideWhenUsed/>
    <w:qFormat/>
    <w:uiPriority w:val="9"/>
    <w:pPr>
      <w:keepNext/>
      <w:keepLines/>
      <w:numPr>
        <w:ilvl w:val="5"/>
        <w:numId w:val="3"/>
      </w:numPr>
      <w:spacing w:before="240" w:after="64" w:line="320" w:lineRule="auto"/>
      <w:outlineLvl w:val="5"/>
    </w:pPr>
    <w:rPr>
      <w:rFonts w:cstheme="majorBidi"/>
      <w:b/>
      <w:bCs/>
    </w:rPr>
  </w:style>
  <w:style w:type="paragraph" w:styleId="9">
    <w:name w:val="heading 7"/>
    <w:basedOn w:val="1"/>
    <w:next w:val="1"/>
    <w:unhideWhenUsed/>
    <w:qFormat/>
    <w:uiPriority w:val="0"/>
    <w:pPr>
      <w:keepNext/>
      <w:keepLines/>
      <w:spacing w:before="240" w:after="64" w:line="320" w:lineRule="auto"/>
      <w:outlineLvl w:val="6"/>
    </w:pPr>
    <w:rPr>
      <w:b/>
      <w:bCs/>
    </w:rPr>
  </w:style>
  <w:style w:type="paragraph" w:styleId="10">
    <w:name w:val="heading 8"/>
    <w:basedOn w:val="1"/>
    <w:next w:val="1"/>
    <w:unhideWhenUsed/>
    <w:qFormat/>
    <w:uiPriority w:val="0"/>
    <w:pPr>
      <w:keepNext/>
      <w:keepLines/>
      <w:spacing w:before="240" w:after="64" w:line="320" w:lineRule="auto"/>
      <w:outlineLvl w:val="7"/>
    </w:pPr>
    <w:rPr>
      <w:rFonts w:asciiTheme="majorHAnsi" w:hAnsiTheme="majorHAnsi" w:eastAsiaTheme="majorEastAsia" w:cstheme="majorBidi"/>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11">
    <w:name w:val="Normal Indent"/>
    <w:basedOn w:val="1"/>
    <w:qFormat/>
    <w:uiPriority w:val="0"/>
    <w:pPr>
      <w:ind w:firstLine="420"/>
    </w:pPr>
    <w:rPr>
      <w:color w:val="000000"/>
      <w:kern w:val="0"/>
      <w:szCs w:val="21"/>
    </w:rPr>
  </w:style>
  <w:style w:type="paragraph" w:styleId="12">
    <w:name w:val="annotation text"/>
    <w:basedOn w:val="1"/>
    <w:qFormat/>
    <w:uiPriority w:val="0"/>
    <w:pPr>
      <w:jc w:val="left"/>
    </w:pPr>
  </w:style>
  <w:style w:type="paragraph" w:styleId="13">
    <w:name w:val="footer"/>
    <w:basedOn w:val="1"/>
    <w:link w:val="28"/>
    <w:qFormat/>
    <w:uiPriority w:val="0"/>
    <w:pPr>
      <w:tabs>
        <w:tab w:val="center" w:pos="4153"/>
        <w:tab w:val="right" w:pos="8306"/>
      </w:tabs>
      <w:snapToGrid w:val="0"/>
      <w:spacing w:line="240" w:lineRule="auto"/>
      <w:jc w:val="left"/>
    </w:pPr>
    <w:rPr>
      <w:sz w:val="18"/>
      <w:szCs w:val="18"/>
    </w:rPr>
  </w:style>
  <w:style w:type="paragraph" w:styleId="14">
    <w:name w:val="header"/>
    <w:basedOn w:val="1"/>
    <w:qFormat/>
    <w:uiPriority w:val="99"/>
    <w:pPr>
      <w:pBdr>
        <w:bottom w:val="single" w:color="auto" w:sz="4" w:space="0"/>
      </w:pBdr>
      <w:tabs>
        <w:tab w:val="center" w:pos="4153"/>
        <w:tab w:val="right" w:pos="8306"/>
      </w:tabs>
      <w:snapToGrid w:val="0"/>
      <w:jc w:val="center"/>
    </w:pPr>
    <w:rPr>
      <w:rFonts w:ascii="Times New Roman" w:hAnsi="Times New Roman"/>
      <w:sz w:val="18"/>
      <w:szCs w:val="18"/>
    </w:rPr>
  </w:style>
  <w:style w:type="paragraph" w:styleId="15">
    <w:name w:val="Body Text First Indent"/>
    <w:basedOn w:val="2"/>
    <w:semiHidden/>
    <w:unhideWhenUsed/>
    <w:qFormat/>
    <w:uiPriority w:val="99"/>
    <w:pPr>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缩进1"/>
    <w:basedOn w:val="1"/>
    <w:qFormat/>
    <w:uiPriority w:val="0"/>
    <w:pPr>
      <w:spacing w:line="240" w:lineRule="auto"/>
      <w:ind w:firstLine="420"/>
    </w:pPr>
    <w:rPr>
      <w:rFonts w:ascii="Times New Roman" w:hAnsi="Times New Roman"/>
      <w:sz w:val="21"/>
      <w:szCs w:val="20"/>
    </w:rPr>
  </w:style>
  <w:style w:type="paragraph" w:customStyle="1" w:styleId="20">
    <w:name w:val="正文正文2"/>
    <w:basedOn w:val="1"/>
    <w:qFormat/>
    <w:uiPriority w:val="0"/>
    <w:pPr>
      <w:ind w:firstLine="460"/>
    </w:pPr>
    <w:rPr>
      <w:sz w:val="21"/>
      <w:szCs w:val="21"/>
    </w:rPr>
  </w:style>
  <w:style w:type="paragraph" w:customStyle="1" w:styleId="21">
    <w:name w:val="后台安全需求24段落格式"/>
    <w:basedOn w:val="15"/>
    <w:qFormat/>
    <w:uiPriority w:val="0"/>
    <w:pPr>
      <w:snapToGrid w:val="0"/>
      <w:ind w:firstLine="200" w:firstLineChars="200"/>
    </w:pPr>
  </w:style>
  <w:style w:type="character" w:customStyle="1" w:styleId="22">
    <w:name w:val="font61"/>
    <w:basedOn w:val="18"/>
    <w:qFormat/>
    <w:uiPriority w:val="0"/>
    <w:rPr>
      <w:rFonts w:hint="eastAsia" w:ascii="仿宋" w:hAnsi="仿宋" w:eastAsia="仿宋" w:cs="仿宋"/>
      <w:color w:val="000000"/>
      <w:sz w:val="24"/>
      <w:szCs w:val="24"/>
      <w:u w:val="none"/>
    </w:rPr>
  </w:style>
  <w:style w:type="character" w:customStyle="1" w:styleId="23">
    <w:name w:val="font71"/>
    <w:basedOn w:val="18"/>
    <w:qFormat/>
    <w:uiPriority w:val="0"/>
    <w:rPr>
      <w:rFonts w:ascii="仿宋_GB2312" w:eastAsia="仿宋_GB2312" w:cs="仿宋_GB2312"/>
      <w:color w:val="000000"/>
      <w:sz w:val="24"/>
      <w:szCs w:val="24"/>
      <w:u w:val="none"/>
    </w:rPr>
  </w:style>
  <w:style w:type="paragraph" w:customStyle="1" w:styleId="24">
    <w:name w:val="招标需求段落格式"/>
    <w:basedOn w:val="15"/>
    <w:qFormat/>
    <w:uiPriority w:val="0"/>
    <w:pPr>
      <w:ind w:firstLine="200" w:firstLineChars="200"/>
    </w:pPr>
  </w:style>
  <w:style w:type="table" w:customStyle="1" w:styleId="25">
    <w:name w:val="表格1"/>
    <w:basedOn w:val="16"/>
    <w:qFormat/>
    <w:uiPriority w:val="99"/>
    <w:rPr>
      <w:rFonts w:ascii="等线" w:hAnsi="等线" w:cs="宋体"/>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customStyle="1" w:styleId="26">
    <w:name w:val="font51"/>
    <w:basedOn w:val="18"/>
    <w:qFormat/>
    <w:uiPriority w:val="0"/>
    <w:rPr>
      <w:rFonts w:ascii="Helvetica" w:hAnsi="Helvetica" w:eastAsia="Helvetica" w:cs="Helvetica"/>
      <w:color w:val="000000"/>
      <w:sz w:val="18"/>
      <w:szCs w:val="18"/>
      <w:u w:val="none"/>
    </w:rPr>
  </w:style>
  <w:style w:type="paragraph" w:customStyle="1" w:styleId="27">
    <w:name w:val="Table Paragraph"/>
    <w:basedOn w:val="1"/>
    <w:qFormat/>
    <w:uiPriority w:val="1"/>
    <w:rPr>
      <w:rFonts w:cs="宋体"/>
    </w:rPr>
  </w:style>
  <w:style w:type="character" w:customStyle="1" w:styleId="28">
    <w:name w:val="页脚 字符"/>
    <w:basedOn w:val="18"/>
    <w:link w:val="13"/>
    <w:qFormat/>
    <w:uiPriority w:val="0"/>
    <w:rPr>
      <w:rFonts w:ascii="宋体" w:hAns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87</Pages>
  <Words>4306</Words>
  <Characters>4379</Characters>
  <Lines>389</Lines>
  <Paragraphs>109</Paragraphs>
  <TotalTime>156</TotalTime>
  <ScaleCrop>false</ScaleCrop>
  <LinksUpToDate>false</LinksUpToDate>
  <CharactersWithSpaces>4379</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2024-05-14T15:04:00Z</dcterms:created>
  <dc:creator>user</dc:creator>
  <cp:lastModifiedBy>user</cp:lastModifiedBy>
  <dcterms:modified xsi:type="dcterms:W3CDTF">2024-11-12T14:36:03Z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702FD3912900CA3A9DD23267B2C97496_43</vt:lpwstr>
  </property>
</Properties>
</file>