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sz w:val="52"/>
          <w:szCs w:val="52"/>
          <w:highlight w:val="none"/>
        </w:rPr>
      </w:pPr>
    </w:p>
    <w:p>
      <w:pPr>
        <w:ind w:firstLine="0" w:firstLineChars="0"/>
        <w:jc w:val="center"/>
        <w:rPr>
          <w:rFonts w:ascii="黑体" w:hAnsi="黑体" w:eastAsia="黑体"/>
          <w:sz w:val="52"/>
          <w:szCs w:val="52"/>
          <w:highlight w:val="none"/>
        </w:rPr>
      </w:pPr>
    </w:p>
    <w:p>
      <w:pPr>
        <w:ind w:firstLine="0" w:firstLineChars="0"/>
        <w:jc w:val="center"/>
        <w:rPr>
          <w:rFonts w:ascii="黑体" w:hAnsi="黑体" w:eastAsia="黑体"/>
          <w:sz w:val="52"/>
          <w:szCs w:val="52"/>
          <w:highlight w:val="none"/>
        </w:rPr>
      </w:pPr>
    </w:p>
    <w:p>
      <w:pPr>
        <w:ind w:firstLine="0" w:firstLineChars="0"/>
        <w:jc w:val="center"/>
        <w:rPr>
          <w:rFonts w:ascii="黑体" w:hAnsi="黑体" w:eastAsia="黑体"/>
          <w:sz w:val="52"/>
          <w:szCs w:val="52"/>
          <w:highlight w:val="none"/>
        </w:rPr>
      </w:pPr>
    </w:p>
    <w:p>
      <w:pPr>
        <w:ind w:firstLine="0" w:firstLineChars="0"/>
        <w:jc w:val="center"/>
        <w:rPr>
          <w:rFonts w:ascii="黑体" w:hAnsi="黑体" w:eastAsia="黑体"/>
          <w:sz w:val="52"/>
          <w:szCs w:val="52"/>
          <w:highlight w:val="none"/>
        </w:rPr>
      </w:pPr>
      <w:r>
        <w:rPr>
          <w:rFonts w:hint="eastAsia" w:ascii="黑体" w:hAnsi="黑体" w:eastAsia="黑体"/>
          <w:sz w:val="52"/>
          <w:szCs w:val="52"/>
          <w:highlight w:val="none"/>
        </w:rPr>
        <w:t>可信政务数据共享市农业农村委配套场景(一期)建设项目子系统建设项目</w:t>
      </w:r>
    </w:p>
    <w:p>
      <w:pPr>
        <w:pStyle w:val="6"/>
        <w:spacing w:before="0" w:beforeAutospacing="0" w:after="0" w:afterAutospacing="0" w:line="360" w:lineRule="auto"/>
        <w:ind w:firstLine="482"/>
        <w:jc w:val="center"/>
        <w:outlineLvl w:val="0"/>
        <w:rPr>
          <w:rFonts w:hint="eastAsia" w:cs="宋体"/>
          <w:b/>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sz w:val="52"/>
          <w:szCs w:val="52"/>
          <w:highlight w:val="none"/>
        </w:rPr>
        <w:t>202</w:t>
      </w:r>
      <w:r>
        <w:rPr>
          <w:rFonts w:hint="eastAsia" w:ascii="黑体" w:hAnsi="黑体" w:eastAsia="黑体"/>
          <w:sz w:val="52"/>
          <w:szCs w:val="52"/>
          <w:highlight w:val="none"/>
          <w:lang w:val="en-US" w:eastAsia="zh-CN"/>
        </w:rPr>
        <w:t>5</w:t>
      </w:r>
      <w:r>
        <w:rPr>
          <w:rFonts w:hint="eastAsia" w:ascii="黑体" w:hAnsi="黑体" w:eastAsia="黑体"/>
          <w:sz w:val="52"/>
          <w:szCs w:val="52"/>
          <w:highlight w:val="none"/>
        </w:rPr>
        <w:t>年度采购</w:t>
      </w:r>
      <w:r>
        <w:rPr>
          <w:rFonts w:hint="eastAsia" w:ascii="黑体" w:hAnsi="黑体" w:eastAsia="黑体"/>
          <w:sz w:val="52"/>
          <w:szCs w:val="52"/>
          <w:highlight w:val="none"/>
          <w:lang w:val="en-US" w:eastAsia="zh-CN"/>
        </w:rPr>
        <w:t>需求</w:t>
      </w:r>
    </w:p>
    <w:p>
      <w:pPr>
        <w:keepNext/>
        <w:keepLines/>
        <w:widowControl/>
        <w:spacing w:before="120" w:after="120" w:line="360" w:lineRule="auto"/>
        <w:outlineLvl w:val="1"/>
        <w:rPr>
          <w:rFonts w:ascii="宋体" w:hAnsi="宋体"/>
          <w:sz w:val="24"/>
          <w:szCs w:val="24"/>
          <w:highlight w:val="none"/>
        </w:rPr>
      </w:pPr>
      <w:bookmarkStart w:id="0" w:name="_Toc63785461"/>
      <w:r>
        <w:rPr>
          <w:rFonts w:hint="eastAsia" w:ascii="宋体" w:hAnsi="宋体"/>
          <w:b/>
          <w:bCs/>
          <w:kern w:val="44"/>
          <w:sz w:val="24"/>
          <w:szCs w:val="24"/>
          <w:highlight w:val="none"/>
        </w:rPr>
        <w:t>一、</w:t>
      </w:r>
      <w:r>
        <w:rPr>
          <w:rFonts w:hint="eastAsia" w:ascii="宋体" w:hAnsi="宋体" w:cs="黑体"/>
          <w:b/>
          <w:bCs/>
          <w:kern w:val="44"/>
          <w:sz w:val="24"/>
          <w:szCs w:val="24"/>
          <w:highlight w:val="none"/>
        </w:rPr>
        <w:t>项目概况</w:t>
      </w:r>
      <w:bookmarkEnd w:id="0"/>
    </w:p>
    <w:p>
      <w:pPr>
        <w:bidi w:val="0"/>
        <w:rPr>
          <w:rFonts w:hint="eastAsia"/>
          <w:highlight w:val="none"/>
        </w:rPr>
      </w:pPr>
      <w:r>
        <w:rPr>
          <w:rFonts w:hint="eastAsia"/>
          <w:highlight w:val="none"/>
        </w:rPr>
        <w:t>上海聚焦农业高质量发展，着力推进高端农业、精品农业和品牌农业建设，精心培育了一批具有地域特色和市场竞争力的优质农产品品牌。</w:t>
      </w:r>
      <w:r>
        <w:rPr>
          <w:rFonts w:hint="eastAsia"/>
          <w:highlight w:val="none"/>
          <w:lang w:val="en-US" w:eastAsia="zh-CN"/>
        </w:rPr>
        <w:t>为</w:t>
      </w:r>
      <w:r>
        <w:rPr>
          <w:rFonts w:hint="eastAsia"/>
          <w:highlight w:val="none"/>
        </w:rPr>
        <w:t>实现对</w:t>
      </w:r>
      <w:r>
        <w:rPr>
          <w:rFonts w:hint="eastAsia"/>
          <w:highlight w:val="none"/>
          <w:lang w:val="en-US" w:eastAsia="zh-CN"/>
        </w:rPr>
        <w:t>地产优质</w:t>
      </w:r>
      <w:r>
        <w:rPr>
          <w:rFonts w:hint="eastAsia"/>
          <w:highlight w:val="none"/>
        </w:rPr>
        <w:t>农产品种源、生产、认证、监管、检验、保险等关键环节的核心数据</w:t>
      </w:r>
      <w:r>
        <w:rPr>
          <w:rFonts w:hint="eastAsia"/>
          <w:highlight w:val="none"/>
          <w:lang w:val="en-US" w:eastAsia="zh-CN"/>
        </w:rPr>
        <w:t>可信存储与溯源</w:t>
      </w:r>
      <w:r>
        <w:rPr>
          <w:rFonts w:hint="eastAsia"/>
          <w:highlight w:val="none"/>
        </w:rPr>
        <w:t>，建立企业、政府</w:t>
      </w:r>
      <w:r>
        <w:rPr>
          <w:rFonts w:hint="eastAsia"/>
          <w:highlight w:val="none"/>
          <w:lang w:eastAsia="zh-CN"/>
        </w:rPr>
        <w:t>、</w:t>
      </w:r>
      <w:r>
        <w:rPr>
          <w:rFonts w:hint="eastAsia"/>
          <w:highlight w:val="none"/>
        </w:rPr>
        <w:t>消费者等多方信任</w:t>
      </w:r>
      <w:r>
        <w:rPr>
          <w:rFonts w:hint="eastAsia"/>
          <w:highlight w:val="none"/>
          <w:lang w:val="en-US" w:eastAsia="zh-CN"/>
        </w:rPr>
        <w:t>关系</w:t>
      </w:r>
      <w:r>
        <w:rPr>
          <w:rFonts w:hint="eastAsia"/>
          <w:highlight w:val="none"/>
          <w:lang w:eastAsia="zh-CN"/>
        </w:rPr>
        <w:t>，</w:t>
      </w:r>
      <w:r>
        <w:rPr>
          <w:rFonts w:hint="eastAsia"/>
          <w:highlight w:val="none"/>
          <w:lang w:val="en-US" w:eastAsia="zh-CN"/>
        </w:rPr>
        <w:t>需要打造可信政务数据共享市农业农村委配套场景。发放基于“申农码”的溯源码，开发特色扫码溯源页，实现优质农产品生产全过程可信溯源，</w:t>
      </w:r>
      <w:r>
        <w:rPr>
          <w:rFonts w:hint="eastAsia"/>
          <w:highlight w:val="none"/>
        </w:rPr>
        <w:t>提升市民对优质、精品农产品的感受度。</w:t>
      </w:r>
      <w:r>
        <w:rPr>
          <w:rFonts w:hint="eastAsia"/>
          <w:highlight w:val="none"/>
          <w:lang w:val="en-US" w:eastAsia="zh-CN"/>
        </w:rPr>
        <w:t>通过对农产品全流程数据采集与预警分析，为农产品质量安全监管提供支撑。</w:t>
      </w:r>
    </w:p>
    <w:p>
      <w:pPr>
        <w:bidi w:val="0"/>
        <w:rPr>
          <w:highlight w:val="none"/>
        </w:rPr>
      </w:pPr>
      <w:r>
        <w:rPr>
          <w:highlight w:val="none"/>
        </w:rPr>
        <w:t>建设期限：</w:t>
      </w:r>
      <w:r>
        <w:rPr>
          <w:rFonts w:hint="eastAsia"/>
          <w:highlight w:val="none"/>
        </w:rPr>
        <w:t>9</w:t>
      </w:r>
      <w:r>
        <w:rPr>
          <w:highlight w:val="none"/>
        </w:rPr>
        <w:t>个月</w:t>
      </w:r>
    </w:p>
    <w:p>
      <w:pPr>
        <w:bidi w:val="0"/>
        <w:rPr>
          <w:highlight w:val="none"/>
        </w:rPr>
      </w:pPr>
      <w:r>
        <w:rPr>
          <w:highlight w:val="none"/>
        </w:rPr>
        <w:t>建设地点：上海市大数据中心</w:t>
      </w:r>
    </w:p>
    <w:p>
      <w:pPr>
        <w:bidi w:val="0"/>
        <w:rPr>
          <w:highlight w:val="none"/>
        </w:rPr>
      </w:pPr>
      <w:r>
        <w:rPr>
          <w:highlight w:val="none"/>
        </w:rPr>
        <w:t>预算金额：</w:t>
      </w:r>
      <w:r>
        <w:rPr>
          <w:rFonts w:hint="eastAsia"/>
          <w:highlight w:val="none"/>
        </w:rPr>
        <w:t>1,100,000.00元</w:t>
      </w:r>
    </w:p>
    <w:p>
      <w:pPr>
        <w:bidi w:val="0"/>
        <w:rPr>
          <w:highlight w:val="none"/>
        </w:rPr>
      </w:pPr>
      <w:r>
        <w:rPr>
          <w:highlight w:val="none"/>
        </w:rPr>
        <w:t>采购金额（最高限价）：</w:t>
      </w:r>
      <w:r>
        <w:rPr>
          <w:rFonts w:hint="eastAsia"/>
          <w:highlight w:val="none"/>
        </w:rPr>
        <w:t>1,100,000.00元</w:t>
      </w:r>
    </w:p>
    <w:p>
      <w:pPr>
        <w:bidi w:val="0"/>
        <w:rPr>
          <w:highlight w:val="none"/>
        </w:rPr>
      </w:pPr>
      <w:r>
        <w:rPr>
          <w:highlight w:val="none"/>
        </w:rPr>
        <w:t>组织形式：</w:t>
      </w:r>
      <w:r>
        <w:rPr>
          <w:rFonts w:hint="eastAsia"/>
          <w:highlight w:val="none"/>
        </w:rPr>
        <w:t>集中</w:t>
      </w:r>
      <w:r>
        <w:rPr>
          <w:highlight w:val="none"/>
        </w:rPr>
        <w:t>采购</w:t>
      </w:r>
    </w:p>
    <w:p>
      <w:pPr>
        <w:bidi w:val="0"/>
        <w:rPr>
          <w:highlight w:val="none"/>
        </w:rPr>
      </w:pPr>
      <w:r>
        <w:rPr>
          <w:highlight w:val="none"/>
        </w:rPr>
        <w:t>采购方式：</w:t>
      </w:r>
      <w:r>
        <w:rPr>
          <w:rFonts w:hint="eastAsia"/>
          <w:highlight w:val="none"/>
        </w:rPr>
        <w:t>竞争性磋商</w:t>
      </w:r>
    </w:p>
    <w:p>
      <w:pPr>
        <w:bidi w:val="0"/>
        <w:rPr>
          <w:highlight w:val="none"/>
        </w:rPr>
      </w:pPr>
      <w:r>
        <w:rPr>
          <w:highlight w:val="none"/>
        </w:rPr>
        <w:t>是否接受联合体投标：否</w:t>
      </w:r>
    </w:p>
    <w:p>
      <w:pPr>
        <w:bidi w:val="0"/>
        <w:rPr>
          <w:highlight w:val="none"/>
        </w:rPr>
      </w:pPr>
      <w:r>
        <w:rPr>
          <w:highlight w:val="none"/>
        </w:rPr>
        <w:t>是否按</w:t>
      </w:r>
      <w:r>
        <w:rPr>
          <w:rFonts w:hint="eastAsia"/>
          <w:highlight w:val="none"/>
          <w:lang w:val="en-US" w:eastAsia="zh-CN"/>
        </w:rPr>
        <w:t>XC</w:t>
      </w:r>
      <w:r>
        <w:rPr>
          <w:highlight w:val="none"/>
        </w:rPr>
        <w:t>要求建设：是</w:t>
      </w:r>
    </w:p>
    <w:p>
      <w:pPr>
        <w:bidi w:val="0"/>
        <w:rPr>
          <w:rFonts w:ascii="宋体" w:hAnsi="宋体"/>
          <w:szCs w:val="24"/>
          <w:highlight w:val="none"/>
        </w:rPr>
      </w:pPr>
      <w:r>
        <w:rPr>
          <w:highlight w:val="none"/>
        </w:rPr>
        <w:t>运维后所属大系统：</w:t>
      </w:r>
      <w:r>
        <w:rPr>
          <w:rFonts w:hint="eastAsia"/>
          <w:highlight w:val="none"/>
        </w:rPr>
        <w:t>农业农村公共服务大系统</w:t>
      </w:r>
    </w:p>
    <w:p>
      <w:pPr>
        <w:keepNext/>
        <w:keepLines/>
        <w:widowControl/>
        <w:spacing w:before="120" w:after="120" w:line="360" w:lineRule="auto"/>
        <w:outlineLvl w:val="1"/>
        <w:rPr>
          <w:rFonts w:ascii="宋体" w:hAnsi="宋体" w:cs="黑体"/>
          <w:b/>
          <w:bCs/>
          <w:kern w:val="44"/>
          <w:sz w:val="24"/>
          <w:szCs w:val="24"/>
          <w:highlight w:val="none"/>
        </w:rPr>
      </w:pPr>
      <w:bookmarkStart w:id="1" w:name="_Toc63785463"/>
      <w:bookmarkStart w:id="2" w:name="_Toc48223882"/>
      <w:r>
        <w:rPr>
          <w:rFonts w:hint="eastAsia" w:ascii="宋体" w:hAnsi="宋体" w:cs="黑体"/>
          <w:b/>
          <w:bCs/>
          <w:kern w:val="44"/>
          <w:sz w:val="24"/>
          <w:szCs w:val="24"/>
          <w:highlight w:val="none"/>
        </w:rPr>
        <w:t>二、</w:t>
      </w:r>
      <w:r>
        <w:rPr>
          <w:rFonts w:ascii="宋体" w:hAnsi="宋体" w:cs="黑体"/>
          <w:b/>
          <w:bCs/>
          <w:kern w:val="44"/>
          <w:sz w:val="24"/>
          <w:szCs w:val="24"/>
          <w:highlight w:val="none"/>
        </w:rPr>
        <w:t>建设目标</w:t>
      </w:r>
      <w:bookmarkEnd w:id="1"/>
      <w:bookmarkEnd w:id="2"/>
    </w:p>
    <w:p>
      <w:pPr>
        <w:keepNext/>
        <w:keepLines/>
        <w:widowControl/>
        <w:spacing w:before="120" w:after="120" w:line="360" w:lineRule="auto"/>
        <w:outlineLvl w:val="2"/>
        <w:rPr>
          <w:rFonts w:ascii="宋体" w:hAnsi="宋体" w:cs="黑体"/>
          <w:b/>
          <w:bCs/>
          <w:kern w:val="44"/>
          <w:sz w:val="24"/>
          <w:szCs w:val="24"/>
          <w:highlight w:val="none"/>
        </w:rPr>
      </w:pPr>
      <w:r>
        <w:rPr>
          <w:rFonts w:ascii="宋体" w:hAnsi="宋体" w:cs="黑体"/>
          <w:b/>
          <w:bCs/>
          <w:kern w:val="44"/>
          <w:sz w:val="24"/>
          <w:szCs w:val="24"/>
          <w:highlight w:val="none"/>
        </w:rPr>
        <w:t>2.1 总体目标</w:t>
      </w:r>
    </w:p>
    <w:p>
      <w:pPr>
        <w:bidi w:val="0"/>
        <w:ind w:firstLine="1040"/>
        <w:rPr>
          <w:rFonts w:hint="eastAsia" w:ascii="Times New Roman" w:hAnsi="Times New Roman" w:eastAsia="宋体"/>
          <w:highlight w:val="none"/>
        </w:rPr>
      </w:pPr>
      <w:r>
        <w:rPr>
          <w:rFonts w:hint="eastAsia" w:ascii="Times New Roman" w:hAnsi="Times New Roman" w:eastAsia="宋体"/>
          <w:highlight w:val="none"/>
        </w:rPr>
        <w:t>打造可信优质农产品溯源场景，构建可信体系，提升市民对优质农产品的感受度、认同度和满意度，实现不少于15种农产品生产全过程可溯源，覆盖不少于100主体、基于随申码生成溯源码超300万张。</w:t>
      </w:r>
    </w:p>
    <w:p>
      <w:pPr>
        <w:bidi w:val="0"/>
        <w:ind w:firstLine="1040"/>
        <w:rPr>
          <w:rFonts w:hint="eastAsia" w:ascii="Times New Roman" w:hAnsi="Times New Roman" w:eastAsia="宋体"/>
          <w:highlight w:val="none"/>
        </w:rPr>
      </w:pPr>
      <w:r>
        <w:rPr>
          <w:rFonts w:hint="eastAsia" w:ascii="Times New Roman" w:hAnsi="Times New Roman" w:eastAsia="宋体"/>
          <w:highlight w:val="none"/>
        </w:rPr>
        <w:t>1、实现优质农产品生产全过程可溯源。建立统一数据标准与上链规范，与各业务环节数据对接，与政务区块链对接，支撑涉农区优质农产品生产全过程可溯源。</w:t>
      </w:r>
    </w:p>
    <w:p>
      <w:pPr>
        <w:bidi w:val="0"/>
        <w:ind w:firstLine="1040"/>
        <w:rPr>
          <w:rFonts w:hint="eastAsia" w:ascii="Times New Roman" w:hAnsi="Times New Roman" w:eastAsia="宋体"/>
          <w:highlight w:val="none"/>
        </w:rPr>
      </w:pPr>
      <w:r>
        <w:rPr>
          <w:rFonts w:hint="eastAsia" w:ascii="Times New Roman" w:hAnsi="Times New Roman" w:eastAsia="宋体"/>
          <w:highlight w:val="none"/>
        </w:rPr>
        <w:t>2、实现溯源流程与码的管理。支持溯源过程中的数据审核、溯源的发码、审核及监管，搭建贴码量预估和扫码异常预警模型，结合多因素预估贴码数量，及时发现伪造情况。</w:t>
      </w:r>
    </w:p>
    <w:p>
      <w:pPr>
        <w:bidi w:val="0"/>
        <w:ind w:firstLine="1040"/>
        <w:rPr>
          <w:rFonts w:hint="eastAsia" w:ascii="Times New Roman" w:hAnsi="Times New Roman" w:eastAsia="宋体"/>
          <w:highlight w:val="none"/>
        </w:rPr>
      </w:pPr>
      <w:r>
        <w:rPr>
          <w:rFonts w:hint="eastAsia" w:ascii="Times New Roman" w:hAnsi="Times New Roman" w:eastAsia="宋体"/>
          <w:highlight w:val="none"/>
        </w:rPr>
        <w:t>3、支撑不同农产品一码一源的服务。基于随申码发放溯源码，开发特色农产品扫码溯源页，利用区块链特性实现农产品溯源查询展示。</w:t>
      </w:r>
    </w:p>
    <w:p>
      <w:pPr>
        <w:bidi w:val="0"/>
        <w:ind w:firstLine="1040"/>
        <w:rPr>
          <w:rFonts w:hint="eastAsia" w:ascii="Times New Roman" w:hAnsi="Times New Roman" w:eastAsia="宋体"/>
          <w:highlight w:val="none"/>
        </w:rPr>
      </w:pPr>
      <w:r>
        <w:rPr>
          <w:rFonts w:hint="eastAsia" w:ascii="Times New Roman" w:hAnsi="Times New Roman" w:eastAsia="宋体"/>
          <w:highlight w:val="none"/>
        </w:rPr>
        <w:t>4、提供全流程数据的统计分析、监控、展示。构建农产品可视化分析能力，支持多层级下钻分析，动态监控农产品生产全过程溯源相关的主体及品种。</w:t>
      </w:r>
    </w:p>
    <w:p>
      <w:pPr>
        <w:bidi w:val="0"/>
        <w:ind w:firstLine="1040"/>
        <w:rPr>
          <w:rFonts w:hint="eastAsia" w:ascii="Times New Roman" w:hAnsi="Times New Roman" w:eastAsia="宋体"/>
          <w:highlight w:val="none"/>
        </w:rPr>
      </w:pPr>
      <w:r>
        <w:rPr>
          <w:rFonts w:hint="eastAsia" w:ascii="Times New Roman" w:hAnsi="Times New Roman" w:eastAsia="宋体"/>
          <w:highlight w:val="none"/>
        </w:rPr>
        <w:t>5、联合相关委办局实现跨部门数据溯源。实现跨部门数据溯源，完善深加工类农产品溯源场景。</w:t>
      </w:r>
    </w:p>
    <w:p>
      <w:pPr>
        <w:keepNext/>
        <w:keepLines/>
        <w:widowControl/>
        <w:spacing w:before="120" w:after="120" w:line="360" w:lineRule="auto"/>
        <w:outlineLvl w:val="2"/>
        <w:rPr>
          <w:rFonts w:ascii="宋体" w:hAnsi="宋体" w:cs="黑体"/>
          <w:b/>
          <w:bCs/>
          <w:kern w:val="44"/>
          <w:sz w:val="24"/>
          <w:szCs w:val="24"/>
          <w:highlight w:val="none"/>
        </w:rPr>
      </w:pPr>
      <w:r>
        <w:rPr>
          <w:rFonts w:ascii="宋体" w:hAnsi="宋体" w:cs="黑体"/>
          <w:b/>
          <w:bCs/>
          <w:kern w:val="44"/>
          <w:sz w:val="24"/>
          <w:szCs w:val="24"/>
          <w:highlight w:val="none"/>
        </w:rPr>
        <w:t>2.2 技术指标</w:t>
      </w:r>
    </w:p>
    <w:tbl>
      <w:tblPr>
        <w:tblStyle w:val="1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36"/>
        <w:gridCol w:w="1266"/>
        <w:gridCol w:w="1099"/>
        <w:gridCol w:w="1176"/>
        <w:gridCol w:w="1920"/>
        <w:gridCol w:w="23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pStyle w:val="15"/>
              <w:bidi w:val="0"/>
              <w:rPr>
                <w:highlight w:val="none"/>
              </w:rPr>
            </w:pPr>
            <w:r>
              <w:rPr>
                <w:highlight w:val="none"/>
              </w:rPr>
              <w:t>序号</w:t>
            </w:r>
          </w:p>
        </w:tc>
        <w:tc>
          <w:tcPr>
            <w:tcW w:w="0" w:type="auto"/>
            <w:shd w:val="clear" w:color="auto" w:fill="auto"/>
            <w:vAlign w:val="center"/>
          </w:tcPr>
          <w:p>
            <w:pPr>
              <w:pStyle w:val="15"/>
              <w:bidi w:val="0"/>
              <w:rPr>
                <w:highlight w:val="none"/>
              </w:rPr>
            </w:pPr>
            <w:r>
              <w:rPr>
                <w:highlight w:val="none"/>
              </w:rPr>
              <w:t>一级指标</w:t>
            </w:r>
          </w:p>
        </w:tc>
        <w:tc>
          <w:tcPr>
            <w:tcW w:w="0" w:type="auto"/>
            <w:shd w:val="clear" w:color="auto" w:fill="auto"/>
            <w:vAlign w:val="center"/>
          </w:tcPr>
          <w:p>
            <w:pPr>
              <w:pStyle w:val="15"/>
              <w:bidi w:val="0"/>
              <w:rPr>
                <w:highlight w:val="none"/>
              </w:rPr>
            </w:pPr>
            <w:r>
              <w:rPr>
                <w:highlight w:val="none"/>
              </w:rPr>
              <w:t>二级指标</w:t>
            </w:r>
          </w:p>
        </w:tc>
        <w:tc>
          <w:tcPr>
            <w:tcW w:w="0" w:type="auto"/>
            <w:shd w:val="clear" w:color="auto" w:fill="auto"/>
            <w:vAlign w:val="center"/>
          </w:tcPr>
          <w:p>
            <w:pPr>
              <w:pStyle w:val="15"/>
              <w:bidi w:val="0"/>
              <w:rPr>
                <w:highlight w:val="none"/>
              </w:rPr>
            </w:pPr>
            <w:r>
              <w:rPr>
                <w:highlight w:val="none"/>
              </w:rPr>
              <w:t>三级指标</w:t>
            </w:r>
          </w:p>
        </w:tc>
        <w:tc>
          <w:tcPr>
            <w:tcW w:w="1920" w:type="dxa"/>
            <w:shd w:val="clear" w:color="auto" w:fill="auto"/>
            <w:vAlign w:val="center"/>
          </w:tcPr>
          <w:p>
            <w:pPr>
              <w:pStyle w:val="15"/>
              <w:bidi w:val="0"/>
              <w:rPr>
                <w:highlight w:val="none"/>
              </w:rPr>
            </w:pPr>
            <w:r>
              <w:rPr>
                <w:highlight w:val="none"/>
              </w:rPr>
              <w:t>四级指标</w:t>
            </w:r>
          </w:p>
        </w:tc>
        <w:tc>
          <w:tcPr>
            <w:tcW w:w="2348" w:type="dxa"/>
            <w:shd w:val="clear" w:color="auto" w:fill="auto"/>
            <w:vAlign w:val="center"/>
          </w:tcPr>
          <w:p>
            <w:pPr>
              <w:pStyle w:val="15"/>
              <w:bidi w:val="0"/>
              <w:rPr>
                <w:highlight w:val="none"/>
              </w:rPr>
            </w:pPr>
            <w:r>
              <w:rPr>
                <w:highlight w:val="none"/>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pStyle w:val="15"/>
              <w:numPr>
                <w:ilvl w:val="0"/>
                <w:numId w:val="2"/>
              </w:numPr>
              <w:bidi w:val="0"/>
              <w:ind w:left="425" w:hanging="425"/>
              <w:rPr>
                <w:highlight w:val="none"/>
              </w:rPr>
            </w:pPr>
          </w:p>
        </w:tc>
        <w:tc>
          <w:tcPr>
            <w:tcW w:w="0" w:type="auto"/>
            <w:vMerge w:val="restart"/>
            <w:shd w:val="clear" w:color="auto" w:fill="auto"/>
            <w:vAlign w:val="center"/>
          </w:tcPr>
          <w:p>
            <w:pPr>
              <w:pStyle w:val="15"/>
              <w:bidi w:val="0"/>
              <w:rPr>
                <w:highlight w:val="none"/>
              </w:rPr>
            </w:pPr>
            <w:r>
              <w:rPr>
                <w:highlight w:val="none"/>
              </w:rPr>
              <w:t>通用指标</w:t>
            </w:r>
          </w:p>
        </w:tc>
        <w:tc>
          <w:tcPr>
            <w:tcW w:w="1099" w:type="dxa"/>
            <w:vMerge w:val="restart"/>
            <w:shd w:val="clear" w:color="auto" w:fill="auto"/>
            <w:vAlign w:val="center"/>
          </w:tcPr>
          <w:p>
            <w:pPr>
              <w:pStyle w:val="15"/>
              <w:bidi w:val="0"/>
              <w:rPr>
                <w:highlight w:val="none"/>
              </w:rPr>
            </w:pPr>
            <w:r>
              <w:rPr>
                <w:highlight w:val="none"/>
              </w:rPr>
              <w:t>产出指标</w:t>
            </w:r>
          </w:p>
        </w:tc>
        <w:tc>
          <w:tcPr>
            <w:tcW w:w="0" w:type="auto"/>
            <w:shd w:val="clear" w:color="auto" w:fill="auto"/>
            <w:vAlign w:val="center"/>
          </w:tcPr>
          <w:p>
            <w:pPr>
              <w:pStyle w:val="15"/>
              <w:bidi w:val="0"/>
              <w:rPr>
                <w:highlight w:val="none"/>
              </w:rPr>
            </w:pPr>
            <w:r>
              <w:rPr>
                <w:highlight w:val="none"/>
              </w:rPr>
              <w:t>产出数量</w:t>
            </w:r>
          </w:p>
        </w:tc>
        <w:tc>
          <w:tcPr>
            <w:tcW w:w="1920" w:type="dxa"/>
            <w:shd w:val="clear" w:color="auto" w:fill="auto"/>
            <w:vAlign w:val="center"/>
          </w:tcPr>
          <w:p>
            <w:pPr>
              <w:pStyle w:val="15"/>
              <w:bidi w:val="0"/>
              <w:rPr>
                <w:highlight w:val="none"/>
              </w:rPr>
            </w:pPr>
            <w:r>
              <w:rPr>
                <w:highlight w:val="none"/>
              </w:rPr>
              <w:t>软件开发完成率</w:t>
            </w:r>
          </w:p>
        </w:tc>
        <w:tc>
          <w:tcPr>
            <w:tcW w:w="2348" w:type="dxa"/>
            <w:shd w:val="clear" w:color="auto" w:fill="auto"/>
            <w:vAlign w:val="center"/>
          </w:tcPr>
          <w:p>
            <w:pPr>
              <w:pStyle w:val="15"/>
              <w:bidi w:val="0"/>
              <w:rPr>
                <w:highlight w:val="none"/>
              </w:rPr>
            </w:pPr>
            <w:r>
              <w:rPr>
                <w:highlight w:val="none"/>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pStyle w:val="15"/>
              <w:numPr>
                <w:ilvl w:val="0"/>
                <w:numId w:val="2"/>
              </w:numPr>
              <w:bidi w:val="0"/>
              <w:ind w:left="425" w:hanging="425"/>
              <w:rPr>
                <w:highlight w:val="none"/>
              </w:rPr>
            </w:pPr>
          </w:p>
        </w:tc>
        <w:tc>
          <w:tcPr>
            <w:tcW w:w="0" w:type="auto"/>
            <w:vMerge w:val="continue"/>
            <w:shd w:val="clear" w:color="auto" w:fill="auto"/>
            <w:vAlign w:val="center"/>
          </w:tcPr>
          <w:p>
            <w:pPr>
              <w:pStyle w:val="15"/>
              <w:bidi w:val="0"/>
              <w:rPr>
                <w:highlight w:val="none"/>
              </w:rPr>
            </w:pPr>
          </w:p>
        </w:tc>
        <w:tc>
          <w:tcPr>
            <w:tcW w:w="1099" w:type="dxa"/>
            <w:vMerge w:val="continue"/>
            <w:shd w:val="clear" w:color="auto" w:fill="auto"/>
            <w:vAlign w:val="center"/>
          </w:tcPr>
          <w:p>
            <w:pPr>
              <w:pStyle w:val="15"/>
              <w:bidi w:val="0"/>
              <w:rPr>
                <w:highlight w:val="none"/>
              </w:rPr>
            </w:pPr>
          </w:p>
        </w:tc>
        <w:tc>
          <w:tcPr>
            <w:tcW w:w="1176" w:type="dxa"/>
            <w:vMerge w:val="restart"/>
            <w:shd w:val="clear" w:color="auto" w:fill="auto"/>
            <w:vAlign w:val="center"/>
          </w:tcPr>
          <w:p>
            <w:pPr>
              <w:pStyle w:val="15"/>
              <w:bidi w:val="0"/>
              <w:rPr>
                <w:highlight w:val="none"/>
              </w:rPr>
            </w:pPr>
            <w:r>
              <w:rPr>
                <w:highlight w:val="none"/>
              </w:rPr>
              <w:t>产出质量</w:t>
            </w:r>
          </w:p>
        </w:tc>
        <w:tc>
          <w:tcPr>
            <w:tcW w:w="1920" w:type="dxa"/>
            <w:shd w:val="clear" w:color="auto" w:fill="auto"/>
            <w:vAlign w:val="center"/>
          </w:tcPr>
          <w:p>
            <w:pPr>
              <w:pStyle w:val="15"/>
              <w:bidi w:val="0"/>
              <w:rPr>
                <w:highlight w:val="none"/>
              </w:rPr>
            </w:pPr>
            <w:r>
              <w:rPr>
                <w:highlight w:val="none"/>
              </w:rPr>
              <w:t>软件测试</w:t>
            </w:r>
            <w:r>
              <w:rPr>
                <w:rFonts w:hint="eastAsia"/>
                <w:highlight w:val="none"/>
                <w:lang w:val="en-US" w:eastAsia="zh-CN"/>
              </w:rPr>
              <w:t>通过率</w:t>
            </w:r>
          </w:p>
        </w:tc>
        <w:tc>
          <w:tcPr>
            <w:tcW w:w="2348" w:type="dxa"/>
            <w:shd w:val="clear" w:color="auto" w:fill="auto"/>
            <w:vAlign w:val="center"/>
          </w:tcPr>
          <w:p>
            <w:pPr>
              <w:pStyle w:val="15"/>
              <w:bidi w:val="0"/>
              <w:rPr>
                <w:rFonts w:hint="eastAsia" w:eastAsia="仿宋"/>
                <w:highlight w:val="none"/>
                <w:lang w:val="en-US" w:eastAsia="zh-CN"/>
              </w:rPr>
            </w:pPr>
            <w:r>
              <w:rPr>
                <w:rFonts w:hint="eastAsia"/>
                <w:highlight w:val="none"/>
                <w:lang w:val="en-US" w:eastAsia="zh-CN"/>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pStyle w:val="15"/>
              <w:numPr>
                <w:ilvl w:val="0"/>
                <w:numId w:val="2"/>
              </w:numPr>
              <w:bidi w:val="0"/>
              <w:ind w:left="425" w:hanging="425"/>
              <w:rPr>
                <w:highlight w:val="none"/>
              </w:rPr>
            </w:pPr>
          </w:p>
        </w:tc>
        <w:tc>
          <w:tcPr>
            <w:tcW w:w="0" w:type="auto"/>
            <w:vMerge w:val="continue"/>
            <w:shd w:val="clear" w:color="auto" w:fill="auto"/>
            <w:vAlign w:val="center"/>
          </w:tcPr>
          <w:p>
            <w:pPr>
              <w:pStyle w:val="15"/>
              <w:bidi w:val="0"/>
              <w:rPr>
                <w:highlight w:val="none"/>
              </w:rPr>
            </w:pPr>
          </w:p>
        </w:tc>
        <w:tc>
          <w:tcPr>
            <w:tcW w:w="1099" w:type="dxa"/>
            <w:vMerge w:val="continue"/>
            <w:shd w:val="clear" w:color="auto" w:fill="auto"/>
            <w:vAlign w:val="center"/>
          </w:tcPr>
          <w:p>
            <w:pPr>
              <w:pStyle w:val="15"/>
              <w:bidi w:val="0"/>
              <w:rPr>
                <w:highlight w:val="none"/>
              </w:rPr>
            </w:pPr>
          </w:p>
        </w:tc>
        <w:tc>
          <w:tcPr>
            <w:tcW w:w="1176" w:type="dxa"/>
            <w:vMerge w:val="continue"/>
            <w:shd w:val="clear" w:color="auto" w:fill="auto"/>
            <w:vAlign w:val="center"/>
          </w:tcPr>
          <w:p>
            <w:pPr>
              <w:pStyle w:val="15"/>
              <w:bidi w:val="0"/>
              <w:rPr>
                <w:highlight w:val="none"/>
              </w:rPr>
            </w:pPr>
          </w:p>
        </w:tc>
        <w:tc>
          <w:tcPr>
            <w:tcW w:w="1920" w:type="dxa"/>
            <w:shd w:val="clear" w:color="auto" w:fill="auto"/>
            <w:vAlign w:val="center"/>
          </w:tcPr>
          <w:p>
            <w:pPr>
              <w:pStyle w:val="15"/>
              <w:bidi w:val="0"/>
              <w:rPr>
                <w:rFonts w:hint="eastAsia" w:eastAsia="仿宋"/>
                <w:color w:val="auto"/>
                <w:highlight w:val="none"/>
                <w:lang w:val="en-US" w:eastAsia="zh-CN"/>
              </w:rPr>
            </w:pPr>
            <w:r>
              <w:rPr>
                <w:color w:val="auto"/>
                <w:highlight w:val="none"/>
              </w:rPr>
              <w:t>密码测试</w:t>
            </w:r>
            <w:r>
              <w:rPr>
                <w:rFonts w:hint="eastAsia"/>
                <w:color w:val="auto"/>
                <w:highlight w:val="none"/>
                <w:lang w:val="en-US" w:eastAsia="zh-CN"/>
              </w:rPr>
              <w:t>等级</w:t>
            </w:r>
          </w:p>
        </w:tc>
        <w:tc>
          <w:tcPr>
            <w:tcW w:w="2348" w:type="dxa"/>
            <w:shd w:val="clear" w:color="auto" w:fill="auto"/>
            <w:vAlign w:val="center"/>
          </w:tcPr>
          <w:p>
            <w:pPr>
              <w:pStyle w:val="15"/>
              <w:bidi w:val="0"/>
              <w:rPr>
                <w:rFonts w:hint="default" w:eastAsia="仿宋"/>
                <w:highlight w:val="none"/>
                <w:lang w:val="en-US" w:eastAsia="zh-CN"/>
              </w:rPr>
            </w:pPr>
            <w:r>
              <w:rPr>
                <w:rFonts w:hint="eastAsia"/>
                <w:highlight w:val="none"/>
                <w:lang w:val="en-US" w:eastAsia="zh-CN"/>
              </w:rPr>
              <w:t>满足三级要求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pStyle w:val="15"/>
              <w:numPr>
                <w:ilvl w:val="0"/>
                <w:numId w:val="2"/>
              </w:numPr>
              <w:bidi w:val="0"/>
              <w:ind w:left="425" w:hanging="425"/>
              <w:rPr>
                <w:highlight w:val="none"/>
              </w:rPr>
            </w:pPr>
          </w:p>
        </w:tc>
        <w:tc>
          <w:tcPr>
            <w:tcW w:w="0" w:type="auto"/>
            <w:vMerge w:val="continue"/>
            <w:shd w:val="clear" w:color="auto" w:fill="auto"/>
            <w:vAlign w:val="center"/>
          </w:tcPr>
          <w:p>
            <w:pPr>
              <w:pStyle w:val="15"/>
              <w:bidi w:val="0"/>
              <w:rPr>
                <w:highlight w:val="none"/>
              </w:rPr>
            </w:pPr>
          </w:p>
        </w:tc>
        <w:tc>
          <w:tcPr>
            <w:tcW w:w="1099" w:type="dxa"/>
            <w:vMerge w:val="continue"/>
            <w:shd w:val="clear" w:color="auto" w:fill="auto"/>
            <w:vAlign w:val="center"/>
          </w:tcPr>
          <w:p>
            <w:pPr>
              <w:pStyle w:val="15"/>
              <w:bidi w:val="0"/>
              <w:rPr>
                <w:highlight w:val="none"/>
              </w:rPr>
            </w:pPr>
          </w:p>
        </w:tc>
        <w:tc>
          <w:tcPr>
            <w:tcW w:w="1176" w:type="dxa"/>
            <w:vMerge w:val="continue"/>
            <w:shd w:val="clear" w:color="auto" w:fill="auto"/>
            <w:vAlign w:val="center"/>
          </w:tcPr>
          <w:p>
            <w:pPr>
              <w:pStyle w:val="15"/>
              <w:bidi w:val="0"/>
              <w:rPr>
                <w:highlight w:val="none"/>
              </w:rPr>
            </w:pPr>
          </w:p>
        </w:tc>
        <w:tc>
          <w:tcPr>
            <w:tcW w:w="1920" w:type="dxa"/>
            <w:shd w:val="clear" w:color="auto" w:fill="auto"/>
            <w:vAlign w:val="center"/>
          </w:tcPr>
          <w:p>
            <w:pPr>
              <w:pStyle w:val="15"/>
              <w:bidi w:val="0"/>
              <w:rPr>
                <w:color w:val="auto"/>
                <w:highlight w:val="none"/>
              </w:rPr>
            </w:pPr>
            <w:r>
              <w:rPr>
                <w:color w:val="auto"/>
                <w:highlight w:val="none"/>
              </w:rPr>
              <w:t>等级保护要求</w:t>
            </w:r>
          </w:p>
        </w:tc>
        <w:tc>
          <w:tcPr>
            <w:tcW w:w="2348" w:type="dxa"/>
            <w:shd w:val="clear" w:color="auto" w:fill="auto"/>
            <w:vAlign w:val="center"/>
          </w:tcPr>
          <w:p>
            <w:pPr>
              <w:pStyle w:val="15"/>
              <w:bidi w:val="0"/>
              <w:rPr>
                <w:highlight w:val="none"/>
              </w:rPr>
            </w:pPr>
            <w:r>
              <w:rPr>
                <w:rFonts w:hint="eastAsia"/>
                <w:highlight w:val="none"/>
                <w:lang w:val="en-US" w:eastAsia="zh-CN"/>
              </w:rPr>
              <w:t>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pStyle w:val="15"/>
              <w:numPr>
                <w:ilvl w:val="0"/>
                <w:numId w:val="2"/>
              </w:numPr>
              <w:bidi w:val="0"/>
              <w:ind w:left="425" w:hanging="425"/>
              <w:rPr>
                <w:highlight w:val="none"/>
              </w:rPr>
            </w:pPr>
          </w:p>
        </w:tc>
        <w:tc>
          <w:tcPr>
            <w:tcW w:w="0" w:type="auto"/>
            <w:vMerge w:val="continue"/>
            <w:shd w:val="clear" w:color="auto" w:fill="auto"/>
            <w:vAlign w:val="center"/>
          </w:tcPr>
          <w:p>
            <w:pPr>
              <w:pStyle w:val="15"/>
              <w:bidi w:val="0"/>
              <w:rPr>
                <w:highlight w:val="none"/>
              </w:rPr>
            </w:pPr>
          </w:p>
        </w:tc>
        <w:tc>
          <w:tcPr>
            <w:tcW w:w="1099" w:type="dxa"/>
            <w:vMerge w:val="continue"/>
            <w:shd w:val="clear" w:color="auto" w:fill="auto"/>
            <w:vAlign w:val="center"/>
          </w:tcPr>
          <w:p>
            <w:pPr>
              <w:pStyle w:val="15"/>
              <w:bidi w:val="0"/>
              <w:rPr>
                <w:highlight w:val="none"/>
              </w:rPr>
            </w:pPr>
          </w:p>
        </w:tc>
        <w:tc>
          <w:tcPr>
            <w:tcW w:w="1176" w:type="dxa"/>
            <w:vMerge w:val="continue"/>
            <w:shd w:val="clear" w:color="auto" w:fill="auto"/>
            <w:vAlign w:val="center"/>
          </w:tcPr>
          <w:p>
            <w:pPr>
              <w:pStyle w:val="15"/>
              <w:bidi w:val="0"/>
              <w:rPr>
                <w:highlight w:val="none"/>
              </w:rPr>
            </w:pPr>
          </w:p>
        </w:tc>
        <w:tc>
          <w:tcPr>
            <w:tcW w:w="1920" w:type="dxa"/>
            <w:shd w:val="clear" w:color="auto" w:fill="auto"/>
            <w:vAlign w:val="center"/>
          </w:tcPr>
          <w:p>
            <w:pPr>
              <w:pStyle w:val="15"/>
              <w:bidi w:val="0"/>
              <w:rPr>
                <w:rFonts w:hint="default" w:eastAsia="仿宋"/>
                <w:color w:val="auto"/>
                <w:highlight w:val="none"/>
                <w:lang w:val="en-US" w:eastAsia="zh-CN"/>
              </w:rPr>
            </w:pPr>
            <w:r>
              <w:rPr>
                <w:color w:val="auto"/>
                <w:highlight w:val="none"/>
              </w:rPr>
              <w:t>安全</w:t>
            </w:r>
            <w:r>
              <w:rPr>
                <w:rFonts w:hint="eastAsia"/>
                <w:color w:val="auto"/>
                <w:highlight w:val="none"/>
                <w:lang w:val="en-US" w:eastAsia="zh-CN"/>
              </w:rPr>
              <w:t>测评等级</w:t>
            </w:r>
          </w:p>
        </w:tc>
        <w:tc>
          <w:tcPr>
            <w:tcW w:w="2348" w:type="dxa"/>
            <w:shd w:val="clear" w:color="auto" w:fill="auto"/>
            <w:vAlign w:val="center"/>
          </w:tcPr>
          <w:p>
            <w:pPr>
              <w:pStyle w:val="15"/>
              <w:bidi w:val="0"/>
              <w:rPr>
                <w:highlight w:val="none"/>
              </w:rPr>
            </w:pPr>
            <w:r>
              <w:rPr>
                <w:rFonts w:hint="eastAsia"/>
                <w:highlight w:val="none"/>
                <w:lang w:val="en-US" w:eastAsia="zh-CN"/>
              </w:rPr>
              <w:t>满足三级要求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pStyle w:val="15"/>
              <w:numPr>
                <w:ilvl w:val="0"/>
                <w:numId w:val="2"/>
              </w:numPr>
              <w:bidi w:val="0"/>
              <w:ind w:left="425" w:hanging="425"/>
              <w:rPr>
                <w:highlight w:val="none"/>
              </w:rPr>
            </w:pPr>
          </w:p>
        </w:tc>
        <w:tc>
          <w:tcPr>
            <w:tcW w:w="0" w:type="auto"/>
            <w:vMerge w:val="continue"/>
            <w:shd w:val="clear" w:color="auto" w:fill="auto"/>
            <w:vAlign w:val="center"/>
          </w:tcPr>
          <w:p>
            <w:pPr>
              <w:pStyle w:val="15"/>
              <w:bidi w:val="0"/>
              <w:rPr>
                <w:highlight w:val="none"/>
              </w:rPr>
            </w:pPr>
          </w:p>
        </w:tc>
        <w:tc>
          <w:tcPr>
            <w:tcW w:w="1099" w:type="dxa"/>
            <w:vMerge w:val="continue"/>
            <w:shd w:val="clear" w:color="auto" w:fill="auto"/>
            <w:vAlign w:val="center"/>
          </w:tcPr>
          <w:p>
            <w:pPr>
              <w:pStyle w:val="15"/>
              <w:bidi w:val="0"/>
              <w:rPr>
                <w:highlight w:val="none"/>
              </w:rPr>
            </w:pPr>
          </w:p>
        </w:tc>
        <w:tc>
          <w:tcPr>
            <w:tcW w:w="1176" w:type="dxa"/>
            <w:vMerge w:val="continue"/>
            <w:shd w:val="clear" w:color="auto" w:fill="auto"/>
            <w:vAlign w:val="center"/>
          </w:tcPr>
          <w:p>
            <w:pPr>
              <w:pStyle w:val="15"/>
              <w:bidi w:val="0"/>
              <w:rPr>
                <w:highlight w:val="none"/>
              </w:rPr>
            </w:pPr>
          </w:p>
        </w:tc>
        <w:tc>
          <w:tcPr>
            <w:tcW w:w="1920" w:type="dxa"/>
            <w:shd w:val="clear" w:color="auto" w:fill="auto"/>
            <w:vAlign w:val="center"/>
          </w:tcPr>
          <w:p>
            <w:pPr>
              <w:pStyle w:val="15"/>
              <w:bidi w:val="0"/>
              <w:rPr>
                <w:rFonts w:hint="default"/>
                <w:highlight w:val="none"/>
                <w:lang w:val="en-US" w:eastAsia="zh-CN"/>
              </w:rPr>
            </w:pPr>
            <w:r>
              <w:rPr>
                <w:rFonts w:hint="eastAsia"/>
                <w:highlight w:val="none"/>
                <w:lang w:val="en-US" w:eastAsia="zh-CN"/>
              </w:rPr>
              <w:t>系统可靠性</w:t>
            </w:r>
          </w:p>
        </w:tc>
        <w:tc>
          <w:tcPr>
            <w:tcW w:w="2348" w:type="dxa"/>
            <w:shd w:val="clear" w:color="auto" w:fill="auto"/>
            <w:vAlign w:val="center"/>
          </w:tcPr>
          <w:p>
            <w:pPr>
              <w:pStyle w:val="15"/>
              <w:bidi w:val="0"/>
              <w:rPr>
                <w:rFonts w:hint="default"/>
                <w:highlight w:val="none"/>
                <w:lang w:val="en-US" w:eastAsia="zh-CN"/>
              </w:rPr>
            </w:pPr>
            <w:r>
              <w:rPr>
                <w:rFonts w:hint="eastAsia"/>
                <w:highlight w:val="none"/>
                <w:lang w:val="en-US" w:eastAsia="zh-CN"/>
              </w:rPr>
              <w:t>不低于99.8%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0" w:type="auto"/>
            <w:shd w:val="clear" w:color="auto" w:fill="auto"/>
            <w:vAlign w:val="center"/>
          </w:tcPr>
          <w:p>
            <w:pPr>
              <w:pStyle w:val="15"/>
              <w:numPr>
                <w:ilvl w:val="0"/>
                <w:numId w:val="2"/>
              </w:numPr>
              <w:bidi w:val="0"/>
              <w:ind w:left="425" w:hanging="425"/>
              <w:rPr>
                <w:highlight w:val="none"/>
              </w:rPr>
            </w:pPr>
          </w:p>
        </w:tc>
        <w:tc>
          <w:tcPr>
            <w:tcW w:w="0" w:type="auto"/>
            <w:vMerge w:val="restart"/>
            <w:shd w:val="clear" w:color="auto" w:fill="auto"/>
            <w:vAlign w:val="center"/>
          </w:tcPr>
          <w:p>
            <w:pPr>
              <w:pStyle w:val="15"/>
              <w:bidi w:val="0"/>
              <w:rPr>
                <w:highlight w:val="none"/>
              </w:rPr>
            </w:pPr>
            <w:r>
              <w:rPr>
                <w:highlight w:val="none"/>
              </w:rPr>
              <w:t>自定义指标</w:t>
            </w:r>
          </w:p>
        </w:tc>
        <w:tc>
          <w:tcPr>
            <w:tcW w:w="0" w:type="auto"/>
            <w:vMerge w:val="restart"/>
            <w:shd w:val="clear" w:color="auto" w:fill="auto"/>
            <w:vAlign w:val="center"/>
          </w:tcPr>
          <w:p>
            <w:pPr>
              <w:pStyle w:val="15"/>
              <w:bidi w:val="0"/>
              <w:rPr>
                <w:highlight w:val="none"/>
              </w:rPr>
            </w:pPr>
            <w:r>
              <w:rPr>
                <w:highlight w:val="none"/>
              </w:rPr>
              <w:t>产出指标</w:t>
            </w:r>
          </w:p>
        </w:tc>
        <w:tc>
          <w:tcPr>
            <w:tcW w:w="0" w:type="auto"/>
            <w:shd w:val="clear" w:color="auto" w:fill="auto"/>
            <w:vAlign w:val="center"/>
          </w:tcPr>
          <w:p>
            <w:pPr>
              <w:pStyle w:val="15"/>
              <w:bidi w:val="0"/>
              <w:rPr>
                <w:highlight w:val="none"/>
              </w:rPr>
            </w:pPr>
            <w:r>
              <w:rPr>
                <w:highlight w:val="none"/>
              </w:rPr>
              <w:t>产出数量</w:t>
            </w:r>
          </w:p>
        </w:tc>
        <w:tc>
          <w:tcPr>
            <w:tcW w:w="1920" w:type="dxa"/>
            <w:shd w:val="clear" w:color="auto" w:fill="auto"/>
            <w:vAlign w:val="center"/>
          </w:tcPr>
          <w:p>
            <w:pPr>
              <w:pStyle w:val="15"/>
              <w:bidi w:val="0"/>
              <w:rPr>
                <w:highlight w:val="none"/>
              </w:rPr>
            </w:pPr>
            <w:r>
              <w:rPr>
                <w:highlight w:val="none"/>
              </w:rPr>
              <w:t>软件开发功能数量</w:t>
            </w:r>
          </w:p>
        </w:tc>
        <w:tc>
          <w:tcPr>
            <w:tcW w:w="2348" w:type="dxa"/>
            <w:shd w:val="clear" w:color="auto" w:fill="auto"/>
            <w:vAlign w:val="center"/>
          </w:tcPr>
          <w:p>
            <w:pPr>
              <w:pStyle w:val="15"/>
              <w:bidi w:val="0"/>
              <w:rPr>
                <w:highlight w:val="none"/>
              </w:rPr>
            </w:pPr>
            <w:r>
              <w:rPr>
                <w:rFonts w:hint="eastAsia"/>
                <w:highlight w:val="none"/>
              </w:rPr>
              <w:t>不少于</w:t>
            </w:r>
            <w:r>
              <w:rPr>
                <w:rFonts w:hint="eastAsia"/>
                <w:highlight w:val="none"/>
                <w:lang w:val="en-US" w:eastAsia="zh-CN"/>
              </w:rPr>
              <w:t>28</w:t>
            </w:r>
            <w:r>
              <w:rPr>
                <w:highlight w:val="none"/>
              </w:rPr>
              <w:t>个功能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pStyle w:val="15"/>
              <w:numPr>
                <w:ilvl w:val="0"/>
                <w:numId w:val="2"/>
              </w:numPr>
              <w:bidi w:val="0"/>
              <w:ind w:left="425" w:hanging="425"/>
              <w:rPr>
                <w:highlight w:val="none"/>
              </w:rPr>
            </w:pPr>
          </w:p>
        </w:tc>
        <w:tc>
          <w:tcPr>
            <w:tcW w:w="0" w:type="auto"/>
            <w:vMerge w:val="continue"/>
            <w:shd w:val="clear" w:color="auto" w:fill="auto"/>
            <w:vAlign w:val="center"/>
          </w:tcPr>
          <w:p>
            <w:pPr>
              <w:pStyle w:val="15"/>
              <w:bidi w:val="0"/>
              <w:rPr>
                <w:highlight w:val="none"/>
              </w:rPr>
            </w:pPr>
          </w:p>
        </w:tc>
        <w:tc>
          <w:tcPr>
            <w:tcW w:w="0" w:type="auto"/>
            <w:vMerge w:val="continue"/>
            <w:shd w:val="clear" w:color="auto" w:fill="auto"/>
            <w:vAlign w:val="center"/>
          </w:tcPr>
          <w:p>
            <w:pPr>
              <w:pStyle w:val="15"/>
              <w:bidi w:val="0"/>
              <w:rPr>
                <w:highlight w:val="none"/>
              </w:rPr>
            </w:pPr>
          </w:p>
        </w:tc>
        <w:tc>
          <w:tcPr>
            <w:tcW w:w="0" w:type="auto"/>
            <w:vMerge w:val="restart"/>
            <w:shd w:val="clear" w:color="auto" w:fill="auto"/>
            <w:vAlign w:val="center"/>
          </w:tcPr>
          <w:p>
            <w:pPr>
              <w:pStyle w:val="15"/>
              <w:bidi w:val="0"/>
              <w:rPr>
                <w:highlight w:val="none"/>
              </w:rPr>
            </w:pPr>
            <w:r>
              <w:rPr>
                <w:highlight w:val="none"/>
              </w:rPr>
              <w:t>产出质量</w:t>
            </w:r>
          </w:p>
        </w:tc>
        <w:tc>
          <w:tcPr>
            <w:tcW w:w="1920" w:type="dxa"/>
            <w:shd w:val="clear" w:color="auto" w:fill="auto"/>
            <w:vAlign w:val="center"/>
          </w:tcPr>
          <w:p>
            <w:pPr>
              <w:pStyle w:val="15"/>
              <w:bidi w:val="0"/>
              <w:rPr>
                <w:highlight w:val="none"/>
              </w:rPr>
            </w:pPr>
            <w:r>
              <w:rPr>
                <w:highlight w:val="none"/>
              </w:rPr>
              <w:t>数据查询响应时间</w:t>
            </w:r>
          </w:p>
        </w:tc>
        <w:tc>
          <w:tcPr>
            <w:tcW w:w="2348" w:type="dxa"/>
            <w:shd w:val="clear" w:color="auto" w:fill="auto"/>
            <w:vAlign w:val="center"/>
          </w:tcPr>
          <w:p>
            <w:pPr>
              <w:pStyle w:val="15"/>
              <w:bidi w:val="0"/>
              <w:rPr>
                <w:highlight w:val="none"/>
              </w:rPr>
            </w:pPr>
            <w:r>
              <w:rPr>
                <w:highlight w:val="none"/>
              </w:rPr>
              <w:t>不大于3秒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pStyle w:val="15"/>
              <w:numPr>
                <w:ilvl w:val="0"/>
                <w:numId w:val="2"/>
              </w:numPr>
              <w:bidi w:val="0"/>
              <w:ind w:left="425" w:hanging="425"/>
              <w:rPr>
                <w:highlight w:val="none"/>
              </w:rPr>
            </w:pPr>
          </w:p>
        </w:tc>
        <w:tc>
          <w:tcPr>
            <w:tcW w:w="0" w:type="auto"/>
            <w:vMerge w:val="continue"/>
            <w:shd w:val="clear" w:color="auto" w:fill="auto"/>
            <w:vAlign w:val="center"/>
          </w:tcPr>
          <w:p>
            <w:pPr>
              <w:pStyle w:val="15"/>
              <w:bidi w:val="0"/>
              <w:rPr>
                <w:highlight w:val="none"/>
              </w:rPr>
            </w:pPr>
          </w:p>
        </w:tc>
        <w:tc>
          <w:tcPr>
            <w:tcW w:w="0" w:type="auto"/>
            <w:vMerge w:val="continue"/>
            <w:shd w:val="clear" w:color="auto" w:fill="auto"/>
            <w:vAlign w:val="center"/>
          </w:tcPr>
          <w:p>
            <w:pPr>
              <w:pStyle w:val="15"/>
              <w:bidi w:val="0"/>
              <w:rPr>
                <w:highlight w:val="none"/>
              </w:rPr>
            </w:pPr>
          </w:p>
        </w:tc>
        <w:tc>
          <w:tcPr>
            <w:tcW w:w="0" w:type="auto"/>
            <w:vMerge w:val="continue"/>
            <w:shd w:val="clear" w:color="auto" w:fill="auto"/>
            <w:vAlign w:val="center"/>
          </w:tcPr>
          <w:p>
            <w:pPr>
              <w:pStyle w:val="15"/>
              <w:bidi w:val="0"/>
              <w:rPr>
                <w:highlight w:val="none"/>
              </w:rPr>
            </w:pPr>
          </w:p>
        </w:tc>
        <w:tc>
          <w:tcPr>
            <w:tcW w:w="1920" w:type="dxa"/>
            <w:shd w:val="clear" w:color="auto" w:fill="auto"/>
            <w:vAlign w:val="center"/>
          </w:tcPr>
          <w:p>
            <w:pPr>
              <w:pStyle w:val="15"/>
              <w:bidi w:val="0"/>
              <w:rPr>
                <w:highlight w:val="none"/>
              </w:rPr>
            </w:pPr>
            <w:r>
              <w:rPr>
                <w:highlight w:val="none"/>
              </w:rPr>
              <w:t>支持并发数</w:t>
            </w:r>
          </w:p>
        </w:tc>
        <w:tc>
          <w:tcPr>
            <w:tcW w:w="2348" w:type="dxa"/>
            <w:shd w:val="clear" w:color="auto" w:fill="auto"/>
            <w:vAlign w:val="center"/>
          </w:tcPr>
          <w:p>
            <w:pPr>
              <w:pStyle w:val="15"/>
              <w:bidi w:val="0"/>
              <w:rPr>
                <w:highlight w:val="none"/>
              </w:rPr>
            </w:pPr>
            <w:r>
              <w:rPr>
                <w:highlight w:val="none"/>
              </w:rPr>
              <w:t>50个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pStyle w:val="15"/>
              <w:numPr>
                <w:ilvl w:val="0"/>
                <w:numId w:val="2"/>
              </w:numPr>
              <w:bidi w:val="0"/>
              <w:ind w:left="425" w:hanging="425"/>
              <w:rPr>
                <w:highlight w:val="none"/>
              </w:rPr>
            </w:pPr>
          </w:p>
        </w:tc>
        <w:tc>
          <w:tcPr>
            <w:tcW w:w="0" w:type="auto"/>
            <w:vMerge w:val="continue"/>
            <w:shd w:val="clear" w:color="auto" w:fill="auto"/>
            <w:vAlign w:val="center"/>
          </w:tcPr>
          <w:p>
            <w:pPr>
              <w:pStyle w:val="15"/>
              <w:bidi w:val="0"/>
              <w:rPr>
                <w:highlight w:val="none"/>
              </w:rPr>
            </w:pPr>
          </w:p>
        </w:tc>
        <w:tc>
          <w:tcPr>
            <w:tcW w:w="0" w:type="auto"/>
            <w:vMerge w:val="continue"/>
            <w:shd w:val="clear" w:color="auto" w:fill="auto"/>
            <w:vAlign w:val="center"/>
          </w:tcPr>
          <w:p>
            <w:pPr>
              <w:pStyle w:val="15"/>
              <w:bidi w:val="0"/>
              <w:rPr>
                <w:highlight w:val="none"/>
              </w:rPr>
            </w:pPr>
          </w:p>
        </w:tc>
        <w:tc>
          <w:tcPr>
            <w:tcW w:w="0" w:type="auto"/>
            <w:vMerge w:val="continue"/>
            <w:shd w:val="clear" w:color="auto" w:fill="auto"/>
            <w:vAlign w:val="center"/>
          </w:tcPr>
          <w:p>
            <w:pPr>
              <w:pStyle w:val="15"/>
              <w:bidi w:val="0"/>
              <w:rPr>
                <w:highlight w:val="none"/>
              </w:rPr>
            </w:pPr>
          </w:p>
        </w:tc>
        <w:tc>
          <w:tcPr>
            <w:tcW w:w="1920" w:type="dxa"/>
            <w:shd w:val="clear" w:color="auto" w:fill="auto"/>
            <w:vAlign w:val="center"/>
          </w:tcPr>
          <w:p>
            <w:pPr>
              <w:pStyle w:val="15"/>
              <w:bidi w:val="0"/>
              <w:rPr>
                <w:highlight w:val="none"/>
              </w:rPr>
            </w:pPr>
            <w:r>
              <w:rPr>
                <w:highlight w:val="none"/>
              </w:rPr>
              <w:t>质量达标率</w:t>
            </w:r>
          </w:p>
        </w:tc>
        <w:tc>
          <w:tcPr>
            <w:tcW w:w="2348" w:type="dxa"/>
            <w:shd w:val="clear" w:color="auto" w:fill="auto"/>
            <w:vAlign w:val="center"/>
          </w:tcPr>
          <w:p>
            <w:pPr>
              <w:pStyle w:val="15"/>
              <w:bidi w:val="0"/>
              <w:rPr>
                <w:highlight w:val="none"/>
              </w:rPr>
            </w:pPr>
            <w:r>
              <w:rPr>
                <w:highlight w:val="none"/>
              </w:rPr>
              <w:t>100%</w:t>
            </w:r>
          </w:p>
        </w:tc>
      </w:tr>
    </w:tbl>
    <w:p>
      <w:pPr>
        <w:pStyle w:val="16"/>
        <w:ind w:firstLine="0" w:firstLineChars="0"/>
        <w:rPr>
          <w:highlight w:val="none"/>
        </w:rPr>
      </w:pPr>
    </w:p>
    <w:p>
      <w:pPr>
        <w:keepNext/>
        <w:keepLines/>
        <w:widowControl/>
        <w:spacing w:before="120" w:after="120" w:line="360" w:lineRule="auto"/>
        <w:outlineLvl w:val="2"/>
        <w:rPr>
          <w:rFonts w:ascii="宋体" w:hAnsi="宋体" w:cs="黑体"/>
          <w:b/>
          <w:bCs/>
          <w:kern w:val="44"/>
          <w:sz w:val="24"/>
          <w:szCs w:val="24"/>
          <w:highlight w:val="none"/>
        </w:rPr>
      </w:pPr>
      <w:r>
        <w:rPr>
          <w:rFonts w:ascii="宋体" w:hAnsi="宋体" w:cs="黑体"/>
          <w:b/>
          <w:bCs/>
          <w:kern w:val="44"/>
          <w:sz w:val="24"/>
          <w:szCs w:val="24"/>
          <w:highlight w:val="none"/>
        </w:rPr>
        <w:t xml:space="preserve">2.3 </w:t>
      </w:r>
      <w:r>
        <w:rPr>
          <w:rFonts w:hint="eastAsia" w:ascii="宋体" w:hAnsi="宋体" w:cs="黑体"/>
          <w:b/>
          <w:bCs/>
          <w:kern w:val="44"/>
          <w:sz w:val="24"/>
          <w:szCs w:val="24"/>
          <w:highlight w:val="none"/>
        </w:rPr>
        <w:t>绩效目标</w:t>
      </w:r>
    </w:p>
    <w:tbl>
      <w:tblPr>
        <w:tblStyle w:val="11"/>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67"/>
        <w:gridCol w:w="1277"/>
        <w:gridCol w:w="1117"/>
        <w:gridCol w:w="1159"/>
        <w:gridCol w:w="1904"/>
        <w:gridCol w:w="239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391" w:type="pct"/>
            <w:shd w:val="clear" w:color="auto" w:fill="auto"/>
            <w:vAlign w:val="center"/>
          </w:tcPr>
          <w:p>
            <w:pPr>
              <w:pStyle w:val="15"/>
              <w:bidi w:val="0"/>
              <w:rPr>
                <w:rFonts w:hint="eastAsia" w:eastAsia="仿宋"/>
                <w:highlight w:val="none"/>
                <w:lang w:val="en-US" w:eastAsia="zh-CN"/>
              </w:rPr>
            </w:pPr>
            <w:r>
              <w:rPr>
                <w:rFonts w:hint="eastAsia"/>
                <w:highlight w:val="none"/>
                <w:lang w:val="en-US" w:eastAsia="zh-CN"/>
              </w:rPr>
              <w:t>序号</w:t>
            </w:r>
          </w:p>
        </w:tc>
        <w:tc>
          <w:tcPr>
            <w:tcW w:w="749" w:type="pct"/>
            <w:shd w:val="clear" w:color="auto" w:fill="auto"/>
            <w:vAlign w:val="center"/>
          </w:tcPr>
          <w:p>
            <w:pPr>
              <w:pStyle w:val="15"/>
              <w:bidi w:val="0"/>
              <w:rPr>
                <w:rFonts w:hint="eastAsia"/>
                <w:highlight w:val="none"/>
              </w:rPr>
            </w:pPr>
            <w:r>
              <w:rPr>
                <w:highlight w:val="none"/>
              </w:rPr>
              <w:t>一级指标</w:t>
            </w:r>
          </w:p>
        </w:tc>
        <w:tc>
          <w:tcPr>
            <w:tcW w:w="655" w:type="pct"/>
            <w:shd w:val="clear" w:color="auto" w:fill="auto"/>
            <w:vAlign w:val="center"/>
          </w:tcPr>
          <w:p>
            <w:pPr>
              <w:pStyle w:val="15"/>
              <w:bidi w:val="0"/>
              <w:rPr>
                <w:highlight w:val="none"/>
              </w:rPr>
            </w:pPr>
            <w:r>
              <w:rPr>
                <w:highlight w:val="none"/>
              </w:rPr>
              <w:t>二级指标</w:t>
            </w:r>
          </w:p>
        </w:tc>
        <w:tc>
          <w:tcPr>
            <w:tcW w:w="680" w:type="pct"/>
            <w:shd w:val="clear" w:color="auto" w:fill="auto"/>
            <w:vAlign w:val="center"/>
          </w:tcPr>
          <w:p>
            <w:pPr>
              <w:pStyle w:val="15"/>
              <w:bidi w:val="0"/>
              <w:rPr>
                <w:highlight w:val="none"/>
              </w:rPr>
            </w:pPr>
            <w:r>
              <w:rPr>
                <w:highlight w:val="none"/>
              </w:rPr>
              <w:t>三级指标</w:t>
            </w:r>
          </w:p>
        </w:tc>
        <w:tc>
          <w:tcPr>
            <w:tcW w:w="1117" w:type="pct"/>
            <w:shd w:val="clear" w:color="auto" w:fill="auto"/>
            <w:vAlign w:val="center"/>
          </w:tcPr>
          <w:p>
            <w:pPr>
              <w:pStyle w:val="15"/>
              <w:bidi w:val="0"/>
              <w:rPr>
                <w:highlight w:val="none"/>
              </w:rPr>
            </w:pPr>
            <w:r>
              <w:rPr>
                <w:highlight w:val="none"/>
              </w:rPr>
              <w:t>四级指标</w:t>
            </w:r>
          </w:p>
        </w:tc>
        <w:tc>
          <w:tcPr>
            <w:tcW w:w="1405" w:type="pct"/>
            <w:shd w:val="clear" w:color="auto" w:fill="auto"/>
            <w:vAlign w:val="center"/>
          </w:tcPr>
          <w:p>
            <w:pPr>
              <w:pStyle w:val="15"/>
              <w:bidi w:val="0"/>
              <w:rPr>
                <w:highlight w:val="none"/>
              </w:rPr>
            </w:pPr>
            <w:r>
              <w:rPr>
                <w:highlight w:val="none"/>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391" w:type="pct"/>
            <w:shd w:val="clear" w:color="auto" w:fill="auto"/>
            <w:vAlign w:val="center"/>
          </w:tcPr>
          <w:p>
            <w:pPr>
              <w:pStyle w:val="15"/>
              <w:numPr>
                <w:ilvl w:val="0"/>
                <w:numId w:val="3"/>
              </w:numPr>
              <w:bidi w:val="0"/>
              <w:ind w:left="425" w:hanging="425"/>
              <w:rPr>
                <w:highlight w:val="none"/>
              </w:rPr>
            </w:pPr>
          </w:p>
        </w:tc>
        <w:tc>
          <w:tcPr>
            <w:tcW w:w="749" w:type="pct"/>
            <w:vMerge w:val="restart"/>
            <w:shd w:val="clear" w:color="auto" w:fill="auto"/>
            <w:vAlign w:val="center"/>
          </w:tcPr>
          <w:p>
            <w:pPr>
              <w:pStyle w:val="15"/>
              <w:bidi w:val="0"/>
              <w:rPr>
                <w:rFonts w:hint="default" w:eastAsia="仿宋"/>
                <w:highlight w:val="none"/>
                <w:lang w:val="en-US" w:eastAsia="zh-CN"/>
              </w:rPr>
            </w:pPr>
            <w:r>
              <w:rPr>
                <w:rFonts w:hint="eastAsia"/>
                <w:highlight w:val="none"/>
                <w:lang w:val="en-US" w:eastAsia="zh-CN"/>
              </w:rPr>
              <w:t>业务指标</w:t>
            </w:r>
          </w:p>
        </w:tc>
        <w:tc>
          <w:tcPr>
            <w:tcW w:w="655" w:type="pct"/>
            <w:vMerge w:val="restart"/>
            <w:shd w:val="clear" w:color="auto" w:fill="auto"/>
            <w:vAlign w:val="center"/>
          </w:tcPr>
          <w:p>
            <w:pPr>
              <w:pStyle w:val="15"/>
              <w:bidi w:val="0"/>
              <w:rPr>
                <w:highlight w:val="none"/>
              </w:rPr>
            </w:pPr>
            <w:r>
              <w:rPr>
                <w:highlight w:val="none"/>
              </w:rPr>
              <w:t>产出指标</w:t>
            </w:r>
          </w:p>
        </w:tc>
        <w:tc>
          <w:tcPr>
            <w:tcW w:w="680" w:type="pct"/>
            <w:shd w:val="clear" w:color="auto" w:fill="auto"/>
            <w:vAlign w:val="center"/>
          </w:tcPr>
          <w:p>
            <w:pPr>
              <w:pStyle w:val="15"/>
              <w:bidi w:val="0"/>
              <w:rPr>
                <w:highlight w:val="none"/>
              </w:rPr>
            </w:pPr>
            <w:r>
              <w:rPr>
                <w:rFonts w:hint="eastAsia"/>
                <w:highlight w:val="none"/>
              </w:rPr>
              <w:t>时效指标</w:t>
            </w:r>
          </w:p>
        </w:tc>
        <w:tc>
          <w:tcPr>
            <w:tcW w:w="1117" w:type="pct"/>
            <w:shd w:val="clear" w:color="auto" w:fill="auto"/>
          </w:tcPr>
          <w:p>
            <w:pPr>
              <w:pStyle w:val="15"/>
              <w:bidi w:val="0"/>
              <w:rPr>
                <w:highlight w:val="none"/>
              </w:rPr>
            </w:pPr>
            <w:r>
              <w:rPr>
                <w:rFonts w:hint="eastAsia"/>
                <w:highlight w:val="none"/>
              </w:rPr>
              <w:t>项目建设周期</w:t>
            </w:r>
          </w:p>
        </w:tc>
        <w:tc>
          <w:tcPr>
            <w:tcW w:w="1405" w:type="pct"/>
            <w:shd w:val="clear" w:color="auto" w:fill="auto"/>
            <w:vAlign w:val="center"/>
          </w:tcPr>
          <w:p>
            <w:pPr>
              <w:pStyle w:val="15"/>
              <w:bidi w:val="0"/>
              <w:rPr>
                <w:highlight w:val="none"/>
              </w:rPr>
            </w:pPr>
            <w:r>
              <w:rPr>
                <w:rFonts w:hint="eastAsia"/>
                <w:highlight w:val="none"/>
              </w:rPr>
              <w:t>9个月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391" w:type="pct"/>
            <w:shd w:val="clear" w:color="auto" w:fill="auto"/>
            <w:vAlign w:val="center"/>
          </w:tcPr>
          <w:p>
            <w:pPr>
              <w:pStyle w:val="15"/>
              <w:numPr>
                <w:ilvl w:val="0"/>
                <w:numId w:val="3"/>
              </w:numPr>
              <w:bidi w:val="0"/>
              <w:ind w:left="425" w:hanging="425"/>
              <w:rPr>
                <w:highlight w:val="none"/>
              </w:rPr>
            </w:pPr>
          </w:p>
        </w:tc>
        <w:tc>
          <w:tcPr>
            <w:tcW w:w="749" w:type="pct"/>
            <w:vMerge w:val="continue"/>
            <w:shd w:val="clear" w:color="auto" w:fill="auto"/>
            <w:vAlign w:val="center"/>
          </w:tcPr>
          <w:p>
            <w:pPr>
              <w:pStyle w:val="15"/>
              <w:bidi w:val="0"/>
              <w:rPr>
                <w:highlight w:val="none"/>
              </w:rPr>
            </w:pPr>
          </w:p>
        </w:tc>
        <w:tc>
          <w:tcPr>
            <w:tcW w:w="655" w:type="pct"/>
            <w:vMerge w:val="continue"/>
            <w:shd w:val="clear" w:color="auto" w:fill="auto"/>
            <w:vAlign w:val="center"/>
          </w:tcPr>
          <w:p>
            <w:pPr>
              <w:pStyle w:val="15"/>
              <w:bidi w:val="0"/>
              <w:rPr>
                <w:highlight w:val="none"/>
              </w:rPr>
            </w:pPr>
          </w:p>
        </w:tc>
        <w:tc>
          <w:tcPr>
            <w:tcW w:w="680" w:type="pct"/>
            <w:shd w:val="clear" w:color="auto" w:fill="auto"/>
            <w:vAlign w:val="center"/>
          </w:tcPr>
          <w:p>
            <w:pPr>
              <w:pStyle w:val="15"/>
              <w:bidi w:val="0"/>
              <w:rPr>
                <w:highlight w:val="none"/>
              </w:rPr>
            </w:pPr>
            <w:r>
              <w:rPr>
                <w:rFonts w:hint="eastAsia"/>
                <w:highlight w:val="none"/>
              </w:rPr>
              <w:t>质量指标</w:t>
            </w:r>
          </w:p>
        </w:tc>
        <w:tc>
          <w:tcPr>
            <w:tcW w:w="1117" w:type="pct"/>
            <w:shd w:val="clear" w:color="auto" w:fill="auto"/>
            <w:vAlign w:val="center"/>
          </w:tcPr>
          <w:p>
            <w:pPr>
              <w:pStyle w:val="15"/>
              <w:bidi w:val="0"/>
              <w:rPr>
                <w:highlight w:val="none"/>
              </w:rPr>
            </w:pPr>
            <w:r>
              <w:rPr>
                <w:rFonts w:hint="eastAsia"/>
                <w:highlight w:val="none"/>
              </w:rPr>
              <w:t>验收合格率</w:t>
            </w:r>
          </w:p>
        </w:tc>
        <w:tc>
          <w:tcPr>
            <w:tcW w:w="1405" w:type="pct"/>
            <w:shd w:val="clear" w:color="auto" w:fill="auto"/>
            <w:vAlign w:val="center"/>
          </w:tcPr>
          <w:p>
            <w:pPr>
              <w:pStyle w:val="15"/>
              <w:bidi w:val="0"/>
              <w:rPr>
                <w:highlight w:val="none"/>
              </w:rPr>
            </w:pPr>
            <w:r>
              <w:rPr>
                <w:rFonts w:hint="eastAsia"/>
                <w:highlight w:val="none"/>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391" w:type="pct"/>
            <w:shd w:val="clear" w:color="auto" w:fill="auto"/>
            <w:vAlign w:val="center"/>
          </w:tcPr>
          <w:p>
            <w:pPr>
              <w:pStyle w:val="15"/>
              <w:numPr>
                <w:ilvl w:val="0"/>
                <w:numId w:val="3"/>
              </w:numPr>
              <w:bidi w:val="0"/>
              <w:ind w:left="425" w:hanging="425"/>
              <w:rPr>
                <w:highlight w:val="none"/>
              </w:rPr>
            </w:pPr>
          </w:p>
        </w:tc>
        <w:tc>
          <w:tcPr>
            <w:tcW w:w="749" w:type="pct"/>
            <w:vMerge w:val="continue"/>
            <w:shd w:val="clear" w:color="auto" w:fill="auto"/>
            <w:vAlign w:val="center"/>
          </w:tcPr>
          <w:p>
            <w:pPr>
              <w:pStyle w:val="15"/>
              <w:bidi w:val="0"/>
              <w:rPr>
                <w:highlight w:val="none"/>
              </w:rPr>
            </w:pPr>
          </w:p>
        </w:tc>
        <w:tc>
          <w:tcPr>
            <w:tcW w:w="655" w:type="pct"/>
            <w:vMerge w:val="continue"/>
            <w:shd w:val="clear" w:color="auto" w:fill="auto"/>
            <w:vAlign w:val="center"/>
          </w:tcPr>
          <w:p>
            <w:pPr>
              <w:pStyle w:val="15"/>
              <w:bidi w:val="0"/>
              <w:rPr>
                <w:highlight w:val="none"/>
              </w:rPr>
            </w:pPr>
          </w:p>
        </w:tc>
        <w:tc>
          <w:tcPr>
            <w:tcW w:w="680" w:type="pct"/>
            <w:shd w:val="clear" w:color="auto" w:fill="auto"/>
            <w:vAlign w:val="center"/>
          </w:tcPr>
          <w:p>
            <w:pPr>
              <w:pStyle w:val="15"/>
              <w:bidi w:val="0"/>
              <w:rPr>
                <w:highlight w:val="none"/>
              </w:rPr>
            </w:pPr>
            <w:r>
              <w:rPr>
                <w:rFonts w:hint="eastAsia"/>
                <w:highlight w:val="none"/>
              </w:rPr>
              <w:t>数量指标</w:t>
            </w:r>
          </w:p>
        </w:tc>
        <w:tc>
          <w:tcPr>
            <w:tcW w:w="1117" w:type="pct"/>
            <w:shd w:val="clear" w:color="auto" w:fill="auto"/>
            <w:vAlign w:val="center"/>
          </w:tcPr>
          <w:p>
            <w:pPr>
              <w:pStyle w:val="15"/>
              <w:bidi w:val="0"/>
              <w:rPr>
                <w:highlight w:val="none"/>
              </w:rPr>
            </w:pPr>
            <w:r>
              <w:rPr>
                <w:rFonts w:hint="eastAsia"/>
                <w:highlight w:val="none"/>
              </w:rPr>
              <w:t>系统用户量</w:t>
            </w:r>
          </w:p>
        </w:tc>
        <w:tc>
          <w:tcPr>
            <w:tcW w:w="1405" w:type="pct"/>
            <w:shd w:val="clear" w:color="auto" w:fill="auto"/>
            <w:vAlign w:val="center"/>
          </w:tcPr>
          <w:p>
            <w:pPr>
              <w:pStyle w:val="15"/>
              <w:bidi w:val="0"/>
              <w:rPr>
                <w:rFonts w:hint="eastAsia" w:eastAsia="仿宋"/>
                <w:highlight w:val="none"/>
                <w:lang w:val="en-US" w:eastAsia="zh-CN"/>
              </w:rPr>
            </w:pPr>
            <w:r>
              <w:rPr>
                <w:rFonts w:hint="eastAsia"/>
                <w:highlight w:val="none"/>
              </w:rPr>
              <w:t>1000</w:t>
            </w:r>
            <w:r>
              <w:rPr>
                <w:rFonts w:hint="eastAsia"/>
                <w:highlight w:val="none"/>
                <w:lang w:val="en-US" w:eastAsia="zh-CN"/>
              </w:rPr>
              <w:t>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391" w:type="pct"/>
            <w:shd w:val="clear" w:color="auto" w:fill="auto"/>
            <w:vAlign w:val="center"/>
          </w:tcPr>
          <w:p>
            <w:pPr>
              <w:pStyle w:val="15"/>
              <w:numPr>
                <w:ilvl w:val="0"/>
                <w:numId w:val="3"/>
              </w:numPr>
              <w:bidi w:val="0"/>
              <w:ind w:left="425" w:hanging="425"/>
              <w:rPr>
                <w:rFonts w:hint="eastAsia"/>
                <w:highlight w:val="none"/>
              </w:rPr>
            </w:pPr>
          </w:p>
        </w:tc>
        <w:tc>
          <w:tcPr>
            <w:tcW w:w="749" w:type="pct"/>
            <w:vMerge w:val="continue"/>
            <w:shd w:val="clear" w:color="auto" w:fill="auto"/>
            <w:vAlign w:val="center"/>
          </w:tcPr>
          <w:p>
            <w:pPr>
              <w:pStyle w:val="15"/>
              <w:bidi w:val="0"/>
              <w:rPr>
                <w:rFonts w:hint="eastAsia"/>
                <w:highlight w:val="none"/>
              </w:rPr>
            </w:pPr>
          </w:p>
        </w:tc>
        <w:tc>
          <w:tcPr>
            <w:tcW w:w="655" w:type="pct"/>
            <w:vMerge w:val="restart"/>
            <w:shd w:val="clear" w:color="auto" w:fill="auto"/>
            <w:vAlign w:val="center"/>
          </w:tcPr>
          <w:p>
            <w:pPr>
              <w:pStyle w:val="15"/>
              <w:bidi w:val="0"/>
              <w:rPr>
                <w:highlight w:val="none"/>
              </w:rPr>
            </w:pPr>
            <w:r>
              <w:rPr>
                <w:rFonts w:hint="eastAsia"/>
                <w:highlight w:val="none"/>
              </w:rPr>
              <w:t>效益指标</w:t>
            </w:r>
          </w:p>
        </w:tc>
        <w:tc>
          <w:tcPr>
            <w:tcW w:w="680" w:type="pct"/>
            <w:vMerge w:val="restart"/>
            <w:shd w:val="clear" w:color="auto" w:fill="auto"/>
            <w:vAlign w:val="center"/>
          </w:tcPr>
          <w:p>
            <w:pPr>
              <w:pStyle w:val="15"/>
              <w:bidi w:val="0"/>
              <w:rPr>
                <w:highlight w:val="none"/>
              </w:rPr>
            </w:pPr>
            <w:r>
              <w:rPr>
                <w:rFonts w:hint="eastAsia"/>
                <w:highlight w:val="none"/>
              </w:rPr>
              <w:t>社会效益指标</w:t>
            </w:r>
          </w:p>
        </w:tc>
        <w:tc>
          <w:tcPr>
            <w:tcW w:w="1117" w:type="pct"/>
            <w:shd w:val="clear" w:color="auto" w:fill="auto"/>
            <w:vAlign w:val="center"/>
          </w:tcPr>
          <w:p>
            <w:pPr>
              <w:pStyle w:val="15"/>
              <w:bidi w:val="0"/>
              <w:rPr>
                <w:highlight w:val="none"/>
              </w:rPr>
            </w:pPr>
            <w:r>
              <w:rPr>
                <w:rFonts w:hint="eastAsia"/>
                <w:highlight w:val="none"/>
                <w:lang w:val="en-US" w:eastAsia="zh-CN"/>
              </w:rPr>
              <w:t>赋能</w:t>
            </w:r>
            <w:r>
              <w:rPr>
                <w:rFonts w:hint="eastAsia"/>
                <w:highlight w:val="none"/>
              </w:rPr>
              <w:t>品牌</w:t>
            </w:r>
            <w:r>
              <w:rPr>
                <w:rFonts w:hint="eastAsia"/>
                <w:highlight w:val="none"/>
                <w:lang w:val="en-US" w:eastAsia="zh-CN"/>
              </w:rPr>
              <w:t>主体</w:t>
            </w:r>
            <w:r>
              <w:rPr>
                <w:rFonts w:hint="eastAsia"/>
                <w:highlight w:val="none"/>
              </w:rPr>
              <w:t>保护</w:t>
            </w:r>
          </w:p>
        </w:tc>
        <w:tc>
          <w:tcPr>
            <w:tcW w:w="1405" w:type="pct"/>
            <w:shd w:val="clear" w:color="auto" w:fill="auto"/>
            <w:vAlign w:val="center"/>
          </w:tcPr>
          <w:p>
            <w:pPr>
              <w:pStyle w:val="15"/>
              <w:bidi w:val="0"/>
              <w:rPr>
                <w:rFonts w:hint="default" w:eastAsia="仿宋"/>
                <w:highlight w:val="none"/>
                <w:lang w:val="en-US" w:eastAsia="zh-CN"/>
              </w:rPr>
            </w:pPr>
            <w:r>
              <w:rPr>
                <w:rFonts w:hint="eastAsia"/>
                <w:highlight w:val="none"/>
                <w:lang w:val="en-US" w:eastAsia="zh-CN"/>
              </w:rPr>
              <w:t>不少于100家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391" w:type="pct"/>
            <w:shd w:val="clear" w:color="auto" w:fill="auto"/>
            <w:vAlign w:val="center"/>
          </w:tcPr>
          <w:p>
            <w:pPr>
              <w:pStyle w:val="15"/>
              <w:numPr>
                <w:ilvl w:val="0"/>
                <w:numId w:val="3"/>
              </w:numPr>
              <w:bidi w:val="0"/>
              <w:ind w:left="425" w:hanging="425"/>
              <w:rPr>
                <w:highlight w:val="none"/>
              </w:rPr>
            </w:pPr>
          </w:p>
        </w:tc>
        <w:tc>
          <w:tcPr>
            <w:tcW w:w="749" w:type="pct"/>
            <w:vMerge w:val="continue"/>
            <w:shd w:val="clear" w:color="auto" w:fill="auto"/>
            <w:vAlign w:val="center"/>
          </w:tcPr>
          <w:p>
            <w:pPr>
              <w:pStyle w:val="15"/>
              <w:bidi w:val="0"/>
              <w:rPr>
                <w:highlight w:val="none"/>
              </w:rPr>
            </w:pPr>
          </w:p>
        </w:tc>
        <w:tc>
          <w:tcPr>
            <w:tcW w:w="655" w:type="pct"/>
            <w:vMerge w:val="continue"/>
            <w:shd w:val="clear" w:color="auto" w:fill="auto"/>
            <w:vAlign w:val="center"/>
          </w:tcPr>
          <w:p>
            <w:pPr>
              <w:pStyle w:val="15"/>
              <w:bidi w:val="0"/>
              <w:rPr>
                <w:highlight w:val="none"/>
              </w:rPr>
            </w:pPr>
          </w:p>
        </w:tc>
        <w:tc>
          <w:tcPr>
            <w:tcW w:w="680" w:type="pct"/>
            <w:vMerge w:val="continue"/>
            <w:shd w:val="clear" w:color="auto" w:fill="auto"/>
            <w:vAlign w:val="center"/>
          </w:tcPr>
          <w:p>
            <w:pPr>
              <w:pStyle w:val="15"/>
              <w:bidi w:val="0"/>
              <w:rPr>
                <w:highlight w:val="none"/>
              </w:rPr>
            </w:pPr>
          </w:p>
        </w:tc>
        <w:tc>
          <w:tcPr>
            <w:tcW w:w="1117" w:type="pct"/>
            <w:shd w:val="clear" w:color="auto" w:fill="auto"/>
            <w:vAlign w:val="center"/>
          </w:tcPr>
          <w:p>
            <w:pPr>
              <w:pStyle w:val="15"/>
              <w:bidi w:val="0"/>
              <w:rPr>
                <w:highlight w:val="none"/>
              </w:rPr>
            </w:pPr>
            <w:r>
              <w:rPr>
                <w:rFonts w:hint="eastAsia"/>
                <w:highlight w:val="none"/>
                <w:lang w:val="en-US" w:eastAsia="zh-CN"/>
              </w:rPr>
              <w:t>赋能市民农产品追溯</w:t>
            </w:r>
          </w:p>
        </w:tc>
        <w:tc>
          <w:tcPr>
            <w:tcW w:w="1405" w:type="pct"/>
            <w:shd w:val="clear" w:color="auto" w:fill="auto"/>
            <w:vAlign w:val="center"/>
          </w:tcPr>
          <w:p>
            <w:pPr>
              <w:pStyle w:val="15"/>
              <w:bidi w:val="0"/>
              <w:rPr>
                <w:rFonts w:hint="default" w:eastAsia="仿宋"/>
                <w:highlight w:val="none"/>
                <w:lang w:val="en-US" w:eastAsia="zh-CN"/>
              </w:rPr>
            </w:pPr>
            <w:r>
              <w:rPr>
                <w:rFonts w:hint="eastAsia"/>
                <w:highlight w:val="none"/>
                <w:lang w:val="en-US" w:eastAsia="zh-CN"/>
              </w:rPr>
              <w:t>扫码次数不少于20000次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391" w:type="pct"/>
            <w:shd w:val="clear" w:color="auto" w:fill="auto"/>
            <w:vAlign w:val="center"/>
          </w:tcPr>
          <w:p>
            <w:pPr>
              <w:pStyle w:val="15"/>
              <w:numPr>
                <w:ilvl w:val="0"/>
                <w:numId w:val="3"/>
              </w:numPr>
              <w:bidi w:val="0"/>
              <w:ind w:left="425" w:hanging="425"/>
              <w:rPr>
                <w:rFonts w:hint="eastAsia"/>
                <w:highlight w:val="none"/>
              </w:rPr>
            </w:pPr>
          </w:p>
        </w:tc>
        <w:tc>
          <w:tcPr>
            <w:tcW w:w="749" w:type="pct"/>
            <w:vMerge w:val="continue"/>
            <w:shd w:val="clear" w:color="auto" w:fill="auto"/>
            <w:vAlign w:val="center"/>
          </w:tcPr>
          <w:p>
            <w:pPr>
              <w:pStyle w:val="15"/>
              <w:bidi w:val="0"/>
              <w:rPr>
                <w:rFonts w:hint="eastAsia"/>
                <w:highlight w:val="none"/>
              </w:rPr>
            </w:pPr>
          </w:p>
        </w:tc>
        <w:tc>
          <w:tcPr>
            <w:tcW w:w="655" w:type="pct"/>
            <w:shd w:val="clear" w:color="auto" w:fill="auto"/>
            <w:vAlign w:val="center"/>
          </w:tcPr>
          <w:p>
            <w:pPr>
              <w:pStyle w:val="15"/>
              <w:bidi w:val="0"/>
              <w:rPr>
                <w:highlight w:val="none"/>
              </w:rPr>
            </w:pPr>
            <w:r>
              <w:rPr>
                <w:rFonts w:hint="eastAsia"/>
                <w:highlight w:val="none"/>
              </w:rPr>
              <w:t>数据</w:t>
            </w:r>
            <w:r>
              <w:rPr>
                <w:highlight w:val="none"/>
              </w:rPr>
              <w:t>指标</w:t>
            </w:r>
          </w:p>
        </w:tc>
        <w:tc>
          <w:tcPr>
            <w:tcW w:w="680" w:type="pct"/>
            <w:shd w:val="clear" w:color="auto" w:fill="auto"/>
            <w:vAlign w:val="center"/>
          </w:tcPr>
          <w:p>
            <w:pPr>
              <w:pStyle w:val="15"/>
              <w:bidi w:val="0"/>
              <w:rPr>
                <w:highlight w:val="none"/>
              </w:rPr>
            </w:pPr>
            <w:r>
              <w:rPr>
                <w:rFonts w:hint="eastAsia"/>
                <w:highlight w:val="none"/>
              </w:rPr>
              <w:t>数据储存</w:t>
            </w:r>
          </w:p>
        </w:tc>
        <w:tc>
          <w:tcPr>
            <w:tcW w:w="1117" w:type="pct"/>
            <w:shd w:val="clear" w:color="auto" w:fill="auto"/>
            <w:vAlign w:val="center"/>
          </w:tcPr>
          <w:p>
            <w:pPr>
              <w:pStyle w:val="15"/>
              <w:bidi w:val="0"/>
              <w:rPr>
                <w:highlight w:val="none"/>
              </w:rPr>
            </w:pPr>
            <w:r>
              <w:rPr>
                <w:rFonts w:hint="eastAsia"/>
                <w:highlight w:val="none"/>
              </w:rPr>
              <w:t>数据存储量</w:t>
            </w:r>
          </w:p>
        </w:tc>
        <w:tc>
          <w:tcPr>
            <w:tcW w:w="1405" w:type="pct"/>
            <w:shd w:val="clear" w:color="auto" w:fill="auto"/>
            <w:vAlign w:val="center"/>
          </w:tcPr>
          <w:p>
            <w:pPr>
              <w:pStyle w:val="15"/>
              <w:bidi w:val="0"/>
              <w:rPr>
                <w:highlight w:val="none"/>
              </w:rPr>
            </w:pPr>
            <w:r>
              <w:rPr>
                <w:rFonts w:hint="eastAsia"/>
                <w:highlight w:val="none"/>
              </w:rPr>
              <w:t>1000GB</w:t>
            </w:r>
          </w:p>
        </w:tc>
      </w:tr>
    </w:tbl>
    <w:p>
      <w:pPr>
        <w:ind w:firstLine="480"/>
        <w:rPr>
          <w:highlight w:val="none"/>
        </w:rPr>
      </w:pPr>
    </w:p>
    <w:p>
      <w:pPr>
        <w:keepNext/>
        <w:keepLines/>
        <w:widowControl/>
        <w:spacing w:before="120" w:after="120" w:line="360" w:lineRule="auto"/>
        <w:outlineLvl w:val="2"/>
        <w:rPr>
          <w:rFonts w:ascii="宋体" w:hAnsi="宋体" w:cs="黑体"/>
          <w:b/>
          <w:bCs/>
          <w:kern w:val="44"/>
          <w:sz w:val="24"/>
          <w:szCs w:val="24"/>
          <w:highlight w:val="none"/>
        </w:rPr>
      </w:pPr>
      <w:r>
        <w:rPr>
          <w:rFonts w:ascii="宋体" w:hAnsi="宋体" w:cs="黑体"/>
          <w:b/>
          <w:bCs/>
          <w:kern w:val="44"/>
          <w:sz w:val="24"/>
          <w:szCs w:val="24"/>
          <w:highlight w:val="none"/>
        </w:rPr>
        <w:t>2.4 部署环境</w:t>
      </w:r>
    </w:p>
    <w:p>
      <w:pPr>
        <w:bidi w:val="0"/>
        <w:rPr>
          <w:highlight w:val="none"/>
        </w:rPr>
      </w:pPr>
      <w:r>
        <w:rPr>
          <w:highlight w:val="none"/>
        </w:rPr>
        <w:t>本系统</w:t>
      </w:r>
      <w:r>
        <w:rPr>
          <w:rFonts w:hint="eastAsia"/>
          <w:highlight w:val="none"/>
        </w:rPr>
        <w:t>要求</w:t>
      </w:r>
      <w:r>
        <w:rPr>
          <w:highlight w:val="none"/>
        </w:rPr>
        <w:t>部署在上海市电子政务云上</w:t>
      </w:r>
      <w:r>
        <w:rPr>
          <w:rFonts w:hint="eastAsia"/>
          <w:highlight w:val="none"/>
        </w:rPr>
        <w:t>，按国产化标准建设</w:t>
      </w:r>
      <w:r>
        <w:rPr>
          <w:highlight w:val="none"/>
        </w:rPr>
        <w:t>。</w:t>
      </w:r>
    </w:p>
    <w:p>
      <w:pPr>
        <w:keepNext/>
        <w:keepLines/>
        <w:widowControl/>
        <w:spacing w:before="120" w:after="120" w:line="360" w:lineRule="auto"/>
        <w:outlineLvl w:val="1"/>
        <w:rPr>
          <w:rFonts w:ascii="宋体" w:hAnsi="宋体" w:cs="黑体"/>
          <w:b/>
          <w:bCs/>
          <w:kern w:val="44"/>
          <w:sz w:val="24"/>
          <w:szCs w:val="24"/>
          <w:highlight w:val="none"/>
        </w:rPr>
      </w:pPr>
      <w:r>
        <w:rPr>
          <w:rFonts w:hint="eastAsia" w:ascii="宋体" w:hAnsi="宋体" w:cs="黑体"/>
          <w:b/>
          <w:bCs/>
          <w:kern w:val="44"/>
          <w:sz w:val="24"/>
          <w:szCs w:val="24"/>
          <w:highlight w:val="none"/>
        </w:rPr>
        <w:t>三、</w:t>
      </w:r>
      <w:r>
        <w:rPr>
          <w:rFonts w:ascii="宋体" w:hAnsi="宋体" w:cs="黑体"/>
          <w:b/>
          <w:bCs/>
          <w:kern w:val="44"/>
          <w:sz w:val="24"/>
          <w:szCs w:val="24"/>
          <w:highlight w:val="none"/>
        </w:rPr>
        <w:t>项目建设内容</w:t>
      </w:r>
    </w:p>
    <w:p>
      <w:pPr>
        <w:keepNext/>
        <w:keepLines/>
        <w:widowControl/>
        <w:spacing w:before="120" w:after="120" w:line="360" w:lineRule="auto"/>
        <w:outlineLvl w:val="2"/>
        <w:rPr>
          <w:rFonts w:ascii="宋体" w:hAnsi="宋体" w:cs="黑体"/>
          <w:b/>
          <w:bCs/>
          <w:kern w:val="44"/>
          <w:sz w:val="24"/>
          <w:szCs w:val="24"/>
          <w:highlight w:val="none"/>
        </w:rPr>
      </w:pPr>
      <w:bookmarkStart w:id="3" w:name="_Toc63785502"/>
      <w:r>
        <w:rPr>
          <w:rFonts w:hint="eastAsia" w:ascii="宋体" w:hAnsi="宋体" w:cs="黑体"/>
          <w:b/>
          <w:bCs/>
          <w:kern w:val="44"/>
          <w:sz w:val="24"/>
          <w:szCs w:val="24"/>
          <w:highlight w:val="none"/>
        </w:rPr>
        <w:t>3.1系统架构要求</w:t>
      </w:r>
    </w:p>
    <w:p>
      <w:pPr>
        <w:bidi w:val="0"/>
        <w:rPr>
          <w:rFonts w:ascii="宋体" w:hAnsi="宋体" w:cs="宋体"/>
          <w:szCs w:val="24"/>
          <w:highlight w:val="none"/>
        </w:rPr>
      </w:pPr>
      <w:r>
        <w:rPr>
          <w:rFonts w:hint="eastAsia"/>
          <w:highlight w:val="none"/>
        </w:rPr>
        <w:t>本系统需采用</w:t>
      </w:r>
      <w:r>
        <w:rPr>
          <w:highlight w:val="none"/>
        </w:rPr>
        <w:t>J2EE</w:t>
      </w:r>
      <w:r>
        <w:rPr>
          <w:rFonts w:hint="eastAsia"/>
          <w:highlight w:val="none"/>
        </w:rPr>
        <w:t>技术体系，实现跨平台运行能力，并支持国产操作系统、国产数据库和国产中间件，保证高可用性和安全性。实现农产品数据的采集、可信存储、共享和溯源。包含可信网络、溯源技术、加密技术、共识机制等关键技术，保障数据的安全传输、可靠存储和可信共享。运用可信溯源技术，将关键环节数据进行可信存储，使其拥有唯一的数字签名和时间戳，确保数据的不可篡改和可追溯性。采用表现层、业务逻辑层和数据层的多层架构设计，降低系统各层间的耦合度，方便系统的扩展和改造。</w:t>
      </w:r>
    </w:p>
    <w:p>
      <w:pPr>
        <w:pStyle w:val="16"/>
        <w:ind w:firstLine="0" w:firstLineChars="0"/>
        <w:rPr>
          <w:highlight w:val="none"/>
        </w:rPr>
      </w:pPr>
      <w:r>
        <w:rPr>
          <w:rFonts w:hint="eastAsia" w:ascii="仿宋_GB2312" w:hAnsi="仿宋_GB2312" w:eastAsia="仿宋_GB2312" w:cs="仿宋_GB2312"/>
          <w:highlight w:val="none"/>
        </w:rPr>
        <w:drawing>
          <wp:inline distT="0" distB="0" distL="114300" distR="114300">
            <wp:extent cx="5264150" cy="2632075"/>
            <wp:effectExtent l="0" t="0" r="8890" b="4445"/>
            <wp:docPr id="1" name="图片 1" descr="5ecad4053efaaf3b71e5484ae5fba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cad4053efaaf3b71e5484ae5fba153"/>
                    <pic:cNvPicPr>
                      <a:picLocks noChangeAspect="1"/>
                    </pic:cNvPicPr>
                  </pic:nvPicPr>
                  <pic:blipFill>
                    <a:blip r:embed="rId7"/>
                    <a:stretch>
                      <a:fillRect/>
                    </a:stretch>
                  </pic:blipFill>
                  <pic:spPr>
                    <a:xfrm>
                      <a:off x="0" y="0"/>
                      <a:ext cx="5264150" cy="2632075"/>
                    </a:xfrm>
                    <a:prstGeom prst="rect">
                      <a:avLst/>
                    </a:prstGeom>
                  </pic:spPr>
                </pic:pic>
              </a:graphicData>
            </a:graphic>
          </wp:inline>
        </w:drawing>
      </w:r>
    </w:p>
    <w:p>
      <w:pPr>
        <w:keepNext/>
        <w:keepLines/>
        <w:widowControl/>
        <w:spacing w:before="120" w:after="120" w:line="360" w:lineRule="auto"/>
        <w:outlineLvl w:val="2"/>
        <w:rPr>
          <w:rFonts w:ascii="宋体" w:hAnsi="宋体" w:cs="黑体"/>
          <w:b/>
          <w:bCs/>
          <w:kern w:val="44"/>
          <w:sz w:val="24"/>
          <w:szCs w:val="24"/>
          <w:highlight w:val="none"/>
        </w:rPr>
      </w:pPr>
      <w:r>
        <w:rPr>
          <w:rFonts w:hint="eastAsia" w:ascii="宋体" w:hAnsi="宋体" w:cs="黑体"/>
          <w:b/>
          <w:bCs/>
          <w:kern w:val="44"/>
          <w:sz w:val="24"/>
          <w:szCs w:val="24"/>
          <w:highlight w:val="none"/>
        </w:rPr>
        <w:t>3.2软件开发需求</w:t>
      </w:r>
    </w:p>
    <w:p>
      <w:pPr>
        <w:jc w:val="center"/>
        <w:rPr>
          <w:b/>
          <w:highlight w:val="none"/>
        </w:rPr>
      </w:pPr>
      <w:r>
        <w:rPr>
          <w:b/>
          <w:highlight w:val="none"/>
        </w:rPr>
        <w:t>软件开发清单</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0"/>
        <w:gridCol w:w="1056"/>
        <w:gridCol w:w="2178"/>
        <w:gridCol w:w="4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bidi w:val="0"/>
              <w:rPr>
                <w:highlight w:val="none"/>
              </w:rPr>
            </w:pPr>
            <w:r>
              <w:rPr>
                <w:rFonts w:hint="eastAsia"/>
                <w:highlight w:val="none"/>
                <w:lang w:val="en-US" w:eastAsia="zh-CN"/>
              </w:rPr>
              <w:t>序号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bidi w:val="0"/>
              <w:rPr>
                <w:rFonts w:hint="eastAsia"/>
                <w:highlight w:val="none"/>
              </w:rPr>
            </w:pPr>
            <w:r>
              <w:rPr>
                <w:rFonts w:hint="eastAsia"/>
                <w:highlight w:val="none"/>
                <w:lang w:val="en-US" w:eastAsia="zh-CN"/>
              </w:rPr>
              <w:t>功能模块</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bidi w:val="0"/>
              <w:rPr>
                <w:rFonts w:hint="eastAsia"/>
                <w:highlight w:val="none"/>
              </w:rPr>
            </w:pPr>
            <w:r>
              <w:rPr>
                <w:rFonts w:hint="eastAsia"/>
                <w:highlight w:val="none"/>
                <w:lang w:val="en-US" w:eastAsia="zh-CN"/>
              </w:rPr>
              <w:t>功能名称</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bidi w:val="0"/>
              <w:rPr>
                <w:rFonts w:hint="eastAsia"/>
                <w:highlight w:val="none"/>
              </w:rPr>
            </w:pPr>
            <w:r>
              <w:rPr>
                <w:rFonts w:hint="eastAsia"/>
                <w:highlight w:val="none"/>
                <w:lang w:val="en-US" w:eastAsia="zh-CN"/>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业务数据接入管理</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政府端业务数据对接管理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接经营主体信息，提供导入、修改及可信同步操作，对主体信息分析统计，展示发码情况、扫码情况、上链面积、上链数据量等信息；对接农产品监管被监管主体、监管单位、监管类型、监管结果等信息，并可针对品种同步对应主体的监管信息；对接绿色认证信息的主体名称、农产品名称、证书编号、许可时间等信息，并可针对品种同步对应主体的绿色认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生产端业务数据对接管理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对接种源信息、生产档案信息、农事信息、采收信息、销售信息、合格证信息、品鉴评优信息等数据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3</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市场端业务数据对接管理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对接入仓信息、出仓信息及加工信息等数据；对接被保险主体、保险公司、承保险种等信息，并对保险信息是否在保进行核验功能；对接检测信息的检测单位、检测时间、检测报告等信息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4</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上海市食品安全信息追溯平台数据对接管理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对接上海市食品安全信息追溯平台的产品信息，包含产品69码，产品名称，规格，批次号等信息；根据配置开关来控制数据同步，并对所有产品、批次统计重量及数量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5</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农产品监管系统巡检功能优化及业务提醒</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对上海市农产品质量安全移动监管及数据分析系统中日常巡查及二品一标巡检功能调整，需提示该主体是可信追溯农产品主体，需要核实情况后上报，对业务人员提醒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6</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农产品全链路可信数据管理</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农产品溯源信息全流程管控</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依托市区两级审核架构，对农产品溯源信息进行全流程、多维度的严格把关。区级对溯源主体信息的内容、数据项确认、溯源内容确认，市级审核人员再进行信息确认审核，确保数据真实准确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7</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可信数据全环节逻辑校验管理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对所有环节溯源数据逻辑验证，种植采收逻辑校验，采收销售逻辑校验，销售合格证逻辑校验，主体与生产档案逻辑校验，入仓与出仓逻辑校验，出仓与加工逻辑校验，未对应的无法进行后续环节的数据可信同步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8</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基于PaaS的可信数据同步服务</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实现对农产品溯源数据相关任务的全流程管理。系统支持任务的创建、分配、调度与监控，可根据业务需求灵活设置任务执行周期、农产品等参数；集成SDK，运用PaaS服务实现对所有溯源数据模块的可信数据同步功能，支持单项数据及批量数据可信同步，实时返回同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9</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可信数据防伪验证管理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支持防伪验证管理，验证溯源数据的真实性，使用数据的唯一id核验溯源数据是否真实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10</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优质农产品溯源应用</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农产品粗加工溯源模板定制与配置管理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针对农产品粗加工环节的业务特点，定制所有溯源环节的通用模板，提供灵活可配置的溯源模板定制功能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11</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农产品深加工溯源模板定制与配置管理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针对农产品深加工环节的业务特点，定制所有溯源环节的通用模板，提供灵活可配置的溯源模板定制功能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12</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合格证与溯源码联动管理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实现合格证和溯源码实现二码合一，将合格证信息绑定到溯源码上，扫码溯源码后可展示合格证信息内容，也可进行解绑操作去除绑定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13</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溯源落地页信息展示-合格证</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实现对合格证码的溯源落地页展示，包含主体信息、产品信息、监管信息、合格证信息、生产档案信息等模块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14</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溯源落地页信息展示-溯源码通用版</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实现对溯源物码的溯源落地页展示，提供通用样式、logo、模块内容，可根据各个品种筛选对应模块内容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15</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溯源落地页信息展示-溯源码定制版</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实现对溯源物码的溯源落地页定制开发，在遵循既定溯源内容规范的基础上，提供多元样式风格与丰富模块展现形式，精准匹配不同品种的个性化需求；提供溯源码图片共享接口及功能，可在溯源落地页中添加分享功能，分享物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16</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数据洞察与辅助决策</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全市农产品溯源数据统计与趋势分析</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支持全市及涉农区，不同时段农产品品种个数、累计可信同步数据数量、累加溯源码发放情况、不同时段涉农区及品种的统计分析、可根据时间段展示溯源趋势，根据不同环节溯源数据的占比情况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17</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农产品品种数据统计分析</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支持15个农产品品种各个环节业务发生量，包括种植、采收、销售、监管、保险、认证环节统计分析；农产品品种的主体区域、当日可信同步数据，种植面积，累计可信同步数据统计分析；支持农产品品种的溯源动态展示，展示用户以哪种方式进行溯源，并点击唯一编号可进行展示溯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18</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农产品溯源码统计分析与防伪预警</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支持各类农产品溯源情况统计分析，各端统计情况、溯源主体排行，溯源次数统计溯源清单，各农产品溯源次数统计；对异常溯源情况监测，支持对特定的溯源农产品做溯源限制，限制时间范围和品种；对溯源次数过多的产品进行预警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19</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地产优质农产品核心模块展示、核心指标提炼</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支持对所有地产优质农产品品种及重点农产品上市情况同步与展示，各类农产品信息分析展示；支持对所有品种溯源品种数、溯源数据量、溯源主体、溯源面积统计分析；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20</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系统管理与安全管理</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系统全流程消息触达与反馈协同管理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应系统流程的审核过程消息生成，并通知到对应权限用户人员，提示该消息需要操作处理，点击消息直接跳转到对应功能页；意见反馈功能在手机端溯源后可提交意见反馈，PC端展示意见反馈内容并使用短信发送对应主体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21</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农产品品类基础信息管理</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可新增，修改删除品种品类，可筛选类别名称和编码，供品种生成时选择品类；管理各区优质农产品和重点农产品，包含区域、品种类别、品种名称、上市时间等信息。同时汇总种植养殖面积、溯源码发放数量、扫码查询频次等关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22</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用户操作日志行为审计</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可筛选模块、用户、角色、账号来查询日志访问情况，并对访问情况统计分析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23</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移动端协同</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农产品溯源核心指标总体看板</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通过图表、图文等展示全市所有农产品的可信同步数据和溯源情况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24</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农产品可信数据线上审核</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对接一体化办公平台消息通知，支持市级审核人员在线审核区级确认内容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25</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可视化成果展示</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优质农产品品牌主体及数据信息展示</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对该优质农产品品牌下的主体个数、上链面积、上链数据量等信息展示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26</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用户端溯源数据情况统计展示</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对主体上链面积统计、主体上链数据量统计、主体发码量统计、主体地理位置等信息展示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27</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合格证及物码扫码情况统计展示</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对扫码情况按照合格证和物码两个维度分别以日、月来统计展示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28</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实时扫码及异常情况预警提醒及统计分析</w:t>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对二维码编号、主体名称、扫码次数、备注等信息展示</w:t>
            </w:r>
          </w:p>
        </w:tc>
      </w:tr>
    </w:tbl>
    <w:p>
      <w:pPr>
        <w:jc w:val="center"/>
        <w:rPr>
          <w:b/>
          <w:highlight w:val="none"/>
        </w:rPr>
      </w:pPr>
    </w:p>
    <w:p>
      <w:pPr>
        <w:keepNext/>
        <w:keepLines/>
        <w:widowControl/>
        <w:spacing w:before="120" w:after="120" w:line="360" w:lineRule="auto"/>
        <w:outlineLvl w:val="2"/>
        <w:rPr>
          <w:rFonts w:ascii="宋体" w:hAnsi="宋体" w:cs="黑体"/>
          <w:b/>
          <w:bCs/>
          <w:kern w:val="44"/>
          <w:sz w:val="24"/>
          <w:szCs w:val="24"/>
          <w:highlight w:val="none"/>
        </w:rPr>
      </w:pPr>
      <w:r>
        <w:rPr>
          <w:rFonts w:hint="eastAsia" w:ascii="宋体" w:hAnsi="宋体" w:cs="黑体"/>
          <w:b/>
          <w:bCs/>
          <w:kern w:val="44"/>
          <w:sz w:val="24"/>
          <w:szCs w:val="24"/>
          <w:highlight w:val="none"/>
        </w:rPr>
        <w:t>3.3数据要求</w:t>
      </w:r>
    </w:p>
    <w:p>
      <w:pPr>
        <w:bidi w:val="0"/>
        <w:rPr>
          <w:highlight w:val="none"/>
        </w:rPr>
      </w:pPr>
      <w:r>
        <w:rPr>
          <w:rFonts w:hint="eastAsia"/>
          <w:highlight w:val="none"/>
        </w:rPr>
        <w:t>1、数据库设计文档中，原则上应包括建设的二级功能模块对应的数据库表。</w:t>
      </w:r>
    </w:p>
    <w:p>
      <w:pPr>
        <w:bidi w:val="0"/>
        <w:rPr>
          <w:highlight w:val="none"/>
        </w:rPr>
      </w:pPr>
      <w:r>
        <w:rPr>
          <w:rFonts w:hint="eastAsia"/>
          <w:highlight w:val="none"/>
        </w:rPr>
        <w:t>2、建设的业务功能模块涉及的业务对象、业务结果的数据库表应完成数据编目上链。</w:t>
      </w:r>
    </w:p>
    <w:p>
      <w:pPr>
        <w:bidi w:val="0"/>
        <w:rPr>
          <w:highlight w:val="none"/>
        </w:rPr>
      </w:pPr>
      <w:r>
        <w:rPr>
          <w:rFonts w:hint="eastAsia"/>
          <w:highlight w:val="none"/>
        </w:rPr>
        <w:t>3、数据目录名称应按照上海市大数据中心公共数据目录链管理系统要求规范命名。数据目录中的数据项应包含数据库表的核心数据项，其核心数据项应包含业务主体（人、企、事、产品、地址）、主体唯一标识、时</w:t>
      </w:r>
      <w:bookmarkStart w:id="13" w:name="_GoBack"/>
      <w:bookmarkEnd w:id="13"/>
      <w:r>
        <w:rPr>
          <w:rFonts w:hint="eastAsia"/>
          <w:highlight w:val="none"/>
        </w:rPr>
        <w:t>间等关键信息。</w:t>
      </w:r>
    </w:p>
    <w:p>
      <w:pPr>
        <w:bidi w:val="0"/>
        <w:rPr>
          <w:rFonts w:hint="eastAsia"/>
          <w:highlight w:val="none"/>
        </w:rPr>
      </w:pPr>
      <w:r>
        <w:rPr>
          <w:rFonts w:hint="eastAsia"/>
          <w:highlight w:val="none"/>
        </w:rPr>
        <w:t>4、系统建设后应具备与分中心指定的数据中台对接并实现数据归集和共享的能力。</w:t>
      </w:r>
    </w:p>
    <w:p>
      <w:pPr>
        <w:bidi w:val="0"/>
        <w:rPr>
          <w:rFonts w:hint="eastAsia"/>
          <w:highlight w:val="none"/>
        </w:rPr>
      </w:pPr>
      <w:r>
        <w:rPr>
          <w:rFonts w:hint="eastAsia"/>
          <w:highlight w:val="none"/>
        </w:rPr>
        <w:t>5、</w:t>
      </w:r>
      <w:r>
        <w:rPr>
          <w:rFonts w:hint="eastAsia"/>
          <w:highlight w:val="none"/>
          <w:lang w:val="en-US" w:eastAsia="zh-CN"/>
        </w:rPr>
        <w:t>应实现</w:t>
      </w:r>
      <w:r>
        <w:rPr>
          <w:rFonts w:hint="eastAsia"/>
          <w:highlight w:val="none"/>
        </w:rPr>
        <w:t>与上海市政务区块链政务服务智能合约</w:t>
      </w:r>
      <w:r>
        <w:rPr>
          <w:rFonts w:hint="eastAsia"/>
          <w:highlight w:val="none"/>
          <w:lang w:val="en-US" w:eastAsia="zh-CN"/>
        </w:rPr>
        <w:t>的</w:t>
      </w:r>
      <w:r>
        <w:rPr>
          <w:rFonts w:hint="eastAsia"/>
          <w:highlight w:val="none"/>
        </w:rPr>
        <w:t>接口</w:t>
      </w:r>
      <w:r>
        <w:rPr>
          <w:rFonts w:hint="eastAsia"/>
          <w:highlight w:val="none"/>
          <w:lang w:val="en-US" w:eastAsia="zh-CN"/>
        </w:rPr>
        <w:t>对接</w:t>
      </w:r>
      <w:r>
        <w:rPr>
          <w:rFonts w:hint="eastAsia"/>
          <w:highlight w:val="none"/>
        </w:rPr>
        <w:t>；实现</w:t>
      </w:r>
      <w:r>
        <w:rPr>
          <w:rFonts w:hint="eastAsia"/>
          <w:highlight w:val="none"/>
          <w:lang w:val="en-US" w:eastAsia="zh-CN"/>
        </w:rPr>
        <w:t>与</w:t>
      </w:r>
      <w:r>
        <w:rPr>
          <w:rFonts w:hint="eastAsia"/>
          <w:highlight w:val="none"/>
        </w:rPr>
        <w:t>业务系统</w:t>
      </w:r>
      <w:r>
        <w:rPr>
          <w:rFonts w:hint="eastAsia"/>
          <w:highlight w:val="none"/>
          <w:lang w:val="en-US" w:eastAsia="zh-CN"/>
        </w:rPr>
        <w:t>数据接口</w:t>
      </w:r>
      <w:r>
        <w:rPr>
          <w:rFonts w:hint="eastAsia"/>
          <w:highlight w:val="none"/>
        </w:rPr>
        <w:t>对接，包括与上海市农业农村数据资源库（一库）数据、上海市农产品质量安全移动监管及数据分析子系统数据</w:t>
      </w:r>
      <w:r>
        <w:rPr>
          <w:rFonts w:hint="eastAsia"/>
          <w:highlight w:val="none"/>
          <w:lang w:val="en-US" w:eastAsia="zh-CN"/>
        </w:rPr>
        <w:t>等</w:t>
      </w:r>
      <w:r>
        <w:rPr>
          <w:rFonts w:hint="eastAsia"/>
          <w:highlight w:val="none"/>
        </w:rPr>
        <w:t>；实现与第三方平台数据接口对接，包括保险</w:t>
      </w:r>
      <w:r>
        <w:rPr>
          <w:rFonts w:hint="eastAsia"/>
          <w:highlight w:val="none"/>
          <w:lang w:val="en-US" w:eastAsia="zh-CN"/>
        </w:rPr>
        <w:t>平台</w:t>
      </w:r>
      <w:r>
        <w:rPr>
          <w:rFonts w:hint="eastAsia"/>
          <w:highlight w:val="none"/>
        </w:rPr>
        <w:t>数据、上海市食品安全信息追溯平台</w:t>
      </w:r>
      <w:r>
        <w:rPr>
          <w:rFonts w:hint="eastAsia"/>
          <w:highlight w:val="none"/>
          <w:lang w:val="en-US" w:eastAsia="zh-CN"/>
        </w:rPr>
        <w:t>数据等</w:t>
      </w:r>
      <w:r>
        <w:rPr>
          <w:rFonts w:hint="eastAsia"/>
          <w:highlight w:val="none"/>
        </w:rPr>
        <w:t>。</w:t>
      </w:r>
    </w:p>
    <w:p>
      <w:pPr>
        <w:bidi w:val="0"/>
        <w:rPr>
          <w:highlight w:val="none"/>
        </w:rPr>
      </w:pPr>
      <w:r>
        <w:rPr>
          <w:rFonts w:hint="eastAsia"/>
          <w:highlight w:val="none"/>
          <w:lang w:val="en-US" w:eastAsia="zh-CN"/>
        </w:rPr>
        <w:t>6</w:t>
      </w:r>
      <w:r>
        <w:rPr>
          <w:rFonts w:hint="eastAsia"/>
          <w:highlight w:val="none"/>
        </w:rPr>
        <w:t>、配合完成业务数据标准编制，并按照相关管理规则和技术规范完成数据归集。</w:t>
      </w:r>
    </w:p>
    <w:p>
      <w:pPr>
        <w:keepNext/>
        <w:keepLines/>
        <w:widowControl/>
        <w:spacing w:before="120" w:after="120" w:line="360" w:lineRule="auto"/>
        <w:outlineLvl w:val="1"/>
        <w:rPr>
          <w:rFonts w:ascii="宋体" w:hAnsi="宋体" w:cs="黑体"/>
          <w:b/>
          <w:bCs/>
          <w:kern w:val="44"/>
          <w:sz w:val="24"/>
          <w:szCs w:val="24"/>
          <w:highlight w:val="none"/>
        </w:rPr>
      </w:pPr>
      <w:r>
        <w:rPr>
          <w:rFonts w:hint="eastAsia" w:ascii="宋体" w:hAnsi="宋体" w:cs="黑体"/>
          <w:b/>
          <w:bCs/>
          <w:kern w:val="44"/>
          <w:sz w:val="24"/>
          <w:szCs w:val="24"/>
          <w:highlight w:val="none"/>
        </w:rPr>
        <w:t>四、</w:t>
      </w:r>
      <w:r>
        <w:rPr>
          <w:rFonts w:ascii="宋体" w:hAnsi="宋体" w:cs="黑体"/>
          <w:b/>
          <w:bCs/>
          <w:kern w:val="44"/>
          <w:sz w:val="24"/>
          <w:szCs w:val="24"/>
          <w:highlight w:val="none"/>
        </w:rPr>
        <w:t>电子政务云资源需求</w:t>
      </w:r>
      <w:bookmarkEnd w:id="3"/>
    </w:p>
    <w:p>
      <w:pPr>
        <w:bidi w:val="0"/>
        <w:rPr>
          <w:rFonts w:hint="eastAsia"/>
          <w:highlight w:val="none"/>
          <w:lang w:eastAsia="zh-CN"/>
        </w:rPr>
      </w:pPr>
      <w:r>
        <w:rPr>
          <w:rFonts w:hint="eastAsia"/>
          <w:highlight w:val="none"/>
        </w:rPr>
        <w:t>本次建设根据估算拟向电子政务云申请</w:t>
      </w:r>
      <w:r>
        <w:rPr>
          <w:rFonts w:hint="eastAsia"/>
          <w:highlight w:val="none"/>
          <w:lang w:val="en-US" w:eastAsia="zh-CN"/>
        </w:rPr>
        <w:t>6</w:t>
      </w:r>
      <w:r>
        <w:rPr>
          <w:rFonts w:hint="eastAsia"/>
          <w:highlight w:val="none"/>
        </w:rPr>
        <w:t>台服务器资源CPU</w:t>
      </w:r>
      <w:r>
        <w:rPr>
          <w:rFonts w:hint="eastAsia"/>
          <w:highlight w:val="none"/>
          <w:lang w:val="en-US" w:eastAsia="zh-CN"/>
        </w:rPr>
        <w:t>56</w:t>
      </w:r>
      <w:r>
        <w:rPr>
          <w:rFonts w:hint="eastAsia"/>
          <w:highlight w:val="none"/>
        </w:rPr>
        <w:t>核、内存</w:t>
      </w:r>
      <w:r>
        <w:rPr>
          <w:rFonts w:hint="eastAsia"/>
          <w:highlight w:val="none"/>
          <w:lang w:val="en-US" w:eastAsia="zh-CN"/>
        </w:rPr>
        <w:t>112</w:t>
      </w:r>
      <w:r>
        <w:rPr>
          <w:rFonts w:hint="eastAsia"/>
          <w:highlight w:val="none"/>
        </w:rPr>
        <w:t>G、存储</w:t>
      </w:r>
      <w:r>
        <w:rPr>
          <w:rFonts w:hint="eastAsia"/>
          <w:highlight w:val="none"/>
          <w:lang w:val="en-US" w:eastAsia="zh-CN"/>
        </w:rPr>
        <w:t>4000GB</w:t>
      </w:r>
      <w:r>
        <w:rPr>
          <w:rFonts w:hint="eastAsia"/>
          <w:highlight w:val="none"/>
        </w:rPr>
        <w:t>，其中虚拟机</w:t>
      </w:r>
      <w:r>
        <w:rPr>
          <w:rFonts w:hint="eastAsia"/>
          <w:highlight w:val="none"/>
          <w:lang w:val="en-US" w:eastAsia="zh-CN"/>
        </w:rPr>
        <w:t>6</w:t>
      </w:r>
      <w:r>
        <w:rPr>
          <w:rFonts w:hint="eastAsia"/>
          <w:highlight w:val="none"/>
        </w:rPr>
        <w:t>台</w:t>
      </w:r>
      <w:r>
        <w:rPr>
          <w:rFonts w:hint="eastAsia"/>
          <w:highlight w:val="none"/>
          <w:lang w:eastAsia="zh-CN"/>
        </w:rPr>
        <w:t>。</w:t>
      </w:r>
    </w:p>
    <w:p>
      <w:pPr>
        <w:bidi w:val="0"/>
        <w:rPr>
          <w:rFonts w:hint="eastAsia"/>
          <w:highlight w:val="none"/>
        </w:rPr>
      </w:pPr>
      <w:r>
        <w:rPr>
          <w:rFonts w:hint="eastAsia"/>
          <w:highlight w:val="none"/>
          <w:lang w:val="en-US" w:eastAsia="zh-CN"/>
        </w:rPr>
        <w:t>具体</w:t>
      </w:r>
      <w:r>
        <w:rPr>
          <w:rFonts w:hint="eastAsia"/>
          <w:highlight w:val="none"/>
        </w:rPr>
        <w:t>资源如下：</w:t>
      </w:r>
    </w:p>
    <w:p>
      <w:pPr>
        <w:pStyle w:val="3"/>
        <w:rPr>
          <w:highlight w:val="none"/>
        </w:rPr>
      </w:pPr>
    </w:p>
    <w:tbl>
      <w:tblPr>
        <w:tblStyle w:val="11"/>
        <w:tblW w:w="4998" w:type="pct"/>
        <w:tblInd w:w="0" w:type="dxa"/>
        <w:tblLayout w:type="autofit"/>
        <w:tblCellMar>
          <w:top w:w="0" w:type="dxa"/>
          <w:left w:w="108" w:type="dxa"/>
          <w:bottom w:w="0" w:type="dxa"/>
          <w:right w:w="108" w:type="dxa"/>
        </w:tblCellMar>
      </w:tblPr>
      <w:tblGrid>
        <w:gridCol w:w="794"/>
        <w:gridCol w:w="2221"/>
        <w:gridCol w:w="1478"/>
        <w:gridCol w:w="1244"/>
        <w:gridCol w:w="1375"/>
        <w:gridCol w:w="1407"/>
      </w:tblGrid>
      <w:tr>
        <w:tblPrEx>
          <w:tblCellMar>
            <w:top w:w="0" w:type="dxa"/>
            <w:left w:w="108" w:type="dxa"/>
            <w:bottom w:w="0" w:type="dxa"/>
            <w:right w:w="108" w:type="dxa"/>
          </w:tblCellMar>
        </w:tblPrEx>
        <w:trPr>
          <w:trHeight w:val="258"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highlight w:val="none"/>
              </w:rPr>
            </w:pPr>
            <w:r>
              <w:rPr>
                <w:rFonts w:hint="eastAsia"/>
                <w:highlight w:val="none"/>
              </w:rPr>
              <w:t>序号</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bidi w:val="0"/>
              <w:rPr>
                <w:highlight w:val="none"/>
              </w:rPr>
            </w:pPr>
            <w:r>
              <w:rPr>
                <w:rFonts w:hint="eastAsia"/>
                <w:highlight w:val="none"/>
              </w:rPr>
              <w:t>资源名称</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highlight w:val="none"/>
              </w:rPr>
            </w:pPr>
            <w:r>
              <w:rPr>
                <w:rFonts w:hint="eastAsia"/>
                <w:highlight w:val="none"/>
              </w:rPr>
              <w:t>CPU（核）</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bidi w:val="0"/>
              <w:rPr>
                <w:highlight w:val="none"/>
              </w:rPr>
            </w:pPr>
            <w:r>
              <w:rPr>
                <w:rFonts w:hint="eastAsia"/>
                <w:highlight w:val="none"/>
              </w:rPr>
              <w:t>内存(GB)</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bidi w:val="0"/>
              <w:rPr>
                <w:highlight w:val="none"/>
              </w:rPr>
            </w:pPr>
            <w:r>
              <w:rPr>
                <w:rFonts w:hint="eastAsia"/>
                <w:highlight w:val="none"/>
              </w:rPr>
              <w:t>存储(GB)</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bidi w:val="0"/>
              <w:rPr>
                <w:highlight w:val="none"/>
              </w:rPr>
            </w:pPr>
            <w:r>
              <w:rPr>
                <w:rFonts w:hint="eastAsia"/>
                <w:highlight w:val="none"/>
              </w:rPr>
              <w:t>资源数量(台)</w:t>
            </w:r>
          </w:p>
        </w:tc>
      </w:tr>
      <w:tr>
        <w:tblPrEx>
          <w:tblCellMar>
            <w:top w:w="0" w:type="dxa"/>
            <w:left w:w="108" w:type="dxa"/>
            <w:bottom w:w="0" w:type="dxa"/>
            <w:right w:w="108" w:type="dxa"/>
          </w:tblCellMar>
        </w:tblPrEx>
        <w:trPr>
          <w:trHeight w:val="506"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1</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Web应用服务器</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16</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2</w:t>
            </w:r>
          </w:p>
        </w:tc>
      </w:tr>
      <w:tr>
        <w:tblPrEx>
          <w:tblCellMar>
            <w:top w:w="0" w:type="dxa"/>
            <w:left w:w="108" w:type="dxa"/>
            <w:bottom w:w="0" w:type="dxa"/>
            <w:right w:w="108" w:type="dxa"/>
          </w:tblCellMar>
        </w:tblPrEx>
        <w:trPr>
          <w:trHeight w:val="552"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2</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关系型数据库服务器</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32</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1000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1</w:t>
            </w:r>
          </w:p>
        </w:tc>
      </w:tr>
      <w:tr>
        <w:tblPrEx>
          <w:tblCellMar>
            <w:top w:w="0" w:type="dxa"/>
            <w:left w:w="108" w:type="dxa"/>
            <w:bottom w:w="0" w:type="dxa"/>
            <w:right w:w="108" w:type="dxa"/>
          </w:tblCellMar>
        </w:tblPrEx>
        <w:trPr>
          <w:trHeight w:val="552"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3</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应用服务器</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16</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2</w:t>
            </w:r>
          </w:p>
        </w:tc>
      </w:tr>
      <w:tr>
        <w:tblPrEx>
          <w:tblCellMar>
            <w:top w:w="0" w:type="dxa"/>
            <w:left w:w="108" w:type="dxa"/>
            <w:bottom w:w="0" w:type="dxa"/>
            <w:right w:w="108" w:type="dxa"/>
          </w:tblCellMar>
        </w:tblPrEx>
        <w:trPr>
          <w:trHeight w:val="552"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4</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容器服务器</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16</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1000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rPr>
              <w:t>1</w:t>
            </w:r>
          </w:p>
        </w:tc>
      </w:tr>
    </w:tbl>
    <w:p>
      <w:pPr>
        <w:keepNext w:val="0"/>
        <w:keepLines w:val="0"/>
        <w:widowControl/>
        <w:spacing w:before="0" w:after="0" w:line="240" w:lineRule="auto"/>
        <w:outlineLvl w:val="9"/>
        <w:rPr>
          <w:highlight w:val="none"/>
        </w:rPr>
      </w:pPr>
    </w:p>
    <w:p>
      <w:pPr>
        <w:bidi w:val="0"/>
        <w:rPr>
          <w:rFonts w:hint="eastAsia"/>
          <w:highlight w:val="none"/>
        </w:rPr>
      </w:pPr>
      <w:r>
        <w:rPr>
          <w:highlight w:val="none"/>
        </w:rPr>
        <w:t>本次建设根据估算</w:t>
      </w:r>
      <w:r>
        <w:rPr>
          <w:rFonts w:hint="eastAsia"/>
          <w:highlight w:val="none"/>
        </w:rPr>
        <w:t>，</w:t>
      </w:r>
      <w:r>
        <w:rPr>
          <w:highlight w:val="none"/>
        </w:rPr>
        <w:t>拟</w:t>
      </w:r>
      <w:r>
        <w:rPr>
          <w:rFonts w:hint="eastAsia"/>
          <w:highlight w:val="none"/>
        </w:rPr>
        <w:t>申请的PaaS服务资源如下：</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3746"/>
        <w:gridCol w:w="2045"/>
        <w:gridCol w:w="2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highlight w:val="none"/>
              </w:rPr>
            </w:pPr>
            <w:r>
              <w:rPr>
                <w:rFonts w:hint="eastAsia"/>
                <w:highlight w:val="none"/>
                <w:lang w:val="en-US" w:eastAsia="zh-CN"/>
              </w:rPr>
              <w:t>序号</w:t>
            </w:r>
          </w:p>
        </w:tc>
        <w:tc>
          <w:tcPr>
            <w:tcW w:w="2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bidi w:val="0"/>
              <w:rPr>
                <w:rFonts w:hint="eastAsia"/>
                <w:highlight w:val="none"/>
              </w:rPr>
            </w:pPr>
            <w:r>
              <w:rPr>
                <w:rFonts w:hint="eastAsia"/>
                <w:highlight w:val="none"/>
                <w:lang w:val="en-US" w:eastAsia="zh-CN"/>
              </w:rPr>
              <w:t>资源名称</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数量</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操作系统服务-统信UOS、麒麟</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lang w:val="en-US" w:eastAsia="zh-CN"/>
              </w:rPr>
            </w:pPr>
            <w:r>
              <w:rPr>
                <w:rFonts w:hint="eastAsia"/>
                <w:highlight w:val="none"/>
                <w:lang w:val="en-US" w:eastAsia="zh-CN"/>
              </w:rPr>
              <w:t>6</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套*年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中间件-东方通、普元、金蝶</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套*年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3</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数据库服务-阿里、北京奥星贝斯、北京海量、虚谷软件、达梦、人大金仓</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套*年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4</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时间戳服务</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套*年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5</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安全防病毒(服务器端)</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lang w:val="en-US" w:eastAsia="zh-CN"/>
              </w:rPr>
            </w:pPr>
            <w:r>
              <w:rPr>
                <w:rFonts w:hint="eastAsia"/>
                <w:highlight w:val="none"/>
                <w:lang w:val="en-US" w:eastAsia="zh-CN"/>
              </w:rPr>
              <w:t>6</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套*年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6</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安全认证网关服务</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lang w:val="en-US" w:eastAsia="zh-CN"/>
              </w:rPr>
            </w:pPr>
            <w:r>
              <w:rPr>
                <w:rFonts w:hint="eastAsia"/>
                <w:highlight w:val="none"/>
                <w:lang w:val="en-US" w:eastAsia="zh-CN"/>
              </w:rPr>
              <w:t>6</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套*年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7</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身份认证服务 - 个人多源认证</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100000</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8</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数字证书服务 - SSL证书-通配符</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张*年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9</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数字证书服务 - SSL证书-单域名</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张*年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10</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短信服务</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2000000</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11</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政务移动端</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个*年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12</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数据传输工具服务</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链路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13</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可信密码服务</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1</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bidi w:val="0"/>
              <w:rPr>
                <w:rFonts w:hint="eastAsia"/>
                <w:highlight w:val="none"/>
              </w:rPr>
            </w:pPr>
            <w:r>
              <w:rPr>
                <w:rFonts w:hint="eastAsia"/>
                <w:highlight w:val="none"/>
                <w:lang w:val="en-US" w:eastAsia="zh-CN"/>
              </w:rPr>
              <w:t>应用*年</w:t>
            </w:r>
          </w:p>
        </w:tc>
      </w:tr>
    </w:tbl>
    <w:p>
      <w:pPr>
        <w:pStyle w:val="3"/>
        <w:rPr>
          <w:highlight w:val="none"/>
        </w:rPr>
      </w:pPr>
    </w:p>
    <w:p>
      <w:pPr>
        <w:keepNext/>
        <w:keepLines/>
        <w:widowControl/>
        <w:spacing w:before="120" w:after="120" w:line="360" w:lineRule="auto"/>
        <w:outlineLvl w:val="1"/>
        <w:rPr>
          <w:rFonts w:ascii="宋体" w:hAnsi="宋体" w:cs="黑体"/>
          <w:b/>
          <w:bCs/>
          <w:kern w:val="44"/>
          <w:sz w:val="24"/>
          <w:szCs w:val="24"/>
          <w:highlight w:val="none"/>
        </w:rPr>
      </w:pPr>
      <w:bookmarkStart w:id="4" w:name="_Toc63785503"/>
      <w:r>
        <w:rPr>
          <w:rFonts w:hint="eastAsia" w:ascii="宋体" w:hAnsi="宋体" w:cs="黑体"/>
          <w:b/>
          <w:bCs/>
          <w:kern w:val="44"/>
          <w:sz w:val="24"/>
          <w:szCs w:val="24"/>
          <w:highlight w:val="none"/>
        </w:rPr>
        <w:t>五、</w:t>
      </w:r>
      <w:r>
        <w:rPr>
          <w:rFonts w:ascii="宋体" w:hAnsi="宋体" w:cs="黑体"/>
          <w:b/>
          <w:bCs/>
          <w:kern w:val="44"/>
          <w:sz w:val="24"/>
          <w:szCs w:val="24"/>
          <w:highlight w:val="none"/>
        </w:rPr>
        <w:t>其他工作要求</w:t>
      </w:r>
      <w:bookmarkEnd w:id="4"/>
    </w:p>
    <w:p>
      <w:pPr>
        <w:keepNext/>
        <w:keepLines/>
        <w:widowControl/>
        <w:spacing w:before="120" w:after="120" w:line="360" w:lineRule="auto"/>
        <w:outlineLvl w:val="2"/>
        <w:rPr>
          <w:rFonts w:ascii="宋体" w:hAnsi="宋体" w:cs="黑体"/>
          <w:b/>
          <w:bCs/>
          <w:kern w:val="44"/>
          <w:sz w:val="24"/>
          <w:szCs w:val="24"/>
          <w:highlight w:val="none"/>
        </w:rPr>
      </w:pPr>
      <w:bookmarkStart w:id="5" w:name="_Toc63785505"/>
      <w:r>
        <w:rPr>
          <w:rFonts w:hint="eastAsia" w:ascii="宋体" w:hAnsi="宋体" w:cs="黑体"/>
          <w:b/>
          <w:bCs/>
          <w:kern w:val="44"/>
          <w:sz w:val="24"/>
          <w:szCs w:val="24"/>
          <w:highlight w:val="none"/>
        </w:rPr>
        <w:t>5.1</w:t>
      </w:r>
      <w:r>
        <w:rPr>
          <w:rFonts w:ascii="宋体" w:hAnsi="宋体" w:cs="黑体"/>
          <w:b/>
          <w:bCs/>
          <w:kern w:val="44"/>
          <w:sz w:val="24"/>
          <w:szCs w:val="24"/>
          <w:highlight w:val="none"/>
        </w:rPr>
        <w:t>售后服务要求</w:t>
      </w:r>
      <w:bookmarkEnd w:id="5"/>
    </w:p>
    <w:p>
      <w:pPr>
        <w:bidi w:val="0"/>
        <w:rPr>
          <w:highlight w:val="none"/>
        </w:rPr>
      </w:pPr>
      <w:r>
        <w:rPr>
          <w:rFonts w:hint="eastAsia"/>
          <w:highlight w:val="none"/>
        </w:rPr>
        <w:t>系统建成后，市大数据中心承担项目运行维护工作的总体管理职责，项目运维由市大数据中心相关部门负责统筹管理，承建方及运维服务商具体落实。</w:t>
      </w:r>
    </w:p>
    <w:p>
      <w:pPr>
        <w:bidi w:val="0"/>
        <w:rPr>
          <w:highlight w:val="none"/>
        </w:rPr>
      </w:pPr>
      <w:r>
        <w:rPr>
          <w:rFonts w:hint="eastAsia"/>
          <w:highlight w:val="none"/>
        </w:rPr>
        <w:t>项目承建方提供1年的维护保证期，包括5×8的工作日服务、非工作日2小时应急响应服务。维保期结束后，由专业的运维服务商继续提供系统运维的技术支持服务。</w:t>
      </w:r>
    </w:p>
    <w:p>
      <w:pPr>
        <w:bidi w:val="0"/>
        <w:rPr>
          <w:rFonts w:cs="Times New Roman"/>
          <w:szCs w:val="24"/>
          <w:highlight w:val="none"/>
        </w:rPr>
      </w:pPr>
      <w:r>
        <w:rPr>
          <w:rFonts w:hint="eastAsia"/>
          <w:highlight w:val="none"/>
        </w:rPr>
        <w:t>运维技术服务内容主要包括：错误修改、轻量级需求变更、性能优化、运行环境诊断及保障，以及相关安全服务等。</w:t>
      </w:r>
    </w:p>
    <w:p>
      <w:pPr>
        <w:keepNext/>
        <w:keepLines/>
        <w:widowControl/>
        <w:spacing w:before="120" w:after="120" w:line="360" w:lineRule="auto"/>
        <w:outlineLvl w:val="2"/>
        <w:rPr>
          <w:rFonts w:ascii="宋体" w:hAnsi="宋体" w:cs="黑体"/>
          <w:b/>
          <w:bCs/>
          <w:kern w:val="44"/>
          <w:sz w:val="24"/>
          <w:szCs w:val="24"/>
          <w:highlight w:val="none"/>
        </w:rPr>
      </w:pPr>
      <w:bookmarkStart w:id="6" w:name="_Toc63785506"/>
      <w:r>
        <w:rPr>
          <w:rFonts w:hint="eastAsia" w:ascii="宋体" w:hAnsi="宋体" w:cs="黑体"/>
          <w:b/>
          <w:bCs/>
          <w:kern w:val="44"/>
          <w:sz w:val="24"/>
          <w:szCs w:val="24"/>
          <w:highlight w:val="none"/>
        </w:rPr>
        <w:t>5.2</w:t>
      </w:r>
      <w:r>
        <w:rPr>
          <w:rFonts w:ascii="宋体" w:hAnsi="宋体" w:cs="黑体"/>
          <w:b/>
          <w:bCs/>
          <w:kern w:val="44"/>
          <w:sz w:val="24"/>
          <w:szCs w:val="24"/>
          <w:highlight w:val="none"/>
        </w:rPr>
        <w:t>应急响应要求</w:t>
      </w:r>
      <w:bookmarkEnd w:id="6"/>
    </w:p>
    <w:p>
      <w:pPr>
        <w:bidi w:val="0"/>
        <w:rPr>
          <w:highlight w:val="none"/>
        </w:rPr>
      </w:pPr>
      <w:r>
        <w:rPr>
          <w:highlight w:val="none"/>
        </w:rPr>
        <w:t>供应商对系统故障应能够实时响应，若系统发生故障，接到通知后30分钟之内响应，专业工程师2小时内到达现场。特殊故障与客户沟通协商后，按照协商的方式制定解决方案并进行处理。</w:t>
      </w:r>
    </w:p>
    <w:p>
      <w:pPr>
        <w:bidi w:val="0"/>
        <w:rPr>
          <w:highlight w:val="none"/>
        </w:rPr>
      </w:pPr>
      <w:r>
        <w:rPr>
          <w:highlight w:val="none"/>
        </w:rPr>
        <w:t>具体故障级别及对应的应急响应要求如下：</w:t>
      </w:r>
    </w:p>
    <w:p>
      <w:pPr>
        <w:bidi w:val="0"/>
        <w:rPr>
          <w:highlight w:val="none"/>
        </w:rPr>
      </w:pPr>
      <w:r>
        <w:rPr>
          <w:highlight w:val="none"/>
        </w:rPr>
        <w:t>一级故障：在1小时内确诊，总故障解决时间不超过4小时。</w:t>
      </w:r>
    </w:p>
    <w:p>
      <w:pPr>
        <w:bidi w:val="0"/>
        <w:rPr>
          <w:highlight w:val="none"/>
        </w:rPr>
      </w:pPr>
      <w:r>
        <w:rPr>
          <w:highlight w:val="none"/>
        </w:rPr>
        <w:t>二级故障：在2小时内确诊，并在4小时内由专家到达现场确诊并解决，总故障解决时间不超过8小时；</w:t>
      </w:r>
    </w:p>
    <w:p>
      <w:pPr>
        <w:bidi w:val="0"/>
        <w:rPr>
          <w:rFonts w:cs="Times New Roman"/>
          <w:szCs w:val="24"/>
          <w:highlight w:val="none"/>
        </w:rPr>
      </w:pPr>
      <w:r>
        <w:rPr>
          <w:highlight w:val="none"/>
        </w:rPr>
        <w:t>三、四级故障：在4小时内确诊故障，总故障解决时间不超过16小时。</w:t>
      </w:r>
    </w:p>
    <w:p>
      <w:pPr>
        <w:keepNext/>
        <w:keepLines/>
        <w:widowControl/>
        <w:spacing w:before="120" w:after="120" w:line="360" w:lineRule="auto"/>
        <w:outlineLvl w:val="2"/>
        <w:rPr>
          <w:rFonts w:ascii="宋体" w:hAnsi="宋体" w:cs="黑体"/>
          <w:b/>
          <w:bCs/>
          <w:kern w:val="44"/>
          <w:sz w:val="24"/>
          <w:szCs w:val="24"/>
          <w:highlight w:val="none"/>
        </w:rPr>
      </w:pPr>
      <w:bookmarkStart w:id="7" w:name="_Toc63785507"/>
      <w:r>
        <w:rPr>
          <w:rFonts w:hint="eastAsia" w:ascii="宋体" w:hAnsi="宋体" w:cs="黑体"/>
          <w:b/>
          <w:bCs/>
          <w:kern w:val="44"/>
          <w:sz w:val="24"/>
          <w:szCs w:val="24"/>
          <w:highlight w:val="none"/>
        </w:rPr>
        <w:t>5.3</w:t>
      </w:r>
      <w:r>
        <w:rPr>
          <w:rFonts w:ascii="宋体" w:hAnsi="宋体" w:cs="黑体"/>
          <w:b/>
          <w:bCs/>
          <w:kern w:val="44"/>
          <w:sz w:val="24"/>
          <w:szCs w:val="24"/>
          <w:highlight w:val="none"/>
        </w:rPr>
        <w:t>培训要求</w:t>
      </w:r>
      <w:bookmarkEnd w:id="7"/>
    </w:p>
    <w:p>
      <w:pPr>
        <w:bidi w:val="0"/>
        <w:rPr>
          <w:highlight w:val="none"/>
        </w:rPr>
      </w:pPr>
      <w:r>
        <w:rPr>
          <w:highlight w:val="none"/>
        </w:rPr>
        <w:t>对系统使用单位提供业务操作培训，应提供详细培训方案。</w:t>
      </w:r>
    </w:p>
    <w:p>
      <w:pPr>
        <w:bidi w:val="0"/>
        <w:rPr>
          <w:highlight w:val="none"/>
        </w:rPr>
      </w:pPr>
      <w:r>
        <w:rPr>
          <w:highlight w:val="none"/>
        </w:rPr>
        <w:t>1、在12个月的质量保证期内，提供</w:t>
      </w:r>
      <w:r>
        <w:rPr>
          <w:rFonts w:hint="eastAsia"/>
          <w:highlight w:val="none"/>
        </w:rPr>
        <w:t>1</w:t>
      </w:r>
      <w:r>
        <w:rPr>
          <w:highlight w:val="none"/>
        </w:rPr>
        <w:t>次与项目相关的必要培训。</w:t>
      </w:r>
    </w:p>
    <w:p>
      <w:pPr>
        <w:bidi w:val="0"/>
        <w:rPr>
          <w:highlight w:val="none"/>
        </w:rPr>
      </w:pPr>
      <w:r>
        <w:rPr>
          <w:highlight w:val="none"/>
        </w:rPr>
        <w:t>2、供应商需要开展分层次的人员培训工作，每次培训后应对参加培训人员进行测试，评估培训成果。培训应具有培训教材、培训环境和高水平的培训讲师。</w:t>
      </w:r>
    </w:p>
    <w:p>
      <w:pPr>
        <w:bidi w:val="0"/>
        <w:rPr>
          <w:highlight w:val="none"/>
        </w:rPr>
      </w:pPr>
      <w:r>
        <w:rPr>
          <w:highlight w:val="none"/>
        </w:rPr>
        <w:t>3、</w:t>
      </w:r>
      <w:bookmarkStart w:id="8" w:name="OLE_LINK2"/>
      <w:r>
        <w:rPr>
          <w:highlight w:val="none"/>
        </w:rPr>
        <w:t>供应商</w:t>
      </w:r>
      <w:bookmarkEnd w:id="8"/>
      <w:r>
        <w:rPr>
          <w:highlight w:val="none"/>
        </w:rPr>
        <w:t>应提供一般用户的基础操作培训和部门信息管理员的日常应用维护的培训，确保用户对象能够掌握对应的操作技能。</w:t>
      </w:r>
    </w:p>
    <w:p>
      <w:pPr>
        <w:keepNext/>
        <w:keepLines/>
        <w:widowControl/>
        <w:spacing w:before="120" w:after="120" w:line="360" w:lineRule="auto"/>
        <w:outlineLvl w:val="2"/>
        <w:rPr>
          <w:rFonts w:ascii="宋体" w:hAnsi="宋体" w:cs="黑体"/>
          <w:b/>
          <w:bCs/>
          <w:kern w:val="44"/>
          <w:sz w:val="24"/>
          <w:szCs w:val="24"/>
          <w:highlight w:val="none"/>
        </w:rPr>
      </w:pPr>
      <w:r>
        <w:rPr>
          <w:rFonts w:hint="eastAsia" w:ascii="宋体" w:hAnsi="宋体" w:cs="黑体"/>
          <w:b/>
          <w:bCs/>
          <w:kern w:val="44"/>
          <w:sz w:val="24"/>
          <w:szCs w:val="24"/>
          <w:highlight w:val="none"/>
        </w:rPr>
        <w:t>5.</w:t>
      </w:r>
      <w:r>
        <w:rPr>
          <w:rFonts w:hint="eastAsia" w:ascii="宋体" w:hAnsi="宋体" w:cs="黑体"/>
          <w:b/>
          <w:bCs/>
          <w:kern w:val="44"/>
          <w:sz w:val="24"/>
          <w:szCs w:val="24"/>
          <w:highlight w:val="none"/>
          <w:lang w:val="en-US" w:eastAsia="zh-CN"/>
        </w:rPr>
        <w:t>4验收</w:t>
      </w:r>
      <w:r>
        <w:rPr>
          <w:rFonts w:ascii="宋体" w:hAnsi="宋体" w:cs="黑体"/>
          <w:b/>
          <w:bCs/>
          <w:kern w:val="44"/>
          <w:sz w:val="24"/>
          <w:szCs w:val="24"/>
          <w:highlight w:val="none"/>
        </w:rPr>
        <w:t>要求</w:t>
      </w:r>
    </w:p>
    <w:p>
      <w:pPr>
        <w:bidi w:val="0"/>
        <w:rPr>
          <w:highlight w:val="none"/>
        </w:rPr>
      </w:pPr>
      <w:r>
        <w:rPr>
          <w:rFonts w:hint="eastAsia"/>
          <w:highlight w:val="none"/>
        </w:rPr>
        <w:t>本项目按下述方式开展验收。</w:t>
      </w:r>
    </w:p>
    <w:p>
      <w:pPr>
        <w:bidi w:val="0"/>
        <w:rPr>
          <w:highlight w:val="none"/>
        </w:rPr>
      </w:pPr>
      <w:r>
        <w:rPr>
          <w:rFonts w:hint="eastAsia"/>
          <w:highlight w:val="none"/>
        </w:rPr>
        <w:t>（</w:t>
      </w:r>
      <w:r>
        <w:rPr>
          <w:highlight w:val="none"/>
        </w:rPr>
        <w:t>1）验收分初验和终验。</w:t>
      </w:r>
    </w:p>
    <w:p>
      <w:pPr>
        <w:bidi w:val="0"/>
        <w:rPr>
          <w:highlight w:val="none"/>
        </w:rPr>
      </w:pPr>
      <w:r>
        <w:rPr>
          <w:rFonts w:hint="eastAsia"/>
          <w:highlight w:val="none"/>
        </w:rPr>
        <w:t>（</w:t>
      </w:r>
      <w:r>
        <w:rPr>
          <w:highlight w:val="none"/>
        </w:rPr>
        <w:t>2）初验前，供应商须完成软件开发、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pPr>
        <w:bidi w:val="0"/>
        <w:rPr>
          <w:highlight w:val="none"/>
        </w:rPr>
      </w:pPr>
      <w:r>
        <w:rPr>
          <w:rFonts w:hint="eastAsia"/>
          <w:highlight w:val="none"/>
        </w:rPr>
        <w:t>（</w:t>
      </w:r>
      <w:r>
        <w:rPr>
          <w:highlight w:val="none"/>
        </w:rPr>
        <w:t>3）初验时，供应商须提供软件文档包括《用户需求说明书》、《系统概要设计说明书》、《系统详细设计说明书》、《测试报告》、《用户使用手册》等。所交付的文档与文件应当是可供自然人阅读的书面和电子文档。软件文档验收通过后，视为初验通过。如有缺陷，招标方应向供应商出具书面报告，陈述需要改进的缺陷。供应商应立即严格依照招标方的书面报告中的要求改进缺陷，并再次进行初验。</w:t>
      </w:r>
    </w:p>
    <w:p>
      <w:pPr>
        <w:bidi w:val="0"/>
        <w:rPr>
          <w:highlight w:val="none"/>
        </w:rPr>
      </w:pPr>
      <w:r>
        <w:rPr>
          <w:rFonts w:hint="eastAsia"/>
          <w:highlight w:val="none"/>
        </w:rPr>
        <w:t>（</w:t>
      </w:r>
      <w:r>
        <w:rPr>
          <w:highlight w:val="none"/>
        </w:rPr>
        <w:t>4）自初验通过之日起，招标方享有供应商免费提供的</w:t>
      </w:r>
      <w:r>
        <w:rPr>
          <w:rFonts w:hint="eastAsia"/>
          <w:highlight w:val="none"/>
          <w:lang w:val="en-US" w:eastAsia="zh-CN"/>
        </w:rPr>
        <w:t>30</w:t>
      </w:r>
      <w:r>
        <w:rPr>
          <w:highlight w:val="none"/>
        </w:rPr>
        <w:t>天的信息系统试运行现场驻场服务期。该期间内，供应商应当按照招标方的要求提供现场技术支持服务，解决信息系统试运行期间可能出现的各类问题，或进一步提高与完善信息系统运行水平。</w:t>
      </w:r>
    </w:p>
    <w:p>
      <w:pPr>
        <w:bidi w:val="0"/>
        <w:rPr>
          <w:highlight w:val="none"/>
        </w:rPr>
      </w:pPr>
      <w:r>
        <w:rPr>
          <w:rFonts w:hint="eastAsia"/>
          <w:highlight w:val="none"/>
        </w:rPr>
        <w:t>（</w:t>
      </w:r>
      <w:r>
        <w:rPr>
          <w:highlight w:val="none"/>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highlight w:val="none"/>
          <w:lang w:val="en-US" w:eastAsia="zh-CN"/>
        </w:rPr>
        <w:t>10</w:t>
      </w:r>
      <w:r>
        <w:rPr>
          <w:highlight w:val="none"/>
        </w:rPr>
        <w:t>个工作日内发起组织专家验收会。</w:t>
      </w:r>
    </w:p>
    <w:p>
      <w:pPr>
        <w:bidi w:val="0"/>
        <w:rPr>
          <w:highlight w:val="none"/>
        </w:rPr>
      </w:pPr>
      <w:r>
        <w:rPr>
          <w:rFonts w:hint="eastAsia"/>
          <w:highlight w:val="none"/>
        </w:rPr>
        <w:t>（6</w:t>
      </w:r>
      <w:r>
        <w:rPr>
          <w:highlight w:val="none"/>
        </w:rPr>
        <w:t>）如果属于供应商原因致使本项目未能通过终验，供应商应当排除缺陷，直至本项目完全符合验收标准，由上述情形而产生的相关费用应由供应商自行承担。</w:t>
      </w:r>
    </w:p>
    <w:p>
      <w:pPr>
        <w:bidi w:val="0"/>
        <w:rPr>
          <w:highlight w:val="none"/>
        </w:rPr>
      </w:pPr>
      <w:r>
        <w:rPr>
          <w:rFonts w:hint="eastAsia"/>
          <w:highlight w:val="none"/>
        </w:rPr>
        <w:t>（7</w:t>
      </w:r>
      <w:r>
        <w:rPr>
          <w:highlight w:val="none"/>
        </w:rPr>
        <w:t>）如果由于招标方原因导致本项目在终验通过前出现故障或问题，供应商应及时配合排除该方面的故障或问题。</w:t>
      </w:r>
    </w:p>
    <w:p>
      <w:pPr>
        <w:bidi w:val="0"/>
        <w:rPr>
          <w:rFonts w:cs="Times New Roman"/>
          <w:szCs w:val="24"/>
          <w:highlight w:val="none"/>
        </w:rPr>
      </w:pPr>
      <w:r>
        <w:rPr>
          <w:rFonts w:hint="eastAsia"/>
          <w:highlight w:val="none"/>
        </w:rPr>
        <w:t>（8</w:t>
      </w:r>
      <w:r>
        <w:rPr>
          <w:highlight w:val="none"/>
        </w:rPr>
        <w:t>）如本项目连续3次验收未通过（含初验未通过或终验未通过），招标方有权解除项目，并有权依照本项目约定的违约条款追究供应商的违约责任。</w:t>
      </w:r>
    </w:p>
    <w:p>
      <w:pPr>
        <w:keepNext/>
        <w:keepLines/>
        <w:widowControl/>
        <w:spacing w:before="120" w:after="120" w:line="360" w:lineRule="auto"/>
        <w:outlineLvl w:val="2"/>
        <w:rPr>
          <w:rFonts w:ascii="宋体" w:hAnsi="宋体" w:cs="黑体"/>
          <w:b/>
          <w:bCs/>
          <w:kern w:val="44"/>
          <w:sz w:val="24"/>
          <w:szCs w:val="24"/>
          <w:highlight w:val="none"/>
        </w:rPr>
      </w:pPr>
      <w:bookmarkStart w:id="9" w:name="_Toc63785509"/>
      <w:r>
        <w:rPr>
          <w:rFonts w:hint="eastAsia" w:ascii="宋体" w:hAnsi="宋体" w:cs="黑体"/>
          <w:b/>
          <w:bCs/>
          <w:kern w:val="44"/>
          <w:sz w:val="24"/>
          <w:szCs w:val="24"/>
          <w:highlight w:val="none"/>
        </w:rPr>
        <w:t>5.</w:t>
      </w:r>
      <w:r>
        <w:rPr>
          <w:rFonts w:hint="eastAsia" w:ascii="宋体" w:hAnsi="宋体" w:cs="黑体"/>
          <w:b/>
          <w:bCs/>
          <w:kern w:val="44"/>
          <w:sz w:val="24"/>
          <w:szCs w:val="24"/>
          <w:highlight w:val="none"/>
          <w:lang w:val="en-US" w:eastAsia="zh-CN"/>
        </w:rPr>
        <w:t>5</w:t>
      </w:r>
      <w:r>
        <w:rPr>
          <w:rFonts w:ascii="宋体" w:hAnsi="宋体" w:cs="黑体"/>
          <w:b/>
          <w:bCs/>
          <w:kern w:val="44"/>
          <w:sz w:val="24"/>
          <w:szCs w:val="24"/>
          <w:highlight w:val="none"/>
        </w:rPr>
        <w:t>进度要求</w:t>
      </w:r>
      <w:bookmarkEnd w:id="9"/>
    </w:p>
    <w:p>
      <w:pPr>
        <w:bidi w:val="0"/>
        <w:rPr>
          <w:highlight w:val="none"/>
        </w:rPr>
      </w:pPr>
      <w:r>
        <w:rPr>
          <w:rFonts w:hint="eastAsia"/>
          <w:highlight w:val="none"/>
        </w:rPr>
        <w:t>供应商</w:t>
      </w:r>
      <w:r>
        <w:rPr>
          <w:highlight w:val="none"/>
        </w:rPr>
        <w:t>应根据建设内容，分阶段制定合理的时间进度，并且应根据</w:t>
      </w:r>
      <w:r>
        <w:rPr>
          <w:rFonts w:hint="eastAsia"/>
          <w:highlight w:val="none"/>
        </w:rPr>
        <w:t>采购人</w:t>
      </w:r>
      <w:r>
        <w:rPr>
          <w:highlight w:val="none"/>
        </w:rPr>
        <w:t>要求进行调整和细化。</w:t>
      </w:r>
    </w:p>
    <w:p>
      <w:pPr>
        <w:bidi w:val="0"/>
        <w:rPr>
          <w:highlight w:val="none"/>
        </w:rPr>
      </w:pPr>
      <w:r>
        <w:rPr>
          <w:highlight w:val="none"/>
        </w:rPr>
        <w:t>总建设周期为</w:t>
      </w:r>
      <w:r>
        <w:rPr>
          <w:rFonts w:hint="eastAsia"/>
          <w:highlight w:val="none"/>
        </w:rPr>
        <w:t>自签订合同之日起9个月内</w:t>
      </w:r>
      <w:r>
        <w:rPr>
          <w:highlight w:val="none"/>
        </w:rPr>
        <w:t>。建议各阶段计划如下：</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4536"/>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Align w:val="center"/>
          </w:tcPr>
          <w:p>
            <w:pPr>
              <w:pStyle w:val="15"/>
              <w:bidi w:val="0"/>
              <w:rPr>
                <w:highlight w:val="none"/>
              </w:rPr>
            </w:pPr>
            <w:r>
              <w:rPr>
                <w:rFonts w:hint="eastAsia"/>
                <w:highlight w:val="none"/>
              </w:rPr>
              <w:t>序号</w:t>
            </w:r>
          </w:p>
        </w:tc>
        <w:tc>
          <w:tcPr>
            <w:tcW w:w="2661" w:type="pct"/>
            <w:vAlign w:val="center"/>
          </w:tcPr>
          <w:p>
            <w:pPr>
              <w:pStyle w:val="15"/>
              <w:bidi w:val="0"/>
              <w:rPr>
                <w:highlight w:val="none"/>
              </w:rPr>
            </w:pPr>
            <w:r>
              <w:rPr>
                <w:rFonts w:hint="eastAsia"/>
                <w:highlight w:val="none"/>
              </w:rPr>
              <w:t>实施阶段</w:t>
            </w:r>
          </w:p>
        </w:tc>
        <w:tc>
          <w:tcPr>
            <w:tcW w:w="1666" w:type="pct"/>
            <w:vAlign w:val="center"/>
          </w:tcPr>
          <w:p>
            <w:pPr>
              <w:pStyle w:val="15"/>
              <w:bidi w:val="0"/>
              <w:rPr>
                <w:highlight w:val="none"/>
              </w:rPr>
            </w:pPr>
            <w:r>
              <w:rPr>
                <w:rFonts w:hint="eastAsia"/>
                <w:highlight w:val="none"/>
              </w:rPr>
              <w:t>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Align w:val="center"/>
          </w:tcPr>
          <w:p>
            <w:pPr>
              <w:pStyle w:val="15"/>
              <w:bidi w:val="0"/>
              <w:rPr>
                <w:highlight w:val="none"/>
              </w:rPr>
            </w:pPr>
            <w:r>
              <w:rPr>
                <w:rFonts w:hint="eastAsia"/>
                <w:highlight w:val="none"/>
              </w:rPr>
              <w:t>1</w:t>
            </w:r>
          </w:p>
        </w:tc>
        <w:tc>
          <w:tcPr>
            <w:tcW w:w="2661" w:type="pct"/>
            <w:vAlign w:val="center"/>
          </w:tcPr>
          <w:p>
            <w:pPr>
              <w:pStyle w:val="15"/>
              <w:bidi w:val="0"/>
              <w:rPr>
                <w:highlight w:val="none"/>
              </w:rPr>
            </w:pPr>
            <w:r>
              <w:rPr>
                <w:rFonts w:hint="eastAsia"/>
                <w:highlight w:val="none"/>
              </w:rPr>
              <w:t>需求调研</w:t>
            </w:r>
          </w:p>
        </w:tc>
        <w:tc>
          <w:tcPr>
            <w:tcW w:w="1666" w:type="pct"/>
            <w:vAlign w:val="center"/>
          </w:tcPr>
          <w:p>
            <w:pPr>
              <w:pStyle w:val="15"/>
              <w:bidi w:val="0"/>
              <w:rPr>
                <w:highlight w:val="none"/>
              </w:rPr>
            </w:pPr>
            <w:r>
              <w:rPr>
                <w:rFonts w:hint="eastAsia"/>
                <w:highlight w:val="none"/>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Align w:val="center"/>
          </w:tcPr>
          <w:p>
            <w:pPr>
              <w:pStyle w:val="15"/>
              <w:bidi w:val="0"/>
              <w:rPr>
                <w:highlight w:val="none"/>
              </w:rPr>
            </w:pPr>
            <w:r>
              <w:rPr>
                <w:rFonts w:hint="eastAsia"/>
                <w:highlight w:val="none"/>
              </w:rPr>
              <w:t>2</w:t>
            </w:r>
          </w:p>
        </w:tc>
        <w:tc>
          <w:tcPr>
            <w:tcW w:w="2661" w:type="pct"/>
            <w:vAlign w:val="center"/>
          </w:tcPr>
          <w:p>
            <w:pPr>
              <w:pStyle w:val="15"/>
              <w:bidi w:val="0"/>
              <w:rPr>
                <w:highlight w:val="none"/>
              </w:rPr>
            </w:pPr>
            <w:r>
              <w:rPr>
                <w:rFonts w:hint="eastAsia"/>
                <w:highlight w:val="none"/>
              </w:rPr>
              <w:t>项目设计及开发</w:t>
            </w:r>
          </w:p>
        </w:tc>
        <w:tc>
          <w:tcPr>
            <w:tcW w:w="1666" w:type="pct"/>
            <w:vAlign w:val="center"/>
          </w:tcPr>
          <w:p>
            <w:pPr>
              <w:pStyle w:val="15"/>
              <w:bidi w:val="0"/>
              <w:rPr>
                <w:highlight w:val="none"/>
              </w:rPr>
            </w:pPr>
            <w:r>
              <w:rPr>
                <w:highlight w:val="none"/>
              </w:rPr>
              <w:t>5</w:t>
            </w:r>
            <w:r>
              <w:rPr>
                <w:rFonts w:hint="eastAsia"/>
                <w:highlight w:val="none"/>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2" w:type="pct"/>
            <w:vAlign w:val="center"/>
          </w:tcPr>
          <w:p>
            <w:pPr>
              <w:pStyle w:val="15"/>
              <w:bidi w:val="0"/>
              <w:rPr>
                <w:highlight w:val="none"/>
              </w:rPr>
            </w:pPr>
            <w:r>
              <w:rPr>
                <w:rFonts w:hint="eastAsia"/>
                <w:highlight w:val="none"/>
              </w:rPr>
              <w:t>3</w:t>
            </w:r>
          </w:p>
        </w:tc>
        <w:tc>
          <w:tcPr>
            <w:tcW w:w="2661" w:type="pct"/>
            <w:vAlign w:val="center"/>
          </w:tcPr>
          <w:p>
            <w:pPr>
              <w:pStyle w:val="15"/>
              <w:bidi w:val="0"/>
              <w:rPr>
                <w:highlight w:val="none"/>
              </w:rPr>
            </w:pPr>
            <w:r>
              <w:rPr>
                <w:rFonts w:hint="eastAsia"/>
                <w:highlight w:val="none"/>
              </w:rPr>
              <w:t>项目测试部署上线</w:t>
            </w:r>
          </w:p>
        </w:tc>
        <w:tc>
          <w:tcPr>
            <w:tcW w:w="1666" w:type="pct"/>
            <w:vAlign w:val="center"/>
          </w:tcPr>
          <w:p>
            <w:pPr>
              <w:pStyle w:val="15"/>
              <w:bidi w:val="0"/>
              <w:rPr>
                <w:highlight w:val="none"/>
              </w:rPr>
            </w:pPr>
            <w:r>
              <w:rPr>
                <w:rFonts w:hint="eastAsia"/>
                <w:highlight w:val="none"/>
              </w:rPr>
              <w:t>1.5个月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Align w:val="center"/>
          </w:tcPr>
          <w:p>
            <w:pPr>
              <w:pStyle w:val="15"/>
              <w:bidi w:val="0"/>
              <w:rPr>
                <w:highlight w:val="none"/>
              </w:rPr>
            </w:pPr>
            <w:r>
              <w:rPr>
                <w:rFonts w:hint="eastAsia"/>
                <w:highlight w:val="none"/>
              </w:rPr>
              <w:t>4</w:t>
            </w:r>
          </w:p>
        </w:tc>
        <w:tc>
          <w:tcPr>
            <w:tcW w:w="2661" w:type="pct"/>
            <w:vAlign w:val="center"/>
          </w:tcPr>
          <w:p>
            <w:pPr>
              <w:pStyle w:val="15"/>
              <w:bidi w:val="0"/>
              <w:rPr>
                <w:highlight w:val="none"/>
              </w:rPr>
            </w:pPr>
            <w:r>
              <w:rPr>
                <w:rFonts w:hint="eastAsia"/>
                <w:highlight w:val="none"/>
              </w:rPr>
              <w:t>项目试运行</w:t>
            </w:r>
          </w:p>
        </w:tc>
        <w:tc>
          <w:tcPr>
            <w:tcW w:w="1666" w:type="pct"/>
            <w:vAlign w:val="center"/>
          </w:tcPr>
          <w:p>
            <w:pPr>
              <w:pStyle w:val="15"/>
              <w:bidi w:val="0"/>
              <w:rPr>
                <w:highlight w:val="none"/>
              </w:rPr>
            </w:pPr>
            <w:r>
              <w:rPr>
                <w:rFonts w:hint="eastAsia"/>
                <w:highlight w:val="none"/>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Align w:val="center"/>
          </w:tcPr>
          <w:p>
            <w:pPr>
              <w:pStyle w:val="15"/>
              <w:bidi w:val="0"/>
              <w:rPr>
                <w:highlight w:val="none"/>
              </w:rPr>
            </w:pPr>
            <w:r>
              <w:rPr>
                <w:rFonts w:hint="eastAsia"/>
                <w:highlight w:val="none"/>
              </w:rPr>
              <w:t>5</w:t>
            </w:r>
          </w:p>
        </w:tc>
        <w:tc>
          <w:tcPr>
            <w:tcW w:w="2661" w:type="pct"/>
            <w:vAlign w:val="center"/>
          </w:tcPr>
          <w:p>
            <w:pPr>
              <w:pStyle w:val="15"/>
              <w:bidi w:val="0"/>
              <w:rPr>
                <w:highlight w:val="none"/>
              </w:rPr>
            </w:pPr>
            <w:r>
              <w:rPr>
                <w:rFonts w:hint="eastAsia"/>
                <w:highlight w:val="none"/>
              </w:rPr>
              <w:t>项目验收</w:t>
            </w:r>
          </w:p>
        </w:tc>
        <w:tc>
          <w:tcPr>
            <w:tcW w:w="1666" w:type="pct"/>
            <w:vAlign w:val="center"/>
          </w:tcPr>
          <w:p>
            <w:pPr>
              <w:pStyle w:val="15"/>
              <w:bidi w:val="0"/>
              <w:rPr>
                <w:highlight w:val="none"/>
              </w:rPr>
            </w:pPr>
            <w:r>
              <w:rPr>
                <w:rFonts w:hint="eastAsia"/>
                <w:highlight w:val="none"/>
              </w:rPr>
              <w:t>0.5个月</w:t>
            </w:r>
          </w:p>
        </w:tc>
      </w:tr>
    </w:tbl>
    <w:p>
      <w:pPr>
        <w:keepNext/>
        <w:keepLines/>
        <w:widowControl/>
        <w:spacing w:before="120" w:after="120" w:line="360" w:lineRule="auto"/>
        <w:outlineLvl w:val="2"/>
        <w:rPr>
          <w:rFonts w:ascii="宋体" w:hAnsi="宋体" w:cs="黑体"/>
          <w:b/>
          <w:bCs/>
          <w:kern w:val="44"/>
          <w:sz w:val="24"/>
          <w:szCs w:val="24"/>
          <w:highlight w:val="none"/>
        </w:rPr>
      </w:pPr>
      <w:bookmarkStart w:id="10" w:name="_Toc63785510"/>
      <w:r>
        <w:rPr>
          <w:rFonts w:hint="eastAsia" w:ascii="宋体" w:hAnsi="宋体" w:cs="黑体"/>
          <w:b/>
          <w:bCs/>
          <w:kern w:val="44"/>
          <w:sz w:val="24"/>
          <w:szCs w:val="24"/>
          <w:highlight w:val="none"/>
        </w:rPr>
        <w:t>5.</w:t>
      </w:r>
      <w:r>
        <w:rPr>
          <w:rFonts w:hint="eastAsia" w:ascii="宋体" w:hAnsi="宋体" w:cs="黑体"/>
          <w:b/>
          <w:bCs/>
          <w:kern w:val="44"/>
          <w:sz w:val="24"/>
          <w:szCs w:val="24"/>
          <w:highlight w:val="none"/>
          <w:lang w:val="en-US" w:eastAsia="zh-CN"/>
        </w:rPr>
        <w:t>6</w:t>
      </w:r>
      <w:r>
        <w:rPr>
          <w:rFonts w:ascii="宋体" w:hAnsi="宋体" w:cs="黑体"/>
          <w:b/>
          <w:bCs/>
          <w:kern w:val="44"/>
          <w:sz w:val="24"/>
          <w:szCs w:val="24"/>
          <w:highlight w:val="none"/>
        </w:rPr>
        <w:t>项目团队及驻场人员要求</w:t>
      </w:r>
      <w:bookmarkEnd w:id="10"/>
    </w:p>
    <w:p>
      <w:pPr>
        <w:pStyle w:val="17"/>
        <w:snapToGrid w:val="0"/>
        <w:spacing w:line="360" w:lineRule="auto"/>
        <w:ind w:firstLine="480"/>
        <w:rPr>
          <w:rFonts w:cs="Times New Roman"/>
          <w:sz w:val="24"/>
          <w:szCs w:val="24"/>
          <w:highlight w:val="none"/>
        </w:rPr>
      </w:pPr>
      <w:r>
        <w:rPr>
          <w:rFonts w:cs="Times New Roman"/>
          <w:sz w:val="24"/>
          <w:szCs w:val="24"/>
          <w:highlight w:val="none"/>
        </w:rPr>
        <w:t>1</w:t>
      </w:r>
      <w:r>
        <w:rPr>
          <w:rFonts w:hint="eastAsia" w:cs="Times New Roman"/>
          <w:sz w:val="24"/>
          <w:szCs w:val="24"/>
          <w:highlight w:val="none"/>
          <w:lang w:eastAsia="zh-CN"/>
        </w:rPr>
        <w:t>、</w:t>
      </w:r>
      <w:r>
        <w:rPr>
          <w:rFonts w:hint="eastAsia" w:cs="Times New Roman"/>
          <w:sz w:val="24"/>
          <w:szCs w:val="24"/>
          <w:highlight w:val="none"/>
        </w:rPr>
        <w:t>供应商</w:t>
      </w:r>
      <w:r>
        <w:rPr>
          <w:rFonts w:cs="Times New Roman"/>
          <w:sz w:val="24"/>
          <w:szCs w:val="24"/>
          <w:highlight w:val="none"/>
        </w:rPr>
        <w:t>须具有稳定的在职技术保障力量，能够提供及时的技术支援或服务，应针对本项目提供不少于</w:t>
      </w:r>
      <w:r>
        <w:rPr>
          <w:rFonts w:hint="eastAsia" w:cs="Times New Roman"/>
          <w:sz w:val="24"/>
          <w:szCs w:val="24"/>
          <w:highlight w:val="none"/>
        </w:rPr>
        <w:t>7</w:t>
      </w:r>
      <w:r>
        <w:rPr>
          <w:rFonts w:cs="Times New Roman"/>
          <w:sz w:val="24"/>
          <w:szCs w:val="24"/>
          <w:highlight w:val="none"/>
        </w:rPr>
        <w:t>人的项目服务团队（包括项目经理、技术负责人、产品经理、研发等）</w:t>
      </w:r>
      <w:r>
        <w:rPr>
          <w:rFonts w:hint="eastAsia" w:cs="Times New Roman"/>
          <w:sz w:val="24"/>
          <w:szCs w:val="24"/>
          <w:highlight w:val="none"/>
        </w:rPr>
        <w:t>。</w:t>
      </w:r>
    </w:p>
    <w:p>
      <w:pPr>
        <w:pStyle w:val="17"/>
        <w:snapToGrid w:val="0"/>
        <w:spacing w:line="360" w:lineRule="auto"/>
        <w:ind w:firstLine="480"/>
        <w:rPr>
          <w:rFonts w:cs="Times New Roman"/>
          <w:sz w:val="24"/>
          <w:szCs w:val="24"/>
          <w:highlight w:val="none"/>
        </w:rPr>
      </w:pPr>
      <w:bookmarkStart w:id="11" w:name="OLE_LINK3"/>
      <w:r>
        <w:rPr>
          <w:rFonts w:hint="eastAsia" w:cs="Times New Roman"/>
          <w:sz w:val="24"/>
          <w:szCs w:val="24"/>
          <w:highlight w:val="none"/>
        </w:rPr>
        <w:t>投标单位</w:t>
      </w:r>
      <w:bookmarkEnd w:id="11"/>
      <w:r>
        <w:rPr>
          <w:rFonts w:hint="eastAsia" w:cs="Times New Roman"/>
          <w:sz w:val="24"/>
          <w:szCs w:val="24"/>
          <w:highlight w:val="none"/>
        </w:rPr>
        <w:t>的相关服务人员需具备相应的服务能力。其中，项目经理需具备政务服务项目管理经验。需提供相关证明（</w:t>
      </w:r>
      <w:r>
        <w:rPr>
          <w:rFonts w:hint="eastAsia" w:cs="Times New Roman"/>
          <w:sz w:val="24"/>
          <w:szCs w:val="24"/>
          <w:highlight w:val="none"/>
          <w:lang w:val="en-US" w:eastAsia="zh-CN"/>
        </w:rPr>
        <w:t>相关证书和</w:t>
      </w:r>
      <w:r>
        <w:rPr>
          <w:rFonts w:hint="eastAsia" w:cs="Times New Roman"/>
          <w:sz w:val="24"/>
          <w:szCs w:val="24"/>
          <w:highlight w:val="none"/>
        </w:rPr>
        <w:t>最近一个季度任意一个月依法缴纳社保费的证明）。</w:t>
      </w:r>
      <w:r>
        <w:rPr>
          <w:rFonts w:hint="eastAsia" w:cs="Times New Roman"/>
          <w:sz w:val="24"/>
          <w:szCs w:val="24"/>
          <w:highlight w:val="none"/>
          <w:lang w:eastAsia="zh-CN"/>
        </w:rPr>
        <w:t>其余</w:t>
      </w:r>
      <w:r>
        <w:rPr>
          <w:rFonts w:hint="eastAsia"/>
          <w:highlight w:val="none"/>
          <w:lang w:val="en-US" w:eastAsia="zh-CN"/>
        </w:rPr>
        <w:t>团队成员应至少有2名成员具备计算机技术与软件专业技术资格(水平)中级及以上证书或计算机类中级及以上职称。</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816"/>
        <w:gridCol w:w="1336"/>
        <w:gridCol w:w="1897"/>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pStyle w:val="15"/>
              <w:bidi w:val="0"/>
              <w:rPr>
                <w:highlight w:val="none"/>
              </w:rPr>
            </w:pPr>
            <w:r>
              <w:rPr>
                <w:highlight w:val="none"/>
              </w:rPr>
              <w:t>角色</w:t>
            </w:r>
          </w:p>
        </w:tc>
        <w:tc>
          <w:tcPr>
            <w:tcW w:w="2816" w:type="dxa"/>
            <w:shd w:val="clear" w:color="auto" w:fill="auto"/>
            <w:noWrap/>
            <w:vAlign w:val="center"/>
          </w:tcPr>
          <w:p>
            <w:pPr>
              <w:pStyle w:val="15"/>
              <w:bidi w:val="0"/>
              <w:rPr>
                <w:highlight w:val="none"/>
              </w:rPr>
            </w:pPr>
            <w:r>
              <w:rPr>
                <w:highlight w:val="none"/>
              </w:rPr>
              <w:t>主要职责</w:t>
            </w:r>
          </w:p>
        </w:tc>
        <w:tc>
          <w:tcPr>
            <w:tcW w:w="1336" w:type="dxa"/>
            <w:shd w:val="clear" w:color="auto" w:fill="auto"/>
            <w:noWrap/>
            <w:vAlign w:val="center"/>
          </w:tcPr>
          <w:p>
            <w:pPr>
              <w:pStyle w:val="15"/>
              <w:bidi w:val="0"/>
              <w:rPr>
                <w:highlight w:val="none"/>
              </w:rPr>
            </w:pPr>
            <w:r>
              <w:rPr>
                <w:highlight w:val="none"/>
              </w:rPr>
              <w:t>人员数量</w:t>
            </w:r>
          </w:p>
        </w:tc>
        <w:tc>
          <w:tcPr>
            <w:tcW w:w="1897" w:type="dxa"/>
            <w:vAlign w:val="center"/>
          </w:tcPr>
          <w:p>
            <w:pPr>
              <w:pStyle w:val="15"/>
              <w:bidi w:val="0"/>
              <w:rPr>
                <w:highlight w:val="none"/>
              </w:rPr>
            </w:pPr>
            <w:r>
              <w:rPr>
                <w:highlight w:val="none"/>
              </w:rPr>
              <w:t>人员要求</w:t>
            </w:r>
          </w:p>
        </w:tc>
        <w:tc>
          <w:tcPr>
            <w:tcW w:w="1297" w:type="dxa"/>
            <w:shd w:val="clear" w:color="auto" w:fill="auto"/>
            <w:noWrap/>
            <w:vAlign w:val="center"/>
          </w:tcPr>
          <w:p>
            <w:pPr>
              <w:pStyle w:val="15"/>
              <w:bidi w:val="0"/>
              <w:rPr>
                <w:highlight w:val="none"/>
              </w:rPr>
            </w:pPr>
            <w:r>
              <w:rPr>
                <w:highlight w: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pStyle w:val="15"/>
              <w:bidi w:val="0"/>
              <w:rPr>
                <w:highlight w:val="none"/>
              </w:rPr>
            </w:pPr>
            <w:r>
              <w:rPr>
                <w:highlight w:val="none"/>
              </w:rPr>
              <w:t>项目经理</w:t>
            </w:r>
          </w:p>
        </w:tc>
        <w:tc>
          <w:tcPr>
            <w:tcW w:w="2816" w:type="dxa"/>
            <w:shd w:val="clear" w:color="auto" w:fill="auto"/>
            <w:vAlign w:val="center"/>
          </w:tcPr>
          <w:p>
            <w:pPr>
              <w:pStyle w:val="15"/>
              <w:bidi w:val="0"/>
              <w:rPr>
                <w:highlight w:val="none"/>
              </w:rPr>
            </w:pPr>
            <w:r>
              <w:rPr>
                <w:highlight w:val="none"/>
              </w:rPr>
              <w:t>负责项目质量和进度控制</w:t>
            </w:r>
          </w:p>
        </w:tc>
        <w:tc>
          <w:tcPr>
            <w:tcW w:w="1336" w:type="dxa"/>
            <w:shd w:val="clear" w:color="auto" w:fill="auto"/>
            <w:noWrap/>
            <w:vAlign w:val="center"/>
          </w:tcPr>
          <w:p>
            <w:pPr>
              <w:pStyle w:val="15"/>
              <w:bidi w:val="0"/>
              <w:rPr>
                <w:highlight w:val="none"/>
              </w:rPr>
            </w:pPr>
            <w:r>
              <w:rPr>
                <w:highlight w:val="none"/>
              </w:rPr>
              <w:t>1人</w:t>
            </w:r>
          </w:p>
        </w:tc>
        <w:tc>
          <w:tcPr>
            <w:tcW w:w="1897" w:type="dxa"/>
            <w:vAlign w:val="center"/>
          </w:tcPr>
          <w:p>
            <w:pPr>
              <w:pStyle w:val="15"/>
              <w:numPr>
                <w:ilvl w:val="0"/>
                <w:numId w:val="4"/>
              </w:numPr>
              <w:bidi w:val="0"/>
              <w:rPr>
                <w:rFonts w:hint="eastAsia"/>
                <w:highlight w:val="none"/>
                <w:lang w:eastAsia="zh-CN"/>
              </w:rPr>
            </w:pPr>
            <w:r>
              <w:rPr>
                <w:highlight w:val="none"/>
              </w:rPr>
              <w:t>本科及以上学历</w:t>
            </w:r>
            <w:r>
              <w:rPr>
                <w:rFonts w:hint="eastAsia"/>
                <w:highlight w:val="none"/>
                <w:lang w:eastAsia="zh-CN"/>
              </w:rPr>
              <w:t>；</w:t>
            </w:r>
          </w:p>
          <w:p>
            <w:pPr>
              <w:pStyle w:val="15"/>
              <w:numPr>
                <w:ilvl w:val="0"/>
                <w:numId w:val="4"/>
              </w:numPr>
              <w:bidi w:val="0"/>
              <w:rPr>
                <w:rFonts w:hint="eastAsia"/>
                <w:highlight w:val="none"/>
                <w:lang w:eastAsia="zh-CN"/>
              </w:rPr>
            </w:pPr>
            <w:r>
              <w:rPr>
                <w:rFonts w:hint="eastAsia"/>
                <w:highlight w:val="none"/>
              </w:rPr>
              <w:t>具有</w:t>
            </w:r>
            <w:r>
              <w:rPr>
                <w:rFonts w:hint="eastAsia"/>
                <w:highlight w:val="none"/>
                <w:lang w:val="en-US" w:eastAsia="zh-CN"/>
              </w:rPr>
              <w:t>计算机技术与软件专业技术资格(水平)高级证书或</w:t>
            </w:r>
            <w:r>
              <w:rPr>
                <w:rFonts w:hint="eastAsia"/>
                <w:highlight w:val="none"/>
              </w:rPr>
              <w:t>计算机</w:t>
            </w:r>
            <w:r>
              <w:rPr>
                <w:rFonts w:hint="eastAsia"/>
                <w:highlight w:val="none"/>
                <w:lang w:eastAsia="zh-CN"/>
              </w:rPr>
              <w:t>类</w:t>
            </w:r>
            <w:r>
              <w:rPr>
                <w:rFonts w:hint="eastAsia"/>
                <w:highlight w:val="none"/>
              </w:rPr>
              <w:t>专业高级职称证书</w:t>
            </w:r>
          </w:p>
        </w:tc>
        <w:tc>
          <w:tcPr>
            <w:tcW w:w="1297" w:type="dxa"/>
            <w:shd w:val="clear" w:color="auto" w:fill="auto"/>
            <w:noWrap/>
            <w:vAlign w:val="center"/>
          </w:tcPr>
          <w:p>
            <w:pPr>
              <w:pStyle w:val="15"/>
              <w:bidi w:val="0"/>
              <w:rPr>
                <w:highlight w:val="none"/>
              </w:rPr>
            </w:pPr>
            <w:r>
              <w:rPr>
                <w:rFonts w:hint="eastAsia"/>
                <w:highlight w:val="none"/>
              </w:rPr>
              <w:t>不</w:t>
            </w:r>
            <w:r>
              <w:rPr>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pStyle w:val="15"/>
              <w:bidi w:val="0"/>
              <w:rPr>
                <w:highlight w:val="none"/>
              </w:rPr>
            </w:pPr>
            <w:r>
              <w:rPr>
                <w:highlight w:val="none"/>
              </w:rPr>
              <w:t>技术负责人</w:t>
            </w:r>
          </w:p>
        </w:tc>
        <w:tc>
          <w:tcPr>
            <w:tcW w:w="2816" w:type="dxa"/>
            <w:shd w:val="clear" w:color="auto" w:fill="auto"/>
            <w:vAlign w:val="center"/>
          </w:tcPr>
          <w:p>
            <w:pPr>
              <w:pStyle w:val="15"/>
              <w:bidi w:val="0"/>
              <w:rPr>
                <w:highlight w:val="none"/>
              </w:rPr>
            </w:pPr>
            <w:r>
              <w:rPr>
                <w:highlight w:val="none"/>
              </w:rPr>
              <w:t>负责项目技术架构设计及数据对接标准</w:t>
            </w:r>
          </w:p>
        </w:tc>
        <w:tc>
          <w:tcPr>
            <w:tcW w:w="1336" w:type="dxa"/>
            <w:shd w:val="clear" w:color="auto" w:fill="auto"/>
            <w:noWrap/>
            <w:vAlign w:val="center"/>
          </w:tcPr>
          <w:p>
            <w:pPr>
              <w:pStyle w:val="15"/>
              <w:bidi w:val="0"/>
              <w:rPr>
                <w:highlight w:val="none"/>
              </w:rPr>
            </w:pPr>
            <w:r>
              <w:rPr>
                <w:highlight w:val="none"/>
              </w:rPr>
              <w:t>1人</w:t>
            </w:r>
          </w:p>
        </w:tc>
        <w:tc>
          <w:tcPr>
            <w:tcW w:w="1897" w:type="dxa"/>
            <w:vAlign w:val="center"/>
          </w:tcPr>
          <w:p>
            <w:pPr>
              <w:pStyle w:val="15"/>
              <w:bidi w:val="0"/>
              <w:rPr>
                <w:rFonts w:hint="eastAsia"/>
                <w:highlight w:val="none"/>
                <w:lang w:eastAsia="zh-CN"/>
              </w:rPr>
            </w:pPr>
            <w:r>
              <w:rPr>
                <w:highlight w:val="none"/>
              </w:rPr>
              <w:t>本科及以上学历</w:t>
            </w:r>
          </w:p>
        </w:tc>
        <w:tc>
          <w:tcPr>
            <w:tcW w:w="1297" w:type="dxa"/>
            <w:shd w:val="clear" w:color="auto" w:fill="auto"/>
            <w:noWrap/>
            <w:vAlign w:val="center"/>
          </w:tcPr>
          <w:p>
            <w:pPr>
              <w:pStyle w:val="15"/>
              <w:bidi w:val="0"/>
              <w:rPr>
                <w:highlight w:val="none"/>
              </w:rPr>
            </w:pPr>
            <w:r>
              <w:rPr>
                <w:rFonts w:hint="eastAsia"/>
                <w:highlight w:val="none"/>
              </w:rPr>
              <w:t>不</w:t>
            </w:r>
            <w:r>
              <w:rPr>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pStyle w:val="15"/>
              <w:bidi w:val="0"/>
              <w:rPr>
                <w:highlight w:val="none"/>
              </w:rPr>
            </w:pPr>
            <w:r>
              <w:rPr>
                <w:highlight w:val="none"/>
              </w:rPr>
              <w:t>产品经理</w:t>
            </w:r>
          </w:p>
        </w:tc>
        <w:tc>
          <w:tcPr>
            <w:tcW w:w="2816" w:type="dxa"/>
            <w:shd w:val="clear" w:color="auto" w:fill="auto"/>
            <w:vAlign w:val="center"/>
          </w:tcPr>
          <w:p>
            <w:pPr>
              <w:pStyle w:val="15"/>
              <w:bidi w:val="0"/>
              <w:rPr>
                <w:highlight w:val="none"/>
              </w:rPr>
            </w:pPr>
            <w:r>
              <w:rPr>
                <w:highlight w:val="none"/>
              </w:rPr>
              <w:t>负责项目需求评估与产品设计</w:t>
            </w:r>
          </w:p>
        </w:tc>
        <w:tc>
          <w:tcPr>
            <w:tcW w:w="1336" w:type="dxa"/>
            <w:shd w:val="clear" w:color="auto" w:fill="auto"/>
            <w:noWrap/>
            <w:vAlign w:val="center"/>
          </w:tcPr>
          <w:p>
            <w:pPr>
              <w:pStyle w:val="15"/>
              <w:bidi w:val="0"/>
              <w:rPr>
                <w:highlight w:val="none"/>
              </w:rPr>
            </w:pPr>
            <w:r>
              <w:rPr>
                <w:rFonts w:hint="eastAsia"/>
                <w:highlight w:val="none"/>
              </w:rPr>
              <w:t>1</w:t>
            </w:r>
            <w:r>
              <w:rPr>
                <w:highlight w:val="none"/>
              </w:rPr>
              <w:t>人</w:t>
            </w:r>
          </w:p>
        </w:tc>
        <w:tc>
          <w:tcPr>
            <w:tcW w:w="1897" w:type="dxa"/>
            <w:vAlign w:val="center"/>
          </w:tcPr>
          <w:p>
            <w:pPr>
              <w:pStyle w:val="15"/>
              <w:bidi w:val="0"/>
              <w:rPr>
                <w:highlight w:val="none"/>
              </w:rPr>
            </w:pPr>
            <w:r>
              <w:rPr>
                <w:highlight w:val="none"/>
              </w:rPr>
              <w:t>本科及以上学历</w:t>
            </w:r>
          </w:p>
        </w:tc>
        <w:tc>
          <w:tcPr>
            <w:tcW w:w="1297" w:type="dxa"/>
            <w:shd w:val="clear" w:color="auto" w:fill="auto"/>
            <w:noWrap/>
            <w:vAlign w:val="center"/>
          </w:tcPr>
          <w:p>
            <w:pPr>
              <w:pStyle w:val="15"/>
              <w:bidi w:val="0"/>
              <w:rPr>
                <w:highlight w:val="none"/>
              </w:rPr>
            </w:pPr>
            <w:r>
              <w:rPr>
                <w:rFonts w:hint="eastAsia"/>
                <w:highlight w:val="none"/>
              </w:rPr>
              <w:t>不</w:t>
            </w:r>
            <w:r>
              <w:rPr>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pStyle w:val="15"/>
              <w:bidi w:val="0"/>
              <w:rPr>
                <w:highlight w:val="none"/>
              </w:rPr>
            </w:pPr>
            <w:r>
              <w:rPr>
                <w:highlight w:val="none"/>
              </w:rPr>
              <w:t>研发</w:t>
            </w:r>
          </w:p>
        </w:tc>
        <w:tc>
          <w:tcPr>
            <w:tcW w:w="2816" w:type="dxa"/>
            <w:shd w:val="clear" w:color="auto" w:fill="auto"/>
            <w:noWrap/>
            <w:vAlign w:val="center"/>
          </w:tcPr>
          <w:p>
            <w:pPr>
              <w:pStyle w:val="15"/>
              <w:bidi w:val="0"/>
              <w:rPr>
                <w:highlight w:val="none"/>
              </w:rPr>
            </w:pPr>
            <w:r>
              <w:rPr>
                <w:highlight w:val="none"/>
              </w:rPr>
              <w:t>负责项目具体开发与实施</w:t>
            </w:r>
          </w:p>
        </w:tc>
        <w:tc>
          <w:tcPr>
            <w:tcW w:w="1336" w:type="dxa"/>
            <w:shd w:val="clear" w:color="auto" w:fill="auto"/>
            <w:noWrap/>
            <w:vAlign w:val="center"/>
          </w:tcPr>
          <w:p>
            <w:pPr>
              <w:pStyle w:val="15"/>
              <w:bidi w:val="0"/>
              <w:rPr>
                <w:highlight w:val="none"/>
              </w:rPr>
            </w:pPr>
            <w:r>
              <w:rPr>
                <w:rFonts w:hint="eastAsia"/>
                <w:highlight w:val="none"/>
              </w:rPr>
              <w:t>4</w:t>
            </w:r>
            <w:r>
              <w:rPr>
                <w:highlight w:val="none"/>
              </w:rPr>
              <w:t>人</w:t>
            </w:r>
          </w:p>
        </w:tc>
        <w:tc>
          <w:tcPr>
            <w:tcW w:w="1897" w:type="dxa"/>
            <w:vAlign w:val="center"/>
          </w:tcPr>
          <w:p>
            <w:pPr>
              <w:pStyle w:val="15"/>
              <w:bidi w:val="0"/>
              <w:rPr>
                <w:highlight w:val="none"/>
              </w:rPr>
            </w:pPr>
            <w:r>
              <w:rPr>
                <w:highlight w:val="none"/>
              </w:rPr>
              <w:t>本科及以上学历</w:t>
            </w:r>
          </w:p>
        </w:tc>
        <w:tc>
          <w:tcPr>
            <w:tcW w:w="1297" w:type="dxa"/>
            <w:shd w:val="clear" w:color="auto" w:fill="auto"/>
            <w:noWrap/>
            <w:vAlign w:val="center"/>
          </w:tcPr>
          <w:p>
            <w:pPr>
              <w:pStyle w:val="15"/>
              <w:bidi w:val="0"/>
              <w:rPr>
                <w:highlight w:val="none"/>
              </w:rPr>
            </w:pPr>
            <w:r>
              <w:rPr>
                <w:rFonts w:hint="eastAsia"/>
                <w:highlight w:val="none"/>
              </w:rPr>
              <w:t>不驻场</w:t>
            </w:r>
          </w:p>
        </w:tc>
      </w:tr>
    </w:tbl>
    <w:p>
      <w:pPr>
        <w:pStyle w:val="17"/>
        <w:snapToGrid w:val="0"/>
        <w:spacing w:line="360" w:lineRule="auto"/>
        <w:ind w:firstLine="480"/>
        <w:rPr>
          <w:rFonts w:cs="Times New Roman"/>
          <w:sz w:val="24"/>
          <w:szCs w:val="24"/>
          <w:highlight w:val="none"/>
        </w:rPr>
      </w:pPr>
      <w:r>
        <w:rPr>
          <w:rFonts w:cs="Times New Roman"/>
          <w:sz w:val="24"/>
          <w:szCs w:val="24"/>
          <w:highlight w:val="none"/>
        </w:rPr>
        <w:t>2</w:t>
      </w:r>
      <w:r>
        <w:rPr>
          <w:rFonts w:hint="eastAsia" w:cs="Times New Roman"/>
          <w:sz w:val="24"/>
          <w:szCs w:val="24"/>
          <w:highlight w:val="none"/>
          <w:lang w:eastAsia="zh-CN"/>
        </w:rPr>
        <w:t>、</w:t>
      </w:r>
      <w:r>
        <w:rPr>
          <w:rFonts w:cs="Times New Roman"/>
          <w:sz w:val="24"/>
          <w:szCs w:val="24"/>
          <w:highlight w:val="none"/>
        </w:rPr>
        <w:t>供应商应针对本项目提供不少于</w:t>
      </w:r>
      <w:r>
        <w:rPr>
          <w:rFonts w:hint="eastAsia" w:cs="Times New Roman"/>
          <w:sz w:val="24"/>
          <w:szCs w:val="24"/>
          <w:highlight w:val="none"/>
        </w:rPr>
        <w:t>1</w:t>
      </w:r>
      <w:r>
        <w:rPr>
          <w:rFonts w:cs="Times New Roman"/>
          <w:sz w:val="24"/>
          <w:szCs w:val="24"/>
          <w:highlight w:val="none"/>
        </w:rPr>
        <w:t>人的质保期间支撑团队（其中技术工程师</w:t>
      </w:r>
      <w:r>
        <w:rPr>
          <w:rFonts w:hint="eastAsia" w:cs="Times New Roman"/>
          <w:sz w:val="24"/>
          <w:szCs w:val="24"/>
          <w:highlight w:val="none"/>
        </w:rPr>
        <w:t>1</w:t>
      </w:r>
      <w:r>
        <w:rPr>
          <w:rFonts w:cs="Times New Roman"/>
          <w:sz w:val="24"/>
          <w:szCs w:val="24"/>
          <w:highlight w:val="none"/>
        </w:rPr>
        <w:t>人）；供应商的相关服务人员需具备相应的服务能力，需提供相关证明（最近一个季度</w:t>
      </w:r>
      <w:r>
        <w:rPr>
          <w:rFonts w:hint="eastAsia" w:cs="Times New Roman"/>
          <w:sz w:val="24"/>
          <w:szCs w:val="24"/>
          <w:highlight w:val="none"/>
        </w:rPr>
        <w:t>任意一个月</w:t>
      </w:r>
      <w:r>
        <w:rPr>
          <w:rFonts w:cs="Times New Roman"/>
          <w:sz w:val="24"/>
          <w:szCs w:val="24"/>
          <w:highlight w:val="none"/>
        </w:rPr>
        <w:t>依法缴纳社保费的证明）。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62"/>
        <w:gridCol w:w="1180"/>
        <w:gridCol w:w="1500"/>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pStyle w:val="15"/>
              <w:bidi w:val="0"/>
              <w:rPr>
                <w:highlight w:val="none"/>
              </w:rPr>
            </w:pPr>
            <w:r>
              <w:rPr>
                <w:highlight w:val="none"/>
              </w:rPr>
              <w:t>角色</w:t>
            </w:r>
          </w:p>
        </w:tc>
        <w:tc>
          <w:tcPr>
            <w:tcW w:w="0" w:type="auto"/>
            <w:shd w:val="clear" w:color="auto" w:fill="auto"/>
            <w:noWrap/>
            <w:vAlign w:val="center"/>
          </w:tcPr>
          <w:p>
            <w:pPr>
              <w:pStyle w:val="15"/>
              <w:bidi w:val="0"/>
              <w:rPr>
                <w:highlight w:val="none"/>
              </w:rPr>
            </w:pPr>
            <w:r>
              <w:rPr>
                <w:highlight w:val="none"/>
              </w:rPr>
              <w:t>主要职责</w:t>
            </w:r>
          </w:p>
        </w:tc>
        <w:tc>
          <w:tcPr>
            <w:tcW w:w="0" w:type="auto"/>
            <w:shd w:val="clear" w:color="auto" w:fill="auto"/>
            <w:noWrap/>
            <w:vAlign w:val="center"/>
          </w:tcPr>
          <w:p>
            <w:pPr>
              <w:pStyle w:val="15"/>
              <w:bidi w:val="0"/>
              <w:rPr>
                <w:highlight w:val="none"/>
              </w:rPr>
            </w:pPr>
            <w:r>
              <w:rPr>
                <w:highlight w:val="none"/>
              </w:rPr>
              <w:t>人员数量</w:t>
            </w:r>
          </w:p>
        </w:tc>
        <w:tc>
          <w:tcPr>
            <w:tcW w:w="1500" w:type="dxa"/>
            <w:vAlign w:val="center"/>
          </w:tcPr>
          <w:p>
            <w:pPr>
              <w:pStyle w:val="15"/>
              <w:bidi w:val="0"/>
              <w:rPr>
                <w:highlight w:val="none"/>
              </w:rPr>
            </w:pPr>
            <w:r>
              <w:rPr>
                <w:highlight w:val="none"/>
              </w:rPr>
              <w:t>人员要求</w:t>
            </w:r>
          </w:p>
        </w:tc>
        <w:tc>
          <w:tcPr>
            <w:tcW w:w="1564" w:type="dxa"/>
            <w:shd w:val="clear" w:color="auto" w:fill="auto"/>
            <w:noWrap/>
            <w:vAlign w:val="center"/>
          </w:tcPr>
          <w:p>
            <w:pPr>
              <w:pStyle w:val="15"/>
              <w:bidi w:val="0"/>
              <w:rPr>
                <w:highlight w:val="none"/>
              </w:rPr>
            </w:pPr>
            <w:r>
              <w:rPr>
                <w:highlight w: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pStyle w:val="15"/>
              <w:bidi w:val="0"/>
              <w:rPr>
                <w:highlight w:val="none"/>
              </w:rPr>
            </w:pPr>
            <w:r>
              <w:rPr>
                <w:highlight w:val="none"/>
              </w:rPr>
              <w:t>技术工程师</w:t>
            </w:r>
          </w:p>
        </w:tc>
        <w:tc>
          <w:tcPr>
            <w:tcW w:w="2862" w:type="dxa"/>
            <w:shd w:val="clear" w:color="auto" w:fill="auto"/>
            <w:noWrap/>
            <w:vAlign w:val="center"/>
          </w:tcPr>
          <w:p>
            <w:pPr>
              <w:pStyle w:val="15"/>
              <w:bidi w:val="0"/>
              <w:rPr>
                <w:highlight w:val="none"/>
              </w:rPr>
            </w:pPr>
            <w:r>
              <w:rPr>
                <w:highlight w:val="none"/>
              </w:rPr>
              <w:t>负责项目运行及维护</w:t>
            </w:r>
          </w:p>
        </w:tc>
        <w:tc>
          <w:tcPr>
            <w:tcW w:w="1180" w:type="dxa"/>
            <w:shd w:val="clear" w:color="auto" w:fill="auto"/>
            <w:noWrap/>
            <w:vAlign w:val="center"/>
          </w:tcPr>
          <w:p>
            <w:pPr>
              <w:pStyle w:val="15"/>
              <w:bidi w:val="0"/>
              <w:rPr>
                <w:highlight w:val="none"/>
              </w:rPr>
            </w:pPr>
            <w:r>
              <w:rPr>
                <w:rFonts w:hint="eastAsia"/>
                <w:highlight w:val="none"/>
              </w:rPr>
              <w:t>1</w:t>
            </w:r>
            <w:r>
              <w:rPr>
                <w:highlight w:val="none"/>
              </w:rPr>
              <w:t>人</w:t>
            </w:r>
          </w:p>
        </w:tc>
        <w:tc>
          <w:tcPr>
            <w:tcW w:w="1500" w:type="dxa"/>
            <w:vAlign w:val="center"/>
          </w:tcPr>
          <w:p>
            <w:pPr>
              <w:pStyle w:val="15"/>
              <w:bidi w:val="0"/>
              <w:rPr>
                <w:highlight w:val="none"/>
              </w:rPr>
            </w:pPr>
            <w:r>
              <w:rPr>
                <w:rFonts w:hint="eastAsia"/>
                <w:highlight w:val="none"/>
              </w:rPr>
              <w:t>本科及以上学历</w:t>
            </w:r>
          </w:p>
        </w:tc>
        <w:tc>
          <w:tcPr>
            <w:tcW w:w="1564" w:type="dxa"/>
            <w:shd w:val="clear" w:color="auto" w:fill="auto"/>
            <w:noWrap/>
            <w:vAlign w:val="center"/>
          </w:tcPr>
          <w:p>
            <w:pPr>
              <w:pStyle w:val="15"/>
              <w:bidi w:val="0"/>
              <w:rPr>
                <w:highlight w:val="none"/>
              </w:rPr>
            </w:pPr>
            <w:r>
              <w:rPr>
                <w:highlight w:val="none"/>
              </w:rPr>
              <w:t>不驻场</w:t>
            </w:r>
          </w:p>
        </w:tc>
      </w:tr>
    </w:tbl>
    <w:p>
      <w:pPr>
        <w:keepNext/>
        <w:keepLines/>
        <w:widowControl/>
        <w:spacing w:before="120" w:after="120" w:line="360" w:lineRule="auto"/>
        <w:outlineLvl w:val="2"/>
        <w:rPr>
          <w:rFonts w:ascii="宋体" w:hAnsi="宋体" w:cs="黑体"/>
          <w:b/>
          <w:bCs/>
          <w:kern w:val="44"/>
          <w:sz w:val="24"/>
          <w:szCs w:val="24"/>
          <w:highlight w:val="none"/>
        </w:rPr>
      </w:pPr>
      <w:bookmarkStart w:id="12" w:name="_Toc63785511"/>
      <w:r>
        <w:rPr>
          <w:rFonts w:hint="eastAsia" w:ascii="宋体" w:hAnsi="宋体" w:cs="黑体"/>
          <w:b/>
          <w:bCs/>
          <w:kern w:val="44"/>
          <w:sz w:val="24"/>
          <w:szCs w:val="24"/>
          <w:highlight w:val="none"/>
        </w:rPr>
        <w:t>5.</w:t>
      </w:r>
      <w:r>
        <w:rPr>
          <w:rFonts w:hint="eastAsia" w:ascii="宋体" w:hAnsi="宋体" w:cs="黑体"/>
          <w:b/>
          <w:bCs/>
          <w:kern w:val="44"/>
          <w:sz w:val="24"/>
          <w:szCs w:val="24"/>
          <w:highlight w:val="none"/>
          <w:lang w:val="en-US" w:eastAsia="zh-CN"/>
        </w:rPr>
        <w:t>7</w:t>
      </w:r>
      <w:r>
        <w:rPr>
          <w:rFonts w:ascii="宋体" w:hAnsi="宋体" w:cs="黑体"/>
          <w:b/>
          <w:bCs/>
          <w:kern w:val="44"/>
          <w:sz w:val="24"/>
          <w:szCs w:val="24"/>
          <w:highlight w:val="none"/>
        </w:rPr>
        <w:t>等级保护要求</w:t>
      </w:r>
      <w:bookmarkEnd w:id="12"/>
    </w:p>
    <w:p>
      <w:pPr>
        <w:bidi w:val="0"/>
        <w:rPr>
          <w:highlight w:val="none"/>
        </w:rPr>
      </w:pPr>
      <w:r>
        <w:rPr>
          <w:highlight w:val="none"/>
        </w:rPr>
        <w:t>本项目等级保护要求：拟建项目的信息系统安全等级为</w:t>
      </w:r>
      <w:r>
        <w:rPr>
          <w:rFonts w:hint="eastAsia"/>
          <w:highlight w:val="none"/>
        </w:rPr>
        <w:t>三级</w:t>
      </w:r>
      <w:r>
        <w:rPr>
          <w:highlight w:val="none"/>
        </w:rPr>
        <w:t>。</w:t>
      </w:r>
    </w:p>
    <w:p>
      <w:pPr>
        <w:keepNext/>
        <w:keepLines/>
        <w:widowControl/>
        <w:spacing w:before="120" w:after="120" w:line="360" w:lineRule="auto"/>
        <w:outlineLvl w:val="2"/>
        <w:rPr>
          <w:rFonts w:ascii="宋体" w:hAnsi="宋体" w:cs="黑体"/>
          <w:b/>
          <w:bCs/>
          <w:kern w:val="44"/>
          <w:sz w:val="24"/>
          <w:szCs w:val="24"/>
          <w:highlight w:val="none"/>
        </w:rPr>
      </w:pPr>
      <w:r>
        <w:rPr>
          <w:rFonts w:hint="eastAsia" w:ascii="宋体" w:hAnsi="宋体" w:cs="黑体"/>
          <w:b/>
          <w:bCs/>
          <w:kern w:val="44"/>
          <w:sz w:val="24"/>
          <w:szCs w:val="24"/>
          <w:highlight w:val="none"/>
        </w:rPr>
        <w:t>5.</w:t>
      </w:r>
      <w:r>
        <w:rPr>
          <w:rFonts w:hint="eastAsia" w:ascii="宋体" w:hAnsi="宋体" w:cs="黑体"/>
          <w:b/>
          <w:bCs/>
          <w:kern w:val="44"/>
          <w:sz w:val="24"/>
          <w:szCs w:val="24"/>
          <w:highlight w:val="none"/>
          <w:lang w:val="en-US" w:eastAsia="zh-CN"/>
        </w:rPr>
        <w:t>8</w:t>
      </w:r>
      <w:r>
        <w:rPr>
          <w:rFonts w:ascii="宋体" w:hAnsi="宋体" w:cs="黑体"/>
          <w:b/>
          <w:bCs/>
          <w:kern w:val="44"/>
          <w:sz w:val="24"/>
          <w:szCs w:val="24"/>
          <w:highlight w:val="none"/>
        </w:rPr>
        <w:t>商业密码应用</w:t>
      </w:r>
      <w:r>
        <w:rPr>
          <w:rFonts w:hint="eastAsia" w:ascii="宋体" w:hAnsi="宋体" w:cs="黑体"/>
          <w:b/>
          <w:bCs/>
          <w:kern w:val="44"/>
          <w:sz w:val="24"/>
          <w:szCs w:val="24"/>
          <w:highlight w:val="none"/>
        </w:rPr>
        <w:t>要求</w:t>
      </w:r>
    </w:p>
    <w:p>
      <w:pPr>
        <w:bidi w:val="0"/>
        <w:rPr>
          <w:rFonts w:cs="Times New Roman"/>
          <w:szCs w:val="24"/>
          <w:highlight w:val="none"/>
        </w:rPr>
      </w:pPr>
      <w:r>
        <w:rPr>
          <w:highlight w:val="none"/>
        </w:rPr>
        <w:t>系统相关功能设计需要使用国密算法标准，项目完成后需要通过商用密码应用安全性评估。</w:t>
      </w:r>
    </w:p>
    <w:tbl>
      <w:tblPr>
        <w:tblStyle w:val="11"/>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072"/>
        <w:gridCol w:w="2164"/>
        <w:gridCol w:w="3471"/>
        <w:gridCol w:w="18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blHeader/>
          <w:jc w:val="center"/>
        </w:trPr>
        <w:tc>
          <w:tcPr>
            <w:tcW w:w="629" w:type="pct"/>
            <w:vAlign w:val="center"/>
          </w:tcPr>
          <w:p>
            <w:pPr>
              <w:pStyle w:val="15"/>
              <w:bidi w:val="0"/>
              <w:rPr>
                <w:highlight w:val="none"/>
              </w:rPr>
            </w:pPr>
            <w:r>
              <w:rPr>
                <w:highlight w:val="none"/>
              </w:rPr>
              <w:t>安全层面</w:t>
            </w:r>
          </w:p>
        </w:tc>
        <w:tc>
          <w:tcPr>
            <w:tcW w:w="1270" w:type="pct"/>
            <w:vAlign w:val="center"/>
          </w:tcPr>
          <w:p>
            <w:pPr>
              <w:pStyle w:val="15"/>
              <w:bidi w:val="0"/>
              <w:rPr>
                <w:highlight w:val="none"/>
              </w:rPr>
            </w:pPr>
            <w:r>
              <w:rPr>
                <w:highlight w:val="none"/>
              </w:rPr>
              <w:t>指标要求</w:t>
            </w:r>
          </w:p>
        </w:tc>
        <w:tc>
          <w:tcPr>
            <w:tcW w:w="2037" w:type="pct"/>
            <w:vAlign w:val="center"/>
          </w:tcPr>
          <w:p>
            <w:pPr>
              <w:pStyle w:val="15"/>
              <w:bidi w:val="0"/>
              <w:rPr>
                <w:highlight w:val="none"/>
              </w:rPr>
            </w:pPr>
            <w:r>
              <w:rPr>
                <w:highlight w:val="none"/>
              </w:rPr>
              <w:t>系统密码应用需求</w:t>
            </w:r>
          </w:p>
        </w:tc>
        <w:tc>
          <w:tcPr>
            <w:tcW w:w="1063" w:type="pct"/>
            <w:vAlign w:val="center"/>
          </w:tcPr>
          <w:p>
            <w:pPr>
              <w:pStyle w:val="15"/>
              <w:bidi w:val="0"/>
              <w:rPr>
                <w:highlight w:val="none"/>
              </w:rPr>
            </w:pPr>
            <w:r>
              <w:rPr>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restart"/>
            <w:vAlign w:val="center"/>
          </w:tcPr>
          <w:p>
            <w:pPr>
              <w:pStyle w:val="15"/>
              <w:bidi w:val="0"/>
              <w:rPr>
                <w:highlight w:val="none"/>
              </w:rPr>
            </w:pPr>
            <w:r>
              <w:rPr>
                <w:highlight w:val="none"/>
              </w:rPr>
              <w:t>物理和环境安全</w:t>
            </w:r>
          </w:p>
        </w:tc>
        <w:tc>
          <w:tcPr>
            <w:tcW w:w="1270" w:type="pct"/>
            <w:vAlign w:val="center"/>
          </w:tcPr>
          <w:p>
            <w:pPr>
              <w:pStyle w:val="15"/>
              <w:bidi w:val="0"/>
              <w:rPr>
                <w:highlight w:val="none"/>
              </w:rPr>
            </w:pPr>
            <w:r>
              <w:rPr>
                <w:highlight w:val="none"/>
              </w:rPr>
              <w:t>身份鉴别</w:t>
            </w:r>
          </w:p>
        </w:tc>
        <w:tc>
          <w:tcPr>
            <w:tcW w:w="2037" w:type="pct"/>
            <w:vAlign w:val="center"/>
          </w:tcPr>
          <w:p>
            <w:pPr>
              <w:pStyle w:val="15"/>
              <w:bidi w:val="0"/>
              <w:rPr>
                <w:highlight w:val="none"/>
              </w:rPr>
            </w:pPr>
            <w:r>
              <w:rPr>
                <w:highlight w:val="none"/>
              </w:rPr>
              <w:t>已符合密码应用要求。</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电子门禁记录数据完整性</w:t>
            </w:r>
          </w:p>
        </w:tc>
        <w:tc>
          <w:tcPr>
            <w:tcW w:w="2037" w:type="pct"/>
            <w:vMerge w:val="restart"/>
            <w:vAlign w:val="center"/>
          </w:tcPr>
          <w:p>
            <w:pPr>
              <w:pStyle w:val="15"/>
              <w:bidi w:val="0"/>
              <w:rPr>
                <w:highlight w:val="none"/>
              </w:rPr>
            </w:pPr>
            <w:r>
              <w:rPr>
                <w:highlight w:val="none"/>
              </w:rPr>
              <w:t>已符合密码应用要求。</w:t>
            </w:r>
          </w:p>
        </w:tc>
        <w:tc>
          <w:tcPr>
            <w:tcW w:w="1063" w:type="pct"/>
            <w:vMerge w:val="restar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视频监控记录数据完整性</w:t>
            </w:r>
          </w:p>
        </w:tc>
        <w:tc>
          <w:tcPr>
            <w:tcW w:w="2037" w:type="pct"/>
            <w:vMerge w:val="continue"/>
            <w:vAlign w:val="center"/>
          </w:tcPr>
          <w:p>
            <w:pPr>
              <w:pStyle w:val="15"/>
              <w:bidi w:val="0"/>
              <w:rPr>
                <w:highlight w:val="none"/>
              </w:rPr>
            </w:pPr>
          </w:p>
        </w:tc>
        <w:tc>
          <w:tcPr>
            <w:tcW w:w="1063" w:type="pct"/>
            <w:vMerge w:val="continue"/>
            <w:vAlign w:val="center"/>
          </w:tcPr>
          <w:p>
            <w:pPr>
              <w:pStyle w:val="15"/>
              <w:bidi w:val="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密码服务</w:t>
            </w:r>
          </w:p>
        </w:tc>
        <w:tc>
          <w:tcPr>
            <w:tcW w:w="2037" w:type="pct"/>
            <w:vAlign w:val="center"/>
          </w:tcPr>
          <w:p>
            <w:pPr>
              <w:pStyle w:val="15"/>
              <w:bidi w:val="0"/>
              <w:rPr>
                <w:highlight w:val="none"/>
              </w:rPr>
            </w:pPr>
            <w:r>
              <w:rPr>
                <w:highlight w:val="none"/>
              </w:rPr>
              <w:t>不适用。</w:t>
            </w:r>
          </w:p>
        </w:tc>
        <w:tc>
          <w:tcPr>
            <w:tcW w:w="1063" w:type="pct"/>
            <w:vAlign w:val="center"/>
          </w:tcPr>
          <w:p>
            <w:pPr>
              <w:pStyle w:val="15"/>
              <w:bidi w:val="0"/>
              <w:rPr>
                <w:highlight w:val="none"/>
              </w:rPr>
            </w:pPr>
            <w:r>
              <w:rPr>
                <w:highlight w:val="none"/>
              </w:rPr>
              <w:t>无密码服务需求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密码产品</w:t>
            </w:r>
          </w:p>
        </w:tc>
        <w:tc>
          <w:tcPr>
            <w:tcW w:w="2037" w:type="pct"/>
            <w:vAlign w:val="center"/>
          </w:tcPr>
          <w:p>
            <w:pPr>
              <w:pStyle w:val="15"/>
              <w:bidi w:val="0"/>
              <w:rPr>
                <w:highlight w:val="none"/>
              </w:rPr>
            </w:pPr>
            <w:r>
              <w:rPr>
                <w:highlight w:val="none"/>
              </w:rPr>
              <w:t>采用的密码产品应达到GB/T 37092-2018</w:t>
            </w:r>
            <w:r>
              <w:rPr>
                <w:rFonts w:hint="eastAsia"/>
                <w:highlight w:val="none"/>
              </w:rPr>
              <w:t>三</w:t>
            </w:r>
            <w:r>
              <w:rPr>
                <w:highlight w:val="none"/>
              </w:rPr>
              <w:t>级安全要求。</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restart"/>
            <w:vAlign w:val="center"/>
          </w:tcPr>
          <w:p>
            <w:pPr>
              <w:pStyle w:val="15"/>
              <w:bidi w:val="0"/>
              <w:rPr>
                <w:highlight w:val="none"/>
              </w:rPr>
            </w:pPr>
            <w:r>
              <w:rPr>
                <w:highlight w:val="none"/>
              </w:rPr>
              <w:t>网络和通信安全</w:t>
            </w:r>
          </w:p>
        </w:tc>
        <w:tc>
          <w:tcPr>
            <w:tcW w:w="1270" w:type="pct"/>
            <w:vAlign w:val="center"/>
          </w:tcPr>
          <w:p>
            <w:pPr>
              <w:pStyle w:val="15"/>
              <w:bidi w:val="0"/>
              <w:rPr>
                <w:highlight w:val="none"/>
              </w:rPr>
            </w:pPr>
            <w:r>
              <w:rPr>
                <w:highlight w:val="none"/>
              </w:rPr>
              <w:t>身份鉴别</w:t>
            </w:r>
          </w:p>
        </w:tc>
        <w:tc>
          <w:tcPr>
            <w:tcW w:w="2037" w:type="pct"/>
            <w:vAlign w:val="center"/>
          </w:tcPr>
          <w:p>
            <w:pPr>
              <w:pStyle w:val="15"/>
              <w:bidi w:val="0"/>
              <w:rPr>
                <w:highlight w:val="none"/>
              </w:rPr>
            </w:pPr>
            <w:r>
              <w:rPr>
                <w:highlight w:val="none"/>
              </w:rPr>
              <w:t>已符合密码应用要求。</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通信数据完整性</w:t>
            </w:r>
          </w:p>
        </w:tc>
        <w:tc>
          <w:tcPr>
            <w:tcW w:w="2037" w:type="pct"/>
            <w:vMerge w:val="restart"/>
            <w:vAlign w:val="center"/>
          </w:tcPr>
          <w:p>
            <w:pPr>
              <w:pStyle w:val="15"/>
              <w:bidi w:val="0"/>
              <w:rPr>
                <w:highlight w:val="none"/>
              </w:rPr>
            </w:pPr>
            <w:r>
              <w:rPr>
                <w:highlight w:val="none"/>
              </w:rPr>
              <w:t>保护通信过程中重要业务数据的完整性和机密性，防止数据被非授权篡改，防止重要数据泄露。</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通信过程中重要数据的机密性</w:t>
            </w:r>
          </w:p>
        </w:tc>
        <w:tc>
          <w:tcPr>
            <w:tcW w:w="2037" w:type="pct"/>
            <w:vMerge w:val="continue"/>
            <w:vAlign w:val="center"/>
          </w:tcPr>
          <w:p>
            <w:pPr>
              <w:pStyle w:val="15"/>
              <w:bidi w:val="0"/>
              <w:rPr>
                <w:highlight w:val="none"/>
              </w:rPr>
            </w:pP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网络边界访问控制信息的完整性</w:t>
            </w:r>
          </w:p>
        </w:tc>
        <w:tc>
          <w:tcPr>
            <w:tcW w:w="2037" w:type="pct"/>
            <w:vAlign w:val="center"/>
          </w:tcPr>
          <w:p>
            <w:pPr>
              <w:pStyle w:val="15"/>
              <w:bidi w:val="0"/>
              <w:rPr>
                <w:highlight w:val="none"/>
              </w:rPr>
            </w:pPr>
            <w:r>
              <w:rPr>
                <w:highlight w:val="none"/>
              </w:rPr>
              <w:t>保护互联网用户访问应用系统的网络边界访问控制信息的完整性，防止被非授权篡改。</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安全接入认证</w:t>
            </w:r>
          </w:p>
        </w:tc>
        <w:tc>
          <w:tcPr>
            <w:tcW w:w="2037" w:type="pct"/>
            <w:vAlign w:val="center"/>
          </w:tcPr>
          <w:p>
            <w:pPr>
              <w:pStyle w:val="15"/>
              <w:bidi w:val="0"/>
              <w:rPr>
                <w:highlight w:val="none"/>
              </w:rPr>
            </w:pPr>
            <w:r>
              <w:rPr>
                <w:highlight w:val="none"/>
              </w:rPr>
              <w:t>不适用。</w:t>
            </w:r>
          </w:p>
        </w:tc>
        <w:tc>
          <w:tcPr>
            <w:tcW w:w="1063" w:type="pct"/>
            <w:vAlign w:val="center"/>
          </w:tcPr>
          <w:p>
            <w:pPr>
              <w:pStyle w:val="15"/>
              <w:bidi w:val="0"/>
              <w:rPr>
                <w:highlight w:val="none"/>
              </w:rPr>
            </w:pPr>
            <w:r>
              <w:rPr>
                <w:highlight w:val="none"/>
              </w:rPr>
              <w:t>无外部设备接入本系统的需求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密码服务</w:t>
            </w:r>
          </w:p>
        </w:tc>
        <w:tc>
          <w:tcPr>
            <w:tcW w:w="2037" w:type="pct"/>
            <w:vAlign w:val="center"/>
          </w:tcPr>
          <w:p>
            <w:pPr>
              <w:pStyle w:val="15"/>
              <w:bidi w:val="0"/>
              <w:rPr>
                <w:highlight w:val="none"/>
              </w:rPr>
            </w:pPr>
            <w:r>
              <w:rPr>
                <w:highlight w:val="none"/>
              </w:rPr>
              <w:t>采用的数字证书由具有电子认证服务资质的机构签发。</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密码产品</w:t>
            </w:r>
          </w:p>
        </w:tc>
        <w:tc>
          <w:tcPr>
            <w:tcW w:w="2037" w:type="pct"/>
            <w:vAlign w:val="center"/>
          </w:tcPr>
          <w:p>
            <w:pPr>
              <w:pStyle w:val="15"/>
              <w:bidi w:val="0"/>
              <w:rPr>
                <w:highlight w:val="none"/>
              </w:rPr>
            </w:pPr>
            <w:r>
              <w:rPr>
                <w:highlight w:val="none"/>
              </w:rPr>
              <w:t>采用的密码产品应达到GB/T 37092-2018</w:t>
            </w:r>
            <w:r>
              <w:rPr>
                <w:rFonts w:hint="eastAsia"/>
                <w:highlight w:val="none"/>
              </w:rPr>
              <w:t>三</w:t>
            </w:r>
            <w:r>
              <w:rPr>
                <w:highlight w:val="none"/>
              </w:rPr>
              <w:t>级安全要求。</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restart"/>
            <w:vAlign w:val="center"/>
          </w:tcPr>
          <w:p>
            <w:pPr>
              <w:pStyle w:val="15"/>
              <w:bidi w:val="0"/>
              <w:rPr>
                <w:highlight w:val="none"/>
              </w:rPr>
            </w:pPr>
            <w:r>
              <w:rPr>
                <w:highlight w:val="none"/>
              </w:rPr>
              <w:t>设备和计算安全</w:t>
            </w:r>
          </w:p>
        </w:tc>
        <w:tc>
          <w:tcPr>
            <w:tcW w:w="1270" w:type="pct"/>
            <w:vAlign w:val="center"/>
          </w:tcPr>
          <w:p>
            <w:pPr>
              <w:pStyle w:val="15"/>
              <w:bidi w:val="0"/>
              <w:rPr>
                <w:highlight w:val="none"/>
              </w:rPr>
            </w:pPr>
            <w:r>
              <w:rPr>
                <w:highlight w:val="none"/>
              </w:rPr>
              <w:t>身份鉴别</w:t>
            </w:r>
          </w:p>
        </w:tc>
        <w:tc>
          <w:tcPr>
            <w:tcW w:w="2037" w:type="pct"/>
            <w:vAlign w:val="center"/>
          </w:tcPr>
          <w:p>
            <w:pPr>
              <w:pStyle w:val="15"/>
              <w:bidi w:val="0"/>
              <w:rPr>
                <w:highlight w:val="none"/>
              </w:rPr>
            </w:pPr>
            <w:r>
              <w:rPr>
                <w:highlight w:val="none"/>
              </w:rPr>
              <w:t>管理员通过远程运维管理终端访问堡垒机、服务器虚拟机、数据库、密码服务时，对其身份真实性进行识别和确认，防止假冒人员登录。</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远程管理通道安全</w:t>
            </w:r>
          </w:p>
        </w:tc>
        <w:tc>
          <w:tcPr>
            <w:tcW w:w="2037" w:type="pct"/>
            <w:vAlign w:val="center"/>
          </w:tcPr>
          <w:p>
            <w:pPr>
              <w:pStyle w:val="15"/>
              <w:bidi w:val="0"/>
              <w:rPr>
                <w:highlight w:val="none"/>
              </w:rPr>
            </w:pPr>
            <w:r>
              <w:rPr>
                <w:highlight w:val="none"/>
              </w:rPr>
              <w:t>在设备实施远程运维管理时，对设备的运维管理通道进行保护，防止运维管理数据泄漏。</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系统资源访问控制信息完整性</w:t>
            </w:r>
          </w:p>
        </w:tc>
        <w:tc>
          <w:tcPr>
            <w:tcW w:w="2037" w:type="pct"/>
            <w:vAlign w:val="center"/>
          </w:tcPr>
          <w:p>
            <w:pPr>
              <w:pStyle w:val="15"/>
              <w:bidi w:val="0"/>
              <w:rPr>
                <w:highlight w:val="none"/>
              </w:rPr>
            </w:pPr>
            <w:r>
              <w:rPr>
                <w:highlight w:val="none"/>
              </w:rPr>
              <w:t>保护系统中服务器虚拟机、数据库、密码服务的访问控制信息的完整性，防止被非授权篡改。</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重要信息资源安全标记完整性</w:t>
            </w:r>
          </w:p>
        </w:tc>
        <w:tc>
          <w:tcPr>
            <w:tcW w:w="2037" w:type="pct"/>
            <w:vAlign w:val="center"/>
          </w:tcPr>
          <w:p>
            <w:pPr>
              <w:pStyle w:val="15"/>
              <w:bidi w:val="0"/>
              <w:rPr>
                <w:highlight w:val="none"/>
              </w:rPr>
            </w:pPr>
            <w:r>
              <w:rPr>
                <w:highlight w:val="none"/>
              </w:rPr>
              <w:t>不适用。</w:t>
            </w:r>
          </w:p>
        </w:tc>
        <w:tc>
          <w:tcPr>
            <w:tcW w:w="1063" w:type="pct"/>
            <w:vAlign w:val="center"/>
          </w:tcPr>
          <w:p>
            <w:pPr>
              <w:pStyle w:val="15"/>
              <w:bidi w:val="0"/>
              <w:rPr>
                <w:highlight w:val="none"/>
              </w:rPr>
            </w:pPr>
            <w:r>
              <w:rPr>
                <w:highlight w:val="none"/>
              </w:rPr>
              <w:t>设备没有安全标记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日志记录完整性</w:t>
            </w:r>
          </w:p>
        </w:tc>
        <w:tc>
          <w:tcPr>
            <w:tcW w:w="2037" w:type="pct"/>
            <w:vAlign w:val="center"/>
          </w:tcPr>
          <w:p>
            <w:pPr>
              <w:pStyle w:val="15"/>
              <w:bidi w:val="0"/>
              <w:rPr>
                <w:highlight w:val="none"/>
              </w:rPr>
            </w:pPr>
            <w:r>
              <w:rPr>
                <w:highlight w:val="none"/>
              </w:rPr>
              <w:t>保护系统中服务器虚拟机、数据库、密码服务的日志记录的完整性，防止被非授权篡改。</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重要可执行程序完整性、</w:t>
            </w:r>
          </w:p>
          <w:p>
            <w:pPr>
              <w:pStyle w:val="15"/>
              <w:bidi w:val="0"/>
              <w:rPr>
                <w:highlight w:val="none"/>
              </w:rPr>
            </w:pPr>
            <w:r>
              <w:rPr>
                <w:highlight w:val="none"/>
              </w:rPr>
              <w:t>来源真实性</w:t>
            </w:r>
          </w:p>
        </w:tc>
        <w:tc>
          <w:tcPr>
            <w:tcW w:w="2037" w:type="pct"/>
            <w:vAlign w:val="center"/>
          </w:tcPr>
          <w:p>
            <w:pPr>
              <w:pStyle w:val="15"/>
              <w:bidi w:val="0"/>
              <w:rPr>
                <w:highlight w:val="none"/>
              </w:rPr>
            </w:pPr>
            <w:r>
              <w:rPr>
                <w:highlight w:val="none"/>
              </w:rPr>
              <w:t>保护应用服务器等设备中部署的重要可执行程序的完整性和来源真实性，防止被非授权篡改。</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密码服务</w:t>
            </w:r>
          </w:p>
        </w:tc>
        <w:tc>
          <w:tcPr>
            <w:tcW w:w="2037" w:type="pct"/>
            <w:vAlign w:val="center"/>
          </w:tcPr>
          <w:p>
            <w:pPr>
              <w:pStyle w:val="15"/>
              <w:bidi w:val="0"/>
              <w:rPr>
                <w:highlight w:val="none"/>
              </w:rPr>
            </w:pPr>
            <w:r>
              <w:rPr>
                <w:highlight w:val="none"/>
              </w:rPr>
              <w:t>不适用。</w:t>
            </w:r>
          </w:p>
        </w:tc>
        <w:tc>
          <w:tcPr>
            <w:tcW w:w="1063" w:type="pct"/>
            <w:vAlign w:val="center"/>
          </w:tcPr>
          <w:p>
            <w:pPr>
              <w:pStyle w:val="15"/>
              <w:bidi w:val="0"/>
              <w:rPr>
                <w:highlight w:val="none"/>
              </w:rPr>
            </w:pPr>
            <w:r>
              <w:rPr>
                <w:highlight w:val="none"/>
              </w:rPr>
              <w:t>无密码服务需求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密码产品</w:t>
            </w:r>
          </w:p>
        </w:tc>
        <w:tc>
          <w:tcPr>
            <w:tcW w:w="2037" w:type="pct"/>
            <w:vAlign w:val="center"/>
          </w:tcPr>
          <w:p>
            <w:pPr>
              <w:pStyle w:val="15"/>
              <w:bidi w:val="0"/>
              <w:rPr>
                <w:highlight w:val="none"/>
              </w:rPr>
            </w:pPr>
            <w:r>
              <w:rPr>
                <w:highlight w:val="none"/>
              </w:rPr>
              <w:t>采用的密码产品应达到GB/T 37092-2018</w:t>
            </w:r>
            <w:r>
              <w:rPr>
                <w:rFonts w:hint="eastAsia"/>
                <w:highlight w:val="none"/>
              </w:rPr>
              <w:t>三</w:t>
            </w:r>
            <w:r>
              <w:rPr>
                <w:highlight w:val="none"/>
              </w:rPr>
              <w:t>级安全要求。</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restart"/>
            <w:vAlign w:val="center"/>
          </w:tcPr>
          <w:p>
            <w:pPr>
              <w:pStyle w:val="15"/>
              <w:bidi w:val="0"/>
              <w:rPr>
                <w:highlight w:val="none"/>
              </w:rPr>
            </w:pPr>
            <w:r>
              <w:rPr>
                <w:highlight w:val="none"/>
              </w:rPr>
              <w:t>应用和数据安全</w:t>
            </w:r>
          </w:p>
        </w:tc>
        <w:tc>
          <w:tcPr>
            <w:tcW w:w="1270" w:type="pct"/>
            <w:vAlign w:val="center"/>
          </w:tcPr>
          <w:p>
            <w:pPr>
              <w:pStyle w:val="15"/>
              <w:bidi w:val="0"/>
              <w:rPr>
                <w:highlight w:val="none"/>
              </w:rPr>
            </w:pPr>
            <w:r>
              <w:rPr>
                <w:highlight w:val="none"/>
              </w:rPr>
              <w:t>身份鉴别</w:t>
            </w:r>
          </w:p>
        </w:tc>
        <w:tc>
          <w:tcPr>
            <w:tcW w:w="2037" w:type="pct"/>
            <w:vAlign w:val="center"/>
          </w:tcPr>
          <w:p>
            <w:pPr>
              <w:pStyle w:val="15"/>
              <w:bidi w:val="0"/>
              <w:rPr>
                <w:highlight w:val="none"/>
              </w:rPr>
            </w:pPr>
            <w:r>
              <w:rPr>
                <w:highlight w:val="none"/>
              </w:rPr>
              <w:t>确认应用系统用户身份的真实性，防止假冒人员登录。</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访问控制信息完整性</w:t>
            </w:r>
          </w:p>
        </w:tc>
        <w:tc>
          <w:tcPr>
            <w:tcW w:w="2037" w:type="pct"/>
            <w:vAlign w:val="center"/>
          </w:tcPr>
          <w:p>
            <w:pPr>
              <w:pStyle w:val="15"/>
              <w:bidi w:val="0"/>
              <w:rPr>
                <w:highlight w:val="none"/>
              </w:rPr>
            </w:pPr>
            <w:r>
              <w:rPr>
                <w:highlight w:val="none"/>
              </w:rPr>
              <w:t>对应用系统的访问权限控制列表进行完整性保护，防止被非授权篡改。</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重要信息资源安全标记完整性</w:t>
            </w:r>
          </w:p>
        </w:tc>
        <w:tc>
          <w:tcPr>
            <w:tcW w:w="2037" w:type="pct"/>
            <w:vAlign w:val="center"/>
          </w:tcPr>
          <w:p>
            <w:pPr>
              <w:pStyle w:val="15"/>
              <w:bidi w:val="0"/>
              <w:rPr>
                <w:highlight w:val="none"/>
              </w:rPr>
            </w:pPr>
            <w:r>
              <w:rPr>
                <w:highlight w:val="none"/>
              </w:rPr>
              <w:t>不适用。</w:t>
            </w:r>
          </w:p>
        </w:tc>
        <w:tc>
          <w:tcPr>
            <w:tcW w:w="1063" w:type="pct"/>
            <w:vAlign w:val="center"/>
          </w:tcPr>
          <w:p>
            <w:pPr>
              <w:pStyle w:val="15"/>
              <w:bidi w:val="0"/>
              <w:rPr>
                <w:highlight w:val="none"/>
              </w:rPr>
            </w:pPr>
            <w:r>
              <w:rPr>
                <w:highlight w:val="none"/>
              </w:rPr>
              <w:t>应用没有安全标记。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数据传输机密性</w:t>
            </w:r>
          </w:p>
        </w:tc>
        <w:tc>
          <w:tcPr>
            <w:tcW w:w="2037" w:type="pct"/>
            <w:vMerge w:val="restart"/>
            <w:vAlign w:val="center"/>
          </w:tcPr>
          <w:p>
            <w:pPr>
              <w:pStyle w:val="15"/>
              <w:bidi w:val="0"/>
              <w:rPr>
                <w:highlight w:val="none"/>
              </w:rPr>
            </w:pPr>
            <w:r>
              <w:rPr>
                <w:highlight w:val="none"/>
              </w:rPr>
              <w:t>保护互联网客户端与服务端之间传输和存储的用户登录身份鉴别信息、电子公文数据等重要数据的机密性和完整性，防止数据泄露给非授权的个人、进程等。保护系统业务日志数据的完整性，防止该数据被非授权篡改。</w:t>
            </w:r>
          </w:p>
        </w:tc>
        <w:tc>
          <w:tcPr>
            <w:tcW w:w="1063" w:type="pct"/>
            <w:vMerge w:val="restar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数据存储机密性</w:t>
            </w:r>
          </w:p>
        </w:tc>
        <w:tc>
          <w:tcPr>
            <w:tcW w:w="2037" w:type="pct"/>
            <w:vMerge w:val="continue"/>
            <w:vAlign w:val="center"/>
          </w:tcPr>
          <w:p>
            <w:pPr>
              <w:pStyle w:val="15"/>
              <w:bidi w:val="0"/>
              <w:rPr>
                <w:highlight w:val="none"/>
              </w:rPr>
            </w:pPr>
          </w:p>
        </w:tc>
        <w:tc>
          <w:tcPr>
            <w:tcW w:w="1063" w:type="pct"/>
            <w:vMerge w:val="continue"/>
            <w:vAlign w:val="center"/>
          </w:tcPr>
          <w:p>
            <w:pPr>
              <w:pStyle w:val="15"/>
              <w:bidi w:val="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数据传输完整性</w:t>
            </w:r>
          </w:p>
        </w:tc>
        <w:tc>
          <w:tcPr>
            <w:tcW w:w="2037" w:type="pct"/>
            <w:vMerge w:val="continue"/>
            <w:vAlign w:val="center"/>
          </w:tcPr>
          <w:p>
            <w:pPr>
              <w:pStyle w:val="15"/>
              <w:bidi w:val="0"/>
              <w:rPr>
                <w:highlight w:val="none"/>
              </w:rPr>
            </w:pPr>
          </w:p>
        </w:tc>
        <w:tc>
          <w:tcPr>
            <w:tcW w:w="1063" w:type="pct"/>
            <w:vMerge w:val="continue"/>
            <w:vAlign w:val="center"/>
          </w:tcPr>
          <w:p>
            <w:pPr>
              <w:pStyle w:val="15"/>
              <w:bidi w:val="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数据存储完整性</w:t>
            </w:r>
          </w:p>
        </w:tc>
        <w:tc>
          <w:tcPr>
            <w:tcW w:w="2037" w:type="pct"/>
            <w:vMerge w:val="continue"/>
            <w:vAlign w:val="center"/>
          </w:tcPr>
          <w:p>
            <w:pPr>
              <w:pStyle w:val="15"/>
              <w:bidi w:val="0"/>
              <w:rPr>
                <w:highlight w:val="none"/>
              </w:rPr>
            </w:pPr>
          </w:p>
        </w:tc>
        <w:tc>
          <w:tcPr>
            <w:tcW w:w="1063" w:type="pct"/>
            <w:vMerge w:val="continue"/>
            <w:vAlign w:val="center"/>
          </w:tcPr>
          <w:p>
            <w:pPr>
              <w:pStyle w:val="15"/>
              <w:bidi w:val="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不可否认性</w:t>
            </w:r>
          </w:p>
        </w:tc>
        <w:tc>
          <w:tcPr>
            <w:tcW w:w="2037" w:type="pct"/>
            <w:vAlign w:val="center"/>
          </w:tcPr>
          <w:p>
            <w:pPr>
              <w:pStyle w:val="15"/>
              <w:bidi w:val="0"/>
              <w:rPr>
                <w:highlight w:val="none"/>
              </w:rPr>
            </w:pPr>
            <w:r>
              <w:rPr>
                <w:highlight w:val="none"/>
              </w:rPr>
              <w:t>保护系统中流转的电子公文数据的不可否认性，确保发送方对已经发生的操作行为无法否认。</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密码服务</w:t>
            </w:r>
          </w:p>
        </w:tc>
        <w:tc>
          <w:tcPr>
            <w:tcW w:w="2037" w:type="pct"/>
            <w:vAlign w:val="center"/>
          </w:tcPr>
          <w:p>
            <w:pPr>
              <w:pStyle w:val="15"/>
              <w:bidi w:val="0"/>
              <w:rPr>
                <w:highlight w:val="none"/>
              </w:rPr>
            </w:pPr>
            <w:r>
              <w:rPr>
                <w:highlight w:val="none"/>
              </w:rPr>
              <w:t>采用的数字证书由具有电子认证服务资质的机构签发。</w:t>
            </w:r>
          </w:p>
        </w:tc>
        <w:tc>
          <w:tcPr>
            <w:tcW w:w="1063" w:type="pct"/>
            <w:vAlign w:val="center"/>
          </w:tcPr>
          <w:p>
            <w:pPr>
              <w:pStyle w:val="15"/>
              <w:bidi w:val="0"/>
              <w:rPr>
                <w:highlight w:val="none"/>
              </w:rPr>
            </w:pPr>
            <w:r>
              <w:rPr>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jc w:val="center"/>
        </w:trPr>
        <w:tc>
          <w:tcPr>
            <w:tcW w:w="629" w:type="pct"/>
            <w:vMerge w:val="continue"/>
            <w:vAlign w:val="center"/>
          </w:tcPr>
          <w:p>
            <w:pPr>
              <w:pStyle w:val="15"/>
              <w:bidi w:val="0"/>
              <w:rPr>
                <w:highlight w:val="none"/>
              </w:rPr>
            </w:pPr>
          </w:p>
        </w:tc>
        <w:tc>
          <w:tcPr>
            <w:tcW w:w="1270" w:type="pct"/>
            <w:vAlign w:val="center"/>
          </w:tcPr>
          <w:p>
            <w:pPr>
              <w:pStyle w:val="15"/>
              <w:bidi w:val="0"/>
              <w:rPr>
                <w:highlight w:val="none"/>
              </w:rPr>
            </w:pPr>
            <w:r>
              <w:rPr>
                <w:highlight w:val="none"/>
              </w:rPr>
              <w:t>密码产品</w:t>
            </w:r>
          </w:p>
        </w:tc>
        <w:tc>
          <w:tcPr>
            <w:tcW w:w="2037" w:type="pct"/>
            <w:vAlign w:val="center"/>
          </w:tcPr>
          <w:p>
            <w:pPr>
              <w:pStyle w:val="15"/>
              <w:bidi w:val="0"/>
              <w:rPr>
                <w:highlight w:val="none"/>
              </w:rPr>
            </w:pPr>
            <w:r>
              <w:rPr>
                <w:highlight w:val="none"/>
              </w:rPr>
              <w:t>采用的密码产品，应达到GB/T 37092-2018</w:t>
            </w:r>
            <w:r>
              <w:rPr>
                <w:rFonts w:hint="eastAsia"/>
                <w:highlight w:val="none"/>
              </w:rPr>
              <w:t>三</w:t>
            </w:r>
            <w:r>
              <w:rPr>
                <w:highlight w:val="none"/>
              </w:rPr>
              <w:t>级安全要求。</w:t>
            </w:r>
          </w:p>
        </w:tc>
        <w:tc>
          <w:tcPr>
            <w:tcW w:w="1063" w:type="pct"/>
            <w:vAlign w:val="center"/>
          </w:tcPr>
          <w:p>
            <w:pPr>
              <w:pStyle w:val="15"/>
              <w:bidi w:val="0"/>
              <w:rPr>
                <w:highlight w:val="none"/>
              </w:rPr>
            </w:pPr>
            <w:r>
              <w:rPr>
                <w:highlight w:val="none"/>
              </w:rPr>
              <w:t>无</w:t>
            </w:r>
          </w:p>
        </w:tc>
      </w:tr>
    </w:tbl>
    <w:p>
      <w:pPr>
        <w:keepNext/>
        <w:keepLines/>
        <w:widowControl/>
        <w:spacing w:before="120" w:after="120" w:line="360" w:lineRule="auto"/>
        <w:outlineLvl w:val="2"/>
        <w:rPr>
          <w:rFonts w:ascii="宋体" w:hAnsi="宋体" w:cs="黑体"/>
          <w:b/>
          <w:bCs/>
          <w:kern w:val="44"/>
          <w:sz w:val="24"/>
          <w:szCs w:val="24"/>
          <w:highlight w:val="none"/>
        </w:rPr>
      </w:pPr>
      <w:r>
        <w:rPr>
          <w:rFonts w:hint="eastAsia" w:ascii="宋体" w:hAnsi="宋体" w:cs="黑体"/>
          <w:b/>
          <w:bCs/>
          <w:kern w:val="44"/>
          <w:sz w:val="24"/>
          <w:szCs w:val="24"/>
          <w:highlight w:val="none"/>
        </w:rPr>
        <w:t>5.</w:t>
      </w:r>
      <w:r>
        <w:rPr>
          <w:rFonts w:hint="eastAsia" w:ascii="宋体" w:hAnsi="宋体" w:cs="黑体"/>
          <w:b/>
          <w:bCs/>
          <w:kern w:val="44"/>
          <w:sz w:val="24"/>
          <w:szCs w:val="24"/>
          <w:highlight w:val="none"/>
          <w:lang w:val="en-US" w:eastAsia="zh-CN"/>
        </w:rPr>
        <w:t>9</w:t>
      </w:r>
      <w:r>
        <w:rPr>
          <w:rFonts w:ascii="宋体" w:hAnsi="宋体" w:cs="黑体"/>
          <w:b/>
          <w:bCs/>
          <w:kern w:val="44"/>
          <w:sz w:val="24"/>
          <w:szCs w:val="24"/>
          <w:highlight w:val="none"/>
        </w:rPr>
        <w:t>技术文件要求</w:t>
      </w:r>
    </w:p>
    <w:p>
      <w:pPr>
        <w:bidi w:val="0"/>
        <w:rPr>
          <w:rFonts w:hint="eastAsia"/>
          <w:highlight w:val="none"/>
        </w:rPr>
      </w:pPr>
      <w:r>
        <w:rPr>
          <w:rFonts w:hint="eastAsia"/>
          <w:highlight w:val="none"/>
        </w:rPr>
        <w:t>供应商需承诺若中标，应在承接项目验收时提供书面技术资料，包含确保系统正常运行所需的管理、运营及维护有关的全套文件。技术文件应该全面、完整、详细。供应商提供的技术文件至少应包括：</w:t>
      </w:r>
    </w:p>
    <w:p>
      <w:pPr>
        <w:bidi w:val="0"/>
        <w:rPr>
          <w:highlight w:val="none"/>
        </w:rPr>
      </w:pPr>
      <w:r>
        <w:rPr>
          <w:rFonts w:hint="eastAsia"/>
          <w:highlight w:val="none"/>
        </w:rPr>
        <w:t>－系统说明文件；</w:t>
      </w:r>
    </w:p>
    <w:p>
      <w:pPr>
        <w:bidi w:val="0"/>
        <w:rPr>
          <w:highlight w:val="none"/>
        </w:rPr>
      </w:pPr>
      <w:r>
        <w:rPr>
          <w:rFonts w:hint="eastAsia"/>
          <w:highlight w:val="none"/>
        </w:rPr>
        <w:t>－技术手册(安装、测试、操作、维护、故障排除等)；</w:t>
      </w:r>
    </w:p>
    <w:p>
      <w:pPr>
        <w:bidi w:val="0"/>
        <w:rPr>
          <w:highlight w:val="none"/>
        </w:rPr>
      </w:pPr>
      <w:r>
        <w:rPr>
          <w:rFonts w:hint="eastAsia"/>
          <w:highlight w:val="none"/>
        </w:rPr>
        <w:t>－项目文档，应该包括：</w:t>
      </w:r>
    </w:p>
    <w:p>
      <w:pPr>
        <w:bidi w:val="0"/>
        <w:rPr>
          <w:highlight w:val="none"/>
        </w:rPr>
      </w:pPr>
      <w:r>
        <w:rPr>
          <w:rFonts w:hint="eastAsia"/>
          <w:highlight w:val="none"/>
        </w:rPr>
        <w:t>1、投标文件；</w:t>
      </w:r>
    </w:p>
    <w:p>
      <w:pPr>
        <w:bidi w:val="0"/>
        <w:rPr>
          <w:highlight w:val="none"/>
        </w:rPr>
      </w:pPr>
      <w:r>
        <w:rPr>
          <w:rFonts w:hint="eastAsia"/>
          <w:highlight w:val="none"/>
        </w:rPr>
        <w:t>2、项目合同、合同补充协议；</w:t>
      </w:r>
    </w:p>
    <w:p>
      <w:pPr>
        <w:bidi w:val="0"/>
        <w:rPr>
          <w:highlight w:val="none"/>
        </w:rPr>
      </w:pPr>
      <w:r>
        <w:rPr>
          <w:rFonts w:hint="eastAsia"/>
          <w:highlight w:val="none"/>
        </w:rPr>
        <w:t>3、需求说明书；</w:t>
      </w:r>
    </w:p>
    <w:p>
      <w:pPr>
        <w:bidi w:val="0"/>
        <w:rPr>
          <w:highlight w:val="none"/>
        </w:rPr>
      </w:pPr>
      <w:r>
        <w:rPr>
          <w:rFonts w:hint="eastAsia"/>
          <w:highlight w:val="none"/>
        </w:rPr>
        <w:t>4、应用软件功能对照表；</w:t>
      </w:r>
    </w:p>
    <w:p>
      <w:pPr>
        <w:bidi w:val="0"/>
        <w:rPr>
          <w:highlight w:val="none"/>
        </w:rPr>
      </w:pPr>
      <w:r>
        <w:rPr>
          <w:rFonts w:hint="eastAsia"/>
          <w:highlight w:val="none"/>
        </w:rPr>
        <w:t>5、概要设计说明书；</w:t>
      </w:r>
    </w:p>
    <w:p>
      <w:pPr>
        <w:bidi w:val="0"/>
        <w:rPr>
          <w:highlight w:val="none"/>
        </w:rPr>
      </w:pPr>
      <w:r>
        <w:rPr>
          <w:rFonts w:hint="eastAsia"/>
          <w:highlight w:val="none"/>
          <w:lang w:val="en-US" w:eastAsia="zh-CN"/>
        </w:rPr>
        <w:t>6、</w:t>
      </w:r>
      <w:r>
        <w:rPr>
          <w:rFonts w:hint="eastAsia"/>
          <w:highlight w:val="none"/>
        </w:rPr>
        <w:t>详细设计说明书；</w:t>
      </w:r>
    </w:p>
    <w:p>
      <w:pPr>
        <w:bidi w:val="0"/>
        <w:rPr>
          <w:highlight w:val="none"/>
        </w:rPr>
      </w:pPr>
      <w:r>
        <w:rPr>
          <w:rFonts w:hint="eastAsia"/>
          <w:highlight w:val="none"/>
          <w:lang w:val="en-US" w:eastAsia="zh-CN"/>
        </w:rPr>
        <w:t>7、</w:t>
      </w:r>
      <w:r>
        <w:rPr>
          <w:rFonts w:hint="eastAsia"/>
          <w:highlight w:val="none"/>
        </w:rPr>
        <w:t>数据库结构设计说明书；</w:t>
      </w:r>
    </w:p>
    <w:p>
      <w:pPr>
        <w:bidi w:val="0"/>
        <w:rPr>
          <w:highlight w:val="none"/>
        </w:rPr>
      </w:pPr>
      <w:r>
        <w:rPr>
          <w:rFonts w:hint="eastAsia"/>
          <w:highlight w:val="none"/>
        </w:rPr>
        <w:t>8、总体实施方案；</w:t>
      </w:r>
    </w:p>
    <w:p>
      <w:pPr>
        <w:bidi w:val="0"/>
        <w:rPr>
          <w:highlight w:val="none"/>
        </w:rPr>
      </w:pPr>
      <w:r>
        <w:rPr>
          <w:rFonts w:hint="eastAsia"/>
          <w:highlight w:val="none"/>
        </w:rPr>
        <w:t>9、试运行方案、试运行记录、试运行报告；</w:t>
      </w:r>
    </w:p>
    <w:p>
      <w:pPr>
        <w:bidi w:val="0"/>
        <w:rPr>
          <w:highlight w:val="none"/>
        </w:rPr>
      </w:pPr>
      <w:r>
        <w:rPr>
          <w:rFonts w:hint="eastAsia"/>
          <w:highlight w:val="none"/>
        </w:rPr>
        <w:t>10、软件测试报告；</w:t>
      </w:r>
    </w:p>
    <w:p>
      <w:pPr>
        <w:bidi w:val="0"/>
        <w:rPr>
          <w:highlight w:val="none"/>
        </w:rPr>
      </w:pPr>
      <w:r>
        <w:rPr>
          <w:rFonts w:hint="eastAsia"/>
          <w:highlight w:val="none"/>
        </w:rPr>
        <w:t>11、安全测评报告；</w:t>
      </w:r>
    </w:p>
    <w:p>
      <w:pPr>
        <w:bidi w:val="0"/>
        <w:rPr>
          <w:highlight w:val="none"/>
        </w:rPr>
      </w:pPr>
      <w:r>
        <w:rPr>
          <w:rFonts w:hint="eastAsia"/>
          <w:highlight w:val="none"/>
        </w:rPr>
        <w:t>12、密码应用测评报告；</w:t>
      </w:r>
    </w:p>
    <w:p>
      <w:pPr>
        <w:bidi w:val="0"/>
        <w:rPr>
          <w:highlight w:val="none"/>
        </w:rPr>
      </w:pPr>
      <w:r>
        <w:rPr>
          <w:rFonts w:hint="eastAsia"/>
          <w:highlight w:val="none"/>
          <w:lang w:val="en-US" w:eastAsia="zh-CN"/>
        </w:rPr>
        <w:t>13、</w:t>
      </w:r>
      <w:r>
        <w:rPr>
          <w:rFonts w:hint="eastAsia"/>
          <w:highlight w:val="none"/>
        </w:rPr>
        <w:t>软件开发源代码；</w:t>
      </w:r>
    </w:p>
    <w:p>
      <w:pPr>
        <w:bidi w:val="0"/>
        <w:rPr>
          <w:highlight w:val="none"/>
        </w:rPr>
      </w:pPr>
      <w:r>
        <w:rPr>
          <w:rFonts w:hint="eastAsia"/>
          <w:highlight w:val="none"/>
          <w:lang w:val="en-US" w:eastAsia="zh-CN"/>
        </w:rPr>
        <w:t>14、</w:t>
      </w:r>
      <w:r>
        <w:rPr>
          <w:rFonts w:hint="eastAsia"/>
          <w:highlight w:val="none"/>
        </w:rPr>
        <w:t>开发量考核表；</w:t>
      </w:r>
    </w:p>
    <w:p>
      <w:pPr>
        <w:bidi w:val="0"/>
        <w:rPr>
          <w:highlight w:val="none"/>
        </w:rPr>
      </w:pPr>
      <w:r>
        <w:rPr>
          <w:rFonts w:hint="eastAsia"/>
          <w:highlight w:val="none"/>
          <w:lang w:val="en-US" w:eastAsia="zh-CN"/>
        </w:rPr>
        <w:t>15、</w:t>
      </w:r>
      <w:r>
        <w:rPr>
          <w:rFonts w:hint="eastAsia"/>
          <w:highlight w:val="none"/>
        </w:rPr>
        <w:t>用户报告；</w:t>
      </w:r>
    </w:p>
    <w:p>
      <w:pPr>
        <w:bidi w:val="0"/>
        <w:rPr>
          <w:highlight w:val="none"/>
        </w:rPr>
      </w:pPr>
      <w:r>
        <w:rPr>
          <w:rFonts w:hint="eastAsia"/>
          <w:highlight w:val="none"/>
        </w:rPr>
        <w:t>16、项目完成情况确认表。</w:t>
      </w:r>
    </w:p>
    <w:p>
      <w:pPr>
        <w:bidi w:val="0"/>
        <w:rPr>
          <w:rFonts w:hint="eastAsia" w:cs="Times New Roman"/>
          <w:szCs w:val="24"/>
          <w:highlight w:val="none"/>
        </w:rPr>
      </w:pPr>
      <w:r>
        <w:rPr>
          <w:rFonts w:hint="eastAsia"/>
          <w:highlight w:val="none"/>
        </w:rPr>
        <w:t>提供全套技术文件纸质3套以及电子文件1套。</w:t>
      </w:r>
    </w:p>
    <w:p>
      <w:pPr>
        <w:keepNext/>
        <w:keepLines/>
        <w:widowControl/>
        <w:bidi w:val="0"/>
        <w:spacing w:before="120" w:after="120" w:line="360" w:lineRule="auto"/>
        <w:outlineLvl w:val="2"/>
        <w:rPr>
          <w:rFonts w:hint="eastAsia" w:ascii="宋体" w:hAnsi="宋体" w:cs="黑体"/>
          <w:b/>
          <w:bCs/>
          <w:kern w:val="44"/>
          <w:szCs w:val="24"/>
          <w:highlight w:val="none"/>
          <w:lang w:val="en-US" w:eastAsia="zh-CN"/>
        </w:rPr>
      </w:pPr>
      <w:r>
        <w:rPr>
          <w:rFonts w:hint="eastAsia" w:ascii="宋体" w:hAnsi="宋体" w:cs="黑体"/>
          <w:b/>
          <w:bCs/>
          <w:kern w:val="44"/>
          <w:szCs w:val="24"/>
          <w:highlight w:val="none"/>
          <w:lang w:val="en-US" w:eastAsia="zh-CN"/>
        </w:rPr>
        <w:t>5.10供应商综合能力要求</w:t>
      </w:r>
    </w:p>
    <w:p>
      <w:pPr>
        <w:bidi w:val="0"/>
        <w:rPr>
          <w:rFonts w:hint="eastAsia"/>
          <w:highlight w:val="none"/>
          <w:lang w:eastAsia="zh-CN"/>
        </w:rPr>
      </w:pPr>
      <w:r>
        <w:rPr>
          <w:rFonts w:hint="eastAsia"/>
          <w:highlight w:val="none"/>
          <w:lang w:val="en-US" w:eastAsia="zh-CN"/>
        </w:rPr>
        <w:t>优先考虑具备</w:t>
      </w:r>
      <w:r>
        <w:rPr>
          <w:rFonts w:hint="eastAsia"/>
          <w:highlight w:val="none"/>
        </w:rPr>
        <w:t>信息安全管理体系认证(GB/T22080-2016或ISO/IEC 27001:2013 认证)、质量管理体系认证(GB/T19001-2016或IS0 9001:2015 认证)、信息技术服务管理体系认证（ISO/IEC20000-1:2018认证）</w:t>
      </w:r>
      <w:r>
        <w:rPr>
          <w:rFonts w:hint="eastAsia"/>
          <w:highlight w:val="none"/>
          <w:lang w:val="en-US" w:eastAsia="zh-CN"/>
        </w:rPr>
        <w:t>的供应商。</w:t>
      </w:r>
    </w:p>
    <w:p>
      <w:pPr>
        <w:pStyle w:val="17"/>
        <w:snapToGrid w:val="0"/>
        <w:spacing w:line="360" w:lineRule="auto"/>
        <w:ind w:firstLine="480"/>
        <w:rPr>
          <w:rFonts w:cs="Times New Roman"/>
          <w:sz w:val="24"/>
          <w:szCs w:val="24"/>
          <w:highlight w:val="none"/>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F45E4"/>
    <w:multiLevelType w:val="singleLevel"/>
    <w:tmpl w:val="D7FF45E4"/>
    <w:lvl w:ilvl="0" w:tentative="0">
      <w:start w:val="1"/>
      <w:numFmt w:val="decimal"/>
      <w:lvlText w:val="%1."/>
      <w:lvlJc w:val="left"/>
      <w:pPr>
        <w:tabs>
          <w:tab w:val="left" w:pos="312"/>
        </w:tabs>
      </w:pPr>
    </w:lvl>
  </w:abstractNum>
  <w:abstractNum w:abstractNumId="1">
    <w:nsid w:val="2CD40736"/>
    <w:multiLevelType w:val="singleLevel"/>
    <w:tmpl w:val="2CD40736"/>
    <w:lvl w:ilvl="0" w:tentative="0">
      <w:start w:val="1"/>
      <w:numFmt w:val="decimal"/>
      <w:lvlText w:val="%1."/>
      <w:lvlJc w:val="left"/>
      <w:pPr>
        <w:ind w:left="425" w:hanging="425"/>
      </w:pPr>
      <w:rPr>
        <w:rFonts w:hint="default"/>
      </w:rPr>
    </w:lvl>
  </w:abstractNum>
  <w:abstractNum w:abstractNumId="2">
    <w:nsid w:val="3F91A129"/>
    <w:multiLevelType w:val="singleLevel"/>
    <w:tmpl w:val="3F91A129"/>
    <w:lvl w:ilvl="0" w:tentative="0">
      <w:start w:val="1"/>
      <w:numFmt w:val="decimal"/>
      <w:lvlText w:val="%1."/>
      <w:lvlJc w:val="left"/>
      <w:pPr>
        <w:ind w:left="425" w:hanging="425"/>
      </w:pPr>
      <w:rPr>
        <w:rFonts w:hint="default"/>
      </w:rPr>
    </w:lvl>
  </w:abstractNum>
  <w:abstractNum w:abstractNumId="3">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3F"/>
    <w:rsid w:val="0003031A"/>
    <w:rsid w:val="002D2F3F"/>
    <w:rsid w:val="00952A5B"/>
    <w:rsid w:val="009B7549"/>
    <w:rsid w:val="00A535D9"/>
    <w:rsid w:val="00EE6BD9"/>
    <w:rsid w:val="00F04824"/>
    <w:rsid w:val="00F60023"/>
    <w:rsid w:val="014F219D"/>
    <w:rsid w:val="01627455"/>
    <w:rsid w:val="03343D40"/>
    <w:rsid w:val="04C609C8"/>
    <w:rsid w:val="051200B1"/>
    <w:rsid w:val="0573606F"/>
    <w:rsid w:val="07320597"/>
    <w:rsid w:val="0A075D0B"/>
    <w:rsid w:val="0AED5C37"/>
    <w:rsid w:val="0DB7722B"/>
    <w:rsid w:val="0E2B3620"/>
    <w:rsid w:val="0E5B1A9C"/>
    <w:rsid w:val="0F4F1AE0"/>
    <w:rsid w:val="1070693F"/>
    <w:rsid w:val="11595DAF"/>
    <w:rsid w:val="118E6531"/>
    <w:rsid w:val="13F109E0"/>
    <w:rsid w:val="14527A08"/>
    <w:rsid w:val="14A645AE"/>
    <w:rsid w:val="14C173FE"/>
    <w:rsid w:val="16E66CA8"/>
    <w:rsid w:val="17184169"/>
    <w:rsid w:val="179471CB"/>
    <w:rsid w:val="19143FA0"/>
    <w:rsid w:val="1918394B"/>
    <w:rsid w:val="191E64B3"/>
    <w:rsid w:val="1A9B5FFB"/>
    <w:rsid w:val="1AB163FF"/>
    <w:rsid w:val="1B4346C9"/>
    <w:rsid w:val="1B79458F"/>
    <w:rsid w:val="1C4D41F7"/>
    <w:rsid w:val="1CD70BDB"/>
    <w:rsid w:val="1D910041"/>
    <w:rsid w:val="1DA17B7E"/>
    <w:rsid w:val="1E432C32"/>
    <w:rsid w:val="1E693205"/>
    <w:rsid w:val="1EAC0CAB"/>
    <w:rsid w:val="1F8B7B67"/>
    <w:rsid w:val="1F8D23B7"/>
    <w:rsid w:val="209E0031"/>
    <w:rsid w:val="210A7A37"/>
    <w:rsid w:val="22456F79"/>
    <w:rsid w:val="23270D74"/>
    <w:rsid w:val="24051AC7"/>
    <w:rsid w:val="24101808"/>
    <w:rsid w:val="241F18CE"/>
    <w:rsid w:val="25186BC6"/>
    <w:rsid w:val="262D746B"/>
    <w:rsid w:val="299007C0"/>
    <w:rsid w:val="29E35A31"/>
    <w:rsid w:val="2B642270"/>
    <w:rsid w:val="2D683EB3"/>
    <w:rsid w:val="2DE552CE"/>
    <w:rsid w:val="2ECA3572"/>
    <w:rsid w:val="304A60A2"/>
    <w:rsid w:val="310C5DF0"/>
    <w:rsid w:val="31DD5AEB"/>
    <w:rsid w:val="3203475A"/>
    <w:rsid w:val="320A2B65"/>
    <w:rsid w:val="32CA61A0"/>
    <w:rsid w:val="335E17FC"/>
    <w:rsid w:val="34F34F5A"/>
    <w:rsid w:val="359758E5"/>
    <w:rsid w:val="3667175C"/>
    <w:rsid w:val="38C91E4C"/>
    <w:rsid w:val="391166AC"/>
    <w:rsid w:val="396A73C7"/>
    <w:rsid w:val="3AB17449"/>
    <w:rsid w:val="3B491430"/>
    <w:rsid w:val="3B4D3ADF"/>
    <w:rsid w:val="3BE03B94"/>
    <w:rsid w:val="3C886DBE"/>
    <w:rsid w:val="3CA17DBF"/>
    <w:rsid w:val="3E0723F7"/>
    <w:rsid w:val="3EE814D4"/>
    <w:rsid w:val="3FF60DDE"/>
    <w:rsid w:val="3FF71555"/>
    <w:rsid w:val="40E15F60"/>
    <w:rsid w:val="4162324B"/>
    <w:rsid w:val="44B7668B"/>
    <w:rsid w:val="44BC161C"/>
    <w:rsid w:val="471D2860"/>
    <w:rsid w:val="479E2044"/>
    <w:rsid w:val="47A71941"/>
    <w:rsid w:val="486E7A60"/>
    <w:rsid w:val="4961751C"/>
    <w:rsid w:val="4B4A0376"/>
    <w:rsid w:val="4CE50FC1"/>
    <w:rsid w:val="4CF44781"/>
    <w:rsid w:val="4DAE095F"/>
    <w:rsid w:val="501C1689"/>
    <w:rsid w:val="510D6B47"/>
    <w:rsid w:val="52FD0AB4"/>
    <w:rsid w:val="55052414"/>
    <w:rsid w:val="557264A3"/>
    <w:rsid w:val="566D64C3"/>
    <w:rsid w:val="570B5F16"/>
    <w:rsid w:val="578266DD"/>
    <w:rsid w:val="59F2739F"/>
    <w:rsid w:val="5AB741B0"/>
    <w:rsid w:val="5B8E46C6"/>
    <w:rsid w:val="5CBB2D84"/>
    <w:rsid w:val="5D1C6FC7"/>
    <w:rsid w:val="5D7D7A28"/>
    <w:rsid w:val="5DF27594"/>
    <w:rsid w:val="5ED05841"/>
    <w:rsid w:val="5F610B8F"/>
    <w:rsid w:val="5F7850C5"/>
    <w:rsid w:val="611A3A97"/>
    <w:rsid w:val="61CE53C5"/>
    <w:rsid w:val="622814F0"/>
    <w:rsid w:val="64F0230E"/>
    <w:rsid w:val="65183A9D"/>
    <w:rsid w:val="65382FF4"/>
    <w:rsid w:val="654E1968"/>
    <w:rsid w:val="656D3D3B"/>
    <w:rsid w:val="65AB66C0"/>
    <w:rsid w:val="66394216"/>
    <w:rsid w:val="66C33EDD"/>
    <w:rsid w:val="66C41F8A"/>
    <w:rsid w:val="68273FF7"/>
    <w:rsid w:val="683B7DC2"/>
    <w:rsid w:val="6841330B"/>
    <w:rsid w:val="69B22083"/>
    <w:rsid w:val="6A0D0527"/>
    <w:rsid w:val="6AE14931"/>
    <w:rsid w:val="6B2A452A"/>
    <w:rsid w:val="6B5B2936"/>
    <w:rsid w:val="6BF16DF6"/>
    <w:rsid w:val="6CA36342"/>
    <w:rsid w:val="6DFF8974"/>
    <w:rsid w:val="6E226A7A"/>
    <w:rsid w:val="6E320F15"/>
    <w:rsid w:val="6E335A77"/>
    <w:rsid w:val="6E9C129B"/>
    <w:rsid w:val="6F415464"/>
    <w:rsid w:val="6FF3771A"/>
    <w:rsid w:val="722F24A8"/>
    <w:rsid w:val="724C4D86"/>
    <w:rsid w:val="73637F0C"/>
    <w:rsid w:val="73D03795"/>
    <w:rsid w:val="74736F42"/>
    <w:rsid w:val="74AB66DC"/>
    <w:rsid w:val="74E7523A"/>
    <w:rsid w:val="75193BBF"/>
    <w:rsid w:val="753C5586"/>
    <w:rsid w:val="756C2CF9"/>
    <w:rsid w:val="774B1C08"/>
    <w:rsid w:val="78566D42"/>
    <w:rsid w:val="79646E59"/>
    <w:rsid w:val="79FC1788"/>
    <w:rsid w:val="7A567BB1"/>
    <w:rsid w:val="7B1F5203"/>
    <w:rsid w:val="7B42141C"/>
    <w:rsid w:val="7B51340D"/>
    <w:rsid w:val="7E7044F2"/>
    <w:rsid w:val="7ECB34D7"/>
    <w:rsid w:val="7F8F0AA3"/>
    <w:rsid w:val="7FF23EE9"/>
    <w:rsid w:val="CFFF044A"/>
    <w:rsid w:val="D4FC6ABE"/>
    <w:rsid w:val="DBD02799"/>
    <w:rsid w:val="E7B08691"/>
    <w:rsid w:val="F87F43CB"/>
    <w:rsid w:val="FB7F9E8E"/>
    <w:rsid w:val="FEBFF4FA"/>
    <w:rsid w:val="FF794243"/>
    <w:rsid w:val="FF7EE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104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pPr>
    <w:rPr>
      <w:kern w:val="0"/>
      <w:sz w:val="24"/>
    </w:rPr>
  </w:style>
  <w:style w:type="paragraph" w:styleId="4">
    <w:name w:val="annotation text"/>
    <w:basedOn w:val="1"/>
    <w:link w:val="20"/>
    <w:qFormat/>
    <w:uiPriority w:val="0"/>
    <w:pPr>
      <w:jc w:val="left"/>
    </w:pPr>
  </w:style>
  <w:style w:type="paragraph" w:styleId="5">
    <w:name w:val="Body Text"/>
    <w:basedOn w:val="1"/>
    <w:qFormat/>
    <w:uiPriority w:val="0"/>
    <w:pPr>
      <w:spacing w:after="120"/>
    </w:pPr>
  </w:style>
  <w:style w:type="paragraph" w:styleId="6">
    <w:name w:val="Plain Text"/>
    <w:basedOn w:val="1"/>
    <w:qFormat/>
    <w:uiPriority w:val="0"/>
    <w:pPr>
      <w:widowControl/>
      <w:spacing w:before="100" w:beforeAutospacing="1" w:after="100" w:afterAutospacing="1"/>
      <w:jc w:val="left"/>
    </w:pPr>
    <w:rPr>
      <w:rFonts w:ascii="宋体" w:hAnsi="宋体"/>
      <w:color w:val="000000"/>
      <w:kern w:val="0"/>
      <w:sz w:val="24"/>
    </w:r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annotation subject"/>
    <w:basedOn w:val="4"/>
    <w:next w:val="4"/>
    <w:link w:val="21"/>
    <w:qFormat/>
    <w:uiPriority w:val="0"/>
    <w:rPr>
      <w:b/>
      <w:bCs/>
    </w:rPr>
  </w:style>
  <w:style w:type="table" w:styleId="12">
    <w:name w:val="Table Grid"/>
    <w:basedOn w:val="1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99"/>
    <w:rPr>
      <w:sz w:val="21"/>
      <w:szCs w:val="21"/>
    </w:rPr>
  </w:style>
  <w:style w:type="paragraph" w:customStyle="1" w:styleId="15">
    <w:name w:val="B-表正文"/>
    <w:qFormat/>
    <w:uiPriority w:val="0"/>
    <w:rPr>
      <w:rFonts w:ascii="Times New Roman" w:hAnsi="Times New Roman" w:eastAsia="仿宋" w:cstheme="minorBidi"/>
      <w:kern w:val="2"/>
      <w:sz w:val="21"/>
      <w:szCs w:val="24"/>
      <w:lang w:val="en-US" w:eastAsia="zh-CN" w:bidi="ar-SA"/>
    </w:rPr>
  </w:style>
  <w:style w:type="paragraph" w:customStyle="1" w:styleId="16">
    <w:name w:val="*正文"/>
    <w:basedOn w:val="1"/>
    <w:qFormat/>
    <w:uiPriority w:val="0"/>
    <w:pPr>
      <w:spacing w:after="80" w:line="324" w:lineRule="auto"/>
      <w:ind w:right="210" w:rightChars="100" w:firstLine="425" w:firstLineChars="177"/>
      <w:jc w:val="left"/>
    </w:pPr>
    <w:rPr>
      <w:sz w:val="24"/>
      <w:szCs w:val="28"/>
    </w:rPr>
  </w:style>
  <w:style w:type="paragraph" w:customStyle="1" w:styleId="17">
    <w:name w:val="正文缩进1"/>
    <w:basedOn w:val="1"/>
    <w:qFormat/>
    <w:uiPriority w:val="0"/>
    <w:pPr>
      <w:ind w:firstLine="420" w:firstLineChars="200"/>
    </w:pPr>
    <w:rPr>
      <w:rFonts w:cstheme="minorBidi"/>
    </w:rPr>
  </w:style>
  <w:style w:type="paragraph" w:customStyle="1" w:styleId="18">
    <w:name w:val="**正文"/>
    <w:basedOn w:val="1"/>
    <w:qFormat/>
    <w:uiPriority w:val="0"/>
    <w:pPr>
      <w:spacing w:line="360" w:lineRule="auto"/>
      <w:ind w:firstLine="482"/>
    </w:pPr>
    <w:rPr>
      <w:rFonts w:ascii="Arial" w:hAnsi="Arial"/>
      <w:sz w:val="24"/>
      <w:szCs w:val="24"/>
    </w:rPr>
  </w:style>
  <w:style w:type="character" w:customStyle="1" w:styleId="19">
    <w:name w:val="批注框文本 Char"/>
    <w:basedOn w:val="13"/>
    <w:link w:val="7"/>
    <w:qFormat/>
    <w:uiPriority w:val="0"/>
    <w:rPr>
      <w:kern w:val="2"/>
      <w:sz w:val="18"/>
      <w:szCs w:val="18"/>
    </w:rPr>
  </w:style>
  <w:style w:type="character" w:customStyle="1" w:styleId="20">
    <w:name w:val="批注文字 Char"/>
    <w:basedOn w:val="13"/>
    <w:link w:val="4"/>
    <w:qFormat/>
    <w:uiPriority w:val="0"/>
    <w:rPr>
      <w:kern w:val="2"/>
      <w:sz w:val="21"/>
    </w:rPr>
  </w:style>
  <w:style w:type="character" w:customStyle="1" w:styleId="21">
    <w:name w:val="批注主题 Char"/>
    <w:basedOn w:val="20"/>
    <w:link w:val="10"/>
    <w:qFormat/>
    <w:uiPriority w:val="0"/>
    <w:rPr>
      <w:b/>
      <w:bCs/>
      <w:kern w:val="2"/>
      <w:sz w:val="21"/>
    </w:rPr>
  </w:style>
  <w:style w:type="character" w:customStyle="1" w:styleId="22">
    <w:name w:val="font51"/>
    <w:basedOn w:val="13"/>
    <w:qFormat/>
    <w:uiPriority w:val="0"/>
    <w:rPr>
      <w:rFonts w:hint="default" w:ascii="Times New Roman" w:hAnsi="Times New Roman" w:cs="Times New Roman"/>
      <w:color w:val="000000"/>
      <w:sz w:val="21"/>
      <w:szCs w:val="21"/>
      <w:u w:val="none"/>
    </w:rPr>
  </w:style>
  <w:style w:type="character" w:customStyle="1" w:styleId="23">
    <w:name w:val="font61"/>
    <w:basedOn w:val="13"/>
    <w:qFormat/>
    <w:uiPriority w:val="0"/>
    <w:rPr>
      <w:rFonts w:hint="eastAsia" w:ascii="宋体" w:hAnsi="宋体" w:eastAsia="宋体" w:cs="宋体"/>
      <w:color w:val="000000"/>
      <w:sz w:val="21"/>
      <w:szCs w:val="21"/>
      <w:u w:val="none"/>
    </w:rPr>
  </w:style>
  <w:style w:type="paragraph" w:customStyle="1" w:styleId="24">
    <w:name w:val="正文正文2"/>
    <w:basedOn w:val="1"/>
    <w:qFormat/>
    <w:uiPriority w:val="0"/>
    <w:pPr>
      <w:ind w:firstLine="460"/>
    </w:pPr>
    <w:rPr>
      <w:sz w:val="21"/>
      <w:szCs w:val="21"/>
    </w:rPr>
  </w:style>
  <w:style w:type="character" w:customStyle="1" w:styleId="25">
    <w:name w:val="font21"/>
    <w:basedOn w:val="13"/>
    <w:qFormat/>
    <w:uiPriority w:val="0"/>
    <w:rPr>
      <w:rFonts w:hint="default" w:ascii="Times New Roman" w:hAnsi="Times New Roman" w:cs="Times New Roman"/>
      <w:color w:val="000000"/>
      <w:sz w:val="21"/>
      <w:szCs w:val="21"/>
      <w:u w:val="none"/>
    </w:rPr>
  </w:style>
  <w:style w:type="character" w:customStyle="1" w:styleId="26">
    <w:name w:val="font3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15</Pages>
  <Words>635</Words>
  <Characters>668</Characters>
  <Lines>95</Lines>
  <Paragraphs>26</Paragraphs>
  <TotalTime>2</TotalTime>
  <ScaleCrop>false</ScaleCrop>
  <LinksUpToDate>false</LinksUpToDate>
  <CharactersWithSpaces>669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2024-01-10T03:44:00Z</dcterms:created>
  <dc:creator>lipei</dc:creator>
  <cp:lastModifiedBy>高际航</cp:lastModifiedBy>
  <cp:lastPrinted>2025-09-30T22:19:00Z</cp:lastPrinted>
  <dcterms:modified xsi:type="dcterms:W3CDTF">2025-10-21T09:20:13Z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3E7CF0FCEE692A65E7DEF668BC139D05_43</vt:lpwstr>
  </property>
  <property fmtid="{D5CDD505-2E9C-101B-9397-08002B2CF9AE}" pid="4" name="KSOTemplateDocerSaveRecord">
    <vt:lpwstr>eyJoZGlkIjoiMjdiOTk4OTVhNDhmZmYzMDYxY2FiYmU4YjQwNmRjNTciLCJ1c2VySWQiOiI2OTA0Mjg2OTgifQ==</vt:lpwstr>
  </property>
</Properties>
</file>