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76DF8">
      <w:pPr>
        <w:pStyle w:val="2"/>
        <w:numPr>
          <w:ilvl w:val="0"/>
          <w:numId w:val="0"/>
        </w:numPr>
        <w:ind w:left="425"/>
        <w:jc w:val="center"/>
        <w:rPr>
          <w:rFonts w:hint="eastAsia"/>
        </w:rPr>
      </w:pPr>
      <w:bookmarkStart w:id="0" w:name="_Toc63785461"/>
      <w:r>
        <w:rPr>
          <w:rFonts w:hint="eastAsia"/>
        </w:rPr>
        <w:t>上海“数字法院”（一期）-数字化诉讼服务子系统建设项目招标需求</w:t>
      </w:r>
    </w:p>
    <w:p w14:paraId="34228B67">
      <w:pPr>
        <w:ind w:firstLine="482"/>
        <w:rPr>
          <w:rFonts w:hint="eastAsia"/>
          <w:b/>
          <w:bCs/>
        </w:rPr>
      </w:pPr>
    </w:p>
    <w:p w14:paraId="12C056C9">
      <w:pPr>
        <w:pStyle w:val="2"/>
        <w:rPr>
          <w:rFonts w:hint="eastAsia"/>
        </w:rPr>
      </w:pPr>
      <w:r>
        <w:rPr>
          <w:rFonts w:hint="eastAsia"/>
        </w:rPr>
        <w:t>项目概况</w:t>
      </w:r>
      <w:bookmarkEnd w:id="0"/>
      <w:bookmarkStart w:id="1" w:name="_Hlk181714765"/>
    </w:p>
    <w:p w14:paraId="503E0F77">
      <w:pPr>
        <w:spacing w:line="560" w:lineRule="exact"/>
        <w:rPr>
          <w:rFonts w:hint="eastAsia"/>
        </w:rPr>
      </w:pPr>
      <w:r>
        <w:rPr>
          <w:rFonts w:hint="eastAsia"/>
          <w:bCs/>
        </w:rPr>
        <w:t>上海市高级人民法院经过多年信息化持续发展，在诉讼服务方面已形成了一定信息化建设成果，为建设数字化诉讼服务子系统奠定了坚实的基础。</w:t>
      </w:r>
      <w:r>
        <w:t>为深入贯彻落实市委“数字化转型”决策部署和做深做实上海法院新时代能动司法，建成覆盖城乡、普惠均等、便捷高效、智能精准的现代化诉讼服务体系，建设上海法院数字化诉讼服务子系统，实现“一网通办”多渠道诉讼服务标准化，延伸诉讼服务线下触角至人民法庭、社区增强诉讼服务均衡性和可及性；服务涉外商事纠纷专业化办理，持续优化法治化营商环境；构建诉讼服务智能化通问服务，使诉讼辅助服务更智能更精准；打造诉讼服务可信协同应用，降低当事人诉讼成本，提升法院查明事实能力；服务人民陪审员、审判辅助事务机构在线协同办理事项；响应上海超大城市精细化管理，通过“随申码”实现线上线上一体化服务；完成诉讼服务系统普适性改造，温暖“快时代”中的“慢人群”。</w:t>
      </w:r>
    </w:p>
    <w:p w14:paraId="346B39AD">
      <w:pPr>
        <w:spacing w:line="560" w:lineRule="exact"/>
        <w:rPr>
          <w:rFonts w:hint="eastAsia"/>
        </w:rPr>
      </w:pPr>
      <w:r>
        <w:rPr>
          <w:rFonts w:hint="eastAsia"/>
        </w:rPr>
        <w:t>本项目需按信创要求建设。</w:t>
      </w:r>
      <w:bookmarkEnd w:id="1"/>
    </w:p>
    <w:p w14:paraId="0C15BA7A">
      <w:pPr>
        <w:pStyle w:val="2"/>
        <w:rPr>
          <w:rFonts w:hint="eastAsia"/>
        </w:rPr>
      </w:pPr>
      <w:bookmarkStart w:id="2" w:name="_Toc47531634"/>
      <w:bookmarkEnd w:id="2"/>
      <w:bookmarkStart w:id="3" w:name="_Toc47532891"/>
      <w:bookmarkEnd w:id="3"/>
      <w:bookmarkStart w:id="4" w:name="_Toc47536644"/>
      <w:bookmarkEnd w:id="4"/>
      <w:bookmarkStart w:id="5" w:name="_Toc47539070"/>
      <w:bookmarkEnd w:id="5"/>
      <w:bookmarkStart w:id="6" w:name="_Toc47537134"/>
      <w:bookmarkEnd w:id="6"/>
      <w:bookmarkStart w:id="7" w:name="_Toc47532255"/>
      <w:bookmarkEnd w:id="7"/>
      <w:bookmarkStart w:id="8" w:name="_Toc47533256"/>
      <w:bookmarkEnd w:id="8"/>
      <w:bookmarkStart w:id="9" w:name="_Toc47536272"/>
      <w:bookmarkEnd w:id="9"/>
      <w:bookmarkStart w:id="10" w:name="_Toc63785463"/>
      <w:bookmarkStart w:id="11" w:name="_Toc48223882"/>
      <w:r>
        <w:rPr>
          <w:rFonts w:hint="eastAsia"/>
        </w:rPr>
        <w:t>建设目标</w:t>
      </w:r>
      <w:bookmarkEnd w:id="10"/>
      <w:bookmarkEnd w:id="11"/>
    </w:p>
    <w:p w14:paraId="207E8428">
      <w:pPr>
        <w:rPr>
          <w:rFonts w:hint="eastAsia"/>
          <w:bCs/>
        </w:rPr>
      </w:pPr>
      <w:r>
        <w:rPr>
          <w:rFonts w:hint="eastAsia"/>
          <w:bCs/>
        </w:rPr>
        <w:t>为实现诉讼服务系统数字化建设，本期建设目标如下：</w:t>
      </w:r>
    </w:p>
    <w:p w14:paraId="30A0BF42">
      <w:pPr>
        <w:rPr>
          <w:rFonts w:hint="eastAsia"/>
          <w:bCs/>
        </w:rPr>
      </w:pPr>
      <w:r>
        <w:rPr>
          <w:rFonts w:hint="eastAsia"/>
          <w:bCs/>
        </w:rPr>
        <w:t>1）多渠道诉讼服务标准化建设</w:t>
      </w:r>
    </w:p>
    <w:p w14:paraId="21D620D1">
      <w:pPr>
        <w:rPr>
          <w:rFonts w:hint="eastAsia"/>
          <w:bCs/>
        </w:rPr>
      </w:pPr>
      <w:r>
        <w:rPr>
          <w:rFonts w:hint="eastAsia"/>
          <w:bCs/>
        </w:rPr>
        <w:t>适配改造上海法院诉讼服务网至上海一网通办平台、随申办市民云（APP、小程序）、随申办企业云（APP、小程序），实现诉讼服务事务一网通办，多渠道诉讼服务数据同源标准一致。</w:t>
      </w:r>
    </w:p>
    <w:p w14:paraId="2EB5C399">
      <w:pPr>
        <w:rPr>
          <w:rFonts w:hint="eastAsia"/>
          <w:bCs/>
        </w:rPr>
      </w:pPr>
      <w:r>
        <w:rPr>
          <w:rFonts w:hint="eastAsia"/>
          <w:bCs/>
        </w:rPr>
        <w:t>2）建设基层诉讼解纷直通车</w:t>
      </w:r>
    </w:p>
    <w:p w14:paraId="0E1D9DFA">
      <w:pPr>
        <w:rPr>
          <w:rFonts w:hint="eastAsia"/>
          <w:bCs/>
        </w:rPr>
      </w:pPr>
      <w:r>
        <w:rPr>
          <w:rFonts w:hint="eastAsia"/>
          <w:bCs/>
        </w:rPr>
        <w:t>建设诉讼解纷直通车，覆盖至中基层法院诉讼服务中心、人民法庭等对外服务场所，解决人民群众遇到纠纷 “我要问”“我要查”“我要办”的相关问题并有效释放法院工作人员重复性解答的事务性工作，增强诉讼服务均衡性和可及性。建设物联终端监管系统保证诉讼解纷直通车运行安全稳定。</w:t>
      </w:r>
    </w:p>
    <w:p w14:paraId="214227AF">
      <w:pPr>
        <w:rPr>
          <w:rFonts w:hint="eastAsia"/>
          <w:bCs/>
        </w:rPr>
      </w:pPr>
      <w:r>
        <w:rPr>
          <w:rFonts w:hint="eastAsia"/>
          <w:bCs/>
        </w:rPr>
        <w:t>3）建设涉外商事解纷专业化服务</w:t>
      </w:r>
    </w:p>
    <w:p w14:paraId="01F93055">
      <w:pPr>
        <w:rPr>
          <w:rFonts w:hint="eastAsia"/>
          <w:bCs/>
        </w:rPr>
      </w:pPr>
      <w:r>
        <w:rPr>
          <w:rFonts w:hint="eastAsia"/>
          <w:bCs/>
        </w:rPr>
        <w:t>针对涉外商事纠纷案件的重要性及特殊性，建设涉外商事解纷专业化服务，利用大数据、机器学习和数据画像技术对商业纠纷案情特点、当事人解纷需求、解纷专业资源和解纷方案供给进行精准画像，结合技术底座的知识生成服务能力，向当事人推荐最优的纠纷解决路径，为商业纠纷精准匹配解纷程序和解纷方案；优化仲裁、调解、诉讼程序的在线衔接流程，面向中外当事人提供翻译服务、域外法查明服务、司法鉴定服务、公证服务等涉外商事纠纷“一门式”服务，充分保障涉外商事纠纷线上办理的便捷性和高效性。</w:t>
      </w:r>
    </w:p>
    <w:p w14:paraId="4FBFD27E">
      <w:pPr>
        <w:rPr>
          <w:rFonts w:hint="eastAsia"/>
          <w:bCs/>
        </w:rPr>
      </w:pPr>
      <w:r>
        <w:rPr>
          <w:rFonts w:hint="eastAsia"/>
          <w:bCs/>
        </w:rPr>
        <w:t>4）完善建设诉讼辅助智能化服务</w:t>
      </w:r>
    </w:p>
    <w:p w14:paraId="0CFB0CA9">
      <w:pPr>
        <w:rPr>
          <w:rFonts w:hint="eastAsia"/>
          <w:bCs/>
        </w:rPr>
      </w:pPr>
      <w:r>
        <w:rPr>
          <w:rFonts w:hint="eastAsia"/>
          <w:bCs/>
        </w:rPr>
        <w:t>依托智慧大脑及司法知识库，完善诉讼服务智能化服务功能模块，提供智能精准的纠纷化解通问服务、诉讼引导通问服务、智能查询通问服务、即时理解生成式通问服务，为涉诉群体提供诉讼指引、法律咨询等诉讼辅助服务，降低司法事件办理门槛，全面提升服务质效。</w:t>
      </w:r>
    </w:p>
    <w:p w14:paraId="1621748E">
      <w:pPr>
        <w:rPr>
          <w:rFonts w:hint="eastAsia"/>
          <w:bCs/>
        </w:rPr>
      </w:pPr>
      <w:r>
        <w:rPr>
          <w:rFonts w:hint="eastAsia"/>
          <w:bCs/>
        </w:rPr>
        <w:t>5）建设业务办理协同化高效服务</w:t>
      </w:r>
    </w:p>
    <w:p w14:paraId="1C81382A">
      <w:pPr>
        <w:rPr>
          <w:rFonts w:hint="eastAsia"/>
          <w:bCs/>
        </w:rPr>
      </w:pPr>
      <w:r>
        <w:rPr>
          <w:rFonts w:hint="eastAsia"/>
          <w:bCs/>
        </w:rPr>
        <w:t>建设诉讼服务可信协同应用，提供律师委托代理关系核验、区块链律师调查令、诉讼案件材料免提交、材料文书可信流转等场景应用，降低当事人诉讼成本，提升法院查明事实能力。</w:t>
      </w:r>
    </w:p>
    <w:p w14:paraId="24546F2A">
      <w:pPr>
        <w:rPr>
          <w:rFonts w:hint="eastAsia"/>
          <w:bCs/>
        </w:rPr>
      </w:pPr>
      <w:r>
        <w:rPr>
          <w:rFonts w:hint="eastAsia"/>
          <w:bCs/>
        </w:rPr>
        <w:t>建设人民陪审员服务专区，服务人民陪审员在线查看案件信息、在线阅卷、在线开庭，服务案件高效协同办理。</w:t>
      </w:r>
    </w:p>
    <w:p w14:paraId="563951CF">
      <w:pPr>
        <w:rPr>
          <w:rFonts w:hint="eastAsia"/>
          <w:bCs/>
        </w:rPr>
      </w:pPr>
      <w:r>
        <w:rPr>
          <w:rFonts w:hint="eastAsia"/>
          <w:bCs/>
        </w:rPr>
        <w:t>6）优化建设诉讼服务普适化服务</w:t>
      </w:r>
    </w:p>
    <w:p w14:paraId="70044AD6">
      <w:pPr>
        <w:rPr>
          <w:rFonts w:hint="eastAsia"/>
          <w:bCs/>
        </w:rPr>
      </w:pPr>
      <w:r>
        <w:rPr>
          <w:rFonts w:hint="eastAsia"/>
          <w:bCs/>
        </w:rPr>
        <w:t>对诉讼服务相关系统进行适老化改造、无障碍改造，解决老年人、残疾人等特殊群体在使用互联网服务时遇到的困难，构建和完善兜底性、普惠型的老年人、残障人诉讼服务体系，保障老年人、残障人的诉权。</w:t>
      </w:r>
    </w:p>
    <w:p w14:paraId="6FB7EF5F">
      <w:pPr>
        <w:rPr>
          <w:rFonts w:hint="eastAsia"/>
          <w:bCs/>
        </w:rPr>
      </w:pPr>
      <w:r>
        <w:rPr>
          <w:rFonts w:hint="eastAsia"/>
          <w:bCs/>
        </w:rPr>
        <w:t>建设解纷机构地图服务，以地图或列表形式展示解纷机构，便捷人民群众找调解、请律师、办公证、求法援、寻鉴定、要仲裁等。</w:t>
      </w:r>
    </w:p>
    <w:p w14:paraId="7E67049F">
      <w:pPr>
        <w:rPr>
          <w:rFonts w:hint="eastAsia"/>
          <w:bCs/>
        </w:rPr>
      </w:pPr>
      <w:r>
        <w:rPr>
          <w:rFonts w:hint="eastAsia"/>
          <w:bCs/>
        </w:rPr>
        <w:t>7）拓展建设线上线下一体化服务</w:t>
      </w:r>
    </w:p>
    <w:p w14:paraId="1C2B93FE">
      <w:pPr>
        <w:spacing w:line="560" w:lineRule="exact"/>
        <w:rPr>
          <w:rFonts w:hint="eastAsia"/>
        </w:rPr>
      </w:pPr>
      <w:r>
        <w:rPr>
          <w:rFonts w:hint="eastAsia"/>
          <w:bCs/>
        </w:rPr>
        <w:t>通过与市大数据中心、最高院律师一证通服务对接，实现基于“随申码”与“律师码”的身份认证，提供“一码通行”、“一码通查”、“一码通办”，为当事人提供线上线下一体化服务。</w:t>
      </w:r>
    </w:p>
    <w:p w14:paraId="57F4BB19">
      <w:pPr>
        <w:ind w:firstLine="0" w:firstLineChars="0"/>
        <w:rPr>
          <w:rFonts w:hint="eastAsia"/>
        </w:rPr>
      </w:pPr>
    </w:p>
    <w:p w14:paraId="1FD75042">
      <w:pPr>
        <w:ind w:firstLine="0" w:firstLineChars="0"/>
        <w:rPr>
          <w:rFonts w:hint="eastAsia"/>
          <w:b/>
        </w:rPr>
      </w:pPr>
      <w:r>
        <w:rPr>
          <w:rFonts w:hint="eastAsia"/>
          <w:b/>
        </w:rPr>
        <w:t>技术绩效目标：</w:t>
      </w:r>
    </w:p>
    <w:tbl>
      <w:tblPr>
        <w:tblStyle w:val="7"/>
        <w:tblW w:w="4825" w:type="pct"/>
        <w:tblInd w:w="0" w:type="dxa"/>
        <w:tblLayout w:type="fixed"/>
        <w:tblCellMar>
          <w:top w:w="0" w:type="dxa"/>
          <w:left w:w="108" w:type="dxa"/>
          <w:bottom w:w="0" w:type="dxa"/>
          <w:right w:w="108" w:type="dxa"/>
        </w:tblCellMar>
      </w:tblPr>
      <w:tblGrid>
        <w:gridCol w:w="816"/>
        <w:gridCol w:w="1419"/>
        <w:gridCol w:w="532"/>
        <w:gridCol w:w="3863"/>
        <w:gridCol w:w="1600"/>
      </w:tblGrid>
      <w:tr w14:paraId="34BB5966">
        <w:tblPrEx>
          <w:tblCellMar>
            <w:top w:w="0" w:type="dxa"/>
            <w:left w:w="108" w:type="dxa"/>
            <w:bottom w:w="0" w:type="dxa"/>
            <w:right w:w="108" w:type="dxa"/>
          </w:tblCellMar>
        </w:tblPrEx>
        <w:trPr>
          <w:trHeight w:val="568"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918B6">
            <w:pPr>
              <w:ind w:firstLine="0" w:firstLineChars="0"/>
              <w:jc w:val="center"/>
              <w:textAlignment w:val="center"/>
              <w:rPr>
                <w:rFonts w:hint="eastAsia" w:ascii="仿宋" w:hAnsi="仿宋" w:cs="仿宋"/>
                <w:b/>
                <w:bCs/>
              </w:rPr>
            </w:pPr>
            <w:r>
              <w:rPr>
                <w:rFonts w:hint="eastAsia" w:ascii="仿宋" w:hAnsi="仿宋" w:cs="仿宋"/>
                <w:b/>
                <w:bCs/>
                <w:lang w:bidi="ar"/>
              </w:rPr>
              <w:t>一级指标</w:t>
            </w:r>
          </w:p>
        </w:tc>
        <w:tc>
          <w:tcPr>
            <w:tcW w:w="8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55F5ED">
            <w:pPr>
              <w:ind w:firstLine="0" w:firstLineChars="0"/>
              <w:jc w:val="center"/>
              <w:textAlignment w:val="center"/>
              <w:rPr>
                <w:rFonts w:hint="eastAsia" w:ascii="仿宋" w:hAnsi="仿宋" w:cs="仿宋"/>
                <w:b/>
                <w:bCs/>
              </w:rPr>
            </w:pPr>
            <w:r>
              <w:rPr>
                <w:rFonts w:hint="eastAsia" w:ascii="仿宋" w:hAnsi="仿宋" w:cs="仿宋"/>
                <w:b/>
                <w:bCs/>
                <w:lang w:bidi="ar"/>
              </w:rPr>
              <w:t>二级</w:t>
            </w:r>
            <w:r>
              <w:rPr>
                <w:rFonts w:hint="eastAsia" w:ascii="仿宋" w:hAnsi="仿宋" w:cs="仿宋"/>
                <w:b/>
                <w:bCs/>
                <w:lang w:bidi="ar"/>
              </w:rPr>
              <w:br w:type="textWrapping"/>
            </w:r>
            <w:r>
              <w:rPr>
                <w:rFonts w:hint="eastAsia" w:ascii="仿宋" w:hAnsi="仿宋" w:cs="仿宋"/>
                <w:b/>
                <w:bCs/>
                <w:lang w:bidi="ar"/>
              </w:rPr>
              <w:t>指标</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C86FF2">
            <w:pPr>
              <w:ind w:firstLine="0" w:firstLineChars="0"/>
              <w:jc w:val="center"/>
              <w:textAlignment w:val="center"/>
              <w:rPr>
                <w:rFonts w:hint="eastAsia" w:ascii="仿宋" w:hAnsi="仿宋" w:cs="仿宋"/>
                <w:b/>
                <w:bCs/>
              </w:rPr>
            </w:pPr>
            <w:r>
              <w:rPr>
                <w:rFonts w:hint="eastAsia" w:ascii="仿宋" w:hAnsi="仿宋" w:cs="仿宋"/>
                <w:b/>
                <w:bCs/>
                <w:lang w:bidi="ar"/>
              </w:rPr>
              <w:t>序号</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7B7181">
            <w:pPr>
              <w:ind w:firstLine="0" w:firstLineChars="0"/>
              <w:jc w:val="center"/>
              <w:textAlignment w:val="center"/>
              <w:rPr>
                <w:rFonts w:hint="eastAsia" w:ascii="仿宋" w:hAnsi="仿宋" w:cs="仿宋"/>
                <w:b/>
                <w:bCs/>
              </w:rPr>
            </w:pPr>
            <w:r>
              <w:rPr>
                <w:rFonts w:hint="eastAsia" w:ascii="仿宋" w:hAnsi="仿宋" w:cs="仿宋"/>
                <w:b/>
                <w:bCs/>
                <w:lang w:bidi="ar"/>
              </w:rPr>
              <w:t>三级指标</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BE2C7D">
            <w:pPr>
              <w:ind w:firstLine="0" w:firstLineChars="0"/>
              <w:jc w:val="center"/>
              <w:textAlignment w:val="center"/>
              <w:rPr>
                <w:rFonts w:hint="eastAsia" w:ascii="仿宋" w:hAnsi="仿宋" w:cs="仿宋"/>
                <w:b/>
                <w:bCs/>
              </w:rPr>
            </w:pPr>
            <w:r>
              <w:rPr>
                <w:rFonts w:hint="eastAsia" w:ascii="仿宋" w:hAnsi="仿宋" w:cs="仿宋"/>
                <w:b/>
                <w:bCs/>
                <w:lang w:bidi="ar"/>
              </w:rPr>
              <w:t>指标值</w:t>
            </w:r>
          </w:p>
        </w:tc>
      </w:tr>
      <w:tr w14:paraId="2AD21940">
        <w:tblPrEx>
          <w:tblCellMar>
            <w:top w:w="0" w:type="dxa"/>
            <w:left w:w="108" w:type="dxa"/>
            <w:bottom w:w="0" w:type="dxa"/>
            <w:right w:w="108" w:type="dxa"/>
          </w:tblCellMar>
        </w:tblPrEx>
        <w:trPr>
          <w:trHeight w:val="600" w:hRule="atLeast"/>
        </w:trPr>
        <w:tc>
          <w:tcPr>
            <w:tcW w:w="496" w:type="pct"/>
            <w:vMerge w:val="restart"/>
            <w:tcBorders>
              <w:top w:val="single" w:color="000000" w:sz="4" w:space="0"/>
              <w:left w:val="single" w:color="000000" w:sz="4" w:space="0"/>
              <w:right w:val="single" w:color="000000" w:sz="4" w:space="0"/>
            </w:tcBorders>
            <w:shd w:val="clear" w:color="auto" w:fill="FFFFFF" w:themeFill="background1"/>
            <w:vAlign w:val="center"/>
          </w:tcPr>
          <w:p w14:paraId="407E0F6B">
            <w:pPr>
              <w:ind w:firstLine="0" w:firstLineChars="0"/>
              <w:jc w:val="center"/>
              <w:rPr>
                <w:rFonts w:hint="eastAsia" w:ascii="仿宋" w:hAnsi="仿宋" w:cs="仿宋"/>
              </w:rPr>
            </w:pPr>
            <w:r>
              <w:rPr>
                <w:rFonts w:hint="eastAsia" w:ascii="仿宋" w:hAnsi="仿宋" w:cs="仿宋"/>
              </w:rPr>
              <w:t>项目完成目标</w:t>
            </w:r>
          </w:p>
        </w:tc>
        <w:tc>
          <w:tcPr>
            <w:tcW w:w="862" w:type="pct"/>
            <w:vMerge w:val="restart"/>
            <w:tcBorders>
              <w:left w:val="single" w:color="000000" w:sz="4" w:space="0"/>
              <w:right w:val="single" w:color="000000" w:sz="4" w:space="0"/>
            </w:tcBorders>
            <w:shd w:val="clear" w:color="auto" w:fill="FFFFFF" w:themeFill="background1"/>
            <w:vAlign w:val="center"/>
          </w:tcPr>
          <w:p w14:paraId="3F2254F6">
            <w:pPr>
              <w:ind w:firstLine="0" w:firstLineChars="0"/>
              <w:jc w:val="center"/>
              <w:rPr>
                <w:rFonts w:hint="eastAsia" w:ascii="仿宋" w:hAnsi="仿宋" w:cs="仿宋"/>
              </w:rPr>
            </w:pPr>
            <w:r>
              <w:rPr>
                <w:rFonts w:hint="eastAsia" w:ascii="仿宋" w:hAnsi="仿宋" w:cs="仿宋"/>
              </w:rPr>
              <w:t>数量指标</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223A16">
            <w:pPr>
              <w:ind w:firstLine="0" w:firstLineChars="0"/>
              <w:jc w:val="center"/>
              <w:textAlignment w:val="center"/>
              <w:rPr>
                <w:rFonts w:hint="eastAsia" w:ascii="仿宋" w:hAnsi="仿宋" w:cs="仿宋"/>
              </w:rPr>
            </w:pPr>
            <w:r>
              <w:rPr>
                <w:rFonts w:ascii="仿宋" w:hAnsi="仿宋" w:cs="仿宋"/>
                <w:color w:val="000000"/>
                <w:lang w:bidi="ar"/>
              </w:rPr>
              <w:t>1</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1B13DD">
            <w:pPr>
              <w:ind w:firstLine="0" w:firstLineChars="0"/>
              <w:textAlignment w:val="center"/>
              <w:rPr>
                <w:rFonts w:hint="eastAsia" w:ascii="仿宋" w:hAnsi="仿宋" w:cs="仿宋"/>
              </w:rPr>
            </w:pPr>
            <w:r>
              <w:rPr>
                <w:rFonts w:hint="eastAsia" w:ascii="仿宋" w:hAnsi="仿宋" w:cs="仿宋"/>
                <w:lang w:bidi="ar"/>
              </w:rPr>
              <w:t>经网上诉讼服务的事务受理数（件/年）</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D5F620">
            <w:pPr>
              <w:ind w:firstLine="0" w:firstLineChars="0"/>
              <w:jc w:val="center"/>
              <w:textAlignment w:val="center"/>
              <w:rPr>
                <w:rFonts w:hint="eastAsia" w:ascii="仿宋" w:hAnsi="仿宋" w:cs="仿宋"/>
              </w:rPr>
            </w:pPr>
            <w:r>
              <w:rPr>
                <w:rFonts w:hint="eastAsia" w:ascii="仿宋" w:hAnsi="仿宋" w:cs="仿宋"/>
                <w:lang w:bidi="ar"/>
              </w:rPr>
              <w:t>提升5%</w:t>
            </w:r>
          </w:p>
        </w:tc>
      </w:tr>
      <w:tr w14:paraId="4DC6F5C5">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591F7920">
            <w:pPr>
              <w:ind w:firstLine="0" w:firstLineChars="0"/>
              <w:jc w:val="center"/>
              <w:rPr>
                <w:rFonts w:hint="eastAsia" w:ascii="仿宋" w:hAnsi="仿宋" w:cs="仿宋"/>
              </w:rPr>
            </w:pPr>
          </w:p>
        </w:tc>
        <w:tc>
          <w:tcPr>
            <w:tcW w:w="862" w:type="pct"/>
            <w:vMerge w:val="continue"/>
            <w:tcBorders>
              <w:left w:val="single" w:color="000000" w:sz="4" w:space="0"/>
              <w:right w:val="single" w:color="000000" w:sz="4" w:space="0"/>
            </w:tcBorders>
            <w:shd w:val="clear" w:color="auto" w:fill="FFFFFF" w:themeFill="background1"/>
            <w:vAlign w:val="center"/>
          </w:tcPr>
          <w:p w14:paraId="2776A867">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2740DA">
            <w:pPr>
              <w:ind w:firstLine="0" w:firstLineChars="0"/>
              <w:jc w:val="center"/>
              <w:textAlignment w:val="center"/>
              <w:rPr>
                <w:rFonts w:hint="eastAsia" w:ascii="仿宋" w:hAnsi="仿宋" w:cs="仿宋"/>
              </w:rPr>
            </w:pPr>
            <w:r>
              <w:rPr>
                <w:rFonts w:ascii="仿宋" w:hAnsi="仿宋" w:cs="仿宋"/>
                <w:color w:val="000000"/>
                <w:lang w:bidi="ar"/>
              </w:rPr>
              <w:t>2</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F9EF9">
            <w:pPr>
              <w:ind w:firstLine="0" w:firstLineChars="0"/>
              <w:textAlignment w:val="center"/>
              <w:rPr>
                <w:rFonts w:hint="eastAsia" w:ascii="仿宋" w:hAnsi="仿宋" w:cs="仿宋"/>
              </w:rPr>
            </w:pPr>
            <w:r>
              <w:rPr>
                <w:rFonts w:hint="eastAsia" w:ascii="仿宋" w:hAnsi="仿宋" w:cs="仿宋"/>
                <w:lang w:bidi="ar"/>
              </w:rPr>
              <w:t>诉讼服务受理量达到（次/年）</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B27DA4">
            <w:pPr>
              <w:ind w:firstLine="0" w:firstLineChars="0"/>
              <w:jc w:val="center"/>
              <w:textAlignment w:val="center"/>
              <w:rPr>
                <w:rFonts w:hint="eastAsia" w:ascii="仿宋" w:hAnsi="仿宋" w:cs="仿宋"/>
              </w:rPr>
            </w:pPr>
            <w:r>
              <w:rPr>
                <w:rFonts w:hint="eastAsia" w:ascii="仿宋" w:hAnsi="仿宋" w:cs="仿宋"/>
                <w:lang w:bidi="ar"/>
              </w:rPr>
              <w:t>提升10%</w:t>
            </w:r>
          </w:p>
        </w:tc>
      </w:tr>
      <w:tr w14:paraId="5B760768">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64CF6A98">
            <w:pPr>
              <w:ind w:firstLine="0" w:firstLineChars="0"/>
              <w:jc w:val="center"/>
              <w:rPr>
                <w:rFonts w:hint="eastAsia" w:ascii="仿宋" w:hAnsi="仿宋" w:cs="仿宋"/>
              </w:rPr>
            </w:pPr>
          </w:p>
        </w:tc>
        <w:tc>
          <w:tcPr>
            <w:tcW w:w="862" w:type="pct"/>
            <w:vMerge w:val="continue"/>
            <w:tcBorders>
              <w:left w:val="single" w:color="000000" w:sz="4" w:space="0"/>
              <w:right w:val="single" w:color="000000" w:sz="4" w:space="0"/>
            </w:tcBorders>
            <w:shd w:val="clear" w:color="auto" w:fill="FFFFFF" w:themeFill="background1"/>
            <w:vAlign w:val="center"/>
          </w:tcPr>
          <w:p w14:paraId="043935DE">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D447AA">
            <w:pPr>
              <w:ind w:firstLine="0" w:firstLineChars="0"/>
              <w:jc w:val="center"/>
              <w:textAlignment w:val="center"/>
              <w:rPr>
                <w:rFonts w:hint="eastAsia" w:ascii="仿宋" w:hAnsi="仿宋" w:cs="仿宋"/>
              </w:rPr>
            </w:pPr>
            <w:r>
              <w:rPr>
                <w:rFonts w:ascii="仿宋" w:hAnsi="仿宋" w:cs="仿宋"/>
                <w:color w:val="000000"/>
                <w:lang w:bidi="ar"/>
              </w:rPr>
              <w:t>3</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CDF935">
            <w:pPr>
              <w:ind w:firstLine="0" w:firstLineChars="0"/>
              <w:textAlignment w:val="center"/>
              <w:rPr>
                <w:rFonts w:hint="eastAsia" w:ascii="仿宋" w:hAnsi="仿宋" w:cs="仿宋"/>
              </w:rPr>
            </w:pPr>
            <w:r>
              <w:rPr>
                <w:rFonts w:hint="eastAsia" w:ascii="仿宋" w:hAnsi="仿宋" w:cs="仿宋"/>
                <w:lang w:bidi="ar"/>
              </w:rPr>
              <w:t>经网上诉讼业务办理成功率</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DE45C9">
            <w:pPr>
              <w:ind w:firstLine="0" w:firstLineChars="0"/>
              <w:jc w:val="center"/>
              <w:textAlignment w:val="center"/>
              <w:rPr>
                <w:rFonts w:hint="eastAsia" w:ascii="仿宋" w:hAnsi="仿宋" w:cs="仿宋"/>
              </w:rPr>
            </w:pPr>
            <w:r>
              <w:rPr>
                <w:rFonts w:hint="eastAsia" w:ascii="仿宋" w:hAnsi="仿宋" w:cs="仿宋"/>
                <w:lang w:bidi="ar"/>
              </w:rPr>
              <w:t>提升至80%以上</w:t>
            </w:r>
          </w:p>
        </w:tc>
      </w:tr>
      <w:tr w14:paraId="37FA9487">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5A070B7A">
            <w:pPr>
              <w:ind w:firstLine="0" w:firstLineChars="0"/>
              <w:jc w:val="center"/>
              <w:rPr>
                <w:rFonts w:hint="eastAsia" w:ascii="仿宋" w:hAnsi="仿宋" w:cs="仿宋"/>
              </w:rPr>
            </w:pPr>
          </w:p>
        </w:tc>
        <w:tc>
          <w:tcPr>
            <w:tcW w:w="862" w:type="pct"/>
            <w:vMerge w:val="continue"/>
            <w:tcBorders>
              <w:left w:val="single" w:color="000000" w:sz="4" w:space="0"/>
              <w:right w:val="single" w:color="000000" w:sz="4" w:space="0"/>
            </w:tcBorders>
            <w:shd w:val="clear" w:color="auto" w:fill="FFFFFF" w:themeFill="background1"/>
            <w:vAlign w:val="center"/>
          </w:tcPr>
          <w:p w14:paraId="5B503A55">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DAC81D">
            <w:pPr>
              <w:ind w:firstLine="0" w:firstLineChars="0"/>
              <w:jc w:val="center"/>
              <w:textAlignment w:val="center"/>
              <w:rPr>
                <w:rFonts w:hint="eastAsia" w:ascii="仿宋" w:hAnsi="仿宋" w:cs="仿宋"/>
              </w:rPr>
            </w:pPr>
            <w:r>
              <w:rPr>
                <w:rFonts w:ascii="仿宋" w:hAnsi="仿宋" w:cs="仿宋"/>
                <w:color w:val="000000"/>
                <w:lang w:bidi="ar"/>
              </w:rPr>
              <w:t>4</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3BD653">
            <w:pPr>
              <w:ind w:firstLine="0" w:firstLineChars="0"/>
              <w:textAlignment w:val="center"/>
              <w:rPr>
                <w:rFonts w:hint="eastAsia" w:ascii="仿宋" w:hAnsi="仿宋" w:cs="仿宋"/>
              </w:rPr>
            </w:pPr>
            <w:r>
              <w:rPr>
                <w:rFonts w:hint="eastAsia" w:ascii="仿宋" w:hAnsi="仿宋" w:cs="仿宋"/>
                <w:lang w:bidi="ar"/>
              </w:rPr>
              <w:t>律师代理关系跨链核验</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9A2D88">
            <w:pPr>
              <w:ind w:firstLine="0" w:firstLineChars="0"/>
              <w:jc w:val="center"/>
              <w:textAlignment w:val="center"/>
              <w:rPr>
                <w:rFonts w:hint="eastAsia" w:ascii="仿宋" w:hAnsi="仿宋" w:cs="仿宋"/>
              </w:rPr>
            </w:pPr>
            <w:r>
              <w:rPr>
                <w:rFonts w:hint="eastAsia" w:ascii="仿宋" w:hAnsi="仿宋" w:cs="仿宋"/>
                <w:lang w:bidi="ar"/>
              </w:rPr>
              <w:t>8000</w:t>
            </w:r>
          </w:p>
        </w:tc>
      </w:tr>
      <w:tr w14:paraId="753109A9">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2320C926">
            <w:pPr>
              <w:ind w:firstLine="0" w:firstLineChars="0"/>
              <w:jc w:val="center"/>
              <w:rPr>
                <w:rFonts w:hint="eastAsia" w:ascii="仿宋" w:hAnsi="仿宋" w:cs="仿宋"/>
              </w:rPr>
            </w:pPr>
          </w:p>
        </w:tc>
        <w:tc>
          <w:tcPr>
            <w:tcW w:w="862" w:type="pct"/>
            <w:vMerge w:val="continue"/>
            <w:tcBorders>
              <w:left w:val="single" w:color="000000" w:sz="4" w:space="0"/>
              <w:right w:val="single" w:color="000000" w:sz="4" w:space="0"/>
            </w:tcBorders>
            <w:shd w:val="clear" w:color="auto" w:fill="FFFFFF" w:themeFill="background1"/>
            <w:vAlign w:val="center"/>
          </w:tcPr>
          <w:p w14:paraId="3BD182EF">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98D347">
            <w:pPr>
              <w:ind w:firstLine="0" w:firstLineChars="0"/>
              <w:jc w:val="center"/>
              <w:textAlignment w:val="center"/>
              <w:rPr>
                <w:rFonts w:hint="eastAsia" w:ascii="仿宋" w:hAnsi="仿宋" w:cs="仿宋"/>
              </w:rPr>
            </w:pPr>
            <w:r>
              <w:rPr>
                <w:rFonts w:ascii="仿宋" w:hAnsi="仿宋" w:cs="仿宋"/>
                <w:color w:val="000000"/>
                <w:lang w:bidi="ar"/>
              </w:rPr>
              <w:t>5</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EE3D6F">
            <w:pPr>
              <w:ind w:firstLine="0" w:firstLineChars="0"/>
              <w:textAlignment w:val="center"/>
              <w:rPr>
                <w:rFonts w:hint="eastAsia" w:ascii="仿宋" w:hAnsi="仿宋" w:cs="仿宋"/>
              </w:rPr>
            </w:pPr>
            <w:r>
              <w:rPr>
                <w:rFonts w:hint="eastAsia" w:ascii="仿宋" w:hAnsi="仿宋" w:cs="仿宋"/>
                <w:lang w:bidi="ar"/>
              </w:rPr>
              <w:t>律师调查令存证数量</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B7A1DE">
            <w:pPr>
              <w:ind w:firstLine="0" w:firstLineChars="0"/>
              <w:jc w:val="center"/>
              <w:textAlignment w:val="center"/>
              <w:rPr>
                <w:rFonts w:hint="eastAsia" w:ascii="仿宋" w:hAnsi="仿宋" w:cs="仿宋"/>
              </w:rPr>
            </w:pPr>
            <w:r>
              <w:rPr>
                <w:rFonts w:hint="eastAsia" w:ascii="仿宋" w:hAnsi="仿宋" w:cs="仿宋"/>
                <w:lang w:bidi="ar"/>
              </w:rPr>
              <w:t>4万</w:t>
            </w:r>
          </w:p>
        </w:tc>
      </w:tr>
      <w:tr w14:paraId="4B029CA2">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754C7C7F">
            <w:pPr>
              <w:ind w:firstLine="0" w:firstLineChars="0"/>
              <w:jc w:val="center"/>
              <w:rPr>
                <w:rFonts w:hint="eastAsia" w:ascii="仿宋" w:hAnsi="仿宋" w:cs="仿宋"/>
              </w:rPr>
            </w:pPr>
          </w:p>
        </w:tc>
        <w:tc>
          <w:tcPr>
            <w:tcW w:w="862" w:type="pct"/>
            <w:vMerge w:val="continue"/>
            <w:tcBorders>
              <w:left w:val="single" w:color="000000" w:sz="4" w:space="0"/>
              <w:right w:val="single" w:color="000000" w:sz="4" w:space="0"/>
            </w:tcBorders>
            <w:shd w:val="clear" w:color="auto" w:fill="FFFFFF" w:themeFill="background1"/>
            <w:vAlign w:val="center"/>
          </w:tcPr>
          <w:p w14:paraId="125107C1">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A33514">
            <w:pPr>
              <w:ind w:firstLine="0" w:firstLineChars="0"/>
              <w:jc w:val="center"/>
              <w:textAlignment w:val="center"/>
              <w:rPr>
                <w:rFonts w:hint="eastAsia" w:ascii="仿宋" w:hAnsi="仿宋" w:cs="仿宋"/>
              </w:rPr>
            </w:pPr>
            <w:r>
              <w:rPr>
                <w:rFonts w:ascii="仿宋" w:hAnsi="仿宋" w:cs="仿宋"/>
                <w:color w:val="000000"/>
                <w:lang w:bidi="ar"/>
              </w:rPr>
              <w:t>6</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8226D">
            <w:pPr>
              <w:ind w:firstLine="0" w:firstLineChars="0"/>
              <w:textAlignment w:val="center"/>
              <w:rPr>
                <w:rFonts w:hint="eastAsia" w:ascii="仿宋" w:hAnsi="仿宋" w:cs="仿宋"/>
              </w:rPr>
            </w:pPr>
            <w:r>
              <w:rPr>
                <w:rFonts w:hint="eastAsia" w:ascii="仿宋" w:hAnsi="仿宋" w:cs="仿宋"/>
                <w:lang w:bidi="ar"/>
              </w:rPr>
              <w:t>诉讼材料免提交数量</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8D6121">
            <w:pPr>
              <w:ind w:firstLine="0" w:firstLineChars="0"/>
              <w:jc w:val="center"/>
              <w:textAlignment w:val="center"/>
              <w:rPr>
                <w:rFonts w:hint="eastAsia" w:ascii="仿宋" w:hAnsi="仿宋" w:cs="仿宋"/>
              </w:rPr>
            </w:pPr>
            <w:r>
              <w:rPr>
                <w:rFonts w:hint="eastAsia" w:ascii="仿宋" w:hAnsi="仿宋" w:cs="仿宋"/>
                <w:lang w:bidi="ar"/>
              </w:rPr>
              <w:t>8000</w:t>
            </w:r>
          </w:p>
        </w:tc>
      </w:tr>
      <w:tr w14:paraId="1DB93898">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3E3FDDB3">
            <w:pPr>
              <w:ind w:firstLine="0" w:firstLineChars="0"/>
              <w:jc w:val="center"/>
              <w:rPr>
                <w:rFonts w:hint="eastAsia" w:ascii="仿宋" w:hAnsi="仿宋" w:cs="仿宋"/>
              </w:rPr>
            </w:pPr>
          </w:p>
        </w:tc>
        <w:tc>
          <w:tcPr>
            <w:tcW w:w="862" w:type="pct"/>
            <w:vMerge w:val="continue"/>
            <w:tcBorders>
              <w:left w:val="single" w:color="000000" w:sz="4" w:space="0"/>
              <w:right w:val="single" w:color="000000" w:sz="4" w:space="0"/>
            </w:tcBorders>
            <w:shd w:val="clear" w:color="auto" w:fill="FFFFFF" w:themeFill="background1"/>
            <w:vAlign w:val="center"/>
          </w:tcPr>
          <w:p w14:paraId="3328F69E">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9D607">
            <w:pPr>
              <w:ind w:firstLine="0" w:firstLineChars="0"/>
              <w:jc w:val="center"/>
              <w:textAlignment w:val="center"/>
              <w:rPr>
                <w:rFonts w:hint="eastAsia" w:ascii="仿宋" w:hAnsi="仿宋" w:cs="仿宋"/>
              </w:rPr>
            </w:pPr>
            <w:r>
              <w:rPr>
                <w:rFonts w:ascii="仿宋" w:hAnsi="仿宋" w:cs="仿宋"/>
                <w:color w:val="000000"/>
                <w:lang w:bidi="ar"/>
              </w:rPr>
              <w:t>7</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E4A116">
            <w:pPr>
              <w:ind w:firstLine="0" w:firstLineChars="0"/>
              <w:textAlignment w:val="center"/>
              <w:rPr>
                <w:rFonts w:hint="eastAsia" w:ascii="仿宋" w:hAnsi="仿宋" w:cs="仿宋"/>
              </w:rPr>
            </w:pPr>
            <w:r>
              <w:rPr>
                <w:rFonts w:hint="eastAsia" w:ascii="仿宋" w:hAnsi="仿宋" w:cs="仿宋"/>
                <w:lang w:bidi="ar"/>
              </w:rPr>
              <w:t>涉外商事材料可信流转数量</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049AF8">
            <w:pPr>
              <w:ind w:firstLine="0" w:firstLineChars="0"/>
              <w:jc w:val="center"/>
              <w:textAlignment w:val="center"/>
              <w:rPr>
                <w:rFonts w:hint="eastAsia" w:ascii="仿宋" w:hAnsi="仿宋" w:cs="仿宋"/>
              </w:rPr>
            </w:pPr>
            <w:r>
              <w:rPr>
                <w:rFonts w:hint="eastAsia" w:ascii="仿宋" w:hAnsi="仿宋" w:cs="仿宋"/>
                <w:lang w:bidi="ar"/>
              </w:rPr>
              <w:t>1万</w:t>
            </w:r>
          </w:p>
        </w:tc>
      </w:tr>
      <w:tr w14:paraId="38D070EA">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65BCEC78">
            <w:pPr>
              <w:ind w:firstLine="0" w:firstLineChars="0"/>
              <w:jc w:val="center"/>
              <w:rPr>
                <w:rFonts w:hint="eastAsia" w:ascii="仿宋" w:hAnsi="仿宋" w:cs="仿宋"/>
              </w:rPr>
            </w:pPr>
          </w:p>
        </w:tc>
        <w:tc>
          <w:tcPr>
            <w:tcW w:w="862"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1BC89BDA">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0FAF04">
            <w:pPr>
              <w:ind w:firstLine="0" w:firstLineChars="0"/>
              <w:jc w:val="center"/>
              <w:textAlignment w:val="center"/>
              <w:rPr>
                <w:rFonts w:hint="eastAsia" w:ascii="仿宋" w:hAnsi="仿宋" w:cs="仿宋"/>
              </w:rPr>
            </w:pPr>
            <w:r>
              <w:rPr>
                <w:rFonts w:ascii="仿宋" w:hAnsi="仿宋" w:cs="仿宋"/>
                <w:color w:val="000000"/>
                <w:lang w:bidi="ar"/>
              </w:rPr>
              <w:t>8</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BA2ED4">
            <w:pPr>
              <w:ind w:firstLine="0" w:firstLineChars="0"/>
              <w:textAlignment w:val="center"/>
              <w:rPr>
                <w:rFonts w:hint="eastAsia" w:ascii="仿宋" w:hAnsi="仿宋" w:cs="仿宋"/>
              </w:rPr>
            </w:pPr>
            <w:r>
              <w:rPr>
                <w:rFonts w:hint="eastAsia" w:ascii="仿宋" w:hAnsi="仿宋" w:cs="仿宋"/>
                <w:lang w:bidi="ar"/>
              </w:rPr>
              <w:t>涉外商事一站式处理案件数量（件/年）</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A356F3">
            <w:pPr>
              <w:ind w:firstLine="0" w:firstLineChars="0"/>
              <w:jc w:val="center"/>
              <w:textAlignment w:val="center"/>
              <w:rPr>
                <w:rFonts w:hint="eastAsia" w:ascii="仿宋" w:hAnsi="仿宋" w:cs="仿宋"/>
              </w:rPr>
            </w:pPr>
            <w:r>
              <w:rPr>
                <w:rFonts w:hint="eastAsia" w:ascii="仿宋" w:hAnsi="仿宋" w:cs="仿宋"/>
                <w:lang w:bidi="ar"/>
              </w:rPr>
              <w:t>1.5万</w:t>
            </w:r>
          </w:p>
        </w:tc>
      </w:tr>
      <w:tr w14:paraId="3A1382C5">
        <w:tblPrEx>
          <w:tblCellMar>
            <w:top w:w="0" w:type="dxa"/>
            <w:left w:w="108" w:type="dxa"/>
            <w:bottom w:w="0" w:type="dxa"/>
            <w:right w:w="108" w:type="dxa"/>
          </w:tblCellMar>
        </w:tblPrEx>
        <w:trPr>
          <w:trHeight w:val="940" w:hRule="atLeast"/>
        </w:trPr>
        <w:tc>
          <w:tcPr>
            <w:tcW w:w="496" w:type="pct"/>
            <w:vMerge w:val="continue"/>
            <w:tcBorders>
              <w:left w:val="single" w:color="000000" w:sz="4" w:space="0"/>
              <w:right w:val="single" w:color="000000" w:sz="4" w:space="0"/>
            </w:tcBorders>
            <w:shd w:val="clear" w:color="auto" w:fill="FFFFFF" w:themeFill="background1"/>
            <w:vAlign w:val="center"/>
          </w:tcPr>
          <w:p w14:paraId="2F88814C">
            <w:pPr>
              <w:ind w:firstLine="0" w:firstLineChars="0"/>
              <w:jc w:val="center"/>
              <w:rPr>
                <w:rFonts w:hint="eastAsia" w:ascii="仿宋" w:hAnsi="仿宋" w:cs="仿宋"/>
              </w:rPr>
            </w:pPr>
          </w:p>
        </w:tc>
        <w:tc>
          <w:tcPr>
            <w:tcW w:w="8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5149B">
            <w:pPr>
              <w:ind w:firstLine="0" w:firstLineChars="0"/>
              <w:jc w:val="center"/>
              <w:textAlignment w:val="center"/>
              <w:rPr>
                <w:rFonts w:hint="eastAsia" w:ascii="仿宋" w:hAnsi="仿宋" w:cs="仿宋"/>
              </w:rPr>
            </w:pPr>
            <w:r>
              <w:rPr>
                <w:rFonts w:hint="eastAsia" w:ascii="仿宋" w:hAnsi="仿宋" w:cs="仿宋"/>
                <w:lang w:bidi="ar"/>
              </w:rPr>
              <w:t>质量指标</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844989">
            <w:pPr>
              <w:ind w:firstLine="0" w:firstLineChars="0"/>
              <w:jc w:val="center"/>
              <w:textAlignment w:val="center"/>
              <w:rPr>
                <w:rFonts w:hint="eastAsia" w:ascii="仿宋" w:hAnsi="仿宋" w:cs="仿宋"/>
              </w:rPr>
            </w:pPr>
            <w:r>
              <w:rPr>
                <w:rFonts w:ascii="仿宋" w:hAnsi="仿宋" w:cs="仿宋"/>
                <w:color w:val="000000"/>
                <w:lang w:bidi="ar"/>
              </w:rPr>
              <w:t>9</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5F4B1">
            <w:pPr>
              <w:ind w:firstLine="0" w:firstLineChars="0"/>
              <w:textAlignment w:val="center"/>
              <w:rPr>
                <w:rFonts w:hint="eastAsia" w:ascii="仿宋" w:hAnsi="仿宋" w:cs="仿宋"/>
              </w:rPr>
            </w:pPr>
            <w:r>
              <w:rPr>
                <w:rFonts w:hint="eastAsia" w:ascii="仿宋" w:hAnsi="仿宋" w:cs="仿宋"/>
                <w:lang w:bidi="ar"/>
              </w:rPr>
              <w:t>该系统对使用者现有软硬件（包括网络、计算机打印机等）的适应率</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892808">
            <w:pPr>
              <w:ind w:firstLine="0" w:firstLineChars="0"/>
              <w:jc w:val="center"/>
              <w:textAlignment w:val="center"/>
              <w:rPr>
                <w:rFonts w:hint="eastAsia" w:ascii="仿宋" w:hAnsi="仿宋" w:cs="仿宋"/>
              </w:rPr>
            </w:pPr>
            <w:r>
              <w:rPr>
                <w:rFonts w:hint="eastAsia" w:ascii="仿宋" w:hAnsi="仿宋" w:cs="仿宋"/>
                <w:lang w:bidi="ar"/>
              </w:rPr>
              <w:t>90%</w:t>
            </w:r>
          </w:p>
        </w:tc>
      </w:tr>
      <w:tr w14:paraId="204A51FA">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198C816E">
            <w:pPr>
              <w:ind w:firstLine="0" w:firstLineChars="0"/>
              <w:jc w:val="center"/>
              <w:rPr>
                <w:rFonts w:hint="eastAsia" w:ascii="仿宋" w:hAnsi="仿宋" w:cs="仿宋"/>
              </w:rPr>
            </w:pPr>
          </w:p>
        </w:tc>
        <w:tc>
          <w:tcPr>
            <w:tcW w:w="86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E25D6">
            <w:pPr>
              <w:ind w:firstLine="0" w:firstLineChars="0"/>
              <w:jc w:val="center"/>
              <w:textAlignment w:val="center"/>
              <w:rPr>
                <w:rFonts w:hint="eastAsia" w:ascii="仿宋" w:hAnsi="仿宋" w:cs="仿宋"/>
              </w:rPr>
            </w:pPr>
            <w:r>
              <w:rPr>
                <w:rFonts w:hint="eastAsia" w:ascii="仿宋" w:hAnsi="仿宋" w:cs="仿宋"/>
                <w:lang w:bidi="ar"/>
              </w:rPr>
              <w:t>时效指标</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0E6A84">
            <w:pPr>
              <w:ind w:firstLine="0" w:firstLineChars="0"/>
              <w:jc w:val="center"/>
              <w:textAlignment w:val="center"/>
              <w:rPr>
                <w:rFonts w:hint="eastAsia" w:ascii="仿宋" w:hAnsi="仿宋" w:cs="仿宋"/>
              </w:rPr>
            </w:pPr>
            <w:r>
              <w:rPr>
                <w:rFonts w:ascii="仿宋" w:hAnsi="仿宋" w:cs="仿宋"/>
                <w:color w:val="000000"/>
                <w:lang w:bidi="ar"/>
              </w:rPr>
              <w:t>10</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939BF">
            <w:pPr>
              <w:ind w:firstLine="0" w:firstLineChars="0"/>
              <w:textAlignment w:val="center"/>
              <w:rPr>
                <w:rFonts w:hint="eastAsia" w:ascii="仿宋" w:hAnsi="仿宋" w:cs="仿宋"/>
              </w:rPr>
            </w:pPr>
            <w:r>
              <w:rPr>
                <w:rFonts w:hint="eastAsia" w:ascii="仿宋" w:hAnsi="仿宋" w:cs="仿宋"/>
                <w:lang w:bidi="ar"/>
              </w:rPr>
              <w:t>服务可用时间</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C92E86">
            <w:pPr>
              <w:ind w:firstLine="0" w:firstLineChars="0"/>
              <w:jc w:val="center"/>
              <w:textAlignment w:val="center"/>
              <w:rPr>
                <w:rFonts w:hint="eastAsia" w:ascii="仿宋" w:hAnsi="仿宋" w:cs="仿宋"/>
              </w:rPr>
            </w:pPr>
            <w:r>
              <w:rPr>
                <w:rFonts w:hint="eastAsia" w:ascii="仿宋" w:hAnsi="仿宋" w:cs="仿宋"/>
                <w:lang w:bidi="ar"/>
              </w:rPr>
              <w:t>承诺年度服务可用时间（360天）</w:t>
            </w:r>
          </w:p>
        </w:tc>
      </w:tr>
      <w:tr w14:paraId="714E490D">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5E37B39E">
            <w:pPr>
              <w:ind w:firstLine="0" w:firstLineChars="0"/>
              <w:jc w:val="center"/>
              <w:rPr>
                <w:rFonts w:hint="eastAsia" w:ascii="仿宋" w:hAnsi="仿宋" w:cs="仿宋"/>
              </w:rPr>
            </w:pP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F29F66">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D9CE38">
            <w:pPr>
              <w:ind w:firstLine="0" w:firstLineChars="0"/>
              <w:jc w:val="center"/>
              <w:textAlignment w:val="center"/>
              <w:rPr>
                <w:rFonts w:hint="eastAsia" w:ascii="仿宋" w:hAnsi="仿宋" w:cs="仿宋"/>
              </w:rPr>
            </w:pPr>
            <w:r>
              <w:rPr>
                <w:rFonts w:ascii="仿宋" w:hAnsi="仿宋" w:cs="仿宋"/>
                <w:color w:val="000000"/>
                <w:lang w:bidi="ar"/>
              </w:rPr>
              <w:t>11</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C8FCBB">
            <w:pPr>
              <w:ind w:firstLine="0" w:firstLineChars="0"/>
              <w:textAlignment w:val="center"/>
              <w:rPr>
                <w:rFonts w:hint="eastAsia" w:ascii="仿宋" w:hAnsi="仿宋" w:cs="仿宋"/>
              </w:rPr>
            </w:pPr>
            <w:r>
              <w:rPr>
                <w:rFonts w:hint="eastAsia" w:ascii="仿宋" w:hAnsi="仿宋" w:cs="仿宋"/>
                <w:lang w:bidi="ar"/>
              </w:rPr>
              <w:t>基础设施可用时间</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46939">
            <w:pPr>
              <w:ind w:firstLine="0" w:firstLineChars="0"/>
              <w:jc w:val="center"/>
              <w:textAlignment w:val="center"/>
              <w:rPr>
                <w:rFonts w:hint="eastAsia" w:ascii="仿宋" w:hAnsi="仿宋" w:cs="仿宋"/>
              </w:rPr>
            </w:pPr>
            <w:r>
              <w:rPr>
                <w:rFonts w:hint="eastAsia" w:ascii="仿宋" w:hAnsi="仿宋" w:cs="仿宋"/>
                <w:lang w:bidi="ar"/>
              </w:rPr>
              <w:t>承诺年度基础设施稳定运行时间（8640小时）</w:t>
            </w:r>
          </w:p>
        </w:tc>
      </w:tr>
      <w:tr w14:paraId="6B26C924">
        <w:tblPrEx>
          <w:tblCellMar>
            <w:top w:w="0" w:type="dxa"/>
            <w:left w:w="108" w:type="dxa"/>
            <w:bottom w:w="0" w:type="dxa"/>
            <w:right w:w="108" w:type="dxa"/>
          </w:tblCellMar>
        </w:tblPrEx>
        <w:trPr>
          <w:trHeight w:val="600" w:hRule="atLeast"/>
        </w:trPr>
        <w:tc>
          <w:tcPr>
            <w:tcW w:w="496" w:type="pct"/>
            <w:vMerge w:val="continue"/>
            <w:tcBorders>
              <w:left w:val="single" w:color="000000" w:sz="4" w:space="0"/>
              <w:right w:val="single" w:color="000000" w:sz="4" w:space="0"/>
            </w:tcBorders>
            <w:shd w:val="clear" w:color="auto" w:fill="FFFFFF" w:themeFill="background1"/>
            <w:vAlign w:val="center"/>
          </w:tcPr>
          <w:p w14:paraId="63555FA5">
            <w:pPr>
              <w:ind w:firstLine="0" w:firstLineChars="0"/>
              <w:jc w:val="center"/>
              <w:rPr>
                <w:rFonts w:hint="eastAsia" w:ascii="仿宋" w:hAnsi="仿宋" w:cs="仿宋"/>
              </w:rPr>
            </w:pP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33ABF">
            <w:pPr>
              <w:ind w:firstLine="0" w:firstLineChars="0"/>
              <w:jc w:val="center"/>
              <w:rPr>
                <w:rFonts w:hint="eastAsia" w:ascii="仿宋" w:hAnsi="仿宋" w:cs="仿宋"/>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318A40">
            <w:pPr>
              <w:ind w:firstLine="0" w:firstLineChars="0"/>
              <w:jc w:val="center"/>
              <w:textAlignment w:val="center"/>
              <w:rPr>
                <w:rFonts w:hint="eastAsia" w:ascii="仿宋" w:hAnsi="仿宋" w:cs="仿宋"/>
              </w:rPr>
            </w:pPr>
            <w:r>
              <w:rPr>
                <w:rFonts w:ascii="仿宋" w:hAnsi="仿宋" w:cs="仿宋"/>
                <w:color w:val="000000"/>
                <w:lang w:bidi="ar"/>
              </w:rPr>
              <w:t>12</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91A36C">
            <w:pPr>
              <w:ind w:firstLine="0" w:firstLineChars="0"/>
              <w:textAlignment w:val="center"/>
              <w:rPr>
                <w:rFonts w:hint="eastAsia" w:ascii="仿宋" w:hAnsi="仿宋" w:cs="仿宋"/>
              </w:rPr>
            </w:pPr>
            <w:r>
              <w:rPr>
                <w:rFonts w:hint="eastAsia" w:ascii="仿宋" w:hAnsi="仿宋" w:cs="仿宋"/>
                <w:lang w:bidi="ar"/>
              </w:rPr>
              <w:t>安全运行时间</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374EE8">
            <w:pPr>
              <w:ind w:firstLine="0" w:firstLineChars="0"/>
              <w:jc w:val="center"/>
              <w:textAlignment w:val="center"/>
              <w:rPr>
                <w:rFonts w:hint="eastAsia" w:ascii="仿宋" w:hAnsi="仿宋" w:cs="仿宋"/>
              </w:rPr>
            </w:pPr>
            <w:r>
              <w:rPr>
                <w:rFonts w:hint="eastAsia" w:ascii="仿宋" w:hAnsi="仿宋" w:cs="仿宋"/>
                <w:lang w:bidi="ar"/>
              </w:rPr>
              <w:t>承诺年度系统无安全事故运行时间（360天）</w:t>
            </w:r>
          </w:p>
        </w:tc>
      </w:tr>
      <w:tr w14:paraId="360191E6">
        <w:tblPrEx>
          <w:tblCellMar>
            <w:top w:w="0" w:type="dxa"/>
            <w:left w:w="108" w:type="dxa"/>
            <w:bottom w:w="0" w:type="dxa"/>
            <w:right w:w="108" w:type="dxa"/>
          </w:tblCellMar>
        </w:tblPrEx>
        <w:trPr>
          <w:trHeight w:val="600" w:hRule="atLeast"/>
        </w:trPr>
        <w:tc>
          <w:tcPr>
            <w:tcW w:w="496" w:type="pct"/>
            <w:vMerge w:val="continue"/>
            <w:tcBorders>
              <w:left w:val="single" w:color="000000" w:sz="4" w:space="0"/>
              <w:bottom w:val="single" w:color="000000" w:sz="4" w:space="0"/>
              <w:right w:val="single" w:color="000000" w:sz="4" w:space="0"/>
            </w:tcBorders>
            <w:shd w:val="clear" w:color="auto" w:fill="FFFFFF" w:themeFill="background1"/>
            <w:vAlign w:val="center"/>
          </w:tcPr>
          <w:p w14:paraId="49FF5C1E">
            <w:pPr>
              <w:ind w:firstLine="0" w:firstLineChars="0"/>
              <w:jc w:val="center"/>
              <w:rPr>
                <w:rFonts w:hint="eastAsia" w:ascii="仿宋" w:hAnsi="仿宋" w:cs="仿宋"/>
              </w:rPr>
            </w:pPr>
          </w:p>
        </w:tc>
        <w:tc>
          <w:tcPr>
            <w:tcW w:w="8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7DD66B">
            <w:pPr>
              <w:ind w:firstLine="0" w:firstLineChars="0"/>
              <w:jc w:val="center"/>
              <w:textAlignment w:val="center"/>
              <w:rPr>
                <w:rFonts w:hint="eastAsia" w:ascii="仿宋" w:hAnsi="仿宋" w:cs="仿宋"/>
              </w:rPr>
            </w:pPr>
            <w:r>
              <w:rPr>
                <w:rFonts w:hint="eastAsia" w:ascii="仿宋" w:hAnsi="仿宋" w:cs="仿宋"/>
                <w:lang w:bidi="ar"/>
              </w:rPr>
              <w:t>成本指标</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97B9D0">
            <w:pPr>
              <w:ind w:firstLine="0" w:firstLineChars="0"/>
              <w:jc w:val="center"/>
              <w:textAlignment w:val="center"/>
              <w:rPr>
                <w:rFonts w:hint="eastAsia" w:ascii="仿宋" w:hAnsi="仿宋" w:cs="仿宋"/>
              </w:rPr>
            </w:pPr>
            <w:r>
              <w:rPr>
                <w:rFonts w:ascii="仿宋" w:hAnsi="仿宋" w:cs="仿宋"/>
                <w:color w:val="000000"/>
                <w:lang w:bidi="ar"/>
              </w:rPr>
              <w:t>13</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C02C77">
            <w:pPr>
              <w:ind w:firstLine="0" w:firstLineChars="0"/>
              <w:textAlignment w:val="center"/>
              <w:rPr>
                <w:rFonts w:hint="eastAsia" w:ascii="仿宋" w:hAnsi="仿宋" w:cs="仿宋"/>
              </w:rPr>
            </w:pPr>
            <w:r>
              <w:rPr>
                <w:rFonts w:hint="eastAsia" w:ascii="仿宋" w:hAnsi="仿宋" w:cs="仿宋"/>
                <w:lang w:bidi="ar"/>
              </w:rPr>
              <w:t>该系统提升工作效率</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76AB26">
            <w:pPr>
              <w:ind w:firstLine="0" w:firstLineChars="0"/>
              <w:jc w:val="center"/>
              <w:textAlignment w:val="center"/>
              <w:rPr>
                <w:rFonts w:hint="eastAsia" w:ascii="仿宋" w:hAnsi="仿宋" w:cs="仿宋"/>
              </w:rPr>
            </w:pPr>
            <w:r>
              <w:rPr>
                <w:rFonts w:hint="eastAsia" w:ascii="仿宋" w:hAnsi="仿宋" w:cs="仿宋"/>
                <w:lang w:bidi="ar"/>
              </w:rPr>
              <w:t>≥15%</w:t>
            </w:r>
          </w:p>
        </w:tc>
      </w:tr>
      <w:tr w14:paraId="33512CB9">
        <w:tblPrEx>
          <w:tblCellMar>
            <w:top w:w="0" w:type="dxa"/>
            <w:left w:w="108" w:type="dxa"/>
            <w:bottom w:w="0" w:type="dxa"/>
            <w:right w:w="108" w:type="dxa"/>
          </w:tblCellMar>
        </w:tblPrEx>
        <w:trPr>
          <w:trHeight w:val="600" w:hRule="atLeast"/>
        </w:trPr>
        <w:tc>
          <w:tcPr>
            <w:tcW w:w="49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6F327">
            <w:pPr>
              <w:ind w:firstLine="0" w:firstLineChars="0"/>
              <w:jc w:val="center"/>
              <w:textAlignment w:val="center"/>
              <w:rPr>
                <w:rFonts w:hint="eastAsia" w:ascii="仿宋" w:hAnsi="仿宋" w:cs="仿宋"/>
              </w:rPr>
            </w:pPr>
            <w:r>
              <w:rPr>
                <w:rFonts w:hint="eastAsia" w:ascii="仿宋" w:hAnsi="仿宋" w:cs="仿宋"/>
                <w:lang w:bidi="ar"/>
              </w:rPr>
              <w:t>项目效益指标</w:t>
            </w:r>
          </w:p>
        </w:tc>
        <w:tc>
          <w:tcPr>
            <w:tcW w:w="8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B0DC3">
            <w:pPr>
              <w:ind w:firstLine="0" w:firstLineChars="0"/>
              <w:jc w:val="center"/>
              <w:textAlignment w:val="center"/>
              <w:rPr>
                <w:rFonts w:hint="eastAsia" w:ascii="仿宋" w:hAnsi="仿宋" w:cs="仿宋"/>
              </w:rPr>
            </w:pPr>
            <w:r>
              <w:rPr>
                <w:rFonts w:hint="eastAsia" w:ascii="仿宋" w:hAnsi="仿宋" w:cs="仿宋"/>
                <w:lang w:bidi="ar"/>
              </w:rPr>
              <w:t>社会效益</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7BCF92">
            <w:pPr>
              <w:ind w:firstLine="0" w:firstLineChars="0"/>
              <w:jc w:val="center"/>
              <w:textAlignment w:val="center"/>
              <w:rPr>
                <w:rFonts w:hint="eastAsia" w:ascii="仿宋" w:hAnsi="仿宋" w:cs="仿宋"/>
              </w:rPr>
            </w:pPr>
            <w:r>
              <w:rPr>
                <w:rFonts w:ascii="仿宋" w:hAnsi="仿宋" w:cs="仿宋"/>
                <w:color w:val="000000"/>
                <w:lang w:bidi="ar"/>
              </w:rPr>
              <w:t>14</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D71D29">
            <w:pPr>
              <w:ind w:firstLine="0" w:firstLineChars="0"/>
              <w:textAlignment w:val="center"/>
              <w:rPr>
                <w:rFonts w:hint="eastAsia" w:ascii="仿宋" w:hAnsi="仿宋" w:cs="仿宋"/>
              </w:rPr>
            </w:pPr>
            <w:r>
              <w:rPr>
                <w:rFonts w:hint="eastAsia" w:ascii="仿宋" w:hAnsi="仿宋" w:cs="仿宋"/>
                <w:lang w:bidi="ar"/>
              </w:rPr>
              <w:t>本院使用覆盖率</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8670F6">
            <w:pPr>
              <w:ind w:firstLine="0" w:firstLineChars="0"/>
              <w:jc w:val="center"/>
              <w:textAlignment w:val="center"/>
              <w:rPr>
                <w:rFonts w:hint="eastAsia" w:ascii="仿宋" w:hAnsi="仿宋" w:cs="仿宋"/>
              </w:rPr>
            </w:pPr>
            <w:r>
              <w:rPr>
                <w:rFonts w:hint="eastAsia" w:ascii="仿宋" w:hAnsi="仿宋" w:cs="仿宋"/>
                <w:lang w:bidi="ar"/>
              </w:rPr>
              <w:t>≥10%</w:t>
            </w:r>
          </w:p>
        </w:tc>
      </w:tr>
      <w:tr w14:paraId="2D776AF3">
        <w:tblPrEx>
          <w:tblCellMar>
            <w:top w:w="0" w:type="dxa"/>
            <w:left w:w="108" w:type="dxa"/>
            <w:bottom w:w="0" w:type="dxa"/>
            <w:right w:w="108" w:type="dxa"/>
          </w:tblCellMar>
        </w:tblPrEx>
        <w:trPr>
          <w:trHeight w:val="600" w:hRule="atLeast"/>
        </w:trPr>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D84A1">
            <w:pPr>
              <w:ind w:firstLine="0" w:firstLineChars="0"/>
              <w:jc w:val="center"/>
              <w:rPr>
                <w:rFonts w:hint="eastAsia" w:ascii="仿宋" w:hAnsi="仿宋" w:cs="仿宋"/>
              </w:rPr>
            </w:pPr>
          </w:p>
        </w:tc>
        <w:tc>
          <w:tcPr>
            <w:tcW w:w="8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60303">
            <w:pPr>
              <w:ind w:firstLine="0" w:firstLineChars="0"/>
              <w:jc w:val="center"/>
              <w:textAlignment w:val="center"/>
              <w:rPr>
                <w:rFonts w:hint="eastAsia" w:ascii="仿宋" w:hAnsi="仿宋" w:cs="仿宋"/>
              </w:rPr>
            </w:pPr>
            <w:r>
              <w:rPr>
                <w:rFonts w:hint="eastAsia" w:ascii="仿宋" w:hAnsi="仿宋" w:cs="仿宋"/>
                <w:lang w:bidi="ar"/>
              </w:rPr>
              <w:t>可持续性</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EE3A7E">
            <w:pPr>
              <w:ind w:firstLine="0" w:firstLineChars="0"/>
              <w:jc w:val="center"/>
              <w:textAlignment w:val="center"/>
              <w:rPr>
                <w:rFonts w:hint="eastAsia" w:ascii="仿宋" w:hAnsi="仿宋" w:cs="仿宋"/>
              </w:rPr>
            </w:pPr>
            <w:r>
              <w:rPr>
                <w:rFonts w:ascii="仿宋" w:hAnsi="仿宋" w:cs="仿宋"/>
                <w:color w:val="000000"/>
                <w:lang w:bidi="ar"/>
              </w:rPr>
              <w:t>15</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6DAA7">
            <w:pPr>
              <w:ind w:firstLine="0" w:firstLineChars="0"/>
              <w:textAlignment w:val="center"/>
              <w:rPr>
                <w:rFonts w:hint="eastAsia" w:ascii="仿宋" w:hAnsi="仿宋" w:cs="仿宋"/>
              </w:rPr>
            </w:pPr>
            <w:r>
              <w:rPr>
                <w:rFonts w:hint="eastAsia" w:ascii="仿宋" w:hAnsi="仿宋" w:cs="仿宋"/>
                <w:lang w:bidi="ar"/>
              </w:rPr>
              <w:t>系统使用年限</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3EFB35">
            <w:pPr>
              <w:ind w:firstLine="0" w:firstLineChars="0"/>
              <w:jc w:val="center"/>
              <w:textAlignment w:val="center"/>
              <w:rPr>
                <w:rFonts w:hint="eastAsia" w:ascii="仿宋" w:hAnsi="仿宋" w:cs="仿宋"/>
              </w:rPr>
            </w:pPr>
            <w:r>
              <w:rPr>
                <w:rFonts w:hint="eastAsia" w:ascii="仿宋" w:hAnsi="仿宋" w:cs="仿宋"/>
                <w:lang w:bidi="ar"/>
              </w:rPr>
              <w:t>≥3年</w:t>
            </w:r>
          </w:p>
        </w:tc>
      </w:tr>
      <w:tr w14:paraId="12F8264E">
        <w:tblPrEx>
          <w:tblCellMar>
            <w:top w:w="0" w:type="dxa"/>
            <w:left w:w="108" w:type="dxa"/>
            <w:bottom w:w="0" w:type="dxa"/>
            <w:right w:w="108" w:type="dxa"/>
          </w:tblCellMar>
        </w:tblPrEx>
        <w:trPr>
          <w:trHeight w:val="1350" w:hRule="atLeast"/>
        </w:trPr>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4EB914">
            <w:pPr>
              <w:ind w:firstLine="0" w:firstLineChars="0"/>
              <w:jc w:val="center"/>
              <w:textAlignment w:val="center"/>
              <w:rPr>
                <w:rFonts w:hint="eastAsia" w:ascii="仿宋" w:hAnsi="仿宋" w:cs="仿宋"/>
              </w:rPr>
            </w:pPr>
            <w:r>
              <w:rPr>
                <w:rFonts w:hint="eastAsia" w:ascii="仿宋" w:hAnsi="仿宋" w:cs="仿宋"/>
                <w:lang w:bidi="ar"/>
              </w:rPr>
              <w:t>满意度指标</w:t>
            </w:r>
          </w:p>
        </w:tc>
        <w:tc>
          <w:tcPr>
            <w:tcW w:w="86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F1513">
            <w:pPr>
              <w:ind w:firstLine="0" w:firstLineChars="0"/>
              <w:jc w:val="center"/>
              <w:textAlignment w:val="center"/>
              <w:rPr>
                <w:rFonts w:hint="eastAsia" w:ascii="仿宋" w:hAnsi="仿宋" w:cs="仿宋"/>
              </w:rPr>
            </w:pPr>
            <w:r>
              <w:rPr>
                <w:rFonts w:hint="eastAsia" w:ascii="仿宋" w:hAnsi="仿宋" w:cs="仿宋"/>
                <w:lang w:bidi="ar"/>
              </w:rPr>
              <w:t>服务对象满意度指标</w:t>
            </w:r>
          </w:p>
        </w:tc>
        <w:tc>
          <w:tcPr>
            <w:tcW w:w="3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784775">
            <w:pPr>
              <w:ind w:firstLine="0" w:firstLineChars="0"/>
              <w:jc w:val="center"/>
              <w:textAlignment w:val="center"/>
              <w:rPr>
                <w:rFonts w:hint="eastAsia" w:ascii="仿宋" w:hAnsi="仿宋" w:cs="仿宋"/>
              </w:rPr>
            </w:pPr>
            <w:r>
              <w:rPr>
                <w:rFonts w:ascii="仿宋" w:hAnsi="仿宋" w:cs="仿宋"/>
                <w:color w:val="000000"/>
                <w:lang w:bidi="ar"/>
              </w:rPr>
              <w:t>16</w:t>
            </w:r>
          </w:p>
        </w:tc>
        <w:tc>
          <w:tcPr>
            <w:tcW w:w="234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A06E8">
            <w:pPr>
              <w:ind w:firstLine="0" w:firstLineChars="0"/>
              <w:textAlignment w:val="center"/>
              <w:rPr>
                <w:rFonts w:hint="eastAsia" w:ascii="仿宋" w:hAnsi="仿宋" w:cs="仿宋"/>
              </w:rPr>
            </w:pPr>
            <w:r>
              <w:rPr>
                <w:rFonts w:hint="eastAsia" w:ascii="仿宋" w:hAnsi="仿宋" w:cs="仿宋"/>
                <w:lang w:bidi="ar"/>
              </w:rPr>
              <w:t>用户满意度</w:t>
            </w:r>
          </w:p>
        </w:tc>
        <w:tc>
          <w:tcPr>
            <w:tcW w:w="9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C7BCFC">
            <w:pPr>
              <w:ind w:firstLine="0" w:firstLineChars="0"/>
              <w:jc w:val="center"/>
              <w:textAlignment w:val="center"/>
              <w:rPr>
                <w:rFonts w:hint="eastAsia" w:ascii="仿宋" w:hAnsi="仿宋" w:cs="仿宋"/>
              </w:rPr>
            </w:pPr>
            <w:r>
              <w:rPr>
                <w:rFonts w:hint="eastAsia" w:ascii="仿宋" w:hAnsi="仿宋" w:cs="仿宋"/>
                <w:lang w:bidi="ar"/>
              </w:rPr>
              <w:t>≥90%</w:t>
            </w:r>
          </w:p>
        </w:tc>
      </w:tr>
    </w:tbl>
    <w:p w14:paraId="183BB451">
      <w:pPr>
        <w:rPr>
          <w:rFonts w:hint="eastAsia"/>
          <w:bCs/>
        </w:rPr>
      </w:pPr>
    </w:p>
    <w:p w14:paraId="616C00A3">
      <w:pPr>
        <w:pStyle w:val="2"/>
        <w:rPr>
          <w:rFonts w:hint="eastAsia"/>
        </w:rPr>
      </w:pPr>
      <w:bookmarkStart w:id="12" w:name="_Toc47536304"/>
      <w:bookmarkEnd w:id="12"/>
      <w:bookmarkStart w:id="13" w:name="_Toc47536676"/>
      <w:bookmarkEnd w:id="13"/>
      <w:bookmarkStart w:id="14" w:name="_Toc47539102"/>
      <w:bookmarkEnd w:id="14"/>
      <w:bookmarkStart w:id="15" w:name="_Toc47537166"/>
      <w:bookmarkEnd w:id="15"/>
      <w:bookmarkStart w:id="16" w:name="_Toc47533288"/>
      <w:bookmarkEnd w:id="16"/>
      <w:bookmarkStart w:id="17" w:name="_Toc47532923"/>
      <w:bookmarkEnd w:id="17"/>
      <w:r>
        <w:rPr>
          <w:rFonts w:hint="eastAsia"/>
        </w:rPr>
        <w:t>项目建设内容</w:t>
      </w:r>
    </w:p>
    <w:p w14:paraId="504A45DA">
      <w:pPr>
        <w:pStyle w:val="3"/>
        <w:numPr>
          <w:ilvl w:val="0"/>
          <w:numId w:val="0"/>
        </w:numPr>
        <w:ind w:left="1135" w:hanging="567"/>
        <w:rPr>
          <w:rFonts w:hint="eastAsia"/>
          <w:sz w:val="24"/>
          <w:szCs w:val="24"/>
        </w:rPr>
      </w:pPr>
      <w:r>
        <w:rPr>
          <w:rFonts w:hint="eastAsia"/>
          <w:sz w:val="24"/>
          <w:szCs w:val="24"/>
        </w:rPr>
        <w:t>1、软件开发清单</w:t>
      </w:r>
    </w:p>
    <w:p w14:paraId="3ED9715B">
      <w:pPr>
        <w:ind w:left="482" w:firstLine="0" w:firstLineChars="0"/>
        <w:outlineLvl w:val="2"/>
        <w:rPr>
          <w:rFonts w:hint="eastAsia" w:cs="仿宋"/>
          <w:b/>
          <w:bCs/>
        </w:rPr>
      </w:pPr>
      <w:bookmarkStart w:id="18" w:name="_Hlk181717532"/>
      <w:r>
        <w:rPr>
          <w:rFonts w:hint="eastAsia" w:cs="仿宋"/>
          <w:b/>
          <w:bCs/>
        </w:rPr>
        <w:t>1)</w:t>
      </w:r>
      <w:r>
        <w:rPr>
          <w:rFonts w:hint="eastAsia"/>
        </w:rPr>
        <w:t xml:space="preserve"> </w:t>
      </w:r>
      <w:bookmarkStart w:id="19" w:name="_Hlk181718698"/>
      <w:r>
        <w:rPr>
          <w:rFonts w:hint="eastAsia" w:cs="仿宋"/>
          <w:b/>
          <w:bCs/>
        </w:rPr>
        <w:t>诉讼服务多渠道标准化</w:t>
      </w:r>
      <w:bookmarkEnd w:id="19"/>
    </w:p>
    <w:bookmarkEnd w:id="18"/>
    <w:tbl>
      <w:tblPr>
        <w:tblStyle w:val="7"/>
        <w:tblW w:w="5000" w:type="pct"/>
        <w:jc w:val="center"/>
        <w:tblLayout w:type="autofit"/>
        <w:tblCellMar>
          <w:top w:w="0" w:type="dxa"/>
          <w:left w:w="108" w:type="dxa"/>
          <w:bottom w:w="0" w:type="dxa"/>
          <w:right w:w="108" w:type="dxa"/>
        </w:tblCellMar>
      </w:tblPr>
      <w:tblGrid>
        <w:gridCol w:w="658"/>
        <w:gridCol w:w="1542"/>
        <w:gridCol w:w="1876"/>
        <w:gridCol w:w="4452"/>
      </w:tblGrid>
      <w:tr w14:paraId="13013A44">
        <w:tblPrEx>
          <w:tblCellMar>
            <w:top w:w="0" w:type="dxa"/>
            <w:left w:w="108" w:type="dxa"/>
            <w:bottom w:w="0" w:type="dxa"/>
            <w:right w:w="108" w:type="dxa"/>
          </w:tblCellMar>
        </w:tblPrEx>
        <w:trPr>
          <w:trHeight w:val="270" w:hRule="atLeast"/>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79F2E45F">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14:paraId="76301428">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100" w:type="pct"/>
            <w:tcBorders>
              <w:top w:val="single" w:color="auto" w:sz="4" w:space="0"/>
              <w:left w:val="nil"/>
              <w:bottom w:val="single" w:color="auto" w:sz="4" w:space="0"/>
              <w:right w:val="single" w:color="auto" w:sz="4" w:space="0"/>
            </w:tcBorders>
            <w:shd w:val="clear" w:color="000000" w:fill="F3F8FC"/>
            <w:noWrap/>
            <w:vAlign w:val="center"/>
          </w:tcPr>
          <w:p w14:paraId="2D824848">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610" w:type="pct"/>
            <w:tcBorders>
              <w:top w:val="single" w:color="auto" w:sz="4" w:space="0"/>
              <w:left w:val="nil"/>
              <w:bottom w:val="single" w:color="auto" w:sz="4" w:space="0"/>
              <w:right w:val="single" w:color="auto" w:sz="4" w:space="0"/>
            </w:tcBorders>
            <w:shd w:val="clear" w:color="000000" w:fill="F3F8FC"/>
          </w:tcPr>
          <w:p w14:paraId="7A1BAE78">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6FD7472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125022B">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3D0FFB0">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3EDFB80">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随申办“诉讼服务”专区适配改造对接-随申办用户体系及用户认证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BD61B04">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1、用户首次使用“诉讼服务专区”时，调用“一网通办”、“随申办”统一身份认证模块能力，实现人员身份验证，核验通过后即可进行后续诉讼业务办理。</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2、对接微信小程序用户认证体系，实现用户可使用微信小程序“随申办”完成身份验证后，可进行后续诉讼业务办理</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3、对接支付宝小程序用户认证体系，实现用户可使用支付宝小程序“随申办”完成身份验证后，可进行后续诉讼业务办理</w:t>
            </w:r>
          </w:p>
        </w:tc>
      </w:tr>
      <w:tr w14:paraId="7B96754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0D1E08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E9EDBBA">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F605C1E">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随申办“诉讼服务”专区适配改造-页面适配</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EBAB3F5">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1、实现在“一网通办”、“随申办-市民云”“随申办-企业云”建设“诉讼服务”专区</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2、依照随申办接入技术标准，对专区内的如首页、网上立案、调解、材料递交、联系法官、诉讼缴费、开庭公告等页面进行适配改造。</w:t>
            </w:r>
          </w:p>
        </w:tc>
      </w:tr>
      <w:tr w14:paraId="183E8E63">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459AB8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F15A5D0">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C872BF9">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随申办“诉讼服务”专区适配改造对接-消息推送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BC0A115">
            <w:pPr>
              <w:widowControl/>
              <w:ind w:firstLine="440"/>
              <w:jc w:val="left"/>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对接诉讼服务场所、法院办案系统各类业务系统，提供业务集成消息推送服务，提示或告知当事人、律师所需各类信息。</w:t>
            </w:r>
          </w:p>
          <w:p w14:paraId="68AEE2C5">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1、提供标准消息推送服务接口，各法院可根据各自的诉讼服务流程向当事人、律师推送相应的提醒信息与办理信息</w:t>
            </w:r>
            <w:r>
              <w:rPr>
                <w:rFonts w:hint="eastAsia" w:cs="宋体" w:asciiTheme="minorEastAsia" w:hAnsiTheme="minorEastAsia" w:eastAsiaTheme="minorEastAsia"/>
                <w:color w:val="000000"/>
                <w:kern w:val="0"/>
                <w:sz w:val="22"/>
                <w:szCs w:val="22"/>
              </w:rPr>
              <w:br w:type="textWrapping"/>
            </w:r>
            <w:r>
              <w:rPr>
                <w:rFonts w:hint="eastAsia" w:cs="宋体" w:asciiTheme="minorEastAsia" w:hAnsiTheme="minorEastAsia" w:eastAsiaTheme="minorEastAsia"/>
                <w:color w:val="000000"/>
                <w:kern w:val="0"/>
                <w:sz w:val="22"/>
                <w:szCs w:val="22"/>
              </w:rPr>
              <w:t>2、各类业务通过调用消息推送接口，与随申办消息提醒对接，方便群众通过随申办接收业务办理提醒。</w:t>
            </w:r>
          </w:p>
        </w:tc>
      </w:tr>
      <w:tr w14:paraId="4CE3E81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2E9383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81F78EB">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A6E9368">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随申办“诉讼服务”专区适配改造对接-与“随申办”功能对接</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F19D3EC">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与“一网通办”、“随申办-市民云”和“随申办-企业云”中“我的”功能对接，实现用户可在随申办查看本人的预约信息、诉讼费缴纳票据信息、公开信息等。</w:t>
            </w:r>
          </w:p>
        </w:tc>
      </w:tr>
      <w:tr w14:paraId="166B5A3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6ABD6F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9620E08">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1C11629">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与社区服务受理中心“一网通办”终端适配改造对接</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77BE0C9">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与“一网通办”终端身份认证体系对接，已通过认证核验用户进入诉服专区时无需再次认证。支持律师、诉讼当事人及其它参与人分角色登录诉讼服务。支持已登录账户超时未操作自动退出账户。对需接入终端的查询类、办理类服务功能依据“一网通办”通用页面设计标准进行页适配改造。通过通用标准外设接口与终端相关外设如摄像头、麦克风等进行对接。</w:t>
            </w:r>
          </w:p>
        </w:tc>
      </w:tr>
      <w:tr w14:paraId="3F99C34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F70964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D41A7F1">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AD477FB">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诉讼服务密码应用功能模块改造-用户身份认证机制模块</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40BB133">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用户身份认证机制模块，调用云平台提供的安全认证网关服务接口，并在服务端部署站点证书，实现对PC端和服务端身份的鉴别。该项改造涉及诉讼服务网上立案、申请再审、材料递交、核实代理关系、网上阅卷、联系法官、用户登录7类应用场景。</w:t>
            </w:r>
          </w:p>
        </w:tc>
      </w:tr>
      <w:tr w14:paraId="1DC62E3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CD60922">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A2933BE">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9B2EA6D">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诉讼服务密码应用功能模块改造-业务重要数据安全传输模块</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FD8085F">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诉讼服务系统重要数据安全传输模块，运用HTTPS协议，通过站点证书、安全认证网关服务，对客户端、服务端的数据访问通道进行加密，实现端到端的数据密文通信，并对传输过程中的数据进行摘要和签名，实现传输数据的完整性保护。</w:t>
            </w:r>
          </w:p>
        </w:tc>
      </w:tr>
      <w:tr w14:paraId="5421364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6E861E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BFFC36A">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DF888B6">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诉讼服务密码应用功能模块改造-服务器虚拟机设备日志完整性保护模块</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2A1615F">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诉讼服务系统服务器虚拟机设备日志完整性保护模块，调用数据完整性保护相关接口，依托服务器密码机的SM2、SM3算法的签名验签服务或基于国密算法的消息鉴别码，实现应用服务器虚拟机、数据库服务器虚拟机等设备日志的完整性保护。</w:t>
            </w:r>
          </w:p>
        </w:tc>
      </w:tr>
      <w:tr w14:paraId="384E1A2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F9ACFB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11EEFF9">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AE91DAA">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诉讼服务密码应用功能模块改造-访问控制信息完整性保护模块</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C23E67C">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诉讼服务系统访问控制信息完整性保护模块，基于服务器密码机，调用互联网基础数据安全和隐私保护已建的基本功能，并使用SM2、SM3算法的签名验签服务或基于国密算法的消息鉴别码，以保护系统访问控制信息的完整性。</w:t>
            </w:r>
          </w:p>
        </w:tc>
      </w:tr>
      <w:tr w14:paraId="6A01A65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74F4FB9">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8B22D19">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678D718">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诉讼服务密码应用功能模块改造-重要可执行程序签名验签模块</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4E0AAB4">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开发诉讼服务系统重要可执行程序签名验签模块，调用签名验签接口，依托服务器密码机中的SM2国密数字签名算法和验证算法，实现重要可执行程序的完整性、来源真实性保护，防止应用资源被非授权用户篡改。</w:t>
            </w:r>
          </w:p>
        </w:tc>
      </w:tr>
      <w:tr w14:paraId="2ACD7FA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53BBE89">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0095B06">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1F5B311">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诉讼服务密码应用功能模块改造-用户访问控制信息签名验签</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9E394B9">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开发诉讼服务系统用户访问控制信息的签名验签，调用签名验签接口，依托服务器密码机中的SM2国密数字签名算法和验证算法，确保系统应用用户访问权限控制列表的完整性，防止应用资源被非授权用户篡改。</w:t>
            </w:r>
          </w:p>
        </w:tc>
      </w:tr>
      <w:tr w14:paraId="4EACD9C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8A7330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15CD1E8">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0ED86A0">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诉讼服务密码应用功能模块改造-应用系统重要数据（结构化）加解密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3527DB1">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并实现诉讼服务系统重要结构化数据加解密，调用互联网基础数据安全和隐私保护已建的结构化数据机密性保护功能，依托服务器密码机的国密SM4算法，确保诉讼服务系统中用户身份信息（用户登录口令）、当事人银行帐号、地址、电话信息等结构化数据的机密性。</w:t>
            </w:r>
          </w:p>
        </w:tc>
      </w:tr>
      <w:tr w14:paraId="4C113CC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A2EA09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9D28F0D">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DC6BE4B">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诉讼服务密码应用功能模块改造-应用系统重要数据（非结构化）加解密模块</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C7EEB2F">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并实现诉讼服务系统重要非结构化数据加解密，调用已建的非结构化数据机密性保护功能（依托服务器密码机的国密算法），或调用加密存储服务接口，实现诉讼服务应用中起诉状、答辩状、证据材料、诉讼费缴纳通知书等非结构化数据的存储机密性保护。</w:t>
            </w:r>
          </w:p>
        </w:tc>
      </w:tr>
      <w:tr w14:paraId="2C50D88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C5625F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FFB55FD">
            <w:pPr>
              <w:widowControl/>
              <w:spacing w:line="240" w:lineRule="auto"/>
              <w:ind w:firstLine="0" w:firstLineChars="0"/>
              <w:jc w:val="center"/>
              <w:rPr>
                <w:rFonts w:ascii="Tahoma" w:hAnsi="Tahoma" w:cs="Tahoma"/>
                <w:color w:val="000000"/>
                <w:kern w:val="0"/>
                <w:sz w:val="22"/>
                <w:szCs w:val="22"/>
              </w:rPr>
            </w:pPr>
            <w:r>
              <w:rPr>
                <w:rFonts w:hint="eastAsia" w:ascii="Tahoma" w:hAnsi="Tahoma" w:cs="Tahoma"/>
                <w:color w:val="000000"/>
                <w:kern w:val="0"/>
                <w:sz w:val="22"/>
                <w:szCs w:val="22"/>
              </w:rPr>
              <w:t>诉讼服务多渠道标准化</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81E9BE9">
            <w:pPr>
              <w:widowControl/>
              <w:spacing w:line="240" w:lineRule="auto"/>
              <w:ind w:firstLine="0" w:firstLineChars="0"/>
              <w:jc w:val="center"/>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诉讼服务密码应用功能模块改造-应用系统重要数据签名验签模块</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94FFAAF">
            <w:pPr>
              <w:widowControl/>
              <w:spacing w:line="240" w:lineRule="auto"/>
              <w:ind w:firstLine="0" w:firstLineChars="0"/>
              <w:jc w:val="left"/>
              <w:rPr>
                <w:rFonts w:ascii="Tahoma" w:hAnsi="Tahoma" w:cs="Tahoma"/>
                <w:color w:val="000000"/>
                <w:kern w:val="0"/>
                <w:sz w:val="22"/>
                <w:szCs w:val="22"/>
              </w:rPr>
            </w:pPr>
            <w:r>
              <w:rPr>
                <w:rFonts w:hint="eastAsia" w:cs="宋体" w:asciiTheme="minorEastAsia" w:hAnsiTheme="minorEastAsia" w:eastAsiaTheme="minorEastAsia"/>
                <w:color w:val="000000"/>
                <w:kern w:val="0"/>
                <w:sz w:val="22"/>
                <w:szCs w:val="22"/>
              </w:rPr>
              <w:t>开发并实现诉讼服务系统重要数据签名验签，调用签名验签接口，依托服务器密码机中的SM2国密数字签名算法和验证算法，实现登录用户身份鉴别数据、业务日志等重要数据的存储完整性保护。</w:t>
            </w:r>
          </w:p>
        </w:tc>
      </w:tr>
    </w:tbl>
    <w:p w14:paraId="5DE15496">
      <w:pPr>
        <w:rPr>
          <w:rFonts w:hint="eastAsia"/>
        </w:rPr>
      </w:pPr>
      <w:bookmarkStart w:id="20" w:name="_Hlk181717603"/>
    </w:p>
    <w:p w14:paraId="494023D4">
      <w:pPr>
        <w:ind w:left="482" w:firstLine="0" w:firstLineChars="0"/>
        <w:outlineLvl w:val="2"/>
        <w:rPr>
          <w:rFonts w:hint="eastAsia" w:cs="仿宋"/>
          <w:b/>
          <w:bCs/>
        </w:rPr>
      </w:pPr>
      <w:r>
        <w:rPr>
          <w:rFonts w:hint="eastAsia" w:cs="仿宋"/>
          <w:b/>
          <w:bCs/>
        </w:rPr>
        <w:t>2)涉外商事解纷专业化服务</w:t>
      </w:r>
      <w:bookmarkEnd w:id="20"/>
    </w:p>
    <w:tbl>
      <w:tblPr>
        <w:tblStyle w:val="7"/>
        <w:tblW w:w="5000" w:type="pct"/>
        <w:jc w:val="center"/>
        <w:tblLayout w:type="autofit"/>
        <w:tblCellMar>
          <w:top w:w="0" w:type="dxa"/>
          <w:left w:w="108" w:type="dxa"/>
          <w:bottom w:w="0" w:type="dxa"/>
          <w:right w:w="108" w:type="dxa"/>
        </w:tblCellMar>
      </w:tblPr>
      <w:tblGrid>
        <w:gridCol w:w="658"/>
        <w:gridCol w:w="1542"/>
        <w:gridCol w:w="1876"/>
        <w:gridCol w:w="4452"/>
      </w:tblGrid>
      <w:tr w14:paraId="2FE7005E">
        <w:tblPrEx>
          <w:tblCellMar>
            <w:top w:w="0" w:type="dxa"/>
            <w:left w:w="108" w:type="dxa"/>
            <w:bottom w:w="0" w:type="dxa"/>
            <w:right w:w="108" w:type="dxa"/>
          </w:tblCellMar>
        </w:tblPrEx>
        <w:trPr>
          <w:trHeight w:val="270" w:hRule="atLeast"/>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215B2ADF">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14:paraId="41885E64">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100" w:type="pct"/>
            <w:tcBorders>
              <w:top w:val="single" w:color="auto" w:sz="4" w:space="0"/>
              <w:left w:val="nil"/>
              <w:bottom w:val="single" w:color="auto" w:sz="4" w:space="0"/>
              <w:right w:val="single" w:color="auto" w:sz="4" w:space="0"/>
            </w:tcBorders>
            <w:shd w:val="clear" w:color="000000" w:fill="F3F8FC"/>
            <w:noWrap/>
            <w:vAlign w:val="center"/>
          </w:tcPr>
          <w:p w14:paraId="2799F0B4">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610" w:type="pct"/>
            <w:tcBorders>
              <w:top w:val="single" w:color="auto" w:sz="4" w:space="0"/>
              <w:left w:val="nil"/>
              <w:bottom w:val="single" w:color="auto" w:sz="4" w:space="0"/>
              <w:right w:val="single" w:color="auto" w:sz="4" w:space="0"/>
            </w:tcBorders>
            <w:shd w:val="clear" w:color="000000" w:fill="F3F8FC"/>
          </w:tcPr>
          <w:p w14:paraId="57B40314">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3A84C8B3">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C05D16B">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63FC35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7360021">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涉外商事解纷一站式-系统门户</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DAFC0D0">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在上海法院诉讼服务网新增“涉外商事解纷一站式”入口，在系统首页通过导航栏形式，向用户提供点击查看各服务栏目的操作，包括：诉讼服务、调解服务、仲裁服务、司法辅助服务、法律资源。提供轮动播放窗口滚动向用户展示诉讼服务、调解服务、仲裁服务简介及简要流程。并提供入口按钮，引导用户点击打开纠纷登记、我的案件、门户中英文切换、解纷小助手等。</w:t>
            </w:r>
          </w:p>
        </w:tc>
      </w:tr>
      <w:tr w14:paraId="4FD3D93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3144C6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CC3C8F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E005788">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涉外商事解纷一站式-双语服务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E2AED05">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涉外商事案件存在国外用户使用的情况，提供中英文切换功能，按照中文网站样式不变的原则，提供至少20个重点页面及流程图英文版展示，页面中所有功能按钮文字描述、业务介绍、业务说明，规范解释等可支持中英文版切换展示。</w:t>
            </w:r>
          </w:p>
        </w:tc>
      </w:tr>
      <w:tr w14:paraId="557B100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D42064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8F6A03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86D2516">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涉外商事解纷一站式-纠纷智能引导-纠纷信息登记</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4B60218">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在纠纷登记部分，复用上海法院诉讼服务网“网上立案”模块和“多元解纷”登记案件功能，整体页面风格与前端页面设计与以上两部分保持一致，提供纠纷登记须知、当事人信息登记、请求信息登记、事实与理由登记、证据材料上传、预览与提交等页面，向用户提供填写登记纠纷信息及上传相关证据材料的功能。</w:t>
            </w:r>
          </w:p>
        </w:tc>
      </w:tr>
      <w:tr w14:paraId="4D1DA60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D220CE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E5583C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1AE7524">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涉外商事解纷一站式-纠纷智能引导-纠纷信息校验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CD0B0DB">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用户登记填写的需求规范，向用户提供纠纷信息校验功能，根据实际填写情况，对名称、证件号码、联系方式、纠纷请求、事实与理由等信息项的提供必要性校验规则，提交时如有遗漏，模块对对应信息项进行高亮提醒。对证件号码格式、材料上传要求等内容提供准确性校验规则，辅助引导用户完整准确地提交纠纷信息。</w:t>
            </w:r>
          </w:p>
        </w:tc>
      </w:tr>
      <w:tr w14:paraId="2DF0D72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577975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7F69A6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A8F7163">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涉外商事解纷一站式-纠纷智能引导-纠纷特征识别分析</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BFDAD5E">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纠纷登记环节用户提交的纠纷信息，通过对当事人信息、纠纷请求、事实与理由、证据材料等关键要素提取，对纠纷中的法律关系进行分析概括，通过对不同案由的司法解释进行匹配，对目标纠纷给出初步纠纷类型判断，并辅以对应司法解释介绍。</w:t>
            </w:r>
          </w:p>
        </w:tc>
      </w:tr>
      <w:tr w14:paraId="0558186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B7AAB2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C0451D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CC506DD">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涉外商事解纷一站式-纠纷智能引导-类案识别分析</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DA53110">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纠纷登记环节用户提交的纠纷信息，以及用户提出涉及纠纷案情的问题，基于人民法院裁判生效的案件，通过对目标纠纷案情的基本事实、争议焦点、法律适用问题等进行提取、类比、推理，运用检索条件在案例库海量案例中找到与目标纠纷在上述三个维度上具有相似性的类案。</w:t>
            </w:r>
            <w:r>
              <w:rPr>
                <w:rFonts w:hint="eastAsia" w:cs="宋体"/>
                <w:color w:val="000000"/>
                <w:kern w:val="0"/>
                <w:sz w:val="22"/>
                <w:szCs w:val="22"/>
              </w:rPr>
              <w:br w:type="textWrapping"/>
            </w:r>
            <w:r>
              <w:rPr>
                <w:rFonts w:hint="eastAsia" w:cs="宋体"/>
                <w:color w:val="000000"/>
                <w:kern w:val="0"/>
                <w:sz w:val="22"/>
                <w:szCs w:val="22"/>
              </w:rPr>
              <w:t>基于检索到的相似性类案全部结果，设置优先级筛选条件，将匹配度高、效力高的案例推送给用户参考。优先筛选条件包括：匹配度、法院层级、裁判年份、专业领域、地区区域、当事人类型、案件标的等。</w:t>
            </w:r>
          </w:p>
        </w:tc>
      </w:tr>
      <w:tr w14:paraId="606357E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FAD800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E15B7D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23A22B3">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涉外商事解纷一站式-纠纷智能引导-历史类案分析</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B51E8F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纠纷登记环节用户提交的纠纷信息，通过纠纷特征识别分析环节得到的纠纷类别，在诉讼、调解、仲裁历史案件库中检索相同案由案件，结合统计口径规则，统计分析得出三种解纷途径下的平均纠纷解决时长、平均纠纷解决费用、历史解纷途径占比，将结果数据推送至纠纷分析结果展示。</w:t>
            </w:r>
          </w:p>
        </w:tc>
      </w:tr>
      <w:tr w14:paraId="313A239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E30E3C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49FE95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5C6AAF5">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涉外商事解纷一站式-纠纷智能引导-解纷成本分析</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1994D60">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基于纠纷特征识别分析、类案识别分析、历史类案分析多个模块分析计算，结合三种解纷途径，向用户展示纠纷分析结果，包括：纠纷类型、纠纷类型司法解释、平均纠纷解决时长、平均纠纷解决费用、历史选择解纷途径占比、历史类案详情等，便于用户了解自身提交的纠纷案情，为用户在纠纷引导分流环节选择解纷途径提供数据参考。</w:t>
            </w:r>
          </w:p>
        </w:tc>
      </w:tr>
      <w:tr w14:paraId="3868D41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E73DE7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E29BB0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1F86F1C">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涉外商事解纷一站式-纠纷智能引导-纠纷引导分流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2CB32CE">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基于纠纷信息登记环节提交的纠纷信息，结合纠纷分析结果数据及相关法律规定，通过智能分析，在页面中以推荐标签及推荐理由的形式，向用户推荐引导选择相对适合其纠纷案情的解纷途径供用户参考，并告知后续纠纷提交后，如何查看纠纷及进展。</w:t>
            </w:r>
          </w:p>
        </w:tc>
      </w:tr>
      <w:tr w14:paraId="68802AB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89C68B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36B0F5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D37B5E0">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涉外商事解纷一站式-纠纷智能引导-辅助推荐受理机构</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D491A3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用户选择完成解纷途径后，根据纠纷信息及选择的解纷途径，智能辅助用户选择该解纷途径的受理机构，如：法院管辖（诉讼）、商事调解（调解）等。向用户提供选择受理机构功能，支持用户自由申请选择，并根据用户的选择结果，向对应解纷途径受理机构推送纠纷信息数据。</w:t>
            </w:r>
          </w:p>
        </w:tc>
      </w:tr>
      <w:tr w14:paraId="7503E48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7F2994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0EFE00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D71A00B">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涉外商事解纷一站式-纠纷智能引导-纠纷数据对接</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B158E61">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与上海法院诉讼服务网“网上立案”模块双向对接，与上海法院诉讼服务网“多元解纷”模块双向对接，将用户选择诉讼、调解的纠纷信息数据推送至对应模块的同时，获取用户在上述两模块的信息数据更新、案件状态更新等，实现纠纷信息及纠纷状态时效性同步。</w:t>
            </w:r>
          </w:p>
        </w:tc>
      </w:tr>
      <w:tr w14:paraId="7F18A03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163A96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7658B8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DA6E16E">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涉外商事解纷一站式-一站式纠纷解决服务-诉讼服务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62330E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双向对接“上海法院诉讼服务网”，操作时实时同步用户权限数据，实现用户免登陆直接跳转至诉讼服务网，根据自身纠纷案情需求使用诉讼服务各项功能模块。</w:t>
            </w:r>
          </w:p>
        </w:tc>
      </w:tr>
      <w:tr w14:paraId="1249F02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EC7D0B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2A01D0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385A5AD">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涉外商事解纷一站式-一站式纠纷解决服务-调解服务-调解流程指引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931B06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提供调解流程指引入口，实现用户点击跳转一站式多元解纷平台中的解纷流程模块，提供诉调对接业务流程图线上展示，用户可进行查看，以了解纠纷解决机制的具体流程及节点指引。</w:t>
            </w:r>
          </w:p>
        </w:tc>
      </w:tr>
      <w:tr w14:paraId="152265B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98F0EF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03DEAC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265A8D8">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涉外商事解纷一站式-一站式纠纷解决服务-调解服务-调解法律法规</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10B2F4D">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提供调解法律法规入口，实现用户点击跳转一站式多元解纷平台的辅助工具模块中法律法规功能，用户可查看与调解相关的法律法规，通过“法律法规数据库”查询更多相关规定。</w:t>
            </w:r>
          </w:p>
        </w:tc>
      </w:tr>
      <w:tr w14:paraId="4250595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2C4E9D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74C10A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C26F8CA">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涉外商事解纷一站式-一站式纠纷解决服务-调解服务-调解文书模板</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E231103">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提供调解文书模板入口，实现用户点击跳转一站式多元解纷平台的辅助工具模块中文书样式功能，用户可根据自身需求，获取调解相关的各种法律文书模板，例如申请书、起诉状等。</w:t>
            </w:r>
          </w:p>
        </w:tc>
      </w:tr>
      <w:tr w14:paraId="2367EE0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F80096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DF5104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D7F450C">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涉外商事解纷一站式-一站式纠纷解决服务-调解服务-申请调解</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688A67D">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提供申请调解入口，同步用户权限数据，实现用户免登陆跳转一站式多元解纷平台的申请调解功能，用户可在同意《一站式多元解纷方式选择告知书》后，在线填写解纷信息，自行发起调解申请。</w:t>
            </w:r>
          </w:p>
        </w:tc>
      </w:tr>
      <w:tr w14:paraId="5E71F9C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523CD4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987CA6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96BC90C">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涉外商事解纷一站式-一站式纠纷解决服务-调解服务-调解组织名录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70CBB16">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用户需要了解调解组织详情的情况，提供调解组织名录展示，向用户展示上海地区的行业调解组织及商事调解组织名称、简介、所属类型等信息，同时与最高人民法院国际商事法庭网站单向对接，提供第三方调解机构入口，向用户提供跳转后查看更多调解机构的功能。</w:t>
            </w:r>
          </w:p>
        </w:tc>
      </w:tr>
      <w:tr w14:paraId="39D750F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5884FB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967D69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F9FF290">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涉外商事解纷一站式-一站式纠纷解决服务-调解服务-调解公开数据</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6294F63">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单向对接上海法院诉讼服务网“多元解纷”模块中调解案件的统计数据，并与其进行同步更新，向用户展示行业调解、商事调解的调解案件的公开数据，其中包括正在调解案件数、完成调解案件数及总数。</w:t>
            </w:r>
          </w:p>
        </w:tc>
      </w:tr>
      <w:tr w14:paraId="3D4941B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44A294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C1EC4A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36A895E">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涉外商事解纷一站式-一站式纠纷解决服务-仲裁服务-仲裁流程指引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924A134">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提供仲裁流程指引功能，向用户展示仲裁服务流程指引，包括仲裁服务的具体流程和重要节点，告知用户仲裁案件的流转过程以及申请仲裁所需的相关手续材料。</w:t>
            </w:r>
          </w:p>
        </w:tc>
      </w:tr>
      <w:tr w14:paraId="79811C2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E6B3D62">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31EB70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C5FC2D6">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涉外商事解纷一站式-一站式纠纷解决服务-仲裁服务-仲裁规则</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0C24FED">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用户不了解仲裁相关规则规范的情况，提供仲裁规则展示功能，向用户展示各家仲裁机构官网中“仲裁指南-仲裁规则”模块内容，为用户了解纠纷案情选择仲裁服务提供参考。并提供下载功能，点击可下载PDF格式文件。</w:t>
            </w:r>
          </w:p>
        </w:tc>
      </w:tr>
      <w:tr w14:paraId="0159D6E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922C57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5FE14E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F750EB4">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涉外商事解纷一站式-一站式纠纷解决服务-仲裁服务-仲裁文书模板</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8C1E423">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用户在仲裁流程中需要编辑仲裁相关文书模板的情况，向用户提供仲裁各环节文书模板，用户可根据自身需求，获取仲裁服务中相关的各种法律文书模板，例如申请书、答辩状等。并提供下载功能，点击可下载PDF格式文件。</w:t>
            </w:r>
          </w:p>
        </w:tc>
      </w:tr>
      <w:tr w14:paraId="18C267A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E961AA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F8893F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5A14B51">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涉外商事解纷一站式-一站式纠纷解决服务-仲裁服务-仲裁示范条款</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7D31B13">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用户不了解仲裁示范条款的情况，提供示范条款展示功能，向用户展示上海仲裁委员会等各家仲裁机构官网中“仲裁-示范条款”模块内容，为用户了解纠纷案情适用的仲裁示范条款提供展示参考。并提供下载功能，点击可下载PDF格式文件。</w:t>
            </w:r>
          </w:p>
        </w:tc>
      </w:tr>
      <w:tr w14:paraId="111FF03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50FD4B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B5FBF1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3332DD3">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涉外商事解纷一站式-一站式纠纷解决服务-仲裁服务-仲裁费用</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D71C85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用户想了解选择仲裁后的收费问题，提供仲裁费用计算规则展示，向用户展示上海仲裁委员会等各家仲裁机构官网中“仲裁费用”模块内容，包括申请仲裁涉及的仲裁费用及费用说明。并提供下载功能，点击可下载PDF格式文件。</w:t>
            </w:r>
          </w:p>
        </w:tc>
      </w:tr>
      <w:tr w14:paraId="7CB94AB4">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14F982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58C8A5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BA3658C">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涉外商事解纷一站式-一站式纠纷解决服务-仲裁服务-仲裁机构名录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67B8C10">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用户通过法院监管中心的“机构管理”模块进行统一后台管理维护，提供用户查看市内仲裁机构名称、简介等信息，支持用户根据自身需求点击“申请仲裁”，跳转至对应仲裁机构的官方平台，了解更多资讯自行进行仲裁申请。</w:t>
            </w:r>
          </w:p>
        </w:tc>
      </w:tr>
      <w:tr w14:paraId="0A9AE55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B73D632">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5ED314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788470A">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涉外商事解纷一站式-一站式纠纷解决服务-司法辅助服务-翻译服务-智能翻译服务界面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21A00B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智能翻译服务界面,面向用户提供智能翻译服务页面功能，根据用户需要在线快速翻译的情况，向用户提供在线填入待翻译的内容的功能，在用户选择翻译语种后系统自动翻译为目标译文，且提供翻译内容相互转换、快速复制等辅助功能。</w:t>
            </w:r>
          </w:p>
        </w:tc>
      </w:tr>
      <w:tr w14:paraId="257C484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35C370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3B8093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647798C">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涉外商事解纷一站式-一站式纠纷解决服务-司法辅助服务-翻译服务-服务机构名录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F0ECA85">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翻译机构名录通过法院后台中心的“机构管理”模块进行统一管理维护，用户可在线查看翻译服务机构名录，了解翻译机构名称、简介及联系方式，并且可根据自身纠纷案情需求通过在线委托页面发起申请。</w:t>
            </w:r>
          </w:p>
        </w:tc>
      </w:tr>
      <w:tr w14:paraId="46AA43C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BED9E4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5DE563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D9DA9C9">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涉外商事解纷一站式-一站式纠纷解决服务-司法辅助服务-翻译服务-服务流程</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48753E5">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向用户提供流程图展示翻译服务流程，辅助用户查看了解委托翻译、智能翻译的两项具体流程，及相关翻译机构受理回复的具体操作环节。</w:t>
            </w:r>
          </w:p>
        </w:tc>
      </w:tr>
      <w:tr w14:paraId="6AD21E2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CF7A72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3D445E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18B8F3B">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涉外商事解纷一站式-一站式纠纷解决服务-司法辅助服务-翻译服务-在线委托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202A71E">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在线委托翻译页面，向用户提供委托信息填写发起功能，包括：委托受理机构、委托项目、翻译语种、联系人、联系方式、翻译服务类型，支持上传必要的待翻译材料原件，填写完成后支持向翻译机构发起委托申请，将委托申请数据发送至翻译机构委托管理模块。同时在“个人中心-我的委托”向用户提供查看进度功能。</w:t>
            </w:r>
          </w:p>
        </w:tc>
      </w:tr>
      <w:tr w14:paraId="5BD3284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C4CC93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8D0A38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71ECD6F">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涉外商事解纷一站式-一站式纠纷解决服务-司法辅助服务-域外法查明服务-服务机构名录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3BBEF2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域外法查明机构名录通过法院后台中心的“机构管理”模块进行统一管理维护，用户可在线查看域外法查明服务机构名录，了解域外法查明机构名称、简介及联系方式，并且可根据自身纠纷案情需要通过在线委托页面发起申请。</w:t>
            </w:r>
          </w:p>
        </w:tc>
      </w:tr>
      <w:tr w14:paraId="20B60CF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EBCF599">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226C53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4680E77">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涉外商事解纷一站式-一站式纠纷解决服务-司法辅助服务-域外法查明服务-服务流程</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6FFDC60">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向用户提供流程图展示域外法查明服务流程，辅助用户查看了解委托发起域外法查明的具体业务流程，及相关域外法查明机构受理回复的具体操作环节。</w:t>
            </w:r>
          </w:p>
        </w:tc>
      </w:tr>
      <w:tr w14:paraId="6EEDCF5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31D3602">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2AD940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8141428">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涉外商事解纷一站式-一站式纠纷解决服务-司法辅助服务-域外法查明服务-在线委托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555FD94">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在线委托域外法查明页面，向用户提供委托信息填写发起功能，包括：委托受理机构、涉及国际及地区、查明主要内容说明、联系人、联系方式等，且支持上传必要的查明法规文件原件，填写完成后支持向域外法查明机构发起委托申请，将委托申请数据发送至域外法查明机构委托管理模块。且在“个人中心-我的委托”向用户提供查看进度功能。</w:t>
            </w:r>
          </w:p>
        </w:tc>
      </w:tr>
      <w:tr w14:paraId="25EC1E73">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437F56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1CE3E4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037AC57">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涉外商事解纷一站式-一站式纠纷解决服务-司法辅助服务-公证服务-服务机构名录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2DB6630">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提供公证服务机构名录入口，对接“上海法网”，支持用户直接转跳至法治地图页面查看上海地区的公证处执业信息、地址信息及信用记录等信息，根据自身纠纷案情需求了解各公证服务机构。</w:t>
            </w:r>
          </w:p>
        </w:tc>
      </w:tr>
      <w:tr w14:paraId="70DE5C0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E58E18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2D15B1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49FD021">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涉外商事解纷一站式-一站式纠纷解决服务-司法辅助服务-公证服务-在线委托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2004EDD">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提供公证服务在线委托入口，对接“上海法网”，用户可免登录直接转跳至智慧公证在线服务平台，根据原有用户信息及权限在该平台进行公证服务在线申请办理。</w:t>
            </w:r>
          </w:p>
        </w:tc>
      </w:tr>
      <w:tr w14:paraId="7096653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D7E9B3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D1673A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16007F2">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涉外商事解纷一站式-一站式纠纷解决服务-司法辅助服务-公证服务-司法鉴定服务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C1D7174">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提供司法鉴定服务机构名录入口，对接人民法院诉讼资产网中司法技术模块，支持用户根据自身纠纷案情需求查看司法鉴定专业机构名称、专业类别、资质等级等相关信息，自行联系专业机构进行司法鉴定。</w:t>
            </w:r>
          </w:p>
        </w:tc>
      </w:tr>
      <w:tr w14:paraId="606ED84D">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4B6519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163E5F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0792638">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涉外商事解纷一站式-一站式纠纷解决服务-司法辅助服务-法律资源服务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2BBF9E6">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对接最高人民法院国际商事法庭网站，向用户提供用户跳转入口，用户可根据自身纠纷案情需求，了解商事案件相关法律法规、司法解释、司法文件、国际公约和协定、案例公布等。</w:t>
            </w:r>
          </w:p>
        </w:tc>
      </w:tr>
      <w:tr w14:paraId="12BA432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76CE37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75EBF0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8D3E409">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涉外商事解纷一站式-解纷程序转换-案件中心</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3DFFB5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当事人、诉讼代理人用户可以通过我的案件查询案件进展，办理不同案件节点上对应的服务，并能够申请程序转换与变更。</w:t>
            </w:r>
          </w:p>
        </w:tc>
      </w:tr>
      <w:tr w14:paraId="284CA1C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EAEDD0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5620F5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DF24B9F">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涉外商事解纷一站式-解纷程序转换-案件中心-案件节点对应服务推荐</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34C119D">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针对不同案件节点和案件状态，包括申请办理公证、司法鉴定、域外法查明、翻译、法规案例查询等服务，同时根据案件节点提供对应服务，包括案件被退回后修改纠纷信息，在诉讼过程中可以补交材料等，为当事人、诉讼代理人提供精准的解纷服务。</w:t>
            </w:r>
          </w:p>
        </w:tc>
      </w:tr>
      <w:tr w14:paraId="6CED527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EE839A6">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DF858A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B6E56E9">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涉外商事解纷一站式-解纷程序转换-案件中心-申请程序变更</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3090AB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在案件诉讼过程中，达成调解意向或仲裁意向的情形下，当事人、诉讼代理人可以通过线上申请诉讼转调解、诉讼转仲裁。用户点击申请诉讼转调解，系统可自动生成调解申请书；用户点击申请诉讼转仲裁的，系统可自动生成撤诉申请书，当事人通过扫码签名，含签名的文书自动归入电子卷宗，后续随卷宗推送至调解组织、仲裁机构。</w:t>
            </w:r>
          </w:p>
        </w:tc>
      </w:tr>
      <w:tr w14:paraId="2A5BE78D">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7828C3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6499E6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14EA465">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涉外商事解纷一站式-解纷程序转换-委托中心</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1057B66">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当事人、诉讼代理人用户可以通过我的委托查看委托信息、查询通过平台委托的翻译服务、域外法查明服务进展，并可以下载办理的结果，并对服务的质量、效率进行评价。</w:t>
            </w:r>
          </w:p>
        </w:tc>
      </w:tr>
      <w:tr w14:paraId="0C9BD9D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2CECA7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23AF51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AD8C7AC">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涉外商事解纷一站式-解纷程序转换-消息中心</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970EF5F">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当事人、诉讼代理人用户可以通过我的消息，查看系统自动推送的各类事项消息提醒，包括纠纷办理节点进展、委托办理节点进展，通过对应的消息可以直接进入对应工单的详情页面。</w:t>
            </w:r>
          </w:p>
        </w:tc>
      </w:tr>
      <w:tr w14:paraId="738CFBB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200EE2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8BC972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6004063">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涉外商事解纷一站式-解纷服务受理-仲裁机构受理-仲裁数据统计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2B2E1C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针对平台分流至仲裁机构的纠纷进行统计分析，并通过数字标签、统计图表的方式进行统一展示。</w:t>
            </w:r>
            <w:r>
              <w:rPr>
                <w:rFonts w:hint="eastAsia" w:cs="宋体"/>
                <w:color w:val="000000"/>
                <w:kern w:val="0"/>
                <w:sz w:val="22"/>
                <w:szCs w:val="22"/>
              </w:rPr>
              <w:br w:type="textWrapping"/>
            </w:r>
            <w:r>
              <w:rPr>
                <w:rFonts w:hint="eastAsia" w:cs="宋体"/>
                <w:color w:val="000000"/>
                <w:kern w:val="0"/>
                <w:sz w:val="22"/>
                <w:szCs w:val="22"/>
              </w:rPr>
              <w:t>纠纷统计包括整体情况统计、年均办结案件数（近年），其中，整体情况统计包括统计收案数、办结案件数、在办案件数、今日新增数、今日办结数。</w:t>
            </w:r>
          </w:p>
        </w:tc>
      </w:tr>
      <w:tr w14:paraId="420C8F2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2A0921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51044D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C2E659F">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涉外商事解纷一站式-解纷服务受理-仲裁机构受理-仲裁案件管理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AFD49FF">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针对分流至仲裁机构的纠纷，为仲裁机构提供查询、详情查看、受理、上传办理结果功能。仲裁机构可以通过纠纷编号、提交日期、纠纷状态查询纠纷信息，并查看纠纷信息详情及相关材料；并可以根据纠纷的情况进行在线受理，将仲裁结果文书上传至系统中办结案件。</w:t>
            </w:r>
          </w:p>
        </w:tc>
      </w:tr>
      <w:tr w14:paraId="516F35A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06C64B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960046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395303E">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涉外商事解纷一站式-解纷服务受理-仲裁机构受理-申请诉讼保全</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D689D82">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申请诉讼保全，仲裁机构登录平台后，提供在线填写保全申请并提交法院办理，法院受理后，仲裁机构可以查看办理进度、查询办理结果。</w:t>
            </w:r>
          </w:p>
        </w:tc>
      </w:tr>
      <w:tr w14:paraId="5BC9A82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26B298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426022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12D7CA4">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涉外商事解纷一站式-解纷服务受理-仲裁机构受理-申请调查令</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9137DB0">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申请调查令，仲裁机构登录平台后，提供在线填写调查令申请并提交法院审核办理；法官签发调查令后，仲裁机构能够在线接收。</w:t>
            </w:r>
          </w:p>
        </w:tc>
      </w:tr>
      <w:tr w14:paraId="71969C7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24574A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D990E4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3C47017">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涉外商事解纷一站式-解纷服务受理-仲裁机构受理-材料传输</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20CD6BA">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材料传输，仲裁机构登录平台后，实现在与法院进行业务协同、程序转换过程中，与法院之间将案件材料进行相互传递，包括上传、下载。</w:t>
            </w:r>
          </w:p>
        </w:tc>
      </w:tr>
      <w:tr w14:paraId="6606BA94">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9FEA8F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9A4530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01160AC">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涉外商事解纷一站式-解纷服务受理-仲裁机构受理-文书送达</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5B68485">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文书送达，仲裁机构登录平台后，通过平台接收法院向其送达的文件材料，提供其进行文件材料的在线查看、下载，接收后，自动生成送达回证，并向电子送达平台进行推送。</w:t>
            </w:r>
          </w:p>
        </w:tc>
      </w:tr>
      <w:tr w14:paraId="5E92090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B30BEE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819209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7039420">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涉外商事解纷一站式-解纷服务受理-仲裁机构受理-案件查询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F56589A">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仲裁机构登录平台后，通过输入当事人信息可查询纠纷是否法院已受理等信息，对于法院已受理的案件仲裁机构不再受理，为其业务开展提供便利。</w:t>
            </w:r>
          </w:p>
        </w:tc>
      </w:tr>
      <w:tr w14:paraId="392AF9A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37024F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047A52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79869B7">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涉外商事解纷一站式-解纷服务受理-司法辅助机构受理-委托服务统计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D1C7E6D">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委托服务统计，基于仲裁机构纠纷统计功能进行统筹开发，针对当事人通过平台委托各自翻译机构及域外法查明机构办理的服务进行统计分析，并通过数字标签、统计图表的方式进行统一展示。</w:t>
            </w:r>
            <w:r>
              <w:rPr>
                <w:rFonts w:hint="eastAsia" w:cs="宋体"/>
                <w:color w:val="000000"/>
                <w:kern w:val="0"/>
                <w:sz w:val="22"/>
                <w:szCs w:val="22"/>
              </w:rPr>
              <w:br w:type="textWrapping"/>
            </w:r>
            <w:r>
              <w:rPr>
                <w:rFonts w:hint="eastAsia" w:cs="宋体"/>
                <w:color w:val="000000"/>
                <w:kern w:val="0"/>
                <w:sz w:val="22"/>
                <w:szCs w:val="22"/>
              </w:rPr>
              <w:t>委托服务统计包括服务机构各自的整体情况统计、办理案件总数统计、办理期限平均用时统计，其中，整体情况统计包括机构受理总数、已办结委托数、在办委托数、今日受理数、今日办结数。</w:t>
            </w:r>
          </w:p>
        </w:tc>
      </w:tr>
      <w:tr w14:paraId="6EDE1073">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0B7941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DBA1BB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7C51224">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涉外商事解纷一站式-解纷服务受理-司法辅助机构受理-委托服务管理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E55DBC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委托服务管理，基于仲裁机构纠纷管理功能进行统筹开发，针对当事人通过平台委托翻译机构、域外法查明机构办理的服务，为翻译机构、域外法查明机构提供查询、详情查看、受理、上传办理结果功能。机构可以通过委托服务编号、提交日期、纠纷状态查询服务信息，并查看服务信息详情及相关材料；并可以根据委托的情况进行在线受理，将结果文书上传至系统中办结委托。</w:t>
            </w:r>
          </w:p>
        </w:tc>
      </w:tr>
      <w:tr w14:paraId="0484BD1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82A08FB">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FA7731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5F79831">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涉外商事解纷一站式-解纷服务监管-纠纷管理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6967148">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纠纷管理，基于仲裁机构纠纷统计功能进行统筹开发，，针对平台所有纠纷，包括：诉讼、调解、仲裁，进行统计分析，并通过数字标签、统计图表的方式进行统一展示。</w:t>
            </w:r>
            <w:r>
              <w:rPr>
                <w:rFonts w:hint="eastAsia" w:cs="宋体"/>
                <w:color w:val="000000"/>
                <w:kern w:val="0"/>
                <w:sz w:val="22"/>
                <w:szCs w:val="22"/>
              </w:rPr>
              <w:br w:type="textWrapping"/>
            </w:r>
            <w:r>
              <w:rPr>
                <w:rFonts w:hint="eastAsia" w:cs="宋体"/>
                <w:color w:val="000000"/>
                <w:kern w:val="0"/>
                <w:sz w:val="22"/>
                <w:szCs w:val="22"/>
              </w:rPr>
              <w:t>以数字标签的展示形式，展示的整体情况统计包括收案数、办结案件数、在办案件数、今日新增数、今日办结数、正在诉讼数、正在仲裁数、正在调解数。</w:t>
            </w:r>
            <w:r>
              <w:rPr>
                <w:rFonts w:hint="eastAsia" w:cs="宋体"/>
                <w:color w:val="000000"/>
                <w:kern w:val="0"/>
                <w:sz w:val="22"/>
                <w:szCs w:val="22"/>
              </w:rPr>
              <w:br w:type="textWrapping"/>
            </w:r>
            <w:r>
              <w:rPr>
                <w:rFonts w:hint="eastAsia" w:cs="宋体"/>
                <w:color w:val="000000"/>
                <w:kern w:val="0"/>
                <w:sz w:val="22"/>
                <w:szCs w:val="22"/>
              </w:rPr>
              <w:t>以统计图表的展示形式，展示的整体情况统计包括纠纷标的金额、结案标的金额、变更程序转换数。</w:t>
            </w:r>
            <w:r>
              <w:rPr>
                <w:rFonts w:hint="eastAsia" w:cs="宋体"/>
                <w:color w:val="000000"/>
                <w:kern w:val="0"/>
                <w:sz w:val="22"/>
                <w:szCs w:val="22"/>
              </w:rPr>
              <w:br w:type="textWrapping"/>
            </w:r>
            <w:r>
              <w:rPr>
                <w:rFonts w:hint="eastAsia" w:cs="宋体"/>
                <w:color w:val="000000"/>
                <w:kern w:val="0"/>
                <w:sz w:val="22"/>
                <w:szCs w:val="22"/>
              </w:rPr>
              <w:t>针对平台所有纠纷，为法院监管中心提供查询、详情查看功能。法院监管中心可以通过纠纷编号、提交日期、纠纷状态查询纠纷信息，并查看纠纷信息详情及相关材料。</w:t>
            </w:r>
          </w:p>
        </w:tc>
      </w:tr>
      <w:tr w14:paraId="6F5DFCC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355C37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C39607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0375961">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涉外商事解纷一站式-解纷服务监管-委托管理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66C9A07">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委托管理，基于司法辅助机构委托管理功能进行统筹开发，针对当事人通过平台委托翻译机构、域外法查明机构办理的服务进行统计分析，并通过数字标签、统计图表的方式进行统一展示。</w:t>
            </w:r>
            <w:r>
              <w:rPr>
                <w:rFonts w:hint="eastAsia" w:cs="宋体"/>
                <w:color w:val="000000"/>
                <w:kern w:val="0"/>
                <w:sz w:val="22"/>
                <w:szCs w:val="22"/>
              </w:rPr>
              <w:br w:type="textWrapping"/>
            </w:r>
            <w:r>
              <w:rPr>
                <w:rFonts w:hint="eastAsia" w:cs="宋体"/>
                <w:color w:val="000000"/>
                <w:kern w:val="0"/>
                <w:sz w:val="22"/>
                <w:szCs w:val="22"/>
              </w:rPr>
              <w:t>委托服务统计包括整体情况统计、办理案件总数统计、办理期限平均用时统计，其中，整体情况统计包括受理总数、已办结委托数、在办委托数、今日受理数、今日办结数、委托翻译总数、委托域外法查明总数。</w:t>
            </w:r>
            <w:r>
              <w:rPr>
                <w:rFonts w:hint="eastAsia" w:cs="宋体"/>
                <w:color w:val="000000"/>
                <w:kern w:val="0"/>
                <w:sz w:val="22"/>
                <w:szCs w:val="22"/>
              </w:rPr>
              <w:br w:type="textWrapping"/>
            </w:r>
            <w:r>
              <w:rPr>
                <w:rFonts w:hint="eastAsia" w:cs="宋体"/>
                <w:color w:val="000000"/>
                <w:kern w:val="0"/>
                <w:sz w:val="22"/>
                <w:szCs w:val="22"/>
              </w:rPr>
              <w:t>复用仲裁机构纠纷管理功能，针对当事人通过平台委托翻译机构、域外法查明机构办理的服务，为法院监管中心提供查询、详情查看功能。法院监管中心可以通过委托服务编号、提交日期、纠纷状态查询服务信息，并查看服务信息详情及相关材料。</w:t>
            </w:r>
          </w:p>
        </w:tc>
      </w:tr>
      <w:tr w14:paraId="4185CB1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3B808D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636B9D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C84B311">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涉外商事解纷一站式-解纷服务监管-后台管理-机构名录管理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9D668F8">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法官在监管后台统一管理首页仲裁机构名录、翻译机构名录、域外法查明机构名录的情况，向监管法官提供机构名录后台新增、删除、修改功能，支持增删改的信息项包括：机构名称、机构英文名称、机构简介、机构英文简介、机构官网、机构联系方式（地址、电话、传真、邮编），其中英文部分随英文版门户切换对应展示。</w:t>
            </w:r>
            <w:r>
              <w:rPr>
                <w:rFonts w:hint="eastAsia" w:cs="宋体"/>
                <w:color w:val="000000"/>
                <w:kern w:val="0"/>
                <w:sz w:val="22"/>
                <w:szCs w:val="22"/>
              </w:rPr>
              <w:br w:type="textWrapping"/>
            </w:r>
            <w:r>
              <w:rPr>
                <w:rFonts w:hint="eastAsia" w:cs="宋体"/>
                <w:color w:val="000000"/>
                <w:kern w:val="0"/>
                <w:sz w:val="22"/>
                <w:szCs w:val="22"/>
              </w:rPr>
              <w:t>机构名录信息按页签形式分类管理放置，以表格形式展示，并提供名称关键字模糊查询。</w:t>
            </w:r>
          </w:p>
        </w:tc>
      </w:tr>
      <w:tr w14:paraId="770A654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4CDC2EB">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4BB91B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涉外商事解纷专业化服务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AD27D0A">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涉外商事解纷一站式-解纷服务监管-后台管理-文章管理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813B4C4">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根据法官在监管后台统一管理首页仲裁服务、司法辅助服务所有模块文章的情况，向监管法官提供文章文件后台新增上传、删除、修改编辑功能，支持增删改的信息项包括：文章名称、文章英文名称、文章所处位置选择、文章是否支持下载选择、文章内容、英文版文章内容，其中文章内容支持通用格式编辑功能，包括加粗、倾斜、下划线、换行、字体颜色、高亮标注等，且英文部分随英文版门户切换对应展示。</w:t>
            </w:r>
            <w:r>
              <w:rPr>
                <w:rFonts w:hint="eastAsia" w:cs="宋体"/>
                <w:color w:val="000000"/>
                <w:kern w:val="0"/>
                <w:sz w:val="22"/>
                <w:szCs w:val="22"/>
              </w:rPr>
              <w:br w:type="textWrapping"/>
            </w:r>
            <w:r>
              <w:rPr>
                <w:rFonts w:hint="eastAsia" w:cs="宋体"/>
                <w:color w:val="000000"/>
                <w:kern w:val="0"/>
                <w:sz w:val="22"/>
                <w:szCs w:val="22"/>
              </w:rPr>
              <w:t>文章文件数据按页签形式分类管理放置，以表格形式展示，并提供文章文件名称关键字模糊查询，提供按文章所处位置及发布时间范围筛选，支持批量删除。</w:t>
            </w:r>
          </w:p>
        </w:tc>
      </w:tr>
    </w:tbl>
    <w:p w14:paraId="180A2278">
      <w:pPr>
        <w:rPr>
          <w:rFonts w:hint="eastAsia"/>
        </w:rPr>
      </w:pPr>
    </w:p>
    <w:p w14:paraId="18E09701">
      <w:pPr>
        <w:ind w:left="482" w:firstLine="0" w:firstLineChars="0"/>
        <w:outlineLvl w:val="2"/>
        <w:rPr>
          <w:rFonts w:hint="eastAsia" w:cs="仿宋"/>
          <w:b/>
          <w:bCs/>
        </w:rPr>
      </w:pPr>
      <w:r>
        <w:rPr>
          <w:rFonts w:hint="eastAsia" w:cs="仿宋"/>
          <w:b/>
          <w:bCs/>
        </w:rPr>
        <w:t>3)诉讼辅助智能化服务</w:t>
      </w:r>
    </w:p>
    <w:tbl>
      <w:tblPr>
        <w:tblStyle w:val="7"/>
        <w:tblW w:w="5000" w:type="pct"/>
        <w:jc w:val="center"/>
        <w:tblLayout w:type="autofit"/>
        <w:tblCellMar>
          <w:top w:w="0" w:type="dxa"/>
          <w:left w:w="108" w:type="dxa"/>
          <w:bottom w:w="0" w:type="dxa"/>
          <w:right w:w="108" w:type="dxa"/>
        </w:tblCellMar>
      </w:tblPr>
      <w:tblGrid>
        <w:gridCol w:w="658"/>
        <w:gridCol w:w="1542"/>
        <w:gridCol w:w="1876"/>
        <w:gridCol w:w="4452"/>
      </w:tblGrid>
      <w:tr w14:paraId="6241594E">
        <w:tblPrEx>
          <w:tblCellMar>
            <w:top w:w="0" w:type="dxa"/>
            <w:left w:w="108" w:type="dxa"/>
            <w:bottom w:w="0" w:type="dxa"/>
            <w:right w:w="108" w:type="dxa"/>
          </w:tblCellMar>
        </w:tblPrEx>
        <w:trPr>
          <w:trHeight w:val="270" w:hRule="atLeast"/>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32A6B379">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14:paraId="403FEB0B">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100" w:type="pct"/>
            <w:tcBorders>
              <w:top w:val="single" w:color="auto" w:sz="4" w:space="0"/>
              <w:left w:val="nil"/>
              <w:bottom w:val="single" w:color="auto" w:sz="4" w:space="0"/>
              <w:right w:val="single" w:color="auto" w:sz="4" w:space="0"/>
            </w:tcBorders>
            <w:shd w:val="clear" w:color="000000" w:fill="F3F8FC"/>
            <w:noWrap/>
            <w:vAlign w:val="center"/>
          </w:tcPr>
          <w:p w14:paraId="6F28E6C6">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610" w:type="pct"/>
            <w:tcBorders>
              <w:top w:val="single" w:color="auto" w:sz="4" w:space="0"/>
              <w:left w:val="nil"/>
              <w:bottom w:val="single" w:color="auto" w:sz="4" w:space="0"/>
              <w:right w:val="single" w:color="auto" w:sz="4" w:space="0"/>
            </w:tcBorders>
            <w:shd w:val="clear" w:color="000000" w:fill="F3F8FC"/>
          </w:tcPr>
          <w:p w14:paraId="0F2A3BB5">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5C97414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00BFB4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6B3828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FA31D3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纠纷化解通问服务-纠纷化解指引场景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FA44926">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分析上海诉讼数据情况并判别常见调解案件及诉讼案件情况；定制离婚纠纷、道路交通、劳动争议、民间借贷、物业纠纷五类案件纠纷化解指引报告；</w:t>
            </w:r>
            <w:r>
              <w:rPr>
                <w:rFonts w:hint="eastAsia" w:cs="Tahoma"/>
                <w:color w:val="000000"/>
                <w:kern w:val="0"/>
                <w:sz w:val="22"/>
                <w:szCs w:val="22"/>
              </w:rPr>
              <w:br w:type="textWrapping"/>
            </w:r>
            <w:r>
              <w:rPr>
                <w:rFonts w:hint="eastAsia" w:cs="Tahoma"/>
                <w:color w:val="000000"/>
                <w:kern w:val="0"/>
                <w:sz w:val="22"/>
                <w:szCs w:val="22"/>
              </w:rPr>
              <w:t>梳理上述五类案由梳理对应不同解纷方式的法律效力、解纷方式、纠纷流程、解纷途径、解纷时长、解纷费用、所需材料等纠纷办理关键知识内容</w:t>
            </w:r>
            <w:r>
              <w:rPr>
                <w:rFonts w:hint="eastAsia" w:cs="Tahoma"/>
                <w:color w:val="000000"/>
                <w:kern w:val="0"/>
                <w:sz w:val="22"/>
                <w:szCs w:val="22"/>
              </w:rPr>
              <w:br w:type="textWrapping"/>
            </w:r>
            <w:r>
              <w:rPr>
                <w:rFonts w:hint="eastAsia" w:cs="Tahoma"/>
                <w:color w:val="000000"/>
                <w:kern w:val="0"/>
                <w:sz w:val="22"/>
                <w:szCs w:val="22"/>
              </w:rPr>
              <w:t>研发纠纷化解指引服务报告模板，报告模板包含针对单独案由可编辑包含调解、诉讼、仲裁等多种渠道的法律效力、解纷方式、纠纷流程、解纷途径、解纷时长、解纷费用、所需材料等纠纷办理关键内容；可根据不同案由自定义添加内容。</w:t>
            </w:r>
            <w:r>
              <w:rPr>
                <w:rFonts w:hint="eastAsia" w:cs="Tahoma"/>
                <w:color w:val="000000"/>
                <w:kern w:val="0"/>
                <w:sz w:val="22"/>
                <w:szCs w:val="22"/>
              </w:rPr>
              <w:br w:type="textWrapping"/>
            </w:r>
            <w:r>
              <w:rPr>
                <w:rFonts w:hint="eastAsia" w:cs="Tahoma"/>
                <w:color w:val="000000"/>
                <w:kern w:val="0"/>
                <w:sz w:val="22"/>
                <w:szCs w:val="22"/>
              </w:rPr>
              <w:t>系统生成纠纷化解指引服务报告二维码，诉讼当事人可通过手机扫描二维码，将纠纷指引结果报告保存至手机，以便后续使用。</w:t>
            </w:r>
            <w:r>
              <w:rPr>
                <w:rFonts w:hint="eastAsia" w:cs="Tahoma"/>
                <w:color w:val="000000"/>
                <w:kern w:val="0"/>
                <w:sz w:val="22"/>
                <w:szCs w:val="22"/>
              </w:rPr>
              <w:br w:type="textWrapping"/>
            </w:r>
            <w:r>
              <w:rPr>
                <w:rFonts w:hint="eastAsia" w:cs="Tahoma"/>
                <w:color w:val="000000"/>
                <w:kern w:val="0"/>
                <w:sz w:val="22"/>
                <w:szCs w:val="22"/>
              </w:rPr>
              <w:t>研发纠纷化解指引服输入输出模型框架，包含判断案由、判断诉求、输出指引报告，实现当事人通过选择对应案由系统自行进行综合判断展示纠纷化解指引服务报告。</w:t>
            </w:r>
          </w:p>
        </w:tc>
      </w:tr>
      <w:tr w14:paraId="45D5280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1AFE7A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457E27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A97CA6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诉讼指引通问服务-诉讼费用计算场景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C3D46E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构建费用计算应用问答式交互场景，系统将依照指令执行对应的诉讼受理费、保全费等计算器，助当事人对各项费用进行计算。</w:t>
            </w:r>
          </w:p>
        </w:tc>
      </w:tr>
      <w:tr w14:paraId="718A627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D6DDC9B">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AB4D90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6F706F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诉讼指引通问服务-网上预约场景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DD3CDC8">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构建网上预约应用问答式交互场景。</w:t>
            </w:r>
          </w:p>
        </w:tc>
      </w:tr>
      <w:tr w14:paraId="7C5758C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4F1914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25E52D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79CCEF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诉讼指引通问服务-判后答疑场景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5BD5AF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构建判后答疑应用问答式交互场景，并调用诉讼服务“我要办”知识库，输入与“判后答疑”相关指令，系统将根据当事人个案案件情况，以问答的方式引导当事人完成判后答疑的申请操作。</w:t>
            </w:r>
          </w:p>
        </w:tc>
      </w:tr>
      <w:tr w14:paraId="36625AD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DF6644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070B28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E7CF51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诉讼指引通问服务-联系法官场景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AD3B20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联系法官应用问答式交互场景，并调用诉讼服务“我要办”知识库，输入与“联系法官”相关指令，当指令内容正确且用户具备对应案件有联系法官的操作权限，系统将依照指令内容执行并引导用户完成联系法官的内容输入，并将直接结果反馈结果告知用户</w:t>
            </w:r>
          </w:p>
        </w:tc>
      </w:tr>
      <w:tr w14:paraId="75EF2ED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643B3D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E56E86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71E217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智能查询通问服务-公开信息查询场景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9F6A39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构建公开信息查询应用问答式交互场景，并调用诉讼服务“我要查”知识库，当用户输入的指令内容正确，系统将依照指令内容对相应的公开信息进行查询，如开庭公告、送达公告等</w:t>
            </w:r>
          </w:p>
        </w:tc>
      </w:tr>
      <w:tr w14:paraId="08300E9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3E4335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493410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032F6C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智能查询通问服务-查看卷宗场景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E31D11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网上阅卷应用问答式交互场景，并调用诉讼服务“我要办”知识库，用户输入与“卷宗”相关指令，当指令内容正确且用户具备该案件查看权限，同时案件满足查看条件。系统自动打开“卷宗”页面。若不正确，则给出相应的原因及提示</w:t>
            </w:r>
          </w:p>
        </w:tc>
      </w:tr>
      <w:tr w14:paraId="2959CD3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6AC949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5CD479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F4114F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智能查询通问服务-案件查询场景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ECD699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针对认证后的用户提供案件查询问答应用交互场景，用户输入具体案件询问类问题后，将匹配诉讼服务“我要查”知识库，并验证案号、人员权限、办理权限，给出合理回答，实现对查询结果的案件详情内容中各项信息精准化输出，如案件的排期日期、承办组织信息、当事人信息、代理人信息等.</w:t>
            </w:r>
          </w:p>
        </w:tc>
      </w:tr>
      <w:tr w14:paraId="6143DF7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522390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CF1B18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F34840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涉外商事解纷通问服务-问答关键词提取场景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CBAB1C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根据用户提出的问题，进行问答关键词提取，检索并匹配解纷知识库，利用解纷知识库技术底座以问答的形式向用户提供检索匹配结果，包括：解纷流程指引、涉营商政策解读等，如有引用部分提供相应链接，支持用户点击查看详情或更多内容。</w:t>
            </w:r>
          </w:p>
        </w:tc>
      </w:tr>
      <w:tr w14:paraId="6A5CF7E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3E0917B">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939C67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87FB89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涉外商事解纷通问服务-智能问答猜测场景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6D87DB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根据用户的纠纷特征，优先推荐与上级页面所处环节相关流程性、咨询类问题，辅助引导用户发起提问，快速解决用户疑问。</w:t>
            </w:r>
            <w:r>
              <w:rPr>
                <w:rFonts w:hint="eastAsia" w:cs="Tahoma"/>
                <w:color w:val="000000"/>
                <w:kern w:val="0"/>
                <w:sz w:val="22"/>
                <w:szCs w:val="22"/>
              </w:rPr>
              <w:br w:type="textWrapping"/>
            </w:r>
            <w:r>
              <w:rPr>
                <w:rFonts w:hint="eastAsia" w:cs="Tahoma"/>
                <w:color w:val="000000"/>
                <w:kern w:val="0"/>
                <w:sz w:val="22"/>
                <w:szCs w:val="22"/>
              </w:rPr>
              <w:t>基于解纷知识库中问答库数据，根据不同场景将常用问题进行归类，包括：纠纷流程问题、调解环节问题、仲裁环节问题、司法辅助环节问题等。辅助引导用户发现自身疑问，快速解决用户疑问。</w:t>
            </w:r>
          </w:p>
        </w:tc>
      </w:tr>
      <w:tr w14:paraId="445984A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B9E575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48A88D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1AF815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涉外商事解纷通问服务-智能语音交互场景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50177B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与语音识别功能对接，支持用户通过语音输入，发起提问。系统给出回答后，支持用户选择语音播报功能及播放声音切换功能，结合实现智能语音交互场景，解决用户无法文字输入的情况。</w:t>
            </w:r>
          </w:p>
        </w:tc>
      </w:tr>
      <w:tr w14:paraId="30E09D6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9432C8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110D8F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E5F667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涉外商事解纷通问服务-涉外商事法律知识咨询场景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CEB106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技术底座的法律知识，筛选涉外商事相关法律法规，匹配营商相关政策的法律咨询问题进行关联索引，通过识别用户提出的问题，利用关联索引给出专业涉外商事相关咨询答复，解决用户在涉外商事相关法律场景疑问。</w:t>
            </w:r>
          </w:p>
        </w:tc>
      </w:tr>
      <w:tr w14:paraId="5CDDAAA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403406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BCB5E6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3F26AB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涉外商事解纷通问服务-涉外商事纠纷文书模板智能推荐场景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5F4D6B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技术底座的文书模板知识，结合法律文书标准模板及一站式解决纠纷各司法场景需要使用仲裁、调解文书的需求情况进行关联索引，通过识别用户提出的问题或文书需求，智能回应提供相应文书模板，自动带入用户已经提交登记的纠纷信息，解决用户文书相关需求。</w:t>
            </w:r>
          </w:p>
        </w:tc>
      </w:tr>
      <w:tr w14:paraId="1DA755E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EE7CA4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D475C2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5A65E7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涉外商事解纷通问服务-类似案例关键信息检索场景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A83CEF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技术底座的案例知识，结合解纷知识库中的涉外商事相关指导案例、典型案例、参考案例等进行关联索引，通过识别用户的已有涉外商事纠纷或提出的相关问题，结合类案识别规则，智能检索给出涉外商事相似案件结果，解决用户案例类案检索需求。</w:t>
            </w:r>
          </w:p>
        </w:tc>
      </w:tr>
      <w:tr w14:paraId="1565BA1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7979B5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E30492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D742FF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涉外商事解纷通问服务-纠纷管辖识别与提示场景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D620BA6">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基于技术底座的解纷知识，结合法律法规中的管辖约定等法律条款进行关联索引，通过识别用户的已有纠纷或提出的问题，智能判断给出管辖提示，解决用户管辖相关场景疑问。</w:t>
            </w:r>
          </w:p>
        </w:tc>
      </w:tr>
      <w:tr w14:paraId="2663C1D3">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AA1F06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1919C8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A2DD41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涉外商事解纷通问服务-纠纷费用辅助计算场景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B2F087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技术底座的解纷知识，结合常用的司法不同场景计算规则以及相关法律法规进行关联索引，包括：仲裁费计算、伤残赔偿计算、死亡赔偿计算、违约金计算等，通过识别用户的已有纠纷或提出的问题，给出相应费用的计算结果、辅助计算费用范围，并提供相关规则或法律法规的描述推送。</w:t>
            </w:r>
          </w:p>
        </w:tc>
      </w:tr>
      <w:tr w14:paraId="26CD38F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C0F8F4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BF83F2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D9C9DE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涉外商事解纷通问服务-涉外商事律师检索推荐场景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C61963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技术底座的解纷知识，筛选涉外商事法律法规及本市律师协会提供的律师数据（涉外商事经验）进行关联索引，通过识别用户提出的需求及已提交的纠纷信息，提供相关领域的律师检索结果，供用户参考选择。</w:t>
            </w:r>
          </w:p>
        </w:tc>
      </w:tr>
      <w:tr w14:paraId="5B26B79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A0E316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D8AB4B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D44422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即时理解生成式通问服务-合同审查</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EA9978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针对多页复杂合同内容，可通过调用知识生成引擎，对多页合同内容进行即时理解，生成合同中重要信息，对合同条款进行审核，判断其是否符合法律法规和业务要求。</w:t>
            </w:r>
          </w:p>
        </w:tc>
      </w:tr>
      <w:tr w14:paraId="3EBC8E4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75EC3E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98E1B6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BBF32E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即时理解生成式通问服务-法律研究</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11005D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利用法律知识推理及知识生成引擎，可以对最新的法律法规和司法解释进行快速理解形成知识（无需通过后台人工方式标注知识库）帮助律师及时掌握最新的法律动态和变化，提高专业水平。</w:t>
            </w:r>
          </w:p>
        </w:tc>
      </w:tr>
      <w:tr w14:paraId="47FC72D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2AB01B9">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56DFE6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7C6B53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即时理解生成式通问服务-智能化证据评估</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D224D4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利用法律知识推理及知识生成引擎，可以对案件中的证据（包括形式和异构形式内容）进行评估和分类，帮助当事人确定证据的有效性和可信度，避免因证据不足或不充分而导致败诉。</w:t>
            </w:r>
          </w:p>
        </w:tc>
      </w:tr>
      <w:tr w14:paraId="60F7782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ACE833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F8C980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FB1A74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即时理解生成式通问服务-智能申诉接服</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D6B1B0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利用法律知识推理及知识生成引擎生成申诉场景的新知识，为诉服用户提供智能申诉接待服务，为用户提供申诉引导、建议等。</w:t>
            </w:r>
          </w:p>
        </w:tc>
      </w:tr>
      <w:tr w14:paraId="0823069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0C8A5D8">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C8EFBB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45CDC0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即时理解生成式通问服务-智能信访接服</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970D187">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利用法律知识推理及知识生成引擎生成接访场景的新知识，为诉服用户提供引导式的信访服务，包括信访内容规范指导、信访内容收集和信访规范评价建议。</w:t>
            </w:r>
          </w:p>
        </w:tc>
      </w:tr>
      <w:tr w14:paraId="15ED225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2C124A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6A6F06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D6291C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即时理解生成式通问服务-当事人诉讼活动风险评估</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97FC67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以即时知识理解，生成式交谈问答的方式对纠纷类型进行案件基本情况（如双方基本信息，案件实时，法院调查实时等）给出与诉讼相关的风险评估。本期包含：知产外观侵权、涉数字经济案件、超大额民间借贷、物业服务合同纠纷、房屋买卖合同纠纷、著作全权属侵权纠纷等。现有上海法院诉讼服务网上未包含细分案由下的诉讼风险评估。</w:t>
            </w:r>
          </w:p>
        </w:tc>
      </w:tr>
      <w:tr w14:paraId="3FA13DA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54B210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E3FA11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A1430D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即时理解生成式通问服务-民事起诉状生成</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3A1C22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根据用户的案情描述，通过法律知识推理引擎调用，帮助当事人以起诉状文书的格式，生成民事起诉状文书。本期包含：知产外观侵权、涉数字经济案件、超大额民间借贷、物业服务合同纠纷、房屋买卖合同纠纷、著作全权属侵权纠纷等为现有上海法院诉讼服务网上未包含细分案由。区别于现有系统重的诉状生成，可以以完整的行文格式内容进行展现。</w:t>
            </w:r>
          </w:p>
        </w:tc>
      </w:tr>
      <w:tr w14:paraId="2B7ECD7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7C755C9">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532CE3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91F12A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即时理解生成式通问服务-法律法规智能引用</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81AE98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基于法律知识推理，自动关联当事人案件事实信息，基于案件的基本实时给出与诉讼相关的法律法规内容。同时利用知识生成引擎对现有法律法规知识库进行规整和利用。</w:t>
            </w:r>
          </w:p>
        </w:tc>
      </w:tr>
      <w:tr w14:paraId="5C14451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A9D491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F0AB32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888B6C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即时理解生成式通问服务-相似案例智能指引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FD93D5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通过调用法律知识推理能力，可以结合上海法院现有案例库基于当事人在通问服务中陈述的案件基本实时给出针对案情适用的相关类案介绍或链接。</w:t>
            </w:r>
          </w:p>
        </w:tc>
      </w:tr>
      <w:tr w14:paraId="2A8ED31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0AC876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5D3961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132E7F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即时理解生成式通问服务-特定领域可控回答调优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8FA049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知产外观侵权场景下，针对原告被告各方需求，提供对话指引，和相关建议的可控回答逻辑、内容编排。针对回答不准确情况，可用正向编写和优化内部提词的方式进行。</w:t>
            </w:r>
          </w:p>
        </w:tc>
      </w:tr>
      <w:tr w14:paraId="1D96519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446240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1E008B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ABC145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即时理解生成式通问服务-特定领域可控回答调优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C65846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涉数字经济案件场景下，针对原告被告各方需求，提供对话指引，和相关建议，如是否是涉数字经济案件，特定的流程咨询和起诉状等的可控回答逻辑、内容的编排。针对回答不准确情况，可用正向编写和优化内部提词的方式进行。</w:t>
            </w:r>
          </w:p>
        </w:tc>
      </w:tr>
      <w:tr w14:paraId="3F92020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AC501B2">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2DEDC7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ABC69B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即时理解生成式通问服务-特定领域可控回答调优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92F887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物业服务合同纠纷场景下，针对合同签订时间、管理费用标准、违约金计算等纠纷要素进行对话交互的配置，结合物业服务合同纠纷案情自动识别训练，生成并上线对话任务的可控回答逻辑、内容的编排。针对回答不准确情况，可用正向编写和优化内部提词的方式进行。</w:t>
            </w:r>
          </w:p>
        </w:tc>
      </w:tr>
      <w:tr w14:paraId="70E94F8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F65DD5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1E8BE3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8D6815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即时理解生成式通问服务-特定领域可控回答调优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82C2738">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房屋买卖合同纠纷场景下，针对房屋过户情况、预售交房日期、房屋交付标准一致性等纠纷要素进行对话交互的配置，结合房屋买卖合同纠纷案情自动识别训练，生成并上线对话任务的可控回答逻辑、内容的编排。针对回答不准确情况，可用正向编写和优化内部提词的方式进行。</w:t>
            </w:r>
          </w:p>
        </w:tc>
      </w:tr>
      <w:tr w14:paraId="0305778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19DEDF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2BF5F2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2B2DC2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即时理解生成式通问服务-特定领域可控回答调优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2B55EE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著作权权属侵权纠纷场景下，针对作品类型，作品权属，作品可复制性等纠纷要素进行对话交互的配置，结合著作权权属侵权纠纷案情自动识别训练，生成并上线对话任务的可控回答逻辑、内容的编排。针对回答不准确情况，可用正向编写和优化内部提词的方式进行。</w:t>
            </w:r>
          </w:p>
        </w:tc>
      </w:tr>
      <w:tr w14:paraId="75D72B2D">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3C6C90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C1A628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B43DE6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即时理解生成式通问服务-特定领域可控回答调优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5B903E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商标权权属侵权纠纷场景下，针对商标权的使用许可、商标权的时间范围、商标权的侵权行为等纠纷要素进行对话交互的配置，结合商标权权属侵权纠纷案情自动识别训练，生成并上线对话任务的可控回答逻辑、内容的编排。针对回答不准确情况，可用正向编写和优化内部提词的方式进行。</w:t>
            </w:r>
          </w:p>
        </w:tc>
      </w:tr>
      <w:tr w14:paraId="3508902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AA0460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1AB249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诉讼辅助智能化服务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DA717C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即时理解生成式通问服务-特定领域可控回答调优</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E48419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专利权权属侵权纠纷场景下，针对专利类型、侵权行为、专利申请时间等纠纷要素进行对话交互的配置，结合专利权权属侵权纠纷案情自动识别训练，生成并上线对话任务的可控回答逻辑、内容的编排。针对回答不准确情况，可用正向编写和优化内部提词的方式进行。</w:t>
            </w:r>
          </w:p>
        </w:tc>
      </w:tr>
    </w:tbl>
    <w:p w14:paraId="2043A6D3">
      <w:pPr>
        <w:rPr>
          <w:rFonts w:hint="eastAsia"/>
        </w:rPr>
      </w:pPr>
    </w:p>
    <w:p w14:paraId="1B3425AA">
      <w:pPr>
        <w:rPr>
          <w:rFonts w:hint="eastAsia"/>
        </w:rPr>
      </w:pPr>
    </w:p>
    <w:p w14:paraId="23B3082C">
      <w:pPr>
        <w:ind w:left="482" w:firstLine="0" w:firstLineChars="0"/>
        <w:outlineLvl w:val="2"/>
        <w:rPr>
          <w:rFonts w:hint="eastAsia" w:cs="仿宋"/>
          <w:b/>
          <w:bCs/>
        </w:rPr>
      </w:pPr>
      <w:r>
        <w:rPr>
          <w:rFonts w:cs="仿宋"/>
          <w:b/>
          <w:bCs/>
        </w:rPr>
        <w:t>4</w:t>
      </w:r>
      <w:r>
        <w:rPr>
          <w:rFonts w:hint="eastAsia" w:cs="仿宋"/>
          <w:b/>
          <w:bCs/>
        </w:rPr>
        <w:t>)</w:t>
      </w:r>
      <w:r>
        <w:rPr>
          <w:rFonts w:cs="仿宋"/>
          <w:b/>
          <w:bCs/>
        </w:rPr>
        <w:t xml:space="preserve"> </w:t>
      </w:r>
      <w:r>
        <w:rPr>
          <w:rFonts w:hint="eastAsia" w:cs="仿宋"/>
          <w:b/>
          <w:bCs/>
        </w:rPr>
        <w:t>业务办理协同化服务</w:t>
      </w:r>
    </w:p>
    <w:tbl>
      <w:tblPr>
        <w:tblStyle w:val="7"/>
        <w:tblW w:w="5000" w:type="pct"/>
        <w:jc w:val="center"/>
        <w:tblLayout w:type="autofit"/>
        <w:tblCellMar>
          <w:top w:w="0" w:type="dxa"/>
          <w:left w:w="108" w:type="dxa"/>
          <w:bottom w:w="0" w:type="dxa"/>
          <w:right w:w="108" w:type="dxa"/>
        </w:tblCellMar>
      </w:tblPr>
      <w:tblGrid>
        <w:gridCol w:w="658"/>
        <w:gridCol w:w="1542"/>
        <w:gridCol w:w="1876"/>
        <w:gridCol w:w="4452"/>
      </w:tblGrid>
      <w:tr w14:paraId="7065A0BE">
        <w:tblPrEx>
          <w:tblCellMar>
            <w:top w:w="0" w:type="dxa"/>
            <w:left w:w="108" w:type="dxa"/>
            <w:bottom w:w="0" w:type="dxa"/>
            <w:right w:w="108" w:type="dxa"/>
          </w:tblCellMar>
        </w:tblPrEx>
        <w:trPr>
          <w:trHeight w:val="270" w:hRule="atLeast"/>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793AE463">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14:paraId="6358A226">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100" w:type="pct"/>
            <w:tcBorders>
              <w:top w:val="single" w:color="auto" w:sz="4" w:space="0"/>
              <w:left w:val="nil"/>
              <w:bottom w:val="single" w:color="auto" w:sz="4" w:space="0"/>
              <w:right w:val="single" w:color="auto" w:sz="4" w:space="0"/>
            </w:tcBorders>
            <w:shd w:val="clear" w:color="000000" w:fill="F3F8FC"/>
            <w:noWrap/>
            <w:vAlign w:val="center"/>
          </w:tcPr>
          <w:p w14:paraId="5A517321">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610" w:type="pct"/>
            <w:tcBorders>
              <w:top w:val="single" w:color="auto" w:sz="4" w:space="0"/>
              <w:left w:val="nil"/>
              <w:bottom w:val="single" w:color="auto" w:sz="4" w:space="0"/>
              <w:right w:val="single" w:color="auto" w:sz="4" w:space="0"/>
            </w:tcBorders>
            <w:shd w:val="clear" w:color="000000" w:fill="F3F8FC"/>
          </w:tcPr>
          <w:p w14:paraId="01BAA557">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5F51838D">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5D4845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4E532E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7DE9E1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律师委托代理关系核验-诉讼服务平台律师申请立案模块升级改造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263877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申请立案模块增加代理关系证明材料的提交方式，支持律师提交基于司法行政法治链在线签署的授权委托书、律所介绍信的电子原件，无需再线下邮寄纸质文件。</w:t>
            </w:r>
          </w:p>
        </w:tc>
      </w:tr>
      <w:tr w14:paraId="681E371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5309A7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4A2330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D8B5F3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律师委托代理关系核验-诉讼服务平台的代理关系绑定模块升级改造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6CFACA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代理关系绑定模块增加代理关系证明材料的提交方式，支持律师提交基于司法行政法治链在线签署的授权委托书、律所介绍信的电子原件，无需再线下邮寄纸质文件。</w:t>
            </w:r>
          </w:p>
        </w:tc>
      </w:tr>
      <w:tr w14:paraId="30689BB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A343356">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FA25D1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2DAC01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律师委托代理关系核验-律师委托代理关系信息及文件上链</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D08A9D8">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运用司法可信技术底座的敏感数据及非结构化数据存证能力为申请立案模块及代理关系绑定模块提供委托代理关系相关的申请编号、授权委托书电子原件、律所介绍信电子原件等信息及文件链上存证的接口服务，为律师委托关系核验的智能合约的运行提供链上数据支持。</w:t>
            </w:r>
          </w:p>
        </w:tc>
      </w:tr>
      <w:tr w14:paraId="0C0CFDF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82B5416">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145B33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9F871E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律师委托代理关系核验-立案审核模块升级改造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B35DA8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立案审核模块中增加律师代理关系相关材料的直观展示、下载；同时会展示链上智能合约出具的律师代理关系核验报告。</w:t>
            </w:r>
          </w:p>
        </w:tc>
      </w:tr>
      <w:tr w14:paraId="35E5EF0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9783BC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499567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9962C8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律师委托代理关系核验-代理关系绑定审核模块升级改造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136299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代理关系审核模块中增加律师代理关系相关材料的直观展示、下载；同时展示链上智能合约出具的律师代理关系核验报告。</w:t>
            </w:r>
          </w:p>
        </w:tc>
      </w:tr>
      <w:tr w14:paraId="561C318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10EC3D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E7BFE1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5CEF91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律师委托代理关系核验-律师委托代理关系核验报告服务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037C20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为智慧审判系统提供律师委托代理关系核验报告获取服务，通过代理关系绑定中的律师代理关系相关信息，即可获取链上的智能合约出具律师代理关系核验报告。</w:t>
            </w:r>
          </w:p>
        </w:tc>
      </w:tr>
      <w:tr w14:paraId="66FB979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2A4185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C4608A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5C7136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律师委托代理关系核验-律所介绍信核验智能合约</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141739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律所介绍信核验智能合约，首先通过嵌套调取电子签名有效性核验智能合约验证律所介绍信是否被修改，签名是否有效，签署是否律所意愿操作；然后通过读取签署数据原文，获取律所名称、律师信息、案号等信息，与诉讼平台登记的案件信息进行比对核验，确保律师为本案代理律师，是在本律所执业。</w:t>
            </w:r>
          </w:p>
        </w:tc>
      </w:tr>
      <w:tr w14:paraId="535A392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CF400E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7D397D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B7467C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律师委托代理关系核验-代理委托关系函核验智能合约</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BBED766">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代理委托关系函核验智能合约，通过嵌套调取电子签名有效性核验智能合约验证代理委托关系函是否被修改，签名是否有效，签署是否委托人意愿操作。同时通过读取签署数据原文，获取委托人信息、当事人信息、律师信息、案号、委托期限等信息，与诉讼平台登记的案件信息进行比对核验，确保律师为本案代理律师，当事人是本案件当事人。</w:t>
            </w:r>
          </w:p>
        </w:tc>
      </w:tr>
      <w:tr w14:paraId="32D9D6C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750340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AE8278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7429C4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律师委托代理关系核验-电子签名有效性核验智能合约</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172F97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为准确核验授权委托书、律所介绍信的电子签名真实有效，同时保证敏感数据不出域。与CA机构共同构建电子签名有效性核验智能合约，在文件不出域的情况下即可自动精准的核验签名的有效性。具体步骤如下：一是，通过读取电子签名文件及签署信息的存证数据，可以获取到签署主体的意愿表达、签署数据原文、电子签名、电子证书、时间戳等信息；二是，从电子签名中可以提取出签署主体认证信息、发起签署时间、签署时间等；三是，从电子证书可以提取出证书序列号、证书持有人、颁发日期、证书有效期、算法等；四是，通过对签名值用公钥进行解密得到的哈希值和原文通过证书算法运算后的哈希值进行比对，明确原文是否被修改；五是，通过此签署各签署方使用的时间戳证书信息，包括证书序列号、证书链、算法，明确证书的有效性，并对比用证书公钥解密得到和哈希值和用证书算法运算得到的哈希值，明确时间戳信息是否被修改；六是，通过各签署方使用的证书信息，包括证书序列号、证书链、证书持有人、颁发日期、有效期、算法，明确证书的有效性。通过签署意愿认证方式确保本次签署为本人操作。</w:t>
            </w:r>
          </w:p>
        </w:tc>
      </w:tr>
      <w:tr w14:paraId="00EFC7B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A1143C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361B9B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71F6FA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律师委托代理关系核验-介绍信与委托函关联性核验智能合约</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C0B84B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介绍信与委托函关联性核验智能合约，通过嵌套调取律所介绍信核验智能合约及代理委托关系函核验智能合约，对律所介绍信、代理委托关系函中描述的当事人、律师、案件等关联性是否一致进行核验，从而得出“当事人XX委托XX所XX律师作为XX案件的代理人，委托期限为XX”的核验结论</w:t>
            </w:r>
          </w:p>
        </w:tc>
      </w:tr>
      <w:tr w14:paraId="2864D5A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9CD596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5EC68F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982A95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律师委托代理关系核验-委托代理关系核验报告自动生成智能合约</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4A6A717">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构建委托代理关系核验报告自动生成核验智能合约，形成核验报告文件，满足法官对律师委托代理关系高效、准确核验及审批。核验报告内容包括核验结果、核验过程日志、核验所用数据的存证地址、调用合约的存证地址，并由区块链平台进行签名</w:t>
            </w:r>
          </w:p>
        </w:tc>
      </w:tr>
      <w:tr w14:paraId="6B64703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F6444C6">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4AF3E1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1EEC4B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律师委托代理关系核验-律师委托代理关系核验记录检索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FFE573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历次律师委托代理关系核验的检索核验报告功能，支持下钻查询历史核验报告内容，提供打印和下载</w:t>
            </w:r>
          </w:p>
        </w:tc>
      </w:tr>
      <w:tr w14:paraId="31D1B1C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73186E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212450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1EF255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区块链律师调查令-升级调查令管理模块（法官端）-调查令信息数据及本体存证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E774CF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基于上海法院司法区块链的存证能力，在律师调查令签章后即时进行调查令信息及本体的上链存证，保证调查令无法篡改，同时为调查令真伪核验提供链上数据。</w:t>
            </w:r>
          </w:p>
        </w:tc>
      </w:tr>
      <w:tr w14:paraId="406AC84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49EACC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65868E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8BD286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区块链律师调查令-升级调查令管理模块（法官端）-调查令存证报告</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BC2EF8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调查令上链存证后，上海法院司法区块链将从生成调查令存证报告返回业务系统，用于便利律师使用律师调查令，协查单位可通过扫描存证报告的二维码快速进行核验。调查令的存证报告信息包含数据存证区块链、数据链上存证码、数据哈希值、存证时间、事务哈希值、事务发生时间、区块高度、区块哈希值、区块时间戳、核验二维码等信息。</w:t>
            </w:r>
          </w:p>
        </w:tc>
      </w:tr>
      <w:tr w14:paraId="5008865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B934B2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CB5EEF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A9CE8C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区块链律师调查令-升级调查令管理模块（法官端）-调查令存证报告送达</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09BB20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业务系统获取调查令存证报告后，将调查令存证报告与律师调查令同时送达给律师，律师可在线或线下提供存证报告给协查单位，便于协查单位核验调查令真伪。</w:t>
            </w:r>
          </w:p>
        </w:tc>
      </w:tr>
      <w:tr w14:paraId="1AED5AB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2157C82">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D56721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8631DA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区块链律师调查令-升级调查令管理模块（法官端）-调查令核验记录管理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D74F52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调查令核验记录管理功能实现法官实时搜索和查找已经进行过核验的记录，以便法官能够快速找到所需的信息，同时方便法官对核验过程进行监控和分析。法官可以根据不同的搜索条件进行查询，如时间范围、核验方式、核验结果等，以便快速定位所需的记录。</w:t>
            </w:r>
          </w:p>
        </w:tc>
      </w:tr>
      <w:tr w14:paraId="61AC461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EBEFDB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019503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6283BC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区块链律师调查令-升级调查令管理模块（法官端）-调查证据管理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08A38A7">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调查证据管理功能实现法官实时搜索和查找已经反馈的调查证据，法官可以根据不同的搜索条件进行查询，如时间范围、证据类型、证据大小、证据格式等以便快速定位所需的调查证据。</w:t>
            </w:r>
          </w:p>
        </w:tc>
      </w:tr>
      <w:tr w14:paraId="5DF50B6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908ED7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68BC32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ACA9AD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区块链律师调查令-升级调查令管理模块（法官端）-调查证据核验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9A3049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调查证据核验实现法官快速核实调查证据的真实性，包含系统自动进行链上校验或法官主动进行链上核验两种方式，上海法院司法区块链根据核验内容返回核验成功或失败的结果，同时返回核验报告。报告内容包含核验内容、核验时间、核验结果、核验过程等信息。</w:t>
            </w:r>
          </w:p>
        </w:tc>
      </w:tr>
      <w:tr w14:paraId="1867CC4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CC408E6">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796312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7E8779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区块链律师调查令-升级调查令管理模块（法官端）-协查单位管理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C40AE3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授权管理功能用于法官将调查令权限授权给书记员的管理维护。包含授权列表、新增、移除及详情等子功能。</w:t>
            </w:r>
          </w:p>
        </w:tc>
      </w:tr>
      <w:tr w14:paraId="4B24572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114429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14A83C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2AF221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区块链律师调查令-升级调查令申请模块（律师端）-调查令存证报告使用</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3BCC027">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律师获取律师调查令的同时可在线查阅、下载及打印调查令存证报告，律师可通过在线向协查单位提供调查令存证报告，供协查单位在线核验；也可以打印调查令存证报告线下供协查单位扫码核验。</w:t>
            </w:r>
          </w:p>
        </w:tc>
      </w:tr>
      <w:tr w14:paraId="650FAEA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C318DB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415EDE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853D97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区块链律师调查令-升级调查令申请模块（律师端）-调查令使用情况反馈</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3CB307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律师针对调查令的使用情况可进行在线反馈，若已使用，反馈内容包含是否使用、使用时间、使用说明以及调查令回执文件；若未使用，反馈内容包含是否使用及未使用原因。</w:t>
            </w:r>
          </w:p>
        </w:tc>
      </w:tr>
      <w:tr w14:paraId="14C5B16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5AB4F6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812C28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2BD2B7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区块链律师调查令-升级调查令申请模块（律师端）-调查证据查阅</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E38D16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调查证据查阅功能实现律师实时搜索和查找协查单位反馈的调查证据，律师可根据不同的搜索条件进行查询，如时间范围、证据类型、证据大小、证据格式等以便快速定位所需的调查证据进行在线查阅或下载。</w:t>
            </w:r>
          </w:p>
        </w:tc>
      </w:tr>
      <w:tr w14:paraId="4921E09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F33D91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31C404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DDB375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区块链律师调查令-升级调查令申请模块（律师端）-调查证据核验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DE5EF8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调查证据核验实现律师快速核实调查证据的真实性，包含系统自动进行链上校验或律师主动进行链上核验两种方式，上海法院司法区块链根据核验内容返回核验成功或失败的结果，同时返回核验报告。报告内容包含核验内容、核验时间、核验结果、核验过程等信息。</w:t>
            </w:r>
          </w:p>
        </w:tc>
      </w:tr>
      <w:tr w14:paraId="66E0341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3B1A13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082F38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AC56A7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区块链律师调查令-新建调查令服务模块（协查单位端）-扫码核验有效性</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293458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协查单位通过微信扫描调查令的核验二维码即可链上核验调查令的真伪性和有效性，若核验成功，则返回核验报告；若核验失败，则提示调查令未在链上存证或调查令超有效期。</w:t>
            </w:r>
          </w:p>
        </w:tc>
      </w:tr>
      <w:tr w14:paraId="60569E1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23A8E6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B76CE0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7CBBC7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区块链律师调查令-新建调查令服务模块（协查单位端）-在线核验有效性</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E0AD33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协查单位通过输入核验码或上传电子调查令原件的方式进行调查令的真伪性和有效性核验，若核验成功，则返回核验报告；若核验失败，则提示调查令未在链上存证或调查令超有效期。该功能分别支持移动端和网页端。</w:t>
            </w:r>
          </w:p>
        </w:tc>
      </w:tr>
      <w:tr w14:paraId="3E47F46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5FC4E9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B5F0BE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859A20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区块链律师调查令-新建调查令服务模块（协查单位端）-单位认证及登录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1A97DB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未认证的协查单位若存在高频协查证据情形，可在线进行认证申请，经法官审核则可开通账户在线进行证据的回传及调查令的反馈。认证的协查单位可使用账户直接登录系统进行调查令的查询、证据的回传及调查令的反馈。</w:t>
            </w:r>
          </w:p>
        </w:tc>
      </w:tr>
      <w:tr w14:paraId="467C685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976D12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E41B90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A650E4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区块链律师调查令-新建调查令服务模块（协查单位端）-调查证据回传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1E26CF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协查单位可直接回传配合调查的调查证据，协查单位上传调查证据，系统将自动生成文件名、文件格式、文件hash、文件大小等信息并将调查证据进行上链存证，保证流转过程中不被篡改。</w:t>
            </w:r>
          </w:p>
        </w:tc>
      </w:tr>
      <w:tr w14:paraId="101D932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DBC05E2">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13A89F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DCC956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区块链律师调查令-新建调查令服务模块（协查单位端）-调查令反馈</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C8CC99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协查单位可直接对调查令的使用情况进行提交，包含是否使用、使用时间、使用说明以及调查令回执文件。</w:t>
            </w:r>
          </w:p>
        </w:tc>
      </w:tr>
      <w:tr w14:paraId="5743CD2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9A2D99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78360C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625B9F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区块链律师调查令-新建调查令服务模块（协查单位端）-调查令有效性智能合约</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05B3D19">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基于上海法院司法区块链的智能合约能力，编写调查令有效性智能合约，合约内容如下：（调查令是否链上存证、调查令是否在有效期内）</w:t>
            </w:r>
            <w:r>
              <w:rPr>
                <w:rFonts w:hint="eastAsia" w:cs="Tahoma"/>
                <w:color w:val="000000"/>
                <w:kern w:val="0"/>
                <w:sz w:val="22"/>
                <w:szCs w:val="22"/>
              </w:rPr>
              <w:br w:type="textWrapping"/>
            </w:r>
            <w:r>
              <w:rPr>
                <w:rFonts w:hint="eastAsia" w:cs="Tahoma"/>
                <w:color w:val="000000"/>
                <w:kern w:val="0"/>
                <w:sz w:val="22"/>
                <w:szCs w:val="22"/>
              </w:rPr>
              <w:t>协查单位对每一个调查令的核验都在链上生成的调查令真伪核验报告，报告内容包含核验内容、核验时间、核验结果、核验过程等信息。</w:t>
            </w:r>
          </w:p>
        </w:tc>
      </w:tr>
      <w:tr w14:paraId="0FD3007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F22790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88916C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E3B63A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区块链律师调查令-新建调查令服务模块（协查单位端）-调查令核验记录数据存证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769C5B8">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基于上海法院司法区块链的数据存证能力，在律师调查令核验后即时进行调查令核验信息的上链存证。</w:t>
            </w:r>
          </w:p>
        </w:tc>
      </w:tr>
      <w:tr w14:paraId="48B6FF8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CC54F76">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8863C3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0C17F8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区块链律师调查令-新建调查令服务模块（协查单位端）-调查证据信息数据及本体存证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A45F438">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基于上海法院司法区块链的数据存证能力，在律师调查令核验后即时进行调查证据信息及本体的上链存证，保证调查证据不可篡改，用于调查证据的链上核验。</w:t>
            </w:r>
          </w:p>
        </w:tc>
      </w:tr>
      <w:tr w14:paraId="044E51D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F76C40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A4BFBE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00C2E0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诉讼案件材料免提交-电子材料库与一网通办接入</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E4DA8B6">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与上海市政府“区块链+电子材料共享应用子系统”的对接，完成法院电子材料库的登记、认证，获取由市政府统一发放的应用系统身份凭证识别码及应用密钥。</w:t>
            </w:r>
          </w:p>
        </w:tc>
      </w:tr>
      <w:tr w14:paraId="4122A64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BA68B88">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F43C5D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60A608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诉讼案件材料免提交-自然人身份认证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725686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对诉讼立案中使用材料免提交的自然人进行身份认证。</w:t>
            </w:r>
          </w:p>
        </w:tc>
      </w:tr>
      <w:tr w14:paraId="0DEE30C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9511B5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79227D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D0EC05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诉讼案件材料免提交-企业身份认证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9F598A7">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对诉讼立案中使用材料免提交的企业法人进行身份认证。</w:t>
            </w:r>
          </w:p>
        </w:tc>
      </w:tr>
      <w:tr w14:paraId="6890CB0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5D25B0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1F9C98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6B4C7D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诉讼案件材料免提交-电子材料自动检索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063326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对能够免提交的电子材料进行自动检索，面支持的免提交材料包括：居民身份证、居民户口本、户籍证明、结婚证、离婚证、出生医学证明、公司章程、企业投资项目备案证明等内容。</w:t>
            </w:r>
          </w:p>
        </w:tc>
      </w:tr>
      <w:tr w14:paraId="2CBB642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5CA3EF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ADF292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E3AB4A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诉讼案件材料免提交-电子材料检索状态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D32463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系统展示检索状态提示语和当前检索状态，提升检索交互页面友好性。</w:t>
            </w:r>
          </w:p>
        </w:tc>
      </w:tr>
      <w:tr w14:paraId="2897AC1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BFDCEF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2F88B7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40AB8C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诉讼案件材料免提交-电子材料获取授权</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A60A49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当事人根据选取所需提交的材料清单后，授权人民法院相关系统直接获取免提交材料。</w:t>
            </w:r>
          </w:p>
        </w:tc>
      </w:tr>
      <w:tr w14:paraId="3E3E623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DB2E49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2F98CE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A9FCF1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诉讼案件材料免提交-电子材料检索确认</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FD87647">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人系将检索得到的具体材料内容呈现给当事人，由当事人进行确认。</w:t>
            </w:r>
          </w:p>
        </w:tc>
      </w:tr>
      <w:tr w14:paraId="03EB2BA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A4B1C24">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E837F7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5BD27B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诉讼案件材料免提交-电子材料授权获取记录存证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4A8344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对当事人电子材料获取授权记录进行存证，满足事后审计追查要求。</w:t>
            </w:r>
          </w:p>
        </w:tc>
      </w:tr>
      <w:tr w14:paraId="7E5E55A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FF5F8D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A58F84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23A567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诉讼案件材料免提交-电子材料获取</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3152CA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系统根据当事人授权及确认的材料清单目录，获取相关电子材料。</w:t>
            </w:r>
          </w:p>
        </w:tc>
      </w:tr>
      <w:tr w14:paraId="5F0BC22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40821B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7011DE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0E4ECE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诉讼案件材料免提交-案件材料统一赋码编目</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961266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参照市政府标准目录，针对法院诉讼立案可免重复提交的电子材料进行统一赋码编目。</w:t>
            </w:r>
          </w:p>
        </w:tc>
      </w:tr>
      <w:tr w14:paraId="27BB1AB4">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124C9A8">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B590A4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1ECDE6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诉讼案件材料免提交-电子材料业务数据提取</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71CD24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针对部分非结构化的文件数据，系统可对文件中的数据进行提取并形成办案所需的结构化数据。</w:t>
            </w:r>
          </w:p>
        </w:tc>
      </w:tr>
      <w:tr w14:paraId="17D9D05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FFC2503">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724B1B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5C29A3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诉讼案件材料免提交-业务数据手动修改和输入</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5A2F69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法官可对提取后的数据进一步审查确认，对识别错误的信息进行修正、补齐。</w:t>
            </w:r>
          </w:p>
        </w:tc>
      </w:tr>
      <w:tr w14:paraId="63CB3BDE">
        <w:tblPrEx>
          <w:tblCellMar>
            <w:top w:w="0" w:type="dxa"/>
            <w:left w:w="108" w:type="dxa"/>
            <w:bottom w:w="0" w:type="dxa"/>
            <w:right w:w="108" w:type="dxa"/>
          </w:tblCellMar>
        </w:tblPrEx>
        <w:trPr>
          <w:trHeight w:val="9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A1ABE9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F0ECC6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5C33BB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诉讼案件材料免提交-不可信电子材料的处理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DD6C83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当事人诉讼立案所提交的电子材料中，如有未通过审查的标准目录材料，可将这些电子材料标记为不可信，后续将不用于任何自动化的材料汇聚共享。</w:t>
            </w:r>
          </w:p>
        </w:tc>
      </w:tr>
      <w:tr w14:paraId="1A6632E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6C4B0D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2C1890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5B3296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诉讼案件材料免提交-已审查电子材料索引上链</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54886C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利用上海法院司法区块链的存证服务，实现已审查电子材料索引信息存证。</w:t>
            </w:r>
          </w:p>
        </w:tc>
      </w:tr>
      <w:tr w14:paraId="5479A31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DBC199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42DB25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8202F5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诉讼案件材料免提交-法院间电子材料共享服务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5C5E89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定制法院系统内部电子材料共享接口，支持上海市各中院、其他地区法院通过该接口获取曾在上海市法院提交并通过认证的电子材料。</w:t>
            </w:r>
          </w:p>
        </w:tc>
      </w:tr>
      <w:tr w14:paraId="4B7FAC9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973150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EF9AB2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B28685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诉讼案件材料免提交-电子材料访问授权</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838862A">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为纳入本案相关电子材料设定相应的访问权限，默认情况下电子材料只有承办法官、案件当事人及其代理律师可以访问。</w:t>
            </w:r>
          </w:p>
        </w:tc>
      </w:tr>
      <w:tr w14:paraId="06AAD32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C0CBA39">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F5124B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6F9DAF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诉讼案件材料免提交-电子材料溯源核验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A51295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对接入的电子材料进行溯源核验，并出具电子材料区块链溯源证明。</w:t>
            </w:r>
          </w:p>
        </w:tc>
      </w:tr>
      <w:tr w14:paraId="754092D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272767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C38DA5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C1D7DF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诉讼案件材料免提交-电子材料核验记录存证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27673A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系统对电子证据的溯源核验、一致性核验过程日志实时记录，并及时存证。</w:t>
            </w:r>
          </w:p>
        </w:tc>
      </w:tr>
      <w:tr w14:paraId="56AE798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94EC1B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D69469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AC5FDE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涉外商事材料文书可信流转-调解产生的法律文书存证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8AA41E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当事人在调解系统补充的证据材料、质证意见，调解员在调解系统产生的调解笔录、调解协议、送达回证等调解案件相关文书统一上链存证。</w:t>
            </w:r>
          </w:p>
        </w:tc>
      </w:tr>
      <w:tr w14:paraId="0125885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E78341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47405B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20D0F5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涉外商事材料文书可信流转-司法鉴定报告存证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A120A6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完成司法鉴定程序后，司法鉴定机构在司法鉴定委托平台上传《司法鉴定意见书》，本体、文件要素、操作记录上链存证。</w:t>
            </w:r>
          </w:p>
        </w:tc>
      </w:tr>
      <w:tr w14:paraId="3F082AD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7ECBF5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075FE0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99EE3B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涉外商事材料文书可信流转-公证书存证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F93AAB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公证处在公证办案系统上传《公证书》，对本体上链存证，对上传机构信息、材料信息、操作记录存证。</w:t>
            </w:r>
          </w:p>
        </w:tc>
      </w:tr>
      <w:tr w14:paraId="57C4517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76001C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92FEA7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E425DD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涉外商事材料文书可信流转-翻译材料存证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31640E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法院上传翻译材料，翻译材料本体、上传时间、材料类型等上链存证，通过网上平台进行线上委托后，委托材料上链存证并关联翻译材料和案件。</w:t>
            </w:r>
          </w:p>
        </w:tc>
      </w:tr>
      <w:tr w14:paraId="355F7F5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5EBA6DC">
            <w:pPr>
              <w:widowControl/>
              <w:spacing w:line="240" w:lineRule="auto"/>
              <w:ind w:firstLine="0" w:firstLineChars="0"/>
              <w:jc w:val="center"/>
              <w:rPr>
                <w:rFonts w:hint="eastAsia"/>
                <w:color w:val="000000"/>
                <w:sz w:val="22"/>
                <w:szCs w:val="22"/>
              </w:rPr>
            </w:pPr>
            <w:r>
              <w:rPr>
                <w:rFonts w:hint="eastAsia"/>
                <w:color w:val="000000"/>
                <w:sz w:val="22"/>
                <w:szCs w:val="22"/>
              </w:rPr>
              <w:t>54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C6D1EA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13D2F7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涉外商事材料文书可信流转-仲裁文书存证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3523F9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当事人在仲裁系统上上传的仲裁申请书、仲裁员在仲裁系统上上传的受理通知书，材料本体、材料清单要素、上传记录等上链存证。</w:t>
            </w:r>
          </w:p>
        </w:tc>
      </w:tr>
      <w:tr w14:paraId="5272A67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BA61370">
            <w:pPr>
              <w:widowControl/>
              <w:spacing w:line="240" w:lineRule="auto"/>
              <w:ind w:firstLine="0" w:firstLineChars="0"/>
              <w:jc w:val="center"/>
              <w:rPr>
                <w:rFonts w:hint="eastAsia"/>
                <w:color w:val="000000"/>
                <w:sz w:val="22"/>
                <w:szCs w:val="22"/>
              </w:rPr>
            </w:pPr>
            <w:r>
              <w:rPr>
                <w:rFonts w:hint="eastAsia"/>
                <w:color w:val="000000"/>
                <w:sz w:val="22"/>
                <w:szCs w:val="22"/>
              </w:rPr>
              <w:t>55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D4484C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8A7B9D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涉外商事材料文书可信流转-调解卷宗流转至法院并核验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59223C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当事人在调解系统上传的证据材料、质证意见，调解系统产生的调解笔录、调解协议、送达回证等材料上链存证，启动立案或者司法确认程序时授权法院案件承办法官，对调解卷宗材料进行完整性一致性核验。</w:t>
            </w:r>
          </w:p>
        </w:tc>
      </w:tr>
      <w:tr w14:paraId="54419D23">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368E6AB">
            <w:pPr>
              <w:widowControl/>
              <w:spacing w:line="240" w:lineRule="auto"/>
              <w:ind w:firstLine="0" w:firstLineChars="0"/>
              <w:jc w:val="center"/>
              <w:rPr>
                <w:rFonts w:hint="eastAsia"/>
                <w:color w:val="000000"/>
                <w:sz w:val="22"/>
                <w:szCs w:val="22"/>
              </w:rPr>
            </w:pPr>
            <w:r>
              <w:rPr>
                <w:rFonts w:hint="eastAsia"/>
                <w:color w:val="000000"/>
                <w:sz w:val="22"/>
                <w:szCs w:val="22"/>
              </w:rPr>
              <w:t>56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A65F3E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449DCB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涉外商事材料文书可信流转-司法鉴定报告流转核验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0A4905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授权案件的当事人及法官，当事人可以在司法鉴定委托平台查看核验《司法鉴定意见书》，法官可以查看核验《司法鉴定意见书》并上传质证意见。</w:t>
            </w:r>
          </w:p>
        </w:tc>
      </w:tr>
      <w:tr w14:paraId="02DF711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4363183">
            <w:pPr>
              <w:widowControl/>
              <w:spacing w:line="240" w:lineRule="auto"/>
              <w:ind w:firstLine="0" w:firstLineChars="0"/>
              <w:jc w:val="center"/>
              <w:rPr>
                <w:rFonts w:hint="eastAsia"/>
                <w:color w:val="000000"/>
                <w:sz w:val="22"/>
                <w:szCs w:val="22"/>
              </w:rPr>
            </w:pPr>
            <w:r>
              <w:rPr>
                <w:rFonts w:hint="eastAsia"/>
                <w:color w:val="000000"/>
                <w:sz w:val="22"/>
                <w:szCs w:val="22"/>
              </w:rPr>
              <w:t>57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E165AB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AA2D62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涉外商事材料文书可信流转-公证书流转核验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3FE6E6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公证处在公证办案系统上传《公证书》，并关联相关案件，授权案件承办人、当事人，法官和当事人可以在审判系统上查看、使用及核验。</w:t>
            </w:r>
          </w:p>
        </w:tc>
      </w:tr>
      <w:tr w14:paraId="3015A90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10348D0">
            <w:pPr>
              <w:widowControl/>
              <w:spacing w:line="240" w:lineRule="auto"/>
              <w:ind w:firstLine="0" w:firstLineChars="0"/>
              <w:jc w:val="center"/>
              <w:rPr>
                <w:rFonts w:hint="eastAsia"/>
                <w:color w:val="000000"/>
                <w:sz w:val="22"/>
                <w:szCs w:val="22"/>
              </w:rPr>
            </w:pPr>
            <w:r>
              <w:rPr>
                <w:rFonts w:hint="eastAsia"/>
                <w:color w:val="000000"/>
                <w:sz w:val="22"/>
                <w:szCs w:val="22"/>
              </w:rPr>
              <w:t>58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60D474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673647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涉外商事材料文书可信流转-翻译结果文书流转核验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3E26A5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翻译机构通过网上委托平台上传翻译报告，关联审判系统案件，授权相关案件承办人、当事人，可以在审判系统查看翻译报告并核验。</w:t>
            </w:r>
          </w:p>
        </w:tc>
      </w:tr>
      <w:tr w14:paraId="757049D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A013D57">
            <w:pPr>
              <w:widowControl/>
              <w:spacing w:line="240" w:lineRule="auto"/>
              <w:ind w:firstLine="0" w:firstLineChars="0"/>
              <w:jc w:val="center"/>
              <w:rPr>
                <w:rFonts w:hint="eastAsia"/>
                <w:color w:val="000000"/>
                <w:sz w:val="22"/>
                <w:szCs w:val="22"/>
              </w:rPr>
            </w:pPr>
            <w:r>
              <w:rPr>
                <w:rFonts w:hint="eastAsia"/>
                <w:color w:val="000000"/>
                <w:sz w:val="22"/>
                <w:szCs w:val="22"/>
              </w:rPr>
              <w:t>59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C9B125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41C58D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涉外商事材料文书可信流转-仲裁文书及财产保全材料流转核验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E8A29B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当事人、仲裁员在仲裁系统上传的仲裁文书，仲裁院在上海法院保全管理系统提交的仲裁财产保全申请材料在法院受理后，授权经办人可以查看仲裁文书和财产保全委托相关材料并核验。</w:t>
            </w:r>
          </w:p>
        </w:tc>
      </w:tr>
      <w:tr w14:paraId="6939BC7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FCDCBEB">
            <w:pPr>
              <w:widowControl/>
              <w:spacing w:line="240" w:lineRule="auto"/>
              <w:ind w:firstLine="0" w:firstLineChars="0"/>
              <w:jc w:val="center"/>
              <w:rPr>
                <w:rFonts w:hint="eastAsia"/>
                <w:color w:val="000000"/>
                <w:sz w:val="22"/>
                <w:szCs w:val="22"/>
              </w:rPr>
            </w:pPr>
            <w:r>
              <w:rPr>
                <w:rFonts w:hint="eastAsia"/>
                <w:color w:val="000000"/>
                <w:sz w:val="22"/>
                <w:szCs w:val="22"/>
              </w:rPr>
              <w:t>60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514D84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BBAEB6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人民陪审员在线办案-身份认证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CE57155">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当人民陪审员首次使用时，提供统一身份认证功能，获取授权的人员陪审员身份信息，完成人员身份验证，核验通过后即可进行后续办理功能。</w:t>
            </w:r>
          </w:p>
        </w:tc>
      </w:tr>
      <w:tr w14:paraId="6ED5E57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6FF30D6">
            <w:pPr>
              <w:widowControl/>
              <w:spacing w:line="240" w:lineRule="auto"/>
              <w:ind w:firstLine="0" w:firstLineChars="0"/>
              <w:jc w:val="center"/>
              <w:rPr>
                <w:rFonts w:hint="eastAsia"/>
                <w:color w:val="000000"/>
                <w:sz w:val="22"/>
                <w:szCs w:val="22"/>
              </w:rPr>
            </w:pPr>
            <w:r>
              <w:rPr>
                <w:rFonts w:hint="eastAsia"/>
                <w:color w:val="000000"/>
                <w:sz w:val="22"/>
                <w:szCs w:val="22"/>
              </w:rPr>
              <w:t>61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701704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D3C911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人民陪审员在线办案-首页</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7979FA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1、提供人民陪审员业务办理功能矩阵，包括庭审排期、在线合议、在线开庭、我的案件、在线阅卷等功能；</w:t>
            </w:r>
            <w:r>
              <w:rPr>
                <w:rFonts w:hint="eastAsia" w:cs="Tahoma"/>
                <w:color w:val="000000"/>
                <w:kern w:val="0"/>
                <w:sz w:val="22"/>
                <w:szCs w:val="22"/>
              </w:rPr>
              <w:br w:type="textWrapping"/>
            </w:r>
            <w:r>
              <w:rPr>
                <w:rFonts w:hint="eastAsia" w:cs="Tahoma"/>
                <w:color w:val="000000"/>
                <w:kern w:val="0"/>
                <w:sz w:val="22"/>
                <w:szCs w:val="22"/>
              </w:rPr>
              <w:t>2、汇聚各类代办事项，集中展示该人民陪审员的各项代办事项任务，提供快捷办理方式</w:t>
            </w:r>
            <w:r>
              <w:rPr>
                <w:rFonts w:hint="eastAsia" w:cs="Tahoma"/>
                <w:color w:val="000000"/>
                <w:kern w:val="0"/>
                <w:sz w:val="22"/>
                <w:szCs w:val="22"/>
              </w:rPr>
              <w:br w:type="textWrapping"/>
            </w:r>
            <w:r>
              <w:rPr>
                <w:rFonts w:hint="eastAsia" w:cs="Tahoma"/>
                <w:color w:val="000000"/>
                <w:kern w:val="0"/>
                <w:sz w:val="22"/>
                <w:szCs w:val="22"/>
              </w:rPr>
              <w:t>3、支持浅色和深色两种主题风格切换。</w:t>
            </w:r>
          </w:p>
        </w:tc>
      </w:tr>
      <w:tr w14:paraId="046C258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ED13830">
            <w:pPr>
              <w:widowControl/>
              <w:spacing w:line="240" w:lineRule="auto"/>
              <w:ind w:firstLine="0" w:firstLineChars="0"/>
              <w:jc w:val="center"/>
              <w:rPr>
                <w:rFonts w:hint="eastAsia"/>
                <w:color w:val="000000"/>
                <w:sz w:val="22"/>
                <w:szCs w:val="22"/>
              </w:rPr>
            </w:pPr>
            <w:r>
              <w:rPr>
                <w:rFonts w:hint="eastAsia"/>
                <w:color w:val="000000"/>
                <w:sz w:val="22"/>
                <w:szCs w:val="22"/>
              </w:rPr>
              <w:t>62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B654C3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829144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人民陪审员在线办案-任务管理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AFC844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需人民陪审员参审的案件完成自动机选后，将需参审的案件推送至对应人民陪审员的任务管理模块中，陪审员可根据案件及自身实际情况选择是否接受该案件陪审，接受后案件自动进入“我的案件”中；若拒绝任务时，需填写对应理由。</w:t>
            </w:r>
          </w:p>
        </w:tc>
      </w:tr>
      <w:tr w14:paraId="417CA25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3E8CF03">
            <w:pPr>
              <w:widowControl/>
              <w:spacing w:line="240" w:lineRule="auto"/>
              <w:ind w:firstLine="0" w:firstLineChars="0"/>
              <w:jc w:val="center"/>
              <w:rPr>
                <w:rFonts w:hint="eastAsia"/>
                <w:color w:val="000000"/>
                <w:sz w:val="22"/>
                <w:szCs w:val="22"/>
              </w:rPr>
            </w:pPr>
            <w:r>
              <w:rPr>
                <w:rFonts w:hint="eastAsia"/>
                <w:color w:val="000000"/>
                <w:sz w:val="22"/>
                <w:szCs w:val="22"/>
              </w:rPr>
              <w:t>63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55A828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C4F3A9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人民陪审员在线办案-我的案件</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6882EEA">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直观展示本人尚未参审的案件列表，点击后展示该案详情，包括案件基本信息、当事人及其他诉讼参与人信息、开庭信息、审判组织成员信息等内容，实现对案件信息的全局把控；针对已参审的案件提供访问入口，支持查看已参审的案件信息。</w:t>
            </w:r>
          </w:p>
        </w:tc>
      </w:tr>
      <w:tr w14:paraId="1857741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56CF3EA">
            <w:pPr>
              <w:widowControl/>
              <w:spacing w:line="240" w:lineRule="auto"/>
              <w:ind w:firstLine="0" w:firstLineChars="0"/>
              <w:jc w:val="center"/>
              <w:rPr>
                <w:rFonts w:hint="eastAsia"/>
                <w:color w:val="000000"/>
                <w:sz w:val="22"/>
                <w:szCs w:val="22"/>
              </w:rPr>
            </w:pPr>
            <w:r>
              <w:rPr>
                <w:rFonts w:hint="eastAsia"/>
                <w:color w:val="000000"/>
                <w:sz w:val="22"/>
                <w:szCs w:val="22"/>
              </w:rPr>
              <w:t>64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FD6521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C172BE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人民陪审员在线办案-我的案件</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FFBC23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提供案件查询功能，可通过案号、当事人名称、案件状态、主审参审类别、案由名称、立案时间等条件进行精准查询，实现人民陪审员对所需办理案件的快速查询。</w:t>
            </w:r>
          </w:p>
        </w:tc>
      </w:tr>
      <w:tr w14:paraId="6BF6DFC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E0DF065">
            <w:pPr>
              <w:widowControl/>
              <w:spacing w:line="240" w:lineRule="auto"/>
              <w:ind w:firstLine="0" w:firstLineChars="0"/>
              <w:jc w:val="center"/>
              <w:rPr>
                <w:rFonts w:hint="eastAsia"/>
                <w:color w:val="000000"/>
                <w:sz w:val="22"/>
                <w:szCs w:val="22"/>
              </w:rPr>
            </w:pPr>
            <w:r>
              <w:rPr>
                <w:rFonts w:hint="eastAsia"/>
                <w:color w:val="000000"/>
                <w:sz w:val="22"/>
                <w:szCs w:val="22"/>
              </w:rPr>
              <w:t>65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7CC429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222492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人民陪审员在线办案-我的排期</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85C676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以周历、月历的方式展示陪审员参审案件开庭时间安排情况，并提供快捷参加合议或开庭的功能。</w:t>
            </w:r>
          </w:p>
        </w:tc>
      </w:tr>
      <w:tr w14:paraId="68EC25B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8F3086A">
            <w:pPr>
              <w:widowControl/>
              <w:spacing w:line="240" w:lineRule="auto"/>
              <w:ind w:firstLine="0" w:firstLineChars="0"/>
              <w:jc w:val="center"/>
              <w:rPr>
                <w:rFonts w:hint="eastAsia"/>
                <w:color w:val="000000"/>
                <w:sz w:val="22"/>
                <w:szCs w:val="22"/>
              </w:rPr>
            </w:pPr>
            <w:r>
              <w:rPr>
                <w:rFonts w:hint="eastAsia"/>
                <w:color w:val="000000"/>
                <w:sz w:val="22"/>
                <w:szCs w:val="22"/>
              </w:rPr>
              <w:t>66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E96BCE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7DA91A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人民陪审员在线办案-我要阅卷-阅卷申请</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712D7C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陪审员可在参审案件中选择对应的案件进行线上阅卷或线下阅卷的申请，线下阅卷申请时需提交对应的阅卷时间，申请信息将提交给相应的承办法官进行审批。</w:t>
            </w:r>
          </w:p>
        </w:tc>
      </w:tr>
      <w:tr w14:paraId="317A530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6708B97">
            <w:pPr>
              <w:widowControl/>
              <w:spacing w:line="240" w:lineRule="auto"/>
              <w:ind w:firstLine="0" w:firstLineChars="0"/>
              <w:jc w:val="center"/>
              <w:rPr>
                <w:rFonts w:hint="eastAsia"/>
                <w:color w:val="000000"/>
                <w:sz w:val="22"/>
                <w:szCs w:val="22"/>
              </w:rPr>
            </w:pPr>
            <w:r>
              <w:rPr>
                <w:rFonts w:hint="eastAsia"/>
                <w:color w:val="000000"/>
                <w:sz w:val="22"/>
                <w:szCs w:val="22"/>
              </w:rPr>
              <w:t>67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6A8081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74ADA8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人民陪审员在线办案-我要阅卷-阅卷审批</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DAD6EA3">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法官可在审判办案系统中对提出陪审员阅卷申请进行审批，并限定人民陪审员所阅案件的电子卷宗范围，限制的卷宗内容则不在人民陪审员端展示。</w:t>
            </w:r>
          </w:p>
        </w:tc>
      </w:tr>
      <w:tr w14:paraId="5AEE366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CCF4DDE">
            <w:pPr>
              <w:widowControl/>
              <w:spacing w:line="240" w:lineRule="auto"/>
              <w:ind w:firstLine="0" w:firstLineChars="0"/>
              <w:jc w:val="center"/>
              <w:rPr>
                <w:rFonts w:hint="eastAsia"/>
                <w:color w:val="000000"/>
                <w:sz w:val="22"/>
                <w:szCs w:val="22"/>
              </w:rPr>
            </w:pPr>
            <w:r>
              <w:rPr>
                <w:rFonts w:hint="eastAsia"/>
                <w:color w:val="000000"/>
                <w:sz w:val="22"/>
                <w:szCs w:val="22"/>
              </w:rPr>
              <w:t>68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7EB04D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E25284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人民陪审员在线办案-我要阅卷-卷宗智能预览</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287485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支持电子卷宗在线预览，支持文件内容进行放大、缩小、1:1还原展示，放大/缩小范围为100%~200%，便于移动端阅读和进行文件批注；支持左右切换按钮，可切换展示上一份文件和下一份文件，无上一份文件/下一份文件时，对应切换按钮隐藏。</w:t>
            </w:r>
          </w:p>
        </w:tc>
      </w:tr>
      <w:tr w14:paraId="2771125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FAAB5C1">
            <w:pPr>
              <w:widowControl/>
              <w:spacing w:line="240" w:lineRule="auto"/>
              <w:ind w:firstLine="0" w:firstLineChars="0"/>
              <w:jc w:val="center"/>
              <w:rPr>
                <w:rFonts w:hint="eastAsia"/>
                <w:color w:val="000000"/>
                <w:sz w:val="22"/>
                <w:szCs w:val="22"/>
              </w:rPr>
            </w:pPr>
            <w:r>
              <w:rPr>
                <w:rFonts w:hint="eastAsia"/>
                <w:color w:val="000000"/>
                <w:sz w:val="22"/>
                <w:szCs w:val="22"/>
              </w:rPr>
              <w:t>69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30BBC3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440D48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人民陪审员在线办案-我要阅卷-卷宗批注</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6257E7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保留用户传统手写和阅读习惯，支持在卷宗的任意位置进行任意的圈画操作，记录用户的圈画痕迹，并以pdf格式文件保留，批注后的文档和原有文档独立存储互不影响。</w:t>
            </w:r>
          </w:p>
        </w:tc>
      </w:tr>
      <w:tr w14:paraId="191E17F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7D86FAA">
            <w:pPr>
              <w:widowControl/>
              <w:spacing w:line="240" w:lineRule="auto"/>
              <w:ind w:firstLine="0" w:firstLineChars="0"/>
              <w:jc w:val="center"/>
              <w:rPr>
                <w:rFonts w:hint="eastAsia"/>
                <w:color w:val="000000"/>
                <w:sz w:val="22"/>
                <w:szCs w:val="22"/>
              </w:rPr>
            </w:pPr>
            <w:r>
              <w:rPr>
                <w:rFonts w:hint="eastAsia"/>
                <w:color w:val="000000"/>
                <w:sz w:val="22"/>
                <w:szCs w:val="22"/>
              </w:rPr>
              <w:t>70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540961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9CBA9B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人民陪审员在线办案-我要阅卷-卷宗回收</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53A500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当案件审理结束后，系统将自动回收案件卷宗，陪审员不可进行阅卷。</w:t>
            </w:r>
          </w:p>
        </w:tc>
      </w:tr>
      <w:tr w14:paraId="4AA0272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28ACB6E">
            <w:pPr>
              <w:widowControl/>
              <w:spacing w:line="240" w:lineRule="auto"/>
              <w:ind w:firstLine="0" w:firstLineChars="0"/>
              <w:jc w:val="center"/>
              <w:rPr>
                <w:rFonts w:hint="eastAsia"/>
                <w:color w:val="000000"/>
                <w:sz w:val="22"/>
                <w:szCs w:val="22"/>
              </w:rPr>
            </w:pPr>
            <w:r>
              <w:rPr>
                <w:rFonts w:hint="eastAsia"/>
                <w:color w:val="000000"/>
                <w:sz w:val="22"/>
                <w:szCs w:val="22"/>
              </w:rPr>
              <w:t>71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1AB0D3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A277B3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人民陪审员在线办案-参加开庭</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7AE73E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对接在线庭审，提供互联网视频庭审功能，陪审员选择具体案件后直接进入庭审会议，进行庭审活动。</w:t>
            </w:r>
          </w:p>
        </w:tc>
      </w:tr>
      <w:tr w14:paraId="4417718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D09CCCA">
            <w:pPr>
              <w:widowControl/>
              <w:spacing w:line="240" w:lineRule="auto"/>
              <w:ind w:firstLine="0" w:firstLineChars="0"/>
              <w:jc w:val="center"/>
              <w:rPr>
                <w:rFonts w:hint="eastAsia"/>
                <w:color w:val="000000"/>
                <w:sz w:val="22"/>
                <w:szCs w:val="22"/>
              </w:rPr>
            </w:pPr>
            <w:r>
              <w:rPr>
                <w:rFonts w:hint="eastAsia"/>
                <w:color w:val="000000"/>
                <w:sz w:val="22"/>
                <w:szCs w:val="22"/>
              </w:rPr>
              <w:t>72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C025D3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1BFD0B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人民陪审员在线办案-参加合议</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6B7CBE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提供互联网视频合议功能，陪审员选择具体案件后直接进入合议室，进行合议。</w:t>
            </w:r>
          </w:p>
        </w:tc>
      </w:tr>
      <w:tr w14:paraId="390156D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26B59DA">
            <w:pPr>
              <w:widowControl/>
              <w:spacing w:line="240" w:lineRule="auto"/>
              <w:ind w:firstLine="0" w:firstLineChars="0"/>
              <w:jc w:val="center"/>
              <w:rPr>
                <w:rFonts w:hint="eastAsia"/>
                <w:color w:val="000000"/>
                <w:sz w:val="22"/>
                <w:szCs w:val="22"/>
              </w:rPr>
            </w:pPr>
            <w:r>
              <w:rPr>
                <w:rFonts w:hint="eastAsia"/>
                <w:color w:val="000000"/>
                <w:sz w:val="22"/>
                <w:szCs w:val="22"/>
              </w:rPr>
              <w:t>73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B62EC2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D0AFDA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人民陪审员在线办案-一案一群</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9B17C7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对接一案一群功能，实现陪审员参与参审案件群聊，高效开展审理阶段的多方交流，提升办案效率。</w:t>
            </w:r>
          </w:p>
        </w:tc>
      </w:tr>
      <w:tr w14:paraId="5B1FB72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36D8659">
            <w:pPr>
              <w:widowControl/>
              <w:spacing w:line="240" w:lineRule="auto"/>
              <w:ind w:firstLine="0" w:firstLineChars="0"/>
              <w:jc w:val="center"/>
              <w:rPr>
                <w:rFonts w:hint="eastAsia"/>
                <w:color w:val="000000"/>
                <w:sz w:val="22"/>
                <w:szCs w:val="22"/>
              </w:rPr>
            </w:pPr>
            <w:r>
              <w:rPr>
                <w:rFonts w:hint="eastAsia"/>
                <w:color w:val="000000"/>
                <w:sz w:val="22"/>
                <w:szCs w:val="22"/>
              </w:rPr>
              <w:t>74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BC7AAB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5EC488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人民陪审员在线办案-我要请假</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4A64E89">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向陪审员提供请假申请功能，1）实现提交请假后在请假期间系统不再分配案件给陪审员，当请假结束后系统自动进入再次机选环节，无需人工干预。2）针对已安排未开庭的案件，填写请假事由后向承办法官提交申请，方便案件法官掌握情况及时更换陪审员。当法官审核后，可将对应结果告知陪审员。3）提供查询历史请假记录。</w:t>
            </w:r>
          </w:p>
        </w:tc>
      </w:tr>
      <w:tr w14:paraId="3A31EF1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AC26E1E">
            <w:pPr>
              <w:widowControl/>
              <w:spacing w:line="240" w:lineRule="auto"/>
              <w:ind w:firstLine="0" w:firstLineChars="0"/>
              <w:jc w:val="center"/>
              <w:rPr>
                <w:rFonts w:hint="eastAsia"/>
                <w:color w:val="000000"/>
                <w:sz w:val="22"/>
                <w:szCs w:val="22"/>
              </w:rPr>
            </w:pPr>
            <w:r>
              <w:rPr>
                <w:rFonts w:hint="eastAsia"/>
                <w:color w:val="000000"/>
                <w:sz w:val="22"/>
                <w:szCs w:val="22"/>
              </w:rPr>
              <w:t>75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007670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707D06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人民陪审员在线办案-消息沟通</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1D3ECD9">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通过汇聚各模块功能中消息与留言，陪审员可在本功能中查看法官、书记员发送的各类消息，并支持与审判组织成员进行消息沟通。</w:t>
            </w:r>
          </w:p>
        </w:tc>
      </w:tr>
      <w:tr w14:paraId="324508F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8AD156E">
            <w:pPr>
              <w:widowControl/>
              <w:spacing w:line="240" w:lineRule="auto"/>
              <w:ind w:firstLine="0" w:firstLineChars="0"/>
              <w:jc w:val="center"/>
              <w:rPr>
                <w:rFonts w:hint="eastAsia"/>
                <w:color w:val="000000"/>
                <w:sz w:val="22"/>
                <w:szCs w:val="22"/>
              </w:rPr>
            </w:pPr>
            <w:r>
              <w:rPr>
                <w:rFonts w:hint="eastAsia"/>
                <w:color w:val="000000"/>
                <w:sz w:val="22"/>
                <w:szCs w:val="22"/>
              </w:rPr>
              <w:t>76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131BD49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DB6433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人民陪审员在线办案-通知提醒</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43EA4C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汇聚展示各模块中的通知提醒，可快速的进入办理页面。</w:t>
            </w:r>
          </w:p>
        </w:tc>
      </w:tr>
      <w:tr w14:paraId="2D4CB9B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D74CF6F">
            <w:pPr>
              <w:widowControl/>
              <w:spacing w:line="240" w:lineRule="auto"/>
              <w:ind w:firstLine="0" w:firstLineChars="0"/>
              <w:jc w:val="center"/>
              <w:rPr>
                <w:rFonts w:hint="eastAsia"/>
                <w:color w:val="000000"/>
                <w:sz w:val="22"/>
                <w:szCs w:val="22"/>
              </w:rPr>
            </w:pPr>
            <w:r>
              <w:rPr>
                <w:rFonts w:hint="eastAsia"/>
                <w:color w:val="000000"/>
                <w:sz w:val="22"/>
                <w:szCs w:val="22"/>
              </w:rPr>
              <w:t>77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5468C8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E8AABA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人民陪审员在线办案-在线学习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8E8FD5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运用多媒体技术，让陪审员多渠道全方位深刻了解职业道德、庭审规则、参审流程、人民陪审员制度等相关制度规定，使陪审员能够利用碎片化时间，随时随地开启“指尖学习”。</w:t>
            </w:r>
          </w:p>
        </w:tc>
      </w:tr>
      <w:tr w14:paraId="073DA73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37E8982">
            <w:pPr>
              <w:widowControl/>
              <w:spacing w:line="240" w:lineRule="auto"/>
              <w:ind w:firstLine="0" w:firstLineChars="0"/>
              <w:jc w:val="center"/>
              <w:rPr>
                <w:rFonts w:hint="eastAsia"/>
                <w:color w:val="000000"/>
                <w:sz w:val="22"/>
                <w:szCs w:val="22"/>
              </w:rPr>
            </w:pPr>
            <w:r>
              <w:rPr>
                <w:rFonts w:hint="eastAsia"/>
                <w:color w:val="000000"/>
                <w:sz w:val="22"/>
                <w:szCs w:val="22"/>
              </w:rPr>
              <w:t>78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86E381C">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76B7BF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人民陪审员在线办案-个人中心-陪审统计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1806F6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向人民陪审员提供参审工作量及履职态度能力统计分析功能。</w:t>
            </w:r>
          </w:p>
        </w:tc>
      </w:tr>
      <w:tr w14:paraId="39B4760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345C88B">
            <w:pPr>
              <w:widowControl/>
              <w:spacing w:line="240" w:lineRule="auto"/>
              <w:ind w:firstLine="0" w:firstLineChars="0"/>
              <w:jc w:val="center"/>
              <w:rPr>
                <w:rFonts w:hint="eastAsia"/>
                <w:color w:val="000000"/>
                <w:sz w:val="22"/>
                <w:szCs w:val="22"/>
              </w:rPr>
            </w:pPr>
            <w:r>
              <w:rPr>
                <w:rFonts w:hint="eastAsia"/>
                <w:color w:val="000000"/>
                <w:sz w:val="22"/>
                <w:szCs w:val="22"/>
              </w:rPr>
              <w:t>79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72B603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61761D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人民陪审员在线办案-个人中心-津贴查看</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A116DF6">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向人民陪审员提供参审案件津贴查看功能。</w:t>
            </w:r>
          </w:p>
        </w:tc>
      </w:tr>
      <w:tr w14:paraId="7EF11DD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B21719D">
            <w:pPr>
              <w:widowControl/>
              <w:spacing w:line="240" w:lineRule="auto"/>
              <w:ind w:firstLine="0" w:firstLineChars="0"/>
              <w:jc w:val="center"/>
              <w:rPr>
                <w:rFonts w:hint="eastAsia"/>
                <w:color w:val="000000"/>
                <w:sz w:val="22"/>
                <w:szCs w:val="22"/>
              </w:rPr>
            </w:pPr>
            <w:r>
              <w:rPr>
                <w:rFonts w:hint="eastAsia"/>
                <w:color w:val="000000"/>
                <w:sz w:val="22"/>
                <w:szCs w:val="22"/>
              </w:rPr>
              <w:t>80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2D108A4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E956B0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人民陪审员在线办案-个人中心-个人信息</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537F64F">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向人民陪审员提供个人信息维护功能，相关信息维护后将同步至人民陪审员管理系统中，待审批通过后方可生效。</w:t>
            </w:r>
          </w:p>
        </w:tc>
      </w:tr>
      <w:tr w14:paraId="13DCB38C">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311FB80">
            <w:pPr>
              <w:widowControl/>
              <w:spacing w:line="240" w:lineRule="auto"/>
              <w:ind w:firstLine="0" w:firstLineChars="0"/>
              <w:jc w:val="center"/>
              <w:rPr>
                <w:rFonts w:hint="eastAsia"/>
                <w:color w:val="000000"/>
                <w:sz w:val="22"/>
                <w:szCs w:val="22"/>
              </w:rPr>
            </w:pPr>
            <w:r>
              <w:rPr>
                <w:rFonts w:hint="eastAsia"/>
                <w:color w:val="000000"/>
                <w:sz w:val="22"/>
                <w:szCs w:val="22"/>
              </w:rPr>
              <w:t>81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3EA1AD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业务办理协同化服务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715876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人民陪审员在线办案-个人中心-基础功能设置</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FF923B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向人民陪审员提供各类基础功能设置，1）密码管理，提供修改密码、找回密码、设置安全问题等功能，以保障账户安全。2）绑定与解绑，提供手机号、微信账号的绑定或解绑功能；3）偏好设置，提供用户修改界面风格、字体大小等；4）帮助与反馈，提供用户帮助文档、常见问题解答等。</w:t>
            </w:r>
          </w:p>
        </w:tc>
      </w:tr>
    </w:tbl>
    <w:p w14:paraId="19431134">
      <w:pPr>
        <w:ind w:firstLine="0" w:firstLineChars="0"/>
        <w:rPr>
          <w:rFonts w:hint="eastAsia"/>
        </w:rPr>
      </w:pPr>
    </w:p>
    <w:p w14:paraId="36D11855">
      <w:pPr>
        <w:ind w:left="482" w:firstLine="0" w:firstLineChars="0"/>
        <w:outlineLvl w:val="2"/>
        <w:rPr>
          <w:rFonts w:hint="eastAsia" w:cs="仿宋"/>
          <w:b/>
          <w:bCs/>
        </w:rPr>
      </w:pPr>
      <w:r>
        <w:rPr>
          <w:rFonts w:cs="仿宋"/>
          <w:b/>
          <w:bCs/>
        </w:rPr>
        <w:t>5</w:t>
      </w:r>
      <w:r>
        <w:rPr>
          <w:rFonts w:hint="eastAsia" w:cs="仿宋"/>
          <w:b/>
          <w:bCs/>
        </w:rPr>
        <w:t>)</w:t>
      </w:r>
      <w:r>
        <w:rPr>
          <w:rFonts w:cs="仿宋"/>
          <w:b/>
          <w:bCs/>
        </w:rPr>
        <w:t xml:space="preserve"> </w:t>
      </w:r>
      <w:r>
        <w:rPr>
          <w:rFonts w:hint="eastAsia" w:cs="仿宋"/>
          <w:b/>
          <w:bCs/>
        </w:rPr>
        <w:t>诉讼服务普适化服务</w:t>
      </w:r>
    </w:p>
    <w:tbl>
      <w:tblPr>
        <w:tblStyle w:val="7"/>
        <w:tblW w:w="5000" w:type="pct"/>
        <w:jc w:val="center"/>
        <w:tblLayout w:type="autofit"/>
        <w:tblCellMar>
          <w:top w:w="0" w:type="dxa"/>
          <w:left w:w="108" w:type="dxa"/>
          <w:bottom w:w="0" w:type="dxa"/>
          <w:right w:w="108" w:type="dxa"/>
        </w:tblCellMar>
      </w:tblPr>
      <w:tblGrid>
        <w:gridCol w:w="658"/>
        <w:gridCol w:w="1542"/>
        <w:gridCol w:w="1876"/>
        <w:gridCol w:w="4452"/>
      </w:tblGrid>
      <w:tr w14:paraId="60AFA2F9">
        <w:tblPrEx>
          <w:tblCellMar>
            <w:top w:w="0" w:type="dxa"/>
            <w:left w:w="108" w:type="dxa"/>
            <w:bottom w:w="0" w:type="dxa"/>
            <w:right w:w="108" w:type="dxa"/>
          </w:tblCellMar>
        </w:tblPrEx>
        <w:trPr>
          <w:trHeight w:val="270" w:hRule="atLeast"/>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222D1AD4">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14:paraId="376B0338">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100" w:type="pct"/>
            <w:tcBorders>
              <w:top w:val="single" w:color="auto" w:sz="4" w:space="0"/>
              <w:left w:val="nil"/>
              <w:bottom w:val="single" w:color="auto" w:sz="4" w:space="0"/>
              <w:right w:val="single" w:color="auto" w:sz="4" w:space="0"/>
            </w:tcBorders>
            <w:shd w:val="clear" w:color="000000" w:fill="F3F8FC"/>
            <w:noWrap/>
            <w:vAlign w:val="center"/>
          </w:tcPr>
          <w:p w14:paraId="1F674AC5">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610" w:type="pct"/>
            <w:tcBorders>
              <w:top w:val="single" w:color="auto" w:sz="4" w:space="0"/>
              <w:left w:val="nil"/>
              <w:bottom w:val="single" w:color="auto" w:sz="4" w:space="0"/>
              <w:right w:val="single" w:color="auto" w:sz="4" w:space="0"/>
            </w:tcBorders>
            <w:shd w:val="clear" w:color="000000" w:fill="F3F8FC"/>
          </w:tcPr>
          <w:p w14:paraId="58AC2FB9">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2DB0C6F4">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D0C115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301D2C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诉讼服务普适化服务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800018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适老化服务改造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347345E">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对现有上海法院诉讼服务网、随申办“诉讼服务专区”中的“文书样式、开庭公告和送达公告”等功能页面分别进行适老化改造。</w:t>
            </w:r>
          </w:p>
        </w:tc>
      </w:tr>
      <w:tr w14:paraId="1178F267">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1CD391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913CE8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诉讼服务普适化服务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7E7845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无障碍服务改造</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7CCA8EA">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对现有上海法院诉讼服务网、随申办“诉讼服务专区”中的“文书样式、开庭公告和送达公告”等功能页面分别进行无障碍改造。</w:t>
            </w:r>
          </w:p>
        </w:tc>
      </w:tr>
      <w:tr w14:paraId="52C49289">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7F8014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055F2E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诉讼服务普适化服务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C54A09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解纷机构地图-解纷机构列表展示</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5A2D4A6">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以列表形式汇总展示法院、调解、法律援助、律所、鉴定、公证、仲裁等机构信息，综合展示其名称、联系方式、地址、简介等内容。</w:t>
            </w:r>
          </w:p>
        </w:tc>
      </w:tr>
      <w:tr w14:paraId="02D2CD7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A366E6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5356C8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诉讼服务普适化服务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D92845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解纷机构地图-解纷机构地图展示</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8EACD4D">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结合大数据中心地图并判断当事人IP信息，以地图形式展示当事人附近的法院及派出机构、调解、法律援助、律所、鉴定、公证、仲裁等机构信息，方便当事人进行就近解纷。</w:t>
            </w:r>
          </w:p>
        </w:tc>
      </w:tr>
      <w:tr w14:paraId="6CEEF412">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C20A3B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B36B09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诉讼服务普适化服务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C21E92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解纷机构地图-解纷机构搜索-支持按区域搜索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BFB2608">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支持按照区域搜索法院、司法、律所、仲裁机构、调解机构、法律援助机构等解纷机构名称、联系方式、地址、简介等内容</w:t>
            </w:r>
          </w:p>
        </w:tc>
      </w:tr>
      <w:tr w14:paraId="6CE439C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616376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D58FED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诉讼服务普适化服务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1A34E7A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解纷机构地图-解纷机构搜索-支持关键字搜索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AA6D27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支持按照关键字搜索法院、司法、律所、仲裁机构、调解机构、法律援助机构等解纷机构名称、联系方式、地址、简介等内容</w:t>
            </w:r>
          </w:p>
        </w:tc>
      </w:tr>
      <w:tr w14:paraId="3D38858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0A896389">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3BC22F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诉讼服务普适化服务</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39606F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解纷机构地图-信息管理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D9521A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提供整体解纷机构信息管理。</w:t>
            </w:r>
          </w:p>
        </w:tc>
      </w:tr>
    </w:tbl>
    <w:p w14:paraId="07028978">
      <w:pPr>
        <w:ind w:firstLine="0" w:firstLineChars="0"/>
        <w:rPr>
          <w:rFonts w:hint="eastAsia"/>
        </w:rPr>
      </w:pPr>
    </w:p>
    <w:p w14:paraId="1FE59C62">
      <w:pPr>
        <w:ind w:left="482" w:firstLine="0" w:firstLineChars="0"/>
        <w:outlineLvl w:val="2"/>
        <w:rPr>
          <w:rFonts w:hint="eastAsia" w:cs="仿宋"/>
          <w:b/>
          <w:bCs/>
        </w:rPr>
      </w:pPr>
      <w:r>
        <w:rPr>
          <w:rFonts w:cs="仿宋"/>
          <w:b/>
          <w:bCs/>
        </w:rPr>
        <w:t>6</w:t>
      </w:r>
      <w:r>
        <w:rPr>
          <w:rFonts w:hint="eastAsia" w:cs="仿宋"/>
          <w:b/>
          <w:bCs/>
        </w:rPr>
        <w:t>)</w:t>
      </w:r>
      <w:r>
        <w:rPr>
          <w:rFonts w:cs="仿宋"/>
          <w:b/>
          <w:bCs/>
        </w:rPr>
        <w:t xml:space="preserve"> </w:t>
      </w:r>
      <w:r>
        <w:rPr>
          <w:rFonts w:hint="eastAsia" w:cs="仿宋"/>
          <w:b/>
          <w:bCs/>
        </w:rPr>
        <w:t>线上线下一体化服务-“一码通”</w:t>
      </w:r>
    </w:p>
    <w:tbl>
      <w:tblPr>
        <w:tblStyle w:val="7"/>
        <w:tblW w:w="5000" w:type="pct"/>
        <w:jc w:val="center"/>
        <w:tblLayout w:type="autofit"/>
        <w:tblCellMar>
          <w:top w:w="0" w:type="dxa"/>
          <w:left w:w="108" w:type="dxa"/>
          <w:bottom w:w="0" w:type="dxa"/>
          <w:right w:w="108" w:type="dxa"/>
        </w:tblCellMar>
      </w:tblPr>
      <w:tblGrid>
        <w:gridCol w:w="658"/>
        <w:gridCol w:w="1542"/>
        <w:gridCol w:w="1876"/>
        <w:gridCol w:w="4452"/>
      </w:tblGrid>
      <w:tr w14:paraId="1C41925D">
        <w:tblPrEx>
          <w:tblCellMar>
            <w:top w:w="0" w:type="dxa"/>
            <w:left w:w="108" w:type="dxa"/>
            <w:bottom w:w="0" w:type="dxa"/>
            <w:right w:w="108" w:type="dxa"/>
          </w:tblCellMar>
        </w:tblPrEx>
        <w:trPr>
          <w:trHeight w:val="270" w:hRule="atLeast"/>
          <w:jc w:val="center"/>
        </w:trPr>
        <w:tc>
          <w:tcPr>
            <w:tcW w:w="386"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159543F6">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904" w:type="pct"/>
            <w:tcBorders>
              <w:top w:val="single" w:color="auto" w:sz="4" w:space="0"/>
              <w:left w:val="nil"/>
              <w:bottom w:val="single" w:color="auto" w:sz="4" w:space="0"/>
              <w:right w:val="single" w:color="auto" w:sz="4" w:space="0"/>
            </w:tcBorders>
            <w:shd w:val="clear" w:color="000000" w:fill="F3F8FC"/>
            <w:noWrap/>
            <w:vAlign w:val="center"/>
          </w:tcPr>
          <w:p w14:paraId="1A5CE79F">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应用系统名称</w:t>
            </w:r>
          </w:p>
        </w:tc>
        <w:tc>
          <w:tcPr>
            <w:tcW w:w="1100" w:type="pct"/>
            <w:tcBorders>
              <w:top w:val="single" w:color="auto" w:sz="4" w:space="0"/>
              <w:left w:val="nil"/>
              <w:bottom w:val="single" w:color="auto" w:sz="4" w:space="0"/>
              <w:right w:val="single" w:color="auto" w:sz="4" w:space="0"/>
            </w:tcBorders>
            <w:shd w:val="clear" w:color="000000" w:fill="F3F8FC"/>
            <w:noWrap/>
            <w:vAlign w:val="center"/>
          </w:tcPr>
          <w:p w14:paraId="792E7B87">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模块名称</w:t>
            </w:r>
          </w:p>
        </w:tc>
        <w:tc>
          <w:tcPr>
            <w:tcW w:w="2610" w:type="pct"/>
            <w:tcBorders>
              <w:top w:val="single" w:color="auto" w:sz="4" w:space="0"/>
              <w:left w:val="nil"/>
              <w:bottom w:val="single" w:color="auto" w:sz="4" w:space="0"/>
              <w:right w:val="single" w:color="auto" w:sz="4" w:space="0"/>
            </w:tcBorders>
            <w:shd w:val="clear" w:color="000000" w:fill="F3F8FC"/>
          </w:tcPr>
          <w:p w14:paraId="0745CFCD">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模块描述</w:t>
            </w:r>
          </w:p>
        </w:tc>
      </w:tr>
      <w:tr w14:paraId="6FE4A7A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A98B7A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FCB430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3D78C48">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“一码通”-一码通行-扫码验证</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F2D8217">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升级完善人员进出管理系统的身份核验模板，通过与市大数据中心对接，实现基于“随申码”、“律师码”的身份认证。</w:t>
            </w:r>
            <w:r>
              <w:rPr>
                <w:rFonts w:hint="eastAsia" w:cs="宋体"/>
                <w:color w:val="000000"/>
                <w:kern w:val="0"/>
                <w:sz w:val="22"/>
                <w:szCs w:val="22"/>
              </w:rPr>
              <w:br w:type="textWrapping"/>
            </w:r>
            <w:r>
              <w:rPr>
                <w:rFonts w:hint="eastAsia" w:cs="宋体"/>
                <w:color w:val="000000"/>
                <w:kern w:val="0"/>
                <w:sz w:val="22"/>
                <w:szCs w:val="22"/>
              </w:rPr>
              <w:t>在进行访客信息登记时，当事人、律师、社会公众等来访时，只需出示相应的身份认证码，即可完成来访人员的身份验证，进行后续业务的办理。</w:t>
            </w:r>
          </w:p>
        </w:tc>
      </w:tr>
      <w:tr w14:paraId="1C500CAE">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201E407">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D95B95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3F3D516">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“一码通”-一码通行-扫码通行</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C42735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当事人和律师可凭“一码通”身份二维码在法院安检闸机或访客一体机上刷码验证身份，进入法院门岗、诉讼服务中心，并能进入特殊案件审判法庭进行旁听。可通过随申码识别当事人身份认证登记。</w:t>
            </w:r>
          </w:p>
        </w:tc>
      </w:tr>
      <w:tr w14:paraId="30B6D52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6031FB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0E390C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5362D70">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“一码通”-一码通行-诉前辅导</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A79E0ED">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当事人到访法院经身份识别后，自动向当事人提供诉前辅导功能，方便当事人了解诉讼权利和义务、诉讼须知、立案须知、财产保全须知、诉讼费收费标准、举证规则等各类诉讼指南。</w:t>
            </w:r>
          </w:p>
        </w:tc>
      </w:tr>
      <w:tr w14:paraId="21460693">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11B19F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7BF334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3D1F0708">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线上线下一体化服务-“一码通”-一码通行-进院智引</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6A5D8862">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提供来访人进院智引底层基础服务，通过获取法院办案系统的今日诉讼活动事项信息，明确到访人今日来院办理业务信息，为后续提供路线导航、智能导诉提供数据基础。</w:t>
            </w:r>
          </w:p>
        </w:tc>
      </w:tr>
      <w:tr w14:paraId="14E4E9F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676E94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ADF30C3">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F5E93FE">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“一码通”-一码通行-路线导航</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A60212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1．运用进院智引服务，获取来访人员今日来访事项(如立案、阅卷、参加庭审、参加调解等事项),提供路线导航服务，方便来访人员快速到达所需的位置、进行相应业务的办理，节省办理时间。</w:t>
            </w:r>
            <w:r>
              <w:rPr>
                <w:rFonts w:hint="eastAsia" w:cs="宋体"/>
                <w:color w:val="000000"/>
                <w:kern w:val="0"/>
                <w:sz w:val="22"/>
                <w:szCs w:val="22"/>
              </w:rPr>
              <w:br w:type="textWrapping"/>
            </w:r>
            <w:r>
              <w:rPr>
                <w:rFonts w:hint="eastAsia" w:cs="宋体"/>
                <w:color w:val="000000"/>
                <w:kern w:val="0"/>
                <w:sz w:val="22"/>
                <w:szCs w:val="22"/>
              </w:rPr>
              <w:t>2.根据高院CAD构建导航模型，并制作对应的高院路线导航系统</w:t>
            </w:r>
          </w:p>
        </w:tc>
      </w:tr>
      <w:tr w14:paraId="2D53213A">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CF0EB9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18BF76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19EC637">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“一码通”-一码通行-智能导诉</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32714BB">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运用进院智引服务，获取来访人员今日来访事项，提供智能导诉服务，向到访法院人员推送与办理业务相关导诉内容，包括业务流程和常见问题，了解各类业务的办理方式和办理流程。</w:t>
            </w:r>
          </w:p>
        </w:tc>
      </w:tr>
      <w:tr w14:paraId="5A98987D">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92E78F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36E4C10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0CEF794">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“一码通”-一码通行-取号叫号</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EFC92CE">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实现线上智能取号叫号服务。</w:t>
            </w:r>
            <w:r>
              <w:rPr>
                <w:rFonts w:hint="eastAsia" w:cs="宋体"/>
                <w:color w:val="000000"/>
                <w:kern w:val="0"/>
                <w:sz w:val="22"/>
                <w:szCs w:val="22"/>
              </w:rPr>
              <w:br w:type="textWrapping"/>
            </w:r>
          </w:p>
        </w:tc>
      </w:tr>
      <w:tr w14:paraId="2C87621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B1EECD5">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C707B72">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23CBCF9">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“一码通”-一码通查-个人涉诉记录查询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F2A8043">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支持查询个人涉诉记录功能。</w:t>
            </w:r>
          </w:p>
        </w:tc>
      </w:tr>
      <w:tr w14:paraId="5E5A2A35">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60CA8E01">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9</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5B6960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8A75AD2">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“一码通”-一码通查-其它诉讼参与人授权查阅</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7540BEC">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其它诉讼参与人在授权下可查看案件基本信息、案件流程节点信息、诉讼主体信息。</w:t>
            </w:r>
          </w:p>
        </w:tc>
      </w:tr>
      <w:tr w14:paraId="37F54F8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44122C6A">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10</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83EAD5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78C7303">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“一码通”-一码通查-诚信诉讼查询</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22531D4">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支持法院对诉讼参与人诚信诉讼信息标注，同步诚信诉讼信息。</w:t>
            </w:r>
          </w:p>
        </w:tc>
      </w:tr>
      <w:tr w14:paraId="69A0D83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8F8F31D">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11</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193902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750E023B">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“一码通”-一码通办-服务场所业务办理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35787803">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人民法院诉讼服务大厅设置包括自助立案机、自助阅卷机在内的各类自助诉讼服务终端，当事人可自行登录办理。</w:t>
            </w:r>
          </w:p>
        </w:tc>
      </w:tr>
      <w:tr w14:paraId="434A3F3F">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5A92A61E">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12</w:t>
            </w:r>
          </w:p>
        </w:tc>
        <w:tc>
          <w:tcPr>
            <w:tcW w:w="904" w:type="pct"/>
            <w:tcBorders>
              <w:top w:val="single" w:color="auto" w:sz="4" w:space="0"/>
              <w:left w:val="nil"/>
              <w:bottom w:val="single" w:color="auto" w:sz="4" w:space="0"/>
              <w:right w:val="single" w:color="auto" w:sz="4" w:space="0"/>
            </w:tcBorders>
            <w:shd w:val="clear" w:color="auto" w:fill="FFFFFF"/>
            <w:vAlign w:val="center"/>
          </w:tcPr>
          <w:p w14:paraId="46FBB054">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40A861C7">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“一码通”-一码通办-事情事项快速办理</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16BBF247">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“一码通”支持与事项申请功能对接，在案件审理阶段提供各类事项申请的快速办理入口。申请事项包括如</w:t>
            </w:r>
            <w:r>
              <w:rPr>
                <w:rFonts w:hint="eastAsia" w:cs="宋体"/>
                <w:kern w:val="0"/>
                <w:sz w:val="22"/>
                <w:szCs w:val="22"/>
              </w:rPr>
              <w:t>申请回避、申请人民法院调查取证、申请延期开庭、申请延期举证、申请提交答辩状、申请核实代理关系、申请调查令等</w:t>
            </w:r>
            <w:r>
              <w:rPr>
                <w:rFonts w:hint="eastAsia" w:cs="宋体"/>
                <w:color w:val="000000"/>
                <w:kern w:val="0"/>
                <w:sz w:val="22"/>
                <w:szCs w:val="22"/>
              </w:rPr>
              <w:t>。</w:t>
            </w:r>
          </w:p>
        </w:tc>
      </w:tr>
      <w:tr w14:paraId="7025FF6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1269293C">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13</w:t>
            </w:r>
          </w:p>
        </w:tc>
        <w:tc>
          <w:tcPr>
            <w:tcW w:w="904" w:type="pct"/>
            <w:tcBorders>
              <w:top w:val="single" w:color="auto" w:sz="4" w:space="0"/>
              <w:left w:val="nil"/>
              <w:bottom w:val="single" w:color="auto" w:sz="4" w:space="0"/>
              <w:right w:val="single" w:color="auto" w:sz="4" w:space="0"/>
            </w:tcBorders>
            <w:shd w:val="clear" w:color="auto" w:fill="FFFFFF"/>
            <w:vAlign w:val="center"/>
          </w:tcPr>
          <w:p w14:paraId="675F920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870F479">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“一码通”-一码通办-在线满意度评价</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005FA412">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1、为诉讼服务提醒消息提供移动端满意度评价服务。</w:t>
            </w:r>
            <w:r>
              <w:rPr>
                <w:rFonts w:hint="eastAsia" w:cs="宋体"/>
                <w:color w:val="000000"/>
                <w:kern w:val="0"/>
                <w:sz w:val="22"/>
                <w:szCs w:val="22"/>
              </w:rPr>
              <w:br w:type="textWrapping"/>
            </w:r>
            <w:r>
              <w:rPr>
                <w:rFonts w:hint="eastAsia" w:cs="宋体"/>
                <w:color w:val="000000"/>
                <w:kern w:val="0"/>
                <w:sz w:val="22"/>
                <w:szCs w:val="22"/>
              </w:rPr>
              <w:t>2、当事人可通过“一码通”在线进行满意度评价。</w:t>
            </w:r>
            <w:r>
              <w:rPr>
                <w:rFonts w:hint="eastAsia" w:cs="宋体"/>
                <w:color w:val="000000"/>
                <w:kern w:val="0"/>
                <w:sz w:val="22"/>
                <w:szCs w:val="22"/>
              </w:rPr>
              <w:br w:type="textWrapping"/>
            </w:r>
            <w:r>
              <w:rPr>
                <w:rFonts w:hint="eastAsia" w:cs="宋体"/>
                <w:color w:val="000000"/>
                <w:kern w:val="0"/>
                <w:sz w:val="22"/>
                <w:szCs w:val="22"/>
              </w:rPr>
              <w:t>3、将线上当事人的满意度评价信息内容回传至后台管理系统。</w:t>
            </w:r>
          </w:p>
        </w:tc>
      </w:tr>
      <w:tr w14:paraId="4B1CBCCB">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CC433D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14</w:t>
            </w:r>
          </w:p>
        </w:tc>
        <w:tc>
          <w:tcPr>
            <w:tcW w:w="904" w:type="pct"/>
            <w:tcBorders>
              <w:top w:val="single" w:color="auto" w:sz="4" w:space="0"/>
              <w:left w:val="nil"/>
              <w:bottom w:val="single" w:color="auto" w:sz="4" w:space="0"/>
              <w:right w:val="single" w:color="auto" w:sz="4" w:space="0"/>
            </w:tcBorders>
            <w:shd w:val="clear" w:color="auto" w:fill="FFFFFF"/>
            <w:vAlign w:val="center"/>
          </w:tcPr>
          <w:p w14:paraId="0E04A488">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328B385">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“一码通”-统一接口服务-访客通道接口</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2B7BE56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提供标准的访客服务接口，各法院可依照接口规范对接访客系统，实现当事人扫码登记及其它诉讼参与人扫码通行。</w:t>
            </w:r>
          </w:p>
        </w:tc>
      </w:tr>
      <w:tr w14:paraId="4E15B106">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88394C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15</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AF0939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5A5B62F2">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“一码通”-统一接口服务-智能导诉接口</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7EEFBC3F">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提供标准的诉讼服务指南服务接口，各法院可依照接口规范对接本院的诉讼服务指南、各类业务的办理方式、业务办理流程等内容。</w:t>
            </w:r>
          </w:p>
        </w:tc>
      </w:tr>
      <w:tr w14:paraId="7FEC8218">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3135220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16</w:t>
            </w:r>
          </w:p>
        </w:tc>
        <w:tc>
          <w:tcPr>
            <w:tcW w:w="904" w:type="pct"/>
            <w:tcBorders>
              <w:top w:val="single" w:color="auto" w:sz="4" w:space="0"/>
              <w:left w:val="nil"/>
              <w:bottom w:val="single" w:color="auto" w:sz="4" w:space="0"/>
              <w:right w:val="single" w:color="auto" w:sz="4" w:space="0"/>
            </w:tcBorders>
            <w:shd w:val="clear" w:color="auto" w:fill="FFFFFF"/>
            <w:vAlign w:val="center"/>
          </w:tcPr>
          <w:p w14:paraId="5E662647">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0FD74830">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“一码通”-统一接口服务-排队叫号接口</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0F91D79">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提供标准的排队叫号服务接口，各法院可依照接口规范，将本院的排队叫号系统与其对接，实现线上取号、线上叫号提示、当前等待人数查询等功能。</w:t>
            </w:r>
          </w:p>
        </w:tc>
      </w:tr>
      <w:tr w14:paraId="63BDAD61">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2F47DC70">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17</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2E08921">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2AF9AC07">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“一码通”-统一接口服务-满意度评价接口</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474957E4">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提供标准的满意度评价接口，各法院可依照接口规范，将本院所需评价内容与其对接，实现诉讼服务线上评价。</w:t>
            </w:r>
          </w:p>
        </w:tc>
      </w:tr>
      <w:tr w14:paraId="27810E10">
        <w:tblPrEx>
          <w:tblCellMar>
            <w:top w:w="0" w:type="dxa"/>
            <w:left w:w="108" w:type="dxa"/>
            <w:bottom w:w="0" w:type="dxa"/>
            <w:right w:w="108" w:type="dxa"/>
          </w:tblCellMar>
        </w:tblPrEx>
        <w:trPr>
          <w:trHeight w:val="70" w:hRule="atLeast"/>
          <w:jc w:val="center"/>
        </w:trPr>
        <w:tc>
          <w:tcPr>
            <w:tcW w:w="386" w:type="pct"/>
            <w:tcBorders>
              <w:top w:val="single" w:color="auto" w:sz="4" w:space="0"/>
              <w:left w:val="single" w:color="auto" w:sz="4" w:space="0"/>
              <w:bottom w:val="single" w:color="auto" w:sz="4" w:space="0"/>
              <w:right w:val="single" w:color="auto" w:sz="4" w:space="0"/>
            </w:tcBorders>
            <w:shd w:val="clear" w:color="auto" w:fill="FFFFFF"/>
            <w:vAlign w:val="center"/>
          </w:tcPr>
          <w:p w14:paraId="7EB13D1F">
            <w:pPr>
              <w:widowControl/>
              <w:spacing w:line="240" w:lineRule="auto"/>
              <w:ind w:firstLine="0" w:firstLineChars="0"/>
              <w:jc w:val="center"/>
              <w:rPr>
                <w:rFonts w:hint="eastAsia" w:cs="Tahoma"/>
                <w:color w:val="000000"/>
                <w:kern w:val="0"/>
                <w:sz w:val="22"/>
                <w:szCs w:val="22"/>
              </w:rPr>
            </w:pPr>
            <w:r>
              <w:rPr>
                <w:rFonts w:hint="eastAsia"/>
                <w:color w:val="000000"/>
                <w:sz w:val="22"/>
                <w:szCs w:val="22"/>
              </w:rPr>
              <w:t>18</w:t>
            </w:r>
          </w:p>
        </w:tc>
        <w:tc>
          <w:tcPr>
            <w:tcW w:w="904" w:type="pct"/>
            <w:tcBorders>
              <w:top w:val="single" w:color="auto" w:sz="4" w:space="0"/>
              <w:left w:val="nil"/>
              <w:bottom w:val="single" w:color="auto" w:sz="4" w:space="0"/>
              <w:right w:val="single" w:color="auto" w:sz="4" w:space="0"/>
            </w:tcBorders>
            <w:shd w:val="clear" w:color="auto" w:fill="FFFFFF"/>
            <w:vAlign w:val="center"/>
          </w:tcPr>
          <w:p w14:paraId="7082DB2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线上线下一体化服务-“一码通”</w:t>
            </w:r>
          </w:p>
        </w:tc>
        <w:tc>
          <w:tcPr>
            <w:tcW w:w="1100" w:type="pct"/>
            <w:tcBorders>
              <w:top w:val="single" w:color="auto" w:sz="4" w:space="0"/>
              <w:left w:val="nil"/>
              <w:bottom w:val="single" w:color="auto" w:sz="4" w:space="0"/>
              <w:right w:val="single" w:color="auto" w:sz="4" w:space="0"/>
            </w:tcBorders>
            <w:shd w:val="clear" w:color="auto" w:fill="FFFFFF"/>
            <w:vAlign w:val="center"/>
          </w:tcPr>
          <w:p w14:paraId="671D470B">
            <w:pPr>
              <w:widowControl/>
              <w:spacing w:line="240" w:lineRule="auto"/>
              <w:ind w:firstLine="0" w:firstLineChars="0"/>
              <w:jc w:val="center"/>
              <w:rPr>
                <w:rFonts w:hint="eastAsia" w:cs="Tahoma"/>
                <w:color w:val="000000"/>
                <w:kern w:val="0"/>
                <w:sz w:val="22"/>
                <w:szCs w:val="22"/>
              </w:rPr>
            </w:pPr>
            <w:r>
              <w:rPr>
                <w:rFonts w:hint="eastAsia" w:cs="宋体"/>
                <w:color w:val="000000"/>
                <w:kern w:val="0"/>
                <w:sz w:val="22"/>
                <w:szCs w:val="22"/>
              </w:rPr>
              <w:t xml:space="preserve"> “一码通”-首问责任制监管</w:t>
            </w:r>
          </w:p>
        </w:tc>
        <w:tc>
          <w:tcPr>
            <w:tcW w:w="2610" w:type="pct"/>
            <w:tcBorders>
              <w:top w:val="single" w:color="auto" w:sz="4" w:space="0"/>
              <w:left w:val="nil"/>
              <w:bottom w:val="single" w:color="auto" w:sz="4" w:space="0"/>
              <w:right w:val="single" w:color="auto" w:sz="4" w:space="0"/>
            </w:tcBorders>
            <w:shd w:val="clear" w:color="auto" w:fill="FFFFFF"/>
            <w:vAlign w:val="center"/>
          </w:tcPr>
          <w:p w14:paraId="5961BAFE">
            <w:pPr>
              <w:widowControl/>
              <w:spacing w:line="240" w:lineRule="auto"/>
              <w:ind w:firstLine="0" w:firstLineChars="0"/>
              <w:jc w:val="left"/>
              <w:rPr>
                <w:rFonts w:hint="eastAsia" w:cs="宋体"/>
                <w:color w:val="000000"/>
                <w:kern w:val="0"/>
                <w:sz w:val="22"/>
                <w:szCs w:val="22"/>
              </w:rPr>
            </w:pPr>
            <w:r>
              <w:rPr>
                <w:rFonts w:hint="eastAsia" w:cs="宋体"/>
                <w:color w:val="000000"/>
                <w:kern w:val="0"/>
                <w:sz w:val="22"/>
                <w:szCs w:val="22"/>
              </w:rPr>
              <w:t>建立首问责任登记台账，台账可记录来访人员姓名、办理事项类型、办理内容、处理情况、处理人员等信息，以满足“谁受理、谁承办、谁报告”制度。</w:t>
            </w:r>
          </w:p>
          <w:p w14:paraId="693B6AE7">
            <w:pPr>
              <w:widowControl/>
              <w:spacing w:line="240" w:lineRule="auto"/>
              <w:ind w:firstLine="0" w:firstLineChars="0"/>
              <w:jc w:val="left"/>
              <w:rPr>
                <w:rFonts w:hint="eastAsia" w:cs="Tahoma"/>
                <w:color w:val="000000"/>
                <w:kern w:val="0"/>
                <w:sz w:val="22"/>
                <w:szCs w:val="22"/>
              </w:rPr>
            </w:pPr>
            <w:r>
              <w:rPr>
                <w:rFonts w:hint="eastAsia" w:cs="宋体"/>
                <w:color w:val="000000"/>
                <w:kern w:val="0"/>
                <w:sz w:val="22"/>
                <w:szCs w:val="22"/>
              </w:rPr>
              <w:t>提供诉讼服务阶段全程跟踪服务。多次办理诉讼服务事项，优先匹配首次受理人员，在排队叫号等环节，自动进行首次受理人员业务办理对应匹配。一次受理未完成的事项需填写原因，确保事项顺利办结。</w:t>
            </w:r>
            <w:r>
              <w:rPr>
                <w:rFonts w:hint="eastAsia" w:cs="宋体"/>
                <w:color w:val="000000"/>
                <w:kern w:val="0"/>
                <w:sz w:val="22"/>
                <w:szCs w:val="22"/>
              </w:rPr>
              <w:br w:type="textWrapping"/>
            </w:r>
            <w:r>
              <w:rPr>
                <w:rFonts w:hint="eastAsia" w:cs="宋体"/>
                <w:color w:val="000000"/>
                <w:kern w:val="0"/>
                <w:sz w:val="22"/>
                <w:szCs w:val="22"/>
              </w:rPr>
              <w:t>提供督查及反馈功能，针对违反首问责任制规定，进行登记追究，并将相关处理信息同步至人事系统。</w:t>
            </w:r>
          </w:p>
        </w:tc>
      </w:tr>
    </w:tbl>
    <w:p w14:paraId="1487FE8B">
      <w:pPr>
        <w:ind w:firstLine="0" w:firstLineChars="0"/>
        <w:rPr>
          <w:rFonts w:hint="eastAsia"/>
          <w:b/>
        </w:rPr>
      </w:pPr>
    </w:p>
    <w:p w14:paraId="561EE6C2">
      <w:pPr>
        <w:pStyle w:val="3"/>
        <w:numPr>
          <w:ilvl w:val="0"/>
          <w:numId w:val="0"/>
        </w:numPr>
        <w:ind w:left="482"/>
        <w:rPr>
          <w:rFonts w:hint="eastAsia"/>
          <w:sz w:val="24"/>
          <w:szCs w:val="24"/>
        </w:rPr>
      </w:pPr>
      <w:r>
        <w:rPr>
          <w:rFonts w:hint="eastAsia"/>
          <w:sz w:val="24"/>
          <w:szCs w:val="24"/>
        </w:rPr>
        <w:t>2、硬件购置清单</w:t>
      </w:r>
    </w:p>
    <w:tbl>
      <w:tblPr>
        <w:tblStyle w:val="7"/>
        <w:tblW w:w="0" w:type="auto"/>
        <w:jc w:val="center"/>
        <w:tblLayout w:type="autofit"/>
        <w:tblCellMar>
          <w:top w:w="0" w:type="dxa"/>
          <w:left w:w="108" w:type="dxa"/>
          <w:bottom w:w="0" w:type="dxa"/>
          <w:right w:w="108" w:type="dxa"/>
        </w:tblCellMar>
      </w:tblPr>
      <w:tblGrid>
        <w:gridCol w:w="658"/>
        <w:gridCol w:w="1017"/>
        <w:gridCol w:w="777"/>
        <w:gridCol w:w="5032"/>
        <w:gridCol w:w="566"/>
        <w:gridCol w:w="478"/>
      </w:tblGrid>
      <w:tr w14:paraId="45C172A0">
        <w:tblPrEx>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3F8FC"/>
            <w:noWrap/>
            <w:vAlign w:val="center"/>
          </w:tcPr>
          <w:p w14:paraId="7A878DF2">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3D5D6537">
            <w:pPr>
              <w:widowControl/>
              <w:spacing w:line="240" w:lineRule="auto"/>
              <w:ind w:firstLine="0" w:firstLineChars="0"/>
              <w:jc w:val="center"/>
              <w:rPr>
                <w:rFonts w:hint="eastAsia" w:cs="宋体"/>
                <w:b/>
                <w:color w:val="000000"/>
                <w:kern w:val="0"/>
                <w:sz w:val="22"/>
                <w:szCs w:val="22"/>
              </w:rPr>
            </w:pPr>
            <w:r>
              <w:rPr>
                <w:rFonts w:hint="eastAsia" w:cs="宋体"/>
                <w:b/>
                <w:color w:val="000000"/>
                <w:kern w:val="0"/>
                <w:sz w:val="22"/>
                <w:szCs w:val="22"/>
              </w:rPr>
              <w:t>名称</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4300C2D3">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类别</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0F3EFC4F">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配置要求</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7E622C80">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数量</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1752277C">
            <w:pPr>
              <w:widowControl/>
              <w:spacing w:line="240" w:lineRule="auto"/>
              <w:ind w:firstLine="0" w:firstLineChars="0"/>
              <w:jc w:val="center"/>
              <w:rPr>
                <w:rFonts w:hint="eastAsia" w:cs="宋体"/>
                <w:b/>
                <w:color w:val="000000"/>
                <w:kern w:val="0"/>
                <w:sz w:val="22"/>
                <w:szCs w:val="22"/>
              </w:rPr>
            </w:pPr>
            <w:r>
              <w:rPr>
                <w:rFonts w:cs="宋体"/>
                <w:b/>
                <w:color w:val="000000"/>
                <w:kern w:val="0"/>
                <w:sz w:val="22"/>
                <w:szCs w:val="22"/>
              </w:rPr>
              <w:t>单位</w:t>
            </w:r>
          </w:p>
        </w:tc>
      </w:tr>
      <w:tr w14:paraId="79B8E651">
        <w:tblPrEx>
          <w:tblCellMar>
            <w:top w:w="0" w:type="dxa"/>
            <w:left w:w="108" w:type="dxa"/>
            <w:bottom w:w="0" w:type="dxa"/>
            <w:right w:w="108" w:type="dxa"/>
          </w:tblCellMar>
        </w:tblPrEx>
        <w:trPr>
          <w:trHeight w:val="69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9572EE8">
            <w:pPr>
              <w:widowControl/>
              <w:spacing w:line="240" w:lineRule="auto"/>
              <w:ind w:firstLine="0" w:firstLineChars="0"/>
              <w:jc w:val="center"/>
              <w:rPr>
                <w:rFonts w:hint="eastAsia" w:cs="Tahoma"/>
                <w:color w:val="000000"/>
                <w:kern w:val="0"/>
                <w:sz w:val="22"/>
                <w:szCs w:val="22"/>
              </w:rPr>
            </w:pPr>
            <w:r>
              <w:rPr>
                <w:rFonts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10AF386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诉讼解纷直通车终端</w:t>
            </w:r>
          </w:p>
        </w:tc>
        <w:tc>
          <w:tcPr>
            <w:tcW w:w="0" w:type="auto"/>
            <w:tcBorders>
              <w:top w:val="single" w:color="auto" w:sz="4" w:space="0"/>
              <w:left w:val="nil"/>
              <w:bottom w:val="single" w:color="auto" w:sz="4" w:space="0"/>
              <w:right w:val="single" w:color="auto" w:sz="4" w:space="0"/>
            </w:tcBorders>
            <w:shd w:val="clear" w:color="auto" w:fill="FFFFFF"/>
            <w:vAlign w:val="center"/>
          </w:tcPr>
          <w:p w14:paraId="2D136AC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终端设备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022800B6">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一体化硬件设计，15.6英寸显示屏，1920*1080分辨率，支持十点触控操作，4核处理器、16G内存、256G固态硬盘。</w:t>
            </w:r>
          </w:p>
          <w:p w14:paraId="53AFF579">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支持自动读取二代身份证和IC卡，符合ISO14443 Type B标准</w:t>
            </w:r>
          </w:p>
          <w:p w14:paraId="2068F502">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支持自动扫码功能，30万像素CMOS器件拍照扫码，图形分辨率640*480，识读精度≥5mil，可解码一维条码以及二维码。</w:t>
            </w:r>
          </w:p>
          <w:p w14:paraId="758C143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200万像素摄像头、支持自动白平衡、逆光补偿、宽动态处理。</w:t>
            </w:r>
          </w:p>
          <w:p w14:paraId="19F118B7">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物理接口：220VAC电源接口x1、RJ45网络接口x1、USB接口x2、启动按钮x1</w:t>
            </w:r>
          </w:p>
          <w:p w14:paraId="5CF470AB">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终端内含风险评估、文书模板、解纷渠道、案件查询、开庭公告、网上开庭/调解、诉讼费缴纳、网上预约功能。</w:t>
            </w:r>
          </w:p>
        </w:tc>
        <w:tc>
          <w:tcPr>
            <w:tcW w:w="0" w:type="auto"/>
            <w:tcBorders>
              <w:top w:val="single" w:color="auto" w:sz="4" w:space="0"/>
              <w:left w:val="nil"/>
              <w:bottom w:val="single" w:color="auto" w:sz="4" w:space="0"/>
              <w:right w:val="single" w:color="auto" w:sz="4" w:space="0"/>
            </w:tcBorders>
            <w:shd w:val="clear" w:color="auto" w:fill="FFFFFF"/>
            <w:vAlign w:val="center"/>
          </w:tcPr>
          <w:p w14:paraId="28932D2F">
            <w:pPr>
              <w:widowControl/>
              <w:spacing w:line="240" w:lineRule="auto"/>
              <w:ind w:firstLine="0" w:firstLineChars="0"/>
              <w:jc w:val="center"/>
              <w:rPr>
                <w:rFonts w:hint="eastAsia" w:cs="Tahoma"/>
                <w:color w:val="000000"/>
                <w:kern w:val="0"/>
                <w:sz w:val="22"/>
                <w:szCs w:val="22"/>
              </w:rPr>
            </w:pPr>
            <w:r>
              <w:rPr>
                <w:rFonts w:cs="Tahoma"/>
                <w:color w:val="000000"/>
                <w:kern w:val="0"/>
                <w:sz w:val="22"/>
                <w:szCs w:val="22"/>
              </w:rPr>
              <w:t>48</w:t>
            </w:r>
          </w:p>
        </w:tc>
        <w:tc>
          <w:tcPr>
            <w:tcW w:w="0" w:type="auto"/>
            <w:tcBorders>
              <w:top w:val="single" w:color="auto" w:sz="4" w:space="0"/>
              <w:left w:val="nil"/>
              <w:bottom w:val="single" w:color="auto" w:sz="4" w:space="0"/>
              <w:right w:val="single" w:color="auto" w:sz="4" w:space="0"/>
            </w:tcBorders>
            <w:shd w:val="clear" w:color="auto" w:fill="FFFFFF"/>
            <w:vAlign w:val="center"/>
          </w:tcPr>
          <w:p w14:paraId="31392E7B">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台</w:t>
            </w:r>
          </w:p>
        </w:tc>
      </w:tr>
      <w:tr w14:paraId="761E737A">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BECA11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2</w:t>
            </w:r>
          </w:p>
        </w:tc>
        <w:tc>
          <w:tcPr>
            <w:tcW w:w="0" w:type="auto"/>
            <w:tcBorders>
              <w:top w:val="single" w:color="auto" w:sz="4" w:space="0"/>
              <w:left w:val="nil"/>
              <w:bottom w:val="single" w:color="auto" w:sz="4" w:space="0"/>
              <w:right w:val="single" w:color="auto" w:sz="4" w:space="0"/>
            </w:tcBorders>
            <w:shd w:val="clear" w:color="auto" w:fill="FFFFFF"/>
            <w:vAlign w:val="center"/>
          </w:tcPr>
          <w:p w14:paraId="7FEC9DF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物联网络安全准入</w:t>
            </w:r>
          </w:p>
        </w:tc>
        <w:tc>
          <w:tcPr>
            <w:tcW w:w="0" w:type="auto"/>
            <w:tcBorders>
              <w:top w:val="single" w:color="auto" w:sz="4" w:space="0"/>
              <w:left w:val="nil"/>
              <w:bottom w:val="single" w:color="auto" w:sz="4" w:space="0"/>
              <w:right w:val="single" w:color="auto" w:sz="4" w:space="0"/>
            </w:tcBorders>
            <w:shd w:val="clear" w:color="auto" w:fill="FFFFFF"/>
            <w:vAlign w:val="center"/>
          </w:tcPr>
          <w:p w14:paraId="3374BF75">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网络设备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2EA76C91">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支持办公网、视频监控网、物联网等多种终端设备类型的混合网络场景，实现设备发现、网络边界管理、入网控制、合规评估等泛终端准入控制管理功能。</w:t>
            </w:r>
          </w:p>
          <w:p w14:paraId="20E1C44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整机支持1500以下终端认证或1.5G网络流量处理能力。设备包含1个Console口，6个千兆电口，4TB 硬盘，单电源，1U设备。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10345474">
            <w:pPr>
              <w:widowControl/>
              <w:spacing w:line="240" w:lineRule="auto"/>
              <w:ind w:firstLine="0" w:firstLineChars="0"/>
              <w:jc w:val="center"/>
              <w:rPr>
                <w:rFonts w:hint="eastAsia" w:cs="Tahoma"/>
                <w:color w:val="000000"/>
                <w:kern w:val="0"/>
                <w:sz w:val="22"/>
                <w:szCs w:val="22"/>
              </w:rPr>
            </w:pPr>
            <w:r>
              <w:rPr>
                <w:rFonts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4298AC8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个</w:t>
            </w:r>
          </w:p>
        </w:tc>
      </w:tr>
      <w:tr w14:paraId="73A596D0">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F6728C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3</w:t>
            </w:r>
          </w:p>
        </w:tc>
        <w:tc>
          <w:tcPr>
            <w:tcW w:w="0" w:type="auto"/>
            <w:tcBorders>
              <w:top w:val="single" w:color="auto" w:sz="4" w:space="0"/>
              <w:left w:val="nil"/>
              <w:bottom w:val="single" w:color="auto" w:sz="4" w:space="0"/>
              <w:right w:val="single" w:color="auto" w:sz="4" w:space="0"/>
            </w:tcBorders>
            <w:shd w:val="clear" w:color="auto" w:fill="FFFFFF"/>
            <w:vAlign w:val="center"/>
          </w:tcPr>
          <w:p w14:paraId="13932EC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物联终端准入客户端授权</w:t>
            </w:r>
          </w:p>
        </w:tc>
        <w:tc>
          <w:tcPr>
            <w:tcW w:w="0" w:type="auto"/>
            <w:tcBorders>
              <w:top w:val="single" w:color="auto" w:sz="4" w:space="0"/>
              <w:left w:val="nil"/>
              <w:bottom w:val="single" w:color="auto" w:sz="4" w:space="0"/>
              <w:right w:val="single" w:color="auto" w:sz="4" w:space="0"/>
            </w:tcBorders>
            <w:shd w:val="clear" w:color="auto" w:fill="FFFFFF"/>
            <w:vAlign w:val="center"/>
          </w:tcPr>
          <w:p w14:paraId="1076911E">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网络设备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2FA9D2F0">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支持独立客户端代理或一体化模式，在有线或无线网络条件下的身份认证和入网合规检查等功能，支持对违规设备进行管控处置等特性，支持Windows、信创、Android及国产操作系统</w:t>
            </w:r>
          </w:p>
        </w:tc>
        <w:tc>
          <w:tcPr>
            <w:tcW w:w="0" w:type="auto"/>
            <w:tcBorders>
              <w:top w:val="single" w:color="auto" w:sz="4" w:space="0"/>
              <w:left w:val="nil"/>
              <w:bottom w:val="single" w:color="auto" w:sz="4" w:space="0"/>
              <w:right w:val="single" w:color="auto" w:sz="4" w:space="0"/>
            </w:tcBorders>
            <w:shd w:val="clear" w:color="auto" w:fill="FFFFFF"/>
            <w:vAlign w:val="center"/>
          </w:tcPr>
          <w:p w14:paraId="210E0D04">
            <w:pPr>
              <w:widowControl/>
              <w:spacing w:line="240" w:lineRule="auto"/>
              <w:ind w:firstLine="0" w:firstLineChars="0"/>
              <w:jc w:val="center"/>
              <w:rPr>
                <w:rFonts w:hint="eastAsia" w:cs="Tahoma"/>
                <w:color w:val="000000"/>
                <w:kern w:val="0"/>
                <w:sz w:val="22"/>
                <w:szCs w:val="22"/>
              </w:rPr>
            </w:pPr>
            <w:r>
              <w:rPr>
                <w:rFonts w:cs="Tahoma"/>
                <w:color w:val="000000"/>
                <w:kern w:val="0"/>
                <w:sz w:val="22"/>
                <w:szCs w:val="22"/>
              </w:rPr>
              <w:t>100</w:t>
            </w:r>
          </w:p>
        </w:tc>
        <w:tc>
          <w:tcPr>
            <w:tcW w:w="0" w:type="auto"/>
            <w:tcBorders>
              <w:top w:val="single" w:color="auto" w:sz="4" w:space="0"/>
              <w:left w:val="nil"/>
              <w:bottom w:val="single" w:color="auto" w:sz="4" w:space="0"/>
              <w:right w:val="single" w:color="auto" w:sz="4" w:space="0"/>
            </w:tcBorders>
            <w:shd w:val="clear" w:color="auto" w:fill="FFFFFF"/>
            <w:vAlign w:val="center"/>
          </w:tcPr>
          <w:p w14:paraId="33162566">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点</w:t>
            </w:r>
          </w:p>
        </w:tc>
      </w:tr>
      <w:tr w14:paraId="54A16A64">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672A09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4</w:t>
            </w:r>
          </w:p>
        </w:tc>
        <w:tc>
          <w:tcPr>
            <w:tcW w:w="0" w:type="auto"/>
            <w:tcBorders>
              <w:top w:val="single" w:color="auto" w:sz="4" w:space="0"/>
              <w:left w:val="nil"/>
              <w:bottom w:val="single" w:color="auto" w:sz="4" w:space="0"/>
              <w:right w:val="single" w:color="auto" w:sz="4" w:space="0"/>
            </w:tcBorders>
            <w:shd w:val="clear" w:color="auto" w:fill="FFFFFF"/>
            <w:vAlign w:val="center"/>
          </w:tcPr>
          <w:p w14:paraId="36868DED">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手持式条码扫描仪</w:t>
            </w:r>
          </w:p>
        </w:tc>
        <w:tc>
          <w:tcPr>
            <w:tcW w:w="0" w:type="auto"/>
            <w:tcBorders>
              <w:top w:val="single" w:color="auto" w:sz="4" w:space="0"/>
              <w:left w:val="nil"/>
              <w:bottom w:val="single" w:color="auto" w:sz="4" w:space="0"/>
              <w:right w:val="single" w:color="auto" w:sz="4" w:space="0"/>
            </w:tcBorders>
            <w:shd w:val="clear" w:color="auto" w:fill="FFFFFF"/>
            <w:vAlign w:val="center"/>
          </w:tcPr>
          <w:p w14:paraId="62FFA03A">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条形码设备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03B2B6D4">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手持式扫描器，支持包括GS1DataBar在内的所有通用的一维码、二维码解码；分辨率：1280×800像素；视场角：水平41°，竖直28°；最小解析度：HD：1D（Code39）：3mil；SR：1D（Code128）：4mil。</w:t>
            </w:r>
          </w:p>
        </w:tc>
        <w:tc>
          <w:tcPr>
            <w:tcW w:w="0" w:type="auto"/>
            <w:tcBorders>
              <w:top w:val="single" w:color="auto" w:sz="4" w:space="0"/>
              <w:left w:val="nil"/>
              <w:bottom w:val="single" w:color="auto" w:sz="4" w:space="0"/>
              <w:right w:val="single" w:color="auto" w:sz="4" w:space="0"/>
            </w:tcBorders>
            <w:shd w:val="clear" w:color="auto" w:fill="FFFFFF"/>
            <w:vAlign w:val="center"/>
          </w:tcPr>
          <w:p w14:paraId="7A1C89C0">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7</w:t>
            </w:r>
            <w:r>
              <w:rPr>
                <w:rFonts w:cs="Tahoma"/>
                <w:color w:val="000000"/>
                <w:kern w:val="0"/>
                <w:sz w:val="22"/>
                <w:szCs w:val="22"/>
              </w:rPr>
              <w:t>2</w:t>
            </w:r>
          </w:p>
        </w:tc>
        <w:tc>
          <w:tcPr>
            <w:tcW w:w="0" w:type="auto"/>
            <w:tcBorders>
              <w:top w:val="single" w:color="auto" w:sz="4" w:space="0"/>
              <w:left w:val="nil"/>
              <w:bottom w:val="single" w:color="auto" w:sz="4" w:space="0"/>
              <w:right w:val="single" w:color="auto" w:sz="4" w:space="0"/>
            </w:tcBorders>
            <w:shd w:val="clear" w:color="auto" w:fill="FFFFFF"/>
            <w:vAlign w:val="center"/>
          </w:tcPr>
          <w:p w14:paraId="33DD876F">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台</w:t>
            </w:r>
          </w:p>
        </w:tc>
      </w:tr>
    </w:tbl>
    <w:p w14:paraId="4568B620">
      <w:pPr>
        <w:pStyle w:val="3"/>
        <w:numPr>
          <w:ilvl w:val="0"/>
          <w:numId w:val="0"/>
        </w:numPr>
        <w:ind w:left="1135" w:hanging="567"/>
        <w:rPr>
          <w:rFonts w:hint="eastAsia"/>
          <w:sz w:val="24"/>
          <w:szCs w:val="24"/>
        </w:rPr>
      </w:pPr>
      <w:r>
        <w:rPr>
          <w:rFonts w:hint="eastAsia"/>
          <w:sz w:val="24"/>
          <w:szCs w:val="24"/>
        </w:rPr>
        <w:t>3、产品软件购置清单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385"/>
        <w:gridCol w:w="4974"/>
        <w:gridCol w:w="721"/>
        <w:gridCol w:w="721"/>
      </w:tblGrid>
      <w:tr w14:paraId="3947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shd w:val="clear" w:color="auto" w:fill="auto"/>
            <w:vAlign w:val="center"/>
          </w:tcPr>
          <w:p w14:paraId="5D1FB779">
            <w:pPr>
              <w:ind w:firstLine="0" w:firstLineChars="0"/>
              <w:jc w:val="center"/>
              <w:rPr>
                <w:rFonts w:hint="eastAsia" w:cs="宋体"/>
                <w:b/>
                <w:bCs/>
              </w:rPr>
            </w:pPr>
            <w:r>
              <w:rPr>
                <w:rFonts w:hint="eastAsia" w:cs="宋体"/>
                <w:b/>
                <w:bCs/>
              </w:rPr>
              <w:t>序号</w:t>
            </w:r>
          </w:p>
        </w:tc>
        <w:tc>
          <w:tcPr>
            <w:tcW w:w="812" w:type="pct"/>
            <w:shd w:val="clear" w:color="auto" w:fill="auto"/>
            <w:vAlign w:val="center"/>
          </w:tcPr>
          <w:p w14:paraId="24CE9299">
            <w:pPr>
              <w:ind w:firstLine="0" w:firstLineChars="0"/>
              <w:jc w:val="center"/>
              <w:rPr>
                <w:rFonts w:hint="eastAsia" w:cs="宋体"/>
                <w:b/>
                <w:bCs/>
              </w:rPr>
            </w:pPr>
            <w:r>
              <w:rPr>
                <w:rFonts w:hint="eastAsia" w:cs="宋体"/>
                <w:b/>
                <w:bCs/>
              </w:rPr>
              <w:t>软件名称</w:t>
            </w:r>
          </w:p>
        </w:tc>
        <w:tc>
          <w:tcPr>
            <w:tcW w:w="2916" w:type="pct"/>
            <w:shd w:val="clear" w:color="auto" w:fill="auto"/>
            <w:vAlign w:val="center"/>
          </w:tcPr>
          <w:p w14:paraId="23DAB1CE">
            <w:pPr>
              <w:ind w:firstLine="0" w:firstLineChars="0"/>
              <w:jc w:val="center"/>
              <w:rPr>
                <w:rFonts w:hint="eastAsia" w:cs="宋体"/>
                <w:b/>
                <w:bCs/>
              </w:rPr>
            </w:pPr>
            <w:r>
              <w:rPr>
                <w:rFonts w:hint="eastAsia" w:cs="宋体"/>
                <w:b/>
                <w:bCs/>
              </w:rPr>
              <w:t>功能说明</w:t>
            </w:r>
            <w:r>
              <w:rPr>
                <w:rFonts w:cs="宋体"/>
                <w:b/>
                <w:bCs/>
              </w:rPr>
              <w:t>/配置要求</w:t>
            </w:r>
          </w:p>
        </w:tc>
        <w:tc>
          <w:tcPr>
            <w:tcW w:w="423" w:type="pct"/>
            <w:shd w:val="clear" w:color="auto" w:fill="auto"/>
            <w:vAlign w:val="center"/>
          </w:tcPr>
          <w:p w14:paraId="17E3E47C">
            <w:pPr>
              <w:ind w:firstLine="0" w:firstLineChars="0"/>
              <w:jc w:val="center"/>
              <w:rPr>
                <w:rFonts w:hint="eastAsia" w:cs="宋体"/>
                <w:b/>
                <w:bCs/>
              </w:rPr>
            </w:pPr>
            <w:r>
              <w:rPr>
                <w:rFonts w:hint="eastAsia" w:cs="宋体"/>
                <w:b/>
                <w:bCs/>
              </w:rPr>
              <w:t>数量</w:t>
            </w:r>
          </w:p>
        </w:tc>
        <w:tc>
          <w:tcPr>
            <w:tcW w:w="423" w:type="pct"/>
            <w:shd w:val="clear" w:color="auto" w:fill="auto"/>
            <w:vAlign w:val="center"/>
          </w:tcPr>
          <w:p w14:paraId="1CC128D0">
            <w:pPr>
              <w:ind w:firstLine="0" w:firstLineChars="0"/>
              <w:jc w:val="center"/>
              <w:rPr>
                <w:rFonts w:hint="eastAsia" w:cs="宋体"/>
                <w:b/>
                <w:bCs/>
              </w:rPr>
            </w:pPr>
            <w:r>
              <w:rPr>
                <w:rFonts w:hint="eastAsia" w:cs="宋体"/>
                <w:b/>
                <w:bCs/>
              </w:rPr>
              <w:t>单位</w:t>
            </w:r>
          </w:p>
        </w:tc>
      </w:tr>
      <w:tr w14:paraId="1CA5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shd w:val="clear" w:color="auto" w:fill="auto"/>
            <w:vAlign w:val="center"/>
          </w:tcPr>
          <w:p w14:paraId="0698B628">
            <w:pPr>
              <w:widowControl/>
              <w:spacing w:line="240" w:lineRule="auto"/>
              <w:ind w:firstLine="0" w:firstLineChars="0"/>
              <w:jc w:val="center"/>
              <w:rPr>
                <w:rFonts w:hint="eastAsia" w:cs="Tahoma"/>
                <w:color w:val="000000"/>
                <w:kern w:val="0"/>
                <w:sz w:val="22"/>
                <w:szCs w:val="22"/>
              </w:rPr>
            </w:pPr>
            <w:r>
              <w:rPr>
                <w:rFonts w:cs="Tahoma"/>
                <w:color w:val="000000"/>
                <w:kern w:val="0"/>
                <w:sz w:val="22"/>
                <w:szCs w:val="22"/>
              </w:rPr>
              <w:t>1</w:t>
            </w:r>
          </w:p>
        </w:tc>
        <w:tc>
          <w:tcPr>
            <w:tcW w:w="812" w:type="pct"/>
            <w:shd w:val="clear" w:color="auto" w:fill="auto"/>
            <w:vAlign w:val="center"/>
          </w:tcPr>
          <w:p w14:paraId="2B90DB79">
            <w:pPr>
              <w:widowControl/>
              <w:spacing w:line="240" w:lineRule="auto"/>
              <w:ind w:firstLine="0" w:firstLineChars="0"/>
              <w:jc w:val="center"/>
              <w:rPr>
                <w:rFonts w:hint="eastAsia" w:cs="Tahoma"/>
                <w:color w:val="000000"/>
                <w:kern w:val="0"/>
                <w:sz w:val="22"/>
                <w:szCs w:val="22"/>
              </w:rPr>
            </w:pPr>
            <w:r>
              <w:rPr>
                <w:rFonts w:hint="eastAsia" w:cs="Tahoma"/>
                <w:color w:val="000000"/>
                <w:kern w:val="0"/>
                <w:sz w:val="22"/>
                <w:szCs w:val="22"/>
              </w:rPr>
              <w:t>物联终端监管系统</w:t>
            </w:r>
          </w:p>
        </w:tc>
        <w:tc>
          <w:tcPr>
            <w:tcW w:w="2916" w:type="pct"/>
            <w:shd w:val="clear" w:color="auto" w:fill="auto"/>
            <w:vAlign w:val="center"/>
          </w:tcPr>
          <w:p w14:paraId="6F407A9C">
            <w:pPr>
              <w:widowControl/>
              <w:spacing w:line="240" w:lineRule="auto"/>
              <w:ind w:firstLine="0" w:firstLineChars="0"/>
              <w:jc w:val="left"/>
              <w:rPr>
                <w:rFonts w:hint="eastAsia" w:cs="Tahoma"/>
                <w:color w:val="000000"/>
                <w:kern w:val="0"/>
                <w:sz w:val="22"/>
                <w:szCs w:val="22"/>
              </w:rPr>
            </w:pPr>
            <w:r>
              <w:rPr>
                <w:rFonts w:hint="eastAsia" w:cs="Tahoma"/>
                <w:color w:val="000000"/>
                <w:kern w:val="0"/>
                <w:sz w:val="22"/>
                <w:szCs w:val="22"/>
              </w:rPr>
              <w:t>系统支持终端管控、防病毒（不含第三方扩展引擎）、补丁管理、主机防火墙能。支持主流PC操作系统，包含100个终端接入管控授权，包含三年更新服务。</w:t>
            </w:r>
          </w:p>
        </w:tc>
        <w:tc>
          <w:tcPr>
            <w:tcW w:w="423" w:type="pct"/>
            <w:shd w:val="clear" w:color="auto" w:fill="auto"/>
            <w:vAlign w:val="center"/>
          </w:tcPr>
          <w:p w14:paraId="17ACA1B8">
            <w:pPr>
              <w:widowControl/>
              <w:spacing w:line="240" w:lineRule="auto"/>
              <w:ind w:firstLine="0" w:firstLineChars="0"/>
              <w:jc w:val="center"/>
              <w:rPr>
                <w:rFonts w:hint="eastAsia" w:cs="Tahoma"/>
                <w:color w:val="000000"/>
                <w:kern w:val="0"/>
                <w:sz w:val="22"/>
                <w:szCs w:val="22"/>
              </w:rPr>
            </w:pPr>
            <w:r>
              <w:rPr>
                <w:rFonts w:cs="Tahoma"/>
                <w:color w:val="000000"/>
                <w:kern w:val="0"/>
                <w:sz w:val="22"/>
                <w:szCs w:val="22"/>
              </w:rPr>
              <w:t>1</w:t>
            </w:r>
          </w:p>
        </w:tc>
        <w:tc>
          <w:tcPr>
            <w:tcW w:w="423" w:type="pct"/>
            <w:shd w:val="clear" w:color="auto" w:fill="auto"/>
            <w:vAlign w:val="center"/>
          </w:tcPr>
          <w:p w14:paraId="54C4CAD0">
            <w:pPr>
              <w:widowControl/>
              <w:spacing w:line="240" w:lineRule="auto"/>
              <w:ind w:firstLine="0" w:firstLineChars="0"/>
              <w:jc w:val="center"/>
              <w:rPr>
                <w:rFonts w:hint="eastAsia" w:cs="Tahoma"/>
                <w:color w:val="000000"/>
                <w:kern w:val="0"/>
                <w:sz w:val="22"/>
                <w:szCs w:val="22"/>
              </w:rPr>
            </w:pPr>
            <w:r>
              <w:rPr>
                <w:rFonts w:cs="Tahoma"/>
                <w:color w:val="000000"/>
                <w:kern w:val="0"/>
                <w:sz w:val="22"/>
                <w:szCs w:val="22"/>
              </w:rPr>
              <w:t>套</w:t>
            </w:r>
          </w:p>
        </w:tc>
      </w:tr>
    </w:tbl>
    <w:p w14:paraId="3E320DC1">
      <w:pPr>
        <w:pStyle w:val="3"/>
        <w:numPr>
          <w:ilvl w:val="0"/>
          <w:numId w:val="0"/>
        </w:numPr>
        <w:ind w:left="1135" w:hanging="567"/>
        <w:rPr>
          <w:rFonts w:hint="eastAsia"/>
          <w:sz w:val="24"/>
          <w:szCs w:val="24"/>
        </w:rPr>
      </w:pPr>
      <w:bookmarkStart w:id="21" w:name="_Toc63785502"/>
      <w:r>
        <w:rPr>
          <w:rFonts w:hint="eastAsia"/>
          <w:sz w:val="24"/>
          <w:szCs w:val="24"/>
        </w:rPr>
        <w:t>4、项目建设范围</w:t>
      </w:r>
    </w:p>
    <w:p w14:paraId="214669AD">
      <w:pPr>
        <w:rPr>
          <w:rFonts w:hint="eastAsia"/>
        </w:rPr>
      </w:pPr>
      <w:r>
        <w:rPr>
          <w:rFonts w:hint="eastAsia"/>
        </w:rPr>
        <w:t>本项目最终执行地包括如下地点：上海市高级人民法院、上海各中级人民法院、基层人民法院。</w:t>
      </w:r>
    </w:p>
    <w:p w14:paraId="055E7E15">
      <w:pPr>
        <w:pStyle w:val="3"/>
        <w:numPr>
          <w:ilvl w:val="0"/>
          <w:numId w:val="0"/>
        </w:numPr>
        <w:ind w:left="1135" w:hanging="567"/>
        <w:rPr>
          <w:rFonts w:hint="eastAsia"/>
          <w:sz w:val="24"/>
          <w:szCs w:val="24"/>
        </w:rPr>
      </w:pPr>
      <w:r>
        <w:rPr>
          <w:rFonts w:hint="eastAsia"/>
          <w:sz w:val="24"/>
          <w:szCs w:val="24"/>
        </w:rPr>
        <w:t>5、项目建设周期</w:t>
      </w:r>
    </w:p>
    <w:p w14:paraId="15179E2C">
      <w:pPr>
        <w:rPr>
          <w:rFonts w:hint="eastAsia"/>
        </w:rPr>
      </w:pPr>
      <w:r>
        <w:rPr>
          <w:rFonts w:hint="eastAsia"/>
        </w:rPr>
        <w:t>本项目建设周期为12个月。</w:t>
      </w:r>
    </w:p>
    <w:p w14:paraId="631ECE40">
      <w:pPr>
        <w:pStyle w:val="3"/>
        <w:numPr>
          <w:ilvl w:val="0"/>
          <w:numId w:val="0"/>
        </w:numPr>
        <w:ind w:left="1135" w:hanging="567"/>
        <w:rPr>
          <w:rFonts w:hint="eastAsia"/>
          <w:sz w:val="24"/>
          <w:szCs w:val="24"/>
        </w:rPr>
      </w:pPr>
      <w:r>
        <w:rPr>
          <w:rFonts w:hint="eastAsia"/>
          <w:sz w:val="24"/>
          <w:szCs w:val="24"/>
        </w:rPr>
        <w:t>6、系统整合与接口要求</w:t>
      </w:r>
    </w:p>
    <w:p w14:paraId="2FDB491E">
      <w:pPr>
        <w:rPr>
          <w:rFonts w:hint="eastAsia" w:cs="宋体"/>
          <w:color w:val="000000"/>
        </w:rPr>
      </w:pPr>
      <w:r>
        <w:rPr>
          <w:rFonts w:hint="eastAsia" w:cs="宋体"/>
          <w:color w:val="000000"/>
        </w:rPr>
        <w:t>（1）需按照上海法院“统一门户集成、统一用户管理、统一接入管理、统一授权管理、统一安全防护、统一资源管理”六个统一的总体要求，上海法院的信息化应用系统整合为“审判系统、执行系统、司法管理系统、诉讼服务系统、保障系统”五大应用系统+门户网站+数据中台的架构模式。本次项目建设内容需按照“六统一”的基本要求纳入上海法院数据中台，与原有系统功能整合运行，建设完成后提供给全市法院使用。</w:t>
      </w:r>
    </w:p>
    <w:p w14:paraId="0A90C28B">
      <w:pPr>
        <w:rPr>
          <w:rFonts w:hint="eastAsia" w:cs="宋体"/>
          <w:color w:val="000000"/>
        </w:rPr>
      </w:pPr>
      <w:r>
        <w:rPr>
          <w:rFonts w:hint="eastAsia" w:cs="宋体"/>
          <w:color w:val="000000"/>
        </w:rPr>
        <w:t>统一授权管理：本次项目需使用上海法院现有权限管理体系管理维护应用系统资源操作权限，实现各类信息资源访问控制的管理维护，分配和管理用户与角色针对资源数据的访问权限。</w:t>
      </w:r>
    </w:p>
    <w:p w14:paraId="6E83FC46">
      <w:pPr>
        <w:rPr>
          <w:rFonts w:hint="eastAsia" w:cs="宋体"/>
          <w:color w:val="000000"/>
        </w:rPr>
      </w:pPr>
      <w:r>
        <w:rPr>
          <w:rFonts w:hint="eastAsia" w:cs="宋体"/>
          <w:color w:val="000000"/>
        </w:rPr>
        <w:t>统一用户管理：本次项目需使用上海法院现有的组织机构和用户管理功能，不得另建组织机构和用户管理功能。需以API接口方式动态获取用户数据，获取的用户数据不得落地存储。</w:t>
      </w:r>
    </w:p>
    <w:p w14:paraId="587208F5">
      <w:pPr>
        <w:rPr>
          <w:rFonts w:hint="eastAsia" w:cs="宋体"/>
          <w:color w:val="000000"/>
        </w:rPr>
      </w:pPr>
      <w:r>
        <w:rPr>
          <w:rFonts w:hint="eastAsia" w:cs="宋体"/>
          <w:color w:val="000000"/>
        </w:rPr>
        <w:t>统一接入管理：上海法院在系统整合改造过程中，建设了基于微服务架构的上海法院应用系统开发、运行、管理和维护体系，建立了统一的数据标准、接口访问标准等标准体系，提供了各类主流数据和组件访问接口，包含统一数据交换平台等。本次项目建设过程中，需最大化复用已有的各类业务、技术标准和业务功能组件，系统已经实现的功能原则上直接调用，不得重复建设。</w:t>
      </w:r>
    </w:p>
    <w:p w14:paraId="29CE7ED7">
      <w:pPr>
        <w:rPr>
          <w:rFonts w:hint="eastAsia" w:cs="宋体"/>
          <w:color w:val="000000"/>
        </w:rPr>
      </w:pPr>
      <w:r>
        <w:rPr>
          <w:rFonts w:hint="eastAsia" w:cs="宋体"/>
          <w:color w:val="000000"/>
        </w:rPr>
        <w:t>统一安全防护：审计信息集中统一管理，实现各类操作、数据访问等日志数据的记录和查询管理；利用上海法院已有的密码、数据加密、存储加密等功能实现关键数据的安全防护；实现敏感信息脱敏和防护；系统建设完成后符合等级保护要求并通过系统测评。</w:t>
      </w:r>
    </w:p>
    <w:p w14:paraId="71E4BDCB">
      <w:pPr>
        <w:rPr>
          <w:rFonts w:hint="eastAsia" w:cs="宋体"/>
          <w:color w:val="000000"/>
        </w:rPr>
      </w:pPr>
      <w:r>
        <w:rPr>
          <w:rFonts w:hint="eastAsia" w:cs="宋体"/>
          <w:color w:val="000000"/>
        </w:rPr>
        <w:t>统一资源管理：与现有应用系统实现统一的数据资源管理，保证数据在上海三级法院的唯一性，实现一次录入、全面共享，一次变动、实时同步；统一系统运行资源，应用系统运行在上海法院服务器、云服务器、云资源平台上；统一架构体系，应用软件系统需使用上海法院的微服务应用开发体系，并与现有应用系统整合部署；统一的终端使用环境，应用软件需支持上海法院在用的国产化计算机终端、浏览器、流式软件、电子签章等软件环境。</w:t>
      </w:r>
    </w:p>
    <w:p w14:paraId="377F681E">
      <w:pPr>
        <w:rPr>
          <w:rFonts w:hint="eastAsia" w:cs="宋体"/>
          <w:color w:val="000000"/>
        </w:rPr>
      </w:pPr>
      <w:r>
        <w:rPr>
          <w:rFonts w:hint="eastAsia" w:cs="宋体"/>
          <w:color w:val="000000"/>
        </w:rPr>
        <w:t>统一标准规范：本项目需符合上海市高级人民法院法标的各项业务和技术标准。</w:t>
      </w:r>
    </w:p>
    <w:p w14:paraId="2DCA0C82">
      <w:pPr>
        <w:rPr>
          <w:rFonts w:hint="eastAsia" w:cs="宋体"/>
          <w:color w:val="000000"/>
        </w:rPr>
      </w:pPr>
      <w:r>
        <w:rPr>
          <w:rFonts w:hint="eastAsia" w:cs="宋体"/>
          <w:color w:val="000000"/>
        </w:rPr>
        <w:t>（2）本项目建设内容主要涉及上海法院相关诉讼服务模块、“随申办”、“一网通办”等，承建商需承诺与原系统进行对接。</w:t>
      </w:r>
    </w:p>
    <w:p w14:paraId="0607331C">
      <w:pPr>
        <w:rPr>
          <w:rFonts w:hint="eastAsia"/>
        </w:rPr>
      </w:pPr>
      <w:r>
        <w:rPr>
          <w:rFonts w:hint="eastAsia" w:cs="宋体"/>
          <w:color w:val="000000"/>
        </w:rPr>
        <w:t>（3）因本项目需求产生的所有系统对接费用包含在本次报价内。</w:t>
      </w:r>
    </w:p>
    <w:p w14:paraId="017A5905">
      <w:pPr>
        <w:pStyle w:val="2"/>
        <w:rPr>
          <w:rFonts w:hint="eastAsia"/>
        </w:rPr>
      </w:pPr>
      <w:r>
        <w:rPr>
          <w:rFonts w:hint="eastAsia"/>
        </w:rPr>
        <w:t>电子政务云资源需求</w:t>
      </w:r>
      <w:bookmarkEnd w:id="21"/>
    </w:p>
    <w:p w14:paraId="557F9BEB">
      <w:pPr>
        <w:rPr>
          <w:rFonts w:hint="eastAsia"/>
        </w:rPr>
      </w:pPr>
      <w:r>
        <w:rPr>
          <w:rFonts w:hint="eastAsia"/>
        </w:rPr>
        <w:t>根据项目前期资源现状，本次建设根据估算拟向电子政务云申请20台服务器资源CPU304核 、内存608G、存储25.5T，均为虚拟机。</w:t>
      </w:r>
    </w:p>
    <w:p w14:paraId="1B8D72A5">
      <w:pPr>
        <w:pStyle w:val="2"/>
        <w:rPr>
          <w:rFonts w:hint="eastAsia"/>
        </w:rPr>
      </w:pPr>
      <w:bookmarkStart w:id="22" w:name="_Toc63785503"/>
      <w:r>
        <w:rPr>
          <w:rFonts w:hint="eastAsia"/>
        </w:rPr>
        <w:t>其他工作要求</w:t>
      </w:r>
      <w:bookmarkEnd w:id="22"/>
    </w:p>
    <w:p w14:paraId="10C4898F">
      <w:pPr>
        <w:keepNext/>
        <w:keepLines/>
        <w:numPr>
          <w:ilvl w:val="1"/>
          <w:numId w:val="2"/>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23" w:name="_Toc63785504"/>
      <w:bookmarkEnd w:id="23"/>
      <w:bookmarkStart w:id="24" w:name="_Toc62209488"/>
      <w:bookmarkEnd w:id="24"/>
      <w:bookmarkStart w:id="25" w:name="_Toc62219358"/>
      <w:bookmarkEnd w:id="25"/>
      <w:bookmarkStart w:id="26" w:name="_Toc63785439"/>
      <w:bookmarkEnd w:id="26"/>
      <w:bookmarkStart w:id="27" w:name="_Toc63585480"/>
      <w:bookmarkEnd w:id="27"/>
      <w:bookmarkStart w:id="28" w:name="_Toc63762370"/>
      <w:bookmarkEnd w:id="28"/>
      <w:bookmarkStart w:id="29" w:name="_Toc63151871"/>
      <w:bookmarkEnd w:id="29"/>
      <w:bookmarkStart w:id="30" w:name="_Toc61968111"/>
      <w:bookmarkEnd w:id="30"/>
    </w:p>
    <w:p w14:paraId="5EDDF9FB">
      <w:pPr>
        <w:pStyle w:val="3"/>
        <w:ind w:left="567"/>
        <w:rPr>
          <w:rFonts w:hint="eastAsia"/>
        </w:rPr>
      </w:pPr>
      <w:bookmarkStart w:id="31" w:name="_Toc63785505"/>
      <w:r>
        <w:rPr>
          <w:rFonts w:hint="eastAsia"/>
        </w:rPr>
        <w:t>售后服务要求</w:t>
      </w:r>
      <w:bookmarkEnd w:id="31"/>
    </w:p>
    <w:p w14:paraId="04CBF385">
      <w:pPr>
        <w:pStyle w:val="10"/>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和售后服务，应用软件部分1年后进入有偿维护期，硬件终端部分3年后进入有偿维护期。</w:t>
      </w:r>
    </w:p>
    <w:p w14:paraId="1F49E6EC">
      <w:pPr>
        <w:pStyle w:val="10"/>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在质量保证期内，供应商将按照售后服务的承诺提供保修和运行维护服务，如果厂商对信息系统中软、硬件设备等产品中的部分保修期超过上述期限的，则按照厂商的规定进行保修。</w:t>
      </w:r>
    </w:p>
    <w:p w14:paraId="712CA8A6">
      <w:pPr>
        <w:pStyle w:val="10"/>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在质量保证期内，供应商负责信息系统的运行维护工作，确保信息系统安全、稳定、可靠地运行。本项目涉及的运行维护工作范围为：上海“数字法院”（一期）-数字化诉讼服务子系统。</w:t>
      </w:r>
    </w:p>
    <w:p w14:paraId="594EDBFE">
      <w:pPr>
        <w:pStyle w:val="3"/>
        <w:ind w:left="567"/>
        <w:rPr>
          <w:rFonts w:hint="eastAsia"/>
        </w:rPr>
      </w:pPr>
      <w:bookmarkStart w:id="32" w:name="_Toc63785506"/>
      <w:r>
        <w:rPr>
          <w:rFonts w:hint="eastAsia"/>
        </w:rPr>
        <w:t>应急响应要求</w:t>
      </w:r>
      <w:bookmarkEnd w:id="32"/>
    </w:p>
    <w:p w14:paraId="415A8A7F">
      <w:pPr>
        <w:pStyle w:val="10"/>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49800134">
      <w:pPr>
        <w:pStyle w:val="10"/>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4EBB0447">
      <w:pPr>
        <w:pStyle w:val="10"/>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79FF035">
      <w:pPr>
        <w:pStyle w:val="10"/>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2小时内确诊，并在4小时内到达现场确诊并解决，总故障解决时间不超过8小时；</w:t>
      </w:r>
    </w:p>
    <w:p w14:paraId="4DCF07FB">
      <w:pPr>
        <w:pStyle w:val="10"/>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A720339">
      <w:pPr>
        <w:pStyle w:val="3"/>
        <w:ind w:left="567"/>
        <w:rPr>
          <w:rFonts w:hint="eastAsia"/>
        </w:rPr>
      </w:pPr>
      <w:bookmarkStart w:id="33" w:name="_Toc63785507"/>
      <w:r>
        <w:rPr>
          <w:rFonts w:hint="eastAsia"/>
        </w:rPr>
        <w:t>培训要求</w:t>
      </w:r>
      <w:bookmarkEnd w:id="33"/>
    </w:p>
    <w:p w14:paraId="22F26FC9">
      <w:pPr>
        <w:rPr>
          <w:rFonts w:hint="eastAsia"/>
        </w:rPr>
      </w:pPr>
      <w:r>
        <w:rPr>
          <w:rFonts w:hint="eastAsia"/>
        </w:rPr>
        <w:t>对系统使用单位提供业务操作培训，应提供详细培训方案。</w:t>
      </w:r>
    </w:p>
    <w:p w14:paraId="49B72FD6">
      <w:pPr>
        <w:rPr>
          <w:rFonts w:hint="eastAsia"/>
        </w:rPr>
      </w:pPr>
      <w:r>
        <w:rPr>
          <w:rFonts w:hint="eastAsia"/>
        </w:rPr>
        <w:t>(1)在12个月的质量保证期内，提供与项目相关的必要培训。</w:t>
      </w:r>
    </w:p>
    <w:p w14:paraId="13B2F8F7">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5405D580">
      <w:pPr>
        <w:rPr>
          <w:rFonts w:hint="eastAsia"/>
          <w:strike/>
          <w:szCs w:val="21"/>
        </w:rPr>
      </w:pPr>
      <w:r>
        <w:rPr>
          <w:rFonts w:hint="eastAsia"/>
        </w:rPr>
        <w:t>(3)供应商应提供一般用户的基础操作培训和部门信息管理员的日常应用维护的培训，确保用户对象能够掌握对应的操作技能。</w:t>
      </w:r>
    </w:p>
    <w:p w14:paraId="7EDC6B0F">
      <w:pPr>
        <w:pStyle w:val="3"/>
        <w:rPr>
          <w:rFonts w:hint="eastAsia"/>
        </w:rPr>
      </w:pPr>
      <w:bookmarkStart w:id="34" w:name="_Toc63785509"/>
      <w:r>
        <w:rPr>
          <w:rFonts w:hint="eastAsia"/>
        </w:rPr>
        <w:t>进度要求</w:t>
      </w:r>
      <w:bookmarkEnd w:id="34"/>
    </w:p>
    <w:p w14:paraId="65C2131A">
      <w:pPr>
        <w:pStyle w:val="10"/>
        <w:snapToGrid w:val="0"/>
        <w:spacing w:line="360" w:lineRule="auto"/>
        <w:ind w:firstLine="480"/>
        <w:rPr>
          <w:rFonts w:hint="eastAsia" w:ascii="宋体" w:hAnsi="宋体"/>
          <w:sz w:val="24"/>
          <w:szCs w:val="24"/>
        </w:rPr>
      </w:pPr>
      <w:r>
        <w:rPr>
          <w:rFonts w:hint="eastAsia" w:ascii="宋体" w:hAnsi="宋体"/>
          <w:sz w:val="24"/>
          <w:szCs w:val="24"/>
        </w:rPr>
        <w:t>在合同签订后12个月内实现全部招标要求，其中试运行期1个月。</w:t>
      </w:r>
    </w:p>
    <w:p w14:paraId="6163B199">
      <w:pPr>
        <w:pStyle w:val="3"/>
        <w:rPr>
          <w:rFonts w:hint="eastAsia"/>
        </w:rPr>
      </w:pPr>
      <w:bookmarkStart w:id="35" w:name="_Toc63785510"/>
      <w:r>
        <w:rPr>
          <w:rFonts w:hint="eastAsia"/>
        </w:rPr>
        <w:t>项目团队及驻场人员要求</w:t>
      </w:r>
      <w:bookmarkEnd w:id="35"/>
    </w:p>
    <w:p w14:paraId="187D1FC8">
      <w:pPr>
        <w:rPr>
          <w:rFonts w:hint="eastAsia"/>
        </w:rPr>
      </w:pPr>
      <w:r>
        <w:t>1）投标人须具有稳定的在职技术保障力量，能够提供及时的技术支援或服务，应针对本项目提供不少于</w:t>
      </w:r>
      <w:r>
        <w:rPr>
          <w:rFonts w:hint="eastAsia"/>
        </w:rPr>
        <w:t>23</w:t>
      </w:r>
      <w:r>
        <w:t>人的项目服务团队（包括</w:t>
      </w:r>
      <w:r>
        <w:rPr>
          <w:rFonts w:hint="eastAsia"/>
          <w:lang w:eastAsia="zh-CN"/>
        </w:rPr>
        <w:t>项目负责人</w:t>
      </w:r>
      <w:r>
        <w:t>、产品经理、技术负责人、研发等），</w:t>
      </w:r>
      <w:r>
        <w:rPr>
          <w:rFonts w:hint="eastAsia"/>
        </w:rPr>
        <w:t>项目负责人具有5年及以上类似项目实施经验</w:t>
      </w:r>
      <w:r>
        <w:rPr>
          <w:rFonts w:hint="eastAsia"/>
          <w:lang w:eastAsia="zh-CN"/>
        </w:rPr>
        <w:t>，</w:t>
      </w:r>
      <w:r>
        <w:t>投标单位的相关服务人员需具备相应的服务能力，需提供相关证明。</w:t>
      </w:r>
    </w:p>
    <w:p w14:paraId="6FB94E4D">
      <w:pPr>
        <w:rPr>
          <w:rFonts w:hint="eastAsia"/>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56"/>
        <w:gridCol w:w="1536"/>
        <w:gridCol w:w="1540"/>
        <w:gridCol w:w="1180"/>
      </w:tblGrid>
      <w:tr w14:paraId="4B9B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9" w:type="pct"/>
            <w:shd w:val="clear" w:color="auto" w:fill="auto"/>
            <w:noWrap/>
            <w:vAlign w:val="center"/>
          </w:tcPr>
          <w:p w14:paraId="1339089C">
            <w:pPr>
              <w:widowControl/>
              <w:spacing w:line="240" w:lineRule="auto"/>
              <w:ind w:firstLine="0" w:firstLineChars="0"/>
              <w:jc w:val="center"/>
              <w:rPr>
                <w:rFonts w:hint="eastAsia"/>
                <w:b/>
              </w:rPr>
            </w:pPr>
            <w:r>
              <w:rPr>
                <w:rFonts w:hint="eastAsia"/>
                <w:b/>
              </w:rPr>
              <w:t>角色</w:t>
            </w:r>
          </w:p>
        </w:tc>
        <w:tc>
          <w:tcPr>
            <w:tcW w:w="1674" w:type="pct"/>
            <w:shd w:val="clear" w:color="auto" w:fill="auto"/>
            <w:noWrap/>
            <w:vAlign w:val="center"/>
          </w:tcPr>
          <w:p w14:paraId="0E0C110E">
            <w:pPr>
              <w:widowControl/>
              <w:spacing w:line="240" w:lineRule="auto"/>
              <w:ind w:firstLine="0" w:firstLineChars="0"/>
              <w:jc w:val="center"/>
              <w:rPr>
                <w:rFonts w:hint="eastAsia"/>
                <w:b/>
              </w:rPr>
            </w:pPr>
            <w:r>
              <w:rPr>
                <w:rFonts w:hint="eastAsia"/>
                <w:b/>
              </w:rPr>
              <w:t>主要职责</w:t>
            </w:r>
          </w:p>
        </w:tc>
        <w:tc>
          <w:tcPr>
            <w:tcW w:w="901" w:type="pct"/>
            <w:shd w:val="clear" w:color="auto" w:fill="auto"/>
            <w:noWrap/>
            <w:vAlign w:val="center"/>
          </w:tcPr>
          <w:p w14:paraId="7FF70B64">
            <w:pPr>
              <w:widowControl/>
              <w:spacing w:line="240" w:lineRule="auto"/>
              <w:ind w:firstLine="0" w:firstLineChars="0"/>
              <w:jc w:val="center"/>
              <w:rPr>
                <w:rFonts w:hint="eastAsia"/>
                <w:b/>
              </w:rPr>
            </w:pPr>
            <w:r>
              <w:rPr>
                <w:rFonts w:hint="eastAsia"/>
                <w:b/>
              </w:rPr>
              <w:t>人员数量</w:t>
            </w:r>
          </w:p>
        </w:tc>
        <w:tc>
          <w:tcPr>
            <w:tcW w:w="1120" w:type="pct"/>
            <w:vAlign w:val="center"/>
          </w:tcPr>
          <w:p w14:paraId="437CFC34">
            <w:pPr>
              <w:widowControl/>
              <w:spacing w:line="240" w:lineRule="auto"/>
              <w:ind w:firstLine="0" w:firstLineChars="0"/>
              <w:jc w:val="center"/>
              <w:rPr>
                <w:rFonts w:hint="eastAsia"/>
                <w:b/>
              </w:rPr>
            </w:pPr>
            <w:r>
              <w:rPr>
                <w:rFonts w:hint="eastAsia"/>
                <w:b/>
              </w:rPr>
              <w:t>人员要求</w:t>
            </w:r>
          </w:p>
        </w:tc>
        <w:tc>
          <w:tcPr>
            <w:tcW w:w="615" w:type="pct"/>
            <w:shd w:val="clear" w:color="auto" w:fill="auto"/>
            <w:noWrap/>
            <w:vAlign w:val="center"/>
          </w:tcPr>
          <w:p w14:paraId="2CE440EA">
            <w:pPr>
              <w:widowControl/>
              <w:spacing w:line="240" w:lineRule="auto"/>
              <w:ind w:firstLine="0" w:firstLineChars="0"/>
              <w:jc w:val="center"/>
              <w:rPr>
                <w:rFonts w:hint="eastAsia"/>
                <w:b/>
              </w:rPr>
            </w:pPr>
            <w:r>
              <w:rPr>
                <w:rFonts w:hint="eastAsia"/>
                <w:b/>
              </w:rPr>
              <w:t>驻场要求</w:t>
            </w:r>
          </w:p>
        </w:tc>
      </w:tr>
      <w:tr w14:paraId="196B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9" w:type="pct"/>
            <w:shd w:val="clear" w:color="auto" w:fill="auto"/>
            <w:noWrap/>
            <w:vAlign w:val="center"/>
          </w:tcPr>
          <w:p w14:paraId="1AE73715">
            <w:pPr>
              <w:widowControl/>
              <w:spacing w:line="240" w:lineRule="auto"/>
              <w:ind w:firstLine="0" w:firstLineChars="0"/>
              <w:jc w:val="center"/>
              <w:rPr>
                <w:rFonts w:hint="eastAsia" w:eastAsia="宋体"/>
                <w:lang w:eastAsia="zh-CN"/>
              </w:rPr>
            </w:pPr>
            <w:r>
              <w:rPr>
                <w:rFonts w:hint="eastAsia"/>
                <w:lang w:eastAsia="zh-CN"/>
              </w:rPr>
              <w:t>项目负责人</w:t>
            </w:r>
          </w:p>
        </w:tc>
        <w:tc>
          <w:tcPr>
            <w:tcW w:w="1674" w:type="pct"/>
            <w:shd w:val="clear" w:color="auto" w:fill="auto"/>
            <w:vAlign w:val="center"/>
          </w:tcPr>
          <w:p w14:paraId="3338F30D">
            <w:pPr>
              <w:widowControl/>
              <w:spacing w:line="240" w:lineRule="auto"/>
              <w:ind w:firstLine="0" w:firstLineChars="0"/>
              <w:jc w:val="center"/>
              <w:rPr>
                <w:rFonts w:hint="eastAsia"/>
              </w:rPr>
            </w:pPr>
            <w:r>
              <w:rPr>
                <w:rFonts w:hint="eastAsia"/>
              </w:rPr>
              <w:t>负责项目质量和进度控制</w:t>
            </w:r>
          </w:p>
        </w:tc>
        <w:tc>
          <w:tcPr>
            <w:tcW w:w="901" w:type="pct"/>
            <w:shd w:val="clear" w:color="auto" w:fill="auto"/>
            <w:noWrap/>
            <w:vAlign w:val="center"/>
          </w:tcPr>
          <w:p w14:paraId="2AD10C12">
            <w:pPr>
              <w:widowControl/>
              <w:spacing w:line="240" w:lineRule="auto"/>
              <w:ind w:firstLine="0" w:firstLineChars="0"/>
              <w:jc w:val="center"/>
              <w:rPr>
                <w:rFonts w:hint="eastAsia"/>
              </w:rPr>
            </w:pPr>
            <w:r>
              <w:rPr>
                <w:rFonts w:hint="eastAsia"/>
              </w:rPr>
              <w:t>不少于1人</w:t>
            </w:r>
          </w:p>
        </w:tc>
        <w:tc>
          <w:tcPr>
            <w:tcW w:w="1120" w:type="pct"/>
            <w:vAlign w:val="center"/>
          </w:tcPr>
          <w:p w14:paraId="30C8D9EB">
            <w:pPr>
              <w:widowControl/>
              <w:spacing w:line="240" w:lineRule="auto"/>
              <w:ind w:firstLine="0" w:firstLineChars="0"/>
              <w:jc w:val="center"/>
              <w:rPr>
                <w:rFonts w:hint="eastAsia"/>
              </w:rPr>
            </w:pPr>
            <w:r>
              <w:rPr>
                <w:rFonts w:hint="eastAsia"/>
              </w:rPr>
              <w:t>具备信息系统项目管理相关证书</w:t>
            </w:r>
          </w:p>
        </w:tc>
        <w:tc>
          <w:tcPr>
            <w:tcW w:w="615" w:type="pct"/>
            <w:shd w:val="clear" w:color="auto" w:fill="auto"/>
            <w:noWrap/>
            <w:vAlign w:val="center"/>
          </w:tcPr>
          <w:p w14:paraId="245CDBDF">
            <w:pPr>
              <w:widowControl/>
              <w:spacing w:line="240" w:lineRule="auto"/>
              <w:ind w:firstLine="0" w:firstLineChars="0"/>
              <w:jc w:val="center"/>
              <w:rPr>
                <w:rFonts w:hint="eastAsia"/>
              </w:rPr>
            </w:pPr>
            <w:r>
              <w:rPr>
                <w:rFonts w:hint="eastAsia"/>
              </w:rPr>
              <w:t>驻场</w:t>
            </w:r>
          </w:p>
        </w:tc>
      </w:tr>
      <w:tr w14:paraId="4B26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9" w:type="pct"/>
            <w:shd w:val="clear" w:color="auto" w:fill="auto"/>
            <w:noWrap/>
            <w:vAlign w:val="center"/>
          </w:tcPr>
          <w:p w14:paraId="5710165C">
            <w:pPr>
              <w:widowControl/>
              <w:spacing w:line="240" w:lineRule="auto"/>
              <w:ind w:firstLine="0" w:firstLineChars="0"/>
              <w:jc w:val="center"/>
              <w:rPr>
                <w:rFonts w:hint="eastAsia"/>
              </w:rPr>
            </w:pPr>
            <w:r>
              <w:rPr>
                <w:rFonts w:hint="eastAsia"/>
              </w:rPr>
              <w:t>产品经理</w:t>
            </w:r>
          </w:p>
        </w:tc>
        <w:tc>
          <w:tcPr>
            <w:tcW w:w="1674" w:type="pct"/>
            <w:shd w:val="clear" w:color="auto" w:fill="auto"/>
            <w:vAlign w:val="center"/>
          </w:tcPr>
          <w:p w14:paraId="1F36AEAD">
            <w:pPr>
              <w:widowControl/>
              <w:spacing w:line="240" w:lineRule="auto"/>
              <w:ind w:firstLine="0" w:firstLineChars="0"/>
              <w:jc w:val="center"/>
              <w:rPr>
                <w:rFonts w:hint="eastAsia"/>
              </w:rPr>
            </w:pPr>
            <w:r>
              <w:rPr>
                <w:rFonts w:hint="eastAsia"/>
              </w:rPr>
              <w:t>负责项目需求评估与产品设计</w:t>
            </w:r>
          </w:p>
        </w:tc>
        <w:tc>
          <w:tcPr>
            <w:tcW w:w="901" w:type="pct"/>
            <w:shd w:val="clear" w:color="auto" w:fill="auto"/>
            <w:noWrap/>
            <w:vAlign w:val="center"/>
          </w:tcPr>
          <w:p w14:paraId="0FD7E1DE">
            <w:pPr>
              <w:widowControl/>
              <w:spacing w:line="240" w:lineRule="auto"/>
              <w:ind w:firstLine="0" w:firstLineChars="0"/>
              <w:jc w:val="center"/>
              <w:rPr>
                <w:rFonts w:hint="eastAsia"/>
              </w:rPr>
            </w:pPr>
            <w:r>
              <w:rPr>
                <w:rFonts w:hint="eastAsia"/>
              </w:rPr>
              <w:t>不少于2人</w:t>
            </w:r>
          </w:p>
        </w:tc>
        <w:tc>
          <w:tcPr>
            <w:tcW w:w="1120" w:type="pct"/>
            <w:vAlign w:val="center"/>
          </w:tcPr>
          <w:p w14:paraId="6800ABE8">
            <w:pPr>
              <w:widowControl/>
              <w:spacing w:line="240" w:lineRule="auto"/>
              <w:ind w:firstLine="0" w:firstLineChars="0"/>
              <w:jc w:val="center"/>
              <w:rPr>
                <w:rFonts w:hint="eastAsia"/>
              </w:rPr>
            </w:pPr>
            <w:r>
              <w:rPr>
                <w:rFonts w:hint="eastAsia"/>
              </w:rPr>
              <w:t>具有法院行业相关工作经验优先</w:t>
            </w:r>
          </w:p>
        </w:tc>
        <w:tc>
          <w:tcPr>
            <w:tcW w:w="615" w:type="pct"/>
            <w:shd w:val="clear" w:color="auto" w:fill="auto"/>
            <w:noWrap/>
            <w:vAlign w:val="center"/>
          </w:tcPr>
          <w:p w14:paraId="7CCFCE33">
            <w:pPr>
              <w:widowControl/>
              <w:spacing w:line="240" w:lineRule="auto"/>
              <w:ind w:firstLine="0" w:firstLineChars="0"/>
              <w:jc w:val="center"/>
              <w:rPr>
                <w:rFonts w:hint="eastAsia"/>
              </w:rPr>
            </w:pPr>
            <w:r>
              <w:rPr>
                <w:rFonts w:hint="eastAsia"/>
              </w:rPr>
              <w:t>驻场</w:t>
            </w:r>
          </w:p>
        </w:tc>
      </w:tr>
      <w:tr w14:paraId="2399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9" w:type="pct"/>
            <w:shd w:val="clear" w:color="auto" w:fill="auto"/>
            <w:noWrap/>
            <w:vAlign w:val="center"/>
          </w:tcPr>
          <w:p w14:paraId="1F673C70">
            <w:pPr>
              <w:widowControl/>
              <w:spacing w:line="240" w:lineRule="auto"/>
              <w:ind w:firstLine="0" w:firstLineChars="0"/>
              <w:jc w:val="center"/>
              <w:rPr>
                <w:rFonts w:hint="eastAsia"/>
              </w:rPr>
            </w:pPr>
            <w:r>
              <w:rPr>
                <w:rFonts w:hint="eastAsia"/>
              </w:rPr>
              <w:t>研发</w:t>
            </w:r>
          </w:p>
        </w:tc>
        <w:tc>
          <w:tcPr>
            <w:tcW w:w="1674" w:type="pct"/>
            <w:shd w:val="clear" w:color="auto" w:fill="auto"/>
            <w:noWrap/>
            <w:vAlign w:val="center"/>
          </w:tcPr>
          <w:p w14:paraId="5686532D">
            <w:pPr>
              <w:widowControl/>
              <w:spacing w:line="240" w:lineRule="auto"/>
              <w:ind w:firstLine="0" w:firstLineChars="0"/>
              <w:jc w:val="center"/>
              <w:rPr>
                <w:rFonts w:hint="eastAsia"/>
              </w:rPr>
            </w:pPr>
            <w:r>
              <w:rPr>
                <w:rFonts w:hint="eastAsia"/>
              </w:rPr>
              <w:t>负责项目具体开发与实施</w:t>
            </w:r>
          </w:p>
        </w:tc>
        <w:tc>
          <w:tcPr>
            <w:tcW w:w="901" w:type="pct"/>
            <w:shd w:val="clear" w:color="auto" w:fill="auto"/>
            <w:noWrap/>
            <w:vAlign w:val="center"/>
          </w:tcPr>
          <w:p w14:paraId="7A31D1EA">
            <w:pPr>
              <w:widowControl/>
              <w:spacing w:line="240" w:lineRule="auto"/>
              <w:ind w:firstLine="0" w:firstLineChars="0"/>
              <w:jc w:val="center"/>
              <w:rPr>
                <w:rFonts w:hint="eastAsia"/>
              </w:rPr>
            </w:pPr>
            <w:r>
              <w:rPr>
                <w:rFonts w:hint="eastAsia"/>
              </w:rPr>
              <w:t>不少于20人</w:t>
            </w:r>
          </w:p>
        </w:tc>
        <w:tc>
          <w:tcPr>
            <w:tcW w:w="1120" w:type="pct"/>
            <w:vAlign w:val="center"/>
          </w:tcPr>
          <w:p w14:paraId="644F05C7">
            <w:pPr>
              <w:widowControl/>
              <w:spacing w:line="240" w:lineRule="auto"/>
              <w:ind w:firstLine="0" w:firstLineChars="0"/>
              <w:jc w:val="center"/>
              <w:rPr>
                <w:rFonts w:hint="eastAsia"/>
              </w:rPr>
            </w:pPr>
            <w:r>
              <w:rPr>
                <w:rFonts w:hint="eastAsia"/>
              </w:rPr>
              <w:t>具有法院行业相关工作经验优先</w:t>
            </w:r>
          </w:p>
        </w:tc>
        <w:tc>
          <w:tcPr>
            <w:tcW w:w="615" w:type="pct"/>
            <w:shd w:val="clear" w:color="auto" w:fill="auto"/>
            <w:noWrap/>
            <w:vAlign w:val="center"/>
          </w:tcPr>
          <w:p w14:paraId="469D823A">
            <w:pPr>
              <w:widowControl/>
              <w:spacing w:line="240" w:lineRule="auto"/>
              <w:ind w:firstLine="0" w:firstLineChars="0"/>
              <w:jc w:val="center"/>
              <w:rPr>
                <w:rFonts w:hint="eastAsia"/>
              </w:rPr>
            </w:pPr>
            <w:r>
              <w:rPr>
                <w:rFonts w:hint="eastAsia"/>
              </w:rPr>
              <w:t>部分驻场</w:t>
            </w:r>
          </w:p>
        </w:tc>
      </w:tr>
    </w:tbl>
    <w:p w14:paraId="5DF00722">
      <w:pPr>
        <w:rPr>
          <w:rFonts w:hint="eastAsia"/>
        </w:rPr>
      </w:pPr>
      <w:r>
        <w:t>2）投标人应针对本项目提供的质保期间支撑团队</w:t>
      </w:r>
      <w:r>
        <w:rPr>
          <w:rFonts w:hint="eastAsia"/>
        </w:rPr>
        <w:t>。</w:t>
      </w:r>
      <w:r>
        <w:t>投标人的相关服务人员需具备相应的服务能力，需提供相关</w:t>
      </w:r>
      <w:bookmarkStart w:id="37" w:name="_GoBack"/>
      <w:bookmarkEnd w:id="37"/>
      <w:r>
        <w:t>证明（最近一个季度依法缴纳社保费的证明）。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694"/>
        <w:gridCol w:w="1275"/>
        <w:gridCol w:w="1701"/>
        <w:gridCol w:w="1312"/>
      </w:tblGrid>
      <w:tr w14:paraId="502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6" w:type="dxa"/>
            <w:shd w:val="clear" w:color="auto" w:fill="auto"/>
            <w:noWrap/>
            <w:vAlign w:val="center"/>
          </w:tcPr>
          <w:p w14:paraId="5C4E8B0D">
            <w:pPr>
              <w:widowControl/>
              <w:spacing w:line="240" w:lineRule="auto"/>
              <w:ind w:firstLine="0" w:firstLineChars="0"/>
              <w:jc w:val="center"/>
              <w:rPr>
                <w:rFonts w:hint="eastAsia"/>
                <w:b/>
              </w:rPr>
            </w:pPr>
            <w:r>
              <w:rPr>
                <w:rFonts w:hint="eastAsia"/>
                <w:b/>
              </w:rPr>
              <w:t>角色</w:t>
            </w:r>
          </w:p>
        </w:tc>
        <w:tc>
          <w:tcPr>
            <w:tcW w:w="2694" w:type="dxa"/>
            <w:shd w:val="clear" w:color="auto" w:fill="auto"/>
            <w:noWrap/>
            <w:vAlign w:val="center"/>
          </w:tcPr>
          <w:p w14:paraId="4C395A8C">
            <w:pPr>
              <w:widowControl/>
              <w:spacing w:line="240" w:lineRule="auto"/>
              <w:ind w:firstLine="0" w:firstLineChars="0"/>
              <w:jc w:val="center"/>
              <w:rPr>
                <w:rFonts w:hint="eastAsia"/>
                <w:b/>
              </w:rPr>
            </w:pPr>
            <w:r>
              <w:rPr>
                <w:rFonts w:hint="eastAsia"/>
                <w:b/>
              </w:rPr>
              <w:t>主要职责</w:t>
            </w:r>
          </w:p>
        </w:tc>
        <w:tc>
          <w:tcPr>
            <w:tcW w:w="1275" w:type="dxa"/>
            <w:shd w:val="clear" w:color="auto" w:fill="auto"/>
            <w:noWrap/>
            <w:vAlign w:val="center"/>
          </w:tcPr>
          <w:p w14:paraId="4F538B1E">
            <w:pPr>
              <w:widowControl/>
              <w:spacing w:line="240" w:lineRule="auto"/>
              <w:ind w:firstLine="0" w:firstLineChars="0"/>
              <w:jc w:val="center"/>
              <w:rPr>
                <w:rFonts w:hint="eastAsia"/>
                <w:b/>
              </w:rPr>
            </w:pPr>
            <w:r>
              <w:rPr>
                <w:rFonts w:hint="eastAsia"/>
                <w:b/>
              </w:rPr>
              <w:t>人员数量</w:t>
            </w:r>
          </w:p>
        </w:tc>
        <w:tc>
          <w:tcPr>
            <w:tcW w:w="1701" w:type="dxa"/>
            <w:vAlign w:val="center"/>
          </w:tcPr>
          <w:p w14:paraId="530CEB11">
            <w:pPr>
              <w:widowControl/>
              <w:spacing w:line="240" w:lineRule="auto"/>
              <w:ind w:firstLine="0" w:firstLineChars="0"/>
              <w:jc w:val="center"/>
              <w:rPr>
                <w:rFonts w:hint="eastAsia"/>
                <w:b/>
              </w:rPr>
            </w:pPr>
            <w:r>
              <w:rPr>
                <w:rFonts w:hint="eastAsia"/>
                <w:b/>
              </w:rPr>
              <w:t>人员要求</w:t>
            </w:r>
          </w:p>
        </w:tc>
        <w:tc>
          <w:tcPr>
            <w:tcW w:w="1312" w:type="dxa"/>
            <w:shd w:val="clear" w:color="auto" w:fill="auto"/>
            <w:noWrap/>
            <w:vAlign w:val="center"/>
          </w:tcPr>
          <w:p w14:paraId="31A2DDF8">
            <w:pPr>
              <w:widowControl/>
              <w:spacing w:line="240" w:lineRule="auto"/>
              <w:ind w:firstLine="0" w:firstLineChars="0"/>
              <w:jc w:val="center"/>
              <w:rPr>
                <w:rFonts w:hint="eastAsia"/>
                <w:b/>
              </w:rPr>
            </w:pPr>
            <w:r>
              <w:rPr>
                <w:rFonts w:hint="eastAsia"/>
                <w:b/>
              </w:rPr>
              <w:t>驻场要求</w:t>
            </w:r>
          </w:p>
        </w:tc>
      </w:tr>
      <w:tr w14:paraId="6D6B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6" w:type="dxa"/>
            <w:shd w:val="clear" w:color="auto" w:fill="auto"/>
            <w:noWrap/>
            <w:vAlign w:val="center"/>
          </w:tcPr>
          <w:p w14:paraId="4FBA0FAB">
            <w:pPr>
              <w:widowControl/>
              <w:spacing w:line="240" w:lineRule="auto"/>
              <w:ind w:firstLine="0" w:firstLineChars="0"/>
              <w:jc w:val="center"/>
              <w:rPr>
                <w:rFonts w:hint="eastAsia" w:eastAsia="宋体"/>
                <w:lang w:eastAsia="zh-CN"/>
              </w:rPr>
            </w:pPr>
            <w:r>
              <w:rPr>
                <w:rFonts w:hint="eastAsia"/>
                <w:lang w:eastAsia="zh-CN"/>
              </w:rPr>
              <w:t>项目负责人</w:t>
            </w:r>
          </w:p>
        </w:tc>
        <w:tc>
          <w:tcPr>
            <w:tcW w:w="2694" w:type="dxa"/>
            <w:shd w:val="clear" w:color="auto" w:fill="auto"/>
            <w:vAlign w:val="center"/>
          </w:tcPr>
          <w:p w14:paraId="2FF7EF0F">
            <w:pPr>
              <w:widowControl/>
              <w:spacing w:line="240" w:lineRule="auto"/>
              <w:ind w:firstLine="0" w:firstLineChars="0"/>
              <w:jc w:val="center"/>
              <w:rPr>
                <w:rFonts w:hint="eastAsia"/>
              </w:rPr>
            </w:pPr>
            <w:r>
              <w:rPr>
                <w:rFonts w:hint="eastAsia"/>
              </w:rPr>
              <w:t>负责项目质量和进度控制</w:t>
            </w:r>
          </w:p>
        </w:tc>
        <w:tc>
          <w:tcPr>
            <w:tcW w:w="1275" w:type="dxa"/>
            <w:shd w:val="clear" w:color="auto" w:fill="auto"/>
            <w:noWrap/>
            <w:vAlign w:val="center"/>
          </w:tcPr>
          <w:p w14:paraId="559AE76B">
            <w:pPr>
              <w:widowControl/>
              <w:spacing w:line="240" w:lineRule="auto"/>
              <w:ind w:firstLine="0" w:firstLineChars="0"/>
              <w:jc w:val="center"/>
              <w:rPr>
                <w:rFonts w:hint="eastAsia"/>
              </w:rPr>
            </w:pPr>
            <w:r>
              <w:rPr>
                <w:rFonts w:hint="eastAsia"/>
              </w:rPr>
              <w:t>不少于1人</w:t>
            </w:r>
          </w:p>
        </w:tc>
        <w:tc>
          <w:tcPr>
            <w:tcW w:w="1701" w:type="dxa"/>
            <w:vAlign w:val="center"/>
          </w:tcPr>
          <w:p w14:paraId="32ACCCF6">
            <w:pPr>
              <w:widowControl/>
              <w:spacing w:line="240" w:lineRule="auto"/>
              <w:ind w:firstLine="0" w:firstLineChars="0"/>
              <w:jc w:val="center"/>
              <w:rPr>
                <w:rFonts w:hint="eastAsia"/>
              </w:rPr>
            </w:pPr>
            <w:r>
              <w:rPr>
                <w:rFonts w:hint="eastAsia"/>
              </w:rPr>
              <w:t>具备信息系统项目管理相关证书</w:t>
            </w:r>
          </w:p>
        </w:tc>
        <w:tc>
          <w:tcPr>
            <w:tcW w:w="1312" w:type="dxa"/>
            <w:shd w:val="clear" w:color="auto" w:fill="auto"/>
            <w:noWrap/>
            <w:vAlign w:val="center"/>
          </w:tcPr>
          <w:p w14:paraId="2A3FD215">
            <w:pPr>
              <w:widowControl/>
              <w:spacing w:line="240" w:lineRule="auto"/>
              <w:ind w:firstLine="0" w:firstLineChars="0"/>
              <w:jc w:val="center"/>
              <w:rPr>
                <w:rFonts w:hint="eastAsia"/>
              </w:rPr>
            </w:pPr>
            <w:r>
              <w:rPr>
                <w:rFonts w:hint="eastAsia"/>
              </w:rPr>
              <w:t>驻场</w:t>
            </w:r>
          </w:p>
        </w:tc>
      </w:tr>
      <w:tr w14:paraId="4230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6" w:type="dxa"/>
            <w:shd w:val="clear" w:color="auto" w:fill="auto"/>
            <w:noWrap/>
            <w:vAlign w:val="center"/>
          </w:tcPr>
          <w:p w14:paraId="484A4E21">
            <w:pPr>
              <w:widowControl/>
              <w:spacing w:line="240" w:lineRule="auto"/>
              <w:ind w:firstLine="0" w:firstLineChars="0"/>
              <w:jc w:val="center"/>
              <w:rPr>
                <w:rFonts w:hint="eastAsia"/>
              </w:rPr>
            </w:pPr>
            <w:r>
              <w:rPr>
                <w:rFonts w:hint="eastAsia"/>
              </w:rPr>
              <w:t>产品经理</w:t>
            </w:r>
          </w:p>
        </w:tc>
        <w:tc>
          <w:tcPr>
            <w:tcW w:w="2694" w:type="dxa"/>
            <w:shd w:val="clear" w:color="auto" w:fill="auto"/>
            <w:vAlign w:val="center"/>
          </w:tcPr>
          <w:p w14:paraId="65A410BE">
            <w:pPr>
              <w:widowControl/>
              <w:spacing w:line="240" w:lineRule="auto"/>
              <w:ind w:firstLine="0" w:firstLineChars="0"/>
              <w:jc w:val="center"/>
              <w:rPr>
                <w:rFonts w:hint="eastAsia"/>
              </w:rPr>
            </w:pPr>
            <w:r>
              <w:rPr>
                <w:rFonts w:hint="eastAsia"/>
              </w:rPr>
              <w:t>负责项目需求评估与产品设计</w:t>
            </w:r>
          </w:p>
        </w:tc>
        <w:tc>
          <w:tcPr>
            <w:tcW w:w="1275" w:type="dxa"/>
            <w:shd w:val="clear" w:color="auto" w:fill="auto"/>
            <w:noWrap/>
            <w:vAlign w:val="center"/>
          </w:tcPr>
          <w:p w14:paraId="6223312C">
            <w:pPr>
              <w:widowControl/>
              <w:spacing w:line="240" w:lineRule="auto"/>
              <w:ind w:firstLine="0" w:firstLineChars="0"/>
              <w:jc w:val="center"/>
              <w:rPr>
                <w:rFonts w:hint="eastAsia"/>
              </w:rPr>
            </w:pPr>
            <w:r>
              <w:rPr>
                <w:rFonts w:hint="eastAsia"/>
              </w:rPr>
              <w:t>不少于1人</w:t>
            </w:r>
          </w:p>
        </w:tc>
        <w:tc>
          <w:tcPr>
            <w:tcW w:w="1701" w:type="dxa"/>
            <w:vAlign w:val="center"/>
          </w:tcPr>
          <w:p w14:paraId="7B225141">
            <w:pPr>
              <w:widowControl/>
              <w:spacing w:line="240" w:lineRule="auto"/>
              <w:ind w:firstLine="0" w:firstLineChars="0"/>
              <w:jc w:val="center"/>
              <w:rPr>
                <w:rFonts w:hint="eastAsia"/>
              </w:rPr>
            </w:pPr>
            <w:r>
              <w:rPr>
                <w:rFonts w:hint="eastAsia"/>
              </w:rPr>
              <w:t>具有法院行业相关工作经验优先</w:t>
            </w:r>
          </w:p>
        </w:tc>
        <w:tc>
          <w:tcPr>
            <w:tcW w:w="1312" w:type="dxa"/>
            <w:shd w:val="clear" w:color="auto" w:fill="auto"/>
            <w:noWrap/>
            <w:vAlign w:val="center"/>
          </w:tcPr>
          <w:p w14:paraId="6E941682">
            <w:pPr>
              <w:widowControl/>
              <w:spacing w:line="240" w:lineRule="auto"/>
              <w:ind w:firstLine="0" w:firstLineChars="0"/>
              <w:jc w:val="center"/>
              <w:rPr>
                <w:rFonts w:hint="eastAsia"/>
              </w:rPr>
            </w:pPr>
            <w:r>
              <w:rPr>
                <w:rFonts w:hint="eastAsia"/>
              </w:rPr>
              <w:t>驻场</w:t>
            </w:r>
          </w:p>
        </w:tc>
      </w:tr>
      <w:tr w14:paraId="609F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06" w:type="dxa"/>
            <w:shd w:val="clear" w:color="auto" w:fill="auto"/>
            <w:noWrap/>
            <w:vAlign w:val="center"/>
          </w:tcPr>
          <w:p w14:paraId="0D160657">
            <w:pPr>
              <w:widowControl/>
              <w:spacing w:line="240" w:lineRule="auto"/>
              <w:ind w:firstLine="0" w:firstLineChars="0"/>
              <w:jc w:val="center"/>
              <w:rPr>
                <w:rFonts w:hint="eastAsia"/>
              </w:rPr>
            </w:pPr>
            <w:r>
              <w:rPr>
                <w:rFonts w:hint="eastAsia"/>
              </w:rPr>
              <w:t>技术工程师</w:t>
            </w:r>
          </w:p>
        </w:tc>
        <w:tc>
          <w:tcPr>
            <w:tcW w:w="2694" w:type="dxa"/>
            <w:shd w:val="clear" w:color="auto" w:fill="auto"/>
            <w:noWrap/>
            <w:vAlign w:val="center"/>
          </w:tcPr>
          <w:p w14:paraId="20FDEBD5">
            <w:pPr>
              <w:widowControl/>
              <w:spacing w:line="240" w:lineRule="auto"/>
              <w:ind w:firstLine="0" w:firstLineChars="0"/>
              <w:jc w:val="center"/>
              <w:rPr>
                <w:rFonts w:hint="eastAsia"/>
              </w:rPr>
            </w:pPr>
            <w:r>
              <w:rPr>
                <w:rFonts w:hint="eastAsia"/>
              </w:rPr>
              <w:t>负责项目运行维护</w:t>
            </w:r>
          </w:p>
        </w:tc>
        <w:tc>
          <w:tcPr>
            <w:tcW w:w="1275" w:type="dxa"/>
            <w:shd w:val="clear" w:color="auto" w:fill="auto"/>
            <w:noWrap/>
            <w:vAlign w:val="center"/>
          </w:tcPr>
          <w:p w14:paraId="484D1502">
            <w:pPr>
              <w:widowControl/>
              <w:spacing w:line="240" w:lineRule="auto"/>
              <w:ind w:firstLine="0" w:firstLineChars="0"/>
              <w:jc w:val="center"/>
              <w:rPr>
                <w:rFonts w:hint="eastAsia"/>
              </w:rPr>
            </w:pPr>
            <w:r>
              <w:rPr>
                <w:rFonts w:hint="eastAsia"/>
              </w:rPr>
              <w:t>不少于3人</w:t>
            </w:r>
          </w:p>
        </w:tc>
        <w:tc>
          <w:tcPr>
            <w:tcW w:w="1701" w:type="dxa"/>
            <w:vAlign w:val="center"/>
          </w:tcPr>
          <w:p w14:paraId="502BC445">
            <w:pPr>
              <w:widowControl/>
              <w:spacing w:line="240" w:lineRule="auto"/>
              <w:ind w:firstLine="0" w:firstLineChars="0"/>
              <w:jc w:val="center"/>
              <w:rPr>
                <w:rFonts w:hint="eastAsia"/>
              </w:rPr>
            </w:pPr>
            <w:r>
              <w:rPr>
                <w:rFonts w:hint="eastAsia"/>
              </w:rPr>
              <w:t>具有法院行业相关工作经验优先</w:t>
            </w:r>
          </w:p>
        </w:tc>
        <w:tc>
          <w:tcPr>
            <w:tcW w:w="1312" w:type="dxa"/>
            <w:shd w:val="clear" w:color="auto" w:fill="auto"/>
            <w:noWrap/>
            <w:vAlign w:val="center"/>
          </w:tcPr>
          <w:p w14:paraId="3A155D0A">
            <w:pPr>
              <w:widowControl/>
              <w:spacing w:line="240" w:lineRule="auto"/>
              <w:ind w:firstLine="0" w:firstLineChars="0"/>
              <w:jc w:val="center"/>
              <w:rPr>
                <w:rFonts w:hint="eastAsia"/>
              </w:rPr>
            </w:pPr>
            <w:r>
              <w:rPr>
                <w:rFonts w:hint="eastAsia"/>
              </w:rPr>
              <w:t>驻场</w:t>
            </w:r>
          </w:p>
        </w:tc>
      </w:tr>
    </w:tbl>
    <w:p w14:paraId="5B30FB8E">
      <w:pPr>
        <w:pStyle w:val="10"/>
        <w:snapToGrid w:val="0"/>
        <w:spacing w:line="360" w:lineRule="auto"/>
        <w:ind w:firstLine="480"/>
        <w:rPr>
          <w:rFonts w:hint="eastAsia" w:ascii="宋体" w:hAnsi="宋体"/>
          <w:sz w:val="24"/>
          <w:szCs w:val="24"/>
        </w:rPr>
      </w:pPr>
    </w:p>
    <w:p w14:paraId="18471DD3">
      <w:pPr>
        <w:pStyle w:val="3"/>
        <w:rPr>
          <w:rFonts w:hint="eastAsia"/>
        </w:rPr>
      </w:pPr>
      <w:r>
        <w:rPr>
          <w:rFonts w:hint="eastAsia"/>
        </w:rPr>
        <w:t>等级保护要求</w:t>
      </w:r>
    </w:p>
    <w:p w14:paraId="7B4FF75F">
      <w:pPr>
        <w:pStyle w:val="10"/>
        <w:snapToGrid w:val="0"/>
        <w:spacing w:line="360" w:lineRule="auto"/>
        <w:ind w:firstLine="480"/>
        <w:rPr>
          <w:rFonts w:hint="eastAsia" w:ascii="宋体" w:hAnsi="宋体"/>
          <w:sz w:val="24"/>
          <w:szCs w:val="24"/>
        </w:rPr>
      </w:pPr>
      <w:r>
        <w:rPr>
          <w:rFonts w:hint="eastAsia" w:ascii="宋体" w:hAnsi="宋体"/>
          <w:sz w:val="24"/>
          <w:szCs w:val="24"/>
        </w:rPr>
        <w:t>本项目按照GB/T 22239-2019</w:t>
      </w:r>
      <w:r>
        <w:rPr>
          <w:rFonts w:ascii="宋体" w:hAnsi="宋体"/>
          <w:sz w:val="24"/>
          <w:szCs w:val="24"/>
        </w:rPr>
        <w:t>《</w:t>
      </w:r>
      <w:r>
        <w:rPr>
          <w:rFonts w:hint="eastAsia" w:ascii="宋体" w:hAnsi="宋体"/>
          <w:sz w:val="24"/>
          <w:szCs w:val="24"/>
        </w:rPr>
        <w:t>信息安全技术 网络安全等级保护基本要求》中第三级安全要求建设本项目的安全保障系统。</w:t>
      </w:r>
    </w:p>
    <w:p w14:paraId="6F2943E6">
      <w:pPr>
        <w:pStyle w:val="3"/>
        <w:rPr>
          <w:rFonts w:hint="eastAsia"/>
        </w:rPr>
      </w:pPr>
      <w:r>
        <w:rPr>
          <w:rFonts w:hint="eastAsia"/>
        </w:rPr>
        <w:t>商业密码应用需求</w:t>
      </w:r>
    </w:p>
    <w:p w14:paraId="1D1EB3EF">
      <w:pPr>
        <w:pStyle w:val="10"/>
        <w:snapToGrid w:val="0"/>
        <w:spacing w:line="360" w:lineRule="auto"/>
        <w:ind w:firstLine="480"/>
      </w:pPr>
      <w:r>
        <w:rPr>
          <w:rFonts w:ascii="宋体" w:hAnsi="宋体"/>
          <w:sz w:val="24"/>
          <w:szCs w:val="24"/>
        </w:rPr>
        <w:t>本项目建设需满足GB/T 39786-2021《信息安全技术 信息系统密码应用基本要求》中第三级密码应用基本要求。本项目需承诺依托上海法院现有密码应用资源和政务云密码应用资源，进行对接部署</w:t>
      </w:r>
      <w:r>
        <w:rPr>
          <w:rFonts w:hint="eastAsia" w:ascii="宋体" w:hAnsi="宋体"/>
          <w:sz w:val="24"/>
          <w:szCs w:val="24"/>
        </w:rPr>
        <w:t>。</w:t>
      </w:r>
    </w:p>
    <w:p w14:paraId="3DE9A886">
      <w:pPr>
        <w:pStyle w:val="3"/>
        <w:rPr>
          <w:rFonts w:hint="eastAsia"/>
        </w:rPr>
      </w:pPr>
      <w:bookmarkStart w:id="36" w:name="_Toc63785512"/>
      <w:r>
        <w:rPr>
          <w:rFonts w:hint="eastAsia"/>
        </w:rPr>
        <w:t>技术文件要求</w:t>
      </w:r>
    </w:p>
    <w:bookmarkEnd w:id="36"/>
    <w:p w14:paraId="4D0BBD35">
      <w:pPr>
        <w:rPr>
          <w:rFonts w:hint="eastAsia"/>
          <w:strike/>
        </w:rPr>
      </w:pPr>
      <w:r>
        <w:t>投标人提供的书面技术资料应能确保系统正常运行所需的管理、运营及维护有关的全套文件。技术文件应该全面、完整、详细。技术响应文件可以是文字资料、表格、图纸和数据等各项资料，其内容应包括但不限 于人力、物力等资源的投入以及服务内容、方式、手段、措施、质量保证及建议等。</w:t>
      </w:r>
    </w:p>
    <w:p w14:paraId="56666A0D">
      <w:pPr>
        <w:pStyle w:val="11"/>
        <w:ind w:firstLine="420"/>
        <w:rPr>
          <w:rFonts w:hint="eastAsia"/>
        </w:rPr>
      </w:pPr>
    </w:p>
    <w:p w14:paraId="5E1D6B3E">
      <w:pPr>
        <w:pStyle w:val="3"/>
        <w:rPr>
          <w:rFonts w:hint="eastAsia"/>
        </w:rPr>
      </w:pPr>
      <w:r>
        <w:t>投标单位资格要求</w:t>
      </w:r>
    </w:p>
    <w:p w14:paraId="04D8AC4D">
      <w:pPr>
        <w:rPr>
          <w:rFonts w:hint="eastAsia"/>
        </w:rPr>
      </w:pPr>
      <w:r>
        <w:t>投标人具有以下证书的予以优先考虑：ISO9001质量管理体系认证证书、ISO20000信息技术服务管理体系认证证书、信息技术服务标准符合性证书（ITSS）三级或以上证书。</w:t>
      </w:r>
    </w:p>
    <w:p w14:paraId="1E3B19DC">
      <w:pPr>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8696E">
    <w:pPr>
      <w:pStyle w:val="5"/>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71A9">
    <w:pPr>
      <w:pStyle w:val="5"/>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36E4">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0A6F8260">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6AF6">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FF013">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886B">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4"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jgwYzc2ODNhNDUzNzVhMjMyOTgzZDBjNjMxMmQifQ=="/>
  </w:docVars>
  <w:rsids>
    <w:rsidRoot w:val="00014792"/>
    <w:rsid w:val="00014792"/>
    <w:rsid w:val="000630F6"/>
    <w:rsid w:val="000C20B6"/>
    <w:rsid w:val="000F4B3F"/>
    <w:rsid w:val="0013731E"/>
    <w:rsid w:val="0019470D"/>
    <w:rsid w:val="001A00C3"/>
    <w:rsid w:val="001A6440"/>
    <w:rsid w:val="001A7A50"/>
    <w:rsid w:val="001D2812"/>
    <w:rsid w:val="001E0E0F"/>
    <w:rsid w:val="001E6B00"/>
    <w:rsid w:val="00240D58"/>
    <w:rsid w:val="00245C0A"/>
    <w:rsid w:val="00291C71"/>
    <w:rsid w:val="002C137F"/>
    <w:rsid w:val="002C767E"/>
    <w:rsid w:val="002F5C2A"/>
    <w:rsid w:val="002F7441"/>
    <w:rsid w:val="00344299"/>
    <w:rsid w:val="00377245"/>
    <w:rsid w:val="00384B4F"/>
    <w:rsid w:val="003E06F1"/>
    <w:rsid w:val="004028CF"/>
    <w:rsid w:val="00406987"/>
    <w:rsid w:val="00411E22"/>
    <w:rsid w:val="004566CB"/>
    <w:rsid w:val="00461947"/>
    <w:rsid w:val="004A11E2"/>
    <w:rsid w:val="00516D3F"/>
    <w:rsid w:val="0053076B"/>
    <w:rsid w:val="00546CDA"/>
    <w:rsid w:val="005862B3"/>
    <w:rsid w:val="005D034F"/>
    <w:rsid w:val="00614527"/>
    <w:rsid w:val="00645CBA"/>
    <w:rsid w:val="00686BD0"/>
    <w:rsid w:val="006B0CE8"/>
    <w:rsid w:val="006B76AE"/>
    <w:rsid w:val="006B7768"/>
    <w:rsid w:val="00751933"/>
    <w:rsid w:val="007A107A"/>
    <w:rsid w:val="007C14AB"/>
    <w:rsid w:val="007C1878"/>
    <w:rsid w:val="007F1F2D"/>
    <w:rsid w:val="00802E7F"/>
    <w:rsid w:val="00846E7E"/>
    <w:rsid w:val="00856FD4"/>
    <w:rsid w:val="00861B8B"/>
    <w:rsid w:val="00885BB6"/>
    <w:rsid w:val="008B1278"/>
    <w:rsid w:val="00910E14"/>
    <w:rsid w:val="009542C4"/>
    <w:rsid w:val="00961CD1"/>
    <w:rsid w:val="00972896"/>
    <w:rsid w:val="00975F2B"/>
    <w:rsid w:val="00977262"/>
    <w:rsid w:val="00983AFE"/>
    <w:rsid w:val="009B4DA8"/>
    <w:rsid w:val="009F0776"/>
    <w:rsid w:val="00A0512A"/>
    <w:rsid w:val="00A33ABD"/>
    <w:rsid w:val="00AF0499"/>
    <w:rsid w:val="00AF693B"/>
    <w:rsid w:val="00B04F9A"/>
    <w:rsid w:val="00B12C07"/>
    <w:rsid w:val="00B31990"/>
    <w:rsid w:val="00BA5810"/>
    <w:rsid w:val="00BA625F"/>
    <w:rsid w:val="00BB3ED4"/>
    <w:rsid w:val="00C50C40"/>
    <w:rsid w:val="00C8455F"/>
    <w:rsid w:val="00CF70F8"/>
    <w:rsid w:val="00D02A53"/>
    <w:rsid w:val="00D248A1"/>
    <w:rsid w:val="00DB2B9E"/>
    <w:rsid w:val="00DC5FE7"/>
    <w:rsid w:val="00DE0536"/>
    <w:rsid w:val="00DF3977"/>
    <w:rsid w:val="00E010C6"/>
    <w:rsid w:val="00E16ECF"/>
    <w:rsid w:val="00E454C7"/>
    <w:rsid w:val="00E7480C"/>
    <w:rsid w:val="00E8196F"/>
    <w:rsid w:val="00E8263C"/>
    <w:rsid w:val="00E90621"/>
    <w:rsid w:val="00F30F69"/>
    <w:rsid w:val="00F70A2A"/>
    <w:rsid w:val="00F77E80"/>
    <w:rsid w:val="00FA14C9"/>
    <w:rsid w:val="00FB2203"/>
    <w:rsid w:val="00FB4BA1"/>
    <w:rsid w:val="00FE6437"/>
    <w:rsid w:val="00FF0502"/>
    <w:rsid w:val="645D785C"/>
    <w:rsid w:val="DDEE5984"/>
    <w:rsid w:val="EF9FBC21"/>
    <w:rsid w:val="FC77F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17"/>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16"/>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13"/>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spacing w:line="240" w:lineRule="auto"/>
      <w:jc w:val="left"/>
    </w:pPr>
    <w:rPr>
      <w:sz w:val="18"/>
      <w:szCs w:val="18"/>
    </w:rPr>
  </w:style>
  <w:style w:type="paragraph" w:styleId="6">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table" w:styleId="8">
    <w:name w:val="Table Grid"/>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0">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1">
    <w:name w:val="正文正文2"/>
    <w:basedOn w:val="1"/>
    <w:autoRedefine/>
    <w:qFormat/>
    <w:uiPriority w:val="0"/>
    <w:pPr>
      <w:ind w:firstLine="460"/>
    </w:pPr>
    <w:rPr>
      <w:sz w:val="21"/>
      <w:szCs w:val="21"/>
    </w:rPr>
  </w:style>
  <w:style w:type="character" w:customStyle="1" w:styleId="12">
    <w:name w:val="页脚 字符"/>
    <w:basedOn w:val="9"/>
    <w:link w:val="5"/>
    <w:qFormat/>
    <w:uiPriority w:val="0"/>
    <w:rPr>
      <w:rFonts w:ascii="宋体" w:hAnsi="宋体" w:eastAsia="宋体" w:cs="Times New Roman"/>
      <w:kern w:val="2"/>
      <w:sz w:val="18"/>
      <w:szCs w:val="18"/>
    </w:rPr>
  </w:style>
  <w:style w:type="character" w:customStyle="1" w:styleId="13">
    <w:name w:val="标题 3 字符"/>
    <w:basedOn w:val="9"/>
    <w:link w:val="4"/>
    <w:semiHidden/>
    <w:qFormat/>
    <w:uiPriority w:val="0"/>
    <w:rPr>
      <w:rFonts w:ascii="宋体" w:hAnsi="宋体" w:eastAsia="宋体" w:cs="Times New Roman"/>
      <w:b/>
      <w:bCs/>
      <w:kern w:val="2"/>
      <w:sz w:val="32"/>
      <w:szCs w:val="32"/>
    </w:rPr>
  </w:style>
  <w:style w:type="paragraph" w:styleId="14">
    <w:name w:val="List Paragraph"/>
    <w:basedOn w:val="1"/>
    <w:unhideWhenUsed/>
    <w:qFormat/>
    <w:uiPriority w:val="99"/>
    <w:pPr>
      <w:ind w:firstLine="420"/>
    </w:pPr>
  </w:style>
  <w:style w:type="paragraph" w:customStyle="1" w:styleId="15">
    <w:name w:val="Revision"/>
    <w:hidden/>
    <w:unhideWhenUsed/>
    <w:qFormat/>
    <w:uiPriority w:val="99"/>
    <w:rPr>
      <w:rFonts w:ascii="宋体" w:hAnsi="宋体" w:eastAsia="宋体" w:cs="Times New Roman"/>
      <w:kern w:val="2"/>
      <w:sz w:val="24"/>
      <w:szCs w:val="24"/>
      <w:lang w:val="en-US" w:eastAsia="zh-CN" w:bidi="ar-SA"/>
    </w:rPr>
  </w:style>
  <w:style w:type="character" w:customStyle="1" w:styleId="16">
    <w:name w:val="标题 2 字符"/>
    <w:basedOn w:val="9"/>
    <w:link w:val="3"/>
    <w:qFormat/>
    <w:uiPriority w:val="9"/>
    <w:rPr>
      <w:rFonts w:ascii="宋体" w:hAnsi="宋体" w:eastAsia="宋体" w:cs="Times New Roman"/>
      <w:b/>
      <w:bCs/>
      <w:kern w:val="2"/>
      <w:sz w:val="30"/>
      <w:szCs w:val="32"/>
    </w:rPr>
  </w:style>
  <w:style w:type="character" w:customStyle="1" w:styleId="17">
    <w:name w:val="标题 1 字符"/>
    <w:basedOn w:val="9"/>
    <w:link w:val="2"/>
    <w:qFormat/>
    <w:uiPriority w:val="0"/>
    <w:rPr>
      <w:rFonts w:ascii="宋体" w:hAnsi="宋体" w:eastAsia="黑体" w:cs="Times New Roman"/>
      <w:b/>
      <w:bCs/>
      <w:kern w:val="44"/>
      <w:sz w:val="32"/>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5221</Words>
  <Characters>29762</Characters>
  <Lines>248</Lines>
  <Paragraphs>69</Paragraphs>
  <TotalTime>594</TotalTime>
  <ScaleCrop>false</ScaleCrop>
  <LinksUpToDate>false</LinksUpToDate>
  <CharactersWithSpaces>34914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2024-11-06T10:30:00Z</dcterms:created>
  <dc:creator>user</dc:creator>
  <cp:lastModifiedBy>user</cp:lastModifiedBy>
  <dcterms:modified xsi:type="dcterms:W3CDTF">2024-11-13T14:44:44Z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BE22B29C1A7B146246493467EF969042_43</vt:lpwstr>
  </property>
</Properties>
</file>