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930"/>
        </w:tabs>
        <w:spacing w:before="260" w:after="260"/>
        <w:jc w:val="center"/>
        <w:outlineLvl w:val="2"/>
        <w:rPr>
          <w:rFonts w:ascii="仿宋_GB2312" w:hAnsi="Times New Roman" w:eastAsia="仿宋_GB2312" w:cs="Times New Roman"/>
          <w:b/>
          <w:bCs/>
          <w:kern w:val="28"/>
          <w:sz w:val="36"/>
          <w:szCs w:val="30"/>
        </w:rPr>
      </w:pPr>
      <w:r>
        <w:rPr>
          <w:rFonts w:hint="eastAsia" w:ascii="仿宋_GB2312" w:hAnsi="Times New Roman" w:eastAsia="仿宋_GB2312" w:cs="Times New Roman"/>
          <w:b/>
          <w:bCs/>
          <w:kern w:val="28"/>
          <w:sz w:val="36"/>
          <w:szCs w:val="30"/>
        </w:rPr>
        <w:t xml:space="preserve"> 上海教育考试院项目需求</w:t>
      </w:r>
    </w:p>
    <w:p>
      <w:pPr>
        <w:numPr>
          <w:ilvl w:val="0"/>
          <w:numId w:val="1"/>
        </w:numPr>
        <w:tabs>
          <w:tab w:val="left" w:pos="630"/>
        </w:tabs>
        <w:spacing w:line="560" w:lineRule="exact"/>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项目背景</w:t>
      </w:r>
    </w:p>
    <w:p>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上海市教育考试院主要承担上海市市义务教育阶段以后的各级各类教育考试招生工作。其主要职责是：贯彻执行党和国家关于教育考试和招生工作的各项方针、政策和法规；开展教育考试的科研和开发；深化教育考试制度的改革；组织实施教育考试与招生工作方案；促进与境外考试机构的合作交流，开拓多层次、多规格的考试项目，为社会和考生提供咨询服务。</w:t>
      </w:r>
    </w:p>
    <w:p>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上海市教育考试院始终秉承“尚德慎行、至公至正”的院训，保持锐意进取的积极姿态：作为全国高考综合改革首批试点省份，构建教、学、考、招“四位一体”上海高考模式，搭建春季高考、专科自主招生、三校生高考和秋季高考相结合的升学立交桥。关注学生全面发展，推进综合评价、多元录取，平稳实施上海中考中招改革。牢牢把握改革契机，持续深化教育评价和考试招生制度改革，构建由终结性评价与过程性评价相结合、以信息技术为基础的测评体系，大力推进考试机构专业化建设，完成由“考试组织”向“考试评价”的机构转型。</w:t>
      </w:r>
    </w:p>
    <w:p>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面对新形势新任务，上海市教育考试院聚焦教育“立德树人”的根本目标，坚持教育、科技、人才“三位一体”的发展战略，不断开拓创新，本着“为考生、为教育、为发展”的办院宗旨，努力推进教育考试招生事业高质量发展，为了满足上海市教育考试院建设发展需要，必须建设一个安全高效、适用性强、可持续发展的网络基础环境。</w:t>
      </w:r>
    </w:p>
    <w:p>
      <w:pPr>
        <w:numPr>
          <w:ilvl w:val="0"/>
          <w:numId w:val="1"/>
        </w:numPr>
        <w:tabs>
          <w:tab w:val="left" w:pos="630"/>
        </w:tabs>
        <w:spacing w:line="560" w:lineRule="exact"/>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项目内容：</w:t>
      </w:r>
    </w:p>
    <w:p>
      <w:pPr>
        <w:numPr>
          <w:ilvl w:val="255"/>
          <w:numId w:val="0"/>
        </w:numPr>
        <w:tabs>
          <w:tab w:val="left" w:pos="780"/>
        </w:tabs>
        <w:spacing w:line="360" w:lineRule="auto"/>
        <w:ind w:firstLine="0" w:firstLineChars="0"/>
        <w:rPr>
          <w:rFonts w:ascii="仿宋_GB2312" w:hAnsi="Calibri" w:eastAsia="仿宋_GB2312" w:cs="Times New Roman"/>
          <w:sz w:val="30"/>
          <w:szCs w:val="30"/>
        </w:rPr>
      </w:pPr>
      <w:r>
        <w:rPr>
          <w:rFonts w:ascii="仿宋_GB2312" w:hAnsi="Calibri" w:eastAsia="仿宋_GB2312" w:cs="Times New Roman"/>
          <w:sz w:val="30"/>
          <w:szCs w:val="30"/>
        </w:rPr>
        <w:t>供应商为上海市教育考试院提供</w:t>
      </w:r>
      <w:r>
        <w:rPr>
          <w:rFonts w:hint="eastAsia" w:ascii="仿宋_GB2312" w:hAnsi="Calibri" w:eastAsia="仿宋_GB2312" w:cs="Times New Roman"/>
          <w:sz w:val="30"/>
          <w:szCs w:val="30"/>
        </w:rPr>
        <w:t>互联网专线上网</w:t>
      </w:r>
      <w:r>
        <w:rPr>
          <w:rFonts w:ascii="仿宋_GB2312" w:hAnsi="Calibri" w:eastAsia="仿宋_GB2312" w:cs="Times New Roman"/>
          <w:sz w:val="30"/>
          <w:szCs w:val="30"/>
        </w:rPr>
        <w:t>服务，服务期限：一年。并在服务期内提供运维服务</w:t>
      </w:r>
      <w:r>
        <w:rPr>
          <w:rFonts w:hint="eastAsia" w:ascii="仿宋_GB2312" w:hAnsi="Calibri" w:eastAsia="仿宋_GB2312" w:cs="Times New Roman"/>
          <w:sz w:val="30"/>
          <w:szCs w:val="30"/>
        </w:rPr>
        <w:t>、DDoS服务</w:t>
      </w:r>
      <w:r>
        <w:rPr>
          <w:rFonts w:ascii="仿宋_GB2312" w:hAnsi="Calibri" w:eastAsia="仿宋_GB2312" w:cs="Times New Roman"/>
          <w:sz w:val="30"/>
          <w:szCs w:val="30"/>
        </w:rPr>
        <w:t>、一站式服务</w:t>
      </w:r>
      <w:r>
        <w:rPr>
          <w:rFonts w:hint="eastAsia" w:ascii="仿宋_GB2312" w:hAnsi="Calibri" w:eastAsia="仿宋_GB2312" w:cs="Times New Roman"/>
          <w:sz w:val="30"/>
          <w:szCs w:val="30"/>
        </w:rPr>
        <w:t>、动态提速、SLA服务等</w:t>
      </w:r>
      <w:r>
        <w:rPr>
          <w:rFonts w:ascii="仿宋_GB2312" w:hAnsi="Calibri" w:eastAsia="仿宋_GB2312" w:cs="Times New Roman"/>
          <w:sz w:val="30"/>
          <w:szCs w:val="30"/>
        </w:rPr>
        <w:t>。</w:t>
      </w:r>
    </w:p>
    <w:p>
      <w:pPr>
        <w:numPr>
          <w:ilvl w:val="255"/>
          <w:numId w:val="0"/>
        </w:numPr>
        <w:tabs>
          <w:tab w:val="left" w:pos="780"/>
        </w:tabs>
        <w:spacing w:line="360" w:lineRule="auto"/>
        <w:ind w:firstLine="0" w:firstLineChars="0"/>
        <w:rPr>
          <w:rFonts w:ascii="仿宋_GB2312" w:hAnsi="Calibri" w:eastAsia="仿宋_GB2312" w:cs="Times New Roman"/>
          <w:b/>
          <w:bCs/>
          <w:sz w:val="30"/>
          <w:szCs w:val="30"/>
        </w:rPr>
      </w:pPr>
      <w:r>
        <w:rPr>
          <w:rFonts w:hint="eastAsia" w:ascii="仿宋_GB2312" w:hAnsi="Calibri" w:eastAsia="仿宋_GB2312" w:cs="Times New Roman"/>
          <w:b/>
          <w:bCs/>
          <w:sz w:val="30"/>
          <w:szCs w:val="30"/>
        </w:rPr>
        <w:t>三、技术要求</w:t>
      </w:r>
    </w:p>
    <w:tbl>
      <w:tblPr>
        <w:tblStyle w:val="11"/>
        <w:tblW w:w="8018" w:type="dxa"/>
        <w:tblInd w:w="96" w:type="dxa"/>
        <w:tblLayout w:type="fixed"/>
        <w:tblCellMar>
          <w:top w:w="0" w:type="dxa"/>
          <w:left w:w="108" w:type="dxa"/>
          <w:bottom w:w="0" w:type="dxa"/>
          <w:right w:w="108" w:type="dxa"/>
        </w:tblCellMar>
      </w:tblPr>
      <w:tblGrid>
        <w:gridCol w:w="430"/>
        <w:gridCol w:w="6844"/>
        <w:gridCol w:w="744"/>
      </w:tblGrid>
      <w:tr>
        <w:tblPrEx>
          <w:tblCellMar>
            <w:top w:w="0" w:type="dxa"/>
            <w:left w:w="108" w:type="dxa"/>
            <w:bottom w:w="0" w:type="dxa"/>
            <w:right w:w="108" w:type="dxa"/>
          </w:tblCellMar>
        </w:tblPrEx>
        <w:trPr>
          <w:trHeight w:val="4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技术参数要求</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对应分值</w:t>
            </w:r>
          </w:p>
        </w:tc>
      </w:tr>
      <w:tr>
        <w:tblPrEx>
          <w:tblCellMar>
            <w:top w:w="0" w:type="dxa"/>
            <w:left w:w="108" w:type="dxa"/>
            <w:bottom w:w="0" w:type="dxa"/>
            <w:right w:w="108" w:type="dxa"/>
          </w:tblCellMar>
        </w:tblPrEx>
        <w:trPr>
          <w:trHeight w:val="19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Chars="0"/>
              <w:textAlignment w:val="center"/>
              <w:rPr>
                <w:rFonts w:ascii="宋体" w:hAnsi="宋体" w:eastAsia="宋体" w:cs="宋体"/>
                <w:color w:val="000000"/>
                <w:sz w:val="22"/>
              </w:rPr>
            </w:pPr>
            <w:r>
              <w:rPr>
                <w:rFonts w:hint="eastAsia" w:ascii="宋体" w:hAnsi="宋体" w:eastAsia="宋体" w:cs="宋体"/>
                <w:color w:val="000000"/>
                <w:kern w:val="0"/>
                <w:sz w:val="22"/>
                <w:lang w:bidi="ar"/>
              </w:rPr>
              <w:t>供应商应提供两根带宽互联网接入线路，直接接入供应商的IP城域网中，上下行速率对称，全程独享带宽，线路要求动态提速升速后速率为基准速率的1倍左右，下行或者上行实际速率不低于约定速率的90%，每根线路提供1Gpbs速率不少于6个月，提供500Mbps速率不少以6个月，对于端口能力不满足的互联网专线，升速时需更换为GE端口。</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6</w:t>
            </w:r>
          </w:p>
        </w:tc>
      </w:tr>
      <w:tr>
        <w:tblPrEx>
          <w:tblCellMar>
            <w:top w:w="0" w:type="dxa"/>
            <w:left w:w="108" w:type="dxa"/>
            <w:bottom w:w="0" w:type="dxa"/>
            <w:right w:w="108" w:type="dxa"/>
          </w:tblCellMar>
        </w:tblPrEx>
        <w:trPr>
          <w:trHeight w:val="10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Chars="0"/>
              <w:textAlignment w:val="center"/>
              <w:rPr>
                <w:rFonts w:ascii="宋体" w:hAnsi="宋体" w:eastAsia="宋体" w:cs="宋体"/>
                <w:color w:val="000000"/>
                <w:sz w:val="22"/>
              </w:rPr>
            </w:pPr>
            <w:r>
              <w:rPr>
                <w:rFonts w:hint="eastAsia" w:ascii="宋体" w:hAnsi="宋体" w:eastAsia="宋体" w:cs="宋体"/>
                <w:color w:val="000000"/>
                <w:kern w:val="0"/>
                <w:sz w:val="22"/>
                <w:lang w:bidi="ar"/>
              </w:rPr>
              <w:t>线路光纤到上海市教育考试院民星路465号1号楼5层机房的设备，从用户出口设备到接入供应商骨干节点的路由跳数不大于3跳，并通过静态路由协议实现与供应商城域网互联。</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CellMar>
            <w:top w:w="0" w:type="dxa"/>
            <w:left w:w="108" w:type="dxa"/>
            <w:bottom w:w="0" w:type="dxa"/>
            <w:right w:w="108" w:type="dxa"/>
          </w:tblCellMar>
        </w:tblPrEx>
        <w:trPr>
          <w:trHeight w:val="12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Chars="0"/>
              <w:textAlignment w:val="center"/>
              <w:rPr>
                <w:rFonts w:ascii="宋体" w:hAnsi="宋体" w:eastAsia="宋体" w:cs="宋体"/>
                <w:color w:val="000000"/>
                <w:sz w:val="22"/>
              </w:rPr>
            </w:pPr>
            <w:r>
              <w:rPr>
                <w:rFonts w:hint="eastAsia" w:ascii="宋体" w:hAnsi="宋体" w:eastAsia="宋体" w:cs="宋体"/>
                <w:color w:val="000000"/>
                <w:kern w:val="0"/>
                <w:sz w:val="22"/>
                <w:lang w:bidi="ar"/>
              </w:rPr>
              <w:t>供应商应提供一定数量的固定公网IP地址，院方可以自行分配使用的固定公网IP地址，IPv4和IPv6地址各不少于512个，提供IP地址对应的所有端口开放服务。</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108" w:type="dxa"/>
            <w:bottom w:w="0" w:type="dxa"/>
            <w:right w:w="108" w:type="dxa"/>
          </w:tblCellMar>
        </w:tblPrEx>
        <w:trPr>
          <w:trHeight w:val="14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bookmarkStart w:id="0" w:name="_GoBack" w:colFirst="1" w:colLast="1"/>
            <w:r>
              <w:rPr>
                <w:rFonts w:hint="eastAsia" w:ascii="宋体" w:hAnsi="宋体" w:eastAsia="宋体" w:cs="宋体"/>
                <w:color w:val="000000"/>
                <w:kern w:val="0"/>
                <w:sz w:val="22"/>
                <w:lang w:val="en-US" w:eastAsia="zh-CN" w:bidi="ar"/>
              </w:rPr>
              <w:t>4</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Chars="0"/>
              <w:textAlignment w:val="center"/>
              <w:rPr>
                <w:rFonts w:ascii="宋体" w:hAnsi="宋体" w:eastAsia="宋体" w:cs="宋体"/>
                <w:color w:val="000000"/>
                <w:sz w:val="22"/>
              </w:rPr>
            </w:pPr>
            <w:r>
              <w:rPr>
                <w:rFonts w:hint="eastAsia" w:ascii="宋体" w:hAnsi="宋体" w:eastAsia="宋体" w:cs="宋体"/>
                <w:color w:val="000000"/>
                <w:kern w:val="0"/>
                <w:sz w:val="22"/>
                <w:lang w:bidi="ar"/>
              </w:rPr>
              <w:t>链路品质：网络的可用性</w:t>
            </w:r>
            <w:r>
              <w:rPr>
                <w:rStyle w:val="24"/>
                <w:rFonts w:eastAsia="宋体"/>
                <w:lang w:bidi="ar"/>
              </w:rPr>
              <w:t>≥</w:t>
            </w:r>
            <w:r>
              <w:rPr>
                <w:rStyle w:val="25"/>
                <w:rFonts w:hint="default"/>
                <w:lang w:bidi="ar"/>
              </w:rPr>
              <w:t>99.9%、</w:t>
            </w:r>
            <w:r>
              <w:rPr>
                <w:rFonts w:hint="eastAsia" w:ascii="仿宋_GB2312" w:hAnsi="Calibri" w:eastAsia="仿宋_GB2312" w:cs="Times New Roman"/>
                <w:sz w:val="22"/>
                <w:szCs w:val="22"/>
              </w:rPr>
              <w:t>网络服务无故障率和网络连通率不低于</w:t>
            </w:r>
            <w:r>
              <w:rPr>
                <w:rFonts w:ascii="仿宋_GB2312" w:hAnsi="Calibri" w:eastAsia="仿宋_GB2312" w:cs="Times New Roman"/>
                <w:sz w:val="22"/>
                <w:szCs w:val="22"/>
              </w:rPr>
              <w:t>99.</w:t>
            </w:r>
            <w:r>
              <w:rPr>
                <w:rFonts w:hint="eastAsia" w:ascii="仿宋_GB2312" w:hAnsi="Calibri" w:eastAsia="仿宋_GB2312" w:cs="Times New Roman"/>
                <w:sz w:val="22"/>
                <w:szCs w:val="22"/>
              </w:rPr>
              <w:t>9</w:t>
            </w:r>
            <w:r>
              <w:rPr>
                <w:rFonts w:ascii="仿宋_GB2312" w:hAnsi="Calibri" w:eastAsia="仿宋_GB2312" w:cs="Times New Roman"/>
                <w:sz w:val="22"/>
                <w:szCs w:val="22"/>
              </w:rPr>
              <w:t>%</w:t>
            </w:r>
            <w:r>
              <w:rPr>
                <w:rFonts w:hint="eastAsia" w:ascii="仿宋_GB2312" w:hAnsi="Calibri" w:eastAsia="仿宋_GB2312" w:cs="Times New Roman"/>
                <w:sz w:val="22"/>
                <w:szCs w:val="22"/>
              </w:rPr>
              <w:t>，</w:t>
            </w:r>
            <w:r>
              <w:rPr>
                <w:rStyle w:val="25"/>
                <w:rFonts w:hint="default"/>
                <w:lang w:bidi="ar"/>
              </w:rPr>
              <w:t>线路物理带宽可用率大于95％，线路</w:t>
            </w:r>
            <w:r>
              <w:rPr>
                <w:rStyle w:val="25"/>
                <w:lang w:bidi="ar"/>
              </w:rPr>
              <w:t>用户端到网关</w:t>
            </w:r>
            <w:r>
              <w:rPr>
                <w:rStyle w:val="25"/>
                <w:rFonts w:hint="default"/>
                <w:lang w:bidi="ar"/>
              </w:rPr>
              <w:t>点到点访问平均丢包率</w:t>
            </w:r>
            <w:r>
              <w:rPr>
                <w:rStyle w:val="24"/>
                <w:rFonts w:eastAsia="宋体"/>
                <w:lang w:bidi="ar"/>
              </w:rPr>
              <w:t>≤</w:t>
            </w:r>
            <w:r>
              <w:rPr>
                <w:rStyle w:val="25"/>
                <w:rFonts w:hint="default"/>
                <w:lang w:bidi="ar"/>
              </w:rPr>
              <w:t>0.5%，平均修复时间</w:t>
            </w:r>
            <w:r>
              <w:rPr>
                <w:rStyle w:val="24"/>
                <w:rFonts w:eastAsia="宋体"/>
                <w:lang w:bidi="ar"/>
              </w:rPr>
              <w:t>≤</w:t>
            </w:r>
            <w:r>
              <w:rPr>
                <w:rStyle w:val="25"/>
                <w:rFonts w:hint="default"/>
                <w:lang w:bidi="ar"/>
              </w:rPr>
              <w:t>4小时，最长不超过8小时，提供2路光纤以及2个交换机端口（用户端光纤2路不同路由），故障时切换。</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5</w:t>
            </w:r>
          </w:p>
        </w:tc>
      </w:tr>
      <w:tr>
        <w:tblPrEx>
          <w:tblCellMar>
            <w:top w:w="0" w:type="dxa"/>
            <w:left w:w="108" w:type="dxa"/>
            <w:bottom w:w="0" w:type="dxa"/>
            <w:right w:w="108" w:type="dxa"/>
          </w:tblCellMar>
        </w:tblPrEx>
        <w:trPr>
          <w:trHeight w:val="136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5</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供应商应提供具备万兆接入的能力，院方设备通过万兆光纤物理路由方式直接接入招标方边界路由设备，连接客户路由器标准万兆单模光接口模块，通过划分VLAN方式对应供应商互联设备。</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bookmarkEnd w:id="0"/>
      <w:tr>
        <w:tblPrEx>
          <w:tblCellMar>
            <w:top w:w="0" w:type="dxa"/>
            <w:left w:w="108" w:type="dxa"/>
            <w:bottom w:w="0" w:type="dxa"/>
            <w:right w:w="108" w:type="dxa"/>
          </w:tblCellMar>
        </w:tblPrEx>
        <w:trPr>
          <w:trHeight w:val="106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6</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Chars="0"/>
              <w:textAlignment w:val="center"/>
              <w:rPr>
                <w:rFonts w:ascii="宋体" w:hAnsi="宋体" w:eastAsia="宋体" w:cs="宋体"/>
                <w:color w:val="000000"/>
                <w:sz w:val="22"/>
              </w:rPr>
            </w:pPr>
            <w:r>
              <w:rPr>
                <w:rFonts w:hint="eastAsia" w:ascii="宋体" w:hAnsi="宋体" w:eastAsia="宋体" w:cs="宋体"/>
                <w:color w:val="000000"/>
                <w:kern w:val="0"/>
                <w:sz w:val="22"/>
                <w:lang w:bidi="ar"/>
              </w:rPr>
              <w:t>有完善的网络实时监控手段，可以7*24小时对网络流量进行全面的监控，最少保留3个月的带宽使用数据，并提供故障及处理等情况的相关报告。</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bl>
    <w:p>
      <w:pPr>
        <w:numPr>
          <w:ilvl w:val="255"/>
          <w:numId w:val="0"/>
        </w:numPr>
        <w:tabs>
          <w:tab w:val="left" w:pos="780"/>
        </w:tabs>
        <w:spacing w:line="360" w:lineRule="auto"/>
        <w:ind w:left="420" w:leftChars="200" w:firstLine="0"/>
        <w:rPr>
          <w:rFonts w:ascii="仿宋_GB2312" w:eastAsia="仿宋_GB2312"/>
          <w:b/>
          <w:color w:val="000000" w:themeColor="text1"/>
          <w:sz w:val="30"/>
          <w:szCs w:val="30"/>
          <w14:textFill>
            <w14:solidFill>
              <w14:schemeClr w14:val="tx1"/>
            </w14:solidFill>
          </w14:textFill>
        </w:rPr>
      </w:pPr>
    </w:p>
    <w:p>
      <w:pPr>
        <w:numPr>
          <w:ilvl w:val="255"/>
          <w:numId w:val="0"/>
        </w:numPr>
        <w:tabs>
          <w:tab w:val="left" w:pos="780"/>
        </w:tabs>
        <w:spacing w:line="360" w:lineRule="auto"/>
        <w:ind w:left="420" w:leftChars="200" w:firstLine="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四、服务要求</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供应商提供的网络服务应具备相关的运营要求，对涉及用户的数据不得发生任何泄漏事件。</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在中标后，如供应商需改变线路绑定IP地址，改变与调整不能影响线路的继续使用，并提供用户</w:t>
      </w:r>
      <w:r>
        <w:rPr>
          <w:rFonts w:hint="eastAsia" w:ascii="仿宋_GB2312" w:hAnsi="Calibri" w:eastAsia="仿宋_GB2312" w:cs="Times New Roman"/>
          <w:sz w:val="30"/>
          <w:szCs w:val="30"/>
          <w:highlight w:val="none"/>
        </w:rPr>
        <w:t>原有IP地址平滑迁移服务。供应商须对此提出解决方案</w:t>
      </w:r>
      <w:r>
        <w:rPr>
          <w:rFonts w:hint="eastAsia" w:ascii="仿宋_GB2312" w:hAnsi="Calibri" w:eastAsia="仿宋_GB2312" w:cs="Times New Roman"/>
          <w:sz w:val="30"/>
          <w:szCs w:val="30"/>
        </w:rPr>
        <w:t>，</w:t>
      </w:r>
      <w:r>
        <w:rPr>
          <w:rFonts w:hint="eastAsia" w:ascii="仿宋_GB2312" w:hAnsi="Calibri" w:eastAsia="仿宋_GB2312" w:cs="Times New Roman"/>
          <w:sz w:val="30"/>
          <w:szCs w:val="30"/>
          <w:highlight w:val="none"/>
        </w:rPr>
        <w:t>并在中标后负责解决方案的实现，由此产生的全部费用纳入服务总价。</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在服务提供期内，供应商应建立完善的服务体系，提供运维服务规划。规划包括标准、规范、目标职责、与用户的分工界面、组织结构、人员配置、设备配备、技术手段、实施流程、应急预案、需用户配合的内容与要求、质量评估方法及可量化评估细则等。</w:t>
      </w:r>
      <w:r>
        <w:rPr>
          <w:rFonts w:hint="eastAsia" w:ascii="仿宋_GB2312" w:hAnsi="Calibri" w:eastAsia="仿宋_GB2312" w:cs="Times New Roman"/>
          <w:sz w:val="30"/>
          <w:szCs w:val="30"/>
          <w:lang w:eastAsia="zh-CN"/>
        </w:rPr>
        <w:t>同时根据自身实力尽可能向用户提供</w:t>
      </w:r>
      <w:r>
        <w:rPr>
          <w:rFonts w:hint="eastAsia" w:ascii="仿宋_GB2312" w:hAnsi="Calibri" w:eastAsia="仿宋_GB2312" w:cs="Times New Roman"/>
          <w:sz w:val="30"/>
          <w:szCs w:val="30"/>
        </w:rPr>
        <w:t>网络规划、技术研究等</w:t>
      </w:r>
      <w:r>
        <w:rPr>
          <w:rFonts w:hint="eastAsia" w:ascii="仿宋_GB2312" w:hAnsi="Calibri" w:eastAsia="仿宋_GB2312" w:cs="Times New Roman"/>
          <w:sz w:val="30"/>
          <w:szCs w:val="30"/>
          <w:lang w:eastAsia="zh-CN"/>
        </w:rPr>
        <w:t>增值服务。</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供应商应设立专属客户经理，提供一对一的支持服务</w:t>
      </w:r>
      <w:r>
        <w:rPr>
          <w:rFonts w:hint="eastAsia" w:ascii="仿宋_GB2312" w:hAnsi="Calibri" w:eastAsia="仿宋_GB2312" w:cs="Times New Roman"/>
          <w:sz w:val="30"/>
          <w:szCs w:val="30"/>
          <w:lang w:eastAsia="zh-CN"/>
        </w:rPr>
        <w:t>。团队组织、功能架构、工作制度及流程等清晰明确，团队人员数量、岗位配置齐全合理。提供团队中项目经理、运维经理、安全经理等项目核心服务人员的相关资质、证书、社保证明、学历、专业、职称及主要从业经历。</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b/>
          <w:bCs/>
          <w:sz w:val="30"/>
          <w:szCs w:val="30"/>
          <w:highlight w:val="none"/>
        </w:rPr>
        <w:t>服务有效期内响应时间要求：</w:t>
      </w:r>
      <w:r>
        <w:rPr>
          <w:rFonts w:hint="eastAsia" w:ascii="仿宋_GB2312" w:hAnsi="Calibri" w:eastAsia="仿宋_GB2312" w:cs="Times New Roman"/>
          <w:sz w:val="30"/>
          <w:szCs w:val="30"/>
        </w:rPr>
        <w:t>提供技术支持和故障申告联系电话，在服务有效期内，该服务必须是7（天）×24（小时）技术支持；如设备或系统出现故障，7×24小时故障处理，在接到报修通知后</w:t>
      </w:r>
      <w:r>
        <w:rPr>
          <w:rFonts w:ascii="仿宋_GB2312" w:hAnsi="Calibri" w:eastAsia="仿宋_GB2312" w:cs="Times New Roman"/>
          <w:sz w:val="30"/>
          <w:szCs w:val="30"/>
        </w:rPr>
        <w:t>5</w:t>
      </w:r>
      <w:r>
        <w:rPr>
          <w:rFonts w:hint="eastAsia" w:ascii="仿宋_GB2312" w:hAnsi="Calibri" w:eastAsia="仿宋_GB2312" w:cs="Times New Roman"/>
          <w:sz w:val="30"/>
          <w:szCs w:val="30"/>
        </w:rPr>
        <w:t>分钟故障响应，3</w:t>
      </w:r>
      <w:r>
        <w:rPr>
          <w:rFonts w:ascii="仿宋_GB2312" w:hAnsi="Calibri" w:eastAsia="仿宋_GB2312" w:cs="Times New Roman"/>
          <w:sz w:val="30"/>
          <w:szCs w:val="30"/>
        </w:rPr>
        <w:t>0</w:t>
      </w:r>
      <w:r>
        <w:rPr>
          <w:rFonts w:hint="eastAsia" w:ascii="仿宋_GB2312" w:hAnsi="Calibri" w:eastAsia="仿宋_GB2312" w:cs="Times New Roman"/>
          <w:sz w:val="30"/>
          <w:szCs w:val="30"/>
        </w:rPr>
        <w:t>分钟故障排除反馈，平均修复时长小于4小时，8小时内排除故障并完全恢复系统的正常运行，保证院方的正常教学工作，事后须及时提交相应的故障报告。</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若供应商进行有可能对服务产生影响的网络调整，需提前7天书面通知用户。</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紧急事件处理：提供应急预案</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若因不可抗力引发网络故障，供应商应立即通知用户，并采取措施尽快解决，事后应提供完整的书面报告。</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供应商应承诺提供重大活动现场保障及重点保障服务。提供网管侧重点监控和保障、提供相关保障方案、保障前巡检测试、网络操作规避、现场侧保障、重保记录报告等。</w:t>
      </w:r>
    </w:p>
    <w:p>
      <w:pPr>
        <w:numPr>
          <w:ilvl w:val="0"/>
          <w:numId w:val="2"/>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在服务期内，如上级主管教育部门上海市教育委员会对全市网络出口有统一管理新政出台，供应商需积极配合招标人进行网络调整。</w:t>
      </w:r>
    </w:p>
    <w:p>
      <w:pPr>
        <w:numPr>
          <w:ilvl w:val="0"/>
          <w:numId w:val="1"/>
        </w:numPr>
        <w:tabs>
          <w:tab w:val="left" w:pos="630"/>
        </w:tabs>
        <w:spacing w:line="560" w:lineRule="exact"/>
        <w:rPr>
          <w:rFonts w:ascii="仿宋_GB2312" w:eastAsia="仿宋_GB2312"/>
          <w:b/>
          <w:sz w:val="30"/>
          <w:szCs w:val="30"/>
        </w:rPr>
      </w:pPr>
      <w:r>
        <w:rPr>
          <w:rFonts w:hint="eastAsia" w:ascii="仿宋_GB2312" w:eastAsia="仿宋_GB2312"/>
          <w:b/>
          <w:sz w:val="30"/>
          <w:szCs w:val="30"/>
        </w:rPr>
        <w:t>验收要求</w:t>
      </w:r>
    </w:p>
    <w:p>
      <w:pPr>
        <w:tabs>
          <w:tab w:val="left" w:pos="630"/>
          <w:tab w:val="left" w:pos="930"/>
        </w:tabs>
        <w:spacing w:line="560" w:lineRule="exact"/>
        <w:ind w:left="210" w:firstLine="600" w:firstLineChars="200"/>
        <w:rPr>
          <w:rFonts w:ascii="仿宋" w:hAnsi="仿宋" w:eastAsia="仿宋" w:cs="Times New Roman"/>
          <w:color w:val="FF0000"/>
          <w:sz w:val="30"/>
          <w:szCs w:val="30"/>
        </w:rPr>
      </w:pPr>
      <w:r>
        <w:rPr>
          <w:rFonts w:hint="eastAsia" w:ascii="仿宋_GB2312" w:hAnsi="Calibri" w:eastAsia="仿宋_GB2312" w:cs="Times New Roman"/>
          <w:sz w:val="30"/>
          <w:szCs w:val="30"/>
        </w:rPr>
        <w:t>招标方根据合同约定对投标方提供的服务进行验收，招标方收取投标方项目过程中形成的运维服务资料、知识成果、相关报告并在验收单上签字确认，并按合同约定与投标方结清款项。</w:t>
      </w:r>
    </w:p>
    <w:p>
      <w:pPr>
        <w:spacing w:line="560" w:lineRule="exact"/>
        <w:ind w:left="1050"/>
        <w:jc w:val="right"/>
        <w:rPr>
          <w:rFonts w:ascii="仿宋_GB2312" w:hAnsi="Calibri" w:eastAsia="仿宋_GB2312" w:cs="Times New Roman"/>
          <w:color w:val="FF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3F37"/>
    <w:multiLevelType w:val="multilevel"/>
    <w:tmpl w:val="06DF3F37"/>
    <w:lvl w:ilvl="0" w:tentative="0">
      <w:start w:val="1"/>
      <w:numFmt w:val="chineseCountingThousand"/>
      <w:lvlText w:val="%1、"/>
      <w:lvlJc w:val="left"/>
      <w:pPr>
        <w:tabs>
          <w:tab w:val="left" w:pos="930"/>
        </w:tabs>
        <w:ind w:left="930" w:hanging="720"/>
      </w:pPr>
      <w:rPr>
        <w:rFonts w:hint="eastAsia"/>
        <w:color w:val="auto"/>
        <w:sz w:val="30"/>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0B5976DB"/>
    <w:multiLevelType w:val="multilevel"/>
    <w:tmpl w:val="0B5976DB"/>
    <w:lvl w:ilvl="0" w:tentative="0">
      <w:start w:val="1"/>
      <w:numFmt w:val="decimal"/>
      <w:suff w:val="space"/>
      <w:lvlText w:val="%1、"/>
      <w:lvlJc w:val="left"/>
      <w:pPr>
        <w:ind w:left="30" w:firstLine="0"/>
      </w:pPr>
      <w:rPr>
        <w:rFonts w:hint="default"/>
      </w:rPr>
    </w:lvl>
    <w:lvl w:ilvl="1" w:tentative="0">
      <w:start w:val="1"/>
      <w:numFmt w:val="lowerLetter"/>
      <w:lvlText w:val="%2)"/>
      <w:lvlJc w:val="left"/>
      <w:pPr>
        <w:tabs>
          <w:tab w:val="left" w:pos="780"/>
        </w:tabs>
        <w:ind w:left="0" w:firstLine="0"/>
      </w:pPr>
      <w:rPr>
        <w:rFonts w:hint="eastAsia"/>
      </w:rPr>
    </w:lvl>
    <w:lvl w:ilvl="2" w:tentative="0">
      <w:start w:val="1"/>
      <w:numFmt w:val="decimal"/>
      <w:lvlText w:val="%3."/>
      <w:lvlJc w:val="left"/>
      <w:pPr>
        <w:tabs>
          <w:tab w:val="left" w:pos="780"/>
        </w:tabs>
        <w:ind w:left="0" w:firstLine="0"/>
      </w:pPr>
      <w:rPr>
        <w:rFonts w:hint="default"/>
      </w:rPr>
    </w:lvl>
    <w:lvl w:ilvl="3" w:tentative="0">
      <w:start w:val="1"/>
      <w:numFmt w:val="decimal"/>
      <w:lvlText w:val="%4."/>
      <w:lvlJc w:val="left"/>
      <w:pPr>
        <w:tabs>
          <w:tab w:val="left" w:pos="780"/>
        </w:tabs>
        <w:ind w:left="0" w:firstLine="0"/>
      </w:pPr>
      <w:rPr>
        <w:rFonts w:hint="eastAsia"/>
      </w:rPr>
    </w:lvl>
    <w:lvl w:ilvl="4" w:tentative="0">
      <w:start w:val="1"/>
      <w:numFmt w:val="lowerLetter"/>
      <w:lvlText w:val="%5)"/>
      <w:lvlJc w:val="left"/>
      <w:pPr>
        <w:tabs>
          <w:tab w:val="left" w:pos="780"/>
        </w:tabs>
        <w:ind w:left="0" w:firstLine="0"/>
      </w:pPr>
      <w:rPr>
        <w:rFonts w:hint="eastAsia"/>
      </w:rPr>
    </w:lvl>
    <w:lvl w:ilvl="5" w:tentative="0">
      <w:start w:val="1"/>
      <w:numFmt w:val="lowerRoman"/>
      <w:lvlText w:val="%6."/>
      <w:lvlJc w:val="right"/>
      <w:pPr>
        <w:tabs>
          <w:tab w:val="left" w:pos="780"/>
        </w:tabs>
        <w:ind w:left="0" w:firstLine="0"/>
      </w:pPr>
      <w:rPr>
        <w:rFonts w:hint="eastAsia"/>
      </w:rPr>
    </w:lvl>
    <w:lvl w:ilvl="6" w:tentative="0">
      <w:start w:val="1"/>
      <w:numFmt w:val="decimal"/>
      <w:lvlText w:val="%7."/>
      <w:lvlJc w:val="left"/>
      <w:pPr>
        <w:tabs>
          <w:tab w:val="left" w:pos="780"/>
        </w:tabs>
        <w:ind w:left="0" w:firstLine="0"/>
      </w:pPr>
      <w:rPr>
        <w:rFonts w:hint="eastAsia"/>
      </w:rPr>
    </w:lvl>
    <w:lvl w:ilvl="7" w:tentative="0">
      <w:start w:val="1"/>
      <w:numFmt w:val="lowerLetter"/>
      <w:lvlText w:val="%8)"/>
      <w:lvlJc w:val="left"/>
      <w:pPr>
        <w:tabs>
          <w:tab w:val="left" w:pos="780"/>
        </w:tabs>
        <w:ind w:left="0" w:firstLine="0"/>
      </w:pPr>
      <w:rPr>
        <w:rFonts w:hint="eastAsia"/>
      </w:rPr>
    </w:lvl>
    <w:lvl w:ilvl="8" w:tentative="0">
      <w:start w:val="1"/>
      <w:numFmt w:val="lowerRoman"/>
      <w:lvlText w:val="%9."/>
      <w:lvlJc w:val="right"/>
      <w:pPr>
        <w:tabs>
          <w:tab w:val="left" w:pos="78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DF1134"/>
    <w:rsid w:val="00011E3D"/>
    <w:rsid w:val="00040420"/>
    <w:rsid w:val="00055B0A"/>
    <w:rsid w:val="00055F6B"/>
    <w:rsid w:val="00064644"/>
    <w:rsid w:val="00082CFC"/>
    <w:rsid w:val="000B22E7"/>
    <w:rsid w:val="000B2A90"/>
    <w:rsid w:val="000B5B1A"/>
    <w:rsid w:val="000B7577"/>
    <w:rsid w:val="000C00C7"/>
    <w:rsid w:val="00107054"/>
    <w:rsid w:val="001150CF"/>
    <w:rsid w:val="0016729D"/>
    <w:rsid w:val="001F3B92"/>
    <w:rsid w:val="002158F9"/>
    <w:rsid w:val="00232B1A"/>
    <w:rsid w:val="00240589"/>
    <w:rsid w:val="002635B2"/>
    <w:rsid w:val="0026595A"/>
    <w:rsid w:val="0029147A"/>
    <w:rsid w:val="002A1F1E"/>
    <w:rsid w:val="002B413E"/>
    <w:rsid w:val="002C697F"/>
    <w:rsid w:val="00306EBF"/>
    <w:rsid w:val="00341505"/>
    <w:rsid w:val="003537DF"/>
    <w:rsid w:val="003C081B"/>
    <w:rsid w:val="003E29E5"/>
    <w:rsid w:val="003E55BB"/>
    <w:rsid w:val="003E6F8C"/>
    <w:rsid w:val="0040388C"/>
    <w:rsid w:val="004139E6"/>
    <w:rsid w:val="00414FD3"/>
    <w:rsid w:val="00427F86"/>
    <w:rsid w:val="004379D0"/>
    <w:rsid w:val="00463F75"/>
    <w:rsid w:val="00466F03"/>
    <w:rsid w:val="004D4D10"/>
    <w:rsid w:val="004F08CE"/>
    <w:rsid w:val="004F6D90"/>
    <w:rsid w:val="0051228C"/>
    <w:rsid w:val="0051234B"/>
    <w:rsid w:val="00527A00"/>
    <w:rsid w:val="00530AFD"/>
    <w:rsid w:val="00574352"/>
    <w:rsid w:val="0057687D"/>
    <w:rsid w:val="0059611B"/>
    <w:rsid w:val="005C7334"/>
    <w:rsid w:val="005D18BD"/>
    <w:rsid w:val="005F28B4"/>
    <w:rsid w:val="005F3528"/>
    <w:rsid w:val="0064790B"/>
    <w:rsid w:val="0065353D"/>
    <w:rsid w:val="006537D8"/>
    <w:rsid w:val="006666AA"/>
    <w:rsid w:val="00674E25"/>
    <w:rsid w:val="006912D0"/>
    <w:rsid w:val="006B6E74"/>
    <w:rsid w:val="006C53E9"/>
    <w:rsid w:val="007211AA"/>
    <w:rsid w:val="00730F26"/>
    <w:rsid w:val="0073268B"/>
    <w:rsid w:val="00734494"/>
    <w:rsid w:val="007610D3"/>
    <w:rsid w:val="007A6763"/>
    <w:rsid w:val="007A7714"/>
    <w:rsid w:val="008338C6"/>
    <w:rsid w:val="008646E0"/>
    <w:rsid w:val="00876CD4"/>
    <w:rsid w:val="008E76DF"/>
    <w:rsid w:val="008F1386"/>
    <w:rsid w:val="008F39E4"/>
    <w:rsid w:val="0094022B"/>
    <w:rsid w:val="00982B45"/>
    <w:rsid w:val="009B2E23"/>
    <w:rsid w:val="009C79DA"/>
    <w:rsid w:val="009E0C74"/>
    <w:rsid w:val="009F3743"/>
    <w:rsid w:val="00A0119D"/>
    <w:rsid w:val="00A062CA"/>
    <w:rsid w:val="00A87835"/>
    <w:rsid w:val="00AC5D2D"/>
    <w:rsid w:val="00AD220B"/>
    <w:rsid w:val="00B229B6"/>
    <w:rsid w:val="00B27773"/>
    <w:rsid w:val="00B97660"/>
    <w:rsid w:val="00BE0C9C"/>
    <w:rsid w:val="00BF451E"/>
    <w:rsid w:val="00C50AAB"/>
    <w:rsid w:val="00CA18D2"/>
    <w:rsid w:val="00CB614C"/>
    <w:rsid w:val="00D379E5"/>
    <w:rsid w:val="00D74E4D"/>
    <w:rsid w:val="00D845E6"/>
    <w:rsid w:val="00DB56B7"/>
    <w:rsid w:val="00DC6DD4"/>
    <w:rsid w:val="00DD5572"/>
    <w:rsid w:val="00DE3C50"/>
    <w:rsid w:val="00DF0E5B"/>
    <w:rsid w:val="00DF1134"/>
    <w:rsid w:val="00E3394A"/>
    <w:rsid w:val="00E43FCA"/>
    <w:rsid w:val="00EA3C21"/>
    <w:rsid w:val="00EA77DD"/>
    <w:rsid w:val="00ED7326"/>
    <w:rsid w:val="00F14E46"/>
    <w:rsid w:val="00F26A33"/>
    <w:rsid w:val="00F33ADF"/>
    <w:rsid w:val="00F42189"/>
    <w:rsid w:val="00F44802"/>
    <w:rsid w:val="00F6559C"/>
    <w:rsid w:val="00F918E2"/>
    <w:rsid w:val="00F95068"/>
    <w:rsid w:val="00FA3230"/>
    <w:rsid w:val="00FF0499"/>
    <w:rsid w:val="00FF2CAE"/>
    <w:rsid w:val="027B63AA"/>
    <w:rsid w:val="02E50C17"/>
    <w:rsid w:val="0AC71D75"/>
    <w:rsid w:val="1946302D"/>
    <w:rsid w:val="19D5753C"/>
    <w:rsid w:val="1E2E3E06"/>
    <w:rsid w:val="22216B91"/>
    <w:rsid w:val="2BC92DAC"/>
    <w:rsid w:val="30793B45"/>
    <w:rsid w:val="313B3289"/>
    <w:rsid w:val="41187B2C"/>
    <w:rsid w:val="46C90012"/>
    <w:rsid w:val="47C87B46"/>
    <w:rsid w:val="4FA394FA"/>
    <w:rsid w:val="4FF702C8"/>
    <w:rsid w:val="5AC0440C"/>
    <w:rsid w:val="5D5FF85B"/>
    <w:rsid w:val="6B7A0E0A"/>
    <w:rsid w:val="704FD140"/>
    <w:rsid w:val="734A7548"/>
    <w:rsid w:val="73B5AE52"/>
    <w:rsid w:val="777F608B"/>
    <w:rsid w:val="7C475B4D"/>
    <w:rsid w:val="7EC02164"/>
    <w:rsid w:val="7FDDE39A"/>
    <w:rsid w:val="AD3D21B1"/>
    <w:rsid w:val="C9FF56BB"/>
    <w:rsid w:val="CA7FB19F"/>
    <w:rsid w:val="CF77C903"/>
    <w:rsid w:val="DF78BB84"/>
    <w:rsid w:val="F1755F27"/>
    <w:rsid w:val="F79B2D86"/>
    <w:rsid w:val="F7F60EB0"/>
    <w:rsid w:val="FBFB9DDB"/>
    <w:rsid w:val="FFF3B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semiHidden/>
    <w:unhideWhenUsed/>
    <w:qFormat/>
    <w:uiPriority w:val="99"/>
    <w:pPr>
      <w:jc w:val="left"/>
    </w:pPr>
  </w:style>
  <w:style w:type="paragraph" w:styleId="4">
    <w:name w:val="Body Text"/>
    <w:basedOn w:val="1"/>
    <w:next w:val="5"/>
    <w:link w:val="22"/>
    <w:autoRedefine/>
    <w:qFormat/>
    <w:uiPriority w:val="0"/>
    <w:pPr>
      <w:spacing w:after="120"/>
    </w:pPr>
    <w:rPr>
      <w:rFonts w:ascii="Times New Roman" w:hAnsi="Times New Roman" w:eastAsia="宋体" w:cs="Times New Roman"/>
      <w:szCs w:val="20"/>
    </w:rPr>
  </w:style>
  <w:style w:type="paragraph" w:styleId="5">
    <w:name w:val="Body Text First Indent"/>
    <w:basedOn w:val="4"/>
    <w:link w:val="23"/>
    <w:autoRedefine/>
    <w:qFormat/>
    <w:uiPriority w:val="0"/>
    <w:pPr>
      <w:ind w:firstLine="420" w:firstLineChars="100"/>
    </w:pPr>
    <w:rPr>
      <w:szCs w:val="24"/>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10">
    <w:name w:val="annotation subject"/>
    <w:basedOn w:val="3"/>
    <w:next w:val="3"/>
    <w:link w:val="19"/>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semiHidden/>
    <w:unhideWhenUsed/>
    <w:qFormat/>
    <w:uiPriority w:val="99"/>
    <w:rPr>
      <w:sz w:val="21"/>
      <w:szCs w:val="21"/>
    </w:rPr>
  </w:style>
  <w:style w:type="paragraph" w:styleId="15">
    <w:name w:val="List Paragraph"/>
    <w:basedOn w:val="1"/>
    <w:autoRedefine/>
    <w:qFormat/>
    <w:uiPriority w:val="34"/>
    <w:pPr>
      <w:ind w:firstLine="420" w:firstLineChars="200"/>
    </w:pPr>
  </w:style>
  <w:style w:type="character" w:customStyle="1" w:styleId="16">
    <w:name w:val="页眉 字符"/>
    <w:basedOn w:val="13"/>
    <w:link w:val="8"/>
    <w:autoRedefine/>
    <w:qFormat/>
    <w:uiPriority w:val="99"/>
    <w:rPr>
      <w:sz w:val="18"/>
      <w:szCs w:val="18"/>
    </w:rPr>
  </w:style>
  <w:style w:type="character" w:customStyle="1" w:styleId="17">
    <w:name w:val="页脚 字符"/>
    <w:basedOn w:val="13"/>
    <w:link w:val="7"/>
    <w:autoRedefine/>
    <w:qFormat/>
    <w:uiPriority w:val="99"/>
    <w:rPr>
      <w:sz w:val="18"/>
      <w:szCs w:val="18"/>
    </w:rPr>
  </w:style>
  <w:style w:type="character" w:customStyle="1" w:styleId="18">
    <w:name w:val="批注文字 字符"/>
    <w:basedOn w:val="13"/>
    <w:link w:val="3"/>
    <w:autoRedefine/>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10"/>
    <w:autoRedefine/>
    <w:semiHidden/>
    <w:qFormat/>
    <w:uiPriority w:val="99"/>
    <w:rPr>
      <w:rFonts w:asciiTheme="minorHAnsi" w:hAnsiTheme="minorHAnsi" w:eastAsiaTheme="minorEastAsia" w:cstheme="minorBidi"/>
      <w:b/>
      <w:bCs/>
      <w:kern w:val="2"/>
      <w:sz w:val="21"/>
      <w:szCs w:val="22"/>
    </w:rPr>
  </w:style>
  <w:style w:type="character" w:customStyle="1" w:styleId="20">
    <w:name w:val="批注框文本 字符"/>
    <w:basedOn w:val="13"/>
    <w:link w:val="6"/>
    <w:autoRedefine/>
    <w:semiHidden/>
    <w:qFormat/>
    <w:uiPriority w:val="99"/>
    <w:rPr>
      <w:rFonts w:asciiTheme="minorHAnsi" w:hAnsiTheme="minorHAnsi" w:eastAsiaTheme="minorEastAsia" w:cstheme="minorBidi"/>
      <w:kern w:val="2"/>
      <w:sz w:val="18"/>
      <w:szCs w:val="18"/>
    </w:rPr>
  </w:style>
  <w:style w:type="character" w:customStyle="1" w:styleId="21">
    <w:name w:val="标题 1 字符"/>
    <w:basedOn w:val="13"/>
    <w:link w:val="2"/>
    <w:autoRedefine/>
    <w:qFormat/>
    <w:uiPriority w:val="9"/>
    <w:rPr>
      <w:rFonts w:ascii="Times New Roman" w:hAnsi="Times New Roman"/>
      <w:b/>
      <w:bCs/>
      <w:kern w:val="44"/>
      <w:sz w:val="44"/>
      <w:szCs w:val="44"/>
    </w:rPr>
  </w:style>
  <w:style w:type="character" w:customStyle="1" w:styleId="22">
    <w:name w:val="正文文本 字符"/>
    <w:basedOn w:val="13"/>
    <w:link w:val="4"/>
    <w:autoRedefine/>
    <w:qFormat/>
    <w:uiPriority w:val="0"/>
    <w:rPr>
      <w:rFonts w:ascii="Times New Roman" w:hAnsi="Times New Roman"/>
      <w:kern w:val="2"/>
      <w:sz w:val="21"/>
    </w:rPr>
  </w:style>
  <w:style w:type="character" w:customStyle="1" w:styleId="23">
    <w:name w:val="正文首行缩进 字符"/>
    <w:basedOn w:val="22"/>
    <w:link w:val="5"/>
    <w:autoRedefine/>
    <w:qFormat/>
    <w:uiPriority w:val="0"/>
    <w:rPr>
      <w:rFonts w:ascii="Times New Roman" w:hAnsi="Times New Roman"/>
      <w:kern w:val="2"/>
      <w:sz w:val="21"/>
      <w:szCs w:val="24"/>
    </w:rPr>
  </w:style>
  <w:style w:type="character" w:customStyle="1" w:styleId="24">
    <w:name w:val="font21"/>
    <w:basedOn w:val="13"/>
    <w:qFormat/>
    <w:uiPriority w:val="0"/>
    <w:rPr>
      <w:rFonts w:ascii="Calibri" w:hAnsi="Calibri" w:cs="Calibri"/>
      <w:color w:val="000000"/>
      <w:sz w:val="22"/>
      <w:szCs w:val="22"/>
      <w:u w:val="none"/>
    </w:rPr>
  </w:style>
  <w:style w:type="character" w:customStyle="1" w:styleId="25">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447F1B2E-C2B6-428C-A77D-99488782A8F6}">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5</Pages>
  <Words>741</Words>
  <Characters>4230</Characters>
  <Lines>35</Lines>
  <Paragraphs>9</Paragraphs>
  <TotalTime>4</TotalTime>
  <ScaleCrop>false</ScaleCrop>
  <LinksUpToDate>false</LinksUpToDate>
  <CharactersWithSpaces>4962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2024-04-17T00:47:00Z</dcterms:created>
  <dc:creator>xhm</dc:creator>
  <cp:lastModifiedBy>顾文林</cp:lastModifiedBy>
  <cp:lastPrinted>2019-03-30T23:26:00Z</cp:lastPrinted>
  <dcterms:modified xsi:type="dcterms:W3CDTF">2024-11-04T08:26:44Z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0B7B6185C41C4F2A99375FA4B5E3ED62_13</vt:lpwstr>
  </property>
</Properties>
</file>