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ind w:firstLine="480"/>
        <w:rPr>
          <w:rFonts w:hint="eastAsia"/>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0" w:firstLineChars="0"/>
        <w:jc w:val="center"/>
        <w:rPr>
          <w:rFonts w:ascii="楷体" w:hAnsi="楷体" w:eastAsia="楷体" w:cs="宋体"/>
          <w:color w:val="000000" w:themeColor="text1"/>
          <w:sz w:val="56"/>
          <w:szCs w:val="56"/>
          <w14:textFill>
            <w14:solidFill>
              <w14:schemeClr w14:val="tx1"/>
            </w14:solidFill>
          </w14:textFill>
        </w:rPr>
      </w:pPr>
      <w:r>
        <w:rPr>
          <w:rFonts w:hint="eastAsia" w:ascii="楷体" w:hAnsi="楷体" w:eastAsia="楷体" w:cs="宋体"/>
          <w:color w:val="000000" w:themeColor="text1"/>
          <w:sz w:val="56"/>
          <w:szCs w:val="56"/>
          <w14:textFill>
            <w14:solidFill>
              <w14:schemeClr w14:val="tx1"/>
            </w14:solidFill>
          </w14:textFill>
        </w:rPr>
        <w:t>上海市人事考试考务管理系统</w:t>
      </w:r>
    </w:p>
    <w:p>
      <w:pPr>
        <w:spacing w:before="163"/>
        <w:ind w:firstLine="0" w:firstLineChars="0"/>
        <w:jc w:val="center"/>
        <w:rPr>
          <w:rFonts w:ascii="楷体" w:hAnsi="楷体" w:eastAsia="楷体" w:cs="宋体"/>
          <w:color w:val="000000" w:themeColor="text1"/>
          <w:sz w:val="56"/>
          <w:szCs w:val="56"/>
          <w14:textFill>
            <w14:solidFill>
              <w14:schemeClr w14:val="tx1"/>
            </w14:solidFill>
          </w14:textFill>
        </w:rPr>
      </w:pPr>
      <w:r>
        <w:rPr>
          <w:rFonts w:hint="eastAsia" w:ascii="楷体" w:hAnsi="楷体" w:eastAsia="楷体" w:cs="宋体"/>
          <w:color w:val="000000" w:themeColor="text1"/>
          <w:sz w:val="56"/>
          <w:szCs w:val="56"/>
          <w14:textFill>
            <w14:solidFill>
              <w14:schemeClr w14:val="tx1"/>
            </w14:solidFill>
          </w14:textFill>
        </w:rPr>
        <w:t>建设项目</w:t>
      </w:r>
    </w:p>
    <w:p>
      <w:pPr>
        <w:spacing w:before="163"/>
        <w:ind w:firstLine="480"/>
        <w:rPr>
          <w:color w:val="000000" w:themeColor="text1"/>
          <w14:textFill>
            <w14:solidFill>
              <w14:schemeClr w14:val="tx1"/>
            </w14:solidFill>
          </w14:textFill>
        </w:rPr>
      </w:pPr>
    </w:p>
    <w:p>
      <w:pPr>
        <w:spacing w:before="163"/>
        <w:ind w:firstLine="0" w:firstLineChars="0"/>
        <w:jc w:val="center"/>
        <w:rPr>
          <w:color w:val="000000" w:themeColor="text1"/>
          <w14:textFill>
            <w14:solidFill>
              <w14:schemeClr w14:val="tx1"/>
            </w14:solidFill>
          </w14:textFill>
        </w:rPr>
      </w:pPr>
      <w:r>
        <w:rPr>
          <w:rFonts w:hint="eastAsia" w:ascii="楷体" w:hAnsi="楷体" w:eastAsia="楷体" w:cs="宋体"/>
          <w:color w:val="000000" w:themeColor="text1"/>
          <w:sz w:val="56"/>
          <w:szCs w:val="56"/>
          <w14:textFill>
            <w14:solidFill>
              <w14:schemeClr w14:val="tx1"/>
            </w14:solidFill>
          </w14:textFill>
        </w:rPr>
        <w:t>2025年度采购需求</w:t>
      </w: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firstLine="480"/>
        <w:rPr>
          <w:color w:val="000000" w:themeColor="text1"/>
          <w14:textFill>
            <w14:solidFill>
              <w14:schemeClr w14:val="tx1"/>
            </w14:solidFill>
          </w14:textFill>
        </w:rPr>
      </w:pPr>
    </w:p>
    <w:p>
      <w:pPr>
        <w:spacing w:before="163"/>
        <w:ind w:left="0" w:leftChars="0" w:firstLine="0" w:firstLineChars="0"/>
        <w:jc w:val="both"/>
        <w:rPr>
          <w:color w:val="000000" w:themeColor="text1"/>
          <w:highlight w:val="yellow"/>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pPr>
        <w:pStyle w:val="2"/>
        <w:spacing w:before="156"/>
        <w:rPr>
          <w:color w:val="000000" w:themeColor="text1"/>
          <w14:textFill>
            <w14:solidFill>
              <w14:schemeClr w14:val="tx1"/>
            </w14:solidFill>
          </w14:textFill>
        </w:rPr>
      </w:pPr>
      <w:bookmarkStart w:id="0" w:name="_Toc63785461"/>
      <w:r>
        <w:rPr>
          <w:rFonts w:hint="eastAsia"/>
          <w:color w:val="000000" w:themeColor="text1"/>
          <w14:textFill>
            <w14:solidFill>
              <w14:schemeClr w14:val="tx1"/>
            </w14:solidFill>
          </w14:textFill>
        </w:rPr>
        <w:t>项目概况</w:t>
      </w:r>
      <w:bookmarkEnd w:id="0"/>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项目背景&amp;现状：</w:t>
      </w:r>
      <w:r>
        <w:rPr>
          <w:rFonts w:hint="eastAsia" w:cs="宋体"/>
          <w:color w:val="000000" w:themeColor="text1"/>
          <w:szCs w:val="24"/>
          <w14:textFill>
            <w14:solidFill>
              <w14:schemeClr w14:val="tx1"/>
            </w14:solidFill>
          </w14:textFill>
        </w:rPr>
        <w:t>人事考试社会关注度高、影响面大，考试的安全顺利实施至关重要。《人事考试事业发展“十四五”规划》《专业技术人员职业资格考试考务工作规程》《</w:t>
      </w:r>
      <w:r>
        <w:rPr>
          <w:rFonts w:ascii="Times New Roman Regular" w:hAnsi="Times New Roman Regular" w:cs="Times New Roman Regular"/>
          <w:color w:val="000000" w:themeColor="text1"/>
          <w:szCs w:val="24"/>
          <w14:textFill>
            <w14:solidFill>
              <w14:schemeClr w14:val="tx1"/>
            </w14:solidFill>
          </w14:textFill>
        </w:rPr>
        <w:t>2018-2022</w:t>
      </w:r>
      <w:r>
        <w:rPr>
          <w:rFonts w:hint="eastAsia" w:cs="宋体"/>
          <w:color w:val="000000" w:themeColor="text1"/>
          <w:szCs w:val="24"/>
          <w14:textFill>
            <w14:solidFill>
              <w14:schemeClr w14:val="tx1"/>
            </w14:solidFill>
          </w14:textFill>
        </w:rPr>
        <w:t>年人事考试信息化规划》等相关文件中明确指出，需主动谋划新时期人事考试信息化建设工作，坚持业务需求主导、资源集约统筹、系统协同整合、数据共享赋能，高标准、高效率、高质量开展人事考务管理的信息化建设工作。</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建设期限：自合同签订生效之日起</w:t>
      </w:r>
      <w:r>
        <w:rPr>
          <w:b/>
          <w:color w:val="000000" w:themeColor="text1"/>
          <w14:textFill>
            <w14:solidFill>
              <w14:schemeClr w14:val="tx1"/>
            </w14:solidFill>
          </w14:textFill>
        </w:rPr>
        <w:t>270</w:t>
      </w:r>
      <w:r>
        <w:rPr>
          <w:rFonts w:hint="eastAsia"/>
          <w:b/>
          <w:color w:val="000000" w:themeColor="text1"/>
          <w14:textFill>
            <w14:solidFill>
              <w14:schemeClr w14:val="tx1"/>
            </w14:solidFill>
          </w14:textFill>
        </w:rPr>
        <w:t>天内完成全部建设内容并通过验收。</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建设地点：</w:t>
      </w:r>
      <w:r>
        <w:rPr>
          <w:rFonts w:hint="eastAsia"/>
          <w:color w:val="000000" w:themeColor="text1"/>
          <w14:textFill>
            <w14:solidFill>
              <w14:schemeClr w14:val="tx1"/>
            </w14:solidFill>
          </w14:textFill>
        </w:rPr>
        <w:t>上海市职业能力考试院</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预算金额：</w:t>
      </w:r>
      <w:r>
        <w:rPr>
          <w:rFonts w:ascii="Times New Roman Regular" w:hAnsi="Times New Roman Regular" w:cs="Times New Roman Regular"/>
          <w:color w:val="000000" w:themeColor="text1"/>
          <w:szCs w:val="24"/>
          <w14:textFill>
            <w14:solidFill>
              <w14:schemeClr w14:val="tx1"/>
            </w14:solidFill>
          </w14:textFill>
        </w:rPr>
        <w:t>2,</w:t>
      </w:r>
      <w:r>
        <w:rPr>
          <w:rFonts w:hint="eastAsia" w:ascii="Times New Roman Regular" w:hAnsi="Times New Roman Regular" w:cs="Times New Roman Regular"/>
          <w:color w:val="000000" w:themeColor="text1"/>
          <w:szCs w:val="24"/>
          <w:lang w:val="en-US" w:eastAsia="zh-CN"/>
          <w14:textFill>
            <w14:solidFill>
              <w14:schemeClr w14:val="tx1"/>
            </w14:solidFill>
          </w14:textFill>
        </w:rPr>
        <w:t>569</w:t>
      </w:r>
      <w:r>
        <w:rPr>
          <w:rFonts w:ascii="Times New Roman Regular" w:hAnsi="Times New Roman Regular" w:cs="Times New Roman Regular"/>
          <w:color w:val="000000" w:themeColor="text1"/>
          <w:szCs w:val="24"/>
          <w14:textFill>
            <w14:solidFill>
              <w14:schemeClr w14:val="tx1"/>
            </w14:solidFill>
          </w14:textFill>
        </w:rPr>
        <w:t>,</w:t>
      </w:r>
      <w:r>
        <w:rPr>
          <w:rFonts w:hint="eastAsia" w:ascii="Times New Roman Regular" w:hAnsi="Times New Roman Regular" w:cs="Times New Roman Regular"/>
          <w:color w:val="000000" w:themeColor="text1"/>
          <w:szCs w:val="24"/>
          <w:lang w:val="en-US" w:eastAsia="zh-CN"/>
          <w14:textFill>
            <w14:solidFill>
              <w14:schemeClr w14:val="tx1"/>
            </w14:solidFill>
          </w14:textFill>
        </w:rPr>
        <w:t>85</w:t>
      </w:r>
      <w:r>
        <w:rPr>
          <w:rFonts w:ascii="Times New Roman Regular" w:hAnsi="Times New Roman Regular" w:cs="Times New Roman Regular"/>
          <w:color w:val="000000" w:themeColor="text1"/>
          <w:szCs w:val="24"/>
          <w14:textFill>
            <w14:solidFill>
              <w14:schemeClr w14:val="tx1"/>
            </w14:solidFill>
          </w14:textFill>
        </w:rPr>
        <w:t>0</w:t>
      </w:r>
      <w:r>
        <w:rPr>
          <w:rFonts w:hint="eastAsia" w:ascii="Times New Roman Regular" w:hAnsi="Times New Roman Regular" w:cs="Times New Roman Regular"/>
          <w:color w:val="000000" w:themeColor="text1"/>
          <w:szCs w:val="24"/>
          <w14:textFill>
            <w14:solidFill>
              <w14:schemeClr w14:val="tx1"/>
            </w14:solidFill>
          </w14:textFill>
        </w:rPr>
        <w:t>.00</w:t>
      </w:r>
      <w:r>
        <w:rPr>
          <w:rFonts w:hint="eastAsia" w:cs="宋体"/>
          <w:color w:val="000000" w:themeColor="text1"/>
          <w:szCs w:val="24"/>
          <w14:textFill>
            <w14:solidFill>
              <w14:schemeClr w14:val="tx1"/>
            </w14:solidFill>
          </w14:textFill>
        </w:rPr>
        <w:t xml:space="preserve"> 元</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采购金额（最高限价）：</w:t>
      </w:r>
      <w:r>
        <w:rPr>
          <w:rFonts w:ascii="Times New Roman Regular" w:hAnsi="Times New Roman Regular" w:cs="Times New Roman Regular"/>
          <w:color w:val="000000" w:themeColor="text1"/>
          <w:szCs w:val="24"/>
          <w14:textFill>
            <w14:solidFill>
              <w14:schemeClr w14:val="tx1"/>
            </w14:solidFill>
          </w14:textFill>
        </w:rPr>
        <w:t>2,495,000</w:t>
      </w:r>
      <w:r>
        <w:rPr>
          <w:rFonts w:hint="eastAsia" w:ascii="Times New Roman Regular" w:hAnsi="Times New Roman Regular" w:cs="Times New Roman Regular"/>
          <w:color w:val="000000" w:themeColor="text1"/>
          <w:szCs w:val="24"/>
          <w14:textFill>
            <w14:solidFill>
              <w14:schemeClr w14:val="tx1"/>
            </w14:solidFill>
          </w14:textFill>
        </w:rPr>
        <w:t>.00</w:t>
      </w:r>
      <w:r>
        <w:rPr>
          <w:rFonts w:hint="eastAsia" w:cs="宋体"/>
          <w:color w:val="000000" w:themeColor="text1"/>
          <w:szCs w:val="24"/>
          <w14:textFill>
            <w14:solidFill>
              <w14:schemeClr w14:val="tx1"/>
            </w14:solidFill>
          </w14:textFill>
        </w:rPr>
        <w:t xml:space="preserve"> 元</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组织形式：集中采购</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采购方式：公开招标</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是否接受联合体投标：</w:t>
      </w:r>
      <w:r>
        <w:rPr>
          <w:rFonts w:hint="eastAsia"/>
          <w:color w:val="000000" w:themeColor="text1"/>
          <w14:textFill>
            <w14:solidFill>
              <w14:schemeClr w14:val="tx1"/>
            </w14:solidFill>
          </w14:textFill>
        </w:rPr>
        <w:t>否</w:t>
      </w:r>
    </w:p>
    <w:p>
      <w:pPr>
        <w:ind w:firstLine="482"/>
        <w:rPr>
          <w:color w:val="000000" w:themeColor="text1"/>
          <w14:textFill>
            <w14:solidFill>
              <w14:schemeClr w14:val="tx1"/>
            </w14:solidFill>
          </w14:textFill>
        </w:rPr>
      </w:pPr>
      <w:r>
        <w:rPr>
          <w:b/>
          <w:color w:val="000000" w:themeColor="text1"/>
          <w14:textFill>
            <w14:solidFill>
              <w14:schemeClr w14:val="tx1"/>
            </w14:solidFill>
          </w14:textFill>
        </w:rPr>
        <w:t>是否按信创要求建设：</w:t>
      </w:r>
      <w:r>
        <w:rPr>
          <w:rFonts w:hint="eastAsia"/>
          <w:color w:val="000000" w:themeColor="text1"/>
          <w14:textFill>
            <w14:solidFill>
              <w14:schemeClr w14:val="tx1"/>
            </w14:solidFill>
          </w14:textFill>
        </w:rPr>
        <w:t>是</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运维后所属大系统</w:t>
      </w:r>
      <w:r>
        <w:rPr>
          <w:rFonts w:hint="eastAsia"/>
          <w:color w:val="000000" w:themeColor="text1"/>
          <w14:textFill>
            <w14:solidFill>
              <w14:schemeClr w14:val="tx1"/>
            </w14:solidFill>
          </w14:textFill>
        </w:rPr>
        <w:t>：职业能力考试业务管理系统</w:t>
      </w:r>
    </w:p>
    <w:p>
      <w:pPr>
        <w:pStyle w:val="2"/>
        <w:spacing w:before="156"/>
        <w:rPr>
          <w:color w:val="000000" w:themeColor="text1"/>
          <w14:textFill>
            <w14:solidFill>
              <w14:schemeClr w14:val="tx1"/>
            </w14:solidFill>
          </w14:textFill>
        </w:rPr>
      </w:pPr>
      <w:bookmarkStart w:id="1" w:name="_Toc47532255"/>
      <w:bookmarkEnd w:id="1"/>
      <w:bookmarkStart w:id="2" w:name="_Toc47533256"/>
      <w:bookmarkEnd w:id="2"/>
      <w:bookmarkStart w:id="3" w:name="_Toc47536644"/>
      <w:bookmarkEnd w:id="3"/>
      <w:bookmarkStart w:id="4" w:name="_Toc47532891"/>
      <w:bookmarkEnd w:id="4"/>
      <w:bookmarkStart w:id="5" w:name="_Toc47537134"/>
      <w:bookmarkEnd w:id="5"/>
      <w:bookmarkStart w:id="6" w:name="_Toc47531634"/>
      <w:bookmarkEnd w:id="6"/>
      <w:bookmarkStart w:id="7" w:name="_Toc47536272"/>
      <w:bookmarkEnd w:id="7"/>
      <w:bookmarkStart w:id="8" w:name="_Toc47539070"/>
      <w:bookmarkEnd w:id="8"/>
      <w:bookmarkStart w:id="9" w:name="_Toc63785463"/>
      <w:bookmarkStart w:id="10" w:name="_Toc48223882"/>
      <w:r>
        <w:rPr>
          <w:rFonts w:hint="eastAsia"/>
          <w:color w:val="000000" w:themeColor="text1"/>
          <w14:textFill>
            <w14:solidFill>
              <w14:schemeClr w14:val="tx1"/>
            </w14:solidFill>
          </w14:textFill>
        </w:rPr>
        <w:t>建设目标</w:t>
      </w:r>
      <w:bookmarkEnd w:id="9"/>
      <w:bookmarkEnd w:id="10"/>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本项目旨在开发一个集成化的考务管理系统，</w:t>
      </w:r>
      <w:r>
        <w:rPr>
          <w:rFonts w:hint="eastAsia"/>
          <w:color w:val="000000" w:themeColor="text1"/>
          <w14:textFill>
            <w14:solidFill>
              <w14:schemeClr w14:val="tx1"/>
            </w14:solidFill>
          </w14:textFill>
        </w:rPr>
        <w:t>使用</w:t>
      </w:r>
      <w:r>
        <w:rPr>
          <w:color w:val="000000" w:themeColor="text1"/>
          <w14:textFill>
            <w14:solidFill>
              <w14:schemeClr w14:val="tx1"/>
            </w14:solidFill>
          </w14:textFill>
        </w:rPr>
        <w:t>数字化和自动化的手段，全方位提高考试组织管理效率和风险防范能力。</w:t>
      </w:r>
      <w:r>
        <w:rPr>
          <w:rFonts w:hint="eastAsia"/>
          <w:color w:val="000000" w:themeColor="text1"/>
          <w14:textFill>
            <w14:solidFill>
              <w14:schemeClr w14:val="tx1"/>
            </w14:solidFill>
          </w14:textFill>
        </w:rPr>
        <w:t>通过建设上海市人事考试考务管理系统，实现人事考试业务全生命周期管理。</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次建设重点解决考试院当前考试业务实施阶段的处理难题，实现人事考试事务从考试筹备阶段开始，贯穿考试前期准备、考区考点管理、考试实施、成绩管理、证书发放系列人事考试业务信息化，并对相关业务产生的数据和信息进行归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希望通过本期建设，在考试实施阶段充分发挥上海市职业能力考试院考试指挥中心职能，实现考试信息实时反馈监控、特殊情况实时指挥、突发情况应急处理；对内实现考试院内容事务高效处理，信息高速流转，业务快速处理；对外实现对考区考点、考务人员、考试专家的服务管理；建设人事考试数据资源库，汇集人事考试考务人员、考试专家、考区考点、考试项目等各类基础信息，实现对各类人事考试数据的集中存储、传输交换、综合查询、统计分析、可视化展现及深度挖掘等功能，为各级考试机构和有关部门研判形势、决策部署提供数据支撑。</w:t>
      </w:r>
    </w:p>
    <w:p>
      <w:pPr>
        <w:pStyle w:val="2"/>
        <w:spacing w:before="156"/>
        <w:rPr>
          <w:color w:val="000000" w:themeColor="text1"/>
          <w14:textFill>
            <w14:solidFill>
              <w14:schemeClr w14:val="tx1"/>
            </w14:solidFill>
          </w14:textFill>
        </w:rPr>
      </w:pPr>
      <w:bookmarkStart w:id="11" w:name="_Toc47536304"/>
      <w:bookmarkEnd w:id="11"/>
      <w:bookmarkStart w:id="12" w:name="_Toc47536676"/>
      <w:bookmarkEnd w:id="12"/>
      <w:bookmarkStart w:id="13" w:name="_Toc47532923"/>
      <w:bookmarkEnd w:id="13"/>
      <w:bookmarkStart w:id="14" w:name="_Toc47539102"/>
      <w:bookmarkEnd w:id="14"/>
      <w:bookmarkStart w:id="15" w:name="_Toc47533288"/>
      <w:bookmarkEnd w:id="15"/>
      <w:bookmarkStart w:id="16" w:name="_Toc47537166"/>
      <w:bookmarkEnd w:id="16"/>
      <w:r>
        <w:rPr>
          <w:rFonts w:hint="eastAsia"/>
          <w:color w:val="000000" w:themeColor="text1"/>
          <w14:textFill>
            <w14:solidFill>
              <w14:schemeClr w14:val="tx1"/>
            </w14:solidFill>
          </w14:textFill>
        </w:rPr>
        <w:t>项目建设内容</w:t>
      </w:r>
    </w:p>
    <w:p>
      <w:pPr>
        <w:pStyle w:val="3"/>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软件开发清单</w:t>
      </w:r>
    </w:p>
    <w:tbl>
      <w:tblPr>
        <w:tblStyle w:val="18"/>
        <w:tblW w:w="0" w:type="auto"/>
        <w:tblInd w:w="0" w:type="dxa"/>
        <w:tblLayout w:type="fixed"/>
        <w:tblCellMar>
          <w:top w:w="0" w:type="dxa"/>
          <w:left w:w="108" w:type="dxa"/>
          <w:bottom w:w="0" w:type="dxa"/>
          <w:right w:w="108" w:type="dxa"/>
        </w:tblCellMar>
      </w:tblPr>
      <w:tblGrid>
        <w:gridCol w:w="562"/>
        <w:gridCol w:w="993"/>
        <w:gridCol w:w="2409"/>
        <w:gridCol w:w="4332"/>
      </w:tblGrid>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b/>
                <w:bCs/>
                <w:color w:val="000000" w:themeColor="text1"/>
                <w:kern w:val="0"/>
                <w:szCs w:val="24"/>
                <w14:textFill>
                  <w14:solidFill>
                    <w14:schemeClr w14:val="tx1"/>
                  </w14:solidFill>
                </w14:textFill>
              </w:rPr>
            </w:pPr>
            <w:r>
              <w:rPr>
                <w:rFonts w:hint="eastAsia" w:cs="宋体"/>
                <w:b/>
                <w:bCs/>
                <w:color w:val="000000" w:themeColor="text1"/>
                <w:kern w:val="0"/>
                <w:szCs w:val="24"/>
                <w14:textFill>
                  <w14:solidFill>
                    <w14:schemeClr w14:val="tx1"/>
                  </w14:solidFill>
                </w14:textFill>
              </w:rPr>
              <w:t>序号</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b/>
                <w:bCs/>
                <w:color w:val="000000" w:themeColor="text1"/>
                <w:kern w:val="0"/>
                <w:szCs w:val="24"/>
                <w14:textFill>
                  <w14:solidFill>
                    <w14:schemeClr w14:val="tx1"/>
                  </w14:solidFill>
                </w14:textFill>
              </w:rPr>
            </w:pPr>
            <w:r>
              <w:rPr>
                <w:rFonts w:hint="eastAsia" w:cs="宋体"/>
                <w:b/>
                <w:bCs/>
                <w:color w:val="000000" w:themeColor="text1"/>
                <w:kern w:val="0"/>
                <w:szCs w:val="24"/>
                <w14:textFill>
                  <w14:solidFill>
                    <w14:schemeClr w14:val="tx1"/>
                  </w14:solidFill>
                </w14:textFill>
              </w:rPr>
              <w:t>应用系统名称</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b/>
                <w:bCs/>
                <w:color w:val="000000" w:themeColor="text1"/>
                <w:kern w:val="0"/>
                <w:szCs w:val="24"/>
                <w14:textFill>
                  <w14:solidFill>
                    <w14:schemeClr w14:val="tx1"/>
                  </w14:solidFill>
                </w14:textFill>
              </w:rPr>
            </w:pPr>
            <w:r>
              <w:rPr>
                <w:rFonts w:hint="eastAsia" w:cs="宋体"/>
                <w:b/>
                <w:bCs/>
                <w:color w:val="000000" w:themeColor="text1"/>
                <w:kern w:val="0"/>
                <w:szCs w:val="24"/>
                <w14:textFill>
                  <w14:solidFill>
                    <w14:schemeClr w14:val="tx1"/>
                  </w14:solidFill>
                </w14:textFill>
              </w:rPr>
              <w:t>模块名称</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宋体"/>
                <w:b/>
                <w:bCs/>
                <w:color w:val="000000" w:themeColor="text1"/>
                <w:kern w:val="0"/>
                <w:szCs w:val="24"/>
                <w14:textFill>
                  <w14:solidFill>
                    <w14:schemeClr w14:val="tx1"/>
                  </w14:solidFill>
                </w14:textFill>
              </w:rPr>
            </w:pPr>
            <w:r>
              <w:rPr>
                <w:rFonts w:hint="eastAsia" w:cs="宋体"/>
                <w:b/>
                <w:bCs/>
                <w:color w:val="000000" w:themeColor="text1"/>
                <w:kern w:val="0"/>
                <w:szCs w:val="24"/>
                <w14:textFill>
                  <w14:solidFill>
                    <w14:schemeClr w14:val="tx1"/>
                  </w14:solidFill>
                </w14:textFill>
              </w:rPr>
              <w:t>模块描述</w:t>
            </w:r>
          </w:p>
        </w:tc>
      </w:tr>
      <w:tr>
        <w:tblPrEx>
          <w:tblCellMar>
            <w:top w:w="0" w:type="dxa"/>
            <w:left w:w="108" w:type="dxa"/>
            <w:bottom w:w="0" w:type="dxa"/>
            <w:right w:w="108" w:type="dxa"/>
          </w:tblCellMar>
        </w:tblPrEx>
        <w:trPr>
          <w:cantSplit/>
          <w:trHeight w:val="3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考务管理</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考试项目管理-考试项目筹备管理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提供考试项目信息管理，流程管理，人员邀请管理，内部工作流管理，信息上报等功能。</w:t>
            </w:r>
          </w:p>
        </w:tc>
      </w:tr>
      <w:tr>
        <w:tblPrEx>
          <w:tblCellMar>
            <w:top w:w="0" w:type="dxa"/>
            <w:left w:w="108" w:type="dxa"/>
            <w:bottom w:w="0" w:type="dxa"/>
            <w:right w:w="108" w:type="dxa"/>
          </w:tblCellMar>
        </w:tblPrEx>
        <w:trPr>
          <w:cantSplit/>
          <w:trHeight w:val="56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考试项目管理-考试项目启动管理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提供考试项目考生报名信息管理，考场分配管理，考场编排信息管理，准考证信息管理，考务信息备案，项目人员选派等功能。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考试项目管理-考试项目实施管理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提供考试保障信息管理，考试事件管理</w:t>
            </w:r>
            <w:r>
              <w:rPr>
                <w:rFonts w:cs="宋体"/>
                <w:color w:val="000000" w:themeColor="text1"/>
                <w:kern w:val="0"/>
                <w:szCs w:val="24"/>
                <w14:textFill>
                  <w14:solidFill>
                    <w14:schemeClr w14:val="tx1"/>
                  </w14:solidFill>
                </w14:textFill>
              </w:rPr>
              <w:t>，</w:t>
            </w:r>
            <w:r>
              <w:rPr>
                <w:rFonts w:hint="eastAsia" w:cs="宋体"/>
                <w:color w:val="000000" w:themeColor="text1"/>
                <w:kern w:val="0"/>
                <w:szCs w:val="24"/>
                <w14:textFill>
                  <w14:solidFill>
                    <w14:schemeClr w14:val="tx1"/>
                  </w14:solidFill>
                </w14:textFill>
              </w:rPr>
              <w:t>考试</w:t>
            </w:r>
            <w:r>
              <w:rPr>
                <w:rFonts w:cs="宋体"/>
                <w:color w:val="000000" w:themeColor="text1"/>
                <w:kern w:val="0"/>
                <w:szCs w:val="24"/>
                <w14:textFill>
                  <w14:solidFill>
                    <w14:schemeClr w14:val="tx1"/>
                  </w14:solidFill>
                </w14:textFill>
              </w:rPr>
              <w:t>成绩管理，证书管理</w:t>
            </w:r>
            <w:r>
              <w:rPr>
                <w:rFonts w:hint="eastAsia" w:cs="宋体"/>
                <w:color w:val="000000" w:themeColor="text1"/>
                <w:kern w:val="0"/>
                <w:szCs w:val="24"/>
                <w14:textFill>
                  <w14:solidFill>
                    <w14:schemeClr w14:val="tx1"/>
                  </w14:solidFill>
                </w14:textFill>
              </w:rPr>
              <w:t>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4</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olor w:val="000000" w:themeColor="text1"/>
                <w14:textFill>
                  <w14:solidFill>
                    <w14:schemeClr w14:val="tx1"/>
                  </w14:solidFill>
                </w14:textFill>
              </w:rPr>
              <w:t>考试项目管理-考试项目完结管理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提供项目资料归档，完结项目资料管理，项目资料查询导出等功能。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5</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考试项目管理-考试项目进度管理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提供考试项目总体及单项情况、进度的显示和查看功能，以短信方式对重要时间节点实时提醒。</w:t>
            </w:r>
          </w:p>
        </w:tc>
      </w:tr>
      <w:tr>
        <w:tblPrEx>
          <w:tblCellMar>
            <w:top w:w="0" w:type="dxa"/>
            <w:left w:w="108" w:type="dxa"/>
            <w:bottom w:w="0" w:type="dxa"/>
            <w:right w:w="108" w:type="dxa"/>
          </w:tblCellMar>
        </w:tblPrEx>
        <w:trPr>
          <w:cantSplit/>
          <w:trHeight w:val="56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6</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考试项目管理-考试项目试卷管理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提供试卷预定、入库、保管、出库、交接、启用、回收、扫描、销毁信息记录等功能。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7</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考试项目管理-咨询管理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提供考试咨询问题管理，咨询信息</w:t>
            </w:r>
            <w:r>
              <w:rPr>
                <w:rFonts w:cs="宋体"/>
                <w:color w:val="000000" w:themeColor="text1"/>
                <w:kern w:val="0"/>
                <w:szCs w:val="24"/>
                <w14:textFill>
                  <w14:solidFill>
                    <w14:schemeClr w14:val="tx1"/>
                  </w14:solidFill>
                </w14:textFill>
              </w:rPr>
              <w:t>查询</w:t>
            </w:r>
            <w:r>
              <w:rPr>
                <w:rFonts w:hint="eastAsia" w:cs="宋体"/>
                <w:color w:val="000000" w:themeColor="text1"/>
                <w:kern w:val="0"/>
                <w:szCs w:val="24"/>
                <w14:textFill>
                  <w14:solidFill>
                    <w14:schemeClr w14:val="tx1"/>
                  </w14:solidFill>
                </w14:textFill>
              </w:rPr>
              <w:t>，咨询电话系统对接管理等功能。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8</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考区考点管理-考区信息管理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提供考区信息新增、编辑、删除、变更审核、查询等功能。</w:t>
            </w:r>
          </w:p>
        </w:tc>
      </w:tr>
      <w:tr>
        <w:tblPrEx>
          <w:tblCellMar>
            <w:top w:w="0" w:type="dxa"/>
            <w:left w:w="108" w:type="dxa"/>
            <w:bottom w:w="0" w:type="dxa"/>
            <w:right w:w="108" w:type="dxa"/>
          </w:tblCellMar>
        </w:tblPrEx>
        <w:trPr>
          <w:cantSplit/>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9</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考区考点管理-考点信息管理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提供考点信息新增、编辑、删除、变更审核、查询等功能。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10</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考区考点管理-考场信息管理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提供考场信息新增、编辑、删除、变更审核、查询等功能。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11</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考区考点管理-考区考点信息导入导出管理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提供考区考点考场信息文件（Excel）导入与导出等功能。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12</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考务人员管理-考务人员信息管理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提供考务人员信息新增、编辑、删除、查询、信息审核等功能。</w:t>
            </w:r>
          </w:p>
        </w:tc>
      </w:tr>
      <w:tr>
        <w:tblPrEx>
          <w:tblCellMar>
            <w:top w:w="0" w:type="dxa"/>
            <w:left w:w="108" w:type="dxa"/>
            <w:bottom w:w="0" w:type="dxa"/>
            <w:right w:w="108" w:type="dxa"/>
          </w:tblCellMar>
        </w:tblPrEx>
        <w:trPr>
          <w:cantSplit/>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13</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考务人员管理-考务人员培训考核</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提供培训资料，在线培训，培训信息查询，资格考核管理，岗前考核管理，考核信息查询，考核有效期管理等功能。</w:t>
            </w:r>
          </w:p>
        </w:tc>
      </w:tr>
      <w:tr>
        <w:tblPrEx>
          <w:tblCellMar>
            <w:top w:w="0" w:type="dxa"/>
            <w:left w:w="108" w:type="dxa"/>
            <w:bottom w:w="0" w:type="dxa"/>
            <w:right w:w="108" w:type="dxa"/>
          </w:tblCellMar>
        </w:tblPrEx>
        <w:trPr>
          <w:cantSplit/>
          <w:trHeight w:val="59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14</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考务人员管理-考务人员个人中心</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提供考务人员身份认证，考务考试信息查询，考务工作安排，考务费用查询等功能。</w:t>
            </w:r>
          </w:p>
        </w:tc>
      </w:tr>
      <w:tr>
        <w:tblPrEx>
          <w:tblCellMar>
            <w:top w:w="0" w:type="dxa"/>
            <w:left w:w="108" w:type="dxa"/>
            <w:bottom w:w="0" w:type="dxa"/>
            <w:right w:w="108" w:type="dxa"/>
          </w:tblCellMar>
        </w:tblPrEx>
        <w:trPr>
          <w:cantSplit/>
          <w:trHeight w:val="112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15</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考试专家管理-专家信息管理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提供专家信息新增、编辑、删除、查询、信息审核、参考记录等功能。</w:t>
            </w:r>
          </w:p>
        </w:tc>
      </w:tr>
      <w:tr>
        <w:tblPrEx>
          <w:tblCellMar>
            <w:top w:w="0" w:type="dxa"/>
            <w:left w:w="108" w:type="dxa"/>
            <w:bottom w:w="0" w:type="dxa"/>
            <w:right w:w="108" w:type="dxa"/>
          </w:tblCellMar>
        </w:tblPrEx>
        <w:trPr>
          <w:cantSplit/>
          <w:trHeight w:val="112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16</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考试专家管理-专家培训考核</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提供专家推荐，专家确认，专家资格审查，专家有效期管理等功能。</w:t>
            </w:r>
          </w:p>
        </w:tc>
      </w:tr>
      <w:tr>
        <w:tblPrEx>
          <w:tblCellMar>
            <w:top w:w="0" w:type="dxa"/>
            <w:left w:w="108" w:type="dxa"/>
            <w:bottom w:w="0" w:type="dxa"/>
            <w:right w:w="108" w:type="dxa"/>
          </w:tblCellMar>
        </w:tblPrEx>
        <w:trPr>
          <w:cantSplit/>
          <w:trHeight w:val="84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17</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考试专家管理-专家个人中心</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提供专家身份认证，专家参考信息查询，考务工作安排，考务费用查询等功能。</w:t>
            </w:r>
          </w:p>
        </w:tc>
      </w:tr>
      <w:tr>
        <w:tblPrEx>
          <w:tblCellMar>
            <w:top w:w="0" w:type="dxa"/>
            <w:left w:w="108" w:type="dxa"/>
            <w:bottom w:w="0" w:type="dxa"/>
            <w:right w:w="108" w:type="dxa"/>
          </w:tblCellMar>
        </w:tblPrEx>
        <w:trPr>
          <w:cantSplit/>
          <w:trHeight w:val="3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18</w:t>
            </w:r>
          </w:p>
        </w:tc>
        <w:tc>
          <w:tcPr>
            <w:tcW w:w="993" w:type="dxa"/>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考试费用管理-考区考点费用管理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提供考区考点费用设置、计算、发放等功能。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19</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考试费用管理-考务人员费用管理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提供考务人员费用设置、计算、发放等功能。</w:t>
            </w:r>
          </w:p>
        </w:tc>
      </w:tr>
      <w:tr>
        <w:tblPrEx>
          <w:tblCellMar>
            <w:top w:w="0" w:type="dxa"/>
            <w:left w:w="108" w:type="dxa"/>
            <w:bottom w:w="0" w:type="dxa"/>
            <w:right w:w="108" w:type="dxa"/>
          </w:tblCellMar>
        </w:tblPrEx>
        <w:trPr>
          <w:cantSplit/>
          <w:trHeight w:val="3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20</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考试费用管理-专家费用管理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提供专家费用设置、计算、发放等功能。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21</w:t>
            </w:r>
          </w:p>
        </w:tc>
        <w:tc>
          <w:tcPr>
            <w:tcW w:w="993"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考试费用管理-其它相关费用管理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提供费用发放信息更正，税费设置，税费测算等功能。</w:t>
            </w:r>
          </w:p>
        </w:tc>
      </w:tr>
      <w:tr>
        <w:tblPrEx>
          <w:tblCellMar>
            <w:top w:w="0" w:type="dxa"/>
            <w:left w:w="108" w:type="dxa"/>
            <w:bottom w:w="0" w:type="dxa"/>
            <w:right w:w="108" w:type="dxa"/>
          </w:tblCellMar>
        </w:tblPrEx>
        <w:trPr>
          <w:cantSplit/>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22</w:t>
            </w:r>
          </w:p>
        </w:tc>
        <w:tc>
          <w:tcPr>
            <w:tcW w:w="993"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考试费用管理-项目费用管理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提供项目费用统计，分析，报表等功能。</w:t>
            </w:r>
          </w:p>
        </w:tc>
      </w:tr>
      <w:tr>
        <w:tblPrEx>
          <w:tblCellMar>
            <w:top w:w="0" w:type="dxa"/>
            <w:left w:w="108" w:type="dxa"/>
            <w:bottom w:w="0" w:type="dxa"/>
            <w:right w:w="108" w:type="dxa"/>
          </w:tblCellMar>
        </w:tblPrEx>
        <w:trPr>
          <w:cantSplit/>
          <w:trHeight w:val="938"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23</w:t>
            </w:r>
          </w:p>
        </w:tc>
        <w:tc>
          <w:tcPr>
            <w:tcW w:w="993" w:type="dxa"/>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公共管理-用户管理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提供系统内的用户账号管理，新建账号，设置账号名称密码，管理人员姓名，联系电话，照片等用户人员基本信息登记等功能。</w:t>
            </w:r>
          </w:p>
        </w:tc>
      </w:tr>
      <w:tr>
        <w:tblPrEx>
          <w:tblCellMar>
            <w:top w:w="0" w:type="dxa"/>
            <w:left w:w="108" w:type="dxa"/>
            <w:bottom w:w="0" w:type="dxa"/>
            <w:right w:w="108" w:type="dxa"/>
          </w:tblCellMar>
        </w:tblPrEx>
        <w:trPr>
          <w:cantSplit/>
          <w:trHeight w:val="3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24</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公共管理-角色管理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提供系统中的身份角色管理等功能。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25</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公共管理-权限管理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提供系统中的常规，按钮，数据，以及部门操作权限管理等功能。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26</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公共管理-部门管理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提供管理部门、组织结构、部门权限，设置部门名称，新建用户时勾选部门名称等功能。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27</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公共管理-短信管理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提供短信模板设置，短信发送统计等功能。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28</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公共管理-邮件管理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提供邮件模板设置等功能。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29</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公共管理-数据字典</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提供系统中常用的一些数据项管理等功能。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30</w:t>
            </w:r>
          </w:p>
        </w:tc>
        <w:tc>
          <w:tcPr>
            <w:tcW w:w="993"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公共管理-数据共享</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提供与相关部门进行数据交互共享平台，用于调用考试管理的跨层级事项中学历学位证书和认证报告信息、社会保险缴费记录、居住证、户籍等数据信息调用，数据信息共享等功能。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31</w:t>
            </w:r>
          </w:p>
        </w:tc>
        <w:tc>
          <w:tcPr>
            <w:tcW w:w="993"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公共管理-日志管理</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提供后台管理日志，业务操作日志，接口事件日志等功能。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32</w:t>
            </w:r>
          </w:p>
        </w:tc>
        <w:tc>
          <w:tcPr>
            <w:tcW w:w="993"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人事</w:t>
            </w:r>
            <w:r>
              <w:rPr>
                <w:rFonts w:cs="宋体"/>
                <w:color w:val="000000" w:themeColor="text1"/>
                <w:kern w:val="0"/>
                <w:szCs w:val="24"/>
                <w14:textFill>
                  <w14:solidFill>
                    <w14:schemeClr w14:val="tx1"/>
                  </w14:solidFill>
                </w14:textFill>
              </w:rPr>
              <w:t>考试</w:t>
            </w:r>
            <w:r>
              <w:rPr>
                <w:rFonts w:hint="eastAsia" w:cs="宋体"/>
                <w:color w:val="000000" w:themeColor="text1"/>
                <w:kern w:val="0"/>
                <w:szCs w:val="24"/>
                <w14:textFill>
                  <w14:solidFill>
                    <w14:schemeClr w14:val="tx1"/>
                  </w14:solidFill>
                </w14:textFill>
              </w:rPr>
              <w:t>数据驾驶舱</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考试项目流程状态统计页</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提供考试项目不同流程的各项统计数据的分区块展示，基于图形、列表等形式的数据展示等功能。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33</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实时考场监控数据页</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提供基于图形、列表以及基础数据的考场监控情况展示功能。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34</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考场监考数据明细页</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提供考试名称，考试考务人员情况，考试人员缺考情况，考试项目事件信息等数据的数据展示功能。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35</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实施考场监控视频页</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提供当前考场监控视频展示功能。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36</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考场事件数据统计页</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提供事件类型统计，已处理统计，未处理统计等考场各类事件的统计数据的数据展示功能。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37</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考场事件详细数据统计页</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提供考试考场信息、事件类型、事件内容、事件状态、事件视频、事件处理结果、事件原因等特定事件所有相关信息的数据展示功能。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38</w:t>
            </w:r>
          </w:p>
        </w:tc>
        <w:tc>
          <w:tcPr>
            <w:tcW w:w="993"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考场应急处理管理页</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提供紧急突发事件的特殊短信及邮件指挥处理，系统记录等功能。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39</w:t>
            </w:r>
          </w:p>
        </w:tc>
        <w:tc>
          <w:tcPr>
            <w:tcW w:w="993"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人事</w:t>
            </w:r>
            <w:r>
              <w:rPr>
                <w:rFonts w:cs="宋体"/>
                <w:color w:val="000000" w:themeColor="text1"/>
                <w:kern w:val="0"/>
                <w:szCs w:val="24"/>
                <w14:textFill>
                  <w14:solidFill>
                    <w14:schemeClr w14:val="tx1"/>
                  </w14:solidFill>
                </w14:textFill>
              </w:rPr>
              <w:t>考试数据资源库</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考务人员数据信息库</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提供项目名称，负责人，考试时间，考试事件信息，监考情况，人员统计情况，考核情况等考务人员参与考试项目数据信息的关键字调取数据查看功能。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40</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专家数据信息库</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提供项目名称，负责人，考试时间，考试事件信息，阅卷情况，考核情况等专家参与考试项目数据信息的的关键字调取数据查看等功能。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41</w:t>
            </w:r>
          </w:p>
        </w:tc>
        <w:tc>
          <w:tcPr>
            <w:tcW w:w="993" w:type="dxa"/>
            <w:vMerge w:val="continue"/>
            <w:tcBorders>
              <w:left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考区考点数据信息库</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提供考区、考点考场名称、地址，考试场所建设情况信息，考试事件信息，考试项目举办情况，负责人等考试涉及到的考区、考点及考场的数据信息的关键字调取数据查看功能。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42</w:t>
            </w:r>
          </w:p>
        </w:tc>
        <w:tc>
          <w:tcPr>
            <w:tcW w:w="993"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考试项目数据信息库</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提供项目名称，负责人，考试时间，考试事件信息，报名人员，成绩，证书等数据信息关键字调取查看，统计分析，大屏可视化展示等功能。</w:t>
            </w:r>
          </w:p>
        </w:tc>
      </w:tr>
      <w:tr>
        <w:tblPrEx>
          <w:tblCellMar>
            <w:top w:w="0" w:type="dxa"/>
            <w:left w:w="108" w:type="dxa"/>
            <w:bottom w:w="0" w:type="dxa"/>
            <w:right w:w="108" w:type="dxa"/>
          </w:tblCellMar>
        </w:tblPrEx>
        <w:trPr>
          <w:cantSplit/>
          <w:trHeight w:val="60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43</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密码应用</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密码应用方案</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cs="宋体"/>
                <w:color w:val="000000" w:themeColor="text1"/>
                <w:kern w:val="0"/>
                <w:szCs w:val="24"/>
                <w14:textFill>
                  <w14:solidFill>
                    <w14:schemeClr w14:val="tx1"/>
                  </w14:solidFill>
                </w14:textFill>
              </w:rPr>
            </w:pPr>
          </w:p>
        </w:tc>
      </w:tr>
    </w:tbl>
    <w:p>
      <w:pPr>
        <w:ind w:firstLine="480"/>
        <w:rPr>
          <w:color w:val="000000" w:themeColor="text1"/>
          <w:highlight w:val="yellow"/>
          <w14:textFill>
            <w14:solidFill>
              <w14:schemeClr w14:val="tx1"/>
            </w14:solidFill>
          </w14:textFill>
        </w:rPr>
      </w:pPr>
    </w:p>
    <w:p>
      <w:pPr>
        <w:pStyle w:val="3"/>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技术指标</w:t>
      </w:r>
    </w:p>
    <w:tbl>
      <w:tblPr>
        <w:tblStyle w:val="18"/>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60"/>
        <w:gridCol w:w="1222"/>
        <w:gridCol w:w="3338"/>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Align w:val="center"/>
          </w:tcPr>
          <w:p>
            <w:pPr>
              <w:pStyle w:val="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一级指标</w:t>
            </w:r>
          </w:p>
        </w:tc>
        <w:tc>
          <w:tcPr>
            <w:tcW w:w="724" w:type="pct"/>
            <w:vAlign w:val="center"/>
          </w:tcPr>
          <w:p>
            <w:pPr>
              <w:pStyle w:val="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二级指标</w:t>
            </w:r>
          </w:p>
        </w:tc>
        <w:tc>
          <w:tcPr>
            <w:tcW w:w="1978" w:type="pct"/>
            <w:vAlign w:val="center"/>
          </w:tcPr>
          <w:p>
            <w:pPr>
              <w:pStyle w:val="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三级指标</w:t>
            </w:r>
          </w:p>
        </w:tc>
        <w:tc>
          <w:tcPr>
            <w:tcW w:w="1611" w:type="pct"/>
            <w:vAlign w:val="center"/>
          </w:tcPr>
          <w:p>
            <w:pPr>
              <w:pStyle w:val="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Merge w:val="restar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产出指标</w:t>
            </w:r>
          </w:p>
        </w:tc>
        <w:tc>
          <w:tcPr>
            <w:tcW w:w="724" w:type="pct"/>
            <w:vMerge w:val="restar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数量指标</w:t>
            </w:r>
          </w:p>
        </w:tc>
        <w:tc>
          <w:tcPr>
            <w:tcW w:w="1978" w:type="pct"/>
            <w:vAlign w:val="bottom"/>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年访问量，按独立UV计算</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约</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万人次/年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Merge w:val="continue"/>
            <w:vAlign w:val="center"/>
          </w:tcPr>
          <w:p>
            <w:pPr>
              <w:pStyle w:val="15"/>
              <w:rPr>
                <w:color w:val="000000" w:themeColor="text1"/>
                <w:sz w:val="24"/>
                <w:szCs w:val="24"/>
                <w14:textFill>
                  <w14:solidFill>
                    <w14:schemeClr w14:val="tx1"/>
                  </w14:solidFill>
                </w14:textFill>
              </w:rPr>
            </w:pPr>
          </w:p>
        </w:tc>
        <w:tc>
          <w:tcPr>
            <w:tcW w:w="724" w:type="pct"/>
            <w:vMerge w:val="continue"/>
            <w:vAlign w:val="center"/>
          </w:tcPr>
          <w:p>
            <w:pPr>
              <w:pStyle w:val="15"/>
              <w:rPr>
                <w:color w:val="000000" w:themeColor="text1"/>
                <w:sz w:val="24"/>
                <w:szCs w:val="24"/>
                <w14:textFill>
                  <w14:solidFill>
                    <w14:schemeClr w14:val="tx1"/>
                  </w14:solidFill>
                </w14:textFill>
              </w:rPr>
            </w:pPr>
          </w:p>
        </w:tc>
        <w:tc>
          <w:tcPr>
            <w:tcW w:w="1978"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年业务总使用量</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年业务量估算约</w:t>
            </w:r>
            <w:r>
              <w:rPr>
                <w:rFonts w:hint="eastAsia"/>
                <w:color w:val="000000" w:themeColor="text1"/>
                <w:sz w:val="24"/>
                <w:szCs w:val="24"/>
                <w14:textFill>
                  <w14:solidFill>
                    <w14:schemeClr w14:val="tx1"/>
                  </w14:solidFill>
                </w14:textFill>
              </w:rPr>
              <w:t>80</w:t>
            </w:r>
            <w:r>
              <w:rPr>
                <w:color w:val="000000" w:themeColor="text1"/>
                <w:sz w:val="24"/>
                <w:szCs w:val="24"/>
                <w14:textFill>
                  <w14:solidFill>
                    <w14:schemeClr w14:val="tx1"/>
                  </w14:solidFill>
                </w14:textFill>
              </w:rPr>
              <w:t>万笔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Merge w:val="continue"/>
            <w:vAlign w:val="center"/>
          </w:tcPr>
          <w:p>
            <w:pPr>
              <w:pStyle w:val="15"/>
              <w:rPr>
                <w:color w:val="000000" w:themeColor="text1"/>
                <w:sz w:val="24"/>
                <w:szCs w:val="24"/>
                <w14:textFill>
                  <w14:solidFill>
                    <w14:schemeClr w14:val="tx1"/>
                  </w14:solidFill>
                </w14:textFill>
              </w:rPr>
            </w:pPr>
          </w:p>
        </w:tc>
        <w:tc>
          <w:tcPr>
            <w:tcW w:w="724" w:type="pct"/>
            <w:vMerge w:val="continue"/>
            <w:vAlign w:val="center"/>
          </w:tcPr>
          <w:p>
            <w:pPr>
              <w:pStyle w:val="15"/>
              <w:rPr>
                <w:color w:val="000000" w:themeColor="text1"/>
                <w:sz w:val="24"/>
                <w:szCs w:val="24"/>
                <w14:textFill>
                  <w14:solidFill>
                    <w14:schemeClr w14:val="tx1"/>
                  </w14:solidFill>
                </w14:textFill>
              </w:rPr>
            </w:pPr>
          </w:p>
        </w:tc>
        <w:tc>
          <w:tcPr>
            <w:tcW w:w="1978"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项目及业务数据管理</w:t>
            </w:r>
            <w:r>
              <w:rPr>
                <w:color w:val="000000" w:themeColor="text1"/>
                <w:sz w:val="24"/>
                <w:szCs w:val="24"/>
                <w14:textFill>
                  <w14:solidFill>
                    <w14:schemeClr w14:val="tx1"/>
                  </w14:solidFill>
                </w14:textFill>
              </w:rPr>
              <w:t>功能使用量</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约</w:t>
            </w:r>
            <w:r>
              <w:rPr>
                <w:rFonts w:hint="eastAsia"/>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t>万笔/年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Merge w:val="continue"/>
            <w:vAlign w:val="center"/>
          </w:tcPr>
          <w:p>
            <w:pPr>
              <w:pStyle w:val="15"/>
              <w:rPr>
                <w:color w:val="000000" w:themeColor="text1"/>
                <w:sz w:val="24"/>
                <w:szCs w:val="24"/>
                <w14:textFill>
                  <w14:solidFill>
                    <w14:schemeClr w14:val="tx1"/>
                  </w14:solidFill>
                </w14:textFill>
              </w:rPr>
            </w:pPr>
          </w:p>
        </w:tc>
        <w:tc>
          <w:tcPr>
            <w:tcW w:w="724" w:type="pct"/>
            <w:vMerge w:val="continue"/>
            <w:vAlign w:val="center"/>
          </w:tcPr>
          <w:p>
            <w:pPr>
              <w:pStyle w:val="15"/>
              <w:rPr>
                <w:color w:val="000000" w:themeColor="text1"/>
                <w:sz w:val="24"/>
                <w:szCs w:val="24"/>
                <w14:textFill>
                  <w14:solidFill>
                    <w14:schemeClr w14:val="tx1"/>
                  </w14:solidFill>
                </w14:textFill>
              </w:rPr>
            </w:pPr>
          </w:p>
        </w:tc>
        <w:tc>
          <w:tcPr>
            <w:tcW w:w="1978"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数据分析应用功能</w:t>
            </w:r>
            <w:r>
              <w:rPr>
                <w:color w:val="000000" w:themeColor="text1"/>
                <w:sz w:val="24"/>
                <w:szCs w:val="24"/>
                <w14:textFill>
                  <w14:solidFill>
                    <w14:schemeClr w14:val="tx1"/>
                  </w14:solidFill>
                </w14:textFill>
              </w:rPr>
              <w:t>使用量</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约</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万笔/年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Merge w:val="continue"/>
            <w:vAlign w:val="center"/>
          </w:tcPr>
          <w:p>
            <w:pPr>
              <w:pStyle w:val="15"/>
              <w:rPr>
                <w:color w:val="000000" w:themeColor="text1"/>
                <w:sz w:val="24"/>
                <w:szCs w:val="24"/>
                <w14:textFill>
                  <w14:solidFill>
                    <w14:schemeClr w14:val="tx1"/>
                  </w14:solidFill>
                </w14:textFill>
              </w:rPr>
            </w:pPr>
          </w:p>
        </w:tc>
        <w:tc>
          <w:tcPr>
            <w:tcW w:w="72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质量指标</w:t>
            </w:r>
          </w:p>
        </w:tc>
        <w:tc>
          <w:tcPr>
            <w:tcW w:w="1978"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验收合格率</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Merge w:val="continue"/>
            <w:vAlign w:val="center"/>
          </w:tcPr>
          <w:p>
            <w:pPr>
              <w:pStyle w:val="15"/>
              <w:rPr>
                <w:color w:val="000000" w:themeColor="text1"/>
                <w:sz w:val="24"/>
                <w:szCs w:val="24"/>
                <w14:textFill>
                  <w14:solidFill>
                    <w14:schemeClr w14:val="tx1"/>
                  </w14:solidFill>
                </w14:textFill>
              </w:rPr>
            </w:pPr>
          </w:p>
        </w:tc>
        <w:tc>
          <w:tcPr>
            <w:tcW w:w="72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时效指标</w:t>
            </w:r>
          </w:p>
        </w:tc>
        <w:tc>
          <w:tcPr>
            <w:tcW w:w="1978"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项目实施进度</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招标结束后</w:t>
            </w:r>
            <w:r>
              <w:rPr>
                <w:rFonts w:hint="eastAsia"/>
                <w:color w:val="000000" w:themeColor="text1"/>
                <w:sz w:val="24"/>
                <w:szCs w:val="24"/>
                <w14:textFill>
                  <w14:solidFill>
                    <w14:schemeClr w14:val="tx1"/>
                  </w14:solidFill>
                </w14:textFill>
              </w:rPr>
              <w:t>合同签订后9</w:t>
            </w:r>
            <w:r>
              <w:rPr>
                <w:color w:val="000000" w:themeColor="text1"/>
                <w:sz w:val="24"/>
                <w:szCs w:val="24"/>
                <w14:textFill>
                  <w14:solidFill>
                    <w14:schemeClr w14:val="tx1"/>
                  </w14:solidFill>
                </w14:textFill>
              </w:rPr>
              <w:t>个月内完成建设任务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Merge w:val="continue"/>
            <w:vAlign w:val="center"/>
          </w:tcPr>
          <w:p>
            <w:pPr>
              <w:pStyle w:val="15"/>
              <w:rPr>
                <w:color w:val="000000" w:themeColor="text1"/>
                <w:sz w:val="24"/>
                <w:szCs w:val="24"/>
                <w14:textFill>
                  <w14:solidFill>
                    <w14:schemeClr w14:val="tx1"/>
                  </w14:solidFill>
                </w14:textFill>
              </w:rPr>
            </w:pPr>
          </w:p>
        </w:tc>
        <w:tc>
          <w:tcPr>
            <w:tcW w:w="724" w:type="pct"/>
            <w:vMerge w:val="restar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成本指标</w:t>
            </w:r>
          </w:p>
        </w:tc>
        <w:tc>
          <w:tcPr>
            <w:tcW w:w="1978"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预算刚性约束</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不超项目预算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87" w:type="pct"/>
            <w:vMerge w:val="continue"/>
            <w:vAlign w:val="center"/>
          </w:tcPr>
          <w:p>
            <w:pPr>
              <w:pStyle w:val="15"/>
              <w:rPr>
                <w:color w:val="000000" w:themeColor="text1"/>
                <w:sz w:val="24"/>
                <w:szCs w:val="24"/>
                <w14:textFill>
                  <w14:solidFill>
                    <w14:schemeClr w14:val="tx1"/>
                  </w14:solidFill>
                </w14:textFill>
              </w:rPr>
            </w:pPr>
          </w:p>
        </w:tc>
        <w:tc>
          <w:tcPr>
            <w:tcW w:w="724" w:type="pct"/>
            <w:vMerge w:val="continue"/>
            <w:vAlign w:val="center"/>
          </w:tcPr>
          <w:p>
            <w:pPr>
              <w:pStyle w:val="15"/>
              <w:rPr>
                <w:color w:val="000000" w:themeColor="text1"/>
                <w:sz w:val="24"/>
                <w:szCs w:val="24"/>
                <w14:textFill>
                  <w14:solidFill>
                    <w14:schemeClr w14:val="tx1"/>
                  </w14:solidFill>
                </w14:textFill>
              </w:rPr>
            </w:pPr>
          </w:p>
        </w:tc>
        <w:tc>
          <w:tcPr>
            <w:tcW w:w="1978"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控制成本管理规范性</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成本管理规范</w:t>
            </w:r>
          </w:p>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项目变更内容控制在10%以内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4" w:hRule="atLeast"/>
          <w:jc w:val="center"/>
        </w:trPr>
        <w:tc>
          <w:tcPr>
            <w:tcW w:w="687"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满意度</w:t>
            </w:r>
          </w:p>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指标</w:t>
            </w:r>
          </w:p>
        </w:tc>
        <w:tc>
          <w:tcPr>
            <w:tcW w:w="72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服务对象</w:t>
            </w:r>
          </w:p>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满意度指标</w:t>
            </w:r>
          </w:p>
        </w:tc>
        <w:tc>
          <w:tcPr>
            <w:tcW w:w="1978"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用户满意度</w:t>
            </w:r>
          </w:p>
        </w:tc>
        <w:tc>
          <w:tcPr>
            <w:tcW w:w="1611"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≥90%</w:t>
            </w:r>
          </w:p>
        </w:tc>
      </w:tr>
    </w:tbl>
    <w:p>
      <w:pPr>
        <w:ind w:firstLine="480"/>
        <w:rPr>
          <w:color w:val="000000" w:themeColor="text1"/>
          <w14:textFill>
            <w14:solidFill>
              <w14:schemeClr w14:val="tx1"/>
            </w14:solidFill>
          </w14:textFill>
        </w:rPr>
      </w:pPr>
    </w:p>
    <w:tbl>
      <w:tblPr>
        <w:tblStyle w:val="18"/>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244"/>
        <w:gridCol w:w="3400"/>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序号</w:t>
            </w:r>
          </w:p>
        </w:tc>
        <w:tc>
          <w:tcPr>
            <w:tcW w:w="733" w:type="pct"/>
            <w:vAlign w:val="center"/>
          </w:tcPr>
          <w:p>
            <w:pPr>
              <w:pStyle w:val="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考核内容</w:t>
            </w:r>
          </w:p>
        </w:tc>
        <w:tc>
          <w:tcPr>
            <w:tcW w:w="2004" w:type="pct"/>
            <w:vAlign w:val="center"/>
          </w:tcPr>
          <w:p>
            <w:pPr>
              <w:pStyle w:val="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说明</w:t>
            </w:r>
          </w:p>
        </w:tc>
        <w:tc>
          <w:tcPr>
            <w:tcW w:w="1595" w:type="pct"/>
            <w:vAlign w:val="center"/>
          </w:tcPr>
          <w:p>
            <w:pPr>
              <w:pStyle w:val="15"/>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733"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访问速度</w:t>
            </w: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一般网页响应速度</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733"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数据库响应</w:t>
            </w: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大数据量查询响应速度（平均值）</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733" w:type="pct"/>
            <w:vMerge w:val="restar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接口响应</w:t>
            </w: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数据库调用响应速度（平均值）</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733" w:type="pct"/>
            <w:vMerge w:val="continue"/>
            <w:vAlign w:val="center"/>
          </w:tcPr>
          <w:p>
            <w:pPr>
              <w:pStyle w:val="15"/>
              <w:rPr>
                <w:color w:val="000000" w:themeColor="text1"/>
                <w:sz w:val="24"/>
                <w:szCs w:val="24"/>
                <w14:textFill>
                  <w14:solidFill>
                    <w14:schemeClr w14:val="tx1"/>
                  </w14:solidFill>
                </w14:textFill>
              </w:rPr>
            </w:pP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接口调用响应速度</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733" w:type="pct"/>
            <w:vMerge w:val="restar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系统承载</w:t>
            </w: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同时访问人数</w:t>
            </w:r>
          </w:p>
        </w:tc>
        <w:tc>
          <w:tcPr>
            <w:tcW w:w="1595"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733" w:type="pct"/>
            <w:vMerge w:val="continue"/>
            <w:vAlign w:val="center"/>
          </w:tcPr>
          <w:p>
            <w:pPr>
              <w:pStyle w:val="15"/>
              <w:rPr>
                <w:color w:val="000000" w:themeColor="text1"/>
                <w:sz w:val="24"/>
                <w:szCs w:val="24"/>
                <w14:textFill>
                  <w14:solidFill>
                    <w14:schemeClr w14:val="tx1"/>
                  </w14:solidFill>
                </w14:textFill>
              </w:rPr>
            </w:pP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单项功能并发量</w:t>
            </w:r>
          </w:p>
        </w:tc>
        <w:tc>
          <w:tcPr>
            <w:tcW w:w="1595"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3000</w:t>
            </w:r>
            <w:r>
              <w:rPr>
                <w:color w:val="000000" w:themeColor="text1"/>
                <w:sz w:val="24"/>
                <w:szCs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733" w:type="pct"/>
            <w:vMerge w:val="continue"/>
            <w:vAlign w:val="center"/>
          </w:tcPr>
          <w:p>
            <w:pPr>
              <w:pStyle w:val="15"/>
              <w:rPr>
                <w:color w:val="000000" w:themeColor="text1"/>
                <w:sz w:val="24"/>
                <w:szCs w:val="24"/>
                <w14:textFill>
                  <w14:solidFill>
                    <w14:schemeClr w14:val="tx1"/>
                  </w14:solidFill>
                </w14:textFill>
              </w:rPr>
            </w:pP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响应速度</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733" w:type="pct"/>
            <w:vMerge w:val="restar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系统稳定性</w:t>
            </w: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无故障时间（连续运行时间）</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733" w:type="pct"/>
            <w:vMerge w:val="continue"/>
            <w:vAlign w:val="center"/>
          </w:tcPr>
          <w:p>
            <w:pPr>
              <w:pStyle w:val="15"/>
              <w:rPr>
                <w:color w:val="000000" w:themeColor="text1"/>
                <w:sz w:val="24"/>
                <w:szCs w:val="24"/>
                <w14:textFill>
                  <w14:solidFill>
                    <w14:schemeClr w14:val="tx1"/>
                  </w14:solidFill>
                </w14:textFill>
              </w:rPr>
            </w:pP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年故障时间</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733" w:type="pct"/>
            <w:vMerge w:val="continue"/>
            <w:vAlign w:val="center"/>
          </w:tcPr>
          <w:p>
            <w:pPr>
              <w:pStyle w:val="15"/>
              <w:rPr>
                <w:color w:val="000000" w:themeColor="text1"/>
                <w:sz w:val="24"/>
                <w:szCs w:val="24"/>
                <w14:textFill>
                  <w14:solidFill>
                    <w14:schemeClr w14:val="tx1"/>
                  </w14:solidFill>
                </w14:textFill>
              </w:rPr>
            </w:pP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年故障次数</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733" w:type="pct"/>
            <w:vMerge w:val="continue"/>
            <w:vAlign w:val="center"/>
          </w:tcPr>
          <w:p>
            <w:pPr>
              <w:pStyle w:val="15"/>
              <w:rPr>
                <w:color w:val="000000" w:themeColor="text1"/>
                <w:sz w:val="24"/>
                <w:szCs w:val="24"/>
                <w14:textFill>
                  <w14:solidFill>
                    <w14:schemeClr w14:val="tx1"/>
                  </w14:solidFill>
                </w14:textFill>
              </w:rPr>
            </w:pP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平均故障修复时间</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p>
        </w:tc>
        <w:tc>
          <w:tcPr>
            <w:tcW w:w="733" w:type="pct"/>
            <w:vMerge w:val="restar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数据安全</w:t>
            </w: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备份周期</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每天增备，每周全备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pStyle w:val="1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w:t>
            </w:r>
          </w:p>
        </w:tc>
        <w:tc>
          <w:tcPr>
            <w:tcW w:w="733" w:type="pct"/>
            <w:vMerge w:val="continue"/>
            <w:vAlign w:val="center"/>
          </w:tcPr>
          <w:p>
            <w:pPr>
              <w:pStyle w:val="15"/>
              <w:rPr>
                <w:color w:val="000000" w:themeColor="text1"/>
                <w:sz w:val="24"/>
                <w:szCs w:val="24"/>
                <w14:textFill>
                  <w14:solidFill>
                    <w14:schemeClr w14:val="tx1"/>
                  </w14:solidFill>
                </w14:textFill>
              </w:rPr>
            </w:pPr>
          </w:p>
        </w:tc>
        <w:tc>
          <w:tcPr>
            <w:tcW w:w="2004"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可恢复周期</w:t>
            </w:r>
          </w:p>
        </w:tc>
        <w:tc>
          <w:tcPr>
            <w:tcW w:w="1595" w:type="pct"/>
            <w:vAlign w:val="center"/>
          </w:tcPr>
          <w:p>
            <w:pPr>
              <w:pStyle w:val="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全量恢复</w:t>
            </w:r>
          </w:p>
        </w:tc>
      </w:tr>
    </w:tbl>
    <w:p>
      <w:pPr>
        <w:ind w:firstLine="480"/>
        <w:rPr>
          <w:color w:val="000000" w:themeColor="text1"/>
          <w:highlight w:val="green"/>
          <w14:textFill>
            <w14:solidFill>
              <w14:schemeClr w14:val="tx1"/>
            </w14:solidFill>
          </w14:textFill>
        </w:rPr>
      </w:pPr>
    </w:p>
    <w:p>
      <w:pPr>
        <w:pStyle w:val="3"/>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技术架构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架构技术采用</w:t>
      </w:r>
      <w:r>
        <w:rPr>
          <w:rFonts w:ascii="Times New Roman Regular" w:hAnsi="Times New Roman Regular" w:cs="Times New Roman Regular"/>
          <w:color w:val="000000" w:themeColor="text1"/>
          <w:szCs w:val="24"/>
          <w14:textFill>
            <w14:solidFill>
              <w14:schemeClr w14:val="tx1"/>
            </w14:solidFill>
          </w14:textFill>
        </w:rPr>
        <w:t>SpringCloud</w:t>
      </w:r>
      <w:r>
        <w:rPr>
          <w:rFonts w:hint="eastAsia"/>
          <w:color w:val="000000" w:themeColor="text1"/>
          <w14:textFill>
            <w14:solidFill>
              <w14:schemeClr w14:val="tx1"/>
            </w14:solidFill>
          </w14:textFill>
        </w:rPr>
        <w:t>微服务架构：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展示层：建设数据驾驶舱，实现考试数据实时查看；面向考试院及外部用户，进行数据展示。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应用层：打造六大业务场景。场景</w:t>
      </w:r>
      <w:r>
        <w:rPr>
          <w:rFonts w:ascii="Times New Roman Regular" w:hAnsi="Times New Roman Regular" w:cs="Times New Roman Regular"/>
          <w:color w:val="000000" w:themeColor="text1"/>
          <w:szCs w:val="24"/>
          <w14:textFill>
            <w14:solidFill>
              <w14:schemeClr w14:val="tx1"/>
            </w14:solidFill>
          </w14:textFill>
        </w:rPr>
        <w:t>1</w:t>
      </w:r>
      <w:r>
        <w:rPr>
          <w:rFonts w:hint="eastAsia"/>
          <w:color w:val="000000" w:themeColor="text1"/>
          <w14:textFill>
            <w14:solidFill>
              <w14:schemeClr w14:val="tx1"/>
            </w14:solidFill>
          </w14:textFill>
        </w:rPr>
        <w:t>，考试项目管理。场景</w:t>
      </w:r>
      <w:r>
        <w:rPr>
          <w:rFonts w:ascii="Times New Roman Regular" w:hAnsi="Times New Roman Regular" w:cs="Times New Roman Regular"/>
          <w:color w:val="000000" w:themeColor="text1"/>
          <w:szCs w:val="24"/>
          <w14:textFill>
            <w14:solidFill>
              <w14:schemeClr w14:val="tx1"/>
            </w14:solidFill>
          </w14:textFill>
        </w:rPr>
        <w:t>2</w:t>
      </w:r>
      <w:r>
        <w:rPr>
          <w:rFonts w:hint="eastAsia"/>
          <w:color w:val="000000" w:themeColor="text1"/>
          <w14:textFill>
            <w14:solidFill>
              <w14:schemeClr w14:val="tx1"/>
            </w14:solidFill>
          </w14:textFill>
        </w:rPr>
        <w:t>，考区考点管理。场景</w:t>
      </w:r>
      <w:r>
        <w:rPr>
          <w:rFonts w:ascii="Times New Roman Regular" w:hAnsi="Times New Roman Regular" w:cs="Times New Roman Regular"/>
          <w:color w:val="000000" w:themeColor="text1"/>
          <w:szCs w:val="24"/>
          <w14:textFill>
            <w14:solidFill>
              <w14:schemeClr w14:val="tx1"/>
            </w14:solidFill>
          </w14:textFill>
        </w:rPr>
        <w:t>3</w:t>
      </w:r>
      <w:r>
        <w:rPr>
          <w:rFonts w:hint="eastAsia"/>
          <w:color w:val="000000" w:themeColor="text1"/>
          <w14:textFill>
            <w14:solidFill>
              <w14:schemeClr w14:val="tx1"/>
            </w14:solidFill>
          </w14:textFill>
        </w:rPr>
        <w:t>，考务人员管理。场景</w:t>
      </w:r>
      <w:r>
        <w:rPr>
          <w:rFonts w:ascii="Times New Roman Regular" w:hAnsi="Times New Roman Regular" w:cs="Times New Roman Regular"/>
          <w:color w:val="000000" w:themeColor="text1"/>
          <w:szCs w:val="24"/>
          <w14:textFill>
            <w14:solidFill>
              <w14:schemeClr w14:val="tx1"/>
            </w14:solidFill>
          </w14:textFill>
        </w:rPr>
        <w:t>4</w:t>
      </w:r>
      <w:r>
        <w:rPr>
          <w:rFonts w:hint="eastAsia"/>
          <w:color w:val="000000" w:themeColor="text1"/>
          <w14:textFill>
            <w14:solidFill>
              <w14:schemeClr w14:val="tx1"/>
            </w14:solidFill>
          </w14:textFill>
        </w:rPr>
        <w:t>，考试专家管理。场景</w:t>
      </w:r>
      <w:r>
        <w:rPr>
          <w:rFonts w:ascii="Times New Roman Regular" w:hAnsi="Times New Roman Regular" w:cs="Times New Roman Regular"/>
          <w:color w:val="000000" w:themeColor="text1"/>
          <w:szCs w:val="24"/>
          <w14:textFill>
            <w14:solidFill>
              <w14:schemeClr w14:val="tx1"/>
            </w14:solidFill>
          </w14:textFill>
        </w:rPr>
        <w:t>5</w:t>
      </w:r>
      <w:r>
        <w:rPr>
          <w:rFonts w:hint="eastAsia"/>
          <w:color w:val="000000" w:themeColor="text1"/>
          <w14:textFill>
            <w14:solidFill>
              <w14:schemeClr w14:val="tx1"/>
            </w14:solidFill>
          </w14:textFill>
        </w:rPr>
        <w:t>，费用管理。场景</w:t>
      </w:r>
      <w:r>
        <w:rPr>
          <w:rFonts w:ascii="Times New Roman Regular" w:hAnsi="Times New Roman Regular" w:cs="Times New Roman Regular"/>
          <w:color w:val="000000" w:themeColor="text1"/>
          <w:szCs w:val="24"/>
          <w14:textFill>
            <w14:solidFill>
              <w14:schemeClr w14:val="tx1"/>
            </w14:solidFill>
          </w14:textFill>
        </w:rPr>
        <w:t>6</w:t>
      </w:r>
      <w:r>
        <w:rPr>
          <w:rFonts w:hint="eastAsia"/>
          <w:color w:val="000000" w:themeColor="text1"/>
          <w14:textFill>
            <w14:solidFill>
              <w14:schemeClr w14:val="tx1"/>
            </w14:solidFill>
          </w14:textFill>
        </w:rPr>
        <w:t>，公共管理。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支撑层：提供统一服务能力支撑。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数据层：汇聚考试院业务数据，构建统一数据服务能力。</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基础设施层：依托政务云、网络通道和安全防护构建基础支撑层。</w:t>
      </w:r>
    </w:p>
    <w:p>
      <w:pPr>
        <w:pStyle w:val="3"/>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部署环境</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本系统将部署在上海市电子政务云（信创云）上。</w:t>
      </w:r>
    </w:p>
    <w:p>
      <w:pPr>
        <w:pStyle w:val="3"/>
        <w:spacing w:before="156"/>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接口要求</w:t>
      </w:r>
    </w:p>
    <w:p>
      <w:pPr>
        <w:rPr>
          <w:rFonts w:hint="eastAsia" w:eastAsia="宋体"/>
          <w:lang w:eastAsia="zh-CN"/>
        </w:rPr>
      </w:pPr>
      <w:r>
        <w:rPr>
          <w:rFonts w:hint="eastAsia"/>
          <w:lang w:eastAsia="zh-CN"/>
        </w:rPr>
        <w:t>本新建系统需与其他系统进行数据对接，对接内容包括但不限于视频会议、视频监控、业务数据等。目前其他系统仍处于国产化改造阶段，中标人中标后需根据实际需要完成全部对接内容。</w:t>
      </w:r>
      <w:bookmarkStart w:id="34" w:name="_GoBack"/>
      <w:bookmarkEnd w:id="34"/>
    </w:p>
    <w:p>
      <w:r>
        <w:rPr>
          <w:rFonts w:hint="eastAsia"/>
          <w:lang w:val="en-US" w:eastAsia="zh-CN"/>
        </w:rPr>
        <w:t>1.</w:t>
      </w:r>
      <w:r>
        <w:rPr>
          <w:rFonts w:hint="eastAsia"/>
        </w:rPr>
        <w:t>视频</w:t>
      </w:r>
      <w:r>
        <w:t>会议：</w:t>
      </w:r>
      <w:r>
        <w:rPr>
          <w:rFonts w:hint="eastAsia"/>
        </w:rPr>
        <w:t>MCU基于H.323标准实现对接，视频通讯采用H.264或以上的编解码标准，实现1080P60的图像效果；音频通讯采用G.719或以上的编解码标准，实现20KHz的声音效果；双流通讯采用H.239协议，最高实现720P的图像效果。</w:t>
      </w:r>
    </w:p>
    <w:p>
      <w:r>
        <w:rPr>
          <w:rFonts w:hint="eastAsia"/>
          <w:lang w:val="en-US" w:eastAsia="zh-CN"/>
        </w:rPr>
        <w:t>2.</w:t>
      </w:r>
      <w:r>
        <w:rPr>
          <w:rFonts w:hint="eastAsia"/>
        </w:rPr>
        <w:t>视频</w:t>
      </w:r>
      <w:r>
        <w:t>监控：</w:t>
      </w:r>
      <w:r>
        <w:rPr>
          <w:rFonts w:hint="eastAsia"/>
        </w:rPr>
        <w:t>符合GB/T28181-2016 标准，可多平台、多厂商兼容显示。兼容JY/T-KS-JS-2017-1协议。</w:t>
      </w:r>
    </w:p>
    <w:p>
      <w:pPr>
        <w:rPr>
          <w:rFonts w:hint="eastAsia"/>
        </w:rPr>
      </w:pPr>
      <w:r>
        <w:rPr>
          <w:rFonts w:hint="eastAsia"/>
          <w:lang w:val="en-US" w:eastAsia="zh-CN"/>
        </w:rPr>
        <w:t>3.</w:t>
      </w:r>
      <w:r>
        <w:rPr>
          <w:rFonts w:hint="eastAsia"/>
        </w:rPr>
        <w:t>业务</w:t>
      </w:r>
      <w:r>
        <w:t>数据：根据应用</w:t>
      </w:r>
      <w:r>
        <w:rPr>
          <w:rFonts w:hint="eastAsia"/>
        </w:rPr>
        <w:t>场景</w:t>
      </w:r>
      <w:r>
        <w:t>实际情况与人</w:t>
      </w:r>
      <w:r>
        <w:rPr>
          <w:rFonts w:hint="eastAsia"/>
        </w:rPr>
        <w:t>社</w:t>
      </w:r>
      <w:r>
        <w:t>部考试中心等</w:t>
      </w:r>
      <w:r>
        <w:rPr>
          <w:rFonts w:hint="eastAsia"/>
        </w:rPr>
        <w:t>相关</w:t>
      </w:r>
      <w:r>
        <w:t>机构进行</w:t>
      </w:r>
      <w:r>
        <w:rPr>
          <w:rFonts w:hint="eastAsia"/>
        </w:rPr>
        <w:t>数据</w:t>
      </w:r>
      <w:r>
        <w:t>对接应用。</w:t>
      </w:r>
    </w:p>
    <w:p>
      <w:pPr>
        <w:rPr>
          <w:rFonts w:hint="eastAsia"/>
          <w:color w:val="000000" w:themeColor="text1"/>
          <w14:textFill>
            <w14:solidFill>
              <w14:schemeClr w14:val="tx1"/>
            </w14:solidFill>
          </w14:textFill>
        </w:rPr>
      </w:pPr>
    </w:p>
    <w:p>
      <w:pPr>
        <w:pStyle w:val="2"/>
        <w:spacing w:before="156"/>
        <w:rPr>
          <w:color w:val="000000" w:themeColor="text1"/>
          <w14:textFill>
            <w14:solidFill>
              <w14:schemeClr w14:val="tx1"/>
            </w14:solidFill>
          </w14:textFill>
        </w:rPr>
      </w:pPr>
      <w:bookmarkStart w:id="17" w:name="_Toc63785502"/>
      <w:r>
        <w:rPr>
          <w:rFonts w:hint="eastAsia"/>
          <w:color w:val="000000" w:themeColor="text1"/>
          <w14:textFill>
            <w14:solidFill>
              <w14:schemeClr w14:val="tx1"/>
            </w14:solidFill>
          </w14:textFill>
        </w:rPr>
        <w:t>电子政务云资源需求</w:t>
      </w:r>
      <w:bookmarkEnd w:id="17"/>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本项目拟申请1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台虚拟机，其中，总计2</w:t>
      </w:r>
      <w:r>
        <w:rPr>
          <w:color w:val="000000" w:themeColor="text1"/>
          <w14:textFill>
            <w14:solidFill>
              <w14:schemeClr w14:val="tx1"/>
            </w14:solidFill>
          </w14:textFill>
        </w:rPr>
        <w:t>40</w:t>
      </w:r>
      <w:r>
        <w:rPr>
          <w:rFonts w:hint="eastAsia"/>
          <w:color w:val="000000" w:themeColor="text1"/>
          <w14:textFill>
            <w14:solidFill>
              <w14:schemeClr w14:val="tx1"/>
            </w14:solidFill>
          </w14:textFill>
        </w:rPr>
        <w:t>核CPU资源、7</w:t>
      </w:r>
      <w:r>
        <w:rPr>
          <w:color w:val="000000" w:themeColor="text1"/>
          <w14:textFill>
            <w14:solidFill>
              <w14:schemeClr w14:val="tx1"/>
            </w14:solidFill>
          </w14:textFill>
        </w:rPr>
        <w:t>04</w:t>
      </w:r>
      <w:r>
        <w:rPr>
          <w:rFonts w:hint="eastAsia"/>
          <w:color w:val="000000" w:themeColor="text1"/>
          <w14:textFill>
            <w14:solidFill>
              <w14:schemeClr w14:val="tx1"/>
            </w14:solidFill>
          </w14:textFill>
        </w:rPr>
        <w:t>G内存、9</w:t>
      </w:r>
      <w:r>
        <w:rPr>
          <w:color w:val="000000" w:themeColor="text1"/>
          <w14:textFill>
            <w14:solidFill>
              <w14:schemeClr w14:val="tx1"/>
            </w14:solidFill>
          </w14:textFill>
        </w:rPr>
        <w:t>000</w:t>
      </w:r>
      <w:r>
        <w:rPr>
          <w:rFonts w:hint="eastAsia"/>
          <w:color w:val="000000" w:themeColor="text1"/>
          <w14:textFill>
            <w14:solidFill>
              <w14:schemeClr w14:val="tx1"/>
            </w14:solidFill>
          </w14:textFill>
        </w:rPr>
        <w:t>G虚机存储。</w:t>
      </w:r>
    </w:p>
    <w:p>
      <w:pPr>
        <w:pStyle w:val="2"/>
        <w:spacing w:before="156"/>
        <w:rPr>
          <w:color w:val="000000" w:themeColor="text1"/>
          <w14:textFill>
            <w14:solidFill>
              <w14:schemeClr w14:val="tx1"/>
            </w14:solidFill>
          </w14:textFill>
        </w:rPr>
      </w:pPr>
      <w:bookmarkStart w:id="18" w:name="_Toc63785503"/>
      <w:r>
        <w:rPr>
          <w:rFonts w:hint="eastAsia"/>
          <w:color w:val="000000" w:themeColor="text1"/>
          <w14:textFill>
            <w14:solidFill>
              <w14:schemeClr w14:val="tx1"/>
            </w14:solidFill>
          </w14:textFill>
        </w:rPr>
        <w:t>其他工作要求</w:t>
      </w:r>
      <w:bookmarkEnd w:id="18"/>
      <w:bookmarkStart w:id="19" w:name="_Toc63785504"/>
      <w:bookmarkEnd w:id="19"/>
      <w:bookmarkStart w:id="20" w:name="_Toc61968111"/>
      <w:bookmarkEnd w:id="20"/>
      <w:bookmarkStart w:id="21" w:name="_Toc63151871"/>
      <w:bookmarkEnd w:id="21"/>
      <w:bookmarkStart w:id="22" w:name="_Toc62209488"/>
      <w:bookmarkEnd w:id="22"/>
      <w:bookmarkStart w:id="23" w:name="_Toc62219358"/>
      <w:bookmarkEnd w:id="23"/>
      <w:bookmarkStart w:id="24" w:name="_Toc63762370"/>
      <w:bookmarkEnd w:id="24"/>
      <w:bookmarkStart w:id="25" w:name="_Toc63585480"/>
      <w:bookmarkEnd w:id="25"/>
      <w:bookmarkStart w:id="26" w:name="_Toc63785439"/>
      <w:bookmarkEnd w:id="26"/>
    </w:p>
    <w:p>
      <w:pPr>
        <w:pStyle w:val="3"/>
        <w:spacing w:before="156"/>
        <w:ind w:hanging="567"/>
        <w:rPr>
          <w:color w:val="000000" w:themeColor="text1"/>
          <w14:textFill>
            <w14:solidFill>
              <w14:schemeClr w14:val="tx1"/>
            </w14:solidFill>
          </w14:textFill>
        </w:rPr>
      </w:pPr>
      <w:bookmarkStart w:id="27" w:name="_Toc63785505"/>
      <w:r>
        <w:rPr>
          <w:rFonts w:hint="eastAsia"/>
          <w:color w:val="000000" w:themeColor="text1"/>
          <w14:textFill>
            <w14:solidFill>
              <w14:schemeClr w14:val="tx1"/>
            </w14:solidFill>
          </w14:textFill>
        </w:rPr>
        <w:t>售后服务要求</w:t>
      </w:r>
      <w:bookmarkEnd w:id="27"/>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本项目从系统验收通过之日起</w:t>
      </w:r>
      <w:r>
        <w:rPr>
          <w:rFonts w:ascii="Times New Roman Regular" w:hAnsi="Times New Roman Regular" w:cs="Times New Roman Regula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年内提供</w:t>
      </w:r>
      <w:r>
        <w:rPr>
          <w:rFonts w:ascii="Times New Roman Regular" w:hAnsi="Times New Roman Regular" w:cs="Times New Roman Regular"/>
          <w:color w:val="000000" w:themeColor="text1"/>
          <w:szCs w:val="24"/>
          <w14:textFill>
            <w14:solidFill>
              <w14:schemeClr w14:val="tx1"/>
            </w14:solidFill>
          </w14:textFill>
        </w:rPr>
        <w:t>5×8</w:t>
      </w:r>
      <w:r>
        <w:rPr>
          <w:rFonts w:hint="eastAsia"/>
          <w:color w:val="000000" w:themeColor="text1"/>
          <w:szCs w:val="24"/>
          <w14:textFill>
            <w14:solidFill>
              <w14:schemeClr w14:val="tx1"/>
            </w14:solidFill>
          </w14:textFill>
        </w:rPr>
        <w:t>的现场工作日服务、非工作日</w:t>
      </w:r>
      <w:r>
        <w:rPr>
          <w:rFonts w:ascii="Times New Roman Regular" w:hAnsi="Times New Roman Regular" w:cs="Times New Roman Regula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小时应急响应服务。</w:t>
      </w:r>
    </w:p>
    <w:p>
      <w:pPr>
        <w:snapToGrid w:val="0"/>
        <w:ind w:firstLine="480"/>
        <w:rP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（1）</w:t>
      </w:r>
      <w:r>
        <w:rPr>
          <w:color w:val="000000" w:themeColor="text1"/>
          <w:szCs w:val="24"/>
          <w14:textFill>
            <w14:solidFill>
              <w14:schemeClr w14:val="tx1"/>
            </w14:solidFill>
          </w14:textFill>
        </w:rPr>
        <w:t>技术服务内容</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技术服务内容包括：相关</w:t>
      </w:r>
      <w:r>
        <w:rPr>
          <w:color w:val="000000" w:themeColor="text1"/>
          <w:szCs w:val="24"/>
          <w14:textFill>
            <w14:solidFill>
              <w14:schemeClr w14:val="tx1"/>
            </w14:solidFill>
          </w14:textFill>
        </w:rPr>
        <w:t>数据迁移、相关系统对接、</w:t>
      </w:r>
      <w:r>
        <w:rPr>
          <w:rFonts w:hint="eastAsia"/>
          <w:color w:val="000000" w:themeColor="text1"/>
          <w:szCs w:val="24"/>
          <w14:textFill>
            <w14:solidFill>
              <w14:schemeClr w14:val="tx1"/>
            </w14:solidFill>
          </w14:textFill>
        </w:rPr>
        <w:t>错误修改、轻量级需求变更（例如</w:t>
      </w:r>
      <w:r>
        <w:rPr>
          <w:color w:val="000000" w:themeColor="text1"/>
          <w:szCs w:val="24"/>
          <w14:textFill>
            <w14:solidFill>
              <w14:schemeClr w14:val="tx1"/>
            </w14:solidFill>
          </w14:textFill>
        </w:rPr>
        <w:t>：报名工作人员备案、报名核查信息交接、报名工作量统计、考试资料和物品使用登记等）</w:t>
      </w:r>
      <w:r>
        <w:rPr>
          <w:rFonts w:hint="eastAsia"/>
          <w:color w:val="000000" w:themeColor="text1"/>
          <w:szCs w:val="24"/>
          <w14:textFill>
            <w14:solidFill>
              <w14:schemeClr w14:val="tx1"/>
            </w14:solidFill>
          </w14:textFill>
        </w:rPr>
        <w:t>、性能优化、运行环境诊断及保障，以及由于技术规范变化导致的程序变更。</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开发建设过程中，承建方要与需求单位密切配合，按照</w:t>
      </w:r>
      <w:r>
        <w:rPr>
          <w:color w:val="000000" w:themeColor="text1"/>
          <w:szCs w:val="24"/>
          <w14:textFill>
            <w14:solidFill>
              <w14:schemeClr w14:val="tx1"/>
            </w14:solidFill>
          </w14:textFill>
        </w:rPr>
        <w:t>项目建设要求，紧密结合工作实际</w:t>
      </w:r>
      <w:r>
        <w:rPr>
          <w:rFonts w:hint="eastAsia"/>
          <w:color w:val="000000" w:themeColor="text1"/>
          <w:szCs w:val="24"/>
          <w14:textFill>
            <w14:solidFill>
              <w14:schemeClr w14:val="tx1"/>
            </w14:solidFill>
          </w14:textFill>
        </w:rPr>
        <w:t>，共同规划系统整体架构、数据库设计、业务功能模块开发等建设内容，共同研究制定业务应用、安全管理、数据</w:t>
      </w:r>
      <w:r>
        <w:rPr>
          <w:color w:val="000000" w:themeColor="text1"/>
          <w:szCs w:val="24"/>
          <w14:textFill>
            <w14:solidFill>
              <w14:schemeClr w14:val="tx1"/>
            </w14:solidFill>
          </w14:textFill>
        </w:rPr>
        <w:t>迁移</w:t>
      </w:r>
      <w:r>
        <w:rPr>
          <w:rFonts w:hint="eastAsia"/>
          <w:color w:val="000000" w:themeColor="text1"/>
          <w:szCs w:val="24"/>
          <w14:textFill>
            <w14:solidFill>
              <w14:schemeClr w14:val="tx1"/>
            </w14:solidFill>
          </w14:textFill>
        </w:rPr>
        <w:t>以及与其他相关系统的对接实施方案。</w:t>
      </w:r>
    </w:p>
    <w:p>
      <w:pPr>
        <w:snapToGrid w:val="0"/>
        <w:ind w:firstLine="480"/>
        <w:rP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（2）</w:t>
      </w:r>
      <w:r>
        <w:rPr>
          <w:color w:val="000000" w:themeColor="text1"/>
          <w:szCs w:val="24"/>
          <w14:textFill>
            <w14:solidFill>
              <w14:schemeClr w14:val="tx1"/>
            </w14:solidFill>
          </w14:textFill>
        </w:rPr>
        <w:t>提供详细的维护人员清单</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承建方应提供技术服务队伍承担系统的技术服务工作，需向需求单位提供详细的维护人员清单及其联系方式，主要维护人员要保持稳定。</w:t>
      </w:r>
    </w:p>
    <w:p>
      <w:pPr>
        <w:snapToGrid w:val="0"/>
        <w:ind w:firstLine="480"/>
        <w:rPr>
          <w:color w:val="000000" w:themeColor="text1"/>
          <w:szCs w:val="24"/>
          <w14:textFill>
            <w14:solidFill>
              <w14:schemeClr w14:val="tx1"/>
            </w14:solidFill>
          </w14:textFill>
        </w:rPr>
      </w:pPr>
      <w:r>
        <w:rPr>
          <w:rFonts w:ascii="Times New Roman Regular" w:hAnsi="Times New Roman Regular" w:cs="Times New Roman Regular"/>
          <w:color w:val="000000" w:themeColor="text1"/>
          <w:szCs w:val="24"/>
          <w14:textFill>
            <w14:solidFill>
              <w14:schemeClr w14:val="tx1"/>
            </w14:solidFill>
          </w14:textFill>
        </w:rPr>
        <w:t>（3）</w:t>
      </w:r>
      <w:r>
        <w:rPr>
          <w:color w:val="000000" w:themeColor="text1"/>
          <w:szCs w:val="24"/>
          <w14:textFill>
            <w14:solidFill>
              <w14:schemeClr w14:val="tx1"/>
            </w14:solidFill>
          </w14:textFill>
        </w:rPr>
        <w:t>预防性维护</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承建方应提供预防性服务，在服务的过程中，培训需求单位的技术人员执行预防性维护任务。</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在质量保证期内，</w:t>
      </w:r>
      <w:r>
        <w:rPr>
          <w:rStyle w:val="22"/>
          <w:rFonts w:hint="eastAsia"/>
          <w:color w:val="000000" w:themeColor="text1"/>
          <w14:textFill>
            <w14:solidFill>
              <w14:schemeClr w14:val="tx1"/>
            </w14:solidFill>
          </w14:textFill>
        </w:rPr>
        <w:t>承</w:t>
      </w:r>
      <w:r>
        <w:rPr>
          <w:rFonts w:hint="eastAsia"/>
          <w:color w:val="000000" w:themeColor="text1"/>
          <w:szCs w:val="24"/>
          <w14:textFill>
            <w14:solidFill>
              <w14:schemeClr w14:val="tx1"/>
            </w14:solidFill>
          </w14:textFill>
        </w:rPr>
        <w:t>建方须按照售后服务的承诺提供保修和运行维护服务，如果厂商对信息系统中软、硬件设备等产品中的部分保修期超过上述期限的，则按照厂商的规定进行免费保修。</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在质量保证期内，供应商负责信息系统的运行维护工作，确保信息系统安全、稳定、可靠地运行。本项目涉及的运行维护工作范围为：上海市人事考试考务管理系统。</w:t>
      </w:r>
    </w:p>
    <w:p>
      <w:pPr>
        <w:pStyle w:val="3"/>
        <w:spacing w:before="156"/>
        <w:ind w:hanging="567"/>
        <w:rPr>
          <w:color w:val="000000" w:themeColor="text1"/>
          <w14:textFill>
            <w14:solidFill>
              <w14:schemeClr w14:val="tx1"/>
            </w14:solidFill>
          </w14:textFill>
        </w:rPr>
      </w:pPr>
      <w:bookmarkStart w:id="28" w:name="_Toc63785506"/>
      <w:r>
        <w:rPr>
          <w:rFonts w:hint="eastAsia"/>
          <w:color w:val="000000" w:themeColor="text1"/>
          <w14:textFill>
            <w14:solidFill>
              <w14:schemeClr w14:val="tx1"/>
            </w14:solidFill>
          </w14:textFill>
        </w:rPr>
        <w:t>应急响应要求</w:t>
      </w:r>
      <w:bookmarkEnd w:id="28"/>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供应商对系统故障应能够实时响应，若系统发生故障，接到通知后</w:t>
      </w:r>
      <w:r>
        <w:rPr>
          <w:color w:val="000000" w:themeColor="text1"/>
          <w:szCs w:val="24"/>
          <w14:textFill>
            <w14:solidFill>
              <w14:schemeClr w14:val="tx1"/>
            </w14:solidFill>
          </w14:textFill>
        </w:rPr>
        <w:t>30分钟之内响应，专业工程师</w:t>
      </w:r>
      <w:r>
        <w:rPr>
          <w:rFonts w:ascii="Times New Roman Regular" w:hAnsi="Times New Roman Regular" w:cs="Times New Roman Regular"/>
          <w:color w:val="000000" w:themeColor="text1"/>
          <w:szCs w:val="24"/>
          <w14:textFill>
            <w14:solidFill>
              <w14:schemeClr w14:val="tx1"/>
            </w14:solidFill>
          </w14:textFill>
        </w:rPr>
        <w:t>2</w:t>
      </w:r>
      <w:r>
        <w:rPr>
          <w:color w:val="000000" w:themeColor="text1"/>
          <w:szCs w:val="24"/>
          <w14:textFill>
            <w14:solidFill>
              <w14:schemeClr w14:val="tx1"/>
            </w14:solidFill>
          </w14:textFill>
        </w:rPr>
        <w:t>小时内到达现场</w:t>
      </w:r>
      <w:r>
        <w:rPr>
          <w:rFonts w:hint="eastAsia"/>
          <w:color w:val="000000" w:themeColor="text1"/>
          <w:szCs w:val="24"/>
          <w14:textFill>
            <w14:solidFill>
              <w14:schemeClr w14:val="tx1"/>
            </w14:solidFill>
          </w14:textFill>
        </w:rPr>
        <w:t>。特殊故障与客户沟通协商后，按照协商的方式制定解决方案并进行处理。</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具体故障级别及对应的应急响应要求如下：</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一级故障：在</w:t>
      </w:r>
      <w:r>
        <w:rPr>
          <w:rFonts w:ascii="Times New Roman Regular" w:hAnsi="Times New Roman Regular" w:cs="Times New Roman Regular"/>
          <w:color w:val="000000" w:themeColor="text1"/>
          <w:szCs w:val="24"/>
          <w14:textFill>
            <w14:solidFill>
              <w14:schemeClr w14:val="tx1"/>
            </w14:solidFill>
          </w14:textFill>
        </w:rPr>
        <w:t>1</w:t>
      </w:r>
      <w:r>
        <w:rPr>
          <w:color w:val="000000" w:themeColor="text1"/>
          <w:szCs w:val="24"/>
          <w14:textFill>
            <w14:solidFill>
              <w14:schemeClr w14:val="tx1"/>
            </w14:solidFill>
          </w14:textFill>
        </w:rPr>
        <w:t>小时内确诊，总故障解决时间不超过4小时。</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二级故障：在</w:t>
      </w:r>
      <w:r>
        <w:rPr>
          <w:rFonts w:ascii="Times New Roman Regular" w:hAnsi="Times New Roman Regular" w:cs="Times New Roman Regular"/>
          <w:color w:val="000000" w:themeColor="text1"/>
          <w:szCs w:val="24"/>
          <w14:textFill>
            <w14:solidFill>
              <w14:schemeClr w14:val="tx1"/>
            </w14:solidFill>
          </w14:textFill>
        </w:rPr>
        <w:t>2</w:t>
      </w:r>
      <w:r>
        <w:rPr>
          <w:color w:val="000000" w:themeColor="text1"/>
          <w:szCs w:val="24"/>
          <w14:textFill>
            <w14:solidFill>
              <w14:schemeClr w14:val="tx1"/>
            </w14:solidFill>
          </w14:textFill>
        </w:rPr>
        <w:t>小时内确诊，并在</w:t>
      </w:r>
      <w:r>
        <w:rPr>
          <w:rFonts w:ascii="Times New Roman Regular" w:hAnsi="Times New Roman Regular" w:cs="Times New Roman Regular"/>
          <w:color w:val="000000" w:themeColor="text1"/>
          <w:szCs w:val="24"/>
          <w14:textFill>
            <w14:solidFill>
              <w14:schemeClr w14:val="tx1"/>
            </w14:solidFill>
          </w14:textFill>
        </w:rPr>
        <w:t>4</w:t>
      </w:r>
      <w:r>
        <w:rPr>
          <w:color w:val="000000" w:themeColor="text1"/>
          <w:szCs w:val="24"/>
          <w14:textFill>
            <w14:solidFill>
              <w14:schemeClr w14:val="tx1"/>
            </w14:solidFill>
          </w14:textFill>
        </w:rPr>
        <w:t>小时内由专家到达现场确诊并解决，总故障解决时间不超过</w:t>
      </w:r>
      <w:r>
        <w:rPr>
          <w:rFonts w:ascii="Times New Roman Regular" w:hAnsi="Times New Roman Regular" w:cs="Times New Roman Regular"/>
          <w:color w:val="000000" w:themeColor="text1"/>
          <w:szCs w:val="24"/>
          <w14:textFill>
            <w14:solidFill>
              <w14:schemeClr w14:val="tx1"/>
            </w14:solidFill>
          </w14:textFill>
        </w:rPr>
        <w:t>8</w:t>
      </w:r>
      <w:r>
        <w:rPr>
          <w:color w:val="000000" w:themeColor="text1"/>
          <w:szCs w:val="24"/>
          <w14:textFill>
            <w14:solidFill>
              <w14:schemeClr w14:val="tx1"/>
            </w14:solidFill>
          </w14:textFill>
        </w:rPr>
        <w:t>小时；</w:t>
      </w:r>
    </w:p>
    <w:p>
      <w:pPr>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三、四级故障：在</w:t>
      </w:r>
      <w:r>
        <w:rPr>
          <w:rFonts w:ascii="Times New Roman Regular" w:hAnsi="Times New Roman Regular" w:cs="Times New Roman Regular"/>
          <w:color w:val="000000" w:themeColor="text1"/>
          <w:szCs w:val="24"/>
          <w14:textFill>
            <w14:solidFill>
              <w14:schemeClr w14:val="tx1"/>
            </w14:solidFill>
          </w14:textFill>
        </w:rPr>
        <w:t>4</w:t>
      </w:r>
      <w:r>
        <w:rPr>
          <w:color w:val="000000" w:themeColor="text1"/>
          <w:szCs w:val="24"/>
          <w14:textFill>
            <w14:solidFill>
              <w14:schemeClr w14:val="tx1"/>
            </w14:solidFill>
          </w14:textFill>
        </w:rPr>
        <w:t>小时内确诊故障，总故障解决时间不超过</w:t>
      </w:r>
      <w:r>
        <w:rPr>
          <w:rFonts w:ascii="Times New Roman Regular" w:hAnsi="Times New Roman Regular" w:cs="Times New Roman Regular"/>
          <w:color w:val="000000" w:themeColor="text1"/>
          <w:szCs w:val="24"/>
          <w14:textFill>
            <w14:solidFill>
              <w14:schemeClr w14:val="tx1"/>
            </w14:solidFill>
          </w14:textFill>
        </w:rPr>
        <w:t>16</w:t>
      </w:r>
      <w:r>
        <w:rPr>
          <w:color w:val="000000" w:themeColor="text1"/>
          <w:szCs w:val="24"/>
          <w14:textFill>
            <w14:solidFill>
              <w14:schemeClr w14:val="tx1"/>
            </w14:solidFill>
          </w14:textFill>
        </w:rPr>
        <w:t>小时。</w:t>
      </w:r>
    </w:p>
    <w:p>
      <w:pPr>
        <w:pStyle w:val="3"/>
        <w:spacing w:before="156"/>
        <w:ind w:hanging="567"/>
        <w:rPr>
          <w:color w:val="000000" w:themeColor="text1"/>
          <w14:textFill>
            <w14:solidFill>
              <w14:schemeClr w14:val="tx1"/>
            </w14:solidFill>
          </w14:textFill>
        </w:rPr>
      </w:pPr>
      <w:bookmarkStart w:id="29" w:name="_Toc63785507"/>
      <w:r>
        <w:rPr>
          <w:rFonts w:hint="eastAsia"/>
          <w:color w:val="000000" w:themeColor="text1"/>
          <w14:textFill>
            <w14:solidFill>
              <w14:schemeClr w14:val="tx1"/>
            </w14:solidFill>
          </w14:textFill>
        </w:rPr>
        <w:t>培训要求</w:t>
      </w:r>
      <w:bookmarkEnd w:id="29"/>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对系统使用单位提供业务操作培训，应提供详细培训方案。</w:t>
      </w:r>
    </w:p>
    <w:p>
      <w:pPr>
        <w:ind w:firstLine="480"/>
        <w:rPr>
          <w:color w:val="000000" w:themeColor="text1"/>
          <w14:textFill>
            <w14:solidFill>
              <w14:schemeClr w14:val="tx1"/>
            </w14:solidFill>
          </w14:textFill>
        </w:rPr>
      </w:pPr>
      <w:r>
        <w:rPr>
          <w:rFonts w:hint="eastAsia" w:ascii="Times New Roman Regular" w:hAnsi="Times New Roman Regular" w:cs="Times New Roman Regular"/>
          <w:color w:val="000000" w:themeColor="text1"/>
          <w:szCs w:val="24"/>
          <w14:textFill>
            <w14:solidFill>
              <w14:schemeClr w14:val="tx1"/>
            </w14:solidFill>
          </w14:textFill>
        </w:rPr>
        <w:t>（1）</w:t>
      </w:r>
      <w:r>
        <w:rPr>
          <w:rFonts w:hint="eastAsia"/>
          <w:color w:val="000000" w:themeColor="text1"/>
          <w14:textFill>
            <w14:solidFill>
              <w14:schemeClr w14:val="tx1"/>
            </w14:solidFill>
          </w14:textFill>
        </w:rPr>
        <w:t>在</w:t>
      </w:r>
      <w:r>
        <w:rPr>
          <w:rFonts w:ascii="Times New Roman Regular" w:hAnsi="Times New Roman Regular" w:cs="Times New Roman Regular"/>
          <w:color w:val="000000" w:themeColor="text1"/>
          <w:szCs w:val="24"/>
          <w14:textFill>
            <w14:solidFill>
              <w14:schemeClr w14:val="tx1"/>
            </w14:solidFill>
          </w14:textFill>
        </w:rPr>
        <w:t>12</w:t>
      </w:r>
      <w:r>
        <w:rPr>
          <w:rFonts w:hint="eastAsia"/>
          <w:color w:val="000000" w:themeColor="text1"/>
          <w14:textFill>
            <w14:solidFill>
              <w14:schemeClr w14:val="tx1"/>
            </w14:solidFill>
          </w14:textFill>
        </w:rPr>
        <w:t>个月的质量保证期内，提供</w:t>
      </w:r>
      <w:r>
        <w:rPr>
          <w:rFonts w:ascii="Times New Roman Regular" w:hAnsi="Times New Roman Regular" w:cs="Times New Roman Regular"/>
          <w:color w:val="000000" w:themeColor="text1"/>
          <w:szCs w:val="24"/>
          <w14:textFill>
            <w14:solidFill>
              <w14:schemeClr w14:val="tx1"/>
            </w14:solidFill>
          </w14:textFill>
        </w:rPr>
        <w:t>2</w:t>
      </w:r>
      <w:r>
        <w:rPr>
          <w:rFonts w:hint="eastAsia"/>
          <w:color w:val="000000" w:themeColor="text1"/>
          <w14:textFill>
            <w14:solidFill>
              <w14:schemeClr w14:val="tx1"/>
            </w14:solidFill>
          </w14:textFill>
        </w:rPr>
        <w:t>次与项目相关的必要培训。</w:t>
      </w:r>
    </w:p>
    <w:p>
      <w:pPr>
        <w:ind w:firstLine="480"/>
        <w:rPr>
          <w:color w:val="000000" w:themeColor="text1"/>
          <w14:textFill>
            <w14:solidFill>
              <w14:schemeClr w14:val="tx1"/>
            </w14:solidFill>
          </w14:textFill>
        </w:rPr>
      </w:pPr>
      <w:r>
        <w:rPr>
          <w:rFonts w:hint="eastAsia" w:ascii="Times New Roman Regular" w:hAnsi="Times New Roman Regular" w:cs="Times New Roman Regular"/>
          <w:color w:val="000000" w:themeColor="text1"/>
          <w:szCs w:val="24"/>
          <w14:textFill>
            <w14:solidFill>
              <w14:schemeClr w14:val="tx1"/>
            </w14:solidFill>
          </w14:textFill>
        </w:rPr>
        <w:t>（2）</w:t>
      </w:r>
      <w:r>
        <w:rPr>
          <w:rFonts w:hint="eastAsia"/>
          <w:color w:val="000000" w:themeColor="text1"/>
          <w14:textFill>
            <w14:solidFill>
              <w14:schemeClr w14:val="tx1"/>
            </w14:solidFill>
          </w14:textFill>
        </w:rPr>
        <w:t>供应商需要开展分层次的人员培训工作，每次培训后应对参加培训人员进行测试，评估培训成果。培训应具有培训教材、培训环境和高水平的培训讲师。</w:t>
      </w:r>
    </w:p>
    <w:p>
      <w:pPr>
        <w:ind w:firstLine="480"/>
        <w:rPr>
          <w:color w:val="000000" w:themeColor="text1"/>
          <w14:textFill>
            <w14:solidFill>
              <w14:schemeClr w14:val="tx1"/>
            </w14:solidFill>
          </w14:textFill>
        </w:rPr>
      </w:pPr>
      <w:r>
        <w:rPr>
          <w:rFonts w:hint="eastAsia" w:ascii="Times New Roman Regular" w:hAnsi="Times New Roman Regular" w:cs="Times New Roman Regular"/>
          <w:color w:val="000000" w:themeColor="text1"/>
          <w:szCs w:val="24"/>
          <w14:textFill>
            <w14:solidFill>
              <w14:schemeClr w14:val="tx1"/>
            </w14:solidFill>
          </w14:textFill>
        </w:rPr>
        <w:t>（3）</w:t>
      </w:r>
      <w:r>
        <w:rPr>
          <w:rFonts w:hint="eastAsia"/>
          <w:color w:val="000000" w:themeColor="text1"/>
          <w14:textFill>
            <w14:solidFill>
              <w14:schemeClr w14:val="tx1"/>
            </w14:solidFill>
          </w14:textFill>
        </w:rPr>
        <w:t>供应商应提供一般用户的基础操作培训和部门信息管理员的日常应用维护的培训，确保用户对象能够掌握对应的操作技能。</w:t>
      </w:r>
    </w:p>
    <w:p>
      <w:pPr>
        <w:pStyle w:val="3"/>
        <w:spacing w:before="156"/>
        <w:ind w:hanging="567"/>
        <w:rPr>
          <w:color w:val="000000" w:themeColor="text1"/>
          <w14:textFill>
            <w14:solidFill>
              <w14:schemeClr w14:val="tx1"/>
            </w14:solidFill>
          </w14:textFill>
        </w:rPr>
      </w:pPr>
      <w:r>
        <w:rPr>
          <w:rFonts w:hint="eastAsia"/>
          <w:color w:val="000000" w:themeColor="text1"/>
          <w14:textFill>
            <w14:solidFill>
              <w14:schemeClr w14:val="tx1"/>
            </w14:solidFill>
          </w14:textFill>
        </w:rPr>
        <w:t>验收要求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本项目按下述方式开展验收。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1）验收分初验和终验。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2）初验前，</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须完成软件开发、软硬件安装和信息系统的调试等，并对本项目进行功能和运行检测，确保所有信息系统功能模块能够正常运行且已达到本项目约定的各类标准要求。</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应以书面形式向招标方递交初验通知书。招标方应当在接到通知后的5个工作日内确定初验的具体日期，由双方按照本项目的约定完成本项目的初验。招标方有权委托第三方检测机构进行验收，对此供应商应当配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3）初验时，</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须提供软件文档包括《用户需求说明书》、《系统概要设计说明书》、《系统详细设计说明书》、</w:t>
      </w:r>
      <w:r>
        <w:rPr>
          <w:rFonts w:hint="eastAsia"/>
          <w:color w:val="000000" w:themeColor="text1"/>
          <w14:textFill>
            <w14:solidFill>
              <w14:schemeClr w14:val="tx1"/>
            </w14:solidFill>
          </w14:textFill>
        </w:rPr>
        <w:t>《三方功能需求确认单》、</w:t>
      </w:r>
      <w:r>
        <w:rPr>
          <w:color w:val="000000" w:themeColor="text1"/>
          <w14:textFill>
            <w14:solidFill>
              <w14:schemeClr w14:val="tx1"/>
            </w14:solidFill>
          </w14:textFill>
        </w:rPr>
        <w:t>《测试报告》、《用户使用手册》、《系统部署文档》等）及可安装的程序运行文件。所交付的文档与文件应当是可供自然人阅读的书面和电子文档。软件文档及可安装的程序运行文件验收通过后，视为初验通过。如有缺陷，招标方应向</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出具书面报告，陈述需要改进的缺陷。</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应立即严格依照招标方的书面报告中的要求改进缺陷，并再次进行初验。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4）自初验通过之日起，招标方享有</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免费提供的</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0天的信息系统试运行现场驻场服务期。该期间内，</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应当按照招标方的要求提供现场技术支持服务，解决信息系统试运行期间可能出现的各类问题，或进一步提高与完善信息系统运行水平。</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5）初验通过且信息系统试运行期已经达到本项目约定的时间，经</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确认信息系统具备正常运行条件，且信息系统通过运行测试，</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应以书面形式通知招标方信息系统已准备就绪等待终验。招标方在收到终验通知后的5个工作日内发起组织专家验收会。</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）如果属于</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原因致使本项目未能通过终验，</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应当排除缺陷，直至本项目完全符合验收标准，由上述情形而产生的相关费用应由</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自行承担。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）如果由于招标方原因导致本项目在终验通过前出现故障或问题，</w:t>
      </w:r>
      <w:r>
        <w:rPr>
          <w:rFonts w:hint="eastAsia"/>
          <w:color w:val="000000" w:themeColor="text1"/>
          <w:lang w:eastAsia="zh-CN"/>
          <w14:textFill>
            <w14:solidFill>
              <w14:schemeClr w14:val="tx1"/>
            </w14:solidFill>
          </w14:textFill>
        </w:rPr>
        <w:t>中标人</w:t>
      </w:r>
      <w:r>
        <w:rPr>
          <w:color w:val="000000" w:themeColor="text1"/>
          <w14:textFill>
            <w14:solidFill>
              <w14:schemeClr w14:val="tx1"/>
            </w14:solidFill>
          </w14:textFill>
        </w:rPr>
        <w:t>应及时配合排除该方面的故障或问题。</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）如本项目连续3次验收未通过（含初验未通过或终验未通过），招标方有权解除项目，并有权依照本项目约定的违约条款追究供应商的违约责任。</w:t>
      </w:r>
    </w:p>
    <w:p>
      <w:pPr>
        <w:pStyle w:val="3"/>
        <w:spacing w:before="156"/>
        <w:ind w:hanging="567"/>
        <w:rPr>
          <w:color w:val="000000" w:themeColor="text1"/>
          <w14:textFill>
            <w14:solidFill>
              <w14:schemeClr w14:val="tx1"/>
            </w14:solidFill>
          </w14:textFill>
        </w:rPr>
      </w:pPr>
      <w:bookmarkStart w:id="30" w:name="_Toc63785509"/>
      <w:r>
        <w:rPr>
          <w:rFonts w:hint="eastAsia"/>
          <w:color w:val="000000" w:themeColor="text1"/>
          <w14:textFill>
            <w14:solidFill>
              <w14:schemeClr w14:val="tx1"/>
            </w14:solidFill>
          </w14:textFill>
        </w:rPr>
        <w:t>进度要求</w:t>
      </w:r>
      <w:bookmarkEnd w:id="3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投标人应根据建设内容，分阶段制定合理的时间进度，并且应根据招标方要求进行调整和细化。</w:t>
      </w:r>
    </w:p>
    <w:p>
      <w:pPr>
        <w:ind w:firstLine="480"/>
        <w:rPr>
          <w:b/>
          <w:color w:val="000000" w:themeColor="text1"/>
          <w14:textFill>
            <w14:solidFill>
              <w14:schemeClr w14:val="tx1"/>
            </w14:solidFill>
          </w14:textFill>
        </w:rPr>
      </w:pPr>
      <w:r>
        <w:rPr>
          <w:rFonts w:hint="eastAsia"/>
          <w:color w:val="000000" w:themeColor="text1"/>
          <w14:textFill>
            <w14:solidFill>
              <w14:schemeClr w14:val="tx1"/>
            </w14:solidFill>
          </w14:textFill>
        </w:rPr>
        <w:t>总建设周期为</w:t>
      </w:r>
      <w:r>
        <w:rPr>
          <w:rFonts w:hint="eastAsia"/>
          <w:b/>
          <w:color w:val="000000" w:themeColor="text1"/>
          <w14:textFill>
            <w14:solidFill>
              <w14:schemeClr w14:val="tx1"/>
            </w14:solidFill>
          </w14:textFill>
        </w:rPr>
        <w:t>自合同签订生效之日起270天内完成全部建设内容并通过验收。</w:t>
      </w:r>
    </w:p>
    <w:p>
      <w:pPr>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1、项目准备阶段：自合同签订之日起30天内，完成本项目的立项申报及审批工作，落实项目建设资金，完成项目招投标准备工作。</w:t>
      </w:r>
    </w:p>
    <w:p>
      <w:pPr>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2、项目实施阶段：自合同签订之日起150天内，完成系统设计、应用系统开发、软件采购和部署实施等工作，并完成现有数据迁移、数据格式转换等基础性工作。</w:t>
      </w:r>
    </w:p>
    <w:p>
      <w:pPr>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3、项目试运行阶段：自合同签订之日起240天内，完成项目整体试运行，修正项目各组成部分联调中出现的问题，修正软件bug。试运行期无重大故障且解决所有发现的缺陷后进行项目整体验收。</w:t>
      </w:r>
    </w:p>
    <w:p>
      <w:pPr>
        <w:ind w:firstLine="480"/>
        <w:rPr>
          <w:b/>
          <w:color w:val="000000" w:themeColor="text1"/>
          <w14:textFill>
            <w14:solidFill>
              <w14:schemeClr w14:val="tx1"/>
            </w14:solidFill>
          </w14:textFill>
        </w:rPr>
      </w:pPr>
      <w:r>
        <w:rPr>
          <w:rFonts w:hint="eastAsia"/>
          <w:bCs/>
          <w:color w:val="000000" w:themeColor="text1"/>
          <w14:textFill>
            <w14:solidFill>
              <w14:schemeClr w14:val="tx1"/>
            </w14:solidFill>
          </w14:textFill>
        </w:rPr>
        <w:t>4、项目验收阶段：自合同签订之日起270天内，根据市财政资金项目竣工验收的相关要求，开展项目第三方测评、项目内部验收、竣工验收等工作。本阶段在项目试运行期同步开展，试运行期结束后进行项目验收。</w:t>
      </w:r>
    </w:p>
    <w:p>
      <w:pPr>
        <w:pStyle w:val="3"/>
        <w:spacing w:before="156"/>
        <w:ind w:hanging="567"/>
        <w:rPr>
          <w:color w:val="000000" w:themeColor="text1"/>
          <w14:textFill>
            <w14:solidFill>
              <w14:schemeClr w14:val="tx1"/>
            </w14:solidFill>
          </w14:textFill>
        </w:rPr>
      </w:pPr>
      <w:bookmarkStart w:id="31" w:name="_Toc63785510"/>
      <w:r>
        <w:rPr>
          <w:rFonts w:hint="eastAsia"/>
          <w:color w:val="000000" w:themeColor="text1"/>
          <w14:textFill>
            <w14:solidFill>
              <w14:schemeClr w14:val="tx1"/>
            </w14:solidFill>
          </w14:textFill>
        </w:rPr>
        <w:t>项目团队及驻场人员要求</w:t>
      </w:r>
      <w:bookmarkEnd w:id="31"/>
    </w:p>
    <w:p>
      <w:pPr>
        <w:ind w:firstLine="480"/>
        <w:rPr>
          <w:color w:val="000000" w:themeColor="text1"/>
          <w14:textFill>
            <w14:solidFill>
              <w14:schemeClr w14:val="tx1"/>
            </w14:solidFill>
          </w14:textFill>
        </w:rPr>
      </w:pPr>
      <w:r>
        <w:rPr>
          <w:rFonts w:hint="eastAsia" w:ascii="Times New Roman Regular" w:hAnsi="Times New Roman Regular" w:cs="Times New Roman Regular"/>
          <w:color w:val="000000" w:themeColor="text1"/>
          <w14:textFill>
            <w14:solidFill>
              <w14:schemeClr w14:val="tx1"/>
            </w14:solidFill>
          </w14:textFill>
        </w:rPr>
        <w:t>（1）</w:t>
      </w:r>
      <w:r>
        <w:rPr>
          <w:color w:val="000000" w:themeColor="text1"/>
          <w14:textFill>
            <w14:solidFill>
              <w14:schemeClr w14:val="tx1"/>
            </w14:solidFill>
          </w14:textFill>
        </w:rPr>
        <w:t>投标人须具有稳定的在职技术保障力量，能够提供及时的技术支援或服务，应针对本项目提供不少于</w:t>
      </w:r>
      <w:r>
        <w:rPr>
          <w:rFonts w:hint="eastAsia" w:ascii="Times New Roman Regular" w:hAnsi="Times New Roman Regular" w:cs="Times New Roman Regular"/>
          <w:color w:val="000000" w:themeColor="text1"/>
          <w14:textFill>
            <w14:solidFill>
              <w14:schemeClr w14:val="tx1"/>
            </w14:solidFill>
          </w14:textFill>
        </w:rPr>
        <w:t>12</w:t>
      </w:r>
      <w:r>
        <w:rPr>
          <w:color w:val="000000" w:themeColor="text1"/>
          <w14:textFill>
            <w14:solidFill>
              <w14:schemeClr w14:val="tx1"/>
            </w14:solidFill>
          </w14:textFill>
        </w:rPr>
        <w:t>人的项目服务团队（包括项目经理、产品经理、技术负责人、研发等）</w:t>
      </w:r>
      <w:r>
        <w:rPr>
          <w:rFonts w:hint="eastAsia"/>
          <w:color w:val="000000" w:themeColor="text1"/>
          <w14:textFill>
            <w14:solidFill>
              <w14:schemeClr w14:val="tx1"/>
            </w14:solidFill>
          </w14:textFill>
        </w:rPr>
        <w:t>，其中不少于4人驻场</w:t>
      </w:r>
      <w:r>
        <w:rPr>
          <w:color w:val="000000" w:themeColor="text1"/>
          <w14:textFill>
            <w14:solidFill>
              <w14:schemeClr w14:val="tx1"/>
            </w14:solidFill>
          </w14:textFill>
        </w:rPr>
        <w:t>，投标单位的相关服务人员需具备相应的服务能力，需提供最近一个季度</w:t>
      </w:r>
      <w:r>
        <w:rPr>
          <w:rFonts w:hint="eastAsia"/>
          <w:color w:val="000000" w:themeColor="text1"/>
          <w14:textFill>
            <w14:solidFill>
              <w14:schemeClr w14:val="tx1"/>
            </w14:solidFill>
          </w14:textFill>
        </w:rPr>
        <w:t>任意一个月的</w:t>
      </w:r>
      <w:r>
        <w:rPr>
          <w:color w:val="000000" w:themeColor="text1"/>
          <w14:textFill>
            <w14:solidFill>
              <w14:schemeClr w14:val="tx1"/>
            </w14:solidFill>
          </w14:textFill>
        </w:rPr>
        <w:t>依法缴纳社保费的证明。</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398"/>
        <w:gridCol w:w="1202"/>
        <w:gridCol w:w="2882"/>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30" w:type="pct"/>
            <w:shd w:val="clear" w:color="auto" w:fill="auto"/>
            <w:noWrap/>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角色</w:t>
            </w:r>
          </w:p>
        </w:tc>
        <w:tc>
          <w:tcPr>
            <w:tcW w:w="820" w:type="pct"/>
            <w:shd w:val="clear" w:color="auto" w:fill="auto"/>
            <w:noWrap/>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主要职责</w:t>
            </w:r>
          </w:p>
        </w:tc>
        <w:tc>
          <w:tcPr>
            <w:tcW w:w="705" w:type="pct"/>
            <w:shd w:val="clear" w:color="auto" w:fill="auto"/>
            <w:noWrap/>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人员数量</w:t>
            </w:r>
          </w:p>
        </w:tc>
        <w:tc>
          <w:tcPr>
            <w:tcW w:w="1690" w:type="pct"/>
            <w:shd w:val="clear" w:color="auto" w:fill="auto"/>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人员要求</w:t>
            </w:r>
          </w:p>
        </w:tc>
        <w:tc>
          <w:tcPr>
            <w:tcW w:w="953" w:type="pct"/>
            <w:shd w:val="clear" w:color="auto" w:fill="auto"/>
            <w:noWrap/>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30"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项目经理</w:t>
            </w:r>
          </w:p>
        </w:tc>
        <w:tc>
          <w:tcPr>
            <w:tcW w:w="820" w:type="pct"/>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负责项目质量和进度控制</w:t>
            </w:r>
          </w:p>
        </w:tc>
        <w:tc>
          <w:tcPr>
            <w:tcW w:w="705"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1人</w:t>
            </w:r>
          </w:p>
        </w:tc>
        <w:tc>
          <w:tcPr>
            <w:tcW w:w="1690" w:type="pct"/>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研究生及以上学历</w:t>
            </w:r>
            <w:r>
              <w:rPr>
                <w:rFonts w:hint="eastAsia"/>
              </w:rPr>
              <w:t>，具有软考高级证书或计算机类高级职称</w:t>
            </w:r>
          </w:p>
        </w:tc>
        <w:tc>
          <w:tcPr>
            <w:tcW w:w="953"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不</w:t>
            </w:r>
            <w:r>
              <w:rPr>
                <w:rFonts w:cs="宋体"/>
                <w:color w:val="000000" w:themeColor="text1"/>
                <w:kern w:val="0"/>
                <w:szCs w:val="24"/>
                <w14:textFill>
                  <w14:solidFill>
                    <w14:schemeClr w14:val="tx1"/>
                  </w14:solidFill>
                </w14:textFill>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30"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技术负责人</w:t>
            </w:r>
          </w:p>
        </w:tc>
        <w:tc>
          <w:tcPr>
            <w:tcW w:w="820" w:type="pct"/>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负责项目技术架构设计及数据对接标准</w:t>
            </w:r>
          </w:p>
        </w:tc>
        <w:tc>
          <w:tcPr>
            <w:tcW w:w="705"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1人</w:t>
            </w:r>
          </w:p>
        </w:tc>
        <w:tc>
          <w:tcPr>
            <w:tcW w:w="1690" w:type="pct"/>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研究生及以上学历，</w:t>
            </w:r>
            <w:r>
              <w:rPr>
                <w:rFonts w:hint="eastAsia"/>
              </w:rPr>
              <w:t>具有软考</w:t>
            </w:r>
            <w:r>
              <w:rPr>
                <w:rFonts w:hint="eastAsia"/>
                <w:lang w:eastAsia="zh-CN"/>
              </w:rPr>
              <w:t>中</w:t>
            </w:r>
            <w:r>
              <w:rPr>
                <w:rFonts w:hint="eastAsia"/>
              </w:rPr>
              <w:t>级及以上证书或计算机类</w:t>
            </w:r>
            <w:r>
              <w:rPr>
                <w:rFonts w:hint="eastAsia"/>
                <w:lang w:eastAsia="zh-CN"/>
              </w:rPr>
              <w:t>中级</w:t>
            </w:r>
            <w:r>
              <w:rPr>
                <w:rFonts w:hint="eastAsia"/>
              </w:rPr>
              <w:t>及以上职称</w:t>
            </w:r>
          </w:p>
        </w:tc>
        <w:tc>
          <w:tcPr>
            <w:tcW w:w="953"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不</w:t>
            </w:r>
            <w:r>
              <w:rPr>
                <w:rFonts w:cs="宋体"/>
                <w:color w:val="000000" w:themeColor="text1"/>
                <w:kern w:val="0"/>
                <w:szCs w:val="24"/>
                <w14:textFill>
                  <w14:solidFill>
                    <w14:schemeClr w14:val="tx1"/>
                  </w14:solidFill>
                </w14:textFill>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30"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产品经理</w:t>
            </w:r>
          </w:p>
        </w:tc>
        <w:tc>
          <w:tcPr>
            <w:tcW w:w="820" w:type="pct"/>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负责项目需求评估与产品设计</w:t>
            </w:r>
          </w:p>
        </w:tc>
        <w:tc>
          <w:tcPr>
            <w:tcW w:w="705"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1人</w:t>
            </w:r>
          </w:p>
        </w:tc>
        <w:tc>
          <w:tcPr>
            <w:tcW w:w="1690" w:type="pct"/>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研究生及以上学历，</w:t>
            </w:r>
            <w:r>
              <w:rPr>
                <w:rFonts w:hint="eastAsia"/>
              </w:rPr>
              <w:t>具有软考</w:t>
            </w:r>
            <w:r>
              <w:rPr>
                <w:rFonts w:hint="eastAsia"/>
                <w:lang w:eastAsia="zh-CN"/>
              </w:rPr>
              <w:t>中</w:t>
            </w:r>
            <w:r>
              <w:rPr>
                <w:rFonts w:hint="eastAsia"/>
              </w:rPr>
              <w:t>级及以上证书或计算机类</w:t>
            </w:r>
            <w:r>
              <w:rPr>
                <w:rFonts w:hint="eastAsia"/>
                <w:lang w:eastAsia="zh-CN"/>
              </w:rPr>
              <w:t>中级</w:t>
            </w:r>
            <w:r>
              <w:rPr>
                <w:rFonts w:hint="eastAsia"/>
              </w:rPr>
              <w:t>及以上职称</w:t>
            </w:r>
          </w:p>
        </w:tc>
        <w:tc>
          <w:tcPr>
            <w:tcW w:w="953"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不</w:t>
            </w:r>
            <w:r>
              <w:rPr>
                <w:rFonts w:cs="宋体"/>
                <w:color w:val="000000" w:themeColor="text1"/>
                <w:kern w:val="0"/>
                <w:szCs w:val="24"/>
                <w14:textFill>
                  <w14:solidFill>
                    <w14:schemeClr w14:val="tx1"/>
                  </w14:solidFill>
                </w14:textFill>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30"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研发</w:t>
            </w:r>
          </w:p>
        </w:tc>
        <w:tc>
          <w:tcPr>
            <w:tcW w:w="820"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负责项目具体开发与实施</w:t>
            </w:r>
          </w:p>
        </w:tc>
        <w:tc>
          <w:tcPr>
            <w:tcW w:w="705"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9</w:t>
            </w:r>
            <w:r>
              <w:rPr>
                <w:rFonts w:cs="宋体"/>
                <w:color w:val="000000" w:themeColor="text1"/>
                <w:kern w:val="0"/>
                <w:szCs w:val="24"/>
                <w14:textFill>
                  <w14:solidFill>
                    <w14:schemeClr w14:val="tx1"/>
                  </w14:solidFill>
                </w14:textFill>
              </w:rPr>
              <w:t>人</w:t>
            </w:r>
          </w:p>
        </w:tc>
        <w:tc>
          <w:tcPr>
            <w:tcW w:w="1690" w:type="pct"/>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本科及以上学历</w:t>
            </w:r>
          </w:p>
        </w:tc>
        <w:tc>
          <w:tcPr>
            <w:tcW w:w="953" w:type="pct"/>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不少于</w:t>
            </w:r>
            <w:r>
              <w:rPr>
                <w:rFonts w:cs="宋体"/>
                <w:color w:val="000000" w:themeColor="text1"/>
                <w:kern w:val="0"/>
                <w:szCs w:val="24"/>
                <w14:textFill>
                  <w14:solidFill>
                    <w14:schemeClr w14:val="tx1"/>
                  </w14:solidFill>
                </w14:textFill>
              </w:rPr>
              <w:t>4人驻场</w:t>
            </w:r>
          </w:p>
        </w:tc>
      </w:tr>
    </w:tbl>
    <w:p>
      <w:pPr>
        <w:ind w:firstLine="0" w:firstLineChars="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ascii="Times New Roman Regular" w:hAnsi="Times New Roman Regular" w:cs="Times New Roman Regular"/>
          <w:color w:val="000000" w:themeColor="text1"/>
          <w14:textFill>
            <w14:solidFill>
              <w14:schemeClr w14:val="tx1"/>
            </w14:solidFill>
          </w14:textFill>
        </w:rPr>
        <w:t>（2）</w:t>
      </w:r>
      <w:r>
        <w:rPr>
          <w:color w:val="000000" w:themeColor="text1"/>
          <w14:textFill>
            <w14:solidFill>
              <w14:schemeClr w14:val="tx1"/>
            </w14:solidFill>
          </w14:textFill>
        </w:rPr>
        <w:t>投标人应针对本项目提供不少于</w:t>
      </w:r>
      <w:r>
        <w:rPr>
          <w:rFonts w:ascii="Times New Roman Regular" w:hAnsi="Times New Roman Regular" w:cs="Times New Roman Regular"/>
          <w:color w:val="000000" w:themeColor="text1"/>
          <w14:textFill>
            <w14:solidFill>
              <w14:schemeClr w14:val="tx1"/>
            </w14:solidFill>
          </w14:textFill>
        </w:rPr>
        <w:t>4</w:t>
      </w:r>
      <w:r>
        <w:rPr>
          <w:color w:val="000000" w:themeColor="text1"/>
          <w14:textFill>
            <w14:solidFill>
              <w14:schemeClr w14:val="tx1"/>
            </w14:solidFill>
          </w14:textFill>
        </w:rPr>
        <w:t>人的质保期间支撑团队（其中技术经理</w:t>
      </w:r>
      <w:r>
        <w:rPr>
          <w:rFonts w:ascii="Times New Roman Regular" w:hAnsi="Times New Roman Regular" w:cs="Times New Roman Regular"/>
          <w:color w:val="000000" w:themeColor="text1"/>
          <w14:textFill>
            <w14:solidFill>
              <w14:schemeClr w14:val="tx1"/>
            </w14:solidFill>
          </w14:textFill>
        </w:rPr>
        <w:t>1</w:t>
      </w:r>
      <w:r>
        <w:rPr>
          <w:color w:val="000000" w:themeColor="text1"/>
          <w14:textFill>
            <w14:solidFill>
              <w14:schemeClr w14:val="tx1"/>
            </w14:solidFill>
          </w14:textFill>
        </w:rPr>
        <w:t>人，产品经理</w:t>
      </w:r>
      <w:r>
        <w:rPr>
          <w:rFonts w:ascii="Times New Roman Regular" w:hAnsi="Times New Roman Regular" w:cs="Times New Roman Regular"/>
          <w:color w:val="000000" w:themeColor="text1"/>
          <w14:textFill>
            <w14:solidFill>
              <w14:schemeClr w14:val="tx1"/>
            </w14:solidFill>
          </w14:textFill>
        </w:rPr>
        <w:t>1</w:t>
      </w:r>
      <w:r>
        <w:rPr>
          <w:color w:val="000000" w:themeColor="text1"/>
          <w14:textFill>
            <w14:solidFill>
              <w14:schemeClr w14:val="tx1"/>
            </w14:solidFill>
          </w14:textFill>
        </w:rPr>
        <w:t>人，技术工程师不少于</w:t>
      </w:r>
      <w:r>
        <w:rPr>
          <w:rFonts w:ascii="Times New Roman Regular" w:hAnsi="Times New Roman Regular" w:cs="Times New Roman Regular"/>
          <w:color w:val="000000" w:themeColor="text1"/>
          <w14:textFill>
            <w14:solidFill>
              <w14:schemeClr w14:val="tx1"/>
            </w14:solidFill>
          </w14:textFill>
        </w:rPr>
        <w:t>2</w:t>
      </w:r>
      <w:r>
        <w:rPr>
          <w:color w:val="000000" w:themeColor="text1"/>
          <w14:textFill>
            <w14:solidFill>
              <w14:schemeClr w14:val="tx1"/>
            </w14:solidFill>
          </w14:textFill>
        </w:rPr>
        <w:t>人）；投标人的相关服务人员需具备相应的服务能力，需提供最近一个季度</w:t>
      </w:r>
      <w:r>
        <w:rPr>
          <w:rFonts w:hint="eastAsia"/>
          <w:color w:val="000000" w:themeColor="text1"/>
          <w14:textFill>
            <w14:solidFill>
              <w14:schemeClr w14:val="tx1"/>
            </w14:solidFill>
          </w14:textFill>
        </w:rPr>
        <w:t>任意一个月的</w:t>
      </w:r>
      <w:r>
        <w:rPr>
          <w:color w:val="000000" w:themeColor="text1"/>
          <w14:textFill>
            <w14:solidFill>
              <w14:schemeClr w14:val="tx1"/>
            </w14:solidFill>
          </w14:textFill>
        </w:rPr>
        <w:t>依法缴纳社保费的证明。</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28"/>
        <w:gridCol w:w="1299"/>
        <w:gridCol w:w="1631"/>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42" w:type="dxa"/>
            <w:shd w:val="clear" w:color="auto" w:fill="auto"/>
            <w:noWrap/>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角色</w:t>
            </w:r>
          </w:p>
        </w:tc>
        <w:tc>
          <w:tcPr>
            <w:tcW w:w="2428" w:type="dxa"/>
            <w:shd w:val="clear" w:color="auto" w:fill="auto"/>
            <w:noWrap/>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主要职责</w:t>
            </w:r>
          </w:p>
        </w:tc>
        <w:tc>
          <w:tcPr>
            <w:tcW w:w="1299" w:type="dxa"/>
            <w:shd w:val="clear" w:color="auto" w:fill="auto"/>
            <w:noWrap/>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人员数量</w:t>
            </w:r>
          </w:p>
        </w:tc>
        <w:tc>
          <w:tcPr>
            <w:tcW w:w="1631" w:type="dxa"/>
            <w:shd w:val="clear" w:color="auto" w:fill="auto"/>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人员要求</w:t>
            </w:r>
          </w:p>
        </w:tc>
        <w:tc>
          <w:tcPr>
            <w:tcW w:w="1759" w:type="dxa"/>
            <w:shd w:val="clear" w:color="auto" w:fill="auto"/>
            <w:noWrap/>
            <w:vAlign w:val="center"/>
          </w:tcPr>
          <w:p>
            <w:pPr>
              <w:ind w:firstLine="0" w:firstLineChars="0"/>
              <w:jc w:val="center"/>
              <w:rPr>
                <w:rFonts w:cs="宋体"/>
                <w:b/>
                <w:bCs/>
                <w:color w:val="000000" w:themeColor="text1"/>
                <w:kern w:val="0"/>
                <w:szCs w:val="24"/>
                <w14:textFill>
                  <w14:solidFill>
                    <w14:schemeClr w14:val="tx1"/>
                  </w14:solidFill>
                </w14:textFill>
              </w:rPr>
            </w:pPr>
            <w:r>
              <w:rPr>
                <w:rFonts w:cs="宋体"/>
                <w:b/>
                <w:bCs/>
                <w:color w:val="000000" w:themeColor="text1"/>
                <w:kern w:val="0"/>
                <w:szCs w:val="24"/>
                <w14:textFill>
                  <w14:solidFill>
                    <w14:schemeClr w14:val="tx1"/>
                  </w14:solidFill>
                </w14:textFill>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42"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技术经理</w:t>
            </w:r>
          </w:p>
        </w:tc>
        <w:tc>
          <w:tcPr>
            <w:tcW w:w="2428" w:type="dxa"/>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负责项目质量和进度控制</w:t>
            </w:r>
          </w:p>
        </w:tc>
        <w:tc>
          <w:tcPr>
            <w:tcW w:w="1299"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1人</w:t>
            </w:r>
          </w:p>
        </w:tc>
        <w:tc>
          <w:tcPr>
            <w:tcW w:w="1631" w:type="dxa"/>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本科</w:t>
            </w:r>
            <w:r>
              <w:rPr>
                <w:rFonts w:hint="eastAsia" w:cs="宋体"/>
                <w:color w:val="000000" w:themeColor="text1"/>
                <w:kern w:val="0"/>
                <w:szCs w:val="24"/>
                <w14:textFill>
                  <w14:solidFill>
                    <w14:schemeClr w14:val="tx1"/>
                  </w14:solidFill>
                </w14:textFill>
              </w:rPr>
              <w:t>及以上学历</w:t>
            </w:r>
          </w:p>
        </w:tc>
        <w:tc>
          <w:tcPr>
            <w:tcW w:w="1759"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42"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产品经理</w:t>
            </w:r>
          </w:p>
        </w:tc>
        <w:tc>
          <w:tcPr>
            <w:tcW w:w="2428" w:type="dxa"/>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负责项目需求评估与产品设计</w:t>
            </w:r>
          </w:p>
        </w:tc>
        <w:tc>
          <w:tcPr>
            <w:tcW w:w="1299"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1人</w:t>
            </w:r>
          </w:p>
        </w:tc>
        <w:tc>
          <w:tcPr>
            <w:tcW w:w="1631" w:type="dxa"/>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本科</w:t>
            </w:r>
            <w:r>
              <w:rPr>
                <w:rFonts w:hint="eastAsia" w:cs="宋体"/>
                <w:color w:val="000000" w:themeColor="text1"/>
                <w:kern w:val="0"/>
                <w:szCs w:val="24"/>
                <w14:textFill>
                  <w14:solidFill>
                    <w14:schemeClr w14:val="tx1"/>
                  </w14:solidFill>
                </w14:textFill>
              </w:rPr>
              <w:t>及以上学历</w:t>
            </w:r>
          </w:p>
        </w:tc>
        <w:tc>
          <w:tcPr>
            <w:tcW w:w="1759"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42"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技术工程师</w:t>
            </w:r>
          </w:p>
        </w:tc>
        <w:tc>
          <w:tcPr>
            <w:tcW w:w="2428"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负责项目运行及维护</w:t>
            </w:r>
          </w:p>
        </w:tc>
        <w:tc>
          <w:tcPr>
            <w:tcW w:w="1299"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cs="宋体"/>
                <w:color w:val="000000" w:themeColor="text1"/>
                <w:kern w:val="0"/>
                <w:szCs w:val="24"/>
                <w14:textFill>
                  <w14:solidFill>
                    <w14:schemeClr w14:val="tx1"/>
                  </w14:solidFill>
                </w14:textFill>
              </w:rPr>
              <w:t>2人</w:t>
            </w:r>
          </w:p>
        </w:tc>
        <w:tc>
          <w:tcPr>
            <w:tcW w:w="1631" w:type="dxa"/>
            <w:shd w:val="clear" w:color="auto" w:fill="auto"/>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本科及以上学历</w:t>
            </w:r>
          </w:p>
        </w:tc>
        <w:tc>
          <w:tcPr>
            <w:tcW w:w="1759" w:type="dxa"/>
            <w:shd w:val="clear" w:color="auto" w:fill="auto"/>
            <w:noWrap/>
            <w:vAlign w:val="center"/>
          </w:tcPr>
          <w:p>
            <w:pPr>
              <w:ind w:firstLine="0" w:firstLineChars="0"/>
              <w:jc w:val="center"/>
              <w:rPr>
                <w:rFonts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不驻场</w:t>
            </w:r>
          </w:p>
        </w:tc>
      </w:tr>
    </w:tbl>
    <w:p>
      <w:pPr>
        <w:ind w:firstLine="0" w:firstLineChars="0"/>
        <w:rPr>
          <w:color w:val="000000" w:themeColor="text1"/>
          <w14:textFill>
            <w14:solidFill>
              <w14:schemeClr w14:val="tx1"/>
            </w14:solidFill>
          </w14:textFill>
        </w:rPr>
      </w:pPr>
    </w:p>
    <w:p>
      <w:pPr>
        <w:pStyle w:val="3"/>
        <w:spacing w:before="156"/>
        <w:ind w:hanging="567"/>
        <w:rPr>
          <w:color w:val="000000" w:themeColor="text1"/>
          <w14:textFill>
            <w14:solidFill>
              <w14:schemeClr w14:val="tx1"/>
            </w14:solidFill>
          </w14:textFill>
        </w:rPr>
      </w:pPr>
      <w:bookmarkStart w:id="32" w:name="_Toc63785511"/>
      <w:r>
        <w:rPr>
          <w:color w:val="000000" w:themeColor="text1"/>
          <w14:textFill>
            <w14:solidFill>
              <w14:schemeClr w14:val="tx1"/>
            </w14:solidFill>
          </w14:textFill>
        </w:rPr>
        <w:t>等级保护要求</w:t>
      </w:r>
      <w:bookmarkEnd w:id="32"/>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本项目等级保护要求：拟建项目的信息系统安全等级</w:t>
      </w:r>
      <w:r>
        <w:rPr>
          <w:rFonts w:hint="eastAsia"/>
          <w:color w:val="000000" w:themeColor="text1"/>
          <w14:textFill>
            <w14:solidFill>
              <w14:schemeClr w14:val="tx1"/>
            </w14:solidFill>
          </w14:textFill>
        </w:rPr>
        <w:t>为三级。</w:t>
      </w:r>
    </w:p>
    <w:p>
      <w:pPr>
        <w:pStyle w:val="3"/>
        <w:spacing w:before="156"/>
        <w:ind w:hanging="567"/>
        <w:rPr>
          <w:color w:val="000000" w:themeColor="text1"/>
          <w14:textFill>
            <w14:solidFill>
              <w14:schemeClr w14:val="tx1"/>
            </w14:solidFill>
          </w14:textFill>
        </w:rPr>
      </w:pPr>
      <w:r>
        <w:rPr>
          <w:rFonts w:hint="eastAsia"/>
          <w:color w:val="000000" w:themeColor="text1"/>
          <w14:textFill>
            <w14:solidFill>
              <w14:schemeClr w14:val="tx1"/>
            </w14:solidFill>
          </w14:textFill>
        </w:rPr>
        <w:t>商业密码应用需求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系统相关功能设计需要使用国密算法标准，项目完成后需要通过商用密码应用安全性评估。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2694"/>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1" w:type="dxa"/>
            <w:shd w:val="clear" w:color="auto" w:fill="auto"/>
            <w:vAlign w:val="center"/>
          </w:tcPr>
          <w:p>
            <w:pPr>
              <w:pStyle w:val="43"/>
              <w:spacing w:before="156" w:beforeLines="50"/>
              <w:rPr>
                <w:rFonts w:ascii="宋体" w:hAnsi="宋体" w:cs="Times New Roman"/>
                <w:b/>
                <w:bCs/>
                <w:color w:val="000000" w:themeColor="text1"/>
                <w:szCs w:val="24"/>
                <w14:textFill>
                  <w14:solidFill>
                    <w14:schemeClr w14:val="tx1"/>
                  </w14:solidFill>
                </w14:textFill>
              </w:rPr>
            </w:pPr>
            <w:r>
              <w:rPr>
                <w:rFonts w:hint="eastAsia" w:ascii="宋体" w:hAnsi="宋体" w:cs="Times New Roman"/>
                <w:b/>
                <w:bCs/>
                <w:color w:val="000000" w:themeColor="text1"/>
                <w:szCs w:val="24"/>
                <w14:textFill>
                  <w14:solidFill>
                    <w14:schemeClr w14:val="tx1"/>
                  </w14:solidFill>
                </w14:textFill>
              </w:rPr>
              <w:t>安全层面</w:t>
            </w:r>
          </w:p>
        </w:tc>
        <w:tc>
          <w:tcPr>
            <w:tcW w:w="2126" w:type="dxa"/>
            <w:shd w:val="clear" w:color="auto" w:fill="auto"/>
            <w:vAlign w:val="center"/>
          </w:tcPr>
          <w:p>
            <w:pPr>
              <w:pStyle w:val="43"/>
              <w:spacing w:before="156" w:beforeLines="50"/>
              <w:rPr>
                <w:rFonts w:ascii="宋体" w:hAnsi="宋体" w:cs="Times New Roman"/>
                <w:b/>
                <w:bCs/>
                <w:color w:val="000000" w:themeColor="text1"/>
                <w:szCs w:val="24"/>
                <w14:textFill>
                  <w14:solidFill>
                    <w14:schemeClr w14:val="tx1"/>
                  </w14:solidFill>
                </w14:textFill>
              </w:rPr>
            </w:pPr>
            <w:r>
              <w:rPr>
                <w:rFonts w:hint="eastAsia" w:ascii="宋体" w:hAnsi="宋体" w:cs="Times New Roman"/>
                <w:b/>
                <w:bCs/>
                <w:color w:val="000000" w:themeColor="text1"/>
                <w:szCs w:val="24"/>
                <w14:textFill>
                  <w14:solidFill>
                    <w14:schemeClr w14:val="tx1"/>
                  </w14:solidFill>
                </w14:textFill>
              </w:rPr>
              <w:t>密码技术应用点</w:t>
            </w:r>
          </w:p>
        </w:tc>
        <w:tc>
          <w:tcPr>
            <w:tcW w:w="2694" w:type="dxa"/>
            <w:shd w:val="clear" w:color="auto" w:fill="auto"/>
            <w:vAlign w:val="center"/>
          </w:tcPr>
          <w:p>
            <w:pPr>
              <w:pStyle w:val="43"/>
              <w:spacing w:before="156" w:beforeLines="50"/>
              <w:rPr>
                <w:rFonts w:ascii="宋体" w:hAnsi="宋体" w:cs="Times New Roman"/>
                <w:b/>
                <w:bCs/>
                <w:color w:val="000000" w:themeColor="text1"/>
                <w:szCs w:val="24"/>
                <w14:textFill>
                  <w14:solidFill>
                    <w14:schemeClr w14:val="tx1"/>
                  </w14:solidFill>
                </w14:textFill>
              </w:rPr>
            </w:pPr>
            <w:r>
              <w:rPr>
                <w:rFonts w:hint="eastAsia" w:ascii="宋体" w:hAnsi="宋体" w:cs="Times New Roman"/>
                <w:b/>
                <w:bCs/>
                <w:color w:val="000000" w:themeColor="text1"/>
                <w:szCs w:val="24"/>
                <w14:textFill>
                  <w14:solidFill>
                    <w14:schemeClr w14:val="tx1"/>
                  </w14:solidFill>
                </w14:textFill>
              </w:rPr>
              <w:t>密码应用需求</w:t>
            </w:r>
          </w:p>
        </w:tc>
        <w:tc>
          <w:tcPr>
            <w:tcW w:w="2205" w:type="dxa"/>
            <w:shd w:val="clear" w:color="auto" w:fill="auto"/>
            <w:vAlign w:val="center"/>
          </w:tcPr>
          <w:p>
            <w:pPr>
              <w:pStyle w:val="43"/>
              <w:spacing w:before="156" w:beforeLines="50"/>
              <w:rPr>
                <w:rFonts w:ascii="宋体" w:hAnsi="宋体" w:cs="Times New Roman"/>
                <w:b/>
                <w:bCs/>
                <w:color w:val="000000" w:themeColor="text1"/>
                <w:szCs w:val="24"/>
                <w14:textFill>
                  <w14:solidFill>
                    <w14:schemeClr w14:val="tx1"/>
                  </w14:solidFill>
                </w14:textFill>
              </w:rPr>
            </w:pPr>
            <w:r>
              <w:rPr>
                <w:rFonts w:hint="eastAsia" w:ascii="宋体" w:hAnsi="宋体" w:cs="Times New Roman"/>
                <w:b/>
                <w:bCs/>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物理和环境安全</w:t>
            </w: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身份鉴别</w:t>
            </w:r>
          </w:p>
        </w:tc>
        <w:tc>
          <w:tcPr>
            <w:tcW w:w="2694"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系统的物理和环境安全由云平台提供安全保不适用。</w:t>
            </w:r>
          </w:p>
        </w:tc>
        <w:tc>
          <w:tcPr>
            <w:tcW w:w="2205"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电子门禁记录数</w:t>
            </w:r>
          </w:p>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据完整性</w:t>
            </w:r>
          </w:p>
        </w:tc>
        <w:tc>
          <w:tcPr>
            <w:tcW w:w="2694"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205"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视频监控记录数</w:t>
            </w:r>
          </w:p>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据完整性</w:t>
            </w:r>
          </w:p>
        </w:tc>
        <w:tc>
          <w:tcPr>
            <w:tcW w:w="2694"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205"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密码服务</w:t>
            </w:r>
          </w:p>
        </w:tc>
        <w:tc>
          <w:tcPr>
            <w:tcW w:w="2694"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205"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密码产品</w:t>
            </w:r>
          </w:p>
        </w:tc>
        <w:tc>
          <w:tcPr>
            <w:tcW w:w="2694"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205"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网络和通信安全</w:t>
            </w:r>
          </w:p>
        </w:tc>
        <w:tc>
          <w:tcPr>
            <w:tcW w:w="2126"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身份鉴别</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确保用户端和服务端通信实体身份的真实性，防止与假冒实体进行通信</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管理端的身份鉴别由云平台提供安全保障，不适用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通信数据完整性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保护用户端和服务端通信过程中业务数据的完整性，防止数据被非授权篡改。</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管理端进行远程运维管理时的运维通信数据完整性由云平台提供安全保障，不适用。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通信过程中重要数据的机密性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保护用户端和服务端通信过程中业务数据的机密性，防止敏感数据泄露</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管理端进行远程运维管理时的运维通信数据机密性由云平台提供安全保障，不适用。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网络边界访问控制信息的完整性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系统网络拓扑中不同区域网络边界访问控制信息的完整性保护由云平台提供，不适用。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安全接入认证</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无外部设备接入本系统的需求。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密码服务</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采用的数字证书由具备资质的电子认证服务机构签发。</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采用的云密码服务由云平台提供，不适用。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密码产品</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移动终端采用的密码产品应达到GB/T37092二级及以上安全要求。</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服务端相关的密码产品由云平台提供安全保障，不适用。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设备和计算安全</w:t>
            </w: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身份鉴别</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对服务器虚拟机等设备的远程运维管理员身份真实性进行识别和确认，防止假冒人员登录。</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远程管理通道安全</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对服务器虚拟机等设备的远程运维管理通道进行保护，防止鉴别信息泄漏。</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系统资源访问控制信息完整性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保护服务器虚拟机、数据库等设备访问控制信息的完整性，防止被非授权篡改。</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重要信息资源安全标记的完整性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设备没有安全标记。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日志记录完整性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保护服务器虚拟机、数据库等设备中日志记录的完整性，防止被非授权篡改。</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重要可执行程序完整性、来源真实性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保护应用服务器虚拟机等设备中重要可执行程序的完整性和来源真实性，防止被非授权篡改。</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密码服务</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采用的云密码服务由云平台提供，不适用。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密码产品</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移动终端采用的密码产品应达到GB/T37092二级及以上安全要求。</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服务端相关的密码产品由云平台提供安全保障，不适用。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应用和数据安全</w:t>
            </w: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身份鉴别</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确认用户端登录用户的身份真实性，防止假冒人员登录。</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访问控制信息完整性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对应用系统的访问权限控制列表进行完整性保护，防止被非授权篡改。</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重要信息资源安全标记完整性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应用没有安全标记。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数据传输机密性</w:t>
            </w:r>
          </w:p>
        </w:tc>
        <w:tc>
          <w:tcPr>
            <w:tcW w:w="2694"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保护用户端与服务端之间传输和存储的用户身份鉴别信息、电子公文数据等重要数据的机密性和完整性，防止数据泄露给非授权的个人、进程等。保护系统业务日志数据的完整性，防止该数据被非授权篡改。</w:t>
            </w:r>
          </w:p>
        </w:tc>
        <w:tc>
          <w:tcPr>
            <w:tcW w:w="2205"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数据存储机密性</w:t>
            </w:r>
          </w:p>
        </w:tc>
        <w:tc>
          <w:tcPr>
            <w:tcW w:w="2694"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205"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数据传输完整性</w:t>
            </w:r>
          </w:p>
        </w:tc>
        <w:tc>
          <w:tcPr>
            <w:tcW w:w="2694"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205"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数据存储完整性</w:t>
            </w:r>
          </w:p>
        </w:tc>
        <w:tc>
          <w:tcPr>
            <w:tcW w:w="2694"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205"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不可否认性</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本系统不涉及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密码服务</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采用的数字证书由具备资质的电子认证服务机构签发。</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采用的云密码服务由云平台提供，不适用。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restart"/>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密码产品</w:t>
            </w: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用户端采用的密码产品应达到GB/T37092二级及以上安全要求。</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126" w:type="dxa"/>
            <w:vMerge w:val="continue"/>
            <w:vAlign w:val="center"/>
          </w:tcPr>
          <w:p>
            <w:pPr>
              <w:pStyle w:val="43"/>
              <w:spacing w:before="156" w:beforeLines="50"/>
              <w:rPr>
                <w:rFonts w:ascii="宋体" w:hAnsi="宋体" w:cs="Times New Roman"/>
                <w:color w:val="000000" w:themeColor="text1"/>
                <w:szCs w:val="24"/>
                <w14:textFill>
                  <w14:solidFill>
                    <w14:schemeClr w14:val="tx1"/>
                  </w14:solidFill>
                </w14:textFill>
              </w:rPr>
            </w:pPr>
          </w:p>
        </w:tc>
        <w:tc>
          <w:tcPr>
            <w:tcW w:w="2694"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服务端相关的密码产品由云平台提供安全保障，不适用。</w:t>
            </w:r>
          </w:p>
        </w:tc>
        <w:tc>
          <w:tcPr>
            <w:tcW w:w="2205" w:type="dxa"/>
            <w:vAlign w:val="center"/>
          </w:tcPr>
          <w:p>
            <w:pPr>
              <w:pStyle w:val="43"/>
              <w:spacing w:before="156" w:beforeLines="50"/>
              <w:rPr>
                <w:rFonts w:ascii="宋体" w:hAnsi="宋体" w:cs="Times New Roman"/>
                <w:color w:val="000000" w:themeColor="text1"/>
                <w:szCs w:val="24"/>
                <w14:textFill>
                  <w14:solidFill>
                    <w14:schemeClr w14:val="tx1"/>
                  </w14:solidFill>
                </w14:textFill>
              </w:rPr>
            </w:pPr>
            <w:r>
              <w:rPr>
                <w:rFonts w:hint="eastAsia" w:ascii="宋体" w:hAnsi="宋体" w:cs="Times New Roman"/>
                <w:color w:val="000000" w:themeColor="text1"/>
                <w:szCs w:val="24"/>
                <w14:textFill>
                  <w14:solidFill>
                    <w14:schemeClr w14:val="tx1"/>
                  </w14:solidFill>
                </w14:textFill>
              </w:rPr>
              <w:t>云平台通过密评，已被完全评估。</w:t>
            </w:r>
          </w:p>
        </w:tc>
      </w:tr>
    </w:tbl>
    <w:p>
      <w:pPr>
        <w:ind w:firstLine="0" w:firstLineChars="0"/>
        <w:rPr>
          <w:color w:val="000000" w:themeColor="text1"/>
          <w14:textFill>
            <w14:solidFill>
              <w14:schemeClr w14:val="tx1"/>
            </w14:solidFill>
          </w14:textFill>
        </w:rPr>
      </w:pPr>
    </w:p>
    <w:p>
      <w:pPr>
        <w:pStyle w:val="3"/>
        <w:spacing w:before="156"/>
        <w:ind w:hanging="567"/>
        <w:rPr>
          <w:color w:val="000000" w:themeColor="text1"/>
          <w14:textFill>
            <w14:solidFill>
              <w14:schemeClr w14:val="tx1"/>
            </w14:solidFill>
          </w14:textFill>
        </w:rPr>
      </w:pPr>
      <w:bookmarkStart w:id="33" w:name="_Toc63785512"/>
      <w:r>
        <w:rPr>
          <w:rFonts w:hint="eastAsia"/>
          <w:color w:val="000000" w:themeColor="text1"/>
          <w14:textFill>
            <w14:solidFill>
              <w14:schemeClr w14:val="tx1"/>
            </w14:solidFill>
          </w14:textFill>
        </w:rPr>
        <w:t>技术文件要求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投标人需承诺若中标，将在承接项目初验时提供书面技术资料，包含确保系统正常运行所需的管理、运营及维护有关的全套文件。技术文件应该全面、完整、详细。投标人提供的技术文件至少应包括：</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系统说明文件；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技术手册(安装、测试、操作、维护、故障排除等)；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项目文档，应该包括：</w:t>
      </w:r>
    </w:p>
    <w:p>
      <w:pPr>
        <w:ind w:firstLine="480"/>
        <w:rPr>
          <w:color w:val="000000" w:themeColor="text1"/>
          <w14:textFill>
            <w14:solidFill>
              <w14:schemeClr w14:val="tx1"/>
            </w14:solidFill>
          </w14:textFill>
        </w:rPr>
      </w:pPr>
      <w:r>
        <w:rPr>
          <w:rFonts w:hint="eastAsia" w:ascii="Times New Roman Regular" w:hAnsi="Times New Roman Regular" w:cs="Times New Roman Regular"/>
          <w:color w:val="000000" w:themeColor="text1"/>
          <w14:textFill>
            <w14:solidFill>
              <w14:schemeClr w14:val="tx1"/>
            </w14:solidFill>
          </w14:textFill>
        </w:rPr>
        <w:t>（1）</w:t>
      </w:r>
      <w:r>
        <w:rPr>
          <w:color w:val="000000" w:themeColor="text1"/>
          <w14:textFill>
            <w14:solidFill>
              <w14:schemeClr w14:val="tx1"/>
            </w14:solidFill>
          </w14:textFill>
        </w:rPr>
        <w:t>软件需求说明书</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ascii="Times New Roman Regular" w:hAnsi="Times New Roman Regular" w:cs="Times New Roman Regular"/>
          <w:color w:val="000000" w:themeColor="text1"/>
          <w14:textFill>
            <w14:solidFill>
              <w14:schemeClr w14:val="tx1"/>
            </w14:solidFill>
          </w14:textFill>
        </w:rPr>
        <w:t>（2）</w:t>
      </w:r>
      <w:r>
        <w:rPr>
          <w:color w:val="000000" w:themeColor="text1"/>
          <w14:textFill>
            <w14:solidFill>
              <w14:schemeClr w14:val="tx1"/>
            </w14:solidFill>
          </w14:textFill>
        </w:rPr>
        <w:t>系统总体设计说明书</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ascii="Times New Roman Regular" w:hAnsi="Times New Roman Regular" w:cs="Times New Roman Regular"/>
          <w:color w:val="000000" w:themeColor="text1"/>
          <w14:textFill>
            <w14:solidFill>
              <w14:schemeClr w14:val="tx1"/>
            </w14:solidFill>
          </w14:textFill>
        </w:rPr>
        <w:t>（3）</w:t>
      </w:r>
      <w:r>
        <w:rPr>
          <w:color w:val="000000" w:themeColor="text1"/>
          <w14:textFill>
            <w14:solidFill>
              <w14:schemeClr w14:val="tx1"/>
            </w14:solidFill>
          </w14:textFill>
        </w:rPr>
        <w:t>应用软件功能清单</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提供全套技术文件纸介质</w:t>
      </w:r>
      <w:r>
        <w:rPr>
          <w:rFonts w:ascii="Times New Roman Regular" w:hAnsi="Times New Roman Regular" w:cs="Times New Roman Regular"/>
          <w:color w:val="000000" w:themeColor="text1"/>
          <w14:textFill>
            <w14:solidFill>
              <w14:schemeClr w14:val="tx1"/>
            </w14:solidFill>
          </w14:textFill>
        </w:rPr>
        <w:t>3</w:t>
      </w:r>
      <w:r>
        <w:rPr>
          <w:color w:val="000000" w:themeColor="text1"/>
          <w14:textFill>
            <w14:solidFill>
              <w14:schemeClr w14:val="tx1"/>
            </w14:solidFill>
          </w14:textFill>
        </w:rPr>
        <w:t>套以及电子文件</w:t>
      </w:r>
      <w:r>
        <w:rPr>
          <w:rFonts w:ascii="Times New Roman Regular" w:hAnsi="Times New Roman Regular" w:cs="Times New Roman Regular"/>
          <w:color w:val="000000" w:themeColor="text1"/>
          <w14:textFill>
            <w14:solidFill>
              <w14:schemeClr w14:val="tx1"/>
            </w14:solidFill>
          </w14:textFill>
        </w:rPr>
        <w:t>1</w:t>
      </w:r>
      <w:r>
        <w:rPr>
          <w:color w:val="000000" w:themeColor="text1"/>
          <w14:textFill>
            <w14:solidFill>
              <w14:schemeClr w14:val="tx1"/>
            </w14:solidFill>
          </w14:textFill>
        </w:rPr>
        <w:t>套。</w:t>
      </w:r>
    </w:p>
    <w:p>
      <w:pPr>
        <w:pStyle w:val="3"/>
        <w:spacing w:before="156"/>
        <w:ind w:hanging="567"/>
        <w:rPr>
          <w:color w:val="000000" w:themeColor="text1"/>
          <w14:textFill>
            <w14:solidFill>
              <w14:schemeClr w14:val="tx1"/>
            </w14:solidFill>
          </w14:textFill>
        </w:rPr>
      </w:pPr>
      <w:r>
        <w:rPr>
          <w:rFonts w:hint="eastAsia"/>
          <w:color w:val="000000" w:themeColor="text1"/>
          <w14:textFill>
            <w14:solidFill>
              <w14:schemeClr w14:val="tx1"/>
            </w14:solidFill>
          </w14:textFill>
        </w:rPr>
        <w:t>供应商资质要求</w:t>
      </w:r>
    </w:p>
    <w:p>
      <w:pPr>
        <w:ind w:firstLine="480"/>
        <w:rPr>
          <w:rFonts w:hint="eastAsia" w:eastAsia="宋体"/>
          <w:lang w:eastAsia="zh-CN"/>
        </w:rPr>
      </w:pPr>
      <w:r>
        <w:rPr>
          <w:rFonts w:hint="eastAsia"/>
        </w:rPr>
        <w:t>供应商具有信息安全管理体系认证(GB/T22080-2016或ISO/IEC 27001:2013 认证)、质量管理体系认证(GB/T19001-2016或IS0 9001:2015 认证)、信息技术服务管理体系认证（ISO/IEC20000:2018认证）</w:t>
      </w:r>
      <w:r>
        <w:rPr>
          <w:rFonts w:hint="eastAsia"/>
          <w:lang w:eastAsia="zh-CN"/>
        </w:rPr>
        <w:t>的优先考虑。</w:t>
      </w:r>
    </w:p>
    <w:bookmarkEnd w:id="33"/>
    <w:p>
      <w:pPr>
        <w:adjustRightInd/>
        <w:snapToGrid/>
        <w:spacing w:line="240" w:lineRule="auto"/>
        <w:ind w:right="0" w:firstLine="480" w:firstLineChars="0"/>
        <w:jc w:val="left"/>
        <w:rPr>
          <w:rFonts w:ascii="仿宋" w:hAnsi="仿宋" w:eastAsia="仿宋" w:cs="仿宋"/>
          <w:color w:val="000000" w:themeColor="text1"/>
          <w:spacing w:val="-8"/>
          <w14:textFill>
            <w14:solidFill>
              <w14:schemeClr w14:val="tx1"/>
            </w14:solidFill>
          </w14:textFill>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1F00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s??????">
    <w:panose1 w:val="02010609000101010101"/>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r>
      <w:fldChar w:fldCharType="begin"/>
    </w:r>
    <w:r>
      <w:instrText xml:space="preserve">PAGE   \* MERGEFORMAT</w:instrText>
    </w:r>
    <w:r>
      <w:fldChar w:fldCharType="separate"/>
    </w:r>
    <w:r>
      <w:rPr>
        <w:lang w:val="zh-CN"/>
      </w:rPr>
      <w:t>11</w:t>
    </w:r>
    <w:r>
      <w:rPr>
        <w:lang w:val="zh-CN"/>
      </w:rPr>
      <w:fldChar w:fldCharType="end"/>
    </w:r>
  </w:p>
  <w:p>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3"/>
          <w:spacing w:before="120"/>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p>
    <w:pPr>
      <w:spacing w:before="120"/>
      <w:ind w:firstLine="480"/>
    </w:pPr>
  </w:p>
  <w:p>
    <w:pPr>
      <w:spacing w:before="120"/>
      <w:ind w:firstLine="480"/>
    </w:pPr>
  </w:p>
  <w:p>
    <w:pPr>
      <w:spacing w:before="120"/>
      <w:ind w:firstLine="480"/>
    </w:pPr>
  </w:p>
  <w:p>
    <w:pPr>
      <w:spacing w:before="120"/>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360"/>
    </w:pPr>
  </w:p>
  <w:p>
    <w:pPr>
      <w:spacing w:before="120"/>
      <w:ind w:firstLine="480"/>
    </w:pPr>
  </w:p>
  <w:p>
    <w:pPr>
      <w:spacing w:before="120"/>
      <w:ind w:firstLine="480"/>
    </w:pPr>
  </w:p>
  <w:p>
    <w:pPr>
      <w:spacing w:before="120"/>
      <w:ind w:firstLine="480"/>
    </w:pPr>
  </w:p>
  <w:p>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singleLevel"/>
    <w:tmpl w:val="00000022"/>
    <w:lvl w:ilvl="0" w:tentative="0">
      <w:start w:val="1"/>
      <w:numFmt w:val="bullet"/>
      <w:pStyle w:val="40"/>
      <w:lvlText w:val=""/>
      <w:lvlJc w:val="left"/>
      <w:pPr>
        <w:tabs>
          <w:tab w:val="left" w:pos="420"/>
        </w:tabs>
        <w:ind w:left="420" w:hanging="420"/>
      </w:pPr>
      <w:rPr>
        <w:rFonts w:hint="default" w:ascii="Wingdings" w:hAnsi="Wingdings"/>
      </w:rPr>
    </w:lvl>
  </w:abstractNum>
  <w:abstractNum w:abstractNumId="1">
    <w:nsid w:val="6A2F4AB3"/>
    <w:multiLevelType w:val="multilevel"/>
    <w:tmpl w:val="6A2F4AB3"/>
    <w:lvl w:ilvl="0" w:tentative="0">
      <w:start w:val="1"/>
      <w:numFmt w:val="chineseCountingThousand"/>
      <w:pStyle w:val="2"/>
      <w:suff w:val="nothing"/>
      <w:lvlText w:val="%1、"/>
      <w:lvlJc w:val="left"/>
      <w:pPr>
        <w:ind w:left="425" w:hanging="425"/>
      </w:pPr>
      <w:rPr>
        <w:rFonts w:hint="eastAsia" w:ascii="宋体" w:hAnsi="宋体" w:eastAsia="宋体"/>
        <w:b/>
        <w:i w:val="0"/>
        <w:sz w:val="32"/>
      </w:rPr>
    </w:lvl>
    <w:lvl w:ilvl="1" w:tentative="0">
      <w:start w:val="1"/>
      <w:numFmt w:val="decimal"/>
      <w:pStyle w:val="3"/>
      <w:isLgl/>
      <w:suff w:val="nothing"/>
      <w:lvlText w:val="%1.%2、"/>
      <w:lvlJc w:val="left"/>
      <w:pPr>
        <w:ind w:left="1418" w:hanging="567"/>
      </w:pPr>
      <w:rPr>
        <w:rFonts w:hint="eastAsia" w:ascii="宋体" w:hAnsi="宋体" w:eastAsia="宋体" w:cs="Times New Roman"/>
        <w:b/>
        <w:i w:val="0"/>
        <w:iCs w:val="0"/>
        <w:caps w:val="0"/>
        <w:smallCaps w:val="0"/>
        <w:strike w:val="0"/>
        <w:dstrike w:val="0"/>
        <w:vanish w:val="0"/>
        <w:color w:val="000000"/>
        <w:spacing w:val="0"/>
        <w:position w:val="0"/>
        <w:sz w:val="30"/>
        <w:u w:val="none"/>
        <w:vertAlign w:val="baseline"/>
        <w14:shadow w14:blurRad="0" w14:dist="0" w14:dir="0" w14:sx="0" w14:sy="0" w14:kx="0" w14:ky="0" w14:algn="none">
          <w14:srgbClr w14:val="000000"/>
        </w14:shadow>
      </w:rPr>
    </w:lvl>
    <w:lvl w:ilvl="2" w:tentative="0">
      <w:start w:val="1"/>
      <w:numFmt w:val="decimal"/>
      <w:isLgl/>
      <w:suff w:val="nothing"/>
      <w:lvlText w:val="%1.%2.%3、"/>
      <w:lvlJc w:val="left"/>
      <w:pPr>
        <w:ind w:left="1069" w:hanging="1069"/>
      </w:pPr>
      <w:rPr>
        <w:rFonts w:hint="eastAsia" w:ascii="宋体" w:hAnsi="宋体" w:eastAsia="宋体" w:cs="Arial"/>
        <w:b/>
        <w:i w:val="0"/>
        <w:sz w:val="28"/>
      </w:rPr>
    </w:lvl>
    <w:lvl w:ilvl="3" w:tentative="0">
      <w:start w:val="1"/>
      <w:numFmt w:val="decimal"/>
      <w:pStyle w:val="5"/>
      <w:isLgl/>
      <w:suff w:val="nothing"/>
      <w:lvlText w:val="%1.%2.%3.%4、"/>
      <w:lvlJc w:val="left"/>
      <w:pPr>
        <w:ind w:left="851" w:hanging="851"/>
      </w:pPr>
      <w:rPr>
        <w:rFonts w:hint="eastAsia" w:ascii="宋体" w:hAnsi="宋体" w:eastAsia="宋体" w:cs="Arial"/>
        <w:b/>
        <w:i w:val="0"/>
        <w:sz w:val="24"/>
        <w:szCs w:val="24"/>
      </w:rPr>
    </w:lvl>
    <w:lvl w:ilvl="4" w:tentative="0">
      <w:start w:val="1"/>
      <w:numFmt w:val="decimal"/>
      <w:pStyle w:val="6"/>
      <w:isLgl/>
      <w:suff w:val="nothing"/>
      <w:lvlText w:val="%1.%2.%3.%4.%5、"/>
      <w:lvlJc w:val="left"/>
      <w:pPr>
        <w:ind w:left="992" w:hanging="992"/>
      </w:pPr>
      <w:rPr>
        <w:rFonts w:hint="eastAsia" w:ascii="宋体" w:hAnsi="宋体" w:eastAsia="宋体"/>
        <w:b/>
        <w:i w:val="0"/>
        <w:sz w:val="24"/>
      </w:rPr>
    </w:lvl>
    <w:lvl w:ilvl="5" w:tentative="0">
      <w:start w:val="1"/>
      <w:numFmt w:val="decimal"/>
      <w:pStyle w:val="7"/>
      <w:isLgl/>
      <w:suff w:val="nothing"/>
      <w:lvlText w:val="%1.%2.%3.%4.%5.%6、"/>
      <w:lvlJc w:val="left"/>
      <w:pPr>
        <w:ind w:left="1134" w:hanging="1134"/>
      </w:pPr>
      <w:rPr>
        <w:rFonts w:hint="eastAsia" w:ascii="宋体" w:hAnsi="宋体" w:eastAsia="宋体"/>
        <w:b/>
        <w:i w:val="0"/>
        <w:sz w:val="24"/>
      </w:rPr>
    </w:lvl>
    <w:lvl w:ilvl="6" w:tentative="0">
      <w:start w:val="1"/>
      <w:numFmt w:val="decimal"/>
      <w:pStyle w:val="8"/>
      <w:isLgl/>
      <w:suff w:val="nothing"/>
      <w:lvlText w:val="%1.%2.%3.%4.%5.%6.%7、"/>
      <w:lvlJc w:val="left"/>
      <w:pPr>
        <w:ind w:left="1276" w:hanging="1276"/>
      </w:pPr>
      <w:rPr>
        <w:rFonts w:hint="eastAsia" w:ascii="宋体" w:hAnsi="宋体" w:eastAsia="宋体"/>
        <w:b/>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pStyle w:val="9"/>
      <w:isLgl/>
      <w:suff w:val="nothing"/>
      <w:lvlText w:val="%1.%2.%3.%4.%5.%6.%7.%8、"/>
      <w:lvlJc w:val="left"/>
      <w:pPr>
        <w:ind w:left="1418" w:hanging="1418"/>
      </w:pPr>
      <w:rPr>
        <w:rFonts w:hint="eastAsia" w:ascii="宋体" w:hAnsi="宋体" w:eastAsia="宋体"/>
        <w:b/>
        <w:i w:val="0"/>
        <w:sz w:val="24"/>
      </w:rPr>
    </w:lvl>
    <w:lvl w:ilvl="8" w:tentative="0">
      <w:start w:val="1"/>
      <w:numFmt w:val="decimal"/>
      <w:pStyle w:val="10"/>
      <w:isLgl/>
      <w:suff w:val="nothing"/>
      <w:lvlText w:val="%1.%2.%3.%4.%5.%6.%7.%8.%9、"/>
      <w:lvlJc w:val="left"/>
      <w:pPr>
        <w:ind w:left="1559" w:hanging="1559"/>
      </w:pPr>
      <w:rPr>
        <w:rFonts w:hint="eastAsia" w:ascii="宋体" w:hAnsi="宋体" w:eastAsia="宋体" w:cs="Times New Roman"/>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Tg4ZjJhMWM0Mzk0MWMwYjE4NzYxMGYzYzQ0N2YifQ=="/>
  </w:docVars>
  <w:rsids>
    <w:rsidRoot w:val="00172A27"/>
    <w:rsid w:val="00015C03"/>
    <w:rsid w:val="0001712F"/>
    <w:rsid w:val="00017817"/>
    <w:rsid w:val="00020D7B"/>
    <w:rsid w:val="00025B50"/>
    <w:rsid w:val="000306FC"/>
    <w:rsid w:val="00030B96"/>
    <w:rsid w:val="00031016"/>
    <w:rsid w:val="00031237"/>
    <w:rsid w:val="00033F9C"/>
    <w:rsid w:val="000361FD"/>
    <w:rsid w:val="00043C12"/>
    <w:rsid w:val="00044A8B"/>
    <w:rsid w:val="00056B30"/>
    <w:rsid w:val="00066D66"/>
    <w:rsid w:val="00080D7C"/>
    <w:rsid w:val="00087020"/>
    <w:rsid w:val="000A7E01"/>
    <w:rsid w:val="000B37CE"/>
    <w:rsid w:val="000B78D1"/>
    <w:rsid w:val="000C0CF3"/>
    <w:rsid w:val="000C27F4"/>
    <w:rsid w:val="000D359E"/>
    <w:rsid w:val="000D4D01"/>
    <w:rsid w:val="000D697B"/>
    <w:rsid w:val="000E1BA3"/>
    <w:rsid w:val="000F3AC3"/>
    <w:rsid w:val="000F6B52"/>
    <w:rsid w:val="001047E3"/>
    <w:rsid w:val="001103B6"/>
    <w:rsid w:val="00111B33"/>
    <w:rsid w:val="00130CEE"/>
    <w:rsid w:val="0013109A"/>
    <w:rsid w:val="001348E4"/>
    <w:rsid w:val="00142057"/>
    <w:rsid w:val="00144875"/>
    <w:rsid w:val="001522CE"/>
    <w:rsid w:val="00160EE1"/>
    <w:rsid w:val="001617C1"/>
    <w:rsid w:val="00172A27"/>
    <w:rsid w:val="001748F2"/>
    <w:rsid w:val="00195F18"/>
    <w:rsid w:val="001A28BD"/>
    <w:rsid w:val="001A5782"/>
    <w:rsid w:val="001A7195"/>
    <w:rsid w:val="001A7915"/>
    <w:rsid w:val="001C1D4A"/>
    <w:rsid w:val="001D4514"/>
    <w:rsid w:val="001D45C8"/>
    <w:rsid w:val="001D59BF"/>
    <w:rsid w:val="001E2119"/>
    <w:rsid w:val="001E605C"/>
    <w:rsid w:val="001F06D9"/>
    <w:rsid w:val="001F282E"/>
    <w:rsid w:val="00201970"/>
    <w:rsid w:val="00205188"/>
    <w:rsid w:val="00220BF5"/>
    <w:rsid w:val="00234521"/>
    <w:rsid w:val="002358A7"/>
    <w:rsid w:val="0024572D"/>
    <w:rsid w:val="00251F45"/>
    <w:rsid w:val="002561F8"/>
    <w:rsid w:val="002648FD"/>
    <w:rsid w:val="00284561"/>
    <w:rsid w:val="00286199"/>
    <w:rsid w:val="002916D2"/>
    <w:rsid w:val="002929CB"/>
    <w:rsid w:val="002A0EBC"/>
    <w:rsid w:val="002B6503"/>
    <w:rsid w:val="002B7495"/>
    <w:rsid w:val="002C488B"/>
    <w:rsid w:val="002D351B"/>
    <w:rsid w:val="002F3011"/>
    <w:rsid w:val="002F47D8"/>
    <w:rsid w:val="002F7747"/>
    <w:rsid w:val="00307743"/>
    <w:rsid w:val="00307A75"/>
    <w:rsid w:val="003204E8"/>
    <w:rsid w:val="00323052"/>
    <w:rsid w:val="0033781E"/>
    <w:rsid w:val="00337C03"/>
    <w:rsid w:val="00347A14"/>
    <w:rsid w:val="003561D7"/>
    <w:rsid w:val="0035711E"/>
    <w:rsid w:val="00372442"/>
    <w:rsid w:val="00375E00"/>
    <w:rsid w:val="00386348"/>
    <w:rsid w:val="003A2F53"/>
    <w:rsid w:val="003A4853"/>
    <w:rsid w:val="003A5746"/>
    <w:rsid w:val="003B1F29"/>
    <w:rsid w:val="003B5927"/>
    <w:rsid w:val="003C7305"/>
    <w:rsid w:val="003D353E"/>
    <w:rsid w:val="003D60ED"/>
    <w:rsid w:val="003F0876"/>
    <w:rsid w:val="003F588A"/>
    <w:rsid w:val="003F5BE6"/>
    <w:rsid w:val="00405B8C"/>
    <w:rsid w:val="0040615A"/>
    <w:rsid w:val="0041447C"/>
    <w:rsid w:val="00416086"/>
    <w:rsid w:val="00426726"/>
    <w:rsid w:val="00427EBD"/>
    <w:rsid w:val="004517D4"/>
    <w:rsid w:val="004579E7"/>
    <w:rsid w:val="00461883"/>
    <w:rsid w:val="00486069"/>
    <w:rsid w:val="004A0888"/>
    <w:rsid w:val="004C19C4"/>
    <w:rsid w:val="004D3F64"/>
    <w:rsid w:val="004E1A3B"/>
    <w:rsid w:val="004E3B36"/>
    <w:rsid w:val="004E7655"/>
    <w:rsid w:val="004F1D28"/>
    <w:rsid w:val="005228E1"/>
    <w:rsid w:val="00523DC4"/>
    <w:rsid w:val="00544B59"/>
    <w:rsid w:val="00545CBA"/>
    <w:rsid w:val="0055041F"/>
    <w:rsid w:val="005533E2"/>
    <w:rsid w:val="00553B11"/>
    <w:rsid w:val="00556BBD"/>
    <w:rsid w:val="0055765C"/>
    <w:rsid w:val="00562A3A"/>
    <w:rsid w:val="005638BB"/>
    <w:rsid w:val="00575BDC"/>
    <w:rsid w:val="005918EB"/>
    <w:rsid w:val="00591CE7"/>
    <w:rsid w:val="00595073"/>
    <w:rsid w:val="005A551B"/>
    <w:rsid w:val="005D67BF"/>
    <w:rsid w:val="005D75F6"/>
    <w:rsid w:val="006075CA"/>
    <w:rsid w:val="00634515"/>
    <w:rsid w:val="00637F10"/>
    <w:rsid w:val="00643774"/>
    <w:rsid w:val="00654697"/>
    <w:rsid w:val="00666A7D"/>
    <w:rsid w:val="006752F4"/>
    <w:rsid w:val="00685857"/>
    <w:rsid w:val="006B21A1"/>
    <w:rsid w:val="006F1D02"/>
    <w:rsid w:val="006F278D"/>
    <w:rsid w:val="006F4C74"/>
    <w:rsid w:val="00713AA0"/>
    <w:rsid w:val="0073161D"/>
    <w:rsid w:val="00731BEE"/>
    <w:rsid w:val="00737D13"/>
    <w:rsid w:val="00747388"/>
    <w:rsid w:val="007477D4"/>
    <w:rsid w:val="0075209F"/>
    <w:rsid w:val="00762800"/>
    <w:rsid w:val="00763491"/>
    <w:rsid w:val="007747EE"/>
    <w:rsid w:val="00777E69"/>
    <w:rsid w:val="0078126A"/>
    <w:rsid w:val="007A311C"/>
    <w:rsid w:val="007A4A02"/>
    <w:rsid w:val="007A714E"/>
    <w:rsid w:val="007B042D"/>
    <w:rsid w:val="007B2606"/>
    <w:rsid w:val="007B6BFF"/>
    <w:rsid w:val="007C058B"/>
    <w:rsid w:val="007C6CD0"/>
    <w:rsid w:val="007D2CCC"/>
    <w:rsid w:val="007E3081"/>
    <w:rsid w:val="007E48F1"/>
    <w:rsid w:val="007E5C69"/>
    <w:rsid w:val="007F1F6F"/>
    <w:rsid w:val="007F3E6E"/>
    <w:rsid w:val="00803C06"/>
    <w:rsid w:val="008147D9"/>
    <w:rsid w:val="00816DA8"/>
    <w:rsid w:val="00821993"/>
    <w:rsid w:val="008236BE"/>
    <w:rsid w:val="00825C5A"/>
    <w:rsid w:val="00830C45"/>
    <w:rsid w:val="008318BE"/>
    <w:rsid w:val="008348A6"/>
    <w:rsid w:val="00850CF1"/>
    <w:rsid w:val="00857370"/>
    <w:rsid w:val="00860679"/>
    <w:rsid w:val="00871ADB"/>
    <w:rsid w:val="00881671"/>
    <w:rsid w:val="008A50B0"/>
    <w:rsid w:val="008A749E"/>
    <w:rsid w:val="008A7AEB"/>
    <w:rsid w:val="008B4ABA"/>
    <w:rsid w:val="008B5C5A"/>
    <w:rsid w:val="008C1C72"/>
    <w:rsid w:val="008C41A6"/>
    <w:rsid w:val="008D748E"/>
    <w:rsid w:val="008E6064"/>
    <w:rsid w:val="008E7F12"/>
    <w:rsid w:val="008F0F0E"/>
    <w:rsid w:val="008F11D4"/>
    <w:rsid w:val="008F592B"/>
    <w:rsid w:val="00902CEE"/>
    <w:rsid w:val="00907317"/>
    <w:rsid w:val="00910501"/>
    <w:rsid w:val="009178E2"/>
    <w:rsid w:val="00924096"/>
    <w:rsid w:val="00942CE8"/>
    <w:rsid w:val="00943FA7"/>
    <w:rsid w:val="0094725A"/>
    <w:rsid w:val="009558E8"/>
    <w:rsid w:val="009712DE"/>
    <w:rsid w:val="00971FF0"/>
    <w:rsid w:val="0097329B"/>
    <w:rsid w:val="009742A0"/>
    <w:rsid w:val="009750CE"/>
    <w:rsid w:val="00976F3F"/>
    <w:rsid w:val="0097790A"/>
    <w:rsid w:val="009B098A"/>
    <w:rsid w:val="009B63B5"/>
    <w:rsid w:val="009C0EBA"/>
    <w:rsid w:val="009C2808"/>
    <w:rsid w:val="009C5896"/>
    <w:rsid w:val="00A04CCC"/>
    <w:rsid w:val="00A10C5B"/>
    <w:rsid w:val="00A13C94"/>
    <w:rsid w:val="00A200B9"/>
    <w:rsid w:val="00A22776"/>
    <w:rsid w:val="00A330E8"/>
    <w:rsid w:val="00A47B70"/>
    <w:rsid w:val="00A6200D"/>
    <w:rsid w:val="00A71F5E"/>
    <w:rsid w:val="00A728AA"/>
    <w:rsid w:val="00A732F6"/>
    <w:rsid w:val="00A81E78"/>
    <w:rsid w:val="00A87D00"/>
    <w:rsid w:val="00A941AA"/>
    <w:rsid w:val="00A95910"/>
    <w:rsid w:val="00AA2E2A"/>
    <w:rsid w:val="00AA3F0D"/>
    <w:rsid w:val="00AA509D"/>
    <w:rsid w:val="00AA7B54"/>
    <w:rsid w:val="00AB1812"/>
    <w:rsid w:val="00AC2F03"/>
    <w:rsid w:val="00AD5FBF"/>
    <w:rsid w:val="00AE66FD"/>
    <w:rsid w:val="00AE7303"/>
    <w:rsid w:val="00AF31E9"/>
    <w:rsid w:val="00AF4909"/>
    <w:rsid w:val="00B00FA4"/>
    <w:rsid w:val="00B11686"/>
    <w:rsid w:val="00B11B36"/>
    <w:rsid w:val="00B33DBC"/>
    <w:rsid w:val="00B36F0A"/>
    <w:rsid w:val="00B4047D"/>
    <w:rsid w:val="00B41C83"/>
    <w:rsid w:val="00B55001"/>
    <w:rsid w:val="00B579B2"/>
    <w:rsid w:val="00B627A6"/>
    <w:rsid w:val="00B71999"/>
    <w:rsid w:val="00B903A0"/>
    <w:rsid w:val="00B96943"/>
    <w:rsid w:val="00BA1061"/>
    <w:rsid w:val="00BA14DB"/>
    <w:rsid w:val="00BA188B"/>
    <w:rsid w:val="00BA1EC0"/>
    <w:rsid w:val="00BB0327"/>
    <w:rsid w:val="00BF12E2"/>
    <w:rsid w:val="00BF1E87"/>
    <w:rsid w:val="00BF3F80"/>
    <w:rsid w:val="00BF5856"/>
    <w:rsid w:val="00C15DFD"/>
    <w:rsid w:val="00C21299"/>
    <w:rsid w:val="00C225A3"/>
    <w:rsid w:val="00C3161F"/>
    <w:rsid w:val="00C41681"/>
    <w:rsid w:val="00C46002"/>
    <w:rsid w:val="00C46F94"/>
    <w:rsid w:val="00C508DC"/>
    <w:rsid w:val="00C547C6"/>
    <w:rsid w:val="00C625F0"/>
    <w:rsid w:val="00C62969"/>
    <w:rsid w:val="00C63472"/>
    <w:rsid w:val="00C760FF"/>
    <w:rsid w:val="00C937D3"/>
    <w:rsid w:val="00C96314"/>
    <w:rsid w:val="00CA2160"/>
    <w:rsid w:val="00CA2237"/>
    <w:rsid w:val="00CA6037"/>
    <w:rsid w:val="00CB7D26"/>
    <w:rsid w:val="00CC1365"/>
    <w:rsid w:val="00CC57E1"/>
    <w:rsid w:val="00CF114A"/>
    <w:rsid w:val="00CF4D30"/>
    <w:rsid w:val="00CF56D9"/>
    <w:rsid w:val="00D03D04"/>
    <w:rsid w:val="00D05BA6"/>
    <w:rsid w:val="00D05FD5"/>
    <w:rsid w:val="00D12B2F"/>
    <w:rsid w:val="00D25FBC"/>
    <w:rsid w:val="00D34325"/>
    <w:rsid w:val="00D36441"/>
    <w:rsid w:val="00D65E42"/>
    <w:rsid w:val="00D75174"/>
    <w:rsid w:val="00D84B0E"/>
    <w:rsid w:val="00D86C0C"/>
    <w:rsid w:val="00D95E37"/>
    <w:rsid w:val="00D9610E"/>
    <w:rsid w:val="00D969A8"/>
    <w:rsid w:val="00DB317D"/>
    <w:rsid w:val="00DC72FF"/>
    <w:rsid w:val="00DE6640"/>
    <w:rsid w:val="00DF0CA2"/>
    <w:rsid w:val="00DF2E10"/>
    <w:rsid w:val="00E00ACC"/>
    <w:rsid w:val="00E03508"/>
    <w:rsid w:val="00E07BAC"/>
    <w:rsid w:val="00E267C7"/>
    <w:rsid w:val="00E376C1"/>
    <w:rsid w:val="00E42282"/>
    <w:rsid w:val="00E8485A"/>
    <w:rsid w:val="00EA4BB8"/>
    <w:rsid w:val="00EB0FEC"/>
    <w:rsid w:val="00EC1ED2"/>
    <w:rsid w:val="00ED04C1"/>
    <w:rsid w:val="00EF0BDD"/>
    <w:rsid w:val="00EF0E40"/>
    <w:rsid w:val="00EF7B79"/>
    <w:rsid w:val="00F173C2"/>
    <w:rsid w:val="00F243B1"/>
    <w:rsid w:val="00F5300C"/>
    <w:rsid w:val="00F530FA"/>
    <w:rsid w:val="00F54D67"/>
    <w:rsid w:val="00F62D10"/>
    <w:rsid w:val="00F65509"/>
    <w:rsid w:val="00F709B2"/>
    <w:rsid w:val="00F8017F"/>
    <w:rsid w:val="00F80EFC"/>
    <w:rsid w:val="00F822B4"/>
    <w:rsid w:val="00F93C06"/>
    <w:rsid w:val="00FB6295"/>
    <w:rsid w:val="00FE027B"/>
    <w:rsid w:val="0127533C"/>
    <w:rsid w:val="019D36E1"/>
    <w:rsid w:val="02101453"/>
    <w:rsid w:val="034675D0"/>
    <w:rsid w:val="03682DC5"/>
    <w:rsid w:val="03800D34"/>
    <w:rsid w:val="03B22EB7"/>
    <w:rsid w:val="055C30DB"/>
    <w:rsid w:val="05BB24F7"/>
    <w:rsid w:val="05BB42A5"/>
    <w:rsid w:val="064031D0"/>
    <w:rsid w:val="067F52D3"/>
    <w:rsid w:val="068E3768"/>
    <w:rsid w:val="06CE2A0D"/>
    <w:rsid w:val="06EB2968"/>
    <w:rsid w:val="074A3B33"/>
    <w:rsid w:val="0754675F"/>
    <w:rsid w:val="075B2C86"/>
    <w:rsid w:val="07886409"/>
    <w:rsid w:val="0836736F"/>
    <w:rsid w:val="084B70D4"/>
    <w:rsid w:val="08892439"/>
    <w:rsid w:val="08F655F4"/>
    <w:rsid w:val="09615163"/>
    <w:rsid w:val="09903C9B"/>
    <w:rsid w:val="0A073F5D"/>
    <w:rsid w:val="0A633D15"/>
    <w:rsid w:val="0A8C0FA7"/>
    <w:rsid w:val="0ACC2507"/>
    <w:rsid w:val="0B0009AC"/>
    <w:rsid w:val="0B7A15FE"/>
    <w:rsid w:val="0BF422BF"/>
    <w:rsid w:val="0C41302A"/>
    <w:rsid w:val="0CEB181D"/>
    <w:rsid w:val="0DD405FA"/>
    <w:rsid w:val="0FB840A0"/>
    <w:rsid w:val="0FC95811"/>
    <w:rsid w:val="10042CED"/>
    <w:rsid w:val="103E7FAD"/>
    <w:rsid w:val="116972AB"/>
    <w:rsid w:val="116B10EA"/>
    <w:rsid w:val="116C4D29"/>
    <w:rsid w:val="118440E5"/>
    <w:rsid w:val="1220184D"/>
    <w:rsid w:val="12333415"/>
    <w:rsid w:val="13685340"/>
    <w:rsid w:val="13B90D02"/>
    <w:rsid w:val="13C0517C"/>
    <w:rsid w:val="1591252B"/>
    <w:rsid w:val="15D8055B"/>
    <w:rsid w:val="16A50D85"/>
    <w:rsid w:val="171B2DF6"/>
    <w:rsid w:val="172E5A57"/>
    <w:rsid w:val="17CA65CA"/>
    <w:rsid w:val="17DD62FD"/>
    <w:rsid w:val="18194E5B"/>
    <w:rsid w:val="18231790"/>
    <w:rsid w:val="18AB01A9"/>
    <w:rsid w:val="195425EF"/>
    <w:rsid w:val="196F7429"/>
    <w:rsid w:val="19EB65F6"/>
    <w:rsid w:val="1A5E29B4"/>
    <w:rsid w:val="1C44694B"/>
    <w:rsid w:val="1D61352C"/>
    <w:rsid w:val="1E6D766A"/>
    <w:rsid w:val="1E957931"/>
    <w:rsid w:val="1F7A6B27"/>
    <w:rsid w:val="1FC306BE"/>
    <w:rsid w:val="1FD004F5"/>
    <w:rsid w:val="20232167"/>
    <w:rsid w:val="21837F15"/>
    <w:rsid w:val="21DE15EF"/>
    <w:rsid w:val="23074803"/>
    <w:rsid w:val="24C50845"/>
    <w:rsid w:val="24CC7E26"/>
    <w:rsid w:val="24FC3F2A"/>
    <w:rsid w:val="254B65D3"/>
    <w:rsid w:val="26A050C5"/>
    <w:rsid w:val="26E74AA2"/>
    <w:rsid w:val="275B095E"/>
    <w:rsid w:val="27F2A4D5"/>
    <w:rsid w:val="2874680A"/>
    <w:rsid w:val="28B07116"/>
    <w:rsid w:val="293D4E4D"/>
    <w:rsid w:val="2A4E6BE6"/>
    <w:rsid w:val="2BE55328"/>
    <w:rsid w:val="2C3F0EDD"/>
    <w:rsid w:val="2C520C10"/>
    <w:rsid w:val="2D3F2A7E"/>
    <w:rsid w:val="2E992AB5"/>
    <w:rsid w:val="2E9F3EB4"/>
    <w:rsid w:val="2E9F5C62"/>
    <w:rsid w:val="2EAD4823"/>
    <w:rsid w:val="2EE95130"/>
    <w:rsid w:val="2F9B964A"/>
    <w:rsid w:val="2F9E23BE"/>
    <w:rsid w:val="308B46F0"/>
    <w:rsid w:val="31701B38"/>
    <w:rsid w:val="31E35B26"/>
    <w:rsid w:val="33407890"/>
    <w:rsid w:val="334F40FB"/>
    <w:rsid w:val="33886359"/>
    <w:rsid w:val="338A06D9"/>
    <w:rsid w:val="33D00C5D"/>
    <w:rsid w:val="345968B4"/>
    <w:rsid w:val="353A0493"/>
    <w:rsid w:val="36581519"/>
    <w:rsid w:val="36A71FF9"/>
    <w:rsid w:val="36BF38E1"/>
    <w:rsid w:val="37024ED7"/>
    <w:rsid w:val="37304B8D"/>
    <w:rsid w:val="37885D5F"/>
    <w:rsid w:val="378E4AC6"/>
    <w:rsid w:val="37A975D0"/>
    <w:rsid w:val="37F225F9"/>
    <w:rsid w:val="388D2FD0"/>
    <w:rsid w:val="38E30E42"/>
    <w:rsid w:val="3AE74C19"/>
    <w:rsid w:val="3B1F0857"/>
    <w:rsid w:val="3B720855"/>
    <w:rsid w:val="3BFF41E4"/>
    <w:rsid w:val="3C2E6155"/>
    <w:rsid w:val="3C9B215F"/>
    <w:rsid w:val="3D023F8C"/>
    <w:rsid w:val="3E4660FB"/>
    <w:rsid w:val="3EE8CEA7"/>
    <w:rsid w:val="3F7D3D9E"/>
    <w:rsid w:val="400C5122"/>
    <w:rsid w:val="400E225E"/>
    <w:rsid w:val="406960D0"/>
    <w:rsid w:val="4130132B"/>
    <w:rsid w:val="416A109C"/>
    <w:rsid w:val="4245693D"/>
    <w:rsid w:val="432036E1"/>
    <w:rsid w:val="43DC7EC6"/>
    <w:rsid w:val="44165409"/>
    <w:rsid w:val="44DC3315"/>
    <w:rsid w:val="454612DB"/>
    <w:rsid w:val="459E681C"/>
    <w:rsid w:val="46192347"/>
    <w:rsid w:val="46A165C4"/>
    <w:rsid w:val="46E22739"/>
    <w:rsid w:val="47431429"/>
    <w:rsid w:val="47FE7A46"/>
    <w:rsid w:val="483376F0"/>
    <w:rsid w:val="48343468"/>
    <w:rsid w:val="483E6094"/>
    <w:rsid w:val="48D312F6"/>
    <w:rsid w:val="49184B37"/>
    <w:rsid w:val="49583186"/>
    <w:rsid w:val="49B760FE"/>
    <w:rsid w:val="4A08695A"/>
    <w:rsid w:val="4A38499E"/>
    <w:rsid w:val="4A8A55C1"/>
    <w:rsid w:val="4AD8632C"/>
    <w:rsid w:val="4B133808"/>
    <w:rsid w:val="4C3B0622"/>
    <w:rsid w:val="4C4C5224"/>
    <w:rsid w:val="4D8E56A2"/>
    <w:rsid w:val="4DCB3F26"/>
    <w:rsid w:val="4DEA4CF4"/>
    <w:rsid w:val="4E45017D"/>
    <w:rsid w:val="4ED96B17"/>
    <w:rsid w:val="4EF9CA81"/>
    <w:rsid w:val="4F05790C"/>
    <w:rsid w:val="50504BB7"/>
    <w:rsid w:val="51416E8D"/>
    <w:rsid w:val="5288688A"/>
    <w:rsid w:val="528D1E9B"/>
    <w:rsid w:val="52A347DC"/>
    <w:rsid w:val="52B551A5"/>
    <w:rsid w:val="52DC69DB"/>
    <w:rsid w:val="52FB3500"/>
    <w:rsid w:val="53715570"/>
    <w:rsid w:val="53B04B46"/>
    <w:rsid w:val="53E35781"/>
    <w:rsid w:val="548A5849"/>
    <w:rsid w:val="556E3252"/>
    <w:rsid w:val="55C20305"/>
    <w:rsid w:val="562C1372"/>
    <w:rsid w:val="57A75A04"/>
    <w:rsid w:val="586F6917"/>
    <w:rsid w:val="5AE20B01"/>
    <w:rsid w:val="5AFE3B8D"/>
    <w:rsid w:val="5B28184F"/>
    <w:rsid w:val="5B351849"/>
    <w:rsid w:val="5BD668B8"/>
    <w:rsid w:val="5BE74621"/>
    <w:rsid w:val="5BF319D5"/>
    <w:rsid w:val="5C484BDD"/>
    <w:rsid w:val="5CA71212"/>
    <w:rsid w:val="5D523FBD"/>
    <w:rsid w:val="5D861C18"/>
    <w:rsid w:val="5DD15589"/>
    <w:rsid w:val="5DFA5642"/>
    <w:rsid w:val="5E2733FB"/>
    <w:rsid w:val="5E7423B8"/>
    <w:rsid w:val="5E7B544A"/>
    <w:rsid w:val="5F2F0AE3"/>
    <w:rsid w:val="5F683CCB"/>
    <w:rsid w:val="5F717ABA"/>
    <w:rsid w:val="5F7C32D2"/>
    <w:rsid w:val="5F7F7267"/>
    <w:rsid w:val="5F93686E"/>
    <w:rsid w:val="5FCBAD7C"/>
    <w:rsid w:val="5FE7666D"/>
    <w:rsid w:val="5FEFDA6A"/>
    <w:rsid w:val="600264CC"/>
    <w:rsid w:val="603C0CB4"/>
    <w:rsid w:val="604D2EC1"/>
    <w:rsid w:val="60A2320D"/>
    <w:rsid w:val="61C80A51"/>
    <w:rsid w:val="62173786"/>
    <w:rsid w:val="62AA0157"/>
    <w:rsid w:val="62FE04A2"/>
    <w:rsid w:val="63CE4319"/>
    <w:rsid w:val="645C7B76"/>
    <w:rsid w:val="65814C4C"/>
    <w:rsid w:val="65CD2ADA"/>
    <w:rsid w:val="662B5A52"/>
    <w:rsid w:val="68692862"/>
    <w:rsid w:val="69512C35"/>
    <w:rsid w:val="6A5E63F6"/>
    <w:rsid w:val="6AE61F48"/>
    <w:rsid w:val="6AF97ECD"/>
    <w:rsid w:val="6BA918F3"/>
    <w:rsid w:val="6BCAF39D"/>
    <w:rsid w:val="6BDF70C3"/>
    <w:rsid w:val="6BFF8CE0"/>
    <w:rsid w:val="6D4D62AE"/>
    <w:rsid w:val="6E3BE03C"/>
    <w:rsid w:val="6F0B6421"/>
    <w:rsid w:val="6FC1525F"/>
    <w:rsid w:val="6FDF5CB1"/>
    <w:rsid w:val="6FF489EE"/>
    <w:rsid w:val="70B825D8"/>
    <w:rsid w:val="714D4ACF"/>
    <w:rsid w:val="71A566B9"/>
    <w:rsid w:val="72CE2467"/>
    <w:rsid w:val="72D7146D"/>
    <w:rsid w:val="73CF725D"/>
    <w:rsid w:val="73D94D40"/>
    <w:rsid w:val="73E6120B"/>
    <w:rsid w:val="73E7BF5D"/>
    <w:rsid w:val="74A1194E"/>
    <w:rsid w:val="75B94E29"/>
    <w:rsid w:val="763444AF"/>
    <w:rsid w:val="76424E1E"/>
    <w:rsid w:val="764364A0"/>
    <w:rsid w:val="765406AD"/>
    <w:rsid w:val="76876225"/>
    <w:rsid w:val="76F105F2"/>
    <w:rsid w:val="77E3360C"/>
    <w:rsid w:val="77F02658"/>
    <w:rsid w:val="77F7264E"/>
    <w:rsid w:val="77FE05AA"/>
    <w:rsid w:val="780D6D66"/>
    <w:rsid w:val="7819395D"/>
    <w:rsid w:val="78BF0F83"/>
    <w:rsid w:val="798C015E"/>
    <w:rsid w:val="79D12015"/>
    <w:rsid w:val="79DF2984"/>
    <w:rsid w:val="79FFB316"/>
    <w:rsid w:val="7A1C14E2"/>
    <w:rsid w:val="7A21712C"/>
    <w:rsid w:val="7A8F7F06"/>
    <w:rsid w:val="7ACF47A6"/>
    <w:rsid w:val="7AD9571F"/>
    <w:rsid w:val="7AF10BC1"/>
    <w:rsid w:val="7B407452"/>
    <w:rsid w:val="7BFF7CF6"/>
    <w:rsid w:val="7C4F2043"/>
    <w:rsid w:val="7D7FF81D"/>
    <w:rsid w:val="7DCE1112"/>
    <w:rsid w:val="7E417769"/>
    <w:rsid w:val="7EF559C0"/>
    <w:rsid w:val="7F6B048A"/>
    <w:rsid w:val="7FA112F3"/>
    <w:rsid w:val="7FB6C925"/>
    <w:rsid w:val="7FD3358D"/>
    <w:rsid w:val="7FED49A5"/>
    <w:rsid w:val="7FF61661"/>
    <w:rsid w:val="BABE9FD7"/>
    <w:rsid w:val="BDFEF456"/>
    <w:rsid w:val="BEF5040C"/>
    <w:rsid w:val="DBDF6493"/>
    <w:rsid w:val="DFF97075"/>
    <w:rsid w:val="E7EDFC9A"/>
    <w:rsid w:val="E7F78F0E"/>
    <w:rsid w:val="ED7FB1FE"/>
    <w:rsid w:val="EFDE186E"/>
    <w:rsid w:val="F4E98411"/>
    <w:rsid w:val="F7DAA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jc w:val="both"/>
    </w:pPr>
    <w:rPr>
      <w:rFonts w:ascii="宋体" w:hAnsi="宋体" w:eastAsia="宋体" w:cstheme="minorBidi"/>
      <w:kern w:val="2"/>
      <w:sz w:val="24"/>
      <w:szCs w:val="21"/>
      <w:lang w:val="en-US" w:eastAsia="zh-CN" w:bidi="ar-SA"/>
    </w:rPr>
  </w:style>
  <w:style w:type="paragraph" w:styleId="2">
    <w:name w:val="heading 1"/>
    <w:basedOn w:val="1"/>
    <w:next w:val="1"/>
    <w:link w:val="23"/>
    <w:autoRedefine/>
    <w:qFormat/>
    <w:uiPriority w:val="0"/>
    <w:pPr>
      <w:keepNext/>
      <w:keepLines/>
      <w:numPr>
        <w:ilvl w:val="0"/>
        <w:numId w:val="1"/>
      </w:numPr>
      <w:spacing w:before="120" w:after="120"/>
      <w:ind w:firstLine="0" w:firstLineChars="0"/>
      <w:outlineLvl w:val="0"/>
    </w:pPr>
    <w:rPr>
      <w:b/>
      <w:bCs/>
      <w:sz w:val="32"/>
      <w:szCs w:val="28"/>
    </w:rPr>
  </w:style>
  <w:style w:type="paragraph" w:styleId="3">
    <w:name w:val="heading 2"/>
    <w:basedOn w:val="1"/>
    <w:next w:val="1"/>
    <w:link w:val="25"/>
    <w:autoRedefine/>
    <w:qFormat/>
    <w:uiPriority w:val="9"/>
    <w:pPr>
      <w:keepNext/>
      <w:keepLines/>
      <w:numPr>
        <w:ilvl w:val="1"/>
        <w:numId w:val="1"/>
      </w:numPr>
      <w:spacing w:before="120" w:after="120"/>
      <w:ind w:left="567" w:firstLine="0" w:firstLineChars="0"/>
      <w:outlineLvl w:val="1"/>
    </w:pPr>
    <w:rPr>
      <w:b/>
      <w:bCs/>
      <w:sz w:val="30"/>
      <w:szCs w:val="32"/>
    </w:rPr>
  </w:style>
  <w:style w:type="paragraph" w:styleId="4">
    <w:name w:val="heading 3"/>
    <w:basedOn w:val="1"/>
    <w:next w:val="1"/>
    <w:link w:val="26"/>
    <w:autoRedefine/>
    <w:qFormat/>
    <w:uiPriority w:val="0"/>
    <w:pPr>
      <w:keepNext/>
      <w:keepLines/>
      <w:spacing w:before="120" w:after="120"/>
      <w:outlineLvl w:val="2"/>
    </w:pPr>
    <w:rPr>
      <w:b/>
      <w:bCs/>
      <w:sz w:val="28"/>
      <w:szCs w:val="18"/>
    </w:rPr>
  </w:style>
  <w:style w:type="paragraph" w:styleId="5">
    <w:name w:val="heading 4"/>
    <w:basedOn w:val="1"/>
    <w:next w:val="1"/>
    <w:link w:val="27"/>
    <w:autoRedefine/>
    <w:qFormat/>
    <w:uiPriority w:val="0"/>
    <w:pPr>
      <w:keepNext/>
      <w:keepLines/>
      <w:numPr>
        <w:ilvl w:val="3"/>
        <w:numId w:val="1"/>
      </w:numPr>
      <w:spacing w:before="120" w:after="120"/>
      <w:ind w:firstLine="0" w:firstLineChars="0"/>
      <w:outlineLvl w:val="3"/>
    </w:pPr>
    <w:rPr>
      <w:b/>
      <w:bCs/>
      <w:szCs w:val="28"/>
    </w:rPr>
  </w:style>
  <w:style w:type="paragraph" w:styleId="6">
    <w:name w:val="heading 5"/>
    <w:basedOn w:val="1"/>
    <w:next w:val="1"/>
    <w:link w:val="28"/>
    <w:autoRedefine/>
    <w:qFormat/>
    <w:uiPriority w:val="0"/>
    <w:pPr>
      <w:keepNext/>
      <w:keepLines/>
      <w:numPr>
        <w:ilvl w:val="4"/>
        <w:numId w:val="1"/>
      </w:numPr>
      <w:spacing w:before="120" w:after="120"/>
      <w:ind w:firstLine="0" w:firstLineChars="0"/>
      <w:outlineLvl w:val="4"/>
    </w:pPr>
    <w:rPr>
      <w:b/>
      <w:bCs/>
      <w:szCs w:val="28"/>
    </w:rPr>
  </w:style>
  <w:style w:type="paragraph" w:styleId="7">
    <w:name w:val="heading 6"/>
    <w:basedOn w:val="1"/>
    <w:next w:val="1"/>
    <w:link w:val="29"/>
    <w:autoRedefine/>
    <w:qFormat/>
    <w:uiPriority w:val="0"/>
    <w:pPr>
      <w:keepNext/>
      <w:keepLines/>
      <w:numPr>
        <w:ilvl w:val="5"/>
        <w:numId w:val="1"/>
      </w:numPr>
      <w:spacing w:before="120" w:after="120"/>
      <w:ind w:firstLine="0" w:firstLineChars="0"/>
      <w:outlineLvl w:val="5"/>
    </w:pPr>
    <w:rPr>
      <w:b/>
      <w:bCs/>
      <w:szCs w:val="24"/>
    </w:rPr>
  </w:style>
  <w:style w:type="paragraph" w:styleId="8">
    <w:name w:val="heading 7"/>
    <w:basedOn w:val="1"/>
    <w:next w:val="1"/>
    <w:link w:val="30"/>
    <w:qFormat/>
    <w:uiPriority w:val="0"/>
    <w:pPr>
      <w:keepNext/>
      <w:numPr>
        <w:ilvl w:val="6"/>
        <w:numId w:val="1"/>
      </w:numPr>
      <w:spacing w:before="120" w:after="120"/>
      <w:ind w:firstLine="0" w:firstLineChars="0"/>
      <w:outlineLvl w:val="6"/>
    </w:pPr>
    <w:rPr>
      <w:b/>
    </w:rPr>
  </w:style>
  <w:style w:type="paragraph" w:styleId="9">
    <w:name w:val="heading 8"/>
    <w:basedOn w:val="1"/>
    <w:next w:val="1"/>
    <w:link w:val="31"/>
    <w:autoRedefine/>
    <w:qFormat/>
    <w:uiPriority w:val="0"/>
    <w:pPr>
      <w:keepNext/>
      <w:numPr>
        <w:ilvl w:val="7"/>
        <w:numId w:val="1"/>
      </w:numPr>
      <w:spacing w:before="120" w:after="120"/>
      <w:ind w:firstLine="0" w:firstLineChars="0"/>
      <w:outlineLvl w:val="7"/>
    </w:pPr>
    <w:rPr>
      <w:b/>
      <w:iCs/>
    </w:rPr>
  </w:style>
  <w:style w:type="paragraph" w:styleId="10">
    <w:name w:val="heading 9"/>
    <w:basedOn w:val="1"/>
    <w:next w:val="1"/>
    <w:link w:val="32"/>
    <w:autoRedefine/>
    <w:qFormat/>
    <w:uiPriority w:val="0"/>
    <w:pPr>
      <w:keepNext/>
      <w:keepLines/>
      <w:numPr>
        <w:ilvl w:val="8"/>
        <w:numId w:val="1"/>
      </w:numPr>
      <w:tabs>
        <w:tab w:val="left" w:pos="1584"/>
      </w:tabs>
      <w:spacing w:before="120" w:after="120"/>
      <w:ind w:firstLine="0" w:firstLineChars="0"/>
      <w:outlineLvl w:val="8"/>
    </w:pPr>
    <w:rPr>
      <w:b/>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Balloon Text"/>
    <w:basedOn w:val="1"/>
    <w:link w:val="42"/>
    <w:autoRedefine/>
    <w:semiHidden/>
    <w:unhideWhenUsed/>
    <w:qFormat/>
    <w:uiPriority w:val="99"/>
    <w:pPr>
      <w:spacing w:line="240" w:lineRule="auto"/>
    </w:pPr>
    <w:rPr>
      <w:sz w:val="18"/>
      <w:szCs w:val="18"/>
    </w:rPr>
  </w:style>
  <w:style w:type="paragraph" w:styleId="13">
    <w:name w:val="footer"/>
    <w:basedOn w:val="1"/>
    <w:link w:val="38"/>
    <w:autoRedefine/>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7"/>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List"/>
    <w:basedOn w:val="1"/>
    <w:next w:val="1"/>
    <w:autoRedefine/>
    <w:qFormat/>
    <w:uiPriority w:val="0"/>
    <w:pPr>
      <w:ind w:firstLine="0" w:firstLineChars="0"/>
      <w:jc w:val="center"/>
    </w:pPr>
    <w:rPr>
      <w:sz w:val="22"/>
    </w:rPr>
  </w:style>
  <w:style w:type="paragraph" w:styleId="16">
    <w:name w:val="Title"/>
    <w:basedOn w:val="1"/>
    <w:link w:val="24"/>
    <w:autoRedefine/>
    <w:qFormat/>
    <w:uiPriority w:val="0"/>
    <w:pPr>
      <w:ind w:firstLine="0" w:firstLineChars="0"/>
      <w:outlineLvl w:val="0"/>
    </w:pPr>
    <w:rPr>
      <w:rFonts w:eastAsia="黑体" w:cs="Arial"/>
      <w:b/>
      <w:bCs/>
      <w:sz w:val="32"/>
      <w:szCs w:val="32"/>
    </w:rPr>
  </w:style>
  <w:style w:type="paragraph" w:styleId="17">
    <w:name w:val="annotation subject"/>
    <w:basedOn w:val="11"/>
    <w:next w:val="11"/>
    <w:link w:val="48"/>
    <w:autoRedefine/>
    <w:semiHidden/>
    <w:unhideWhenUsed/>
    <w:qFormat/>
    <w:uiPriority w:val="99"/>
    <w:rPr>
      <w:b/>
      <w:bCs/>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semiHidden/>
    <w:unhideWhenUsed/>
    <w:qFormat/>
    <w:uiPriority w:val="99"/>
    <w:rPr>
      <w:color w:val="0000FF"/>
      <w:u w:val="single"/>
    </w:rPr>
  </w:style>
  <w:style w:type="character" w:styleId="22">
    <w:name w:val="annotation reference"/>
    <w:basedOn w:val="20"/>
    <w:autoRedefine/>
    <w:semiHidden/>
    <w:unhideWhenUsed/>
    <w:qFormat/>
    <w:uiPriority w:val="99"/>
    <w:rPr>
      <w:sz w:val="21"/>
      <w:szCs w:val="21"/>
    </w:rPr>
  </w:style>
  <w:style w:type="character" w:customStyle="1" w:styleId="23">
    <w:name w:val="标题 1 Char"/>
    <w:link w:val="2"/>
    <w:autoRedefine/>
    <w:qFormat/>
    <w:uiPriority w:val="0"/>
    <w:rPr>
      <w:rFonts w:ascii="宋体" w:hAnsi="宋体" w:eastAsia="宋体"/>
      <w:b/>
      <w:bCs/>
      <w:sz w:val="32"/>
      <w:szCs w:val="28"/>
    </w:rPr>
  </w:style>
  <w:style w:type="character" w:customStyle="1" w:styleId="24">
    <w:name w:val="标题 Char"/>
    <w:link w:val="16"/>
    <w:autoRedefine/>
    <w:qFormat/>
    <w:uiPriority w:val="0"/>
    <w:rPr>
      <w:rFonts w:ascii="宋体" w:hAnsi="宋体" w:eastAsia="黑体" w:cs="Arial"/>
      <w:b/>
      <w:bCs/>
      <w:sz w:val="32"/>
      <w:szCs w:val="32"/>
    </w:rPr>
  </w:style>
  <w:style w:type="character" w:customStyle="1" w:styleId="25">
    <w:name w:val="标题 2 Char"/>
    <w:link w:val="3"/>
    <w:autoRedefine/>
    <w:qFormat/>
    <w:uiPriority w:val="0"/>
    <w:rPr>
      <w:rFonts w:ascii="宋体" w:hAnsi="宋体" w:eastAsia="宋体"/>
      <w:b/>
      <w:bCs/>
      <w:sz w:val="30"/>
      <w:szCs w:val="32"/>
    </w:rPr>
  </w:style>
  <w:style w:type="character" w:customStyle="1" w:styleId="26">
    <w:name w:val="标题 3 Char"/>
    <w:link w:val="4"/>
    <w:autoRedefine/>
    <w:qFormat/>
    <w:uiPriority w:val="0"/>
    <w:rPr>
      <w:rFonts w:ascii="宋体" w:hAnsi="宋体" w:eastAsia="宋体"/>
      <w:b/>
      <w:bCs/>
      <w:sz w:val="28"/>
      <w:szCs w:val="18"/>
    </w:rPr>
  </w:style>
  <w:style w:type="character" w:customStyle="1" w:styleId="27">
    <w:name w:val="标题 4 Char"/>
    <w:link w:val="5"/>
    <w:autoRedefine/>
    <w:qFormat/>
    <w:uiPriority w:val="0"/>
    <w:rPr>
      <w:rFonts w:ascii="宋体" w:hAnsi="宋体" w:eastAsia="宋体"/>
      <w:b/>
      <w:bCs/>
      <w:sz w:val="24"/>
      <w:szCs w:val="28"/>
    </w:rPr>
  </w:style>
  <w:style w:type="character" w:customStyle="1" w:styleId="28">
    <w:name w:val="标题 5 Char"/>
    <w:link w:val="6"/>
    <w:autoRedefine/>
    <w:qFormat/>
    <w:uiPriority w:val="0"/>
    <w:rPr>
      <w:rFonts w:ascii="宋体" w:hAnsi="宋体" w:eastAsia="宋体"/>
      <w:b/>
      <w:bCs/>
      <w:sz w:val="24"/>
      <w:szCs w:val="28"/>
    </w:rPr>
  </w:style>
  <w:style w:type="character" w:customStyle="1" w:styleId="29">
    <w:name w:val="标题 6 Char"/>
    <w:link w:val="7"/>
    <w:autoRedefine/>
    <w:qFormat/>
    <w:uiPriority w:val="0"/>
    <w:rPr>
      <w:rFonts w:ascii="宋体" w:hAnsi="宋体" w:eastAsia="宋体"/>
      <w:b/>
      <w:bCs/>
      <w:sz w:val="24"/>
      <w:szCs w:val="24"/>
    </w:rPr>
  </w:style>
  <w:style w:type="character" w:customStyle="1" w:styleId="30">
    <w:name w:val="标题 7 Char"/>
    <w:link w:val="8"/>
    <w:autoRedefine/>
    <w:qFormat/>
    <w:uiPriority w:val="0"/>
    <w:rPr>
      <w:rFonts w:ascii="宋体" w:hAnsi="宋体" w:eastAsia="宋体"/>
      <w:b/>
      <w:sz w:val="24"/>
      <w:szCs w:val="21"/>
    </w:rPr>
  </w:style>
  <w:style w:type="character" w:customStyle="1" w:styleId="31">
    <w:name w:val="标题 8 Char"/>
    <w:link w:val="9"/>
    <w:autoRedefine/>
    <w:qFormat/>
    <w:uiPriority w:val="0"/>
    <w:rPr>
      <w:rFonts w:ascii="宋体" w:hAnsi="宋体" w:eastAsia="宋体"/>
      <w:b/>
      <w:iCs/>
      <w:sz w:val="24"/>
      <w:szCs w:val="21"/>
    </w:rPr>
  </w:style>
  <w:style w:type="character" w:customStyle="1" w:styleId="32">
    <w:name w:val="标题 9 Char"/>
    <w:link w:val="10"/>
    <w:autoRedefine/>
    <w:qFormat/>
    <w:uiPriority w:val="0"/>
    <w:rPr>
      <w:rFonts w:ascii="宋体" w:hAnsi="宋体" w:eastAsia="宋体"/>
      <w:b/>
      <w:sz w:val="24"/>
      <w:szCs w:val="21"/>
      <w:lang w:val="zh-CN"/>
    </w:rPr>
  </w:style>
  <w:style w:type="paragraph" w:customStyle="1" w:styleId="33">
    <w:name w:val="表格"/>
    <w:basedOn w:val="1"/>
    <w:next w:val="1"/>
    <w:link w:val="34"/>
    <w:autoRedefine/>
    <w:qFormat/>
    <w:uiPriority w:val="0"/>
    <w:pPr>
      <w:widowControl w:val="0"/>
      <w:ind w:firstLine="0" w:firstLineChars="0"/>
      <w:contextualSpacing/>
    </w:pPr>
    <w:rPr>
      <w:rFonts w:cs="Times New Roman"/>
      <w:color w:val="000000" w:themeColor="text1"/>
      <w:szCs w:val="24"/>
      <w14:textFill>
        <w14:solidFill>
          <w14:schemeClr w14:val="tx1"/>
        </w14:solidFill>
      </w14:textFill>
    </w:rPr>
  </w:style>
  <w:style w:type="character" w:customStyle="1" w:styleId="34">
    <w:name w:val="表格 字符"/>
    <w:basedOn w:val="20"/>
    <w:link w:val="33"/>
    <w:autoRedefine/>
    <w:qFormat/>
    <w:uiPriority w:val="0"/>
    <w:rPr>
      <w:rFonts w:ascii="宋体" w:hAnsi="宋体" w:eastAsia="宋体" w:cs="Times New Roman"/>
      <w:color w:val="000000" w:themeColor="text1"/>
      <w:sz w:val="24"/>
      <w:szCs w:val="24"/>
      <w14:textFill>
        <w14:solidFill>
          <w14:schemeClr w14:val="tx1"/>
        </w14:solidFill>
      </w14:textFill>
    </w:rPr>
  </w:style>
  <w:style w:type="paragraph" w:customStyle="1" w:styleId="35">
    <w:name w:val="居中"/>
    <w:basedOn w:val="1"/>
    <w:next w:val="1"/>
    <w:link w:val="36"/>
    <w:autoRedefine/>
    <w:qFormat/>
    <w:uiPriority w:val="0"/>
    <w:pPr>
      <w:ind w:firstLine="0" w:firstLineChars="0"/>
      <w:jc w:val="center"/>
    </w:pPr>
  </w:style>
  <w:style w:type="character" w:customStyle="1" w:styleId="36">
    <w:name w:val="居中 字符"/>
    <w:basedOn w:val="20"/>
    <w:link w:val="35"/>
    <w:autoRedefine/>
    <w:qFormat/>
    <w:uiPriority w:val="0"/>
    <w:rPr>
      <w:rFonts w:ascii="宋体" w:hAnsi="宋体" w:eastAsia="宋体"/>
      <w:sz w:val="24"/>
      <w:szCs w:val="21"/>
    </w:rPr>
  </w:style>
  <w:style w:type="character" w:customStyle="1" w:styleId="37">
    <w:name w:val="页眉 Char"/>
    <w:basedOn w:val="20"/>
    <w:link w:val="14"/>
    <w:autoRedefine/>
    <w:qFormat/>
    <w:uiPriority w:val="0"/>
    <w:rPr>
      <w:rFonts w:ascii="宋体" w:hAnsi="宋体" w:eastAsia="宋体"/>
      <w:sz w:val="18"/>
      <w:szCs w:val="18"/>
    </w:rPr>
  </w:style>
  <w:style w:type="character" w:customStyle="1" w:styleId="38">
    <w:name w:val="页脚 Char"/>
    <w:basedOn w:val="20"/>
    <w:link w:val="13"/>
    <w:autoRedefine/>
    <w:qFormat/>
    <w:uiPriority w:val="99"/>
    <w:rPr>
      <w:rFonts w:ascii="宋体" w:hAnsi="宋体" w:eastAsia="宋体"/>
      <w:sz w:val="18"/>
      <w:szCs w:val="18"/>
    </w:rPr>
  </w:style>
  <w:style w:type="paragraph" w:styleId="39">
    <w:name w:val="List Paragraph"/>
    <w:basedOn w:val="1"/>
    <w:autoRedefine/>
    <w:qFormat/>
    <w:uiPriority w:val="34"/>
    <w:pPr>
      <w:ind w:firstLine="420"/>
    </w:pPr>
  </w:style>
  <w:style w:type="paragraph" w:customStyle="1" w:styleId="40">
    <w:name w:val="方案_箭头"/>
    <w:basedOn w:val="1"/>
    <w:autoRedefine/>
    <w:qFormat/>
    <w:uiPriority w:val="0"/>
    <w:pPr>
      <w:widowControl w:val="0"/>
      <w:numPr>
        <w:ilvl w:val="0"/>
        <w:numId w:val="2"/>
      </w:numPr>
      <w:ind w:firstLine="0" w:firstLineChars="0"/>
    </w:pPr>
    <w:rPr>
      <w:rFonts w:ascii="仿宋" w:hAnsi="仿宋" w:eastAsia="仿宋" w:cs="Times New Roman"/>
      <w:kern w:val="0"/>
      <w:sz w:val="28"/>
      <w:szCs w:val="28"/>
    </w:rPr>
  </w:style>
  <w:style w:type="paragraph" w:customStyle="1" w:styleId="41">
    <w:name w:val="修订1"/>
    <w:autoRedefine/>
    <w:hidden/>
    <w:semiHidden/>
    <w:qFormat/>
    <w:uiPriority w:val="99"/>
    <w:rPr>
      <w:rFonts w:ascii="宋体" w:hAnsi="宋体" w:eastAsia="宋体" w:cstheme="minorBidi"/>
      <w:kern w:val="2"/>
      <w:sz w:val="24"/>
      <w:szCs w:val="21"/>
      <w:lang w:val="en-US" w:eastAsia="zh-CN" w:bidi="ar-SA"/>
    </w:rPr>
  </w:style>
  <w:style w:type="character" w:customStyle="1" w:styleId="42">
    <w:name w:val="批注框文本 Char"/>
    <w:basedOn w:val="20"/>
    <w:link w:val="12"/>
    <w:autoRedefine/>
    <w:semiHidden/>
    <w:qFormat/>
    <w:uiPriority w:val="99"/>
    <w:rPr>
      <w:rFonts w:ascii="宋体" w:hAnsi="宋体" w:eastAsia="宋体"/>
      <w:sz w:val="18"/>
      <w:szCs w:val="18"/>
    </w:rPr>
  </w:style>
  <w:style w:type="paragraph" w:customStyle="1" w:styleId="43">
    <w:name w:val="图表内容"/>
    <w:basedOn w:val="1"/>
    <w:link w:val="44"/>
    <w:autoRedefine/>
    <w:qFormat/>
    <w:uiPriority w:val="0"/>
    <w:pPr>
      <w:widowControl w:val="0"/>
      <w:adjustRightInd w:val="0"/>
      <w:snapToGrid w:val="0"/>
      <w:ind w:firstLine="0" w:firstLineChars="0"/>
      <w:jc w:val="center"/>
    </w:pPr>
    <w:rPr>
      <w:rFonts w:ascii="Times New Roman" w:hAnsi="Times New Roman"/>
      <w:snapToGrid w:val="0"/>
    </w:rPr>
  </w:style>
  <w:style w:type="character" w:customStyle="1" w:styleId="44">
    <w:name w:val="图表内容 字符"/>
    <w:basedOn w:val="20"/>
    <w:link w:val="43"/>
    <w:autoRedefine/>
    <w:qFormat/>
    <w:uiPriority w:val="0"/>
    <w:rPr>
      <w:rFonts w:ascii="Times New Roman" w:hAnsi="Times New Roman" w:eastAsia="宋体"/>
      <w:snapToGrid w:val="0"/>
      <w:sz w:val="24"/>
      <w:szCs w:val="21"/>
    </w:rPr>
  </w:style>
  <w:style w:type="paragraph" w:customStyle="1" w:styleId="45">
    <w:name w:val="修订2"/>
    <w:autoRedefine/>
    <w:hidden/>
    <w:unhideWhenUsed/>
    <w:qFormat/>
    <w:uiPriority w:val="99"/>
    <w:rPr>
      <w:rFonts w:ascii="宋体" w:hAnsi="宋体" w:eastAsia="宋体" w:cstheme="minorBidi"/>
      <w:kern w:val="2"/>
      <w:sz w:val="24"/>
      <w:szCs w:val="21"/>
      <w:lang w:val="en-US" w:eastAsia="zh-CN" w:bidi="ar-SA"/>
    </w:rPr>
  </w:style>
  <w:style w:type="paragraph" w:customStyle="1" w:styleId="46">
    <w:name w:val="修订3"/>
    <w:autoRedefine/>
    <w:hidden/>
    <w:unhideWhenUsed/>
    <w:qFormat/>
    <w:uiPriority w:val="99"/>
    <w:rPr>
      <w:rFonts w:ascii="宋体" w:hAnsi="宋体" w:eastAsia="宋体" w:cstheme="minorBidi"/>
      <w:kern w:val="2"/>
      <w:sz w:val="24"/>
      <w:szCs w:val="21"/>
      <w:lang w:val="en-US" w:eastAsia="zh-CN" w:bidi="ar-SA"/>
    </w:rPr>
  </w:style>
  <w:style w:type="character" w:customStyle="1" w:styleId="47">
    <w:name w:val="批注文字 Char"/>
    <w:basedOn w:val="20"/>
    <w:link w:val="11"/>
    <w:autoRedefine/>
    <w:qFormat/>
    <w:uiPriority w:val="99"/>
    <w:rPr>
      <w:rFonts w:ascii="宋体" w:hAnsi="宋体" w:cstheme="minorBidi"/>
      <w:kern w:val="2"/>
      <w:sz w:val="24"/>
      <w:szCs w:val="21"/>
    </w:rPr>
  </w:style>
  <w:style w:type="character" w:customStyle="1" w:styleId="48">
    <w:name w:val="批注主题 Char"/>
    <w:basedOn w:val="47"/>
    <w:link w:val="17"/>
    <w:autoRedefine/>
    <w:semiHidden/>
    <w:qFormat/>
    <w:uiPriority w:val="99"/>
    <w:rPr>
      <w:rFonts w:ascii="宋体" w:hAnsi="宋体" w:cstheme="minorBidi"/>
      <w:b/>
      <w:bCs/>
      <w:kern w:val="2"/>
      <w:sz w:val="24"/>
      <w:szCs w:val="21"/>
    </w:rPr>
  </w:style>
  <w:style w:type="character" w:customStyle="1" w:styleId="49">
    <w:name w:val="font21"/>
    <w:basedOn w:val="20"/>
    <w:autoRedefine/>
    <w:qFormat/>
    <w:uiPriority w:val="0"/>
    <w:rPr>
      <w:rFonts w:hint="default" w:ascii="Times New Roman" w:hAnsi="Times New Roman" w:cs="Times New Roman"/>
      <w:color w:val="000000"/>
      <w:sz w:val="21"/>
      <w:szCs w:val="21"/>
      <w:u w:val="none"/>
    </w:rPr>
  </w:style>
  <w:style w:type="paragraph" w:customStyle="1" w:styleId="50">
    <w:name w:val="修订4"/>
    <w:autoRedefine/>
    <w:hidden/>
    <w:semiHidden/>
    <w:qFormat/>
    <w:uiPriority w:val="99"/>
    <w:rPr>
      <w:rFonts w:ascii="宋体" w:hAnsi="宋体" w:eastAsia="宋体" w:cstheme="minorBidi"/>
      <w:kern w:val="2"/>
      <w:sz w:val="24"/>
      <w:szCs w:val="21"/>
      <w:lang w:val="en-US" w:eastAsia="zh-CN" w:bidi="ar-SA"/>
    </w:rPr>
  </w:style>
  <w:style w:type="paragraph" w:customStyle="1" w:styleId="51">
    <w:name w:val="修订5"/>
    <w:hidden/>
    <w:unhideWhenUsed/>
    <w:qFormat/>
    <w:uiPriority w:val="99"/>
    <w:rPr>
      <w:rFonts w:ascii="宋体" w:hAnsi="宋体" w:eastAsia="宋体" w:cstheme="minorBidi"/>
      <w:kern w:val="2"/>
      <w:sz w:val="24"/>
      <w:szCs w:val="21"/>
      <w:lang w:val="en-US" w:eastAsia="zh-CN" w:bidi="ar-SA"/>
    </w:rPr>
  </w:style>
  <w:style w:type="paragraph" w:customStyle="1" w:styleId="52">
    <w:name w:val="修订6"/>
    <w:hidden/>
    <w:unhideWhenUsed/>
    <w:qFormat/>
    <w:uiPriority w:val="99"/>
    <w:rPr>
      <w:rFonts w:ascii="宋体" w:hAnsi="宋体" w:eastAsia="宋体" w:cstheme="minorBidi"/>
      <w:kern w:val="2"/>
      <w:sz w:val="24"/>
      <w:szCs w:val="21"/>
      <w:lang w:val="en-US" w:eastAsia="zh-CN" w:bidi="ar-SA"/>
    </w:rPr>
  </w:style>
  <w:style w:type="paragraph" w:customStyle="1" w:styleId="53">
    <w:name w:val="样式 正文缩进1 + 宋体 小四 首行缩进:  2 字符 行距: 1.5 倍行距"/>
    <w:basedOn w:val="54"/>
    <w:qFormat/>
    <w:uiPriority w:val="0"/>
    <w:pPr>
      <w:spacing w:line="360" w:lineRule="auto"/>
      <w:ind w:firstLine="480"/>
    </w:pPr>
    <w:rPr>
      <w:rFonts w:ascii="宋体" w:hAnsi="宋体" w:cs="宋体"/>
      <w:sz w:val="24"/>
    </w:rPr>
  </w:style>
  <w:style w:type="paragraph" w:customStyle="1" w:styleId="54">
    <w:name w:val="正文缩进1"/>
    <w:basedOn w:val="1"/>
    <w:qFormat/>
    <w:uiPriority w:val="0"/>
    <w:pPr>
      <w:spacing w:line="240" w:lineRule="auto"/>
      <w:ind w:firstLine="420"/>
    </w:pPr>
    <w:rPr>
      <w:rFonts w:ascii="Times New Roman" w:hAnsi="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1680</Words>
  <Characters>9582</Characters>
  <Lines>79</Lines>
  <Paragraphs>22</Paragraphs>
  <TotalTime>2</TotalTime>
  <ScaleCrop>false</ScaleCrop>
  <LinksUpToDate>false</LinksUpToDate>
  <CharactersWithSpaces>11240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2025-02-08T21:34:00Z</dcterms:created>
  <dc:creator>森 王</dc:creator>
  <cp:lastModifiedBy>高际航</cp:lastModifiedBy>
  <cp:lastPrinted>2025-01-17T17:33:00Z</cp:lastPrinted>
  <dcterms:modified xsi:type="dcterms:W3CDTF">2025-02-20T10:00:29Z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96F851825546C71A67F4B36744B7D75E_43</vt:lpwstr>
  </property>
  <property fmtid="{D5CDD505-2E9C-101B-9397-08002B2CF9AE}" pid="4" name="KSOTemplateDocerSaveRecord">
    <vt:lpwstr>eyJoZGlkIjoiYjFkNTBhN2Y0YjE2YjQ5NWYwYmVjNzM1MDQwZGMxN2EiLCJ1c2VySWQiOiIzOTAzNzUxOTcifQ==</vt:lpwstr>
  </property>
</Properties>
</file>