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313" w:line="360" w:lineRule="auto"/>
        <w:ind w:left="40"/>
        <w:jc w:val="center"/>
        <w:outlineLvl w:val="0"/>
        <w:rPr>
          <w:rFonts w:hint="eastAsia" w:ascii="宋体" w:hAnsi="宋体" w:eastAsia="宋体" w:cs="宋体"/>
          <w:b/>
          <w:bCs/>
          <w:spacing w:val="12"/>
          <w:sz w:val="32"/>
          <w:szCs w:val="32"/>
          <w:lang w:val="en-US" w:eastAsia="zh-CN"/>
        </w:rPr>
      </w:pPr>
      <w:r>
        <w:rPr>
          <w:rFonts w:hint="eastAsia" w:ascii="宋体" w:hAnsi="宋体" w:eastAsia="宋体" w:cs="宋体"/>
          <w:b/>
          <w:bCs/>
          <w:spacing w:val="12"/>
          <w:sz w:val="32"/>
          <w:szCs w:val="32"/>
          <w:lang w:eastAsia="zh-CN"/>
        </w:rPr>
        <w:t>上海工艺美术职业学院宿舍楼家具采购需求</w:t>
      </w:r>
    </w:p>
    <w:p>
      <w:pPr>
        <w:pStyle w:val="4"/>
        <w:spacing w:before="313" w:line="360" w:lineRule="auto"/>
        <w:ind w:left="40" w:firstLine="470" w:firstLineChars="200"/>
        <w:outlineLvl w:val="0"/>
        <w:rPr>
          <w:rFonts w:hint="eastAsia" w:ascii="宋体" w:hAnsi="宋体" w:eastAsia="宋体" w:cs="宋体"/>
          <w:b/>
          <w:bCs/>
          <w:sz w:val="21"/>
          <w:szCs w:val="21"/>
          <w:lang w:eastAsia="zh-CN"/>
        </w:rPr>
      </w:pPr>
      <w:r>
        <w:rPr>
          <w:rFonts w:hint="eastAsia" w:ascii="宋体" w:hAnsi="宋体" w:eastAsia="宋体" w:cs="宋体"/>
          <w:b/>
          <w:bCs/>
          <w:spacing w:val="12"/>
          <w:sz w:val="21"/>
          <w:szCs w:val="21"/>
          <w:lang w:eastAsia="zh-CN"/>
        </w:rPr>
        <w:t>一、项目背景</w:t>
      </w:r>
    </w:p>
    <w:p>
      <w:pPr>
        <w:pStyle w:val="18"/>
        <w:widowControl/>
        <w:numPr>
          <w:ilvl w:val="0"/>
          <w:numId w:val="1"/>
        </w:numPr>
        <w:spacing w:line="360" w:lineRule="auto"/>
        <w:ind w:firstLineChars="0"/>
        <w:rPr>
          <w:rFonts w:cs="宋体"/>
          <w:color w:val="000000"/>
          <w:kern w:val="0"/>
          <w:szCs w:val="21"/>
        </w:rPr>
      </w:pPr>
      <w:r>
        <w:rPr>
          <w:rFonts w:hint="eastAsia" w:cs="宋体"/>
          <w:color w:val="000000"/>
          <w:kern w:val="0"/>
          <w:szCs w:val="21"/>
        </w:rPr>
        <w:t>项目名称：</w:t>
      </w:r>
      <w:r>
        <w:rPr>
          <w:rFonts w:hint="eastAsia" w:ascii="Helvetica" w:hAnsi="Helvetica" w:cs="Helvetica"/>
          <w:color w:val="333333"/>
          <w:szCs w:val="21"/>
        </w:rPr>
        <w:t>上海工艺美术职业学院宿舍</w:t>
      </w:r>
      <w:r>
        <w:rPr>
          <w:rFonts w:hint="eastAsia" w:ascii="Helvetica" w:hAnsi="Helvetica" w:cs="Helvetica"/>
          <w:color w:val="333333"/>
          <w:szCs w:val="21"/>
          <w:shd w:val="clear" w:color="auto" w:fill="FFFFFF"/>
        </w:rPr>
        <w:t>楼家具</w:t>
      </w:r>
    </w:p>
    <w:p>
      <w:pPr>
        <w:pStyle w:val="18"/>
        <w:widowControl/>
        <w:numPr>
          <w:ilvl w:val="0"/>
          <w:numId w:val="1"/>
        </w:numPr>
        <w:spacing w:line="360" w:lineRule="auto"/>
        <w:ind w:firstLineChars="0"/>
        <w:rPr>
          <w:rFonts w:cs="宋体"/>
          <w:color w:val="000000"/>
          <w:kern w:val="0"/>
          <w:szCs w:val="21"/>
        </w:rPr>
      </w:pPr>
      <w:r>
        <w:rPr>
          <w:rFonts w:hint="eastAsia" w:cs="宋体"/>
          <w:color w:val="000000"/>
          <w:kern w:val="0"/>
          <w:szCs w:val="21"/>
        </w:rPr>
        <w:t>送货安装地点：</w:t>
      </w:r>
      <w:r>
        <w:rPr>
          <w:rFonts w:ascii="宋体" w:hAnsi="宋体" w:cs="Helvetica"/>
          <w:color w:val="333333"/>
          <w:szCs w:val="21"/>
          <w:shd w:val="clear" w:color="auto" w:fill="FFFFFF"/>
        </w:rPr>
        <w:t>上海市嘉定区嘉行公路</w:t>
      </w:r>
      <w:r>
        <w:rPr>
          <w:rFonts w:ascii="宋体" w:hAnsi="宋体" w:cs="Helvetica"/>
          <w:color w:val="333333"/>
          <w:szCs w:val="21"/>
        </w:rPr>
        <w:t>851号</w:t>
      </w:r>
    </w:p>
    <w:p>
      <w:pPr>
        <w:pStyle w:val="18"/>
        <w:widowControl/>
        <w:numPr>
          <w:ilvl w:val="0"/>
          <w:numId w:val="1"/>
        </w:numPr>
        <w:spacing w:line="360" w:lineRule="auto"/>
        <w:ind w:firstLineChars="0"/>
        <w:rPr>
          <w:rFonts w:hint="eastAsia" w:ascii="宋体" w:hAnsi="宋体"/>
          <w:b/>
          <w:szCs w:val="21"/>
        </w:rPr>
      </w:pPr>
      <w:r>
        <w:rPr>
          <w:rFonts w:cs="宋体"/>
          <w:color w:val="000000"/>
          <w:kern w:val="0"/>
          <w:szCs w:val="21"/>
        </w:rPr>
        <w:t>预算金额及最高限价：</w:t>
      </w:r>
      <w:r>
        <w:rPr>
          <w:rFonts w:hint="eastAsia" w:cs="宋体"/>
          <w:color w:val="000000"/>
          <w:kern w:val="0"/>
          <w:szCs w:val="21"/>
        </w:rPr>
        <w:t>4960480</w:t>
      </w:r>
      <w:r>
        <w:rPr>
          <w:rFonts w:cs="宋体"/>
          <w:color w:val="000000"/>
          <w:kern w:val="0"/>
          <w:szCs w:val="21"/>
        </w:rPr>
        <w:t>元</w:t>
      </w:r>
    </w:p>
    <w:p>
      <w:pPr>
        <w:pStyle w:val="4"/>
        <w:spacing w:before="44" w:line="360" w:lineRule="auto"/>
        <w:ind w:firstLine="420" w:firstLineChars="200"/>
        <w:jc w:val="both"/>
        <w:rPr>
          <w:rFonts w:hint="eastAsia" w:ascii="宋体" w:hAnsi="宋体" w:eastAsia="宋体" w:cs="宋体"/>
          <w:sz w:val="21"/>
          <w:szCs w:val="21"/>
          <w:lang w:val="en-US" w:eastAsia="zh-CN"/>
        </w:rPr>
      </w:pPr>
    </w:p>
    <w:p>
      <w:pPr>
        <w:pStyle w:val="4"/>
        <w:numPr>
          <w:ilvl w:val="0"/>
          <w:numId w:val="0"/>
        </w:numPr>
        <w:spacing w:before="44" w:line="360" w:lineRule="auto"/>
        <w:ind w:left="50" w:leftChars="0" w:firstLine="422" w:firstLineChars="200"/>
        <w:jc w:val="both"/>
        <w:outlineLvl w:val="0"/>
        <w:rPr>
          <w:rFonts w:hint="eastAsia" w:ascii="宋体" w:hAnsi="宋体" w:eastAsia="宋体" w:cs="宋体"/>
          <w:b/>
          <w:bCs/>
          <w:sz w:val="21"/>
          <w:szCs w:val="21"/>
          <w:lang w:eastAsia="zh-CN"/>
        </w:rPr>
      </w:pPr>
      <w:r>
        <w:rPr>
          <w:rFonts w:hint="eastAsia" w:ascii="宋体" w:hAnsi="宋体" w:eastAsia="宋体" w:cs="宋体"/>
          <w:b/>
          <w:bCs/>
          <w:snapToGrid w:val="0"/>
          <w:color w:val="000000"/>
          <w:sz w:val="21"/>
          <w:szCs w:val="21"/>
          <w:lang w:val="en-US" w:eastAsia="zh-CN" w:bidi="ar-SA"/>
        </w:rPr>
        <w:t>二、</w:t>
      </w:r>
      <w:r>
        <w:rPr>
          <w:rFonts w:hint="eastAsia" w:ascii="宋体" w:hAnsi="宋体" w:eastAsia="宋体" w:cs="宋体"/>
          <w:b/>
          <w:bCs/>
          <w:sz w:val="21"/>
          <w:szCs w:val="21"/>
          <w:lang w:eastAsia="zh-CN"/>
        </w:rPr>
        <w:t>需执行的国家相关标准、行业标准或其他标准、规范</w:t>
      </w:r>
    </w:p>
    <w:p>
      <w:pPr>
        <w:pStyle w:val="5"/>
        <w:spacing w:line="360" w:lineRule="auto"/>
        <w:ind w:left="0" w:leftChars="0" w:firstLine="422" w:firstLineChars="200"/>
        <w:outlineLvl w:val="1"/>
        <w:rPr>
          <w:rFonts w:hint="eastAsia" w:ascii="宋体" w:hAnsi="宋体" w:eastAsia="宋体" w:cs="宋体"/>
          <w:b/>
          <w:bCs/>
          <w:sz w:val="21"/>
          <w:szCs w:val="21"/>
          <w:lang w:eastAsia="zh-CN"/>
        </w:rPr>
      </w:pPr>
      <w:bookmarkStart w:id="0" w:name="_Toc8379"/>
      <w:bookmarkStart w:id="1" w:name="_Toc25898_WPSOffice_Level2"/>
      <w:r>
        <w:rPr>
          <w:rFonts w:hint="eastAsia" w:ascii="宋体" w:hAnsi="宋体" w:eastAsia="宋体" w:cs="宋体"/>
          <w:b/>
          <w:bCs/>
          <w:sz w:val="21"/>
          <w:szCs w:val="21"/>
          <w:lang w:eastAsia="zh-CN"/>
        </w:rPr>
        <w:t>（一）强制性标准</w:t>
      </w:r>
      <w:bookmarkEnd w:id="0"/>
      <w:bookmarkEnd w:id="1"/>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18583-2008 《室内装饰装修材料 胶粘剂中有害物质限量》；</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6566-2010 《建筑材料放射性核素限量》；</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18584-2001《室内装饰装修材料木家具中有害物质限量》；</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18580-2017 《室内装饰装修材料人造板及其制品中甲醛释放限量》；</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18581-2020《木器涂料中有害物质限量》；</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GB18581-2009《室内装饰装修材料溶剂型木器涂料中有害物质限量》；</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 28481-2012《塑料家具中有害物质限量》。</w:t>
      </w:r>
    </w:p>
    <w:p>
      <w:pPr>
        <w:pStyle w:val="5"/>
        <w:spacing w:line="360" w:lineRule="auto"/>
        <w:ind w:left="0" w:leftChars="0" w:firstLine="422" w:firstLineChars="200"/>
        <w:outlineLvl w:val="1"/>
        <w:rPr>
          <w:rFonts w:hint="eastAsia" w:ascii="宋体" w:hAnsi="宋体" w:eastAsia="宋体" w:cs="宋体"/>
          <w:b/>
          <w:bCs/>
          <w:sz w:val="21"/>
          <w:szCs w:val="21"/>
          <w:lang w:eastAsia="zh-CN"/>
        </w:rPr>
      </w:pPr>
      <w:bookmarkStart w:id="2" w:name="_Toc25730_WPSOffice_Level2"/>
      <w:bookmarkStart w:id="3" w:name="_Toc16007"/>
      <w:bookmarkStart w:id="4" w:name="_Toc227555682"/>
      <w:r>
        <w:rPr>
          <w:rFonts w:hint="eastAsia" w:ascii="宋体" w:hAnsi="宋体" w:eastAsia="宋体" w:cs="宋体"/>
          <w:b/>
          <w:bCs/>
          <w:sz w:val="21"/>
          <w:szCs w:val="21"/>
          <w:lang w:eastAsia="zh-CN"/>
        </w:rPr>
        <w:t>（二）质量及技术标准</w:t>
      </w:r>
      <w:bookmarkEnd w:id="2"/>
      <w:bookmarkEnd w:id="3"/>
      <w:bookmarkEnd w:id="4"/>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35601-2017《绿色产品评价 人造板和木质地板》；</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QB/T 2189-2013《家具五金 杯状暗铰链》；</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2454-2013 《家具五金 抽屉导轨》；</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3325-2017 《金属家具通用技术条件》；</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QB/T 2280-2016《办公家具 办公椅》；</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35607-2017《绿色产品评价 家具》；</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 3324-2017《木家具通用技术条件》；</w:t>
      </w:r>
    </w:p>
    <w:p>
      <w:pPr>
        <w:pStyle w:val="5"/>
        <w:spacing w:line="360" w:lineRule="auto"/>
        <w:ind w:left="0" w:leftChars="0" w:firstLine="422" w:firstLineChars="200"/>
        <w:rPr>
          <w:rFonts w:hint="eastAsia" w:ascii="宋体" w:hAnsi="宋体" w:eastAsia="宋体" w:cs="宋体"/>
          <w:b/>
          <w:bCs/>
          <w:color w:val="FF0000"/>
          <w:sz w:val="21"/>
          <w:szCs w:val="21"/>
          <w:lang w:eastAsia="zh-CN"/>
        </w:rPr>
      </w:pPr>
      <w:r>
        <w:rPr>
          <w:rFonts w:hint="eastAsia" w:ascii="宋体" w:hAnsi="宋体" w:eastAsia="宋体" w:cs="宋体"/>
          <w:b/>
          <w:bCs/>
          <w:sz w:val="21"/>
          <w:szCs w:val="21"/>
          <w:lang w:eastAsia="zh-CN"/>
        </w:rPr>
        <w:t>及其他与本次采购的家具相关的现行最新标准</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HG/T 2006-2006（2017） 《热固性粉末涂料标准》</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GB/T39600-2021</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人造板及其制品甲醛释放量分级》</w:t>
      </w:r>
    </w:p>
    <w:p>
      <w:pPr>
        <w:pStyle w:val="5"/>
        <w:spacing w:line="360" w:lineRule="auto"/>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GB/T4071《课桌椅检测标准》</w:t>
      </w: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rPr>
          <w:rFonts w:hint="eastAsia"/>
          <w:lang w:eastAsia="zh-CN"/>
        </w:rPr>
      </w:pP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rPr>
          <w:rFonts w:hint="eastAsia"/>
          <w:lang w:eastAsia="zh-CN"/>
        </w:rPr>
      </w:pPr>
    </w:p>
    <w:p>
      <w:pPr>
        <w:numPr>
          <w:ilvl w:val="0"/>
          <w:numId w:val="2"/>
        </w:numPr>
        <w:spacing w:before="120" w:line="360" w:lineRule="auto"/>
        <w:ind w:left="160"/>
        <w:outlineLvl w:val="6"/>
        <w:rPr>
          <w:rFonts w:hint="eastAsia" w:ascii="宋体" w:hAnsi="宋体" w:eastAsia="宋体" w:cs="宋体"/>
          <w:b/>
          <w:bCs/>
          <w:color w:val="FF0000"/>
          <w:sz w:val="21"/>
          <w:szCs w:val="21"/>
          <w:lang w:eastAsia="zh-CN"/>
        </w:rPr>
      </w:pPr>
      <w:r>
        <w:rPr>
          <w:rFonts w:hint="eastAsia" w:ascii="宋体" w:hAnsi="宋体" w:eastAsia="宋体" w:cs="宋体"/>
          <w:b/>
          <w:bCs/>
          <w:spacing w:val="-2"/>
          <w:sz w:val="21"/>
          <w:szCs w:val="21"/>
          <w:lang w:eastAsia="zh-CN"/>
        </w:rPr>
        <w:t>采购品目分类、参考样式、规格、基本组成、质量标准等要求</w:t>
      </w:r>
    </w:p>
    <w:p>
      <w:pPr>
        <w:numPr>
          <w:ilvl w:val="0"/>
          <w:numId w:val="0"/>
        </w:numPr>
        <w:spacing w:before="120" w:line="360" w:lineRule="auto"/>
        <w:outlineLvl w:val="0"/>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采购清单：</w:t>
      </w:r>
    </w:p>
    <w:tbl>
      <w:tblPr>
        <w:tblStyle w:val="10"/>
        <w:tblW w:w="503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3"/>
        <w:gridCol w:w="1372"/>
        <w:gridCol w:w="2326"/>
        <w:gridCol w:w="1027"/>
        <w:gridCol w:w="762"/>
        <w:gridCol w:w="5580"/>
        <w:gridCol w:w="72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等线" w:hAnsi="等线" w:eastAsia="等线" w:cs="等线"/>
                <w:b/>
                <w:bCs/>
                <w:i w:val="0"/>
                <w:iCs w:val="0"/>
                <w:color w:val="000000"/>
                <w:sz w:val="28"/>
                <w:szCs w:val="28"/>
                <w:u w:val="none"/>
              </w:rPr>
            </w:pPr>
            <w:r>
              <w:rPr>
                <w:rFonts w:hint="eastAsia" w:ascii="等线" w:hAnsi="等线" w:eastAsia="等线" w:cs="等线"/>
                <w:b/>
                <w:bCs/>
                <w:i w:val="0"/>
                <w:iCs w:val="0"/>
                <w:snapToGrid w:val="0"/>
                <w:color w:val="000000"/>
                <w:kern w:val="0"/>
                <w:sz w:val="28"/>
                <w:szCs w:val="28"/>
                <w:u w:val="none"/>
                <w:lang w:val="en-US" w:eastAsia="zh-CN" w:bidi="ar"/>
              </w:rPr>
              <w:t>序号</w:t>
            </w:r>
          </w:p>
        </w:tc>
        <w:tc>
          <w:tcPr>
            <w:tcW w:w="359"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snapToGrid w:val="0"/>
                <w:color w:val="000000"/>
                <w:kern w:val="0"/>
                <w:sz w:val="28"/>
                <w:szCs w:val="28"/>
                <w:u w:val="none"/>
                <w:lang w:val="en-US" w:eastAsia="zh-CN" w:bidi="ar"/>
              </w:rPr>
              <w:t>名称</w:t>
            </w:r>
          </w:p>
        </w:tc>
        <w:tc>
          <w:tcPr>
            <w:tcW w:w="609"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snapToGrid w:val="0"/>
                <w:color w:val="000000"/>
                <w:kern w:val="0"/>
                <w:sz w:val="28"/>
                <w:szCs w:val="28"/>
                <w:u w:val="none"/>
                <w:lang w:val="en-US" w:eastAsia="zh-CN" w:bidi="ar"/>
              </w:rPr>
              <w:t>规格</w:t>
            </w:r>
          </w:p>
        </w:tc>
        <w:tc>
          <w:tcPr>
            <w:tcW w:w="269"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snapToGrid w:val="0"/>
                <w:color w:val="000000"/>
                <w:kern w:val="0"/>
                <w:sz w:val="28"/>
                <w:szCs w:val="28"/>
                <w:u w:val="none"/>
                <w:lang w:val="en-US" w:eastAsia="zh-CN" w:bidi="ar"/>
              </w:rPr>
              <w:t>总数量</w:t>
            </w:r>
          </w:p>
        </w:tc>
        <w:tc>
          <w:tcPr>
            <w:tcW w:w="199"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snapToGrid w:val="0"/>
                <w:color w:val="000000"/>
                <w:kern w:val="0"/>
                <w:sz w:val="28"/>
                <w:szCs w:val="28"/>
                <w:u w:val="none"/>
                <w:lang w:val="en-US" w:eastAsia="zh-CN" w:bidi="ar"/>
              </w:rPr>
              <w:t>单位</w:t>
            </w:r>
          </w:p>
        </w:tc>
        <w:tc>
          <w:tcPr>
            <w:tcW w:w="1462"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snapToGrid w:val="0"/>
                <w:color w:val="000000"/>
                <w:kern w:val="0"/>
                <w:sz w:val="28"/>
                <w:szCs w:val="28"/>
                <w:u w:val="none"/>
                <w:lang w:val="en-US" w:eastAsia="zh-CN" w:bidi="ar"/>
              </w:rPr>
              <w:t>款式</w:t>
            </w:r>
          </w:p>
        </w:tc>
        <w:tc>
          <w:tcPr>
            <w:tcW w:w="1902"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snapToGrid w:val="0"/>
                <w:color w:val="000000"/>
                <w:kern w:val="0"/>
                <w:sz w:val="28"/>
                <w:szCs w:val="28"/>
                <w:u w:val="none"/>
                <w:lang w:val="en-US" w:eastAsia="zh-CN" w:bidi="ar"/>
              </w:rPr>
              <w:t>材质说明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63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36"/>
                <w:szCs w:val="36"/>
                <w:u w:val="none"/>
              </w:rPr>
            </w:pPr>
            <w:r>
              <w:rPr>
                <w:rFonts w:hint="eastAsia" w:ascii="等线" w:hAnsi="等线" w:eastAsia="等线" w:cs="等线"/>
                <w:b/>
                <w:bCs/>
                <w:i w:val="0"/>
                <w:iCs w:val="0"/>
                <w:snapToGrid w:val="0"/>
                <w:color w:val="000000"/>
                <w:kern w:val="0"/>
                <w:sz w:val="36"/>
                <w:szCs w:val="36"/>
                <w:u w:val="none"/>
                <w:lang w:val="en-US" w:eastAsia="zh-CN" w:bidi="ar"/>
              </w:rPr>
              <w:t>学生宿舍D栋、K栋</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u w:val="none"/>
              </w:rPr>
            </w:pPr>
          </w:p>
        </w:tc>
        <w:tc>
          <w:tcPr>
            <w:tcW w:w="190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1</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学生公寓床</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三人连体规格5864*900*2200/3000</w:t>
            </w:r>
          </w:p>
        </w:tc>
        <w:tc>
          <w:tcPr>
            <w:tcW w:w="2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1308</w:t>
            </w:r>
          </w:p>
        </w:tc>
        <w:tc>
          <w:tcPr>
            <w:tcW w:w="1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位</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drawing>
                <wp:inline distT="0" distB="0" distL="114300" distR="114300">
                  <wp:extent cx="3185160" cy="2529840"/>
                  <wp:effectExtent l="0" t="0" r="0" b="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5"/>
                          <a:stretch>
                            <a:fillRect/>
                          </a:stretch>
                        </pic:blipFill>
                        <pic:spPr>
                          <a:xfrm>
                            <a:off x="0" y="0"/>
                            <a:ext cx="3185160" cy="2529840"/>
                          </a:xfrm>
                          <a:prstGeom prst="rect">
                            <a:avLst/>
                          </a:prstGeom>
                          <a:noFill/>
                          <a:ln>
                            <a:noFill/>
                          </a:ln>
                        </pic:spPr>
                      </pic:pic>
                    </a:graphicData>
                  </a:graphic>
                </wp:inline>
              </w:drawing>
            </w:r>
            <w:r>
              <w:drawing>
                <wp:inline distT="0" distB="0" distL="114300" distR="114300">
                  <wp:extent cx="3178810" cy="2538730"/>
                  <wp:effectExtent l="0" t="0" r="6350" b="635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6"/>
                          <a:stretch>
                            <a:fillRect/>
                          </a:stretch>
                        </pic:blipFill>
                        <pic:spPr>
                          <a:xfrm>
                            <a:off x="0" y="0"/>
                            <a:ext cx="3178810" cy="2538730"/>
                          </a:xfrm>
                          <a:prstGeom prst="rect">
                            <a:avLst/>
                          </a:prstGeom>
                          <a:noFill/>
                          <a:ln w="9525">
                            <a:noFill/>
                          </a:ln>
                        </pic:spPr>
                      </pic:pic>
                    </a:graphicData>
                  </a:graphic>
                </wp:inline>
              </w:drawing>
            </w:r>
          </w:p>
        </w:tc>
        <w:tc>
          <w:tcPr>
            <w:tcW w:w="19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40" w:afterAutospacing="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公寓床架</w:t>
            </w:r>
          </w:p>
          <w:p>
            <w:pPr>
              <w:keepNext w:val="0"/>
              <w:keepLines w:val="0"/>
              <w:widowControl/>
              <w:suppressLineNumbers w:val="0"/>
              <w:spacing w:after="240" w:afterAutospacing="0"/>
              <w:jc w:val="left"/>
              <w:textAlignment w:val="center"/>
              <w:rPr>
                <w:rStyle w:val="20"/>
                <w:snapToGrid w:val="0"/>
                <w:lang w:val="en-US" w:eastAsia="zh-CN" w:bidi="ar"/>
              </w:rPr>
            </w:pPr>
            <w:r>
              <w:rPr>
                <w:rFonts w:hint="eastAsia" w:ascii="等线" w:hAnsi="等线" w:eastAsia="等线" w:cs="等线"/>
                <w:i w:val="0"/>
                <w:iCs w:val="0"/>
                <w:snapToGrid w:val="0"/>
                <w:color w:val="000000"/>
                <w:kern w:val="0"/>
                <w:sz w:val="24"/>
                <w:szCs w:val="24"/>
                <w:u w:val="none"/>
                <w:lang w:val="en-US" w:eastAsia="zh-CN" w:bidi="ar"/>
              </w:rPr>
              <w:t>（1）床立柱采用周长不小于315MM闭口型钢管，壁厚≥1.5mm,</w:t>
            </w:r>
            <w:r>
              <w:rPr>
                <w:rStyle w:val="19"/>
                <w:snapToGrid w:val="0"/>
                <w:lang w:val="en-US" w:eastAsia="zh-CN" w:bidi="ar"/>
              </w:rPr>
              <w:t>钢管外圆带有2股由外向内凹槽以增加钢管强度（厂家可自行优化设计）</w:t>
            </w:r>
            <w:r>
              <w:rPr>
                <w:rStyle w:val="20"/>
                <w:snapToGrid w:val="0"/>
                <w:lang w:val="en-US" w:eastAsia="zh-CN" w:bidi="ar"/>
              </w:rPr>
              <w:t>，床垫承重梁采用周长不小于315MM闭口型钢管，</w:t>
            </w:r>
            <w:r>
              <w:rPr>
                <w:rStyle w:val="19"/>
                <w:snapToGrid w:val="0"/>
                <w:lang w:val="en-US" w:eastAsia="zh-CN" w:bidi="ar"/>
              </w:rPr>
              <w:t>正面带有3股由外向内凹槽以增加钢管强度（厂家可自行优化设计</w:t>
            </w:r>
            <w:r>
              <w:rPr>
                <w:rStyle w:val="20"/>
                <w:snapToGrid w:val="0"/>
                <w:lang w:val="en-US" w:eastAsia="zh-CN" w:bidi="ar"/>
              </w:rPr>
              <w:t>） ，横档不低于30×35×1.2mm钢管 。蚊帐架不低于Ø19×1.0mm圆管，拥有ABS工程塑料三通连接件。爬梯架采用不低于30*50*1.5mm椭圆管，支撑管不低于20*30*1.5mm矩形管，楼梯踏步采用木制踏板采用不低于宽400mm*155mm*36mm实木，有防滑纹，夜光塑料卡条踏板为原料</w:t>
            </w:r>
          </w:p>
          <w:p>
            <w:pPr>
              <w:keepNext w:val="0"/>
              <w:keepLines w:val="0"/>
              <w:widowControl/>
              <w:suppressLineNumbers w:val="0"/>
              <w:spacing w:after="240" w:afterAutospacing="0"/>
              <w:jc w:val="left"/>
              <w:textAlignment w:val="center"/>
              <w:rPr>
                <w:rStyle w:val="20"/>
                <w:snapToGrid w:val="0"/>
                <w:lang w:val="en-US" w:eastAsia="zh-CN" w:bidi="ar"/>
              </w:rPr>
            </w:pPr>
            <w:r>
              <w:rPr>
                <w:rStyle w:val="20"/>
                <w:snapToGrid w:val="0"/>
                <w:lang w:val="en-US" w:eastAsia="zh-CN" w:bidi="ar"/>
              </w:rPr>
              <w:t>(2)前护拦：外形规格为不低于1420mm×350mm×30mm（可根据床架尺寸定制长度），左中右固定件采用铝合金一体压铸成型，无毛刺，无焊接，防氧化处理后，经高温喷涂处理。要求附着力强，抗冲击、耐腐蚀、不生锈、不褪色、经久耐用，左右铝件尺寸：不低于321*120*30mm，壁厚最厚处不低于4mm，最薄处不低于2mm，中间铝件尺寸：不低于350*350*30mm，壁厚最厚处不低于4mm，最薄处不低于2mm，采用全新PP塑料一次成型与铝压铸件完美配合，无缝隙，美观大方，左右塑料件尺寸：不低于317.8*116.8*8.3mm，中塑料件尺寸：不低于350*346.3*8.3mm。护栏背面带PP塑料储物槽便于储放茶杯，手机、钱包等小物品，规格：不低于350*160*44mm，左中右设计四根方管支柱直接穿入铝合金件内部与塑料件完美结合，并且内侧通过螺丝再次固定，简单、安全稳定性好， 并且美观大方； 前面可穿插名牌、名片或信息卡，校徽等。上部有许多对称的几何造型，护栏左右加装不低于16mm厚优质</w:t>
            </w:r>
            <w:r>
              <w:rPr>
                <w:rStyle w:val="20"/>
                <w:rFonts w:hint="eastAsia"/>
                <w:snapToGrid w:val="0"/>
                <w:lang w:val="en-US" w:eastAsia="zh-CN" w:bidi="ar"/>
              </w:rPr>
              <w:t>双饰面密度板</w:t>
            </w:r>
            <w:r>
              <w:rPr>
                <w:rStyle w:val="20"/>
                <w:snapToGrid w:val="0"/>
                <w:lang w:val="en-US" w:eastAsia="zh-CN" w:bidi="ar"/>
              </w:rPr>
              <w:t>，上下连接采用规格为：不低于31.2*22*1.2mm厚铝型材，木板中间可加装PP塑料装饰扣。需按照国家标准增加警示线。</w:t>
            </w:r>
          </w:p>
          <w:p>
            <w:pPr>
              <w:keepNext w:val="0"/>
              <w:keepLines w:val="0"/>
              <w:widowControl/>
              <w:suppressLineNumbers w:val="0"/>
              <w:spacing w:after="240" w:afterAutospacing="0"/>
              <w:jc w:val="left"/>
              <w:textAlignment w:val="center"/>
              <w:rPr>
                <w:rStyle w:val="20"/>
                <w:snapToGrid w:val="0"/>
                <w:lang w:val="en-US" w:eastAsia="zh-CN" w:bidi="ar"/>
              </w:rPr>
            </w:pPr>
            <w:r>
              <w:rPr>
                <w:rStyle w:val="20"/>
                <w:snapToGrid w:val="0"/>
                <w:lang w:val="en-US" w:eastAsia="zh-CN" w:bidi="ar"/>
              </w:rPr>
              <w:t>（3）床头靠板：床头横梁采用≥30*60*1.2mm方管，下短横梁≥25*45*1.2mm方管）</w:t>
            </w:r>
          </w:p>
          <w:p>
            <w:pPr>
              <w:keepNext w:val="0"/>
              <w:keepLines w:val="0"/>
              <w:widowControl/>
              <w:suppressLineNumbers w:val="0"/>
              <w:spacing w:after="240" w:afterAutospacing="0"/>
              <w:jc w:val="left"/>
              <w:textAlignment w:val="center"/>
              <w:rPr>
                <w:rStyle w:val="20"/>
                <w:snapToGrid w:val="0"/>
                <w:lang w:val="en-US" w:eastAsia="zh-CN" w:bidi="ar"/>
              </w:rPr>
            </w:pPr>
            <w:r>
              <w:rPr>
                <w:rStyle w:val="20"/>
                <w:snapToGrid w:val="0"/>
                <w:lang w:val="en-US" w:eastAsia="zh-CN" w:bidi="ar"/>
              </w:rPr>
              <w:t>（4）钢材采用优质品牌钢材，符合GB/T3325最新标准且管材、金属喷塑涂层理化经测试合格，硬度≥H，冲击强度(冲击高度400mm，无剥落、裂纹、皱纹)，耐腐蚀（100h，溶液中样板上划道两侧3mm以外无鼓泡、无锈迹、剥落、起皱、变色和失光等现象）</w:t>
            </w:r>
          </w:p>
          <w:p>
            <w:pPr>
              <w:keepNext w:val="0"/>
              <w:keepLines w:val="0"/>
              <w:widowControl/>
              <w:suppressLineNumbers w:val="0"/>
              <w:spacing w:after="240" w:afterAutospacing="0"/>
              <w:jc w:val="left"/>
              <w:textAlignment w:val="center"/>
              <w:rPr>
                <w:rStyle w:val="20"/>
                <w:snapToGrid w:val="0"/>
                <w:lang w:val="en-US" w:eastAsia="zh-CN" w:bidi="ar"/>
              </w:rPr>
            </w:pPr>
            <w:r>
              <w:rPr>
                <w:rStyle w:val="20"/>
                <w:snapToGrid w:val="0"/>
                <w:lang w:val="en-US" w:eastAsia="zh-CN" w:bidi="ar"/>
              </w:rPr>
              <w:t>钢管焊接采用二氧化碳保护焊新工艺，要求满焊，焊接表面波纹均匀，焊接处无夹渣、气孔、汗瘤、焊丝咬边和飞溅，无脱焊、虚焊、焊穿等现象，贴角焊缝厚度＞3mm；各钢件经规范的除油、除锈及酸洗磷化工艺处理后，通过粉末喷涂设备进行静电热固性粉末喷塑，塑粉选用优质环氧树脂粉末涂料（塑粉符合HG/T 2006-2006（2017） 热固性粉末涂料国家标准，四种可溶性重金属（铅、镉、铬、汞）的有害物质限量检测达到检测标准（即：可溶性铅≤90mg/kg,可溶性镉≤75mg/kg,可溶性铬≤60mg/kg,可溶性汞≤60mg/kg</w:t>
            </w:r>
          </w:p>
          <w:p>
            <w:pPr>
              <w:keepNext w:val="0"/>
              <w:keepLines w:val="0"/>
              <w:widowControl/>
              <w:suppressLineNumbers w:val="0"/>
              <w:spacing w:after="240" w:afterAutospacing="0"/>
              <w:jc w:val="left"/>
              <w:textAlignment w:val="center"/>
              <w:rPr>
                <w:rFonts w:hint="eastAsia" w:ascii="等线" w:hAnsi="等线" w:eastAsia="等线" w:cs="等线"/>
                <w:i w:val="0"/>
                <w:iCs w:val="0"/>
                <w:color w:val="000000"/>
                <w:sz w:val="24"/>
                <w:szCs w:val="24"/>
                <w:u w:val="none"/>
              </w:rPr>
            </w:pPr>
            <w:r>
              <w:rPr>
                <w:rStyle w:val="20"/>
                <w:snapToGrid w:val="0"/>
                <w:lang w:val="en-US" w:eastAsia="zh-CN" w:bidi="ar"/>
              </w:rPr>
              <w:t>（6）床铺板采用四面刨光环保实（杉）木条拼接而成，间距不超过11mm。床铺板应为贯通性裂纹，无虫蛀、边皮，外表无腐朽材料，下方采用4条实木加强筋，加强筋规格不得小于30mm*40mm,铺板与床架内空尺寸匹配，参照国家标准床铺面及其两边和两端的间隙应不超过25mm。安全考虑，所有边角都应倒圆倒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3"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2</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组合柜</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见图稿</w:t>
            </w:r>
          </w:p>
        </w:tc>
        <w:tc>
          <w:tcPr>
            <w:tcW w:w="2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1308</w:t>
            </w:r>
          </w:p>
        </w:tc>
        <w:tc>
          <w:tcPr>
            <w:tcW w:w="1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位</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pPr>
            <w:r>
              <w:drawing>
                <wp:inline distT="0" distB="0" distL="114300" distR="114300">
                  <wp:extent cx="3183255" cy="2524760"/>
                  <wp:effectExtent l="0" t="0" r="1905" b="508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7"/>
                          <a:stretch>
                            <a:fillRect/>
                          </a:stretch>
                        </pic:blipFill>
                        <pic:spPr>
                          <a:xfrm>
                            <a:off x="0" y="0"/>
                            <a:ext cx="3183255" cy="2524760"/>
                          </a:xfrm>
                          <a:prstGeom prst="rect">
                            <a:avLst/>
                          </a:prstGeom>
                          <a:noFill/>
                          <a:ln w="9525">
                            <a:noFill/>
                          </a:ln>
                        </pic:spPr>
                      </pic:pic>
                    </a:graphicData>
                  </a:graphic>
                </wp:inline>
              </w:drawing>
            </w:r>
          </w:p>
          <w:p>
            <w:pPr>
              <w:keepNext w:val="0"/>
              <w:keepLines w:val="0"/>
              <w:widowControl/>
              <w:suppressLineNumbers w:val="0"/>
              <w:jc w:val="left"/>
              <w:textAlignment w:val="center"/>
              <w:rPr>
                <w:rFonts w:hint="eastAsia"/>
              </w:rPr>
            </w:pPr>
            <w:r>
              <w:drawing>
                <wp:inline distT="0" distB="0" distL="114300" distR="114300">
                  <wp:extent cx="3170555" cy="2532380"/>
                  <wp:effectExtent l="0" t="0" r="14605" b="1270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6"/>
                          <a:stretch>
                            <a:fillRect/>
                          </a:stretch>
                        </pic:blipFill>
                        <pic:spPr>
                          <a:xfrm>
                            <a:off x="0" y="0"/>
                            <a:ext cx="3170555" cy="2532380"/>
                          </a:xfrm>
                          <a:prstGeom prst="rect">
                            <a:avLst/>
                          </a:prstGeom>
                          <a:noFill/>
                          <a:ln w="9525">
                            <a:noFill/>
                          </a:ln>
                        </pic:spPr>
                      </pic:pic>
                    </a:graphicData>
                  </a:graphic>
                </wp:inline>
              </w:drawing>
            </w:r>
          </w:p>
        </w:tc>
        <w:tc>
          <w:tcPr>
            <w:tcW w:w="19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组合柜： 写字桌:板材内芯环保E0级三聚氰胺饰面多层板（▲板材符合GB/T39600-2021人造板及其制品甲醛释放量分级且甲醛释放量＜0.050mg/m³),桌面不低于25mm厚，其余不低于18mm厚，抽屉底板采用不低于5mm厚E0级双饰面多层板。采用不低于1.5mm厚优质PVC封边条，优质环保热熔胶，新型全自动封边机，对板材截面进行封边，利用排钻钻孔，优质锌合金连接。 ▲书桌侧面带有钢制一次成形洞洞挂板（290mm×450mm）设计，可挂笔桶、置物盒、层板和挂钩等挂件，可悬挂钥匙、背包和存放学习等小物品，让学生告别零乱，释放更多的桌面学习空间，挂件可自行调节位置。采用优质五金配件。 衣柜：柜体采用不低于18mm厚环保E0级多层板，面贴三聚氰胺饰面。采用不低于1.5mm厚优质优质PVC封边条，优质环保热熔胶，新型全自动封边机，对板材截面进行封边，利用排钻钻孔，优质锌合金连接,采用优质五金配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3</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椅子</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430*450*865mm</w:t>
            </w:r>
          </w:p>
        </w:tc>
        <w:tc>
          <w:tcPr>
            <w:tcW w:w="2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1308</w:t>
            </w:r>
          </w:p>
        </w:tc>
        <w:tc>
          <w:tcPr>
            <w:tcW w:w="1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只</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495935</wp:posOffset>
                  </wp:positionH>
                  <wp:positionV relativeFrom="paragraph">
                    <wp:posOffset>66675</wp:posOffset>
                  </wp:positionV>
                  <wp:extent cx="1029970" cy="1198880"/>
                  <wp:effectExtent l="0" t="0" r="6350" b="5080"/>
                  <wp:wrapNone/>
                  <wp:docPr id="9" name="图片_4"/>
                  <wp:cNvGraphicFramePr/>
                  <a:graphic xmlns:a="http://schemas.openxmlformats.org/drawingml/2006/main">
                    <a:graphicData uri="http://schemas.openxmlformats.org/drawingml/2006/picture">
                      <pic:pic xmlns:pic="http://schemas.openxmlformats.org/drawingml/2006/picture">
                        <pic:nvPicPr>
                          <pic:cNvPr id="9" name="图片_4"/>
                          <pic:cNvPicPr/>
                        </pic:nvPicPr>
                        <pic:blipFill>
                          <a:blip r:embed="rId8"/>
                          <a:stretch>
                            <a:fillRect/>
                          </a:stretch>
                        </pic:blipFill>
                        <pic:spPr>
                          <a:xfrm>
                            <a:off x="0" y="0"/>
                            <a:ext cx="1029970" cy="1198880"/>
                          </a:xfrm>
                          <a:prstGeom prst="rect">
                            <a:avLst/>
                          </a:prstGeom>
                          <a:noFill/>
                          <a:ln>
                            <a:noFill/>
                          </a:ln>
                        </pic:spPr>
                      </pic:pic>
                    </a:graphicData>
                  </a:graphic>
                </wp:anchor>
              </w:drawing>
            </w:r>
          </w:p>
        </w:tc>
        <w:tc>
          <w:tcPr>
            <w:tcW w:w="19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椅架采用不低于40mm*20mm *1.5mm椭圆管，不低于φ25mm*1.5mm，20mm*20mm *1.2mm方管，所用管材符合国家标准，管件采用二氧化碳气体保护焊工艺；钢管表面经过除油、除锈、磷化处理、静电喷塑，管材无裂缝、叠层，弯管处弧形圆滑一致，波纹高低≤0.4mm；焊接部位要平整、光滑、无裂缝、无错位、无虚焊；喷塑部位无漏喷、气泡、桔皮、杂质等现象，颜色要求一致；所有管材切面需打磨光滑并配塑料防护盖。坐靠板采用符合E0级标准12mm厚多层板，贴优质防火板，甲醛释放量≤0.050mg/L，周边倒R1角和环保清水封闭漆。安全考虑，所有边角都应倒圆倒角。</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63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color w:val="000000"/>
                <w:sz w:val="36"/>
                <w:szCs w:val="36"/>
                <w:u w:val="none"/>
              </w:rPr>
            </w:pPr>
            <w:r>
              <w:rPr>
                <w:rFonts w:hint="eastAsia" w:ascii="等线" w:hAnsi="等线" w:eastAsia="等线" w:cs="等线"/>
                <w:b/>
                <w:bCs/>
                <w:i w:val="0"/>
                <w:iCs w:val="0"/>
                <w:snapToGrid w:val="0"/>
                <w:color w:val="000000"/>
                <w:kern w:val="0"/>
                <w:sz w:val="36"/>
                <w:szCs w:val="36"/>
                <w:u w:val="none"/>
                <w:lang w:val="en-US" w:eastAsia="zh-CN" w:bidi="ar"/>
              </w:rPr>
              <w:t>爱心小屋（D栋、K栋各一间）</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u w:val="none"/>
              </w:rPr>
            </w:pPr>
          </w:p>
        </w:tc>
        <w:tc>
          <w:tcPr>
            <w:tcW w:w="1902"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4</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单人床</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1980*1000*870</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6</w:t>
            </w:r>
          </w:p>
        </w:tc>
        <w:tc>
          <w:tcPr>
            <w:tcW w:w="1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位</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158750</wp:posOffset>
                  </wp:positionV>
                  <wp:extent cx="2409825" cy="2943860"/>
                  <wp:effectExtent l="0" t="0" r="13335" b="12700"/>
                  <wp:wrapNone/>
                  <wp:docPr id="10" name="图片_1"/>
                  <wp:cNvGraphicFramePr/>
                  <a:graphic xmlns:a="http://schemas.openxmlformats.org/drawingml/2006/main">
                    <a:graphicData uri="http://schemas.openxmlformats.org/drawingml/2006/picture">
                      <pic:pic xmlns:pic="http://schemas.openxmlformats.org/drawingml/2006/picture">
                        <pic:nvPicPr>
                          <pic:cNvPr id="10" name="图片_1"/>
                          <pic:cNvPicPr/>
                        </pic:nvPicPr>
                        <pic:blipFill>
                          <a:blip r:embed="rId9"/>
                          <a:stretch>
                            <a:fillRect/>
                          </a:stretch>
                        </pic:blipFill>
                        <pic:spPr>
                          <a:xfrm>
                            <a:off x="0" y="0"/>
                            <a:ext cx="2409825" cy="2943860"/>
                          </a:xfrm>
                          <a:prstGeom prst="rect">
                            <a:avLst/>
                          </a:prstGeom>
                          <a:noFill/>
                          <a:ln>
                            <a:noFill/>
                          </a:ln>
                        </pic:spPr>
                      </pic:pic>
                    </a:graphicData>
                  </a:graphic>
                </wp:anchor>
              </w:drawing>
            </w:r>
          </w:p>
        </w:tc>
        <w:tc>
          <w:tcPr>
            <w:tcW w:w="19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40" w:afterAutospacing="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一、公寓床架</w:t>
            </w:r>
          </w:p>
          <w:p>
            <w:pPr>
              <w:keepNext w:val="0"/>
              <w:keepLines w:val="0"/>
              <w:widowControl/>
              <w:suppressLineNumbers w:val="0"/>
              <w:spacing w:after="240" w:afterAutospacing="0"/>
              <w:jc w:val="left"/>
              <w:textAlignment w:val="center"/>
              <w:rPr>
                <w:rStyle w:val="20"/>
                <w:snapToGrid w:val="0"/>
                <w:lang w:val="en-US" w:eastAsia="zh-CN" w:bidi="ar"/>
              </w:rPr>
            </w:pPr>
            <w:r>
              <w:rPr>
                <w:rFonts w:hint="eastAsia" w:ascii="等线" w:hAnsi="等线" w:eastAsia="等线" w:cs="等线"/>
                <w:i w:val="0"/>
                <w:iCs w:val="0"/>
                <w:snapToGrid w:val="0"/>
                <w:color w:val="000000"/>
                <w:kern w:val="0"/>
                <w:sz w:val="24"/>
                <w:szCs w:val="24"/>
                <w:u w:val="none"/>
                <w:lang w:val="en-US" w:eastAsia="zh-CN" w:bidi="ar"/>
              </w:rPr>
              <w:t>（1）床立柱采用不低于床立柱采用周长不小于315MM闭口型钢管，壁厚≥1.5mm,</w:t>
            </w:r>
            <w:r>
              <w:rPr>
                <w:rStyle w:val="19"/>
                <w:snapToGrid w:val="0"/>
                <w:lang w:val="en-US" w:eastAsia="zh-CN" w:bidi="ar"/>
              </w:rPr>
              <w:t>钢管外圆带有2股由外向内凹槽以增加钢管强度（厂家可自行优化设计）</w:t>
            </w:r>
            <w:r>
              <w:rPr>
                <w:rStyle w:val="20"/>
                <w:snapToGrid w:val="0"/>
                <w:lang w:val="en-US" w:eastAsia="zh-CN" w:bidi="ar"/>
              </w:rPr>
              <w:t>，上横梁采用不低于40×40×R20×1.2mm闭口型钢管。下横梁不低于40×40×1.2mm闭口型钢管。横档采用不低于20×40×1.2mm方管。床垫承重梁采用不低于周长不小于315MM闭口型钢管，正面带有3股加强筋以增加钢管强度保护横档不低于20×30×1.2mm矩形管 。保护架上横梁采用40×40×R20×1.2mm闭口型钢管内嵌18mm板材内芯环保E0级多层板，面贴三聚氰胺饰面。蚊帐架不小于Ø19×1.0mm圆管，拥有ABS工程塑料三通连接件。</w:t>
            </w:r>
          </w:p>
          <w:p>
            <w:pPr>
              <w:keepNext w:val="0"/>
              <w:keepLines w:val="0"/>
              <w:widowControl/>
              <w:suppressLineNumbers w:val="0"/>
              <w:spacing w:after="240" w:afterAutospacing="0"/>
              <w:jc w:val="left"/>
              <w:textAlignment w:val="center"/>
              <w:rPr>
                <w:rStyle w:val="20"/>
                <w:snapToGrid w:val="0"/>
                <w:lang w:val="en-US" w:eastAsia="zh-CN" w:bidi="ar"/>
              </w:rPr>
            </w:pPr>
            <w:r>
              <w:rPr>
                <w:rStyle w:val="20"/>
                <w:snapToGrid w:val="0"/>
                <w:lang w:val="en-US" w:eastAsia="zh-CN" w:bidi="ar"/>
              </w:rPr>
              <w:t>（2）钢材采用优质品牌钢材，符合GB/T3325最新标准且管材、金属喷塑涂层理化经测试合格，硬度≥H，冲击强度(冲击高度400mm，无剥落、裂纹、皱纹)，耐腐蚀（100h，溶液中样板上划道两侧3mm以外无鼓泡、无锈迹、剥落、起皱、变色和失光等现象）</w:t>
            </w:r>
          </w:p>
          <w:p>
            <w:pPr>
              <w:keepNext w:val="0"/>
              <w:keepLines w:val="0"/>
              <w:widowControl/>
              <w:suppressLineNumbers w:val="0"/>
              <w:spacing w:after="240" w:afterAutospacing="0"/>
              <w:jc w:val="left"/>
              <w:textAlignment w:val="center"/>
              <w:rPr>
                <w:rStyle w:val="20"/>
                <w:snapToGrid w:val="0"/>
                <w:lang w:val="en-US" w:eastAsia="zh-CN" w:bidi="ar"/>
              </w:rPr>
            </w:pPr>
            <w:r>
              <w:rPr>
                <w:rStyle w:val="20"/>
                <w:snapToGrid w:val="0"/>
                <w:lang w:val="en-US" w:eastAsia="zh-CN" w:bidi="ar"/>
              </w:rPr>
              <w:t>（</w:t>
            </w:r>
            <w:r>
              <w:rPr>
                <w:rStyle w:val="20"/>
                <w:rFonts w:hint="eastAsia"/>
                <w:snapToGrid w:val="0"/>
                <w:lang w:val="en-US" w:eastAsia="zh-CN" w:bidi="ar"/>
              </w:rPr>
              <w:t>3</w:t>
            </w:r>
            <w:r>
              <w:rPr>
                <w:rStyle w:val="20"/>
                <w:snapToGrid w:val="0"/>
                <w:lang w:val="en-US" w:eastAsia="zh-CN" w:bidi="ar"/>
              </w:rPr>
              <w:t>）钢管焊接采用二氧化碳保护焊新工艺，要求满焊，焊接表面波纹均匀，焊接处无夹渣、气孔、汗瘤、焊丝咬边和飞溅，无脱焊、虚焊、焊穿等现象，贴角焊缝厚度＞3mm；各钢件经规范的除油、除锈及酸洗磷化工艺处理后，通过粉末喷涂设备进行静电热固性粉末喷塑，塑粉选用优质环氧树脂粉末涂料（塑粉符合HG/T 2006-2006（2017） 热固性粉末涂料国家标准，四种可溶性重金属（铅、镉、铬、汞）的有害物质限量检测达到检测标准（即：可溶性铅≤90mg/kg,可溶性镉≤75mg/kg,可溶性铬≤60mg/kg,可溶性汞≤60mg/kg</w:t>
            </w:r>
          </w:p>
          <w:p>
            <w:pPr>
              <w:keepNext w:val="0"/>
              <w:keepLines w:val="0"/>
              <w:widowControl/>
              <w:suppressLineNumbers w:val="0"/>
              <w:spacing w:after="240" w:afterAutospacing="0"/>
              <w:jc w:val="left"/>
              <w:textAlignment w:val="center"/>
              <w:rPr>
                <w:rStyle w:val="20"/>
                <w:snapToGrid w:val="0"/>
                <w:lang w:val="en-US" w:eastAsia="zh-CN" w:bidi="ar"/>
              </w:rPr>
            </w:pPr>
            <w:r>
              <w:rPr>
                <w:rStyle w:val="20"/>
                <w:snapToGrid w:val="0"/>
                <w:lang w:val="en-US" w:eastAsia="zh-CN" w:bidi="ar"/>
              </w:rPr>
              <w:t>（</w:t>
            </w:r>
            <w:r>
              <w:rPr>
                <w:rStyle w:val="20"/>
                <w:rFonts w:hint="eastAsia"/>
                <w:snapToGrid w:val="0"/>
                <w:lang w:val="en-US" w:eastAsia="zh-CN" w:bidi="ar"/>
              </w:rPr>
              <w:t>4</w:t>
            </w:r>
            <w:r>
              <w:rPr>
                <w:rStyle w:val="20"/>
                <w:snapToGrid w:val="0"/>
                <w:lang w:val="en-US" w:eastAsia="zh-CN" w:bidi="ar"/>
              </w:rPr>
              <w:t>）床铺板采用四面刨光环保实（杉）木条拼接而成，间距不超过11mm。床铺板应为贯通性裂纹，无虫蛀、边皮，外表无腐朽材料，下方采用4条实木加强筋，加强筋规格不得小于30mm*40mm,铺板与床架内空尺寸匹配，参照国家标准床铺面及其两边和两端的间隙应不超过25mm</w:t>
            </w:r>
          </w:p>
          <w:p>
            <w:pPr>
              <w:keepNext w:val="0"/>
              <w:keepLines w:val="0"/>
              <w:widowControl/>
              <w:suppressLineNumbers w:val="0"/>
              <w:spacing w:after="240" w:afterAutospacing="0"/>
              <w:jc w:val="left"/>
              <w:textAlignment w:val="center"/>
              <w:rPr>
                <w:rStyle w:val="20"/>
                <w:rFonts w:hint="eastAsia"/>
                <w:snapToGrid w:val="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衣柜</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700*600*1800</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6</w:t>
            </w:r>
          </w:p>
        </w:tc>
        <w:tc>
          <w:tcPr>
            <w:tcW w:w="1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只</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605155</wp:posOffset>
                  </wp:positionH>
                  <wp:positionV relativeFrom="paragraph">
                    <wp:posOffset>136525</wp:posOffset>
                  </wp:positionV>
                  <wp:extent cx="913130" cy="1657985"/>
                  <wp:effectExtent l="0" t="0" r="1270" b="3175"/>
                  <wp:wrapNone/>
                  <wp:docPr id="11" name="图片_2"/>
                  <wp:cNvGraphicFramePr/>
                  <a:graphic xmlns:a="http://schemas.openxmlformats.org/drawingml/2006/main">
                    <a:graphicData uri="http://schemas.openxmlformats.org/drawingml/2006/picture">
                      <pic:pic xmlns:pic="http://schemas.openxmlformats.org/drawingml/2006/picture">
                        <pic:nvPicPr>
                          <pic:cNvPr id="11" name="图片_2"/>
                          <pic:cNvPicPr/>
                        </pic:nvPicPr>
                        <pic:blipFill>
                          <a:blip r:embed="rId10"/>
                          <a:stretch>
                            <a:fillRect/>
                          </a:stretch>
                        </pic:blipFill>
                        <pic:spPr>
                          <a:xfrm>
                            <a:off x="0" y="0"/>
                            <a:ext cx="913130" cy="1657985"/>
                          </a:xfrm>
                          <a:prstGeom prst="rect">
                            <a:avLst/>
                          </a:prstGeom>
                          <a:noFill/>
                          <a:ln>
                            <a:noFill/>
                          </a:ln>
                        </pic:spPr>
                      </pic:pic>
                    </a:graphicData>
                  </a:graphic>
                </wp:anchor>
              </w:drawing>
            </w:r>
          </w:p>
        </w:tc>
        <w:tc>
          <w:tcPr>
            <w:tcW w:w="19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柜体采用不低于18mm厚环保E0级三聚氰胺饰面多层板（▲板材符合GB/T39600-2021人造板及其制品甲醛释放量分级且甲醛释放量＜0.050mg/m³。背板采用16mm厚E0级双饰面多层板。采用1.2mm厚优质优质PVC封边条，优质环保热熔胶(总挥发性有机物≤ 100g/L,符合 GB18582-2008室内装饰装修材料胶粘剂中有害物质限量，新型全自动封边机，对板材截面进行封边，利用排钻钻孔，优质锌合金连接,衣柜经重新分区设计，长挂衣及短挂衣区域，抽屉区（内抽分格，内衣及贵重物品）、储物区、被褥区。做到空间最大化利用。五金件：优质阻尼铰链（门铰链需符合 QB/T 2189-2013(2017)家具五金杯状暗铰链中过载垂直、水平静载荷、功能中垂直、水平静载荷及耐腐蚀要求）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9"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6</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写字桌</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1200*600*1800</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6</w:t>
            </w:r>
          </w:p>
        </w:tc>
        <w:tc>
          <w:tcPr>
            <w:tcW w:w="1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只</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406400</wp:posOffset>
                  </wp:positionH>
                  <wp:positionV relativeFrom="paragraph">
                    <wp:posOffset>73660</wp:posOffset>
                  </wp:positionV>
                  <wp:extent cx="1275080" cy="1743075"/>
                  <wp:effectExtent l="0" t="0" r="5080" b="9525"/>
                  <wp:wrapNone/>
                  <wp:docPr id="12" name="图片_3"/>
                  <wp:cNvGraphicFramePr/>
                  <a:graphic xmlns:a="http://schemas.openxmlformats.org/drawingml/2006/main">
                    <a:graphicData uri="http://schemas.openxmlformats.org/drawingml/2006/picture">
                      <pic:pic xmlns:pic="http://schemas.openxmlformats.org/drawingml/2006/picture">
                        <pic:nvPicPr>
                          <pic:cNvPr id="12" name="图片_3"/>
                          <pic:cNvPicPr/>
                        </pic:nvPicPr>
                        <pic:blipFill>
                          <a:blip r:embed="rId11"/>
                          <a:stretch>
                            <a:fillRect/>
                          </a:stretch>
                        </pic:blipFill>
                        <pic:spPr>
                          <a:xfrm>
                            <a:off x="0" y="0"/>
                            <a:ext cx="1275080" cy="1743075"/>
                          </a:xfrm>
                          <a:prstGeom prst="rect">
                            <a:avLst/>
                          </a:prstGeom>
                          <a:noFill/>
                          <a:ln>
                            <a:noFill/>
                          </a:ln>
                        </pic:spPr>
                      </pic:pic>
                    </a:graphicData>
                  </a:graphic>
                </wp:anchor>
              </w:drawing>
            </w:r>
          </w:p>
        </w:tc>
        <w:tc>
          <w:tcPr>
            <w:tcW w:w="19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板材内芯环保E0级三聚氰胺饰面多层板（▲板材符合GB/T39600-2021人造板及其制品甲醛释放量分级且甲醛释放量＜0.050mg/m³,),桌面不低于25mm厚，其余不低于18mm厚，抽屉底板采用不低于5mm厚E0级双饰面多层板。采用不低于1.2mm厚优质PVC封边条，优质环保热熔胶(总挥发性有机物≤ 100g/L,符合 GB18582-2008室内装饰装修材料胶粘剂中有害物质限量，新型全自动封边机，对板材截面进行封边，利用排钻钻孔，优质锌合金连接。五金件:优质阻尼三节静音导轨（三节导轨需符合QB/T2454-2013家具五金 抽屉导轨中过载要求、猛关、猛开要求）,优质阻尼铰链（门铰链需符合 QB/T 2189-2013(2017)家具五金杯状暗铰链中过载垂直、水平静载荷、功能中垂直、水平静载荷及耐腐蚀要求）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7</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椅子</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430*450*865mm</w:t>
            </w:r>
          </w:p>
        </w:tc>
        <w:tc>
          <w:tcPr>
            <w:tcW w:w="2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1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只</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495935</wp:posOffset>
                  </wp:positionH>
                  <wp:positionV relativeFrom="paragraph">
                    <wp:posOffset>66675</wp:posOffset>
                  </wp:positionV>
                  <wp:extent cx="972185" cy="1170305"/>
                  <wp:effectExtent l="0" t="0" r="3175" b="3175"/>
                  <wp:wrapNone/>
                  <wp:docPr id="1" name="图片_5"/>
                  <wp:cNvGraphicFramePr/>
                  <a:graphic xmlns:a="http://schemas.openxmlformats.org/drawingml/2006/main">
                    <a:graphicData uri="http://schemas.openxmlformats.org/drawingml/2006/picture">
                      <pic:pic xmlns:pic="http://schemas.openxmlformats.org/drawingml/2006/picture">
                        <pic:nvPicPr>
                          <pic:cNvPr id="1" name="图片_5"/>
                          <pic:cNvPicPr/>
                        </pic:nvPicPr>
                        <pic:blipFill>
                          <a:blip r:embed="rId12"/>
                          <a:stretch>
                            <a:fillRect/>
                          </a:stretch>
                        </pic:blipFill>
                        <pic:spPr>
                          <a:xfrm>
                            <a:off x="0" y="0"/>
                            <a:ext cx="972185" cy="1170305"/>
                          </a:xfrm>
                          <a:prstGeom prst="rect">
                            <a:avLst/>
                          </a:prstGeom>
                          <a:noFill/>
                          <a:ln>
                            <a:noFill/>
                          </a:ln>
                        </pic:spPr>
                      </pic:pic>
                    </a:graphicData>
                  </a:graphic>
                </wp:anchor>
              </w:drawing>
            </w:r>
          </w:p>
        </w:tc>
        <w:tc>
          <w:tcPr>
            <w:tcW w:w="19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椅架采用不低于40mm*20mm *1.5mm椭圆管，不低于φ25mm*1.5mm，20mm*20mm *1.2mm方管，所用管材符合国家标准，管件采用二氧化碳气体保护焊工艺；钢管表面经过除油、除锈、磷化处理、静电喷塑，管材无裂缝、叠层，弯管处弧形圆滑一致，波纹高低≤0.4mm；焊接部位要平整、光滑、无裂缝、无错位、无虚焊；喷塑部位无漏喷、气泡、桔皮、杂质等现象，颜色要求一致；所有管材切面需打磨光滑并配塑料防护盖。坐靠板采用符合E0级标准12mm厚多层板，贴优质防火板，甲醛释放量≤0..050mg/m³，周边倒R1角和环保清水封闭漆。安全考虑，所有边角都应倒圆倒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163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both"/>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both"/>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snapToGrid w:val="0"/>
                <w:color w:val="000000"/>
                <w:kern w:val="0"/>
                <w:sz w:val="36"/>
                <w:szCs w:val="36"/>
                <w:u w:val="none"/>
                <w:lang w:val="en-US" w:eastAsia="zh-CN" w:bidi="ar"/>
              </w:rPr>
            </w:pPr>
          </w:p>
          <w:p>
            <w:pPr>
              <w:keepNext w:val="0"/>
              <w:keepLines w:val="0"/>
              <w:widowControl/>
              <w:suppressLineNumbers w:val="0"/>
              <w:jc w:val="center"/>
              <w:textAlignment w:val="center"/>
              <w:rPr>
                <w:rFonts w:hint="eastAsia" w:ascii="等线" w:hAnsi="等线" w:eastAsia="等线" w:cs="等线"/>
                <w:b/>
                <w:bCs/>
                <w:i w:val="0"/>
                <w:iCs w:val="0"/>
                <w:color w:val="000000"/>
                <w:sz w:val="36"/>
                <w:szCs w:val="36"/>
                <w:u w:val="none"/>
              </w:rPr>
            </w:pPr>
            <w:r>
              <w:rPr>
                <w:rFonts w:hint="eastAsia" w:ascii="等线" w:hAnsi="等线" w:eastAsia="等线" w:cs="等线"/>
                <w:b/>
                <w:bCs/>
                <w:i w:val="0"/>
                <w:iCs w:val="0"/>
                <w:snapToGrid w:val="0"/>
                <w:color w:val="000000"/>
                <w:kern w:val="0"/>
                <w:sz w:val="36"/>
                <w:szCs w:val="36"/>
                <w:u w:val="none"/>
                <w:lang w:val="en-US" w:eastAsia="zh-CN" w:bidi="ar"/>
              </w:rPr>
              <w:t>中职楼北楼</w:t>
            </w:r>
          </w:p>
        </w:tc>
        <w:tc>
          <w:tcPr>
            <w:tcW w:w="1462" w:type="pct"/>
            <w:tcBorders>
              <w:top w:val="single" w:color="000000" w:sz="4" w:space="0"/>
              <w:left w:val="nil"/>
              <w:bottom w:val="single" w:color="000000" w:sz="4" w:space="0"/>
              <w:right w:val="single" w:color="000000" w:sz="4" w:space="0"/>
            </w:tcBorders>
            <w:shd w:val="clear" w:color="auto" w:fill="auto"/>
            <w:vAlign w:val="center"/>
          </w:tcPr>
          <w:p>
            <w:pPr>
              <w:rPr>
                <w:rFonts w:hint="eastAsia" w:ascii="等线" w:hAnsi="等线" w:eastAsia="等线" w:cs="等线"/>
                <w:b/>
                <w:bCs/>
                <w:i w:val="0"/>
                <w:iCs w:val="0"/>
                <w:color w:val="000000"/>
                <w:sz w:val="36"/>
                <w:szCs w:val="36"/>
                <w:u w:val="none"/>
              </w:rPr>
            </w:pPr>
          </w:p>
        </w:tc>
        <w:tc>
          <w:tcPr>
            <w:tcW w:w="1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snapToGrid w:val="0"/>
                <w:color w:val="000000"/>
                <w:kern w:val="0"/>
                <w:sz w:val="22"/>
                <w:szCs w:val="22"/>
                <w:u w:val="none"/>
                <w:lang w:val="en-US" w:eastAsia="zh-CN" w:bidi="ar"/>
              </w:rPr>
              <w:t>8</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u w:val="none"/>
              </w:rPr>
            </w:pPr>
            <w:r>
              <w:rPr>
                <w:rFonts w:hint="eastAsia" w:ascii="等线" w:hAnsi="等线" w:eastAsia="等线" w:cs="等线"/>
                <w:i w:val="0"/>
                <w:iCs w:val="0"/>
                <w:snapToGrid w:val="0"/>
                <w:color w:val="auto"/>
                <w:kern w:val="0"/>
                <w:sz w:val="22"/>
                <w:szCs w:val="22"/>
                <w:u w:val="none"/>
                <w:lang w:val="en-US" w:eastAsia="zh-CN" w:bidi="ar"/>
              </w:rPr>
              <w:t>课桌椅</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等线" w:hAnsi="等线" w:eastAsia="等线" w:cs="等线"/>
                <w:i w:val="0"/>
                <w:iCs w:val="0"/>
                <w:color w:val="auto"/>
                <w:sz w:val="22"/>
                <w:szCs w:val="22"/>
                <w:u w:val="none"/>
                <w:lang w:val="en-US"/>
              </w:rPr>
            </w:pPr>
            <w:r>
              <w:rPr>
                <w:rFonts w:hint="eastAsia" w:ascii="等线" w:hAnsi="等线" w:eastAsia="等线" w:cs="等线"/>
                <w:i w:val="0"/>
                <w:iCs w:val="0"/>
                <w:snapToGrid w:val="0"/>
                <w:color w:val="auto"/>
                <w:kern w:val="0"/>
                <w:sz w:val="22"/>
                <w:szCs w:val="22"/>
                <w:u w:val="none"/>
                <w:lang w:val="en-US" w:eastAsia="zh-CN" w:bidi="ar"/>
              </w:rPr>
              <w:t>课桌700*500*高度700-790，课椅见图稿</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snapToGrid w:val="0"/>
                <w:color w:val="000000"/>
                <w:kern w:val="0"/>
                <w:sz w:val="22"/>
                <w:szCs w:val="22"/>
                <w:u w:val="none"/>
                <w:lang w:val="en-US" w:eastAsia="zh-CN" w:bidi="ar"/>
              </w:rPr>
              <w:t>574</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snapToGrid w:val="0"/>
                <w:color w:val="000000"/>
                <w:kern w:val="0"/>
                <w:sz w:val="22"/>
                <w:szCs w:val="22"/>
                <w:u w:val="none"/>
                <w:lang w:val="en-US" w:eastAsia="zh-CN" w:bidi="ar"/>
              </w:rPr>
              <w:t>套</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drawing>
                <wp:inline distT="0" distB="0" distL="114300" distR="114300">
                  <wp:extent cx="3200400" cy="3190875"/>
                  <wp:effectExtent l="0" t="0" r="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3"/>
                          <a:stretch>
                            <a:fillRect/>
                          </a:stretch>
                        </pic:blipFill>
                        <pic:spPr>
                          <a:xfrm>
                            <a:off x="0" y="0"/>
                            <a:ext cx="3200400" cy="3190875"/>
                          </a:xfrm>
                          <a:prstGeom prst="rect">
                            <a:avLst/>
                          </a:prstGeom>
                          <a:noFill/>
                          <a:ln w="9525">
                            <a:noFill/>
                          </a:ln>
                        </pic:spPr>
                      </pic:pic>
                    </a:graphicData>
                  </a:graphic>
                </wp:inline>
              </w:drawing>
            </w:r>
          </w:p>
        </w:tc>
        <w:tc>
          <w:tcPr>
            <w:tcW w:w="19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课桌：</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一、面板：1.材质：采用优质环保E0级三聚氰胺饰面多层板。家具成品的甲醛释放量≤0.050mg/m³。符合GB/T4071课桌椅检测标准。2.尺寸：700mm×500mm±5mm厚度18mm±1mm。</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二、书箱：1.材质：采用PP塑料一级新料一体注塑成型。2.尺寸：外径尺寸为440*350*150mm±5mm；净空高130mm±5mm；</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3.功能：</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（1）书箱底部向后倾斜2度，保证所放置物品的稳定性，书箱前端的下方设置有一个三角形凹形笔槽；尺寸为33×14mm（±1mm），长度430mm。</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 xml:space="preserve">（2）面板与书箱由螺丝锁付，不能轻易拆卸，保持产品完整性。 </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三、桌钢架：</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1.材质及形状：采用鸭蛋型光亮钢管组合焊接而成，结构牢固。2. 鸭蛋型光亮钢管尺寸：桌架钢管为鸭蛋管，壁厚不低于1.5mm。3. 表面涂装：焊接完成后的钢管架，经抛丸强化处理。外表采用一级环保粉末涂料，经高温烘烤固化，耐腐蚀、抗冲击。</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四、脚垫:   1.材质：采用PP塑料一级新料一体射出成型,并用1支螺丝锁付。加大贴地面积。稳定牢靠，防滑耐磨。</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五、挂钩：</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1.桌架左右两侧都配有挂钩，挂钩在静止状态下可以承载10KG的挂物承重。</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课椅：</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 xml:space="preserve">一、 靠背、座垫： 1.材质：采用高强度PP塑料加纤维一体注塑成型。家具成品的甲醛释放量≤0.05mg/m³。符合GB/T4071课桌椅检测标准。2.靠背宽380mm±10mm。椅背上没高840mm±10mm,座垫尺寸：420×360±10mm。3.座垫和靠背一体成型。靠背上端有一提手设计，方便使用者搬运。靠背有一弧形造型设计，符合人体曲线设计。座垫与钢架由铆钉链接。4.坐垫下方为钢板成型的底座，钢板厚度不低于3mm，模具成型，尺寸为：300 x150 x40±5mm </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二、椅架：</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1.材质及形状：采用鸭蛋形光亮钢管组合焊接而成，结构牢固。</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2.尺寸：椅架钢管为鸭蛋管，壁厚不低于1.5mm。</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3. 表面涂装：焊接完成后的钢管架，经打砂强化处理。外表采用一级粉末涂料，经高温固化，涂层光滑均匀，色泽一致。</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三、脚垫</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1.材质：采用PP塑料一级新料一体射出成型, 并用1支螺丝锁付。加大贴地面积。稳定牢靠，防滑耐磨。</w:t>
            </w:r>
          </w:p>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安全考虑，所有边角都应倒圆倒角。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snapToGrid w:val="0"/>
                <w:color w:val="000000"/>
                <w:kern w:val="0"/>
                <w:sz w:val="22"/>
                <w:szCs w:val="22"/>
                <w:u w:val="none"/>
                <w:lang w:val="en-US" w:eastAsia="zh-CN" w:bidi="ar"/>
              </w:rPr>
              <w:t>9</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snapToGrid w:val="0"/>
                <w:color w:val="000000"/>
                <w:kern w:val="0"/>
                <w:sz w:val="22"/>
                <w:szCs w:val="22"/>
                <w:u w:val="none"/>
                <w:lang w:val="en-US" w:eastAsia="zh-CN" w:bidi="ar"/>
              </w:rPr>
              <w:t>固定课桌椅4人位</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snapToGrid w:val="0"/>
                <w:color w:val="000000"/>
                <w:kern w:val="0"/>
                <w:sz w:val="22"/>
                <w:szCs w:val="22"/>
                <w:u w:val="none"/>
                <w:lang w:val="en-US" w:eastAsia="zh-CN" w:bidi="ar"/>
              </w:rPr>
              <w:t>中对中510mm</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snapToGrid w:val="0"/>
                <w:color w:val="000000"/>
                <w:kern w:val="0"/>
                <w:sz w:val="22"/>
                <w:szCs w:val="22"/>
                <w:u w:val="none"/>
                <w:lang w:val="en-US" w:eastAsia="zh-CN" w:bidi="ar"/>
              </w:rPr>
              <w:t>80</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snapToGrid w:val="0"/>
                <w:color w:val="000000"/>
                <w:kern w:val="0"/>
                <w:sz w:val="22"/>
                <w:szCs w:val="22"/>
                <w:u w:val="none"/>
                <w:lang w:val="en-US" w:eastAsia="zh-CN" w:bidi="ar"/>
              </w:rPr>
              <w:t>位</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117475</wp:posOffset>
                  </wp:positionV>
                  <wp:extent cx="2295525" cy="1645285"/>
                  <wp:effectExtent l="0" t="0" r="5715" b="635"/>
                  <wp:wrapNone/>
                  <wp:docPr id="3" name="图片_6"/>
                  <wp:cNvGraphicFramePr/>
                  <a:graphic xmlns:a="http://schemas.openxmlformats.org/drawingml/2006/main">
                    <a:graphicData uri="http://schemas.openxmlformats.org/drawingml/2006/picture">
                      <pic:pic xmlns:pic="http://schemas.openxmlformats.org/drawingml/2006/picture">
                        <pic:nvPicPr>
                          <pic:cNvPr id="3" name="图片_6"/>
                          <pic:cNvPicPr/>
                        </pic:nvPicPr>
                        <pic:blipFill>
                          <a:blip r:embed="rId14"/>
                          <a:stretch>
                            <a:fillRect/>
                          </a:stretch>
                        </pic:blipFill>
                        <pic:spPr>
                          <a:xfrm>
                            <a:off x="0" y="0"/>
                            <a:ext cx="2295525" cy="1645285"/>
                          </a:xfrm>
                          <a:prstGeom prst="rect">
                            <a:avLst/>
                          </a:prstGeom>
                          <a:noFill/>
                          <a:ln>
                            <a:noFill/>
                          </a:ln>
                        </pic:spPr>
                      </pic:pic>
                    </a:graphicData>
                  </a:graphic>
                </wp:anchor>
              </w:drawing>
            </w:r>
          </w:p>
        </w:tc>
        <w:tc>
          <w:tcPr>
            <w:tcW w:w="19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 xml:space="preserve">座板采用多层板经模具热压成型，面贴榉木板，厚度为不低于15MM。背板 采用多层板经模具热压成型，面贴榉木防火板，厚度为不低于15MM。     </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台面板采用E1 级环保18mm多层板，面贴榉木防火板，厚度不低于18MM,2MMpvc 封边。台面深度300mm，台面开凹口，与钢脚平贴，防止学生用具落地。</w:t>
            </w:r>
          </w:p>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脚架采用优质国标钢材，经模具冲压，焊接，精磨，表面再经防锈静电喷涂处理，实用牢固，承受力大。地脚采用：T2.0mm 热轧板，脚管采用：不低于80X30XT1.5mm 椭圆管，背架采用：不低于15X15XT1.5mm 方管，网架采用￠19*1.2圆管焊接而成。地脚螺丝 采用防锈静电喷涂内六角膨胀螺丝，不易生锈座架结构 采用重力回复机构，符合人体工程学理念及个性化需求，写字板固定式，造型美观大方。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snapToGrid w:val="0"/>
                <w:color w:val="000000"/>
                <w:kern w:val="0"/>
                <w:sz w:val="22"/>
                <w:szCs w:val="22"/>
                <w:u w:val="none"/>
                <w:lang w:val="en-US" w:eastAsia="zh-CN" w:bidi="ar"/>
              </w:rPr>
              <w:t>10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snapToGrid w:val="0"/>
                <w:color w:val="000000"/>
                <w:kern w:val="0"/>
                <w:sz w:val="22"/>
                <w:szCs w:val="22"/>
                <w:u w:val="none"/>
                <w:lang w:val="en-US" w:eastAsia="zh-CN" w:bidi="ar"/>
              </w:rPr>
              <w:t>固定课桌椅5人位</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snapToGrid w:val="0"/>
                <w:color w:val="000000"/>
                <w:kern w:val="0"/>
                <w:sz w:val="22"/>
                <w:szCs w:val="22"/>
                <w:u w:val="none"/>
                <w:lang w:val="en-US" w:eastAsia="zh-CN" w:bidi="ar"/>
              </w:rPr>
              <w:t>中对中510mm</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snapToGrid w:val="0"/>
                <w:color w:val="000000"/>
                <w:kern w:val="0"/>
                <w:sz w:val="22"/>
                <w:szCs w:val="22"/>
                <w:u w:val="none"/>
                <w:lang w:val="en-US" w:eastAsia="zh-CN" w:bidi="ar"/>
              </w:rPr>
              <w:t>100</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snapToGrid w:val="0"/>
                <w:color w:val="000000"/>
                <w:kern w:val="0"/>
                <w:sz w:val="22"/>
                <w:szCs w:val="22"/>
                <w:u w:val="none"/>
                <w:lang w:val="en-US" w:eastAsia="zh-CN" w:bidi="ar"/>
              </w:rPr>
              <w:t>位</w:t>
            </w:r>
          </w:p>
        </w:tc>
        <w:tc>
          <w:tcPr>
            <w:tcW w:w="1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120650</wp:posOffset>
                  </wp:positionV>
                  <wp:extent cx="2233930" cy="1601470"/>
                  <wp:effectExtent l="0" t="0" r="6350" b="13970"/>
                  <wp:wrapNone/>
                  <wp:docPr id="4" name="图片_13"/>
                  <wp:cNvGraphicFramePr/>
                  <a:graphic xmlns:a="http://schemas.openxmlformats.org/drawingml/2006/main">
                    <a:graphicData uri="http://schemas.openxmlformats.org/drawingml/2006/picture">
                      <pic:pic xmlns:pic="http://schemas.openxmlformats.org/drawingml/2006/picture">
                        <pic:nvPicPr>
                          <pic:cNvPr id="4" name="图片_13"/>
                          <pic:cNvPicPr/>
                        </pic:nvPicPr>
                        <pic:blipFill>
                          <a:blip r:embed="rId15"/>
                          <a:stretch>
                            <a:fillRect/>
                          </a:stretch>
                        </pic:blipFill>
                        <pic:spPr>
                          <a:xfrm>
                            <a:off x="0" y="0"/>
                            <a:ext cx="2233930" cy="1601470"/>
                          </a:xfrm>
                          <a:prstGeom prst="rect">
                            <a:avLst/>
                          </a:prstGeom>
                          <a:noFill/>
                          <a:ln>
                            <a:noFill/>
                          </a:ln>
                        </pic:spPr>
                      </pic:pic>
                    </a:graphicData>
                  </a:graphic>
                </wp:anchor>
              </w:drawing>
            </w:r>
          </w:p>
        </w:tc>
        <w:tc>
          <w:tcPr>
            <w:tcW w:w="19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座板采用多层板经模具热压成型，面贴榉木防火板，厚度为不低于15MM。背板 采用多层板经模具热压成型，面贴榉木防火板，厚度为不低于15MM。</w:t>
            </w:r>
          </w:p>
          <w:p>
            <w:pPr>
              <w:keepNext w:val="0"/>
              <w:keepLines w:val="0"/>
              <w:widowControl/>
              <w:suppressLineNumbers w:val="0"/>
              <w:jc w:val="left"/>
              <w:textAlignment w:val="center"/>
              <w:rPr>
                <w:rFonts w:hint="eastAsia" w:ascii="等线" w:hAnsi="等线" w:eastAsia="等线" w:cs="等线"/>
                <w:i w:val="0"/>
                <w:iCs w:val="0"/>
                <w:snapToGrid w:val="0"/>
                <w:color w:val="000000"/>
                <w:kern w:val="0"/>
                <w:sz w:val="24"/>
                <w:szCs w:val="24"/>
                <w:u w:val="none"/>
                <w:lang w:val="en-US" w:eastAsia="zh-CN" w:bidi="ar"/>
              </w:rPr>
            </w:pPr>
            <w:r>
              <w:rPr>
                <w:rFonts w:hint="eastAsia" w:ascii="等线" w:hAnsi="等线" w:eastAsia="等线" w:cs="等线"/>
                <w:i w:val="0"/>
                <w:iCs w:val="0"/>
                <w:snapToGrid w:val="0"/>
                <w:color w:val="000000"/>
                <w:kern w:val="0"/>
                <w:sz w:val="24"/>
                <w:szCs w:val="24"/>
                <w:u w:val="none"/>
                <w:lang w:val="en-US" w:eastAsia="zh-CN" w:bidi="ar"/>
              </w:rPr>
              <w:t>台面板采用E1 级环保18mm 多层板，面贴榉木防火板，厚度不低于18MM,2MMpvc 封边。台面深度370mm，台面开凹口，与钢脚平贴，防止学生用具落地。</w:t>
            </w:r>
          </w:p>
          <w:p>
            <w:pPr>
              <w:keepNext w:val="0"/>
              <w:keepLines w:val="0"/>
              <w:widowControl/>
              <w:suppressLineNumbers w:val="0"/>
              <w:jc w:val="left"/>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snapToGrid w:val="0"/>
                <w:color w:val="000000"/>
                <w:kern w:val="0"/>
                <w:sz w:val="24"/>
                <w:szCs w:val="24"/>
                <w:u w:val="none"/>
                <w:lang w:val="en-US" w:eastAsia="zh-CN" w:bidi="ar"/>
              </w:rPr>
              <w:t>脚架采用优质国标钢材，经模具冲压，焊接，精磨，表面再经防锈静电喷涂处理，实用牢固，承受力大。地脚采用：T2.0mm 热轧板，脚管采用：不低于80X30XT1.5mm 椭圆管，背架采用：不低于15X15XT1.5mm 方管，网架采用￠19*1.2圆管焊接而成。 地脚螺丝 采用防锈静电喷涂内六角膨胀螺丝，不易生锈座架结构 采用重力回复机构，外观设计 符合人体工程学理念及个性化需求，写字板固定式，造型美观大方。安全考虑，所有边角都应倒圆倒角。</w:t>
            </w:r>
          </w:p>
        </w:tc>
      </w:tr>
    </w:tbl>
    <w:p>
      <w:pPr>
        <w:spacing w:before="120" w:line="360" w:lineRule="auto"/>
        <w:ind w:left="160"/>
        <w:outlineLvl w:val="9"/>
        <w:rPr>
          <w:rFonts w:hint="eastAsia" w:ascii="宋体" w:hAnsi="宋体" w:eastAsia="宋体" w:cs="宋体"/>
          <w:sz w:val="21"/>
          <w:szCs w:val="21"/>
        </w:rPr>
      </w:pPr>
    </w:p>
    <w:p>
      <w:pPr>
        <w:pStyle w:val="2"/>
        <w:rPr>
          <w:rFonts w:hint="default"/>
          <w:color w:val="auto"/>
          <w:lang w:val="en-US" w:eastAsia="zh-CN"/>
        </w:rPr>
      </w:pPr>
      <w:r>
        <w:rPr>
          <w:rFonts w:hint="default"/>
          <w:color w:val="auto"/>
          <w:lang w:val="en-US" w:eastAsia="zh-CN"/>
        </w:rPr>
        <w:t>注：</w:t>
      </w:r>
    </w:p>
    <w:p>
      <w:pPr>
        <w:pStyle w:val="2"/>
        <w:rPr>
          <w:rFonts w:hint="default"/>
          <w:color w:val="auto"/>
          <w:lang w:val="en-US" w:eastAsia="zh-CN"/>
        </w:rPr>
      </w:pPr>
      <w:r>
        <w:rPr>
          <w:rFonts w:hint="default"/>
          <w:color w:val="auto"/>
          <w:lang w:val="en-US" w:eastAsia="zh-CN"/>
        </w:rPr>
        <w:t>1）投标方应对投标货物品牌、尺寸规格、颜色、材料、质量、性能等作出说明，提供所投产品的技术参数偏离表，按实际情况注明以上清单产品各项技术参数偏离情况（正偏离/满足/负偏离），技术要求偏离表不能违背真实的参数和指标。</w:t>
      </w:r>
    </w:p>
    <w:p>
      <w:pPr>
        <w:pStyle w:val="2"/>
        <w:rPr>
          <w:rFonts w:hint="default"/>
          <w:color w:val="auto"/>
          <w:lang w:val="en-US" w:eastAsia="zh-CN"/>
        </w:rPr>
      </w:pPr>
      <w:r>
        <w:rPr>
          <w:rFonts w:hint="default"/>
          <w:color w:val="auto"/>
          <w:lang w:val="en-US" w:eastAsia="zh-CN"/>
        </w:rPr>
        <w:t>2）项目需求中指出的工艺、材料和货物的标准以及参照的技术参数、图片或型号仅起说明作用，并没有任何限制性和排他性，响应方在投标中可以选用其他替代标准、技术参数或型号，但这些替代应以不影响产品质量或功能实现为前提。</w:t>
      </w:r>
    </w:p>
    <w:p>
      <w:pPr>
        <w:pStyle w:val="2"/>
        <w:rPr>
          <w:rFonts w:hint="default"/>
          <w:color w:val="auto"/>
          <w:lang w:val="en-US" w:eastAsia="zh-CN"/>
        </w:rPr>
      </w:pPr>
      <w:r>
        <w:rPr>
          <w:rFonts w:hint="default"/>
          <w:color w:val="auto"/>
          <w:lang w:val="en-US" w:eastAsia="zh-CN"/>
        </w:rPr>
        <w:t>3）项目需求中指出的技术标准与规范如有更新，应以最新的标准规范实施。</w:t>
      </w:r>
    </w:p>
    <w:p>
      <w:pPr>
        <w:pStyle w:val="2"/>
        <w:rPr>
          <w:rFonts w:hint="default"/>
          <w:color w:val="auto"/>
          <w:lang w:val="en-US" w:eastAsia="zh-CN"/>
        </w:rPr>
      </w:pPr>
      <w:r>
        <w:rPr>
          <w:rFonts w:hint="default"/>
          <w:color w:val="auto"/>
          <w:lang w:val="en-US" w:eastAsia="zh-CN"/>
        </w:rPr>
        <w:t>4）所有采购家具产品，均需经使用方确认最终的色样方可采购或制作。</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rPr>
          <w:rFonts w:hint="eastAsia" w:ascii="宋体" w:hAnsi="宋体" w:eastAsia="宋体" w:cs="宋体"/>
          <w:b/>
          <w:bCs/>
          <w:sz w:val="32"/>
          <w:szCs w:val="32"/>
          <w:lang w:val="en-US" w:eastAsia="zh-CN"/>
        </w:rPr>
      </w:pPr>
    </w:p>
    <w:p>
      <w:pPr>
        <w:spacing w:line="360" w:lineRule="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空间平面图和家具图稿参考：</w:t>
      </w:r>
    </w:p>
    <w:p>
      <w:pPr>
        <w:spacing w:line="360" w:lineRule="auto"/>
        <w:rPr>
          <w:rFonts w:hint="eastAsia" w:ascii="宋体" w:hAnsi="宋体" w:eastAsia="宋体" w:cs="宋体"/>
          <w:b/>
          <w:bCs/>
          <w:sz w:val="32"/>
          <w:szCs w:val="32"/>
          <w:lang w:val="en-US" w:eastAsia="zh-CN"/>
        </w:rPr>
      </w:pPr>
      <w:r>
        <w:drawing>
          <wp:inline distT="0" distB="0" distL="114300" distR="114300">
            <wp:extent cx="5242560" cy="3558540"/>
            <wp:effectExtent l="0" t="0" r="0" b="762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16"/>
                    <a:stretch>
                      <a:fillRect/>
                    </a:stretch>
                  </pic:blipFill>
                  <pic:spPr>
                    <a:xfrm>
                      <a:off x="0" y="0"/>
                      <a:ext cx="5242560" cy="3558540"/>
                    </a:xfrm>
                    <a:prstGeom prst="rect">
                      <a:avLst/>
                    </a:prstGeom>
                    <a:noFill/>
                    <a:ln>
                      <a:noFill/>
                    </a:ln>
                  </pic:spPr>
                </pic:pic>
              </a:graphicData>
            </a:graphic>
          </wp:inline>
        </w:drawing>
      </w:r>
      <w:r>
        <w:drawing>
          <wp:inline distT="0" distB="0" distL="114300" distR="114300">
            <wp:extent cx="5410200" cy="3429000"/>
            <wp:effectExtent l="0" t="0" r="0" b="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17"/>
                    <a:stretch>
                      <a:fillRect/>
                    </a:stretch>
                  </pic:blipFill>
                  <pic:spPr>
                    <a:xfrm>
                      <a:off x="0" y="0"/>
                      <a:ext cx="5410200" cy="3429000"/>
                    </a:xfrm>
                    <a:prstGeom prst="rect">
                      <a:avLst/>
                    </a:prstGeom>
                    <a:noFill/>
                    <a:ln>
                      <a:noFill/>
                    </a:ln>
                  </pic:spPr>
                </pic:pic>
              </a:graphicData>
            </a:graphic>
          </wp:inline>
        </w:drawing>
      </w:r>
    </w:p>
    <w:p>
      <w:pPr>
        <w:spacing w:line="360" w:lineRule="auto"/>
      </w:pPr>
      <w:r>
        <w:drawing>
          <wp:inline distT="0" distB="0" distL="114300" distR="114300">
            <wp:extent cx="7429500" cy="4373880"/>
            <wp:effectExtent l="0" t="0" r="0" b="7620"/>
            <wp:docPr id="7" name="图片 7" descr="c33c111deba533de50cc6becb55f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33c111deba533de50cc6becb55fbe3"/>
                    <pic:cNvPicPr>
                      <a:picLocks noChangeAspect="1"/>
                    </pic:cNvPicPr>
                  </pic:nvPicPr>
                  <pic:blipFill>
                    <a:blip r:embed="rId18"/>
                    <a:stretch>
                      <a:fillRect/>
                    </a:stretch>
                  </pic:blipFill>
                  <pic:spPr>
                    <a:xfrm>
                      <a:off x="0" y="0"/>
                      <a:ext cx="7429500" cy="4373880"/>
                    </a:xfrm>
                    <a:prstGeom prst="rect">
                      <a:avLst/>
                    </a:prstGeom>
                  </pic:spPr>
                </pic:pic>
              </a:graphicData>
            </a:graphic>
          </wp:inline>
        </w:drawing>
      </w:r>
      <w:r>
        <w:drawing>
          <wp:inline distT="0" distB="0" distL="114300" distR="114300">
            <wp:extent cx="7284720" cy="551688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7284720" cy="5516880"/>
                    </a:xfrm>
                    <a:prstGeom prst="rect">
                      <a:avLst/>
                    </a:prstGeom>
                    <a:noFill/>
                    <a:ln>
                      <a:noFill/>
                    </a:ln>
                  </pic:spPr>
                </pic:pic>
              </a:graphicData>
            </a:graphic>
          </wp:inline>
        </w:drawing>
      </w:r>
      <w:r>
        <w:drawing>
          <wp:inline distT="0" distB="0" distL="114300" distR="114300">
            <wp:extent cx="8267700" cy="5722620"/>
            <wp:effectExtent l="0" t="0" r="7620" b="762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0"/>
                    <a:stretch>
                      <a:fillRect/>
                    </a:stretch>
                  </pic:blipFill>
                  <pic:spPr>
                    <a:xfrm>
                      <a:off x="0" y="0"/>
                      <a:ext cx="8267700" cy="5722620"/>
                    </a:xfrm>
                    <a:prstGeom prst="rect">
                      <a:avLst/>
                    </a:prstGeom>
                    <a:noFill/>
                    <a:ln>
                      <a:noFill/>
                    </a:ln>
                  </pic:spPr>
                </pic:pic>
              </a:graphicData>
            </a:graphic>
          </wp:inline>
        </w:drawing>
      </w:r>
      <w:r>
        <w:drawing>
          <wp:inline distT="0" distB="0" distL="114300" distR="114300">
            <wp:extent cx="8237220" cy="5669280"/>
            <wp:effectExtent l="0" t="0" r="7620"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1"/>
                    <a:stretch>
                      <a:fillRect/>
                    </a:stretch>
                  </pic:blipFill>
                  <pic:spPr>
                    <a:xfrm>
                      <a:off x="0" y="0"/>
                      <a:ext cx="8237220" cy="5669280"/>
                    </a:xfrm>
                    <a:prstGeom prst="rect">
                      <a:avLst/>
                    </a:prstGeom>
                    <a:noFill/>
                    <a:ln>
                      <a:noFill/>
                    </a:ln>
                  </pic:spPr>
                </pic:pic>
              </a:graphicData>
            </a:graphic>
          </wp:inline>
        </w:drawing>
      </w:r>
      <w:r>
        <w:drawing>
          <wp:inline distT="0" distB="0" distL="114300" distR="114300">
            <wp:extent cx="8313420" cy="5676900"/>
            <wp:effectExtent l="0" t="0" r="7620" b="762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2"/>
                    <a:stretch>
                      <a:fillRect/>
                    </a:stretch>
                  </pic:blipFill>
                  <pic:spPr>
                    <a:xfrm>
                      <a:off x="0" y="0"/>
                      <a:ext cx="8313420" cy="5676900"/>
                    </a:xfrm>
                    <a:prstGeom prst="rect">
                      <a:avLst/>
                    </a:prstGeom>
                    <a:noFill/>
                    <a:ln>
                      <a:noFill/>
                    </a:ln>
                  </pic:spPr>
                </pic:pic>
              </a:graphicData>
            </a:graphic>
          </wp:inline>
        </w:drawing>
      </w:r>
      <w:r>
        <w:drawing>
          <wp:inline distT="0" distB="0" distL="114300" distR="114300">
            <wp:extent cx="8305800" cy="5707380"/>
            <wp:effectExtent l="0" t="0" r="0" b="762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3"/>
                    <a:stretch>
                      <a:fillRect/>
                    </a:stretch>
                  </pic:blipFill>
                  <pic:spPr>
                    <a:xfrm>
                      <a:off x="0" y="0"/>
                      <a:ext cx="8305800" cy="5707380"/>
                    </a:xfrm>
                    <a:prstGeom prst="rect">
                      <a:avLst/>
                    </a:prstGeom>
                    <a:noFill/>
                    <a:ln>
                      <a:noFill/>
                    </a:ln>
                  </pic:spPr>
                </pic:pic>
              </a:graphicData>
            </a:graphic>
          </wp:inline>
        </w:drawing>
      </w:r>
      <w:r>
        <w:drawing>
          <wp:inline distT="0" distB="0" distL="114300" distR="114300">
            <wp:extent cx="8275320" cy="5722620"/>
            <wp:effectExtent l="0" t="0" r="0" b="762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4"/>
                    <a:stretch>
                      <a:fillRect/>
                    </a:stretch>
                  </pic:blipFill>
                  <pic:spPr>
                    <a:xfrm>
                      <a:off x="0" y="0"/>
                      <a:ext cx="8275320" cy="5722620"/>
                    </a:xfrm>
                    <a:prstGeom prst="rect">
                      <a:avLst/>
                    </a:prstGeom>
                    <a:noFill/>
                    <a:ln>
                      <a:noFill/>
                    </a:ln>
                  </pic:spPr>
                </pic:pic>
              </a:graphicData>
            </a:graphic>
          </wp:inline>
        </w:drawing>
      </w:r>
      <w:r>
        <w:drawing>
          <wp:inline distT="0" distB="0" distL="114300" distR="114300">
            <wp:extent cx="8260080" cy="5692140"/>
            <wp:effectExtent l="0" t="0" r="0" b="762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5"/>
                    <a:stretch>
                      <a:fillRect/>
                    </a:stretch>
                  </pic:blipFill>
                  <pic:spPr>
                    <a:xfrm>
                      <a:off x="0" y="0"/>
                      <a:ext cx="8260080" cy="5692140"/>
                    </a:xfrm>
                    <a:prstGeom prst="rect">
                      <a:avLst/>
                    </a:prstGeom>
                    <a:noFill/>
                    <a:ln>
                      <a:noFill/>
                    </a:ln>
                  </pic:spPr>
                </pic:pic>
              </a:graphicData>
            </a:graphic>
          </wp:inline>
        </w:drawing>
      </w:r>
    </w:p>
    <w:p>
      <w:pPr>
        <w:spacing w:line="360" w:lineRule="auto"/>
      </w:pPr>
      <w:r>
        <w:drawing>
          <wp:inline distT="0" distB="0" distL="114300" distR="114300">
            <wp:extent cx="8343900" cy="2887980"/>
            <wp:effectExtent l="0" t="0" r="7620"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6"/>
                    <a:stretch>
                      <a:fillRect/>
                    </a:stretch>
                  </pic:blipFill>
                  <pic:spPr>
                    <a:xfrm>
                      <a:off x="0" y="0"/>
                      <a:ext cx="8343900" cy="2887980"/>
                    </a:xfrm>
                    <a:prstGeom prst="rect">
                      <a:avLst/>
                    </a:prstGeom>
                    <a:noFill/>
                    <a:ln>
                      <a:noFill/>
                    </a:ln>
                  </pic:spPr>
                </pic:pic>
              </a:graphicData>
            </a:graphic>
          </wp:inline>
        </w:drawing>
      </w:r>
    </w:p>
    <w:p>
      <w:pPr>
        <w:spacing w:line="360" w:lineRule="auto"/>
        <w:rPr>
          <w:rFonts w:hint="eastAsia"/>
          <w:lang w:eastAsia="zh-CN"/>
        </w:rPr>
        <w:sectPr>
          <w:pgSz w:w="23810" w:h="16840"/>
          <w:pgMar w:top="400" w:right="3571" w:bottom="0" w:left="1515" w:header="0" w:footer="0" w:gutter="0"/>
          <w:cols w:space="720" w:num="1"/>
        </w:sectPr>
      </w:pPr>
      <w:r>
        <w:drawing>
          <wp:inline distT="0" distB="0" distL="114300" distR="114300">
            <wp:extent cx="8244840" cy="5608320"/>
            <wp:effectExtent l="0" t="0" r="0" b="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27"/>
                    <a:stretch>
                      <a:fillRect/>
                    </a:stretch>
                  </pic:blipFill>
                  <pic:spPr>
                    <a:xfrm>
                      <a:off x="0" y="0"/>
                      <a:ext cx="8244840" cy="5608320"/>
                    </a:xfrm>
                    <a:prstGeom prst="rect">
                      <a:avLst/>
                    </a:prstGeom>
                    <a:noFill/>
                    <a:ln>
                      <a:noFill/>
                    </a:ln>
                  </pic:spPr>
                </pic:pic>
              </a:graphicData>
            </a:graphic>
          </wp:inline>
        </w:drawing>
      </w:r>
      <w:r>
        <w:drawing>
          <wp:inline distT="0" distB="0" distL="114300" distR="114300">
            <wp:extent cx="8237220" cy="5676900"/>
            <wp:effectExtent l="0" t="0" r="7620" b="762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28"/>
                    <a:stretch>
                      <a:fillRect/>
                    </a:stretch>
                  </pic:blipFill>
                  <pic:spPr>
                    <a:xfrm>
                      <a:off x="0" y="0"/>
                      <a:ext cx="8237220" cy="5676900"/>
                    </a:xfrm>
                    <a:prstGeom prst="rect">
                      <a:avLst/>
                    </a:prstGeom>
                    <a:noFill/>
                    <a:ln>
                      <a:noFill/>
                    </a:ln>
                  </pic:spPr>
                </pic:pic>
              </a:graphicData>
            </a:graphic>
          </wp:inline>
        </w:drawing>
      </w:r>
    </w:p>
    <w:p>
      <w:pPr>
        <w:spacing w:before="123" w:line="360" w:lineRule="auto"/>
        <w:outlineLvl w:val="0"/>
        <w:rPr>
          <w:rFonts w:hint="eastAsia" w:ascii="宋体" w:hAnsi="宋体" w:eastAsia="宋体" w:cs="宋体"/>
          <w:sz w:val="21"/>
          <w:szCs w:val="21"/>
          <w:lang w:eastAsia="zh-CN"/>
        </w:rPr>
      </w:pPr>
      <w:r>
        <w:rPr>
          <w:rFonts w:hint="eastAsia" w:ascii="宋体" w:hAnsi="宋体" w:eastAsia="宋体" w:cs="宋体"/>
          <w:b/>
          <w:bCs/>
          <w:sz w:val="21"/>
          <w:szCs w:val="21"/>
          <w:lang w:eastAsia="zh-CN"/>
        </w:rPr>
        <w:t>四、材料要求</w:t>
      </w:r>
    </w:p>
    <w:p>
      <w:pPr>
        <w:adjustRightInd w:val="0"/>
        <w:snapToGrid w:val="0"/>
        <w:spacing w:line="360" w:lineRule="auto"/>
        <w:ind w:firstLine="283" w:firstLineChars="135"/>
        <w:rPr>
          <w:rFonts w:hint="eastAsia" w:ascii="宋体" w:hAnsi="宋体" w:eastAsia="宋体" w:cs="宋体"/>
          <w:sz w:val="21"/>
          <w:szCs w:val="21"/>
          <w:lang w:eastAsia="zh-CN"/>
        </w:rPr>
      </w:pPr>
      <w:r>
        <w:rPr>
          <w:rFonts w:hint="eastAsia" w:ascii="宋体" w:hAnsi="宋体" w:eastAsia="宋体" w:cs="宋体"/>
          <w:sz w:val="21"/>
          <w:szCs w:val="21"/>
          <w:lang w:eastAsia="zh-CN"/>
        </w:rPr>
        <w:t>本项目采用的材料需符合以下要求：</w:t>
      </w:r>
    </w:p>
    <w:p>
      <w:pPr>
        <w:adjustRightInd w:val="0"/>
        <w:snapToGrid w:val="0"/>
        <w:spacing w:line="360" w:lineRule="auto"/>
        <w:ind w:firstLine="283" w:firstLineChars="135"/>
        <w:rPr>
          <w:rFonts w:hint="eastAsia" w:ascii="宋体" w:hAnsi="宋体" w:eastAsia="宋体"/>
          <w:szCs w:val="21"/>
          <w:lang w:eastAsia="zh-CN"/>
        </w:rPr>
      </w:pPr>
      <w:r>
        <w:rPr>
          <w:rFonts w:hint="eastAsia" w:ascii="宋体" w:hAnsi="宋体"/>
          <w:szCs w:val="21"/>
        </w:rPr>
        <w:t>1.检测机构要求：第三方权威质检机构出具的质检报告，须含有CMA</w:t>
      </w:r>
      <w:bookmarkStart w:id="5" w:name="_GoBack"/>
      <w:bookmarkEnd w:id="5"/>
      <w:r>
        <w:rPr>
          <w:rFonts w:hint="eastAsia" w:ascii="宋体" w:hAnsi="宋体"/>
          <w:szCs w:val="21"/>
        </w:rPr>
        <w:t>认证标志</w:t>
      </w:r>
      <w:r>
        <w:rPr>
          <w:rFonts w:hint="eastAsia" w:ascii="宋体" w:hAnsi="宋体"/>
          <w:szCs w:val="21"/>
          <w:lang w:eastAsia="zh-CN"/>
        </w:rPr>
        <w:t>。</w:t>
      </w:r>
    </w:p>
    <w:p>
      <w:pPr>
        <w:adjustRightInd w:val="0"/>
        <w:snapToGrid w:val="0"/>
        <w:spacing w:line="360" w:lineRule="auto"/>
        <w:ind w:firstLine="283" w:firstLineChars="135"/>
        <w:outlineLvl w:val="1"/>
        <w:rPr>
          <w:rFonts w:hint="eastAsia" w:ascii="宋体" w:hAnsi="宋体" w:eastAsia="宋体"/>
          <w:szCs w:val="21"/>
          <w:lang w:eastAsia="zh-CN"/>
        </w:rPr>
      </w:pPr>
      <w:r>
        <w:rPr>
          <w:rFonts w:hint="eastAsia" w:ascii="宋体" w:hAnsi="宋体"/>
          <w:szCs w:val="21"/>
        </w:rPr>
        <w:t>2.检测内容：主要原材料、类似成品及板材游离甲醛释放量</w:t>
      </w:r>
      <w:r>
        <w:rPr>
          <w:rFonts w:hint="eastAsia" w:ascii="宋体" w:hAnsi="宋体"/>
          <w:szCs w:val="21"/>
          <w:lang w:eastAsia="zh-CN"/>
        </w:rPr>
        <w:t>等。</w:t>
      </w:r>
    </w:p>
    <w:p>
      <w:pPr>
        <w:adjustRightInd w:val="0"/>
        <w:snapToGrid w:val="0"/>
        <w:spacing w:line="360" w:lineRule="auto"/>
        <w:ind w:firstLine="283" w:firstLineChars="135"/>
        <w:rPr>
          <w:rFonts w:hint="eastAsia" w:ascii="宋体" w:hAnsi="宋体"/>
          <w:szCs w:val="21"/>
        </w:rPr>
      </w:pPr>
      <w:r>
        <w:rPr>
          <w:rFonts w:hint="eastAsia" w:ascii="宋体" w:hAnsi="宋体"/>
          <w:szCs w:val="21"/>
        </w:rPr>
        <w:t>3.检测报告有效期：</w:t>
      </w:r>
      <w:r>
        <w:rPr>
          <w:rFonts w:hint="eastAsia" w:ascii="宋体" w:hAnsi="宋体"/>
          <w:szCs w:val="21"/>
          <w:lang w:val="en-US" w:eastAsia="zh-CN"/>
        </w:rPr>
        <w:t>检测报告需加盖投标人公章，出具日期应在本项目</w:t>
      </w:r>
      <w:r>
        <w:rPr>
          <w:rFonts w:hint="eastAsia" w:ascii="宋体" w:hAnsi="宋体"/>
          <w:szCs w:val="21"/>
        </w:rPr>
        <w:t>投标截止日1年内，原件备查。</w:t>
      </w:r>
    </w:p>
    <w:p>
      <w:pPr>
        <w:adjustRightInd w:val="0"/>
        <w:snapToGrid w:val="0"/>
        <w:spacing w:line="360" w:lineRule="auto"/>
        <w:outlineLvl w:val="1"/>
        <w:rPr>
          <w:rFonts w:hint="eastAsia" w:ascii="宋体" w:hAnsi="宋体"/>
          <w:b/>
          <w:bCs/>
          <w:szCs w:val="21"/>
        </w:rPr>
      </w:pPr>
      <w:r>
        <w:rPr>
          <w:rFonts w:hint="eastAsia" w:ascii="宋体" w:hAnsi="宋体"/>
          <w:b/>
          <w:bCs/>
          <w:szCs w:val="21"/>
        </w:rPr>
        <w:t>1.主要材料检测报告清单：</w:t>
      </w:r>
    </w:p>
    <w:p>
      <w:pPr>
        <w:adjustRightInd w:val="0"/>
        <w:snapToGrid w:val="0"/>
        <w:spacing w:line="360" w:lineRule="auto"/>
        <w:rPr>
          <w:rFonts w:hint="eastAsia" w:ascii="宋体" w:hAnsi="宋体"/>
          <w:szCs w:val="21"/>
        </w:rPr>
      </w:pPr>
      <w:r>
        <w:rPr>
          <w:rFonts w:hint="eastAsia" w:ascii="宋体" w:hAnsi="宋体"/>
          <w:szCs w:val="21"/>
        </w:rPr>
        <w:t>(</w:t>
      </w:r>
      <w:r>
        <w:rPr>
          <w:rFonts w:hint="eastAsia" w:ascii="宋体" w:hAnsi="宋体"/>
          <w:szCs w:val="21"/>
          <w:lang w:val="en-US" w:eastAsia="zh-CN"/>
        </w:rPr>
        <w:t>1</w:t>
      </w:r>
      <w:r>
        <w:rPr>
          <w:rFonts w:hint="eastAsia" w:ascii="宋体" w:hAnsi="宋体"/>
          <w:szCs w:val="21"/>
        </w:rPr>
        <w:t>)胶水：符合VOC 含量，依据 GB 33372-2020 胶黏剂挥发性有机化合物限量的要求。</w:t>
      </w:r>
    </w:p>
    <w:p>
      <w:pPr>
        <w:adjustRightInd w:val="0"/>
        <w:snapToGrid w:val="0"/>
        <w:spacing w:line="360" w:lineRule="auto"/>
        <w:rPr>
          <w:rFonts w:hint="eastAsia"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)钢架（钢管）：GB/T 3325-2017《金属家具通用技术条件》，QB/T 3826-1999《轻工产品金属镀层和化学处理层的耐腐蚀试验方法 中性盐雾试验 (NSS)法》，QB/T 3832-1999《轻工产品金属镀层腐蚀试验结果的评价》</w:t>
      </w:r>
    </w:p>
    <w:p>
      <w:pPr>
        <w:adjustRightInd w:val="0"/>
        <w:snapToGrid w:val="0"/>
        <w:spacing w:line="360" w:lineRule="auto"/>
        <w:rPr>
          <w:rFonts w:hint="eastAsia" w:ascii="宋体" w:hAnsi="宋体" w:eastAsia="宋体" w:cs="Times New Roman"/>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)塑粉：依据HG/T 2006-2006《热固性粉末涂料》,</w:t>
      </w:r>
      <w:r>
        <w:rPr>
          <w:rFonts w:hint="eastAsia" w:ascii="宋体" w:hAnsi="宋体" w:eastAsia="宋体" w:cs="Times New Roman"/>
          <w:szCs w:val="21"/>
        </w:rPr>
        <w:t>可溶性铅≤90mg/kg,可溶性镉≤75mg/kg,可溶性铬≤60mg/kg,可溶性汞≤60mg/kg</w:t>
      </w:r>
      <w:r>
        <w:rPr>
          <w:rFonts w:ascii="宋体" w:hAnsi="宋体"/>
          <w:sz w:val="24"/>
        </w:rPr>
        <w:t>,</w:t>
      </w:r>
      <w:r>
        <w:rPr>
          <w:rFonts w:hint="eastAsia" w:ascii="宋体" w:hAnsi="宋体" w:eastAsia="宋体" w:cs="Times New Roman"/>
          <w:szCs w:val="21"/>
        </w:rPr>
        <w:t>金属喷塑涂层附着力, 硬度、耐冲击性，耐湿热性均符合标准</w:t>
      </w:r>
    </w:p>
    <w:p>
      <w:pPr>
        <w:adjustRightInd w:val="0"/>
        <w:snapToGrid w:val="0"/>
        <w:spacing w:line="360" w:lineRule="auto"/>
        <w:rPr>
          <w:rFonts w:hint="eastAsia" w:ascii="宋体" w:hAnsi="宋体"/>
          <w:szCs w:val="21"/>
        </w:rPr>
      </w:pPr>
      <w:r>
        <w:rPr>
          <w:rFonts w:hint="eastAsia" w:ascii="宋体" w:hAnsi="宋体"/>
          <w:szCs w:val="21"/>
        </w:rPr>
        <w:t>(</w:t>
      </w:r>
      <w:r>
        <w:rPr>
          <w:rFonts w:hint="eastAsia" w:ascii="宋体" w:hAnsi="宋体"/>
          <w:szCs w:val="21"/>
          <w:lang w:val="en-US" w:eastAsia="zh-CN"/>
        </w:rPr>
        <w:t>4</w:t>
      </w:r>
      <w:r>
        <w:rPr>
          <w:rFonts w:hint="eastAsia" w:ascii="宋体" w:hAnsi="宋体"/>
          <w:szCs w:val="21"/>
        </w:rPr>
        <w:t>)五金配件：导轨：过载--垂直向下静载荷（300N，10 次）、过载--水平侧向静载荷（150N，5 次）、耐腐蚀性、耐久性（商用型），依据 QB/T 2454-2013 家具五金 抽屉导轨</w:t>
      </w:r>
    </w:p>
    <w:p>
      <w:pPr>
        <w:adjustRightInd w:val="0"/>
        <w:snapToGrid w:val="0"/>
        <w:spacing w:line="360" w:lineRule="auto"/>
        <w:rPr>
          <w:rFonts w:hint="eastAsia" w:ascii="宋体" w:hAnsi="宋体"/>
          <w:b w:val="0"/>
          <w:bCs w:val="0"/>
          <w:szCs w:val="21"/>
        </w:rPr>
      </w:pPr>
      <w:r>
        <w:rPr>
          <w:rFonts w:hint="eastAsia" w:ascii="宋体" w:hAnsi="宋体"/>
          <w:b w:val="0"/>
          <w:bCs w:val="0"/>
          <w:szCs w:val="21"/>
        </w:rPr>
        <w:t>(</w:t>
      </w:r>
      <w:r>
        <w:rPr>
          <w:rFonts w:hint="eastAsia" w:ascii="宋体" w:hAnsi="宋体"/>
          <w:b w:val="0"/>
          <w:bCs w:val="0"/>
          <w:szCs w:val="21"/>
          <w:lang w:val="en-US" w:eastAsia="zh-CN"/>
        </w:rPr>
        <w:t>5</w:t>
      </w:r>
      <w:r>
        <w:rPr>
          <w:rFonts w:hint="eastAsia" w:ascii="宋体" w:hAnsi="宋体"/>
          <w:b w:val="0"/>
          <w:bCs w:val="0"/>
          <w:szCs w:val="21"/>
        </w:rPr>
        <w:t>)五金配件：铰链：过载--垂直静载荷（30kg，10 次）、过载--水平静载荷(70N，10 次)、耐腐蚀、耐久性（商用型），依据 QB/T 2189-2013 杯状暗铰链。</w:t>
      </w:r>
    </w:p>
    <w:p>
      <w:pPr>
        <w:adjustRightInd w:val="0"/>
        <w:snapToGrid w:val="0"/>
        <w:spacing w:line="360" w:lineRule="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6</w:t>
      </w:r>
      <w:r>
        <w:rPr>
          <w:rFonts w:hint="eastAsia" w:ascii="宋体" w:hAnsi="宋体" w:eastAsia="宋体" w:cs="宋体"/>
          <w:b w:val="0"/>
          <w:bCs w:val="0"/>
          <w:sz w:val="21"/>
          <w:szCs w:val="21"/>
          <w:lang w:eastAsia="zh-CN"/>
        </w:rPr>
        <w:t>）多层实木板:符合GB18580-2017、GB/T 35601-2017、GB/T 9846-2015、GB/T 17657-2013、GB/T 39600-2021标准，其中胶合强度、静曲强度、弹性模量均合格，甲醛释放量≤0.05mg/m³，苯、甲苯、二甲苯均未检出，TVOC≤30</w:t>
      </w:r>
      <w:r>
        <w:rPr>
          <w:rFonts w:hint="eastAsia" w:ascii="宋体" w:hAnsi="宋体" w:eastAsia="宋体" w:cs="宋体"/>
          <w:b w:val="0"/>
          <w:bCs w:val="0"/>
          <w:sz w:val="21"/>
          <w:szCs w:val="21"/>
        </w:rPr>
        <w:t>μ</w:t>
      </w:r>
      <w:r>
        <w:rPr>
          <w:rFonts w:hint="eastAsia" w:ascii="宋体" w:hAnsi="宋体" w:eastAsia="宋体" w:cs="宋体"/>
          <w:b w:val="0"/>
          <w:bCs w:val="0"/>
          <w:sz w:val="21"/>
          <w:szCs w:val="21"/>
          <w:lang w:eastAsia="zh-CN"/>
        </w:rPr>
        <w:t>g/m³。</w:t>
      </w:r>
    </w:p>
    <w:p>
      <w:pPr>
        <w:spacing w:line="360" w:lineRule="auto"/>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9</w:t>
      </w:r>
      <w:r>
        <w:rPr>
          <w:rFonts w:hint="eastAsia" w:ascii="宋体" w:hAnsi="宋体" w:eastAsia="宋体" w:cs="宋体"/>
          <w:b w:val="0"/>
          <w:bCs w:val="0"/>
          <w:sz w:val="21"/>
          <w:szCs w:val="21"/>
          <w:lang w:eastAsia="zh-CN"/>
        </w:rPr>
        <w:t>）三合一连接件：符合GB/T 28203-2011标准，其中三合一偏心连接件偏心体抗压强度≥280N，三合一偏心连接件预埋螺母抗拉强度应 ≥600N，三合一偏心连接件中连接螺杆螺纹与预埋螺母的抗拉强度应 ≥800N，三合一偏心连接件中偏心体与连接螺杆的扭矩≥10N·m。</w:t>
      </w:r>
    </w:p>
    <w:p>
      <w:pPr>
        <w:spacing w:line="360" w:lineRule="auto"/>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10</w:t>
      </w:r>
      <w:r>
        <w:rPr>
          <w:rFonts w:hint="eastAsia" w:ascii="宋体" w:hAnsi="宋体" w:eastAsia="宋体" w:cs="宋体"/>
          <w:b w:val="0"/>
          <w:bCs w:val="0"/>
          <w:sz w:val="21"/>
          <w:szCs w:val="21"/>
          <w:lang w:eastAsia="zh-CN"/>
        </w:rPr>
        <w:t>）底盘机构（座椅底架）：符合GB/T 3325-2017、QB/T3827-1999、QB/T3826-1999、QB/T 3832-1999标准，其中金属表面耐腐蚀-中性盐雾试验300h达到10级、乙酸盐雾试验100h达到10级。</w:t>
      </w:r>
    </w:p>
    <w:p>
      <w:pPr>
        <w:spacing w:line="36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11</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水性底漆：符合GB 18581-2020、HJ 2537-2014标准，其中甲醛含量≤5mg/kg，VOC含量≤30g/L。</w:t>
      </w:r>
    </w:p>
    <w:p>
      <w:pPr>
        <w:spacing w:line="36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12</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水性面漆：符合GB 18581-2020、HJ 2537-2014标准，其中甲醛含量≤5mg/kg，VOC含量≤15g/L。</w:t>
      </w:r>
    </w:p>
    <w:p>
      <w:pPr>
        <w:spacing w:line="360" w:lineRule="auto"/>
        <w:jc w:val="left"/>
        <w:rPr>
          <w:rFonts w:hint="eastAsia" w:ascii="宋体" w:hAnsi="宋体" w:eastAsia="宋体" w:cs="宋体"/>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13</w:t>
      </w:r>
      <w:r>
        <w:rPr>
          <w:rFonts w:hint="eastAsia" w:ascii="宋体" w:hAnsi="宋体" w:eastAsia="宋体" w:cs="宋体"/>
          <w:b w:val="0"/>
          <w:bCs w:val="0"/>
          <w:sz w:val="21"/>
          <w:szCs w:val="21"/>
          <w:lang w:eastAsia="zh-CN"/>
        </w:rPr>
        <w:t>）PVC封边条：符合QB/T 4463-2013、GB/T 17657-2013标准，其中甲醛释放量未检出，耐干热性、耐磨性、耐冷热循坏性、耐老化性均合格，耐开裂性达到1级，耐光色牢度≥4级。</w:t>
      </w:r>
    </w:p>
    <w:p>
      <w:pPr>
        <w:adjustRightInd w:val="0"/>
        <w:snapToGrid w:val="0"/>
        <w:spacing w:line="360" w:lineRule="auto"/>
        <w:outlineLvl w:val="1"/>
        <w:rPr>
          <w:rFonts w:ascii="宋体" w:hAnsi="宋体"/>
          <w:b/>
          <w:bCs/>
          <w:szCs w:val="21"/>
        </w:rPr>
      </w:pPr>
      <w:r>
        <w:rPr>
          <w:rFonts w:hint="eastAsia" w:ascii="宋体" w:hAnsi="宋体"/>
          <w:b/>
          <w:bCs/>
          <w:szCs w:val="21"/>
        </w:rPr>
        <w:t>2.</w:t>
      </w:r>
      <w:r>
        <w:rPr>
          <w:rFonts w:hint="eastAsia" w:ascii="宋体" w:hAnsi="宋体"/>
          <w:b/>
          <w:bCs/>
          <w:szCs w:val="21"/>
          <w:lang w:eastAsia="zh-CN"/>
        </w:rPr>
        <w:t>历史成</w:t>
      </w:r>
      <w:r>
        <w:rPr>
          <w:rFonts w:hint="eastAsia" w:ascii="宋体" w:hAnsi="宋体"/>
          <w:b/>
          <w:bCs/>
          <w:szCs w:val="21"/>
        </w:rPr>
        <w:t>品检测报告清单：</w:t>
      </w:r>
    </w:p>
    <w:p>
      <w:pPr>
        <w:adjustRightInd w:val="0"/>
        <w:snapToGrid w:val="0"/>
        <w:spacing w:line="360" w:lineRule="auto"/>
        <w:rPr>
          <w:rFonts w:hint="eastAsia" w:ascii="宋体" w:hAnsi="宋体"/>
          <w:szCs w:val="21"/>
        </w:rPr>
      </w:pPr>
      <w:r>
        <w:rPr>
          <w:rFonts w:hint="eastAsia" w:ascii="宋体" w:hAnsi="宋体"/>
          <w:szCs w:val="21"/>
        </w:rPr>
        <w:t>（1）组合床+柜：符合QB/T 2741-2013《学生公寓多功能家具》主要尺寸、平稳、外观要求、安装要求，GB18584-2001室内装饰装修材料木家具中有害物质限量</w:t>
      </w:r>
    </w:p>
    <w:p>
      <w:pPr>
        <w:adjustRightInd w:val="0"/>
        <w:snapToGrid w:val="0"/>
        <w:spacing w:line="360" w:lineRule="auto"/>
        <w:rPr>
          <w:rFonts w:hint="eastAsia" w:ascii="宋体" w:hAnsi="宋体"/>
          <w:szCs w:val="21"/>
        </w:rPr>
      </w:pPr>
      <w:r>
        <w:rPr>
          <w:rFonts w:hint="eastAsia" w:ascii="宋体" w:hAnsi="宋体"/>
          <w:szCs w:val="21"/>
        </w:rPr>
        <w:t>（2）学习多功能桌：符合QB/T 2741-2013《学生公寓多功能家具》主要尺寸、外观要求、着地平稳性、静载，安装要求和和有害物质限量。</w:t>
      </w:r>
    </w:p>
    <w:p>
      <w:pPr>
        <w:adjustRightInd w:val="0"/>
        <w:snapToGrid w:val="0"/>
        <w:spacing w:line="360" w:lineRule="auto"/>
        <w:rPr>
          <w:rFonts w:ascii="宋体" w:hAnsi="宋体"/>
          <w:szCs w:val="21"/>
        </w:rPr>
      </w:pPr>
      <w:r>
        <w:rPr>
          <w:rFonts w:hint="eastAsia" w:ascii="宋体" w:hAnsi="宋体"/>
          <w:szCs w:val="21"/>
        </w:rPr>
        <w:t>（2）单人床:</w:t>
      </w:r>
      <w:r>
        <w:rPr>
          <w:rFonts w:hint="eastAsia"/>
        </w:rPr>
        <w:t xml:space="preserve"> </w:t>
      </w:r>
      <w:r>
        <w:rPr>
          <w:rFonts w:hint="eastAsia" w:ascii="宋体" w:hAnsi="宋体"/>
          <w:szCs w:val="21"/>
        </w:rPr>
        <w:t>符合GB/T 3325-2017金属家具通用技术条件》理化性能，GB/T 39600-2021《人造板及其制品甲醛释放量分级》有害物质限量。</w:t>
      </w:r>
    </w:p>
    <w:p>
      <w:pPr>
        <w:adjustRightInd w:val="0"/>
        <w:snapToGrid w:val="0"/>
        <w:spacing w:line="360" w:lineRule="auto"/>
        <w:rPr>
          <w:rFonts w:ascii="宋体" w:hAnsi="宋体"/>
          <w:szCs w:val="21"/>
        </w:rPr>
      </w:pPr>
      <w:r>
        <w:rPr>
          <w:rFonts w:hint="eastAsia" w:ascii="宋体" w:hAnsi="宋体"/>
          <w:szCs w:val="21"/>
        </w:rPr>
        <w:t>（2）书桌：符合GB/T 3324-2017《木家具通用技术条件》外观、结构安全、稳定、强度及有害物质限量。</w:t>
      </w:r>
    </w:p>
    <w:p>
      <w:pPr>
        <w:adjustRightInd w:val="0"/>
        <w:snapToGrid w:val="0"/>
        <w:spacing w:line="360" w:lineRule="auto"/>
        <w:rPr>
          <w:rFonts w:hint="eastAsia" w:ascii="宋体" w:hAnsi="宋体"/>
          <w:szCs w:val="21"/>
        </w:rPr>
      </w:pPr>
      <w:r>
        <w:rPr>
          <w:rFonts w:hint="eastAsia" w:ascii="宋体" w:hAnsi="宋体"/>
          <w:szCs w:val="21"/>
        </w:rPr>
        <w:t>（4）衣柜：GB/T 39600-2021《人造板及其制品甲醛释放量分级》有害物质限量。</w:t>
      </w:r>
    </w:p>
    <w:p>
      <w:pPr>
        <w:adjustRightInd w:val="0"/>
        <w:snapToGrid w:val="0"/>
        <w:spacing w:line="360" w:lineRule="auto"/>
        <w:rPr>
          <w:rFonts w:ascii="宋体" w:hAnsi="宋体"/>
          <w:szCs w:val="21"/>
        </w:rPr>
      </w:pPr>
      <w:r>
        <w:rPr>
          <w:rFonts w:hint="eastAsia" w:ascii="宋体" w:hAnsi="宋体"/>
          <w:szCs w:val="21"/>
        </w:rPr>
        <w:t>（5）椅子：符合</w:t>
      </w:r>
      <w:r>
        <w:rPr>
          <w:rFonts w:ascii="宋体" w:hAnsi="宋体"/>
          <w:szCs w:val="21"/>
        </w:rPr>
        <w:t xml:space="preserve"> </w:t>
      </w:r>
      <w:r>
        <w:rPr>
          <w:rFonts w:hint="eastAsia" w:ascii="宋体" w:hAnsi="宋体"/>
          <w:szCs w:val="21"/>
        </w:rPr>
        <w:t>GB/T 3325-2017金属家具通用技术条件》主要功能尺寸、外观安全、强度，有害物质限量符合GB18584-2001室内装饰装修材料木家具中有害物质限量</w:t>
      </w:r>
    </w:p>
    <w:p>
      <w:pPr>
        <w:adjustRightInd w:val="0"/>
        <w:snapToGrid w:val="0"/>
        <w:spacing w:line="360" w:lineRule="auto"/>
        <w:rPr>
          <w:rFonts w:hint="eastAsia" w:ascii="宋体" w:hAnsi="宋体" w:eastAsia="宋体" w:cs="宋体"/>
          <w:sz w:val="21"/>
          <w:szCs w:val="21"/>
        </w:rPr>
        <w:sectPr>
          <w:pgSz w:w="23810" w:h="16840"/>
          <w:pgMar w:top="400" w:right="3571" w:bottom="0" w:left="1495" w:header="0" w:footer="0" w:gutter="0"/>
          <w:cols w:space="720" w:num="1"/>
        </w:sectPr>
      </w:pPr>
      <w:r>
        <w:rPr>
          <w:rFonts w:hint="eastAsia" w:ascii="宋体" w:hAnsi="宋体"/>
          <w:szCs w:val="21"/>
        </w:rPr>
        <w:t>（6）课桌、课椅：符合QB/T 4071-2021《课桌椅》主要尺寸、外观、安全、稳定性、理化性能及力学性能。</w:t>
      </w:r>
    </w:p>
    <w:p>
      <w:pPr>
        <w:spacing w:before="130" w:line="360" w:lineRule="auto"/>
        <w:outlineLvl w:val="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六、样品要求</w:t>
      </w:r>
    </w:p>
    <w:p>
      <w:pPr>
        <w:pStyle w:val="6"/>
        <w:adjustRightInd w:val="0"/>
        <w:snapToGrid w:val="0"/>
        <w:spacing w:line="360" w:lineRule="auto"/>
        <w:outlineLvl w:val="1"/>
        <w:rPr>
          <w:rFonts w:hint="eastAsia" w:hAnsi="宋体"/>
        </w:rPr>
      </w:pPr>
      <w:r>
        <w:rPr>
          <w:rFonts w:hint="eastAsia" w:hAnsi="宋体"/>
        </w:rPr>
        <w:t>样品清单如下：</w:t>
      </w:r>
    </w:p>
    <w:p>
      <w:pPr>
        <w:pStyle w:val="6"/>
        <w:adjustRightInd w:val="0"/>
        <w:snapToGrid w:val="0"/>
        <w:spacing w:line="360" w:lineRule="auto"/>
        <w:outlineLvl w:val="0"/>
        <w:rPr>
          <w:rFonts w:hint="eastAsia" w:hAnsi="宋体"/>
        </w:rPr>
      </w:pPr>
      <w:r>
        <w:rPr>
          <w:rFonts w:hint="eastAsia" w:hAnsi="宋体"/>
        </w:rPr>
        <w:t>大样：</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2280"/>
        <w:gridCol w:w="312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序号</w:t>
            </w:r>
          </w:p>
        </w:tc>
        <w:tc>
          <w:tcPr>
            <w:tcW w:w="2280"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样品名称</w:t>
            </w:r>
          </w:p>
        </w:tc>
        <w:tc>
          <w:tcPr>
            <w:tcW w:w="3120"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规格尺寸</w:t>
            </w:r>
          </w:p>
        </w:tc>
        <w:tc>
          <w:tcPr>
            <w:tcW w:w="2131"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样品数量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1</w:t>
            </w:r>
          </w:p>
        </w:tc>
        <w:tc>
          <w:tcPr>
            <w:tcW w:w="2280" w:type="dxa"/>
            <w:noWrap w:val="0"/>
            <w:vAlign w:val="top"/>
          </w:tcPr>
          <w:p>
            <w:pPr>
              <w:pStyle w:val="6"/>
              <w:adjustRightInd w:val="0"/>
              <w:snapToGrid w:val="0"/>
              <w:spacing w:line="360" w:lineRule="auto"/>
              <w:outlineLvl w:val="0"/>
              <w:rPr>
                <w:rFonts w:hint="eastAsia" w:hAnsi="宋体"/>
                <w:szCs w:val="21"/>
                <w:highlight w:val="none"/>
              </w:rPr>
            </w:pPr>
            <w:r>
              <w:rPr>
                <w:rFonts w:hint="eastAsia" w:hAnsi="宋体"/>
                <w:szCs w:val="21"/>
                <w:highlight w:val="none"/>
              </w:rPr>
              <w:t>采购清单中序号1：</w:t>
            </w:r>
          </w:p>
          <w:p>
            <w:pPr>
              <w:pStyle w:val="6"/>
              <w:adjustRightInd w:val="0"/>
              <w:snapToGrid w:val="0"/>
              <w:spacing w:line="360" w:lineRule="auto"/>
              <w:outlineLvl w:val="0"/>
              <w:rPr>
                <w:rFonts w:hAnsi="宋体"/>
                <w:szCs w:val="21"/>
                <w:highlight w:val="none"/>
              </w:rPr>
            </w:pPr>
            <w:r>
              <w:rPr>
                <w:rFonts w:hint="eastAsia" w:hAnsi="宋体"/>
                <w:szCs w:val="21"/>
                <w:highlight w:val="none"/>
              </w:rPr>
              <w:t>学生公寓床</w:t>
            </w:r>
          </w:p>
        </w:tc>
        <w:tc>
          <w:tcPr>
            <w:tcW w:w="3120" w:type="dxa"/>
            <w:noWrap w:val="0"/>
            <w:vAlign w:val="top"/>
          </w:tcPr>
          <w:p>
            <w:pPr>
              <w:pStyle w:val="6"/>
              <w:adjustRightInd w:val="0"/>
              <w:snapToGrid w:val="0"/>
              <w:spacing w:line="360" w:lineRule="auto"/>
              <w:outlineLvl w:val="0"/>
              <w:rPr>
                <w:rFonts w:hint="default" w:hAnsi="宋体" w:eastAsia="宋体"/>
                <w:szCs w:val="21"/>
                <w:highlight w:val="none"/>
                <w:lang w:val="en-US" w:eastAsia="zh-CN"/>
              </w:rPr>
            </w:pPr>
            <w:r>
              <w:rPr>
                <w:rFonts w:hint="eastAsia" w:hAnsi="宋体"/>
                <w:szCs w:val="21"/>
                <w:highlight w:val="none"/>
              </w:rPr>
              <w:t>三人连体规格5</w:t>
            </w:r>
            <w:r>
              <w:rPr>
                <w:rFonts w:hint="eastAsia" w:hAnsi="宋体"/>
                <w:szCs w:val="21"/>
                <w:highlight w:val="none"/>
                <w:lang w:val="en-US" w:eastAsia="zh-CN"/>
              </w:rPr>
              <w:t>864</w:t>
            </w:r>
            <w:r>
              <w:rPr>
                <w:rFonts w:hint="eastAsia" w:hAnsi="宋体"/>
                <w:szCs w:val="21"/>
                <w:highlight w:val="none"/>
              </w:rPr>
              <w:t>*900*2</w:t>
            </w:r>
            <w:r>
              <w:rPr>
                <w:rFonts w:hint="eastAsia" w:hAnsi="宋体"/>
                <w:szCs w:val="21"/>
                <w:highlight w:val="none"/>
                <w:lang w:val="en-US" w:eastAsia="zh-CN"/>
              </w:rPr>
              <w:t>200</w:t>
            </w:r>
            <w:r>
              <w:rPr>
                <w:rFonts w:hint="eastAsia" w:hAnsi="宋体"/>
                <w:szCs w:val="21"/>
                <w:highlight w:val="none"/>
              </w:rPr>
              <w:t>/</w:t>
            </w:r>
            <w:r>
              <w:rPr>
                <w:rFonts w:hint="eastAsia" w:hAnsi="宋体"/>
                <w:szCs w:val="21"/>
                <w:highlight w:val="none"/>
                <w:lang w:val="en-US" w:eastAsia="zh-CN"/>
              </w:rPr>
              <w:t>3000</w:t>
            </w:r>
          </w:p>
        </w:tc>
        <w:tc>
          <w:tcPr>
            <w:tcW w:w="2131"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2</w:t>
            </w:r>
          </w:p>
        </w:tc>
        <w:tc>
          <w:tcPr>
            <w:tcW w:w="2280" w:type="dxa"/>
            <w:noWrap w:val="0"/>
            <w:vAlign w:val="top"/>
          </w:tcPr>
          <w:p>
            <w:pPr>
              <w:pStyle w:val="6"/>
              <w:adjustRightInd w:val="0"/>
              <w:snapToGrid w:val="0"/>
              <w:spacing w:line="360" w:lineRule="auto"/>
              <w:outlineLvl w:val="0"/>
              <w:rPr>
                <w:rFonts w:hint="eastAsia" w:hAnsi="宋体"/>
                <w:szCs w:val="21"/>
                <w:highlight w:val="none"/>
              </w:rPr>
            </w:pPr>
            <w:r>
              <w:rPr>
                <w:rFonts w:hint="eastAsia" w:hAnsi="宋体"/>
                <w:szCs w:val="21"/>
                <w:highlight w:val="none"/>
              </w:rPr>
              <w:t>采购清单中序号3：</w:t>
            </w:r>
          </w:p>
          <w:p>
            <w:pPr>
              <w:pStyle w:val="6"/>
              <w:adjustRightInd w:val="0"/>
              <w:snapToGrid w:val="0"/>
              <w:spacing w:line="360" w:lineRule="auto"/>
              <w:outlineLvl w:val="0"/>
              <w:rPr>
                <w:rFonts w:hAnsi="宋体"/>
                <w:szCs w:val="21"/>
                <w:highlight w:val="none"/>
              </w:rPr>
            </w:pPr>
            <w:r>
              <w:rPr>
                <w:rFonts w:hint="eastAsia" w:hAnsi="宋体"/>
                <w:szCs w:val="21"/>
                <w:highlight w:val="none"/>
              </w:rPr>
              <w:t>椅子</w:t>
            </w:r>
          </w:p>
        </w:tc>
        <w:tc>
          <w:tcPr>
            <w:tcW w:w="3120"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430*450*865</w:t>
            </w:r>
          </w:p>
        </w:tc>
        <w:tc>
          <w:tcPr>
            <w:tcW w:w="2131"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3</w:t>
            </w:r>
          </w:p>
        </w:tc>
        <w:tc>
          <w:tcPr>
            <w:tcW w:w="2280" w:type="dxa"/>
            <w:noWrap w:val="0"/>
            <w:vAlign w:val="top"/>
          </w:tcPr>
          <w:p>
            <w:pPr>
              <w:pStyle w:val="6"/>
              <w:adjustRightInd w:val="0"/>
              <w:snapToGrid w:val="0"/>
              <w:spacing w:line="360" w:lineRule="auto"/>
              <w:outlineLvl w:val="0"/>
              <w:rPr>
                <w:rFonts w:hint="eastAsia" w:hAnsi="宋体"/>
                <w:szCs w:val="21"/>
                <w:highlight w:val="none"/>
              </w:rPr>
            </w:pPr>
            <w:r>
              <w:rPr>
                <w:rFonts w:hint="eastAsia" w:hAnsi="宋体"/>
                <w:szCs w:val="21"/>
                <w:highlight w:val="none"/>
              </w:rPr>
              <w:t>采购清单中序号8：</w:t>
            </w:r>
          </w:p>
          <w:p>
            <w:pPr>
              <w:pStyle w:val="6"/>
              <w:adjustRightInd w:val="0"/>
              <w:snapToGrid w:val="0"/>
              <w:spacing w:line="360" w:lineRule="auto"/>
              <w:outlineLvl w:val="0"/>
              <w:rPr>
                <w:rFonts w:hAnsi="宋体"/>
                <w:szCs w:val="21"/>
                <w:highlight w:val="none"/>
              </w:rPr>
            </w:pPr>
            <w:r>
              <w:rPr>
                <w:rFonts w:hint="eastAsia" w:hAnsi="宋体"/>
                <w:szCs w:val="21"/>
                <w:highlight w:val="none"/>
              </w:rPr>
              <w:t>课桌椅</w:t>
            </w:r>
          </w:p>
          <w:p>
            <w:pPr>
              <w:pStyle w:val="6"/>
              <w:adjustRightInd w:val="0"/>
              <w:snapToGrid w:val="0"/>
              <w:spacing w:line="360" w:lineRule="auto"/>
              <w:outlineLvl w:val="9"/>
              <w:rPr>
                <w:rFonts w:hAnsi="宋体"/>
                <w:szCs w:val="21"/>
                <w:highlight w:val="none"/>
              </w:rPr>
            </w:pPr>
          </w:p>
        </w:tc>
        <w:tc>
          <w:tcPr>
            <w:tcW w:w="3120" w:type="dxa"/>
            <w:noWrap w:val="0"/>
            <w:vAlign w:val="top"/>
          </w:tcPr>
          <w:p>
            <w:pPr>
              <w:pStyle w:val="6"/>
              <w:adjustRightInd w:val="0"/>
              <w:snapToGrid w:val="0"/>
              <w:spacing w:line="360" w:lineRule="auto"/>
              <w:outlineLvl w:val="0"/>
              <w:rPr>
                <w:rFonts w:hint="default" w:hAnsi="宋体" w:eastAsia="宋体"/>
                <w:szCs w:val="21"/>
                <w:highlight w:val="none"/>
                <w:lang w:val="en-US" w:eastAsia="zh-CN"/>
              </w:rPr>
            </w:pPr>
            <w:r>
              <w:rPr>
                <w:rFonts w:hint="eastAsia" w:hAnsi="宋体"/>
                <w:szCs w:val="21"/>
                <w:highlight w:val="none"/>
              </w:rPr>
              <w:t>课桌：</w:t>
            </w:r>
            <w:r>
              <w:rPr>
                <w:rFonts w:hint="eastAsia" w:hAnsi="宋体"/>
                <w:szCs w:val="21"/>
                <w:highlight w:val="none"/>
                <w:lang w:val="en-US" w:eastAsia="zh-CN"/>
              </w:rPr>
              <w:t>7</w:t>
            </w:r>
            <w:r>
              <w:rPr>
                <w:rFonts w:hint="eastAsia" w:hAnsi="宋体"/>
                <w:szCs w:val="21"/>
                <w:highlight w:val="none"/>
              </w:rPr>
              <w:t>00*</w:t>
            </w:r>
            <w:r>
              <w:rPr>
                <w:rFonts w:hint="eastAsia" w:hAnsi="宋体"/>
                <w:szCs w:val="21"/>
                <w:highlight w:val="none"/>
                <w:lang w:val="en-US" w:eastAsia="zh-CN"/>
              </w:rPr>
              <w:t>5</w:t>
            </w:r>
            <w:r>
              <w:rPr>
                <w:rFonts w:hint="eastAsia" w:hAnsi="宋体"/>
                <w:szCs w:val="21"/>
                <w:highlight w:val="none"/>
              </w:rPr>
              <w:t>00*7</w:t>
            </w:r>
            <w:r>
              <w:rPr>
                <w:rFonts w:hint="eastAsia" w:hAnsi="宋体"/>
                <w:szCs w:val="21"/>
                <w:highlight w:val="none"/>
                <w:lang w:val="en-US" w:eastAsia="zh-CN"/>
              </w:rPr>
              <w:t>0</w:t>
            </w:r>
            <w:r>
              <w:rPr>
                <w:rFonts w:hint="eastAsia" w:hAnsi="宋体"/>
                <w:szCs w:val="21"/>
                <w:highlight w:val="none"/>
              </w:rPr>
              <w:t>0</w:t>
            </w:r>
            <w:r>
              <w:rPr>
                <w:rFonts w:hint="eastAsia" w:hAnsi="宋体"/>
                <w:szCs w:val="21"/>
                <w:highlight w:val="none"/>
                <w:lang w:val="en-US" w:eastAsia="zh-CN"/>
              </w:rPr>
              <w:t>-790可调</w:t>
            </w:r>
          </w:p>
          <w:p>
            <w:pPr>
              <w:pStyle w:val="6"/>
              <w:adjustRightInd w:val="0"/>
              <w:snapToGrid w:val="0"/>
              <w:spacing w:line="360" w:lineRule="auto"/>
              <w:outlineLvl w:val="0"/>
              <w:rPr>
                <w:rFonts w:hint="eastAsia" w:hAnsi="宋体"/>
                <w:szCs w:val="21"/>
                <w:highlight w:val="none"/>
              </w:rPr>
            </w:pPr>
            <w:r>
              <w:rPr>
                <w:rFonts w:hint="eastAsia" w:hAnsi="宋体"/>
                <w:szCs w:val="21"/>
                <w:highlight w:val="none"/>
              </w:rPr>
              <w:t>书箱：440*350*150，净空高130</w:t>
            </w:r>
          </w:p>
          <w:p>
            <w:pPr>
              <w:pStyle w:val="6"/>
              <w:adjustRightInd w:val="0"/>
              <w:snapToGrid w:val="0"/>
              <w:spacing w:line="360" w:lineRule="auto"/>
              <w:outlineLvl w:val="0"/>
              <w:rPr>
                <w:rFonts w:hint="default" w:hAnsi="宋体"/>
                <w:szCs w:val="21"/>
                <w:highlight w:val="none"/>
                <w:lang w:val="en-US"/>
              </w:rPr>
            </w:pPr>
            <w:r>
              <w:rPr>
                <w:rFonts w:hint="eastAsia" w:hAnsi="宋体"/>
                <w:szCs w:val="21"/>
                <w:highlight w:val="none"/>
              </w:rPr>
              <w:t>课椅：</w:t>
            </w:r>
            <w:r>
              <w:rPr>
                <w:rFonts w:hint="eastAsia" w:hAnsi="宋体"/>
                <w:szCs w:val="21"/>
                <w:highlight w:val="none"/>
                <w:lang w:val="en-US" w:eastAsia="zh-CN"/>
              </w:rPr>
              <w:t>420*360*椅座离地高度370-460可调</w:t>
            </w:r>
          </w:p>
        </w:tc>
        <w:tc>
          <w:tcPr>
            <w:tcW w:w="2131"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1套</w:t>
            </w:r>
          </w:p>
        </w:tc>
      </w:tr>
    </w:tbl>
    <w:p>
      <w:pPr>
        <w:pStyle w:val="6"/>
        <w:adjustRightInd w:val="0"/>
        <w:snapToGrid w:val="0"/>
        <w:spacing w:line="360" w:lineRule="auto"/>
        <w:outlineLvl w:val="9"/>
        <w:rPr>
          <w:rFonts w:hAnsi="宋体"/>
          <w:szCs w:val="21"/>
          <w:highlight w:val="none"/>
        </w:rPr>
      </w:pPr>
    </w:p>
    <w:p>
      <w:pPr>
        <w:pStyle w:val="6"/>
        <w:adjustRightInd w:val="0"/>
        <w:snapToGrid w:val="0"/>
        <w:spacing w:line="360" w:lineRule="auto"/>
        <w:outlineLvl w:val="0"/>
        <w:rPr>
          <w:rFonts w:hint="eastAsia" w:hAnsi="宋体"/>
          <w:szCs w:val="21"/>
          <w:highlight w:val="none"/>
        </w:rPr>
      </w:pPr>
      <w:r>
        <w:rPr>
          <w:rFonts w:hint="eastAsia" w:hAnsi="宋体"/>
          <w:szCs w:val="21"/>
          <w:highlight w:val="none"/>
        </w:rPr>
        <w:t>小样：</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2280"/>
        <w:gridCol w:w="312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序号</w:t>
            </w:r>
          </w:p>
        </w:tc>
        <w:tc>
          <w:tcPr>
            <w:tcW w:w="2280"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样品名称</w:t>
            </w:r>
          </w:p>
        </w:tc>
        <w:tc>
          <w:tcPr>
            <w:tcW w:w="3120"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规格尺寸</w:t>
            </w:r>
          </w:p>
        </w:tc>
        <w:tc>
          <w:tcPr>
            <w:tcW w:w="2131"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样品数量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1</w:t>
            </w:r>
          </w:p>
        </w:tc>
        <w:tc>
          <w:tcPr>
            <w:tcW w:w="2280" w:type="dxa"/>
            <w:noWrap w:val="0"/>
            <w:vAlign w:val="top"/>
          </w:tcPr>
          <w:p>
            <w:pPr>
              <w:pStyle w:val="6"/>
              <w:adjustRightInd w:val="0"/>
              <w:snapToGrid w:val="0"/>
              <w:spacing w:line="360" w:lineRule="auto"/>
              <w:outlineLvl w:val="0"/>
              <w:rPr>
                <w:rFonts w:hint="eastAsia" w:hAnsi="宋体"/>
                <w:szCs w:val="21"/>
                <w:highlight w:val="none"/>
              </w:rPr>
            </w:pPr>
            <w:r>
              <w:rPr>
                <w:rFonts w:hint="eastAsia" w:hAnsi="宋体"/>
                <w:szCs w:val="21"/>
                <w:highlight w:val="none"/>
              </w:rPr>
              <w:t>采购清单中序号1：</w:t>
            </w:r>
          </w:p>
          <w:p>
            <w:pPr>
              <w:pStyle w:val="6"/>
              <w:adjustRightInd w:val="0"/>
              <w:snapToGrid w:val="0"/>
              <w:spacing w:line="360" w:lineRule="auto"/>
              <w:outlineLvl w:val="0"/>
              <w:rPr>
                <w:rFonts w:hAnsi="宋体"/>
                <w:szCs w:val="21"/>
                <w:highlight w:val="none"/>
              </w:rPr>
            </w:pPr>
            <w:r>
              <w:rPr>
                <w:rFonts w:hint="eastAsia" w:hAnsi="宋体"/>
                <w:szCs w:val="21"/>
                <w:highlight w:val="none"/>
              </w:rPr>
              <w:t>学生公寓床 配件</w:t>
            </w:r>
          </w:p>
        </w:tc>
        <w:tc>
          <w:tcPr>
            <w:tcW w:w="3120"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以下钢管15cm各一根，</w:t>
            </w:r>
            <w:r>
              <w:rPr>
                <w:rFonts w:hAnsi="宋体"/>
                <w:szCs w:val="21"/>
                <w:highlight w:val="none"/>
              </w:rPr>
              <w:t>酸洗磷化后，喷塑</w:t>
            </w:r>
          </w:p>
          <w:p>
            <w:pPr>
              <w:pStyle w:val="6"/>
              <w:adjustRightInd w:val="0"/>
              <w:snapToGrid w:val="0"/>
              <w:spacing w:line="360" w:lineRule="auto"/>
              <w:outlineLvl w:val="0"/>
              <w:rPr>
                <w:rFonts w:hAnsi="宋体"/>
                <w:szCs w:val="21"/>
                <w:highlight w:val="none"/>
              </w:rPr>
            </w:pPr>
            <w:r>
              <w:rPr>
                <w:rFonts w:hint="eastAsia" w:hAnsi="宋体"/>
                <w:szCs w:val="21"/>
                <w:highlight w:val="none"/>
              </w:rPr>
              <w:t>1.</w:t>
            </w:r>
            <w:r>
              <w:rPr>
                <w:rFonts w:hAnsi="宋体"/>
                <w:szCs w:val="21"/>
                <w:highlight w:val="none"/>
              </w:rPr>
              <w:t>床体的主体钢架的钢管：周长不小于315</w:t>
            </w:r>
            <w:r>
              <w:rPr>
                <w:rFonts w:hint="eastAsia" w:hAnsi="宋体"/>
                <w:szCs w:val="21"/>
                <w:highlight w:val="none"/>
                <w:lang w:val="en-US" w:eastAsia="zh-CN"/>
              </w:rPr>
              <w:t>mm</w:t>
            </w:r>
            <w:r>
              <w:rPr>
                <w:rFonts w:hAnsi="宋体"/>
                <w:szCs w:val="21"/>
                <w:highlight w:val="none"/>
              </w:rPr>
              <w:t>闭口型钢管</w:t>
            </w:r>
          </w:p>
          <w:p>
            <w:pPr>
              <w:pStyle w:val="6"/>
              <w:adjustRightInd w:val="0"/>
              <w:snapToGrid w:val="0"/>
              <w:spacing w:line="360" w:lineRule="auto"/>
              <w:outlineLvl w:val="0"/>
              <w:rPr>
                <w:rFonts w:hint="default" w:hAnsi="宋体" w:eastAsia="宋体"/>
                <w:szCs w:val="21"/>
                <w:highlight w:val="none"/>
                <w:lang w:val="en-US" w:eastAsia="zh-CN"/>
              </w:rPr>
            </w:pPr>
            <w:r>
              <w:rPr>
                <w:rFonts w:hint="eastAsia" w:hAnsi="宋体"/>
                <w:szCs w:val="21"/>
                <w:highlight w:val="none"/>
              </w:rPr>
              <w:t>2.</w:t>
            </w:r>
            <w:r>
              <w:rPr>
                <w:rFonts w:hAnsi="宋体"/>
                <w:szCs w:val="21"/>
                <w:highlight w:val="none"/>
              </w:rPr>
              <w:t>爬梯架：不低于30*50*1.5mm椭圆管</w:t>
            </w:r>
            <w:r>
              <w:rPr>
                <w:rFonts w:hint="eastAsia" w:hAnsi="宋体"/>
                <w:szCs w:val="21"/>
                <w:highlight w:val="none"/>
                <w:lang w:eastAsia="zh-CN"/>
              </w:rPr>
              <w:t>，</w:t>
            </w:r>
            <w:r>
              <w:rPr>
                <w:rFonts w:hint="eastAsia" w:hAnsi="宋体"/>
                <w:szCs w:val="21"/>
                <w:highlight w:val="none"/>
                <w:lang w:val="en-US" w:eastAsia="zh-CN"/>
              </w:rPr>
              <w:t>支撑管不低于20*30*1.5mm</w:t>
            </w:r>
          </w:p>
          <w:p>
            <w:pPr>
              <w:pStyle w:val="6"/>
              <w:adjustRightInd w:val="0"/>
              <w:snapToGrid w:val="0"/>
              <w:spacing w:line="360" w:lineRule="auto"/>
              <w:outlineLvl w:val="0"/>
              <w:rPr>
                <w:rFonts w:hAnsi="宋体"/>
                <w:szCs w:val="21"/>
                <w:highlight w:val="none"/>
              </w:rPr>
            </w:pPr>
            <w:r>
              <w:rPr>
                <w:rFonts w:hint="eastAsia" w:hAnsi="宋体"/>
                <w:szCs w:val="21"/>
                <w:highlight w:val="none"/>
              </w:rPr>
              <w:t>3.</w:t>
            </w:r>
            <w:r>
              <w:rPr>
                <w:rFonts w:hAnsi="宋体"/>
                <w:szCs w:val="21"/>
                <w:highlight w:val="none"/>
              </w:rPr>
              <w:t>蚊帐架：不低于直径19×厚度1.0mm圆管</w:t>
            </w:r>
          </w:p>
        </w:tc>
        <w:tc>
          <w:tcPr>
            <w:tcW w:w="2131"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2</w:t>
            </w:r>
          </w:p>
        </w:tc>
        <w:tc>
          <w:tcPr>
            <w:tcW w:w="2280" w:type="dxa"/>
            <w:noWrap w:val="0"/>
            <w:vAlign w:val="top"/>
          </w:tcPr>
          <w:p>
            <w:pPr>
              <w:pStyle w:val="6"/>
              <w:adjustRightInd w:val="0"/>
              <w:snapToGrid w:val="0"/>
              <w:spacing w:line="360" w:lineRule="auto"/>
              <w:outlineLvl w:val="0"/>
              <w:rPr>
                <w:rFonts w:hint="eastAsia" w:hAnsi="宋体"/>
                <w:szCs w:val="21"/>
                <w:highlight w:val="none"/>
              </w:rPr>
            </w:pPr>
            <w:r>
              <w:rPr>
                <w:rFonts w:hint="eastAsia" w:hAnsi="宋体"/>
                <w:szCs w:val="21"/>
                <w:highlight w:val="none"/>
              </w:rPr>
              <w:t>采购清单中序号2：</w:t>
            </w:r>
          </w:p>
          <w:p>
            <w:pPr>
              <w:pStyle w:val="6"/>
              <w:adjustRightInd w:val="0"/>
              <w:snapToGrid w:val="0"/>
              <w:spacing w:line="360" w:lineRule="auto"/>
              <w:outlineLvl w:val="0"/>
              <w:rPr>
                <w:rFonts w:hAnsi="宋体"/>
                <w:szCs w:val="21"/>
                <w:highlight w:val="none"/>
              </w:rPr>
            </w:pPr>
            <w:r>
              <w:rPr>
                <w:rFonts w:hint="eastAsia" w:hAnsi="宋体"/>
                <w:szCs w:val="21"/>
                <w:highlight w:val="none"/>
              </w:rPr>
              <w:t>组合柜</w:t>
            </w:r>
          </w:p>
        </w:tc>
        <w:tc>
          <w:tcPr>
            <w:tcW w:w="3120"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以下板材和五金件各1个</w:t>
            </w:r>
          </w:p>
          <w:p>
            <w:pPr>
              <w:pStyle w:val="6"/>
              <w:numPr>
                <w:ilvl w:val="0"/>
                <w:numId w:val="3"/>
              </w:numPr>
              <w:adjustRightInd w:val="0"/>
              <w:snapToGrid w:val="0"/>
              <w:spacing w:line="360" w:lineRule="auto"/>
              <w:outlineLvl w:val="0"/>
              <w:rPr>
                <w:rFonts w:hint="eastAsia" w:hAnsi="宋体"/>
                <w:szCs w:val="21"/>
                <w:highlight w:val="none"/>
              </w:rPr>
            </w:pPr>
            <w:r>
              <w:rPr>
                <w:rFonts w:hint="eastAsia" w:hAnsi="宋体"/>
                <w:szCs w:val="21"/>
                <w:highlight w:val="none"/>
              </w:rPr>
              <w:t>桌面不低于25cm厚环保E0级多层板10cm*10cm，侧面切开</w:t>
            </w:r>
          </w:p>
          <w:p>
            <w:pPr>
              <w:pStyle w:val="6"/>
              <w:numPr>
                <w:ilvl w:val="0"/>
                <w:numId w:val="3"/>
              </w:numPr>
              <w:adjustRightInd w:val="0"/>
              <w:snapToGrid w:val="0"/>
              <w:spacing w:line="360" w:lineRule="auto"/>
              <w:outlineLvl w:val="0"/>
              <w:rPr>
                <w:rFonts w:hAnsi="宋体"/>
                <w:szCs w:val="21"/>
                <w:highlight w:val="none"/>
              </w:rPr>
            </w:pPr>
            <w:r>
              <w:rPr>
                <w:rFonts w:hint="eastAsia" w:hAnsi="宋体"/>
                <w:szCs w:val="21"/>
                <w:highlight w:val="none"/>
                <w:lang w:val="en-US" w:eastAsia="zh-CN"/>
              </w:rPr>
              <w:t>柜体</w:t>
            </w:r>
            <w:r>
              <w:rPr>
                <w:rFonts w:hint="eastAsia" w:hAnsi="宋体"/>
                <w:szCs w:val="21"/>
                <w:highlight w:val="none"/>
              </w:rPr>
              <w:t>不低于18cm厚环保E0级多层板10cm*10cm，侧面切开</w:t>
            </w:r>
          </w:p>
          <w:p>
            <w:pPr>
              <w:pStyle w:val="6"/>
              <w:numPr>
                <w:ilvl w:val="0"/>
                <w:numId w:val="3"/>
              </w:numPr>
              <w:adjustRightInd w:val="0"/>
              <w:snapToGrid w:val="0"/>
              <w:spacing w:line="360" w:lineRule="auto"/>
              <w:outlineLvl w:val="0"/>
              <w:rPr>
                <w:rFonts w:hAnsi="宋体"/>
                <w:szCs w:val="21"/>
                <w:highlight w:val="none"/>
              </w:rPr>
            </w:pPr>
            <w:r>
              <w:rPr>
                <w:rFonts w:hAnsi="宋体"/>
                <w:szCs w:val="21"/>
                <w:highlight w:val="none"/>
              </w:rPr>
              <w:t>铰链</w:t>
            </w:r>
            <w:r>
              <w:rPr>
                <w:rFonts w:hint="eastAsia" w:hAnsi="宋体"/>
                <w:szCs w:val="21"/>
                <w:highlight w:val="none"/>
              </w:rPr>
              <w:t>，</w:t>
            </w:r>
            <w:r>
              <w:rPr>
                <w:rFonts w:hAnsi="宋体"/>
                <w:szCs w:val="21"/>
                <w:highlight w:val="none"/>
              </w:rPr>
              <w:t>轨道</w:t>
            </w:r>
            <w:r>
              <w:rPr>
                <w:rFonts w:hint="eastAsia" w:hAnsi="宋体"/>
                <w:szCs w:val="21"/>
                <w:highlight w:val="none"/>
              </w:rPr>
              <w:t>，拉手</w:t>
            </w:r>
          </w:p>
        </w:tc>
        <w:tc>
          <w:tcPr>
            <w:tcW w:w="2131" w:type="dxa"/>
            <w:noWrap w:val="0"/>
            <w:vAlign w:val="top"/>
          </w:tcPr>
          <w:p>
            <w:pPr>
              <w:pStyle w:val="6"/>
              <w:adjustRightInd w:val="0"/>
              <w:snapToGrid w:val="0"/>
              <w:spacing w:line="360" w:lineRule="auto"/>
              <w:outlineLvl w:val="0"/>
              <w:rPr>
                <w:rFonts w:hAnsi="宋体"/>
                <w:szCs w:val="21"/>
                <w:highlight w:val="none"/>
              </w:rPr>
            </w:pPr>
            <w:r>
              <w:rPr>
                <w:rFonts w:hint="eastAsia" w:hAnsi="宋体"/>
                <w:szCs w:val="21"/>
                <w:highlight w:val="none"/>
              </w:rPr>
              <w:t>1套</w:t>
            </w:r>
          </w:p>
        </w:tc>
      </w:tr>
    </w:tbl>
    <w:p>
      <w:pPr>
        <w:pStyle w:val="6"/>
        <w:adjustRightInd w:val="0"/>
        <w:snapToGrid w:val="0"/>
        <w:spacing w:line="360" w:lineRule="auto"/>
        <w:outlineLvl w:val="9"/>
        <w:rPr>
          <w:rFonts w:hAnsi="宋体"/>
          <w:szCs w:val="21"/>
          <w:highlight w:val="none"/>
        </w:rPr>
      </w:pPr>
    </w:p>
    <w:p>
      <w:pPr>
        <w:pStyle w:val="3"/>
        <w:spacing w:line="360" w:lineRule="auto"/>
        <w:ind w:firstLine="420" w:firstLineChars="200"/>
        <w:rPr>
          <w:rFonts w:ascii="宋体" w:hAnsi="宋体" w:cs="宋体"/>
          <w:highlight w:val="none"/>
        </w:rPr>
      </w:pPr>
      <w:r>
        <w:rPr>
          <w:rFonts w:hint="eastAsia" w:ascii="宋体" w:hAnsi="宋体" w:cs="宋体"/>
          <w:highlight w:val="none"/>
        </w:rPr>
        <w:t>样品材质、工艺、外观、力学性能等需与甲方要求一致，样品尺寸允许波动，涉及到一体成型的部分供应商可使用现有的形状最接近的部件取代，打样费已包括在全部费用里。所有样品不退还，评标结束后由采购人封存留样。样品不代表大货，最终生产大货以采购人</w:t>
      </w:r>
      <w:r>
        <w:rPr>
          <w:rFonts w:hint="eastAsia" w:ascii="宋体" w:hAnsi="宋体" w:cs="宋体"/>
          <w:highlight w:val="none"/>
          <w:lang w:val="en-US" w:eastAsia="zh-CN"/>
        </w:rPr>
        <w:t>确认</w:t>
      </w:r>
      <w:r>
        <w:rPr>
          <w:rFonts w:hint="eastAsia" w:ascii="宋体" w:hAnsi="宋体" w:cs="宋体"/>
          <w:highlight w:val="none"/>
        </w:rPr>
        <w:t>的设计和尺寸为准。</w:t>
      </w:r>
    </w:p>
    <w:p>
      <w:pPr>
        <w:pStyle w:val="6"/>
        <w:adjustRightInd w:val="0"/>
        <w:snapToGrid w:val="0"/>
        <w:spacing w:line="360" w:lineRule="auto"/>
        <w:ind w:firstLine="420" w:firstLineChars="200"/>
        <w:outlineLvl w:val="0"/>
        <w:rPr>
          <w:rFonts w:hint="eastAsia" w:hAnsi="宋体" w:cs="宋体"/>
          <w:highlight w:val="none"/>
        </w:rPr>
      </w:pPr>
      <w:r>
        <w:rPr>
          <w:rFonts w:hint="eastAsia" w:hAnsi="宋体" w:cs="宋体"/>
          <w:highlight w:val="none"/>
        </w:rPr>
        <w:t>送样时间和地点：招标前提前两天送到嘉定校区封存（上海嘉定区嘉行公路851号），联系人：朱</w:t>
      </w:r>
      <w:r>
        <w:rPr>
          <w:rFonts w:hint="eastAsia" w:hAnsi="宋体" w:cs="宋体"/>
          <w:highlight w:val="none"/>
          <w:lang w:val="en-US" w:eastAsia="zh-CN"/>
        </w:rPr>
        <w:t>老师</w:t>
      </w:r>
      <w:r>
        <w:rPr>
          <w:rFonts w:hint="eastAsia" w:hAnsi="宋体" w:cs="宋体"/>
          <w:highlight w:val="none"/>
        </w:rPr>
        <w:t>，电话：18017126415。</w:t>
      </w:r>
    </w:p>
    <w:p>
      <w:pPr>
        <w:pStyle w:val="6"/>
        <w:adjustRightInd w:val="0"/>
        <w:snapToGrid w:val="0"/>
        <w:spacing w:line="360" w:lineRule="auto"/>
        <w:ind w:firstLine="420" w:firstLineChars="200"/>
        <w:outlineLvl w:val="9"/>
        <w:rPr>
          <w:rFonts w:hint="eastAsia" w:hAnsi="宋体" w:cs="宋体"/>
          <w:highlight w:val="none"/>
        </w:rPr>
      </w:pPr>
    </w:p>
    <w:p>
      <w:pPr>
        <w:pStyle w:val="6"/>
        <w:adjustRightInd w:val="0"/>
        <w:snapToGrid w:val="0"/>
        <w:spacing w:line="360" w:lineRule="auto"/>
        <w:ind w:firstLine="420" w:firstLineChars="200"/>
        <w:outlineLvl w:val="9"/>
        <w:rPr>
          <w:rFonts w:hint="eastAsia" w:hAnsi="宋体" w:cs="宋体"/>
          <w:highlight w:val="yellow"/>
        </w:rPr>
      </w:pPr>
    </w:p>
    <w:p>
      <w:pPr>
        <w:pStyle w:val="6"/>
        <w:adjustRightInd w:val="0"/>
        <w:snapToGrid w:val="0"/>
        <w:spacing w:line="360" w:lineRule="auto"/>
        <w:ind w:firstLine="420" w:firstLineChars="200"/>
        <w:outlineLvl w:val="9"/>
        <w:rPr>
          <w:rFonts w:hint="eastAsia" w:hAnsi="宋体" w:cs="宋体"/>
          <w:highlight w:val="yellow"/>
        </w:rPr>
      </w:pPr>
    </w:p>
    <w:p>
      <w:pPr>
        <w:spacing w:before="1" w:line="360" w:lineRule="auto"/>
        <w:rPr>
          <w:rFonts w:hint="eastAsia" w:ascii="宋体" w:hAnsi="宋体" w:eastAsia="宋体" w:cs="宋体"/>
          <w:sz w:val="21"/>
          <w:szCs w:val="21"/>
          <w:lang w:eastAsia="zh-CN"/>
        </w:rPr>
      </w:pPr>
    </w:p>
    <w:p>
      <w:pPr>
        <w:spacing w:line="360" w:lineRule="auto"/>
        <w:rPr>
          <w:rFonts w:hint="eastAsia" w:ascii="宋体" w:hAnsi="宋体" w:eastAsia="宋体" w:cs="宋体"/>
          <w:sz w:val="21"/>
          <w:szCs w:val="21"/>
          <w:lang w:eastAsia="zh-CN"/>
        </w:rPr>
      </w:pPr>
    </w:p>
    <w:p>
      <w:pPr>
        <w:spacing w:line="360" w:lineRule="auto"/>
        <w:rPr>
          <w:rFonts w:hint="eastAsia" w:ascii="宋体" w:hAnsi="宋体" w:eastAsia="宋体" w:cs="宋体"/>
          <w:sz w:val="21"/>
          <w:szCs w:val="21"/>
          <w:lang w:eastAsia="zh-CN"/>
        </w:rPr>
      </w:pPr>
    </w:p>
    <w:p>
      <w:pPr>
        <w:spacing w:line="360" w:lineRule="auto"/>
        <w:rPr>
          <w:rFonts w:hint="eastAsia" w:ascii="宋体" w:hAnsi="宋体" w:eastAsia="宋体" w:cs="宋体"/>
          <w:sz w:val="21"/>
          <w:szCs w:val="21"/>
          <w:lang w:eastAsia="zh-CN"/>
        </w:rPr>
      </w:pPr>
    </w:p>
    <w:p>
      <w:pPr>
        <w:pStyle w:val="4"/>
        <w:spacing w:before="120" w:line="360" w:lineRule="auto"/>
        <w:ind w:left="160" w:firstLine="406" w:firstLineChars="200"/>
        <w:outlineLvl w:val="0"/>
        <w:rPr>
          <w:rFonts w:hint="eastAsia" w:ascii="宋体" w:hAnsi="宋体" w:eastAsia="宋体" w:cs="宋体"/>
          <w:sz w:val="21"/>
          <w:szCs w:val="21"/>
          <w:lang w:eastAsia="zh-CN"/>
        </w:rPr>
      </w:pPr>
      <w:r>
        <w:rPr>
          <w:rFonts w:hint="eastAsia" w:ascii="宋体" w:hAnsi="宋体" w:eastAsia="宋体" w:cs="宋体"/>
          <w:b/>
          <w:bCs/>
          <w:spacing w:val="-4"/>
          <w:sz w:val="21"/>
          <w:szCs w:val="21"/>
          <w:lang w:eastAsia="zh-CN"/>
        </w:rPr>
        <w:t>七、供货及验收</w:t>
      </w:r>
    </w:p>
    <w:p>
      <w:pPr>
        <w:spacing w:line="360" w:lineRule="auto"/>
        <w:rPr>
          <w:rFonts w:hint="eastAsia" w:ascii="宋体" w:hAnsi="宋体" w:eastAsia="宋体" w:cs="宋体"/>
          <w:sz w:val="21"/>
          <w:szCs w:val="21"/>
          <w:lang w:eastAsia="zh-CN"/>
        </w:rPr>
      </w:pPr>
    </w:p>
    <w:tbl>
      <w:tblPr>
        <w:tblStyle w:val="13"/>
        <w:tblW w:w="159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2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tcPr>
          <w:p>
            <w:pPr>
              <w:pStyle w:val="12"/>
              <w:spacing w:before="190" w:line="360" w:lineRule="auto"/>
              <w:jc w:val="center"/>
              <w:rPr>
                <w:rFonts w:hint="eastAsia" w:ascii="宋体" w:hAnsi="宋体" w:eastAsia="宋体" w:cs="宋体"/>
                <w:b/>
                <w:bCs/>
                <w:sz w:val="21"/>
                <w:szCs w:val="21"/>
              </w:rPr>
            </w:pPr>
            <w:r>
              <w:rPr>
                <w:rFonts w:hint="eastAsia" w:ascii="宋体" w:hAnsi="宋体" w:eastAsia="宋体" w:cs="宋体"/>
                <w:b/>
                <w:bCs/>
                <w:spacing w:val="-10"/>
                <w:sz w:val="21"/>
                <w:szCs w:val="21"/>
              </w:rPr>
              <w:t>分类</w:t>
            </w:r>
          </w:p>
        </w:tc>
        <w:tc>
          <w:tcPr>
            <w:tcW w:w="12007" w:type="dxa"/>
          </w:tcPr>
          <w:p>
            <w:pPr>
              <w:pStyle w:val="12"/>
              <w:spacing w:before="190" w:line="360" w:lineRule="auto"/>
              <w:ind w:left="5471"/>
              <w:rPr>
                <w:rFonts w:hint="eastAsia" w:ascii="宋体" w:hAnsi="宋体" w:eastAsia="宋体" w:cs="宋体"/>
                <w:b/>
                <w:bCs/>
                <w:sz w:val="21"/>
                <w:szCs w:val="21"/>
              </w:rPr>
            </w:pPr>
            <w:r>
              <w:rPr>
                <w:rFonts w:hint="eastAsia" w:ascii="宋体" w:hAnsi="宋体" w:eastAsia="宋体" w:cs="宋体"/>
                <w:b/>
                <w:bCs/>
                <w:spacing w:val="-30"/>
                <w:sz w:val="21"/>
                <w:szCs w:val="21"/>
              </w:rPr>
              <w:t>内</w:t>
            </w:r>
            <w:r>
              <w:rPr>
                <w:rFonts w:hint="eastAsia" w:cs="宋体"/>
                <w:b/>
                <w:bCs/>
                <w:spacing w:val="-30"/>
                <w:sz w:val="21"/>
                <w:szCs w:val="21"/>
                <w:lang w:val="en-US" w:eastAsia="zh-CN"/>
              </w:rPr>
              <w:t xml:space="preserve">  </w:t>
            </w:r>
            <w:r>
              <w:rPr>
                <w:rFonts w:hint="eastAsia" w:ascii="宋体" w:hAnsi="宋体" w:eastAsia="宋体" w:cs="宋体"/>
                <w:b/>
                <w:bCs/>
                <w:spacing w:val="-30"/>
                <w:sz w:val="21"/>
                <w:szCs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3943" w:type="dxa"/>
          </w:tcPr>
          <w:p>
            <w:pPr>
              <w:pStyle w:val="12"/>
              <w:spacing w:before="120" w:line="360" w:lineRule="auto"/>
              <w:jc w:val="center"/>
              <w:rPr>
                <w:rFonts w:hint="eastAsia" w:ascii="宋体" w:hAnsi="宋体" w:eastAsia="宋体" w:cs="宋体"/>
                <w:spacing w:val="4"/>
                <w:sz w:val="21"/>
                <w:szCs w:val="21"/>
              </w:rPr>
            </w:pPr>
          </w:p>
          <w:p>
            <w:pPr>
              <w:pStyle w:val="12"/>
              <w:spacing w:before="120" w:line="360" w:lineRule="auto"/>
              <w:jc w:val="center"/>
              <w:rPr>
                <w:rFonts w:hint="eastAsia" w:ascii="宋体" w:hAnsi="宋体" w:eastAsia="宋体" w:cs="宋体"/>
                <w:sz w:val="21"/>
                <w:szCs w:val="21"/>
              </w:rPr>
            </w:pPr>
            <w:r>
              <w:rPr>
                <w:rFonts w:hint="eastAsia" w:ascii="宋体" w:hAnsi="宋体" w:eastAsia="宋体" w:cs="宋体"/>
                <w:spacing w:val="4"/>
                <w:sz w:val="21"/>
                <w:szCs w:val="21"/>
              </w:rPr>
              <w:t>供货要求</w:t>
            </w:r>
          </w:p>
        </w:tc>
        <w:tc>
          <w:tcPr>
            <w:tcW w:w="12007" w:type="dxa"/>
          </w:tcPr>
          <w:p>
            <w:pPr>
              <w:pStyle w:val="12"/>
              <w:spacing w:before="191" w:line="360" w:lineRule="auto"/>
              <w:ind w:left="152" w:right="180" w:hanging="10"/>
              <w:rPr>
                <w:rFonts w:hint="eastAsia" w:ascii="宋体" w:hAnsi="宋体" w:eastAsia="宋体" w:cs="宋体"/>
                <w:sz w:val="21"/>
                <w:szCs w:val="21"/>
                <w:lang w:eastAsia="zh-CN"/>
              </w:rPr>
            </w:pPr>
            <w:r>
              <w:rPr>
                <w:rFonts w:hint="eastAsia" w:ascii="宋体" w:hAnsi="宋体" w:eastAsia="宋体" w:cs="宋体"/>
                <w:sz w:val="21"/>
                <w:szCs w:val="21"/>
                <w:lang w:eastAsia="zh-CN"/>
              </w:rPr>
              <w:t>供应商应当在合同签订后不</w:t>
            </w:r>
            <w:r>
              <w:rPr>
                <w:rFonts w:hint="eastAsia" w:ascii="宋体" w:hAnsi="宋体" w:eastAsia="宋体" w:cs="宋体"/>
                <w:sz w:val="21"/>
                <w:szCs w:val="21"/>
                <w:lang w:val="en-US" w:eastAsia="zh-CN"/>
              </w:rPr>
              <w:t>多</w:t>
            </w:r>
            <w:r>
              <w:rPr>
                <w:rFonts w:hint="eastAsia" w:ascii="宋体" w:hAnsi="宋体" w:eastAsia="宋体" w:cs="宋体"/>
                <w:sz w:val="21"/>
                <w:szCs w:val="21"/>
                <w:lang w:eastAsia="zh-CN"/>
              </w:rPr>
              <w:t>于</w:t>
            </w:r>
            <w:r>
              <w:rPr>
                <w:rFonts w:hint="eastAsia" w:ascii="宋体" w:hAnsi="宋体" w:eastAsia="宋体" w:cs="宋体"/>
                <w:sz w:val="21"/>
                <w:szCs w:val="21"/>
                <w:lang w:val="en-US" w:eastAsia="zh-CN"/>
              </w:rPr>
              <w:t>_40_</w:t>
            </w:r>
            <w:r>
              <w:rPr>
                <w:rFonts w:hint="eastAsia" w:ascii="宋体" w:hAnsi="宋体" w:eastAsia="宋体" w:cs="宋体"/>
                <w:sz w:val="21"/>
                <w:szCs w:val="21"/>
                <w:lang w:eastAsia="zh-CN"/>
              </w:rPr>
              <w:t>个自然日内供货及安装完毕。供应商</w:t>
            </w:r>
            <w:r>
              <w:rPr>
                <w:rFonts w:hint="eastAsia" w:ascii="宋体" w:hAnsi="宋体" w:eastAsia="宋体" w:cs="宋体"/>
                <w:spacing w:val="6"/>
                <w:sz w:val="21"/>
                <w:szCs w:val="21"/>
                <w:lang w:eastAsia="zh-CN"/>
              </w:rPr>
              <w:t>所提供的货物应符合国家相关质量标准；货物名称、型号规格、数</w:t>
            </w:r>
            <w:r>
              <w:rPr>
                <w:rFonts w:hint="eastAsia" w:ascii="宋体" w:hAnsi="宋体" w:eastAsia="宋体" w:cs="宋体"/>
                <w:spacing w:val="5"/>
                <w:sz w:val="21"/>
                <w:szCs w:val="21"/>
                <w:lang w:eastAsia="zh-CN"/>
              </w:rPr>
              <w:t>量、</w:t>
            </w:r>
            <w:r>
              <w:rPr>
                <w:rFonts w:hint="eastAsia" w:ascii="宋体" w:hAnsi="宋体" w:eastAsia="宋体" w:cs="宋体"/>
                <w:spacing w:val="-1"/>
                <w:sz w:val="21"/>
                <w:szCs w:val="21"/>
                <w:lang w:eastAsia="zh-CN"/>
              </w:rPr>
              <w:t>颜色、外观等符合采购人要求，不得有损毁或损坏。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1" w:hRule="atLeast"/>
        </w:trPr>
        <w:tc>
          <w:tcPr>
            <w:tcW w:w="3943" w:type="dxa"/>
          </w:tcPr>
          <w:p>
            <w:pPr>
              <w:pStyle w:val="12"/>
              <w:spacing w:before="201" w:line="360" w:lineRule="auto"/>
              <w:ind w:left="1225"/>
              <w:jc w:val="center"/>
              <w:rPr>
                <w:rFonts w:hint="eastAsia" w:ascii="宋体" w:hAnsi="宋体" w:eastAsia="宋体" w:cs="宋体"/>
                <w:spacing w:val="4"/>
                <w:sz w:val="21"/>
                <w:szCs w:val="21"/>
              </w:rPr>
            </w:pPr>
          </w:p>
          <w:p>
            <w:pPr>
              <w:pStyle w:val="12"/>
              <w:spacing w:before="201" w:line="360" w:lineRule="auto"/>
              <w:jc w:val="center"/>
              <w:rPr>
                <w:rFonts w:hint="eastAsia" w:ascii="宋体" w:hAnsi="宋体" w:eastAsia="宋体" w:cs="宋体"/>
                <w:sz w:val="21"/>
                <w:szCs w:val="21"/>
              </w:rPr>
            </w:pPr>
            <w:r>
              <w:rPr>
                <w:rFonts w:hint="eastAsia" w:ascii="宋体" w:hAnsi="宋体" w:eastAsia="宋体" w:cs="宋体"/>
                <w:spacing w:val="4"/>
                <w:sz w:val="21"/>
                <w:szCs w:val="21"/>
              </w:rPr>
              <w:t>包装要求</w:t>
            </w:r>
          </w:p>
        </w:tc>
        <w:tc>
          <w:tcPr>
            <w:tcW w:w="12007" w:type="dxa"/>
          </w:tcPr>
          <w:p>
            <w:pPr>
              <w:pStyle w:val="12"/>
              <w:spacing w:before="191" w:line="360" w:lineRule="auto"/>
              <w:ind w:left="152" w:right="180" w:hanging="10"/>
              <w:rPr>
                <w:rFonts w:hint="eastAsia" w:ascii="宋体" w:hAnsi="宋体" w:eastAsia="宋体" w:cs="宋体"/>
                <w:sz w:val="21"/>
                <w:szCs w:val="21"/>
                <w:lang w:eastAsia="zh-CN"/>
              </w:rPr>
            </w:pPr>
            <w:r>
              <w:rPr>
                <w:rFonts w:hint="eastAsia" w:ascii="宋体" w:hAnsi="宋体" w:eastAsia="宋体" w:cs="宋体"/>
                <w:sz w:val="21"/>
                <w:szCs w:val="21"/>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tcPr>
          <w:p>
            <w:pPr>
              <w:pStyle w:val="12"/>
              <w:spacing w:before="185" w:line="360" w:lineRule="auto"/>
              <w:jc w:val="center"/>
              <w:rPr>
                <w:rFonts w:hint="eastAsia" w:ascii="宋体" w:hAnsi="宋体" w:eastAsia="宋体" w:cs="宋体"/>
                <w:sz w:val="21"/>
                <w:szCs w:val="21"/>
              </w:rPr>
            </w:pPr>
            <w:r>
              <w:rPr>
                <w:rFonts w:hint="eastAsia" w:ascii="宋体" w:hAnsi="宋体" w:eastAsia="宋体" w:cs="宋体"/>
                <w:spacing w:val="4"/>
                <w:sz w:val="21"/>
                <w:szCs w:val="21"/>
              </w:rPr>
              <w:t>验收要求</w:t>
            </w:r>
          </w:p>
        </w:tc>
        <w:tc>
          <w:tcPr>
            <w:tcW w:w="12007" w:type="dxa"/>
          </w:tcPr>
          <w:p>
            <w:pPr>
              <w:pStyle w:val="12"/>
              <w:spacing w:before="182" w:line="360" w:lineRule="auto"/>
              <w:ind w:left="152"/>
              <w:rPr>
                <w:rFonts w:hint="eastAsia" w:ascii="宋体" w:hAnsi="宋体" w:eastAsia="宋体" w:cs="宋体"/>
                <w:sz w:val="21"/>
                <w:szCs w:val="21"/>
                <w:lang w:eastAsia="zh-CN"/>
              </w:rPr>
            </w:pPr>
            <w:r>
              <w:rPr>
                <w:rFonts w:hint="eastAsia" w:ascii="宋体" w:hAnsi="宋体" w:eastAsia="宋体" w:cs="宋体"/>
                <w:sz w:val="21"/>
                <w:szCs w:val="21"/>
                <w:lang w:eastAsia="zh-CN"/>
              </w:rPr>
              <w:t>办公家具安装、调试后，由供、需双方按照合同约定对</w:t>
            </w:r>
            <w:r>
              <w:rPr>
                <w:rFonts w:hint="eastAsia" w:ascii="宋体" w:hAnsi="宋体" w:eastAsia="宋体" w:cs="宋体"/>
                <w:spacing w:val="-1"/>
                <w:sz w:val="21"/>
                <w:szCs w:val="21"/>
                <w:lang w:eastAsia="zh-CN"/>
              </w:rPr>
              <w:t>家具进行验收。</w:t>
            </w:r>
            <w:r>
              <w:rPr>
                <w:rFonts w:hint="eastAsia" w:ascii="宋体" w:hAnsi="宋体" w:eastAsia="宋体" w:cs="宋体"/>
                <w:sz w:val="21"/>
                <w:szCs w:val="21"/>
                <w:lang w:eastAsia="zh-CN"/>
              </w:rPr>
              <w:t>验收包括清点型号、数量、检查外观等，供应商应当提供家具清单(各</w:t>
            </w:r>
            <w:r>
              <w:rPr>
                <w:rFonts w:hint="eastAsia" w:ascii="宋体" w:hAnsi="宋体" w:eastAsia="宋体" w:cs="宋体"/>
                <w:spacing w:val="1"/>
                <w:sz w:val="21"/>
                <w:szCs w:val="21"/>
                <w:lang w:eastAsia="zh-CN"/>
              </w:rPr>
              <w:t>类家具分项开立并标注详细数量)、原产地证明</w:t>
            </w:r>
            <w:r>
              <w:rPr>
                <w:rFonts w:hint="eastAsia" w:ascii="宋体" w:hAnsi="宋体" w:eastAsia="宋体" w:cs="宋体"/>
                <w:sz w:val="21"/>
                <w:szCs w:val="21"/>
                <w:lang w:eastAsia="zh-CN"/>
              </w:rPr>
              <w:t>、具出厂日期证明、家</w:t>
            </w:r>
            <w:r>
              <w:rPr>
                <w:rFonts w:hint="eastAsia" w:ascii="宋体" w:hAnsi="宋体" w:eastAsia="宋体" w:cs="宋体"/>
                <w:spacing w:val="-1"/>
                <w:sz w:val="21"/>
                <w:szCs w:val="21"/>
                <w:lang w:eastAsia="zh-CN"/>
              </w:rPr>
              <w:t>具环保证明</w:t>
            </w:r>
            <w:r>
              <w:rPr>
                <w:rFonts w:hint="eastAsia" w:cs="宋体"/>
                <w:spacing w:val="-1"/>
                <w:sz w:val="21"/>
                <w:szCs w:val="21"/>
                <w:lang w:eastAsia="zh-CN"/>
              </w:rPr>
              <w:t>、</w:t>
            </w:r>
            <w:r>
              <w:rPr>
                <w:rFonts w:hint="eastAsia" w:cs="宋体"/>
                <w:spacing w:val="-1"/>
                <w:sz w:val="21"/>
                <w:szCs w:val="21"/>
                <w:lang w:val="en-US" w:eastAsia="zh-CN"/>
              </w:rPr>
              <w:t>测试报告</w:t>
            </w:r>
            <w:r>
              <w:rPr>
                <w:rFonts w:hint="eastAsia" w:ascii="宋体" w:hAnsi="宋体" w:eastAsia="宋体" w:cs="宋体"/>
                <w:spacing w:val="-1"/>
                <w:sz w:val="21"/>
                <w:szCs w:val="21"/>
                <w:lang w:eastAsia="zh-CN"/>
              </w:rPr>
              <w:t>等文件。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tcPr>
          <w:p>
            <w:pPr>
              <w:pStyle w:val="12"/>
              <w:spacing w:before="185" w:line="360" w:lineRule="auto"/>
              <w:jc w:val="center"/>
              <w:rPr>
                <w:rFonts w:hint="eastAsia" w:ascii="宋体" w:hAnsi="宋体" w:eastAsia="宋体" w:cs="宋体"/>
                <w:spacing w:val="4"/>
                <w:sz w:val="21"/>
                <w:szCs w:val="21"/>
              </w:rPr>
            </w:pPr>
            <w:r>
              <w:rPr>
                <w:rFonts w:hint="eastAsia" w:ascii="宋体" w:hAnsi="宋体" w:eastAsia="宋体" w:cs="宋体"/>
                <w:spacing w:val="4"/>
                <w:sz w:val="21"/>
                <w:szCs w:val="21"/>
              </w:rPr>
              <w:t>检测要求</w:t>
            </w:r>
          </w:p>
        </w:tc>
        <w:tc>
          <w:tcPr>
            <w:tcW w:w="12007" w:type="dxa"/>
          </w:tcPr>
          <w:p>
            <w:pPr>
              <w:pStyle w:val="12"/>
              <w:spacing w:before="182" w:line="360" w:lineRule="auto"/>
              <w:ind w:left="152"/>
              <w:rPr>
                <w:rFonts w:hint="eastAsia" w:ascii="宋体" w:hAnsi="宋体" w:eastAsia="宋体" w:cs="宋体"/>
                <w:sz w:val="21"/>
                <w:szCs w:val="21"/>
                <w:lang w:eastAsia="zh-CN"/>
              </w:rPr>
            </w:pPr>
            <w:r>
              <w:rPr>
                <w:rFonts w:hint="eastAsia" w:ascii="宋体" w:hAnsi="宋体" w:eastAsia="宋体" w:cs="宋体"/>
                <w:sz w:val="21"/>
                <w:szCs w:val="21"/>
                <w:lang w:eastAsia="zh-CN"/>
              </w:rPr>
              <w:t>正式验收前，采购人将委托第三方机构对家具进行质量和环保相关检测，检验不合格不予验收。</w:t>
            </w:r>
          </w:p>
        </w:tc>
      </w:tr>
    </w:tbl>
    <w:p>
      <w:pPr>
        <w:spacing w:line="360" w:lineRule="auto"/>
        <w:rPr>
          <w:rFonts w:hint="eastAsia" w:ascii="宋体" w:hAnsi="宋体" w:eastAsia="宋体" w:cs="宋体"/>
          <w:sz w:val="21"/>
          <w:szCs w:val="21"/>
          <w:lang w:eastAsia="zh-CN"/>
        </w:rPr>
        <w:sectPr>
          <w:pgSz w:w="23810" w:h="16840"/>
          <w:pgMar w:top="400" w:right="3571" w:bottom="0" w:left="1505" w:header="0" w:footer="0" w:gutter="0"/>
          <w:cols w:space="720" w:num="1"/>
        </w:sectPr>
      </w:pPr>
    </w:p>
    <w:p>
      <w:pPr>
        <w:spacing w:before="42" w:line="360" w:lineRule="auto"/>
        <w:rPr>
          <w:rFonts w:hint="eastAsia" w:ascii="宋体" w:hAnsi="宋体" w:eastAsia="宋体" w:cs="宋体"/>
          <w:sz w:val="21"/>
          <w:szCs w:val="21"/>
          <w:lang w:eastAsia="zh-CN"/>
        </w:rPr>
      </w:pPr>
    </w:p>
    <w:p>
      <w:pPr>
        <w:spacing w:line="360" w:lineRule="auto"/>
        <w:rPr>
          <w:rFonts w:hint="eastAsia" w:ascii="宋体" w:hAnsi="宋体" w:eastAsia="宋体" w:cs="宋体"/>
          <w:sz w:val="21"/>
          <w:szCs w:val="21"/>
          <w:lang w:eastAsia="zh-CN"/>
        </w:rPr>
      </w:pPr>
    </w:p>
    <w:p>
      <w:pPr>
        <w:pStyle w:val="4"/>
        <w:spacing w:before="120" w:line="360" w:lineRule="auto"/>
        <w:ind w:left="150" w:firstLine="410" w:firstLineChars="200"/>
        <w:rPr>
          <w:rFonts w:hint="eastAsia" w:ascii="宋体" w:hAnsi="宋体" w:eastAsia="宋体" w:cs="宋体"/>
          <w:sz w:val="21"/>
          <w:szCs w:val="21"/>
          <w:lang w:eastAsia="zh-CN"/>
        </w:rPr>
      </w:pPr>
      <w:r>
        <w:rPr>
          <w:rFonts w:hint="eastAsia" w:ascii="宋体" w:hAnsi="宋体" w:eastAsia="宋体" w:cs="宋体"/>
          <w:b/>
          <w:bCs/>
          <w:spacing w:val="-3"/>
          <w:sz w:val="21"/>
          <w:szCs w:val="21"/>
          <w:lang w:eastAsia="zh-CN"/>
        </w:rPr>
        <w:t>八、服务要求</w:t>
      </w:r>
    </w:p>
    <w:p>
      <w:pPr>
        <w:spacing w:line="360" w:lineRule="auto"/>
        <w:rPr>
          <w:rFonts w:hint="eastAsia" w:ascii="宋体" w:hAnsi="宋体" w:eastAsia="宋体" w:cs="宋体"/>
          <w:sz w:val="21"/>
          <w:szCs w:val="21"/>
          <w:lang w:eastAsia="zh-CN"/>
        </w:rPr>
      </w:pPr>
    </w:p>
    <w:tbl>
      <w:tblPr>
        <w:tblStyle w:val="13"/>
        <w:tblW w:w="159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2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43" w:type="dxa"/>
          </w:tcPr>
          <w:p>
            <w:pPr>
              <w:pStyle w:val="12"/>
              <w:spacing w:before="180" w:line="360" w:lineRule="auto"/>
              <w:jc w:val="center"/>
              <w:rPr>
                <w:rFonts w:hint="eastAsia" w:ascii="宋体" w:hAnsi="宋体" w:eastAsia="宋体" w:cs="宋体"/>
                <w:b/>
                <w:bCs/>
                <w:sz w:val="21"/>
                <w:szCs w:val="21"/>
              </w:rPr>
            </w:pPr>
            <w:r>
              <w:rPr>
                <w:rFonts w:hint="eastAsia" w:ascii="宋体" w:hAnsi="宋体" w:eastAsia="宋体" w:cs="宋体"/>
                <w:b/>
                <w:bCs/>
                <w:spacing w:val="-10"/>
                <w:sz w:val="21"/>
                <w:szCs w:val="21"/>
              </w:rPr>
              <w:t>分类</w:t>
            </w:r>
          </w:p>
        </w:tc>
        <w:tc>
          <w:tcPr>
            <w:tcW w:w="12007" w:type="dxa"/>
          </w:tcPr>
          <w:p>
            <w:pPr>
              <w:pStyle w:val="12"/>
              <w:spacing w:before="180" w:line="360" w:lineRule="auto"/>
              <w:ind w:left="5431"/>
              <w:rPr>
                <w:rFonts w:hint="eastAsia" w:ascii="宋体" w:hAnsi="宋体" w:eastAsia="宋体" w:cs="宋体"/>
                <w:b/>
                <w:bCs/>
                <w:sz w:val="21"/>
                <w:szCs w:val="21"/>
              </w:rPr>
            </w:pPr>
            <w:r>
              <w:rPr>
                <w:rFonts w:hint="eastAsia" w:ascii="宋体" w:hAnsi="宋体" w:eastAsia="宋体" w:cs="宋体"/>
                <w:b/>
                <w:bCs/>
                <w:spacing w:val="-29"/>
                <w:sz w:val="21"/>
                <w:szCs w:val="21"/>
              </w:rPr>
              <w:t>内</w:t>
            </w:r>
            <w:r>
              <w:rPr>
                <w:rFonts w:hint="eastAsia" w:cs="宋体"/>
                <w:b/>
                <w:bCs/>
                <w:spacing w:val="-29"/>
                <w:sz w:val="21"/>
                <w:szCs w:val="21"/>
                <w:lang w:val="en-US" w:eastAsia="zh-CN"/>
              </w:rPr>
              <w:t xml:space="preserve">  </w:t>
            </w:r>
            <w:r>
              <w:rPr>
                <w:rFonts w:hint="eastAsia" w:ascii="宋体" w:hAnsi="宋体" w:eastAsia="宋体" w:cs="宋体"/>
                <w:b/>
                <w:bCs/>
                <w:spacing w:val="-29"/>
                <w:sz w:val="21"/>
                <w:szCs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6" w:hRule="atLeast"/>
        </w:trPr>
        <w:tc>
          <w:tcPr>
            <w:tcW w:w="3943" w:type="dxa"/>
            <w:vAlign w:val="center"/>
          </w:tcPr>
          <w:p>
            <w:pPr>
              <w:pStyle w:val="12"/>
              <w:spacing w:before="182" w:line="360" w:lineRule="auto"/>
              <w:jc w:val="center"/>
              <w:rPr>
                <w:rFonts w:hint="eastAsia" w:ascii="宋体" w:hAnsi="宋体" w:eastAsia="宋体" w:cs="宋体"/>
                <w:sz w:val="21"/>
                <w:szCs w:val="21"/>
              </w:rPr>
            </w:pPr>
            <w:r>
              <w:rPr>
                <w:rFonts w:hint="eastAsia" w:ascii="宋体" w:hAnsi="宋体" w:eastAsia="宋体" w:cs="宋体"/>
                <w:sz w:val="21"/>
                <w:szCs w:val="21"/>
                <w:lang w:eastAsia="zh-CN"/>
              </w:rPr>
              <w:t>保修服务</w:t>
            </w:r>
          </w:p>
        </w:tc>
        <w:tc>
          <w:tcPr>
            <w:tcW w:w="12007" w:type="dxa"/>
          </w:tcPr>
          <w:p>
            <w:pPr>
              <w:pStyle w:val="12"/>
              <w:spacing w:before="182" w:line="360" w:lineRule="auto"/>
              <w:ind w:left="152"/>
              <w:rPr>
                <w:rFonts w:hint="eastAsia" w:ascii="宋体" w:hAnsi="宋体" w:eastAsia="宋体" w:cs="宋体"/>
                <w:sz w:val="21"/>
                <w:szCs w:val="21"/>
                <w:lang w:eastAsia="zh-CN"/>
              </w:rPr>
            </w:pPr>
            <w:r>
              <w:rPr>
                <w:rFonts w:hint="eastAsia" w:ascii="宋体" w:hAnsi="宋体" w:eastAsia="宋体" w:cs="宋体"/>
                <w:sz w:val="21"/>
                <w:szCs w:val="21"/>
                <w:lang w:eastAsia="zh-CN"/>
              </w:rPr>
              <w:t>办公家具免费保修期应当至少不低于</w:t>
            </w:r>
            <w:r>
              <w:rPr>
                <w:rFonts w:hint="eastAsia" w:cs="宋体"/>
                <w:sz w:val="21"/>
                <w:szCs w:val="21"/>
                <w:lang w:val="en-US" w:eastAsia="zh-CN"/>
              </w:rPr>
              <w:t>10</w:t>
            </w:r>
            <w:r>
              <w:rPr>
                <w:rFonts w:hint="eastAsia" w:ascii="宋体" w:hAnsi="宋体" w:eastAsia="宋体" w:cs="宋体"/>
                <w:sz w:val="21"/>
                <w:szCs w:val="21"/>
                <w:lang w:eastAsia="zh-CN"/>
              </w:rPr>
              <w:t>年。免费保修期内，除采购人因非正常使用造成家具损坏外，损坏维修以及所涉及的零部件更换，应当由供应商免费提供，供应商应当承诺每年对所供办公家具进行巡检。免费保修期满后，供应商保证以优惠价格提供办公家具所需零配件和维修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pPr>
              <w:pStyle w:val="12"/>
              <w:spacing w:before="203" w:line="360" w:lineRule="auto"/>
              <w:jc w:val="center"/>
              <w:rPr>
                <w:rFonts w:hint="eastAsia" w:ascii="宋体" w:hAnsi="宋体" w:eastAsia="宋体" w:cs="宋体"/>
                <w:sz w:val="21"/>
                <w:szCs w:val="21"/>
              </w:rPr>
            </w:pPr>
            <w:r>
              <w:rPr>
                <w:rFonts w:hint="eastAsia" w:ascii="宋体" w:hAnsi="宋体" w:eastAsia="宋体" w:cs="宋体"/>
                <w:spacing w:val="7"/>
                <w:sz w:val="21"/>
                <w:szCs w:val="21"/>
              </w:rPr>
              <w:t>应急能力</w:t>
            </w:r>
          </w:p>
        </w:tc>
        <w:tc>
          <w:tcPr>
            <w:tcW w:w="12007" w:type="dxa"/>
            <w:vAlign w:val="center"/>
          </w:tcPr>
          <w:p>
            <w:pPr>
              <w:pStyle w:val="12"/>
              <w:spacing w:before="182" w:line="360" w:lineRule="auto"/>
              <w:ind w:left="152"/>
              <w:rPr>
                <w:rFonts w:hint="eastAsia" w:ascii="宋体" w:hAnsi="宋体" w:eastAsia="宋体" w:cs="宋体"/>
                <w:sz w:val="21"/>
                <w:szCs w:val="21"/>
                <w:lang w:val="en-US" w:eastAsia="zh-CN"/>
              </w:rPr>
            </w:pPr>
            <w:r>
              <w:rPr>
                <w:rFonts w:hint="eastAsia" w:ascii="宋体" w:hAnsi="宋体" w:eastAsia="宋体" w:cs="宋体"/>
                <w:sz w:val="21"/>
                <w:szCs w:val="21"/>
                <w:lang w:eastAsia="zh-CN"/>
              </w:rPr>
              <w:t>供应商应当在采购人单位所在区域拥有维修服务能力，提供售后服务支持。如遇质量问题，供应商应当在接到通知2小时内予以响应，</w:t>
            </w:r>
            <w:r>
              <w:rPr>
                <w:rFonts w:hint="eastAsia"/>
                <w:b w:val="0"/>
                <w:bCs w:val="0"/>
                <w:sz w:val="21"/>
                <w:szCs w:val="21"/>
              </w:rPr>
              <w:t>一般故障在24小时内修复，重大故障在72小时内修复</w:t>
            </w:r>
            <w:r>
              <w:rPr>
                <w:rFonts w:hint="eastAsia"/>
                <w:b w:val="0"/>
                <w:bCs w:val="0"/>
                <w:sz w:val="21"/>
                <w:szCs w:val="21"/>
                <w:lang w:eastAsia="zh-CN"/>
              </w:rPr>
              <w:t>。</w:t>
            </w:r>
          </w:p>
        </w:tc>
      </w:tr>
    </w:tbl>
    <w:p>
      <w:pPr>
        <w:spacing w:line="360" w:lineRule="auto"/>
        <w:rPr>
          <w:rFonts w:hint="eastAsia" w:ascii="宋体" w:hAnsi="宋体" w:eastAsia="宋体" w:cs="宋体"/>
          <w:sz w:val="21"/>
          <w:szCs w:val="21"/>
          <w:lang w:eastAsia="zh-CN"/>
        </w:rPr>
        <w:sectPr>
          <w:pgSz w:w="23810" w:h="16840"/>
          <w:pgMar w:top="400" w:right="3571" w:bottom="0" w:left="1515" w:header="0" w:footer="0" w:gutter="0"/>
          <w:cols w:space="720" w:num="1"/>
        </w:sectPr>
      </w:pPr>
    </w:p>
    <w:p>
      <w:pPr>
        <w:pStyle w:val="4"/>
        <w:numPr>
          <w:ilvl w:val="0"/>
          <w:numId w:val="4"/>
        </w:numPr>
        <w:spacing w:before="44" w:line="360" w:lineRule="auto"/>
        <w:jc w:val="both"/>
        <w:rPr>
          <w:rFonts w:hint="default" w:ascii="宋体" w:hAnsi="宋体" w:eastAsia="宋体" w:cs="宋体"/>
          <w:b/>
          <w:bCs/>
          <w:spacing w:val="-3"/>
          <w:sz w:val="21"/>
          <w:szCs w:val="21"/>
          <w:lang w:val="en-US" w:eastAsia="zh-CN"/>
        </w:rPr>
      </w:pPr>
      <w:r>
        <w:rPr>
          <w:rFonts w:hint="eastAsia" w:cs="宋体"/>
          <w:b/>
          <w:bCs/>
          <w:spacing w:val="-3"/>
          <w:sz w:val="21"/>
          <w:szCs w:val="21"/>
          <w:lang w:val="en-US" w:eastAsia="zh-CN"/>
        </w:rPr>
        <w:t>其他</w:t>
      </w:r>
      <w:r>
        <w:rPr>
          <w:rFonts w:hint="eastAsia" w:ascii="宋体" w:hAnsi="宋体" w:eastAsia="宋体" w:cs="宋体"/>
          <w:b/>
          <w:bCs/>
          <w:spacing w:val="-3"/>
          <w:sz w:val="21"/>
          <w:szCs w:val="21"/>
          <w:lang w:eastAsia="zh-CN"/>
        </w:rPr>
        <w:t>要求</w:t>
      </w:r>
    </w:p>
    <w:p>
      <w:pPr>
        <w:pStyle w:val="4"/>
        <w:numPr>
          <w:ilvl w:val="0"/>
          <w:numId w:val="0"/>
        </w:numPr>
        <w:spacing w:before="44" w:line="360" w:lineRule="auto"/>
        <w:jc w:val="both"/>
        <w:rPr>
          <w:rFonts w:hint="default" w:ascii="宋体" w:hAnsi="宋体" w:eastAsia="宋体" w:cs="宋体"/>
          <w:b w:val="0"/>
          <w:bCs w:val="0"/>
          <w:spacing w:val="-3"/>
          <w:sz w:val="21"/>
          <w:szCs w:val="21"/>
          <w:lang w:val="en-US" w:eastAsia="zh-CN"/>
        </w:rPr>
      </w:pPr>
      <w:r>
        <w:rPr>
          <w:rFonts w:hint="eastAsia" w:cs="宋体"/>
          <w:b w:val="0"/>
          <w:bCs w:val="0"/>
          <w:spacing w:val="-3"/>
          <w:sz w:val="21"/>
          <w:szCs w:val="21"/>
          <w:lang w:val="en-US" w:eastAsia="zh-CN"/>
        </w:rPr>
        <w:t>一、补充服务要求</w:t>
      </w:r>
    </w:p>
    <w:p>
      <w:pPr>
        <w:pStyle w:val="3"/>
        <w:spacing w:line="360" w:lineRule="auto"/>
        <w:rPr>
          <w:rFonts w:hint="eastAsia" w:ascii="宋体" w:hAnsi="宋体"/>
          <w:b w:val="0"/>
          <w:bCs w:val="0"/>
        </w:rPr>
      </w:pPr>
      <w:r>
        <w:rPr>
          <w:rFonts w:hint="eastAsia" w:ascii="宋体" w:hAnsi="宋体"/>
          <w:b w:val="0"/>
          <w:bCs w:val="0"/>
          <w:lang w:val="en-US" w:eastAsia="zh-CN"/>
        </w:rPr>
        <w:t>1</w:t>
      </w:r>
      <w:r>
        <w:rPr>
          <w:rFonts w:hint="eastAsia" w:ascii="宋体" w:hAnsi="宋体"/>
          <w:b w:val="0"/>
          <w:bCs w:val="0"/>
        </w:rPr>
        <w:t>.报价的组成：报价总价为货物送达采购方指定地点、经采购方验收合格并交付使用的所有可能发生的费用，包括：货物（含设备、配件、辅助材料）生产供应、打样、保管、运输、保险费、产品检验检测、拆卸、搬运、安装、调试、人员培训、税收、售后服务。</w:t>
      </w:r>
    </w:p>
    <w:p>
      <w:pPr>
        <w:pStyle w:val="3"/>
        <w:spacing w:line="360" w:lineRule="auto"/>
        <w:rPr>
          <w:rFonts w:hint="eastAsia" w:ascii="宋体" w:hAnsi="宋体"/>
          <w:b w:val="0"/>
          <w:bCs w:val="0"/>
        </w:rPr>
      </w:pPr>
      <w:r>
        <w:rPr>
          <w:rFonts w:hint="eastAsia" w:ascii="宋体" w:hAnsi="宋体"/>
          <w:b w:val="0"/>
          <w:bCs w:val="0"/>
          <w:lang w:val="en-US" w:eastAsia="zh-CN"/>
        </w:rPr>
        <w:t>2</w:t>
      </w:r>
      <w:r>
        <w:rPr>
          <w:rFonts w:hint="eastAsia" w:ascii="宋体" w:hAnsi="宋体"/>
          <w:b w:val="0"/>
          <w:bCs w:val="0"/>
        </w:rPr>
        <w:t>.原材料采购、生产检验：供应商有责任向采购方提供全部原材料证明材料（家具生产原材料发票、原材料送检报告、生产环节领货单、进口零配件报关单（如有）等）和工厂试验、检验数据，以证实符合技术规范书要求，一些重要的检查与试验项目，采购方有权派代表参加，供应商应在试验前规定时间通知采购方代表参加。</w:t>
      </w:r>
    </w:p>
    <w:p>
      <w:pPr>
        <w:pStyle w:val="3"/>
        <w:spacing w:line="360" w:lineRule="auto"/>
        <w:rPr>
          <w:b w:val="0"/>
          <w:bCs w:val="0"/>
          <w:highlight w:val="none"/>
        </w:rPr>
      </w:pPr>
      <w:r>
        <w:rPr>
          <w:rFonts w:hint="eastAsia"/>
          <w:b w:val="0"/>
          <w:bCs w:val="0"/>
          <w:lang w:val="en-US" w:eastAsia="zh-CN"/>
        </w:rPr>
        <w:t>3</w:t>
      </w:r>
      <w:r>
        <w:rPr>
          <w:rFonts w:hint="eastAsia"/>
          <w:b w:val="0"/>
          <w:bCs w:val="0"/>
        </w:rPr>
        <w:t>.</w:t>
      </w:r>
      <w:r>
        <w:rPr>
          <w:rFonts w:hint="eastAsia"/>
          <w:b w:val="0"/>
          <w:bCs w:val="0"/>
          <w:highlight w:val="none"/>
        </w:rPr>
        <w:t>全部生产过程需要第三方机构进行质量控制监督，包括但不限于：原材料进厂抽检，线上生产抽检，出货抽检等，第三方质量控制费用包括在所有费用内，由乙方支付，乙方不得额外收费，乙方可在具有CMA资质认可的第三方检测机构机构中选择，具体抽检项目和流程由甲方和第三方检测公司确认。</w:t>
      </w:r>
    </w:p>
    <w:p>
      <w:pPr>
        <w:pStyle w:val="3"/>
        <w:spacing w:line="360" w:lineRule="auto"/>
        <w:rPr>
          <w:rFonts w:hint="eastAsia"/>
          <w:b w:val="0"/>
          <w:bCs w:val="0"/>
        </w:rPr>
      </w:pPr>
      <w:r>
        <w:rPr>
          <w:rFonts w:hint="eastAsia"/>
          <w:b w:val="0"/>
          <w:bCs w:val="0"/>
          <w:lang w:val="en-US" w:eastAsia="zh-CN"/>
        </w:rPr>
        <w:t>4</w:t>
      </w:r>
      <w:r>
        <w:rPr>
          <w:rFonts w:hint="eastAsia"/>
          <w:b w:val="0"/>
          <w:bCs w:val="0"/>
        </w:rPr>
        <w:t>.家具尺寸根据宿舍维修后的空间会有少量调整，供应商需配合采购人对尺寸进行实地复量并保证家具和宿舍空间完全匹配。</w:t>
      </w:r>
    </w:p>
    <w:p>
      <w:pPr>
        <w:pStyle w:val="18"/>
        <w:widowControl/>
        <w:spacing w:line="360" w:lineRule="auto"/>
        <w:ind w:firstLine="0" w:firstLineChars="0"/>
        <w:outlineLvl w:val="0"/>
        <w:rPr>
          <w:rFonts w:hint="eastAsia" w:cs="宋体"/>
          <w:b w:val="0"/>
          <w:bCs w:val="0"/>
          <w:color w:val="000000"/>
          <w:kern w:val="0"/>
          <w:szCs w:val="21"/>
        </w:rPr>
      </w:pPr>
      <w:r>
        <w:rPr>
          <w:rFonts w:hint="eastAsia" w:cs="宋体"/>
          <w:b w:val="0"/>
          <w:bCs w:val="0"/>
          <w:color w:val="000000"/>
          <w:kern w:val="0"/>
          <w:szCs w:val="21"/>
          <w:lang w:val="en-US" w:eastAsia="zh-CN"/>
        </w:rPr>
        <w:t>二</w:t>
      </w:r>
      <w:r>
        <w:rPr>
          <w:rFonts w:hint="eastAsia" w:cs="宋体"/>
          <w:b w:val="0"/>
          <w:bCs w:val="0"/>
          <w:color w:val="000000"/>
          <w:kern w:val="0"/>
          <w:szCs w:val="21"/>
        </w:rPr>
        <w:t>、</w:t>
      </w:r>
      <w:r>
        <w:rPr>
          <w:rFonts w:hint="eastAsia" w:cs="宋体"/>
          <w:b w:val="0"/>
          <w:bCs w:val="0"/>
          <w:color w:val="000000"/>
          <w:kern w:val="0"/>
          <w:szCs w:val="21"/>
          <w:lang w:val="en-US" w:eastAsia="zh-CN"/>
        </w:rPr>
        <w:t>补充</w:t>
      </w:r>
      <w:r>
        <w:rPr>
          <w:rFonts w:hint="eastAsia" w:cs="宋体"/>
          <w:b w:val="0"/>
          <w:bCs w:val="0"/>
          <w:color w:val="000000"/>
          <w:kern w:val="0"/>
          <w:szCs w:val="21"/>
        </w:rPr>
        <w:t>质量标准和验收要求：</w:t>
      </w:r>
    </w:p>
    <w:p>
      <w:pPr>
        <w:pStyle w:val="18"/>
        <w:widowControl/>
        <w:spacing w:line="360" w:lineRule="auto"/>
        <w:ind w:firstLine="0" w:firstLineChars="0"/>
        <w:rPr>
          <w:rFonts w:hint="eastAsia" w:cs="宋体"/>
          <w:b w:val="0"/>
          <w:bCs w:val="0"/>
          <w:color w:val="000000"/>
          <w:kern w:val="0"/>
          <w:szCs w:val="21"/>
        </w:rPr>
      </w:pPr>
      <w:r>
        <w:rPr>
          <w:rFonts w:hint="eastAsia" w:cs="宋体"/>
          <w:b w:val="0"/>
          <w:bCs w:val="0"/>
          <w:color w:val="000000"/>
          <w:kern w:val="0"/>
          <w:szCs w:val="21"/>
        </w:rPr>
        <w:t>1.投标人提供的产品和相关服务应符合国家和上海市与本项目有关的各项质量和安全标准、规范和验收要求以及相关政府管理部门和行业有关规定和规程，标准、规范等不一致的，以要求严的为准。</w:t>
      </w:r>
    </w:p>
    <w:p>
      <w:pPr>
        <w:pStyle w:val="18"/>
        <w:spacing w:line="360" w:lineRule="auto"/>
        <w:ind w:left="0" w:leftChars="0" w:firstLine="0" w:firstLineChars="0"/>
        <w:jc w:val="left"/>
        <w:rPr>
          <w:rFonts w:hint="eastAsia" w:ascii="宋体" w:hAnsi="宋体"/>
          <w:b w:val="0"/>
          <w:bCs w:val="0"/>
          <w:highlight w:val="none"/>
        </w:rPr>
      </w:pPr>
      <w:r>
        <w:rPr>
          <w:rFonts w:hint="eastAsia" w:cs="宋体"/>
          <w:b w:val="0"/>
          <w:bCs w:val="0"/>
          <w:color w:val="000000"/>
          <w:kern w:val="0"/>
          <w:szCs w:val="21"/>
          <w:highlight w:val="none"/>
        </w:rPr>
        <w:t>2.</w:t>
      </w:r>
      <w:r>
        <w:rPr>
          <w:rFonts w:hint="eastAsia" w:ascii="宋体" w:hAnsi="宋体"/>
          <w:b w:val="0"/>
          <w:bCs w:val="0"/>
          <w:highlight w:val="none"/>
        </w:rPr>
        <w:t>验收要求：家具安装、调试后，由供、需双方按照合同约定对家具进行验收。验收包括清点型号、数量、检查外观等，供应商应当提供家具清单(各类家具分项开立并标注详细数量)、原产地证明、具出厂日期证明、家具环保证明等文件。</w:t>
      </w:r>
    </w:p>
    <w:p>
      <w:pPr>
        <w:pStyle w:val="18"/>
        <w:spacing w:line="360" w:lineRule="auto"/>
        <w:ind w:left="-92" w:leftChars="-44" w:firstLine="0" w:firstLineChars="0"/>
        <w:jc w:val="left"/>
        <w:rPr>
          <w:rFonts w:hint="eastAsia" w:cs="宋体"/>
          <w:b w:val="0"/>
          <w:bCs w:val="0"/>
          <w:color w:val="000000"/>
          <w:kern w:val="0"/>
          <w:szCs w:val="21"/>
          <w:highlight w:val="none"/>
        </w:rPr>
      </w:pPr>
      <w:r>
        <w:rPr>
          <w:rFonts w:hint="eastAsia" w:ascii="宋体" w:hAnsi="宋体"/>
          <w:b w:val="0"/>
          <w:bCs w:val="0"/>
          <w:highlight w:val="none"/>
        </w:rPr>
        <w:t>3.检测要求：项目完成，货物交付、送至现场安装完毕后，由采购方任意抽取学生公寓床（含扶梯）及组合柜、椅子，单人床及衣柜，写字桌，课桌椅和固定课桌椅各1件，送到国家级检测中心进行破环性检测。若检测合格，供货商需补齐送检产品给使用方，涉及的费用按实结算。若检测结果不合格，使用方有权退回不合格品类的货物，且不予支付相应检测费用。送检不合格的处理：如果中标人最终交付的产品不能满足经双方确认的验收方法中规定的各项技术性能指标，则中标人应负责免费更换或修复,并提供采购人指定检测机构的合格检测报告，同时承担合同文本中约定的违约责任。</w:t>
      </w:r>
    </w:p>
    <w:p>
      <w:pPr>
        <w:pStyle w:val="18"/>
        <w:widowControl/>
        <w:spacing w:line="360" w:lineRule="auto"/>
        <w:ind w:firstLine="0" w:firstLineChars="0"/>
        <w:rPr>
          <w:rFonts w:cs="宋体"/>
          <w:b w:val="0"/>
          <w:bCs w:val="0"/>
          <w:color w:val="000000"/>
          <w:kern w:val="0"/>
          <w:szCs w:val="21"/>
          <w:highlight w:val="none"/>
        </w:rPr>
      </w:pPr>
      <w:r>
        <w:rPr>
          <w:rFonts w:hint="eastAsia" w:cs="宋体"/>
          <w:b w:val="0"/>
          <w:bCs w:val="0"/>
          <w:color w:val="000000"/>
          <w:kern w:val="0"/>
          <w:szCs w:val="21"/>
          <w:highlight w:val="none"/>
          <w:lang w:val="en-US" w:eastAsia="zh-CN"/>
        </w:rPr>
        <w:t>4</w:t>
      </w:r>
      <w:r>
        <w:rPr>
          <w:rFonts w:hint="eastAsia" w:cs="宋体"/>
          <w:b w:val="0"/>
          <w:bCs w:val="0"/>
          <w:color w:val="000000"/>
          <w:kern w:val="0"/>
          <w:szCs w:val="21"/>
          <w:highlight w:val="none"/>
        </w:rPr>
        <w:t>.如验收未获通过，采购人有权要求更换或退货并按照合同约定的违约处理。</w:t>
      </w:r>
    </w:p>
    <w:p>
      <w:pPr>
        <w:pStyle w:val="18"/>
        <w:widowControl/>
        <w:spacing w:line="360" w:lineRule="auto"/>
        <w:ind w:firstLine="0" w:firstLineChars="0"/>
        <w:outlineLvl w:val="0"/>
        <w:rPr>
          <w:rFonts w:cs="宋体"/>
          <w:b w:val="0"/>
          <w:bCs w:val="0"/>
          <w:color w:val="000000"/>
          <w:kern w:val="0"/>
          <w:szCs w:val="21"/>
        </w:rPr>
      </w:pPr>
      <w:r>
        <w:rPr>
          <w:rFonts w:hint="eastAsia" w:cs="宋体"/>
          <w:b w:val="0"/>
          <w:bCs w:val="0"/>
          <w:color w:val="000000"/>
          <w:kern w:val="0"/>
          <w:szCs w:val="21"/>
          <w:lang w:val="en-US" w:eastAsia="zh-CN"/>
        </w:rPr>
        <w:t>三</w:t>
      </w:r>
      <w:r>
        <w:rPr>
          <w:rFonts w:hint="eastAsia" w:cs="宋体"/>
          <w:b w:val="0"/>
          <w:bCs w:val="0"/>
          <w:color w:val="000000"/>
          <w:kern w:val="0"/>
          <w:szCs w:val="21"/>
        </w:rPr>
        <w:t>、</w:t>
      </w:r>
      <w:r>
        <w:rPr>
          <w:rFonts w:hint="eastAsia" w:cs="宋体"/>
          <w:b w:val="0"/>
          <w:bCs w:val="0"/>
          <w:color w:val="000000"/>
          <w:kern w:val="0"/>
          <w:szCs w:val="21"/>
          <w:lang w:val="en-US" w:eastAsia="zh-CN"/>
        </w:rPr>
        <w:t>补充</w:t>
      </w:r>
      <w:r>
        <w:rPr>
          <w:rFonts w:hint="eastAsia" w:cs="宋体"/>
          <w:b w:val="0"/>
          <w:bCs w:val="0"/>
          <w:color w:val="000000"/>
          <w:kern w:val="0"/>
          <w:szCs w:val="21"/>
        </w:rPr>
        <w:t>质保期限及售后服务：</w:t>
      </w:r>
    </w:p>
    <w:p>
      <w:pPr>
        <w:pStyle w:val="22"/>
        <w:spacing w:beforeLines="0" w:afterLines="0" w:line="360" w:lineRule="auto"/>
        <w:ind w:firstLine="420"/>
        <w:rPr>
          <w:b w:val="0"/>
          <w:bCs w:val="0"/>
          <w:sz w:val="21"/>
          <w:szCs w:val="21"/>
        </w:rPr>
      </w:pPr>
      <w:r>
        <w:rPr>
          <w:rFonts w:hint="eastAsia"/>
          <w:b w:val="0"/>
          <w:bCs w:val="0"/>
          <w:sz w:val="21"/>
          <w:szCs w:val="21"/>
        </w:rPr>
        <w:t>4.</w:t>
      </w:r>
      <w:r>
        <w:rPr>
          <w:rFonts w:hint="eastAsia"/>
          <w:b w:val="0"/>
          <w:bCs w:val="0"/>
          <w:sz w:val="21"/>
          <w:szCs w:val="21"/>
          <w:lang w:val="en-US" w:eastAsia="zh-CN"/>
        </w:rPr>
        <w:t>1</w:t>
      </w:r>
      <w:r>
        <w:rPr>
          <w:rFonts w:hint="eastAsia"/>
          <w:b w:val="0"/>
          <w:bCs w:val="0"/>
          <w:sz w:val="21"/>
          <w:szCs w:val="21"/>
        </w:rPr>
        <w:t>中标人应严格履行相关承诺，确保服务全面、彻底、快捷、有效。</w:t>
      </w:r>
    </w:p>
    <w:p>
      <w:pPr>
        <w:pStyle w:val="22"/>
        <w:spacing w:beforeLines="0" w:afterLines="0" w:line="360" w:lineRule="auto"/>
        <w:ind w:firstLine="420"/>
        <w:rPr>
          <w:b w:val="0"/>
          <w:bCs w:val="0"/>
          <w:sz w:val="21"/>
          <w:szCs w:val="21"/>
        </w:rPr>
      </w:pPr>
      <w:r>
        <w:rPr>
          <w:rFonts w:hint="eastAsia"/>
          <w:b w:val="0"/>
          <w:bCs w:val="0"/>
          <w:sz w:val="21"/>
          <w:szCs w:val="21"/>
        </w:rPr>
        <w:t>4.</w:t>
      </w:r>
      <w:r>
        <w:rPr>
          <w:rFonts w:hint="eastAsia"/>
          <w:b w:val="0"/>
          <w:bCs w:val="0"/>
          <w:sz w:val="21"/>
          <w:szCs w:val="21"/>
          <w:lang w:val="en-US" w:eastAsia="zh-CN"/>
        </w:rPr>
        <w:t xml:space="preserve">2 </w:t>
      </w:r>
      <w:r>
        <w:rPr>
          <w:rFonts w:hint="eastAsia" w:cs="宋体"/>
          <w:sz w:val="21"/>
          <w:szCs w:val="21"/>
          <w:lang w:val="en-US" w:eastAsia="zh-CN"/>
        </w:rPr>
        <w:t>10</w:t>
      </w:r>
      <w:r>
        <w:rPr>
          <w:rFonts w:hint="eastAsia" w:ascii="宋体" w:hAnsi="宋体" w:eastAsia="宋体" w:cs="宋体"/>
          <w:sz w:val="21"/>
          <w:szCs w:val="21"/>
          <w:lang w:eastAsia="zh-CN"/>
        </w:rPr>
        <w:t>年免费保修期</w:t>
      </w:r>
      <w:r>
        <w:rPr>
          <w:rFonts w:hint="eastAsia"/>
          <w:b w:val="0"/>
          <w:bCs w:val="0"/>
          <w:sz w:val="21"/>
          <w:szCs w:val="21"/>
        </w:rPr>
        <w:t>自项目验收合格后开始计算。</w:t>
      </w:r>
    </w:p>
    <w:p>
      <w:pPr>
        <w:pStyle w:val="22"/>
        <w:spacing w:beforeLines="0" w:afterLines="0" w:line="360" w:lineRule="auto"/>
        <w:ind w:firstLine="420"/>
        <w:rPr>
          <w:rFonts w:hint="eastAsia"/>
          <w:b w:val="0"/>
          <w:bCs w:val="0"/>
          <w:sz w:val="21"/>
          <w:szCs w:val="21"/>
        </w:rPr>
      </w:pPr>
      <w:r>
        <w:rPr>
          <w:rFonts w:hint="eastAsia"/>
          <w:b w:val="0"/>
          <w:bCs w:val="0"/>
          <w:sz w:val="21"/>
          <w:szCs w:val="21"/>
        </w:rPr>
        <w:t>4.</w:t>
      </w:r>
      <w:r>
        <w:rPr>
          <w:rFonts w:hint="eastAsia"/>
          <w:b w:val="0"/>
          <w:bCs w:val="0"/>
          <w:sz w:val="21"/>
          <w:szCs w:val="21"/>
          <w:lang w:val="en-US" w:eastAsia="zh-CN"/>
        </w:rPr>
        <w:t>3</w:t>
      </w:r>
      <w:r>
        <w:rPr>
          <w:rFonts w:hint="eastAsia"/>
          <w:b w:val="0"/>
          <w:bCs w:val="0"/>
          <w:sz w:val="21"/>
          <w:szCs w:val="21"/>
        </w:rPr>
        <w:t>中标人应将生产库存产品以应急需。如出现严重质量问题，影响正常使用，无条件更换全新产品。</w:t>
      </w:r>
    </w:p>
    <w:p>
      <w:pPr>
        <w:pStyle w:val="4"/>
        <w:numPr>
          <w:ilvl w:val="0"/>
          <w:numId w:val="0"/>
        </w:numPr>
        <w:spacing w:before="44" w:line="360" w:lineRule="auto"/>
        <w:jc w:val="both"/>
        <w:rPr>
          <w:rFonts w:hint="eastAsia" w:ascii="宋体" w:hAnsi="宋体" w:eastAsia="宋体" w:cs="宋体"/>
          <w:b/>
          <w:bCs/>
          <w:spacing w:val="-3"/>
          <w:sz w:val="21"/>
          <w:szCs w:val="21"/>
          <w:lang w:eastAsia="zh-CN"/>
        </w:rPr>
      </w:pPr>
    </w:p>
    <w:sectPr>
      <w:headerReference r:id="rId3" w:type="default"/>
      <w:pgSz w:w="23820" w:h="16840"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Liberation Sans"/>
    <w:panose1 w:val="020B0604020202020204"/>
    <w:charset w:val="00"/>
    <w:family w:val="swiss"/>
    <w:pitch w:val="default"/>
    <w:sig w:usb0="00000000" w:usb1="00000000" w:usb2="00000009" w:usb3="00000000" w:csb0="000001FF" w:csb1="00000000"/>
  </w:font>
  <w:font w:name="Liberation Sans">
    <w:panose1 w:val="020B0604020202020204"/>
    <w:charset w:val="00"/>
    <w:family w:val="auto"/>
    <w:pitch w:val="default"/>
    <w:sig w:usb0="A00002AF" w:usb1="500078FB" w:usb2="00000000" w:usb3="00000000" w:csb0="6000009F" w:csb1="DFD70000"/>
  </w:font>
  <w:font w:name="文泉驿微米黑">
    <w:panose1 w:val="020B0606030804020204"/>
    <w:charset w:val="86"/>
    <w:family w:val="auto"/>
    <w:pitch w:val="default"/>
    <w:sig w:usb0="E10002EF" w:usb1="6BDFFCFB" w:usb2="00800036" w:usb3="00000000" w:csb0="603E019F" w:csb1="DFD70000"/>
  </w:font>
  <w:font w:name="Arial">
    <w:altName w:val="DejaVu Sans"/>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E4A35A"/>
    <w:multiLevelType w:val="singleLevel"/>
    <w:tmpl w:val="B1E4A35A"/>
    <w:lvl w:ilvl="0" w:tentative="0">
      <w:start w:val="3"/>
      <w:numFmt w:val="chineseCounting"/>
      <w:suff w:val="nothing"/>
      <w:lvlText w:val="%1、"/>
      <w:lvlJc w:val="left"/>
      <w:rPr>
        <w:rFonts w:hint="eastAsia"/>
        <w:color w:val="auto"/>
      </w:rPr>
    </w:lvl>
  </w:abstractNum>
  <w:abstractNum w:abstractNumId="1">
    <w:nsid w:val="C560FF0B"/>
    <w:multiLevelType w:val="singleLevel"/>
    <w:tmpl w:val="C560FF0B"/>
    <w:lvl w:ilvl="0" w:tentative="0">
      <w:start w:val="9"/>
      <w:numFmt w:val="chineseCounting"/>
      <w:suff w:val="nothing"/>
      <w:lvlText w:val="%1、"/>
      <w:lvlJc w:val="left"/>
      <w:rPr>
        <w:rFonts w:hint="eastAsia"/>
        <w:b/>
        <w:bCs/>
      </w:rPr>
    </w:lvl>
  </w:abstractNum>
  <w:abstractNum w:abstractNumId="2">
    <w:nsid w:val="276500E2"/>
    <w:multiLevelType w:val="multilevel"/>
    <w:tmpl w:val="276500E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D2CDF9D"/>
    <w:multiLevelType w:val="singleLevel"/>
    <w:tmpl w:val="7D2CDF9D"/>
    <w:lvl w:ilvl="0" w:tentative="0">
      <w:start w:val="1"/>
      <w:numFmt w:val="decimal"/>
      <w:lvlText w:val="%1."/>
      <w:lvlJc w:val="left"/>
      <w:pPr>
        <w:tabs>
          <w:tab w:val="left" w:pos="312"/>
        </w:tabs>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wZDQ0MjNmOGQ4MWM1NTE2NDgxZjljNmEzOGZmM2UifQ=="/>
  </w:docVars>
  <w:rsids>
    <w:rsidRoot w:val="F32BEA20"/>
    <w:rsid w:val="000B7219"/>
    <w:rsid w:val="00303362"/>
    <w:rsid w:val="00370CD3"/>
    <w:rsid w:val="003B70E8"/>
    <w:rsid w:val="004B24BC"/>
    <w:rsid w:val="004E2372"/>
    <w:rsid w:val="00541D04"/>
    <w:rsid w:val="006A5F7B"/>
    <w:rsid w:val="007368BA"/>
    <w:rsid w:val="00931AA9"/>
    <w:rsid w:val="00A22C06"/>
    <w:rsid w:val="00A50927"/>
    <w:rsid w:val="00A87052"/>
    <w:rsid w:val="00AB0786"/>
    <w:rsid w:val="00BF21A4"/>
    <w:rsid w:val="00C16242"/>
    <w:rsid w:val="00C17B63"/>
    <w:rsid w:val="00C451DB"/>
    <w:rsid w:val="00CE02A4"/>
    <w:rsid w:val="00E6065C"/>
    <w:rsid w:val="00EE0FE9"/>
    <w:rsid w:val="02D2429A"/>
    <w:rsid w:val="05932C17"/>
    <w:rsid w:val="095561AC"/>
    <w:rsid w:val="09E35A35"/>
    <w:rsid w:val="0C870516"/>
    <w:rsid w:val="0ED56EC0"/>
    <w:rsid w:val="1371741E"/>
    <w:rsid w:val="14AA6E06"/>
    <w:rsid w:val="14B95E54"/>
    <w:rsid w:val="159E51B1"/>
    <w:rsid w:val="15C84488"/>
    <w:rsid w:val="18C87CE8"/>
    <w:rsid w:val="1D5C2231"/>
    <w:rsid w:val="1EFF8184"/>
    <w:rsid w:val="20401B1F"/>
    <w:rsid w:val="20560357"/>
    <w:rsid w:val="238001F1"/>
    <w:rsid w:val="269845BF"/>
    <w:rsid w:val="296F3171"/>
    <w:rsid w:val="2A3234A0"/>
    <w:rsid w:val="2B536BB8"/>
    <w:rsid w:val="2E192604"/>
    <w:rsid w:val="31FD4389"/>
    <w:rsid w:val="340F388A"/>
    <w:rsid w:val="3B9F11A4"/>
    <w:rsid w:val="3C874CED"/>
    <w:rsid w:val="3D5722B2"/>
    <w:rsid w:val="3D5CBD80"/>
    <w:rsid w:val="3F5AB3C8"/>
    <w:rsid w:val="3FDE82F7"/>
    <w:rsid w:val="3FEBE777"/>
    <w:rsid w:val="436C43ED"/>
    <w:rsid w:val="4545333A"/>
    <w:rsid w:val="46472515"/>
    <w:rsid w:val="47FFDCAD"/>
    <w:rsid w:val="494C74C1"/>
    <w:rsid w:val="4E666834"/>
    <w:rsid w:val="4EF61F46"/>
    <w:rsid w:val="50243724"/>
    <w:rsid w:val="5466614B"/>
    <w:rsid w:val="564231F4"/>
    <w:rsid w:val="57BF3926"/>
    <w:rsid w:val="59153A71"/>
    <w:rsid w:val="59FF9E14"/>
    <w:rsid w:val="5A1B7918"/>
    <w:rsid w:val="5BFF5FD2"/>
    <w:rsid w:val="5CEBF368"/>
    <w:rsid w:val="5D81150D"/>
    <w:rsid w:val="5DBF5DC0"/>
    <w:rsid w:val="5DEF1908"/>
    <w:rsid w:val="5F7D427D"/>
    <w:rsid w:val="5FFF8E82"/>
    <w:rsid w:val="60AE7EAE"/>
    <w:rsid w:val="6280749D"/>
    <w:rsid w:val="698A33B2"/>
    <w:rsid w:val="6C2C6D1C"/>
    <w:rsid w:val="6E4BC4BD"/>
    <w:rsid w:val="6EAB7730"/>
    <w:rsid w:val="6F9F2AA6"/>
    <w:rsid w:val="700A7B60"/>
    <w:rsid w:val="70593D11"/>
    <w:rsid w:val="711B3D8B"/>
    <w:rsid w:val="721F6AF3"/>
    <w:rsid w:val="75FBCD7E"/>
    <w:rsid w:val="76841A56"/>
    <w:rsid w:val="772C233D"/>
    <w:rsid w:val="777FCD40"/>
    <w:rsid w:val="77B74889"/>
    <w:rsid w:val="78B90C9C"/>
    <w:rsid w:val="7A1EF845"/>
    <w:rsid w:val="7C35AD77"/>
    <w:rsid w:val="7C996CD4"/>
    <w:rsid w:val="7DEB81F6"/>
    <w:rsid w:val="7E517AC6"/>
    <w:rsid w:val="7E7C4598"/>
    <w:rsid w:val="7E953F59"/>
    <w:rsid w:val="7EDAB6D1"/>
    <w:rsid w:val="7F7CBD21"/>
    <w:rsid w:val="BBFB8DC5"/>
    <w:rsid w:val="BFEEBC32"/>
    <w:rsid w:val="BFF6FB84"/>
    <w:rsid w:val="D75D7127"/>
    <w:rsid w:val="DCFF6989"/>
    <w:rsid w:val="DFCDF6B7"/>
    <w:rsid w:val="DFF75750"/>
    <w:rsid w:val="DFFDAC87"/>
    <w:rsid w:val="E5F57EB6"/>
    <w:rsid w:val="E5FB5E7F"/>
    <w:rsid w:val="E7EF1F2D"/>
    <w:rsid w:val="E9BF572B"/>
    <w:rsid w:val="EFF210A5"/>
    <w:rsid w:val="F32BEA20"/>
    <w:rsid w:val="F4DB9A57"/>
    <w:rsid w:val="F6FEB339"/>
    <w:rsid w:val="F79F4D83"/>
    <w:rsid w:val="F7BF3339"/>
    <w:rsid w:val="F7FFACF7"/>
    <w:rsid w:val="F9E7476A"/>
    <w:rsid w:val="FB8F55DC"/>
    <w:rsid w:val="FBCF7ABF"/>
    <w:rsid w:val="FCF7F34B"/>
    <w:rsid w:val="FE3F271B"/>
    <w:rsid w:val="FEBFC356"/>
    <w:rsid w:val="FFDFE0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6"/>
    <w:basedOn w:val="1"/>
    <w:next w:val="1"/>
    <w:qFormat/>
    <w:uiPriority w:val="0"/>
    <w:pPr>
      <w:keepNext/>
      <w:keepLines/>
      <w:spacing w:before="240" w:after="64" w:line="317" w:lineRule="auto"/>
      <w:outlineLvl w:val="5"/>
    </w:pPr>
    <w:rPr>
      <w:rFonts w:ascii="Arial" w:hAnsi="Arial" w:eastAsia="黑体"/>
      <w:b/>
      <w:sz w:val="2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semiHidden/>
    <w:qFormat/>
    <w:uiPriority w:val="0"/>
    <w:rPr>
      <w:rFonts w:ascii="宋体" w:hAnsi="宋体" w:eastAsia="宋体" w:cs="宋体"/>
      <w:sz w:val="24"/>
      <w:szCs w:val="24"/>
    </w:rPr>
  </w:style>
  <w:style w:type="paragraph" w:styleId="5">
    <w:name w:val="index 4"/>
    <w:basedOn w:val="1"/>
    <w:next w:val="1"/>
    <w:qFormat/>
    <w:uiPriority w:val="0"/>
    <w:pPr>
      <w:spacing w:line="360" w:lineRule="auto"/>
      <w:ind w:left="600" w:leftChars="600"/>
    </w:pPr>
    <w:rPr>
      <w:sz w:val="24"/>
      <w:szCs w:val="24"/>
    </w:rPr>
  </w:style>
  <w:style w:type="paragraph" w:styleId="6">
    <w:name w:val="Plain Text"/>
    <w:basedOn w:val="1"/>
    <w:qFormat/>
    <w:uiPriority w:val="0"/>
    <w:rPr>
      <w:rFonts w:ascii="宋体" w:hAnsi="Courier New"/>
    </w:rPr>
  </w:style>
  <w:style w:type="paragraph" w:styleId="7">
    <w:name w:val="Balloon Text"/>
    <w:basedOn w:val="1"/>
    <w:link w:val="17"/>
    <w:qFormat/>
    <w:uiPriority w:val="0"/>
    <w:rPr>
      <w:sz w:val="18"/>
      <w:szCs w:val="18"/>
    </w:rPr>
  </w:style>
  <w:style w:type="paragraph" w:styleId="8">
    <w:name w:val="footer"/>
    <w:basedOn w:val="1"/>
    <w:link w:val="16"/>
    <w:qFormat/>
    <w:uiPriority w:val="0"/>
    <w:pPr>
      <w:tabs>
        <w:tab w:val="center" w:pos="4153"/>
        <w:tab w:val="right" w:pos="8306"/>
      </w:tabs>
    </w:pPr>
    <w:rPr>
      <w:sz w:val="18"/>
      <w:szCs w:val="18"/>
    </w:rPr>
  </w:style>
  <w:style w:type="paragraph" w:styleId="9">
    <w:name w:val="header"/>
    <w:basedOn w:val="1"/>
    <w:link w:val="15"/>
    <w:qFormat/>
    <w:uiPriority w:val="0"/>
    <w:pPr>
      <w:pBdr>
        <w:bottom w:val="single" w:color="auto" w:sz="6" w:space="1"/>
      </w:pBdr>
      <w:tabs>
        <w:tab w:val="center" w:pos="4153"/>
        <w:tab w:val="right" w:pos="8306"/>
      </w:tabs>
      <w:jc w:val="center"/>
    </w:pPr>
    <w:rPr>
      <w:sz w:val="18"/>
      <w:szCs w:val="18"/>
    </w:rPr>
  </w:style>
  <w:style w:type="paragraph" w:customStyle="1" w:styleId="12">
    <w:name w:val="Table Text"/>
    <w:basedOn w:val="1"/>
    <w:semiHidden/>
    <w:qFormat/>
    <w:uiPriority w:val="0"/>
    <w:rPr>
      <w:rFonts w:ascii="宋体" w:hAnsi="宋体" w:eastAsia="宋体" w:cs="宋体"/>
      <w:sz w:val="28"/>
      <w:szCs w:val="28"/>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5">
    <w:name w:val="页眉 Char"/>
    <w:basedOn w:val="11"/>
    <w:link w:val="9"/>
    <w:qFormat/>
    <w:uiPriority w:val="0"/>
    <w:rPr>
      <w:rFonts w:ascii="Arial" w:hAnsi="Arial" w:cs="Arial"/>
      <w:snapToGrid w:val="0"/>
      <w:color w:val="000000"/>
      <w:sz w:val="18"/>
      <w:szCs w:val="18"/>
      <w:lang w:eastAsia="en-US"/>
    </w:rPr>
  </w:style>
  <w:style w:type="character" w:customStyle="1" w:styleId="16">
    <w:name w:val="页脚 Char"/>
    <w:basedOn w:val="11"/>
    <w:link w:val="8"/>
    <w:qFormat/>
    <w:uiPriority w:val="0"/>
    <w:rPr>
      <w:rFonts w:ascii="Arial" w:hAnsi="Arial" w:cs="Arial"/>
      <w:snapToGrid w:val="0"/>
      <w:color w:val="000000"/>
      <w:sz w:val="18"/>
      <w:szCs w:val="18"/>
      <w:lang w:eastAsia="en-US"/>
    </w:rPr>
  </w:style>
  <w:style w:type="character" w:customStyle="1" w:styleId="17">
    <w:name w:val="批注框文本 Char"/>
    <w:basedOn w:val="11"/>
    <w:link w:val="7"/>
    <w:qFormat/>
    <w:uiPriority w:val="0"/>
    <w:rPr>
      <w:rFonts w:ascii="Arial" w:hAnsi="Arial" w:cs="Arial"/>
      <w:snapToGrid w:val="0"/>
      <w:color w:val="000000"/>
      <w:sz w:val="18"/>
      <w:szCs w:val="18"/>
      <w:lang w:eastAsia="en-US"/>
    </w:rPr>
  </w:style>
  <w:style w:type="paragraph" w:styleId="18">
    <w:name w:val="List Paragraph"/>
    <w:basedOn w:val="1"/>
    <w:qFormat/>
    <w:uiPriority w:val="34"/>
    <w:pPr>
      <w:ind w:firstLine="420" w:firstLineChars="200"/>
    </w:pPr>
  </w:style>
  <w:style w:type="character" w:customStyle="1" w:styleId="19">
    <w:name w:val="font91"/>
    <w:basedOn w:val="11"/>
    <w:qFormat/>
    <w:uiPriority w:val="0"/>
    <w:rPr>
      <w:rFonts w:hint="eastAsia" w:ascii="等线" w:hAnsi="等线" w:eastAsia="等线" w:cs="等线"/>
      <w:b/>
      <w:bCs/>
      <w:color w:val="000000"/>
      <w:sz w:val="24"/>
      <w:szCs w:val="24"/>
      <w:u w:val="none"/>
    </w:rPr>
  </w:style>
  <w:style w:type="character" w:customStyle="1" w:styleId="20">
    <w:name w:val="font61"/>
    <w:basedOn w:val="11"/>
    <w:qFormat/>
    <w:uiPriority w:val="0"/>
    <w:rPr>
      <w:rFonts w:hint="eastAsia" w:ascii="等线" w:hAnsi="等线" w:eastAsia="等线" w:cs="等线"/>
      <w:color w:val="000000"/>
      <w:sz w:val="24"/>
      <w:szCs w:val="24"/>
      <w:u w:val="none"/>
    </w:rPr>
  </w:style>
  <w:style w:type="character" w:customStyle="1" w:styleId="21">
    <w:name w:val="font101"/>
    <w:basedOn w:val="11"/>
    <w:qFormat/>
    <w:uiPriority w:val="0"/>
    <w:rPr>
      <w:rFonts w:hint="eastAsia" w:ascii="等线" w:hAnsi="等线" w:eastAsia="等线" w:cs="等线"/>
      <w:b/>
      <w:bCs/>
      <w:color w:val="FF0000"/>
      <w:sz w:val="24"/>
      <w:szCs w:val="24"/>
      <w:u w:val="none"/>
    </w:rPr>
  </w:style>
  <w:style w:type="paragraph" w:customStyle="1" w:styleId="22">
    <w:name w:val="方案正文"/>
    <w:qFormat/>
    <w:uiPriority w:val="0"/>
    <w:pPr>
      <w:tabs>
        <w:tab w:val="left" w:pos="420"/>
      </w:tabs>
      <w:adjustRightInd w:val="0"/>
      <w:snapToGrid w:val="0"/>
      <w:spacing w:beforeLines="150" w:afterLines="50" w:line="300" w:lineRule="auto"/>
      <w:ind w:firstLine="480" w:firstLineChars="200"/>
    </w:pPr>
    <w:rPr>
      <w:rFonts w:ascii="宋体" w:hAnsi="宋体" w:eastAsia="宋体" w:cs="宋体"/>
      <w:kern w:val="2"/>
      <w:sz w:val="24"/>
      <w:szCs w:val="28"/>
      <w:lang w:val="en-US" w:eastAsia="zh-CN" w:bidi="ar-SA"/>
    </w:rPr>
  </w:style>
  <w:style w:type="character" w:customStyle="1" w:styleId="23">
    <w:name w:val="font41"/>
    <w:qFormat/>
    <w:uiPriority w:val="0"/>
    <w:rPr>
      <w:rFonts w:ascii="宋体" w:hAnsi="宋体" w:eastAsia="宋体" w:cs="宋体"/>
      <w:b/>
      <w:bCs/>
      <w:color w:val="000000"/>
      <w:sz w:val="20"/>
      <w:szCs w:val="20"/>
      <w:u w:val="none"/>
    </w:rPr>
  </w:style>
  <w:style w:type="character" w:customStyle="1" w:styleId="24">
    <w:name w:val="font51"/>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23</Pages>
  <Words>10735</Words>
  <Characters>12814</Characters>
  <Lines>95</Lines>
  <Paragraphs>26</Paragraphs>
  <TotalTime>2</TotalTime>
  <ScaleCrop>false</ScaleCrop>
  <LinksUpToDate>false</LinksUpToDate>
  <CharactersWithSpaces>13044</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2024-03-15T19:12:00Z</dcterms:created>
  <dc:creator>Cindy</dc:creator>
  <cp:lastModifiedBy>user</cp:lastModifiedBy>
  <dcterms:modified xsi:type="dcterms:W3CDTF">2024-09-09T10:18:44Z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C0492445296942529030D11DF0A8420C_13</vt:lpwstr>
  </property>
</Properties>
</file>