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7FA10">
      <w:pPr>
        <w:ind w:firstLine="482"/>
        <w:jc w:val="center"/>
        <w:rPr>
          <w:rFonts w:hint="eastAsia"/>
          <w:b/>
          <w:bCs/>
        </w:rPr>
      </w:pPr>
      <w:bookmarkStart w:id="0" w:name="_Toc63785461"/>
    </w:p>
    <w:p w14:paraId="65A11C5D">
      <w:pPr>
        <w:pStyle w:val="2"/>
        <w:rPr>
          <w:rFonts w:hint="eastAsia"/>
        </w:rPr>
      </w:pPr>
      <w:r>
        <w:rPr>
          <w:rFonts w:hint="eastAsia"/>
        </w:rPr>
        <w:t>项目概况</w:t>
      </w:r>
      <w:bookmarkEnd w:id="0"/>
    </w:p>
    <w:p w14:paraId="70CA12D8">
      <w:pPr>
        <w:rPr>
          <w:rFonts w:hint="eastAsia"/>
        </w:rPr>
      </w:pPr>
      <w:r>
        <w:rPr>
          <w:rFonts w:hint="eastAsia"/>
        </w:rPr>
        <w:t>嘉定区人民检察院驻所检察室是人民检察院依法在监管场所派驻的检察机构，承担着多项重要职能。其主要职能包括：对看守所执行刑罚活动和监管改造活动是否合法实行监督，确保刑事诉讼活动的顺利进行和刑事判决的正确执行；对在押犯罪嫌疑人、被告人羁押期限是否合法进行监督，防止超期羁押现象的发生；保障在押人员的合法权益，通过谈心谈话、处理申诉控告等工作，及时了解和解决在押人员的合理诉求；对看守所的安全防范工作进行检查，发现不安全因素并督促消除隐患，维护监管场所的安全稳定等职能。</w:t>
      </w:r>
    </w:p>
    <w:p w14:paraId="1341DA5D">
      <w:pPr>
        <w:rPr>
          <w:rFonts w:hint="eastAsia"/>
        </w:rPr>
      </w:pPr>
      <w:r>
        <w:rPr>
          <w:rFonts w:hint="eastAsia"/>
        </w:rPr>
        <w:t>随着看守所视频设备的增补，后端存储需要按照存储管理要求进行对应扩容，通过新建后端云存储集中存储以及增加流媒体转发服务器，驻所检察室能够确保看守所的监管工作依法、规范、文明进行，保障在押人员的合法权益，维护看守所的监管秩序和安全稳定</w:t>
      </w:r>
      <w:r>
        <w:t>。</w:t>
      </w:r>
    </w:p>
    <w:p w14:paraId="6062D8DB">
      <w:pPr>
        <w:rPr>
          <w:rFonts w:hint="eastAsia"/>
          <w:color w:val="FF0000"/>
        </w:rPr>
      </w:pPr>
      <w:r>
        <w:rPr>
          <w:color w:val="FF0000"/>
        </w:rPr>
        <w:t>是否按信创要求建设：</w:t>
      </w:r>
      <w:r>
        <w:rPr>
          <w:rFonts w:hint="eastAsia"/>
          <w:color w:val="FF0000"/>
        </w:rPr>
        <w:t>否</w:t>
      </w:r>
    </w:p>
    <w:p w14:paraId="4B2636CE">
      <w:pPr>
        <w:pStyle w:val="2"/>
        <w:rPr>
          <w:rFonts w:hint="eastAsia"/>
        </w:rPr>
      </w:pPr>
      <w:bookmarkStart w:id="1" w:name="_Toc47536272"/>
      <w:bookmarkEnd w:id="1"/>
      <w:bookmarkStart w:id="2" w:name="_Toc47532891"/>
      <w:bookmarkEnd w:id="2"/>
      <w:bookmarkStart w:id="3" w:name="_Toc47533256"/>
      <w:bookmarkEnd w:id="3"/>
      <w:bookmarkStart w:id="4" w:name="_Toc47532255"/>
      <w:bookmarkEnd w:id="4"/>
      <w:bookmarkStart w:id="5" w:name="_Toc47536644"/>
      <w:bookmarkEnd w:id="5"/>
      <w:bookmarkStart w:id="6" w:name="_Toc47537134"/>
      <w:bookmarkEnd w:id="6"/>
      <w:bookmarkStart w:id="7" w:name="_Toc47539070"/>
      <w:bookmarkEnd w:id="7"/>
      <w:bookmarkStart w:id="8" w:name="_Toc47531634"/>
      <w:bookmarkEnd w:id="8"/>
      <w:bookmarkStart w:id="9" w:name="_Toc48223882"/>
      <w:bookmarkStart w:id="10" w:name="_Toc63785463"/>
      <w:r>
        <w:rPr>
          <w:rFonts w:hint="eastAsia"/>
        </w:rPr>
        <w:t>建设目标</w:t>
      </w:r>
      <w:bookmarkEnd w:id="9"/>
      <w:bookmarkEnd w:id="10"/>
    </w:p>
    <w:p w14:paraId="1411503C">
      <w:pPr>
        <w:rPr>
          <w:rFonts w:hint="eastAsia"/>
          <w:bCs/>
        </w:rPr>
      </w:pPr>
      <w:r>
        <w:rPr>
          <w:rFonts w:hint="eastAsia"/>
          <w:bCs/>
        </w:rPr>
        <w:t>按照检察院驻所的现状及工作职责特点，建设一套贴合用户需求的视频存储平台具有重要意义。该平台能够辅助检察院驻点人员更高效地履行监督职责，通过对看守所执行刑罚活动和监管改造活动的视频监控，及时发现是否存在违法情况，并对发现的违法问题依法监督看守所予以纠正。同时，借助视频存储平台，可以更便捷地分析看守所安全防范工作的状况，及时发现不安全因素，并向看守所提出针对性的检察建议，督促其消除隐患。此外，该平台还能有效解决目前在各分控中心视频管理平台调阅前端摄像机图像出现卡顿的现象，提高视频调阅的流畅性和效率，从而更好地保障驻所检察工作的顺利开展。</w:t>
      </w:r>
    </w:p>
    <w:p w14:paraId="773FC7A3">
      <w:pPr>
        <w:rPr>
          <w:rFonts w:hint="eastAsia"/>
          <w:bCs/>
        </w:rPr>
      </w:pPr>
    </w:p>
    <w:p w14:paraId="64DAC11B">
      <w:pPr>
        <w:pStyle w:val="2"/>
        <w:rPr>
          <w:rFonts w:hint="eastAsia"/>
        </w:rPr>
      </w:pPr>
      <w:bookmarkStart w:id="11" w:name="_Toc47532923"/>
      <w:bookmarkEnd w:id="11"/>
      <w:bookmarkStart w:id="12" w:name="_Toc47536676"/>
      <w:bookmarkEnd w:id="12"/>
      <w:bookmarkStart w:id="13" w:name="_Toc47537166"/>
      <w:bookmarkEnd w:id="13"/>
      <w:bookmarkStart w:id="14" w:name="_Toc47536304"/>
      <w:bookmarkEnd w:id="14"/>
      <w:bookmarkStart w:id="15" w:name="_Toc47539102"/>
      <w:bookmarkEnd w:id="15"/>
      <w:bookmarkStart w:id="16" w:name="_Toc47533288"/>
      <w:bookmarkEnd w:id="16"/>
      <w:r>
        <w:rPr>
          <w:rFonts w:hint="eastAsia"/>
        </w:rPr>
        <w:t>项目建设内容</w:t>
      </w:r>
    </w:p>
    <w:p w14:paraId="372F239E">
      <w:pPr>
        <w:rPr>
          <w:rFonts w:hint="eastAsia"/>
        </w:rPr>
      </w:pPr>
      <w:r>
        <w:rPr>
          <w:rFonts w:hint="eastAsia"/>
        </w:rPr>
        <w:t xml:space="preserve"> 1.云存储设备及相关配套建设：建设一套云存储设备进行驻所监控存储扩容，包括6台视频云存储设备、1台交换机、1套视频云存储管理软件以及配套的授权。</w:t>
      </w:r>
    </w:p>
    <w:p w14:paraId="26763313">
      <w:pPr>
        <w:rPr>
          <w:rFonts w:hint="eastAsia"/>
        </w:rPr>
      </w:pPr>
      <w:r>
        <w:rPr>
          <w:rFonts w:hint="eastAsia"/>
        </w:rPr>
        <w:t xml:space="preserve">     （1）与现有系统对接适配：确保视频云存储设备能够识别和兼容看守所现有的监控摄像头、录像格式等，与现有监控系统前端不同品牌、型号的摄像头以及不同格式的监控视频实现无缝对接，将看守所内既有的监控录像完整、准确地迁移到新的云存储设备中，并保证数据的一致性和完整性。视频云存储管理软件需提供开放的接口，以便与现有不同品牌、型号的的监控存储系统进行深度集成，实现统一的管理和监控。</w:t>
      </w:r>
    </w:p>
    <w:p w14:paraId="1F922F1B">
      <w:pPr>
        <w:rPr>
          <w:rFonts w:hint="eastAsia"/>
        </w:rPr>
      </w:pPr>
      <w:r>
        <w:rPr>
          <w:rFonts w:hint="eastAsia"/>
        </w:rPr>
        <w:t xml:space="preserve">     （2）与外部系统对接适配：按照看守所视频监控系统的接口要求和通信协议，将云存储设备与之进行对接，确保能够实时接收和存储看守所视频监控系统的图像数据，并且满足其性能指标要求，如数据传输的稳定性、存储的可靠性等，以保障检察官和办案人员可以方便地存储及查询数据。</w:t>
      </w:r>
    </w:p>
    <w:p w14:paraId="4625D20F">
      <w:pPr>
        <w:rPr>
          <w:rFonts w:hint="eastAsia"/>
        </w:rPr>
      </w:pPr>
      <w:r>
        <w:rPr>
          <w:rFonts w:hint="eastAsia"/>
        </w:rPr>
        <w:t xml:space="preserve">  2.流媒体转发服务器建设：增加2台流媒体转发服务器。</w:t>
      </w:r>
    </w:p>
    <w:p w14:paraId="33F86C95">
      <w:pPr>
        <w:rPr>
          <w:rFonts w:hint="eastAsia"/>
        </w:rPr>
      </w:pPr>
      <w:r>
        <w:rPr>
          <w:rFonts w:hint="eastAsia"/>
        </w:rPr>
        <w:t xml:space="preserve">    （1）与现有系统对接适配：流媒体转发服务器需与看守所现有的视频管理平台进行适配，能够接收前端不同品牌、型号的摄像机传输过来的视频流，并进行高效的转发和处理，解决目前在各分控中心视频管理平台调阅不同品牌、型号的前端摄像机图像出现卡顿的现象，提升系统的整体流畅性和稳定性。</w:t>
      </w:r>
    </w:p>
    <w:p w14:paraId="5C6A4F84">
      <w:pPr>
        <w:rPr>
          <w:rFonts w:hint="eastAsia"/>
        </w:rPr>
      </w:pPr>
      <w:r>
        <w:rPr>
          <w:rFonts w:hint="eastAsia"/>
        </w:rPr>
        <w:t xml:space="preserve">     （2）与外部系统对接适配：确保流媒体转发服务器具备良好的兼容性，能够与外部系统如看守所的其他相关业务系统进行对接，在需要时可以为这些系统提供流畅的视频数据支持，同时要满足每个外部系统对于视频质量和传输速度等性能指标的不同管理要求，不影响业务平台的正常运行。</w:t>
      </w:r>
    </w:p>
    <w:p w14:paraId="75796E6A">
      <w:pPr>
        <w:rPr>
          <w:rFonts w:hint="eastAsia"/>
        </w:rPr>
      </w:pPr>
      <w:r>
        <w:rPr>
          <w:rFonts w:hint="eastAsia"/>
        </w:rPr>
        <w:t xml:space="preserve">  3. 系统对接与适配的保障措施 :</w:t>
      </w:r>
    </w:p>
    <w:p w14:paraId="4E8DD530">
      <w:pPr>
        <w:rPr>
          <w:rFonts w:hint="eastAsia"/>
        </w:rPr>
      </w:pPr>
      <w:r>
        <w:rPr>
          <w:rFonts w:hint="eastAsia"/>
        </w:rPr>
        <w:t xml:space="preserve">     （1）接口与协议适配：所有新增设备和系统均需支持标准的通信协议和接口，如 ONVIF、GB/T28181 等，以确保与现有系统和外部系统能够进行有效的通信和数据交互。对于不支持标准协议的设备或系统，应从原制造商处获取接口协议（投标人自行负责），并根据实际情况进行接口协议的二次开发，实现协议的兼容和转换。</w:t>
      </w:r>
    </w:p>
    <w:p w14:paraId="323875DE">
      <w:pPr>
        <w:rPr>
          <w:rFonts w:hint="eastAsia"/>
        </w:rPr>
      </w:pPr>
      <w:r>
        <w:rPr>
          <w:rFonts w:hint="eastAsia"/>
        </w:rPr>
        <w:t>（2）数据格式转换与处理：考虑到不同系统间的数据格式可能存在差异，建设相应的数据格式转换模块，能够自动识别和转换不同来源的数据格式，使其符合统一的存储和管理要求，需要重点解决在看守所端和区检察院端通过不同平台调用视频时产生的卡段现象，保证数据在各个系统之间的顺畅流通和共享。</w:t>
      </w:r>
    </w:p>
    <w:p w14:paraId="3B0EA0E9">
      <w:pPr>
        <w:rPr>
          <w:rFonts w:hint="eastAsia"/>
        </w:rPr>
      </w:pPr>
      <w:r>
        <w:rPr>
          <w:rFonts w:hint="eastAsia"/>
        </w:rPr>
        <w:t>投标人应在投标前进行现场踏勘，了解不同系统的数据格式，传输协议等信息。</w:t>
      </w:r>
    </w:p>
    <w:p w14:paraId="3B3FEDA0">
      <w:pPr>
        <w:rPr>
          <w:rFonts w:hint="eastAsia"/>
        </w:rPr>
      </w:pPr>
      <w:r>
        <w:rPr>
          <w:rFonts w:hint="eastAsia"/>
        </w:rPr>
        <w:t xml:space="preserve">    （3）系统联合调试与测试：项目实施方需了解公安网、看守所视频网络及检察院视频网络架构关系，在项目实施过程中，组织相关各方进行系统联合调试和测试，重点针对与现有系统和外部系统的对接点进行详细的测试和验证，确保数据传输的准确性、完整性和实时性，以及系统的稳定性和可靠性。通过模拟各种实际应用场景和负载情况进行性能测试，对发现的问题及时进行优化和调整，以满足项目要求的各项性能指标。</w:t>
      </w:r>
    </w:p>
    <w:p w14:paraId="1E8BEAF1">
      <w:pPr>
        <w:rPr>
          <w:rFonts w:hint="eastAsia"/>
        </w:rPr>
      </w:pPr>
      <w:r>
        <w:rPr>
          <w:rFonts w:hint="eastAsia"/>
        </w:rPr>
        <w:t>通过以上建设内容，嘉定区检察院驻所办公室将可对所内视频进行集中管理和回放抽查，维护监管场所的持续安全稳定，对看守所执法、收押、羁押、出所等办案活动是否符合有关法律规定进行检察，同时实现与现有系统和外部系统的高效对接和适配，保障整个监控存储系统的稳定、可靠和高效运行。</w:t>
      </w:r>
    </w:p>
    <w:p w14:paraId="78C0F4E4">
      <w:pPr>
        <w:ind w:firstLine="482"/>
        <w:rPr>
          <w:rFonts w:hint="eastAsia"/>
          <w:b/>
        </w:rPr>
      </w:pPr>
      <w:r>
        <w:rPr>
          <w:rFonts w:hint="eastAsia"/>
          <w:b/>
        </w:rPr>
        <w:t>1、硬件购置清单（示例）：</w:t>
      </w:r>
    </w:p>
    <w:tbl>
      <w:tblPr>
        <w:tblStyle w:val="7"/>
        <w:tblW w:w="0" w:type="auto"/>
        <w:jc w:val="center"/>
        <w:tblLayout w:type="autofit"/>
        <w:tblCellMar>
          <w:top w:w="0" w:type="dxa"/>
          <w:left w:w="108" w:type="dxa"/>
          <w:bottom w:w="0" w:type="dxa"/>
          <w:right w:w="108" w:type="dxa"/>
        </w:tblCellMar>
      </w:tblPr>
      <w:tblGrid>
        <w:gridCol w:w="658"/>
        <w:gridCol w:w="670"/>
        <w:gridCol w:w="684"/>
        <w:gridCol w:w="5628"/>
        <w:gridCol w:w="444"/>
        <w:gridCol w:w="444"/>
      </w:tblGrid>
      <w:tr w14:paraId="6C20E6ED">
        <w:tblPrEx>
          <w:tblCellMar>
            <w:top w:w="0" w:type="dxa"/>
            <w:left w:w="108" w:type="dxa"/>
            <w:bottom w:w="0" w:type="dxa"/>
            <w:right w:w="108" w:type="dxa"/>
          </w:tblCellMar>
        </w:tblPrEx>
        <w:trPr>
          <w:trHeight w:val="270" w:hRule="atLeast"/>
          <w:jc w:val="center"/>
        </w:trPr>
        <w:tc>
          <w:tcPr>
            <w:tcW w:w="0" w:type="auto"/>
            <w:tcBorders>
              <w:top w:val="single" w:color="auto" w:sz="4" w:space="0"/>
              <w:left w:val="single" w:color="auto" w:sz="4" w:space="0"/>
              <w:bottom w:val="single" w:color="auto" w:sz="4" w:space="0"/>
              <w:right w:val="single" w:color="auto" w:sz="4" w:space="0"/>
            </w:tcBorders>
            <w:shd w:val="clear" w:color="000000" w:fill="F3F8FC"/>
            <w:noWrap/>
            <w:vAlign w:val="center"/>
          </w:tcPr>
          <w:p w14:paraId="1D7FCAC3">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序号</w:t>
            </w:r>
          </w:p>
        </w:tc>
        <w:tc>
          <w:tcPr>
            <w:tcW w:w="0" w:type="auto"/>
            <w:tcBorders>
              <w:top w:val="single" w:color="auto" w:sz="4" w:space="0"/>
              <w:left w:val="nil"/>
              <w:bottom w:val="single" w:color="auto" w:sz="4" w:space="0"/>
              <w:right w:val="single" w:color="auto" w:sz="4" w:space="0"/>
            </w:tcBorders>
            <w:shd w:val="clear" w:color="000000" w:fill="F3F8FC"/>
            <w:noWrap/>
            <w:vAlign w:val="center"/>
          </w:tcPr>
          <w:p w14:paraId="4A925F19">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名称</w:t>
            </w:r>
          </w:p>
        </w:tc>
        <w:tc>
          <w:tcPr>
            <w:tcW w:w="0" w:type="auto"/>
            <w:tcBorders>
              <w:top w:val="single" w:color="auto" w:sz="4" w:space="0"/>
              <w:left w:val="nil"/>
              <w:bottom w:val="single" w:color="auto" w:sz="4" w:space="0"/>
              <w:right w:val="single" w:color="auto" w:sz="4" w:space="0"/>
            </w:tcBorders>
            <w:shd w:val="clear" w:color="000000" w:fill="F3F8FC"/>
            <w:noWrap/>
            <w:vAlign w:val="center"/>
          </w:tcPr>
          <w:p w14:paraId="6C572E20">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类别</w:t>
            </w:r>
          </w:p>
        </w:tc>
        <w:tc>
          <w:tcPr>
            <w:tcW w:w="0" w:type="auto"/>
            <w:tcBorders>
              <w:top w:val="single" w:color="auto" w:sz="4" w:space="0"/>
              <w:left w:val="nil"/>
              <w:bottom w:val="single" w:color="auto" w:sz="4" w:space="0"/>
              <w:right w:val="single" w:color="auto" w:sz="4" w:space="0"/>
            </w:tcBorders>
            <w:shd w:val="clear" w:color="000000" w:fill="F3F8FC"/>
            <w:vAlign w:val="center"/>
          </w:tcPr>
          <w:p w14:paraId="67917EFA">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配置要求</w:t>
            </w:r>
          </w:p>
        </w:tc>
        <w:tc>
          <w:tcPr>
            <w:tcW w:w="0" w:type="auto"/>
            <w:tcBorders>
              <w:top w:val="single" w:color="auto" w:sz="4" w:space="0"/>
              <w:left w:val="nil"/>
              <w:bottom w:val="single" w:color="auto" w:sz="4" w:space="0"/>
              <w:right w:val="single" w:color="auto" w:sz="4" w:space="0"/>
            </w:tcBorders>
            <w:shd w:val="clear" w:color="000000" w:fill="F3F8FC"/>
            <w:vAlign w:val="center"/>
          </w:tcPr>
          <w:p w14:paraId="53C138AD">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数量</w:t>
            </w:r>
          </w:p>
        </w:tc>
        <w:tc>
          <w:tcPr>
            <w:tcW w:w="0" w:type="auto"/>
            <w:tcBorders>
              <w:top w:val="single" w:color="auto" w:sz="4" w:space="0"/>
              <w:left w:val="nil"/>
              <w:bottom w:val="single" w:color="auto" w:sz="4" w:space="0"/>
              <w:right w:val="single" w:color="auto" w:sz="4" w:space="0"/>
            </w:tcBorders>
            <w:shd w:val="clear" w:color="000000" w:fill="F3F8FC"/>
            <w:vAlign w:val="center"/>
          </w:tcPr>
          <w:p w14:paraId="36A8285A">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单位</w:t>
            </w:r>
          </w:p>
        </w:tc>
      </w:tr>
      <w:tr w14:paraId="3CA63BCD">
        <w:tblPrEx>
          <w:tblCellMar>
            <w:top w:w="0" w:type="dxa"/>
            <w:left w:w="108" w:type="dxa"/>
            <w:bottom w:w="0" w:type="dxa"/>
            <w:right w:w="108" w:type="dxa"/>
          </w:tblCellMar>
        </w:tblPrEx>
        <w:trPr>
          <w:trHeight w:val="11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547F0F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0" w:type="auto"/>
            <w:tcBorders>
              <w:top w:val="single" w:color="auto" w:sz="4" w:space="0"/>
              <w:left w:val="nil"/>
              <w:bottom w:val="single" w:color="auto" w:sz="4" w:space="0"/>
              <w:right w:val="single" w:color="auto" w:sz="4" w:space="0"/>
            </w:tcBorders>
            <w:shd w:val="clear" w:color="auto" w:fill="FFFFFF"/>
            <w:vAlign w:val="center"/>
          </w:tcPr>
          <w:p w14:paraId="73F3BF5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存储设备</w:t>
            </w:r>
          </w:p>
        </w:tc>
        <w:tc>
          <w:tcPr>
            <w:tcW w:w="0" w:type="auto"/>
            <w:tcBorders>
              <w:top w:val="single" w:color="auto" w:sz="4" w:space="0"/>
              <w:left w:val="nil"/>
              <w:bottom w:val="single" w:color="auto" w:sz="4" w:space="0"/>
              <w:right w:val="single" w:color="auto" w:sz="4" w:space="0"/>
            </w:tcBorders>
            <w:shd w:val="clear" w:color="auto" w:fill="FFFFFF"/>
            <w:vAlign w:val="center"/>
          </w:tcPr>
          <w:p w14:paraId="690072B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网络存储设备</w:t>
            </w:r>
          </w:p>
        </w:tc>
        <w:tc>
          <w:tcPr>
            <w:tcW w:w="0" w:type="auto"/>
            <w:tcBorders>
              <w:top w:val="single" w:color="auto" w:sz="4" w:space="0"/>
              <w:left w:val="nil"/>
              <w:bottom w:val="single" w:color="auto" w:sz="4" w:space="0"/>
              <w:right w:val="single" w:color="auto" w:sz="4" w:space="0"/>
            </w:tcBorders>
            <w:shd w:val="clear" w:color="auto" w:fill="FFFFFF"/>
            <w:vAlign w:val="center"/>
          </w:tcPr>
          <w:p w14:paraId="513E28C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1、处理器：≥1颗64位多核</w:t>
            </w:r>
          </w:p>
          <w:p w14:paraId="58B03B8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2、系统盘：≥1×480GB SSD</w:t>
            </w:r>
          </w:p>
          <w:p w14:paraId="7BE7A77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3、系统内存：≥32GB（可扩展至128GB）</w:t>
            </w:r>
          </w:p>
          <w:p w14:paraId="010F834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4、存储容量：≥16T*26块</w:t>
            </w:r>
          </w:p>
          <w:p w14:paraId="4B2B08F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5、网络接口：≥2个千兆数据网口，≥2个万兆光口，≥1个千兆管理口</w:t>
            </w:r>
          </w:p>
          <w:p w14:paraId="4D04AA7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6、其他接口：≥1×COM，≥2×USB2.0，≥2×USB3.0，≥1×VGA，≥1×IPMI</w:t>
            </w:r>
          </w:p>
          <w:p w14:paraId="470CE41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7、具有36块硬盘热插拔插槽；支持硬盘热插拔设备在读写数据时，热插拔设备内的任意块硬盘，设备正常运行不宕机，硬盘不损坏，数据不丢失，业务不中断。</w:t>
            </w:r>
          </w:p>
          <w:p w14:paraId="5496EAB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8、可接入2T/3T/4T/6T/8T/10T/12T/14T/16T/18T/20T/25T/26T SATA/SAS硬盘；支持NL-SAS 硬盘、HDD硬盘、SSD硬盘、氦气硬盘、空气硬盘；</w:t>
            </w:r>
          </w:p>
        </w:tc>
        <w:tc>
          <w:tcPr>
            <w:tcW w:w="0" w:type="auto"/>
            <w:tcBorders>
              <w:top w:val="single" w:color="auto" w:sz="4" w:space="0"/>
              <w:left w:val="nil"/>
              <w:bottom w:val="single" w:color="auto" w:sz="4" w:space="0"/>
              <w:right w:val="single" w:color="auto" w:sz="4" w:space="0"/>
            </w:tcBorders>
            <w:shd w:val="clear" w:color="auto" w:fill="FFFFFF"/>
            <w:vAlign w:val="center"/>
          </w:tcPr>
          <w:p w14:paraId="3CB68C2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w:t>
            </w:r>
          </w:p>
        </w:tc>
        <w:tc>
          <w:tcPr>
            <w:tcW w:w="0" w:type="auto"/>
            <w:tcBorders>
              <w:top w:val="single" w:color="auto" w:sz="4" w:space="0"/>
              <w:left w:val="nil"/>
              <w:bottom w:val="single" w:color="auto" w:sz="4" w:space="0"/>
              <w:right w:val="single" w:color="auto" w:sz="4" w:space="0"/>
            </w:tcBorders>
            <w:shd w:val="clear" w:color="auto" w:fill="FFFFFF"/>
            <w:vAlign w:val="center"/>
          </w:tcPr>
          <w:p w14:paraId="422C683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台</w:t>
            </w:r>
          </w:p>
        </w:tc>
      </w:tr>
      <w:tr w14:paraId="0C1B2F56">
        <w:tblPrEx>
          <w:tblCellMar>
            <w:top w:w="0" w:type="dxa"/>
            <w:left w:w="108" w:type="dxa"/>
            <w:bottom w:w="0" w:type="dxa"/>
            <w:right w:w="108" w:type="dxa"/>
          </w:tblCellMar>
        </w:tblPrEx>
        <w:trPr>
          <w:trHeight w:val="11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051080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0" w:type="auto"/>
            <w:tcBorders>
              <w:top w:val="single" w:color="auto" w:sz="4" w:space="0"/>
              <w:left w:val="nil"/>
              <w:bottom w:val="single" w:color="auto" w:sz="4" w:space="0"/>
              <w:right w:val="single" w:color="auto" w:sz="4" w:space="0"/>
            </w:tcBorders>
            <w:shd w:val="clear" w:color="auto" w:fill="FFFFFF"/>
            <w:vAlign w:val="center"/>
          </w:tcPr>
          <w:p w14:paraId="4FAEE01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网络设备</w:t>
            </w:r>
          </w:p>
        </w:tc>
        <w:tc>
          <w:tcPr>
            <w:tcW w:w="0" w:type="auto"/>
            <w:tcBorders>
              <w:top w:val="single" w:color="auto" w:sz="4" w:space="0"/>
              <w:left w:val="nil"/>
              <w:bottom w:val="single" w:color="auto" w:sz="4" w:space="0"/>
              <w:right w:val="single" w:color="auto" w:sz="4" w:space="0"/>
            </w:tcBorders>
            <w:shd w:val="clear" w:color="auto" w:fill="FFFFFF"/>
            <w:vAlign w:val="center"/>
          </w:tcPr>
          <w:p w14:paraId="02D7DED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交换机</w:t>
            </w:r>
          </w:p>
        </w:tc>
        <w:tc>
          <w:tcPr>
            <w:tcW w:w="0" w:type="auto"/>
            <w:tcBorders>
              <w:top w:val="single" w:color="auto" w:sz="4" w:space="0"/>
              <w:left w:val="nil"/>
              <w:bottom w:val="single" w:color="auto" w:sz="4" w:space="0"/>
              <w:right w:val="single" w:color="auto" w:sz="4" w:space="0"/>
            </w:tcBorders>
            <w:shd w:val="clear" w:color="auto" w:fill="FFFFFF"/>
            <w:vAlign w:val="center"/>
          </w:tcPr>
          <w:p w14:paraId="2E8CF46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1、千兆电接口数量≥24，复用的千兆光口数量≥8，非复用万兆光接口数量≥4，支持1个扩展槽位，支持40G（QSFP+）端口</w:t>
            </w:r>
            <w:r>
              <w:rPr>
                <w:rFonts w:hint="eastAsia" w:cs="宋体"/>
                <w:color w:val="000000"/>
                <w:kern w:val="0"/>
                <w:sz w:val="22"/>
                <w:szCs w:val="22"/>
              </w:rPr>
              <w:br w:type="textWrapping"/>
            </w:r>
            <w:r>
              <w:rPr>
                <w:rFonts w:hint="eastAsia" w:cs="宋体"/>
                <w:color w:val="000000"/>
                <w:kern w:val="0"/>
                <w:sz w:val="22"/>
                <w:szCs w:val="22"/>
              </w:rPr>
              <w:t>2、支持独立的console管理串口，≥1个带外管理口</w:t>
            </w:r>
            <w:r>
              <w:rPr>
                <w:rFonts w:hint="eastAsia" w:cs="宋体"/>
                <w:color w:val="000000"/>
                <w:kern w:val="0"/>
                <w:sz w:val="22"/>
                <w:szCs w:val="22"/>
              </w:rPr>
              <w:br w:type="textWrapping"/>
            </w:r>
            <w:r>
              <w:rPr>
                <w:rFonts w:hint="eastAsia" w:cs="宋体"/>
                <w:color w:val="000000"/>
                <w:kern w:val="0"/>
                <w:sz w:val="22"/>
                <w:szCs w:val="22"/>
              </w:rPr>
              <w:t>3、支持USB拷贝文件、MicroUSB登陆设备功能</w:t>
            </w:r>
            <w:r>
              <w:rPr>
                <w:rFonts w:hint="eastAsia" w:cs="宋体"/>
                <w:color w:val="000000"/>
                <w:kern w:val="0"/>
                <w:sz w:val="22"/>
                <w:szCs w:val="22"/>
              </w:rPr>
              <w:br w:type="textWrapping"/>
            </w:r>
            <w:r>
              <w:rPr>
                <w:rFonts w:hint="eastAsia" w:cs="宋体"/>
                <w:color w:val="000000"/>
                <w:kern w:val="0"/>
                <w:sz w:val="22"/>
                <w:szCs w:val="22"/>
              </w:rPr>
              <w:t>5、交换容量：≥756Gbps/7.56Tbps</w:t>
            </w:r>
            <w:r>
              <w:rPr>
                <w:rFonts w:hint="eastAsia" w:cs="宋体"/>
                <w:color w:val="000000"/>
                <w:kern w:val="0"/>
                <w:sz w:val="22"/>
                <w:szCs w:val="22"/>
              </w:rPr>
              <w:br w:type="textWrapping"/>
            </w:r>
            <w:r>
              <w:rPr>
                <w:rFonts w:hint="eastAsia" w:cs="宋体"/>
                <w:color w:val="000000"/>
                <w:kern w:val="0"/>
                <w:sz w:val="22"/>
                <w:szCs w:val="22"/>
              </w:rPr>
              <w:t>6、转发性能：≥222Mpps/396Mpps</w:t>
            </w:r>
          </w:p>
        </w:tc>
        <w:tc>
          <w:tcPr>
            <w:tcW w:w="0" w:type="auto"/>
            <w:tcBorders>
              <w:top w:val="single" w:color="auto" w:sz="4" w:space="0"/>
              <w:left w:val="nil"/>
              <w:bottom w:val="single" w:color="auto" w:sz="4" w:space="0"/>
              <w:right w:val="single" w:color="auto" w:sz="4" w:space="0"/>
            </w:tcBorders>
            <w:shd w:val="clear" w:color="auto" w:fill="FFFFFF"/>
            <w:vAlign w:val="center"/>
          </w:tcPr>
          <w:p w14:paraId="7089483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0" w:type="auto"/>
            <w:tcBorders>
              <w:top w:val="single" w:color="auto" w:sz="4" w:space="0"/>
              <w:left w:val="nil"/>
              <w:bottom w:val="single" w:color="auto" w:sz="4" w:space="0"/>
              <w:right w:val="single" w:color="auto" w:sz="4" w:space="0"/>
            </w:tcBorders>
            <w:shd w:val="clear" w:color="auto" w:fill="FFFFFF"/>
            <w:vAlign w:val="center"/>
          </w:tcPr>
          <w:p w14:paraId="5DA488A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台</w:t>
            </w:r>
          </w:p>
        </w:tc>
      </w:tr>
      <w:tr w14:paraId="51FA47E8">
        <w:tblPrEx>
          <w:tblCellMar>
            <w:top w:w="0" w:type="dxa"/>
            <w:left w:w="108" w:type="dxa"/>
            <w:bottom w:w="0" w:type="dxa"/>
            <w:right w:w="108" w:type="dxa"/>
          </w:tblCellMar>
        </w:tblPrEx>
        <w:trPr>
          <w:trHeight w:val="114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9F3A05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w:t>
            </w:r>
          </w:p>
        </w:tc>
        <w:tc>
          <w:tcPr>
            <w:tcW w:w="0" w:type="auto"/>
            <w:tcBorders>
              <w:top w:val="single" w:color="auto" w:sz="4" w:space="0"/>
              <w:left w:val="nil"/>
              <w:bottom w:val="single" w:color="auto" w:sz="4" w:space="0"/>
              <w:right w:val="single" w:color="auto" w:sz="4" w:space="0"/>
            </w:tcBorders>
            <w:shd w:val="clear" w:color="auto" w:fill="FFFFFF"/>
            <w:vAlign w:val="center"/>
          </w:tcPr>
          <w:p w14:paraId="625B79A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主机</w:t>
            </w:r>
          </w:p>
        </w:tc>
        <w:tc>
          <w:tcPr>
            <w:tcW w:w="0" w:type="auto"/>
            <w:tcBorders>
              <w:top w:val="single" w:color="auto" w:sz="4" w:space="0"/>
              <w:left w:val="nil"/>
              <w:bottom w:val="single" w:color="auto" w:sz="4" w:space="0"/>
              <w:right w:val="single" w:color="auto" w:sz="4" w:space="0"/>
            </w:tcBorders>
            <w:shd w:val="clear" w:color="auto" w:fill="FFFFFF"/>
            <w:vAlign w:val="center"/>
          </w:tcPr>
          <w:p w14:paraId="6A57F20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流媒体服务器</w:t>
            </w:r>
          </w:p>
        </w:tc>
        <w:tc>
          <w:tcPr>
            <w:tcW w:w="0" w:type="auto"/>
            <w:tcBorders>
              <w:top w:val="single" w:color="auto" w:sz="4" w:space="0"/>
              <w:left w:val="nil"/>
              <w:bottom w:val="single" w:color="auto" w:sz="4" w:space="0"/>
              <w:right w:val="single" w:color="auto" w:sz="4" w:space="0"/>
            </w:tcBorders>
            <w:shd w:val="clear" w:color="auto" w:fill="FFFFFF"/>
            <w:vAlign w:val="center"/>
          </w:tcPr>
          <w:p w14:paraId="4AEC22D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1、支持国产化操作系统访问</w:t>
            </w:r>
            <w:r>
              <w:rPr>
                <w:rFonts w:hint="eastAsia" w:cs="宋体"/>
                <w:color w:val="000000"/>
                <w:kern w:val="0"/>
                <w:sz w:val="22"/>
                <w:szCs w:val="22"/>
              </w:rPr>
              <w:br w:type="textWrapping"/>
            </w:r>
            <w:r>
              <w:rPr>
                <w:rFonts w:hint="eastAsia" w:cs="宋体"/>
                <w:color w:val="000000"/>
                <w:kern w:val="0"/>
                <w:sz w:val="22"/>
                <w:szCs w:val="22"/>
              </w:rPr>
              <w:t>2采用 C/S 和 B/S 架构设计，可通过Firefox、Chrome、Edge等浏览器进行配置;</w:t>
            </w:r>
            <w:r>
              <w:rPr>
                <w:rFonts w:hint="eastAsia" w:cs="宋体"/>
                <w:color w:val="000000"/>
                <w:kern w:val="0"/>
                <w:sz w:val="22"/>
                <w:szCs w:val="22"/>
              </w:rPr>
              <w:br w:type="textWrapping"/>
            </w:r>
            <w:r>
              <w:rPr>
                <w:rFonts w:hint="eastAsia" w:cs="宋体"/>
                <w:color w:val="000000"/>
                <w:kern w:val="0"/>
                <w:sz w:val="22"/>
                <w:szCs w:val="22"/>
              </w:rPr>
              <w:t>3、最大支持1024个客户端并发访问</w:t>
            </w:r>
            <w:r>
              <w:rPr>
                <w:rFonts w:hint="eastAsia" w:cs="宋体"/>
                <w:color w:val="000000"/>
                <w:kern w:val="0"/>
                <w:sz w:val="22"/>
                <w:szCs w:val="22"/>
              </w:rPr>
              <w:br w:type="textWrapping"/>
            </w:r>
            <w:r>
              <w:rPr>
                <w:rFonts w:hint="eastAsia" w:cs="宋体"/>
                <w:color w:val="000000"/>
                <w:kern w:val="0"/>
                <w:sz w:val="22"/>
                <w:szCs w:val="22"/>
              </w:rPr>
              <w:t>4、支持 H.264、H.265 等编码格式</w:t>
            </w:r>
            <w:r>
              <w:rPr>
                <w:rFonts w:hint="eastAsia" w:cs="宋体"/>
                <w:color w:val="000000"/>
                <w:kern w:val="0"/>
                <w:sz w:val="22"/>
                <w:szCs w:val="22"/>
              </w:rPr>
              <w:br w:type="textWrapping"/>
            </w:r>
            <w:r>
              <w:rPr>
                <w:rFonts w:hint="eastAsia" w:cs="宋体"/>
                <w:color w:val="000000"/>
                <w:kern w:val="0"/>
                <w:sz w:val="22"/>
                <w:szCs w:val="22"/>
              </w:rPr>
              <w:t>5、图像分辨率支持4K、2K、1080P、960P、720P、D1等主流分辨率</w:t>
            </w:r>
            <w:r>
              <w:rPr>
                <w:rFonts w:hint="eastAsia" w:cs="宋体"/>
                <w:color w:val="000000"/>
                <w:kern w:val="0"/>
                <w:sz w:val="22"/>
                <w:szCs w:val="22"/>
              </w:rPr>
              <w:br w:type="textWrapping"/>
            </w:r>
            <w:r>
              <w:rPr>
                <w:rFonts w:hint="eastAsia" w:cs="宋体"/>
                <w:color w:val="000000"/>
                <w:kern w:val="0"/>
                <w:sz w:val="22"/>
                <w:szCs w:val="22"/>
              </w:rPr>
              <w:t>6、网络协议支持TCP/IP、UDP、RTP/RTCP/RTSP、SNTP、HTTP/HTTPS</w:t>
            </w:r>
            <w:r>
              <w:rPr>
                <w:rFonts w:hint="eastAsia" w:cs="宋体"/>
                <w:color w:val="000000"/>
                <w:kern w:val="0"/>
                <w:sz w:val="22"/>
                <w:szCs w:val="22"/>
              </w:rPr>
              <w:br w:type="textWrapping"/>
            </w:r>
            <w:r>
              <w:rPr>
                <w:rFonts w:hint="eastAsia" w:cs="宋体"/>
                <w:color w:val="000000"/>
                <w:kern w:val="0"/>
                <w:sz w:val="22"/>
                <w:szCs w:val="22"/>
              </w:rPr>
              <w:t>7、支持多种类型的视图配置，可实现对系统视图、共享视图、自定义视图的配置功能。</w:t>
            </w:r>
            <w:r>
              <w:rPr>
                <w:rFonts w:hint="eastAsia" w:cs="宋体"/>
                <w:color w:val="000000"/>
                <w:kern w:val="0"/>
                <w:sz w:val="22"/>
                <w:szCs w:val="22"/>
              </w:rPr>
              <w:br w:type="textWrapping"/>
            </w:r>
            <w:r>
              <w:rPr>
                <w:rFonts w:hint="eastAsia" w:cs="宋体"/>
                <w:color w:val="000000"/>
                <w:kern w:val="0"/>
                <w:sz w:val="22"/>
                <w:szCs w:val="22"/>
              </w:rPr>
              <w:t>8、支持按照日历方式查询录像，日历表能明确显示有无录像的日期和时间段;</w:t>
            </w:r>
            <w:r>
              <w:rPr>
                <w:rFonts w:hint="eastAsia" w:cs="宋体"/>
                <w:color w:val="000000"/>
                <w:kern w:val="0"/>
                <w:sz w:val="22"/>
                <w:szCs w:val="22"/>
              </w:rPr>
              <w:br w:type="textWrapping"/>
            </w:r>
            <w:r>
              <w:rPr>
                <w:rFonts w:hint="eastAsia" w:cs="宋体"/>
                <w:color w:val="000000"/>
                <w:kern w:val="0"/>
                <w:sz w:val="22"/>
                <w:szCs w:val="22"/>
              </w:rPr>
              <w:t>9、支持1、4、9、16、36、64等画面风格播放录像，支持单画面、多画面全屏播放;</w:t>
            </w:r>
            <w:r>
              <w:rPr>
                <w:rFonts w:hint="eastAsia" w:cs="宋体"/>
                <w:color w:val="000000"/>
                <w:kern w:val="0"/>
                <w:sz w:val="22"/>
                <w:szCs w:val="22"/>
              </w:rPr>
              <w:br w:type="textWrapping"/>
            </w:r>
            <w:r>
              <w:rPr>
                <w:rFonts w:hint="eastAsia" w:cs="宋体"/>
                <w:color w:val="000000"/>
                <w:kern w:val="0"/>
                <w:sz w:val="22"/>
                <w:szCs w:val="22"/>
              </w:rPr>
              <w:t>10、支持电视墙设置，支持创建、删除电视墙，电视墙显示风格与实际电视墙保持一致;</w:t>
            </w:r>
            <w:r>
              <w:rPr>
                <w:rFonts w:hint="eastAsia" w:cs="宋体"/>
                <w:color w:val="000000"/>
                <w:kern w:val="0"/>
                <w:sz w:val="22"/>
                <w:szCs w:val="22"/>
              </w:rPr>
              <w:br w:type="textWrapping"/>
            </w:r>
            <w:r>
              <w:rPr>
                <w:rFonts w:hint="eastAsia" w:cs="宋体"/>
                <w:color w:val="000000"/>
                <w:kern w:val="0"/>
                <w:sz w:val="22"/>
                <w:szCs w:val="22"/>
              </w:rPr>
              <w:t>11、▲支持采用WebRTC技术通过网页客户端浏览视频，无需安装任何插件，视频总延时在 300 毫秒以内（需提供检验检测报告并加盖原厂公章）。</w:t>
            </w:r>
            <w:r>
              <w:rPr>
                <w:rFonts w:hint="eastAsia" w:cs="宋体"/>
                <w:color w:val="000000"/>
                <w:kern w:val="0"/>
                <w:sz w:val="22"/>
                <w:szCs w:val="22"/>
              </w:rPr>
              <w:br w:type="textWrapping"/>
            </w:r>
            <w:r>
              <w:rPr>
                <w:rFonts w:hint="eastAsia" w:cs="宋体"/>
                <w:color w:val="000000"/>
                <w:kern w:val="0"/>
                <w:sz w:val="22"/>
                <w:szCs w:val="22"/>
              </w:rPr>
              <w:t>12、▲支持电视墙预案设置，支持1024个预案数，每预案支持128路通道，每通道支持1、4、9、16 等多种画面风格，每通道支持多视频源轮询，轮询间隔可设，支持一键调度预案，支持预案轮切功能，可按照周期时间自动切换预案，图像切换延时小500毫秒;（需提供检测报告或产品说明书或白皮书等有效证明材料）。</w:t>
            </w:r>
            <w:r>
              <w:rPr>
                <w:rFonts w:hint="eastAsia" w:cs="宋体"/>
                <w:color w:val="000000"/>
                <w:kern w:val="0"/>
                <w:sz w:val="22"/>
                <w:szCs w:val="22"/>
              </w:rPr>
              <w:br w:type="textWrapping"/>
            </w:r>
            <w:r>
              <w:rPr>
                <w:rFonts w:hint="eastAsia" w:cs="宋体"/>
                <w:color w:val="000000"/>
                <w:kern w:val="0"/>
                <w:sz w:val="22"/>
                <w:szCs w:val="22"/>
              </w:rPr>
              <w:t>13、▲实时浏览和录像播放的整体延迟小于500毫秒（需提供检测报告或产品说明书或白皮书等有效证明材料）。</w:t>
            </w:r>
            <w:r>
              <w:rPr>
                <w:rFonts w:hint="eastAsia" w:cs="宋体"/>
                <w:color w:val="000000"/>
                <w:kern w:val="0"/>
                <w:sz w:val="22"/>
                <w:szCs w:val="22"/>
              </w:rPr>
              <w:br w:type="textWrapping"/>
            </w:r>
            <w:r>
              <w:rPr>
                <w:rFonts w:hint="eastAsia" w:cs="宋体"/>
                <w:color w:val="000000"/>
                <w:kern w:val="0"/>
                <w:sz w:val="22"/>
                <w:szCs w:val="22"/>
              </w:rPr>
              <w:t>14、▲支持查看任意客户端浏览视频、回放录像的详细信息，包括:目的地接收的协议、IP、端口;转发服务器发送的协议、IP、端口，转发服务器接收的协议IP、端口;视频来源的平台、相机名称、相机 ID，请求状态、码流创建时间。</w:t>
            </w:r>
            <w:r>
              <w:rPr>
                <w:rFonts w:hint="eastAsia" w:cs="宋体"/>
                <w:color w:val="000000"/>
                <w:kern w:val="0"/>
                <w:sz w:val="22"/>
                <w:szCs w:val="22"/>
              </w:rPr>
              <w:br w:type="textWrapping"/>
            </w:r>
            <w:r>
              <w:rPr>
                <w:rFonts w:hint="eastAsia" w:cs="宋体"/>
                <w:color w:val="000000"/>
                <w:kern w:val="0"/>
                <w:sz w:val="22"/>
                <w:szCs w:val="22"/>
              </w:rPr>
              <w:t>15、▲支持多点触控切换图像和 ptz 控制，预置位调用响应时间不高于500毫秒。</w:t>
            </w:r>
          </w:p>
        </w:tc>
        <w:tc>
          <w:tcPr>
            <w:tcW w:w="0" w:type="auto"/>
            <w:tcBorders>
              <w:top w:val="single" w:color="auto" w:sz="4" w:space="0"/>
              <w:left w:val="nil"/>
              <w:bottom w:val="single" w:color="auto" w:sz="4" w:space="0"/>
              <w:right w:val="single" w:color="auto" w:sz="4" w:space="0"/>
            </w:tcBorders>
            <w:shd w:val="clear" w:color="auto" w:fill="FFFFFF"/>
            <w:vAlign w:val="center"/>
          </w:tcPr>
          <w:p w14:paraId="6001BCC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0" w:type="auto"/>
            <w:tcBorders>
              <w:top w:val="single" w:color="auto" w:sz="4" w:space="0"/>
              <w:left w:val="nil"/>
              <w:bottom w:val="single" w:color="auto" w:sz="4" w:space="0"/>
              <w:right w:val="single" w:color="auto" w:sz="4" w:space="0"/>
            </w:tcBorders>
            <w:shd w:val="clear" w:color="auto" w:fill="FFFFFF"/>
            <w:vAlign w:val="center"/>
          </w:tcPr>
          <w:p w14:paraId="3DB4890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台</w:t>
            </w:r>
          </w:p>
        </w:tc>
      </w:tr>
    </w:tbl>
    <w:p w14:paraId="09A5721E">
      <w:pPr>
        <w:ind w:firstLine="482"/>
        <w:rPr>
          <w:rFonts w:hint="eastAsia"/>
          <w:b/>
        </w:rPr>
      </w:pPr>
    </w:p>
    <w:p w14:paraId="2B178C6B">
      <w:pPr>
        <w:ind w:firstLine="482"/>
        <w:rPr>
          <w:rFonts w:hint="eastAsia"/>
          <w:b/>
        </w:rPr>
      </w:pPr>
      <w:r>
        <w:rPr>
          <w:rFonts w:hint="eastAsia"/>
          <w:b/>
        </w:rPr>
        <w:t>2、产品软件购置清单（示例）：</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85"/>
        <w:gridCol w:w="4974"/>
        <w:gridCol w:w="721"/>
        <w:gridCol w:w="721"/>
      </w:tblGrid>
      <w:tr w14:paraId="65CB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shd w:val="clear" w:color="auto" w:fill="auto"/>
            <w:vAlign w:val="center"/>
          </w:tcPr>
          <w:p w14:paraId="41729C18">
            <w:pPr>
              <w:ind w:firstLine="0" w:firstLineChars="0"/>
              <w:jc w:val="center"/>
              <w:rPr>
                <w:rFonts w:hint="eastAsia" w:cs="宋体"/>
                <w:b/>
                <w:bCs/>
                <w:sz w:val="22"/>
                <w:szCs w:val="22"/>
              </w:rPr>
            </w:pPr>
            <w:r>
              <w:rPr>
                <w:rFonts w:hint="eastAsia" w:cs="宋体"/>
                <w:b/>
                <w:bCs/>
                <w:sz w:val="22"/>
                <w:szCs w:val="22"/>
              </w:rPr>
              <w:t>序号</w:t>
            </w:r>
          </w:p>
        </w:tc>
        <w:tc>
          <w:tcPr>
            <w:tcW w:w="812" w:type="pct"/>
            <w:shd w:val="clear" w:color="auto" w:fill="auto"/>
            <w:vAlign w:val="center"/>
          </w:tcPr>
          <w:p w14:paraId="64DB1989">
            <w:pPr>
              <w:ind w:firstLine="0" w:firstLineChars="0"/>
              <w:jc w:val="center"/>
              <w:rPr>
                <w:rFonts w:hint="eastAsia" w:cs="宋体"/>
                <w:b/>
                <w:bCs/>
                <w:sz w:val="22"/>
                <w:szCs w:val="22"/>
              </w:rPr>
            </w:pPr>
            <w:r>
              <w:rPr>
                <w:rFonts w:hint="eastAsia" w:cs="宋体"/>
                <w:b/>
                <w:bCs/>
                <w:sz w:val="22"/>
                <w:szCs w:val="22"/>
              </w:rPr>
              <w:t>软件名称</w:t>
            </w:r>
          </w:p>
        </w:tc>
        <w:tc>
          <w:tcPr>
            <w:tcW w:w="2916" w:type="pct"/>
            <w:shd w:val="clear" w:color="auto" w:fill="auto"/>
            <w:vAlign w:val="center"/>
          </w:tcPr>
          <w:p w14:paraId="446F8E49">
            <w:pPr>
              <w:ind w:firstLine="0" w:firstLineChars="0"/>
              <w:jc w:val="center"/>
              <w:rPr>
                <w:rFonts w:hint="eastAsia" w:cs="宋体"/>
                <w:b/>
                <w:bCs/>
                <w:sz w:val="22"/>
                <w:szCs w:val="22"/>
              </w:rPr>
            </w:pPr>
            <w:r>
              <w:rPr>
                <w:rFonts w:hint="eastAsia" w:cs="宋体"/>
                <w:b/>
                <w:bCs/>
                <w:sz w:val="22"/>
                <w:szCs w:val="22"/>
              </w:rPr>
              <w:t>功能说明</w:t>
            </w:r>
            <w:r>
              <w:rPr>
                <w:rFonts w:cs="宋体"/>
                <w:b/>
                <w:bCs/>
                <w:sz w:val="22"/>
                <w:szCs w:val="22"/>
              </w:rPr>
              <w:t>/配置要求</w:t>
            </w:r>
          </w:p>
        </w:tc>
        <w:tc>
          <w:tcPr>
            <w:tcW w:w="423" w:type="pct"/>
            <w:shd w:val="clear" w:color="auto" w:fill="auto"/>
            <w:vAlign w:val="center"/>
          </w:tcPr>
          <w:p w14:paraId="06B2677B">
            <w:pPr>
              <w:ind w:firstLine="0" w:firstLineChars="0"/>
              <w:jc w:val="center"/>
              <w:rPr>
                <w:rFonts w:hint="eastAsia" w:cs="宋体"/>
                <w:b/>
                <w:bCs/>
                <w:sz w:val="22"/>
                <w:szCs w:val="22"/>
              </w:rPr>
            </w:pPr>
            <w:r>
              <w:rPr>
                <w:rFonts w:hint="eastAsia" w:cs="宋体"/>
                <w:b/>
                <w:bCs/>
                <w:sz w:val="22"/>
                <w:szCs w:val="22"/>
              </w:rPr>
              <w:t>数量</w:t>
            </w:r>
          </w:p>
        </w:tc>
        <w:tc>
          <w:tcPr>
            <w:tcW w:w="423" w:type="pct"/>
            <w:shd w:val="clear" w:color="auto" w:fill="auto"/>
            <w:vAlign w:val="center"/>
          </w:tcPr>
          <w:p w14:paraId="05388ED0">
            <w:pPr>
              <w:ind w:firstLine="0" w:firstLineChars="0"/>
              <w:jc w:val="center"/>
              <w:rPr>
                <w:rFonts w:hint="eastAsia" w:cs="宋体"/>
                <w:b/>
                <w:bCs/>
                <w:sz w:val="22"/>
                <w:szCs w:val="22"/>
              </w:rPr>
            </w:pPr>
            <w:r>
              <w:rPr>
                <w:rFonts w:hint="eastAsia" w:cs="宋体"/>
                <w:b/>
                <w:bCs/>
                <w:sz w:val="22"/>
                <w:szCs w:val="22"/>
              </w:rPr>
              <w:t>单位</w:t>
            </w:r>
          </w:p>
        </w:tc>
      </w:tr>
      <w:tr w14:paraId="0890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shd w:val="clear" w:color="auto" w:fill="auto"/>
            <w:vAlign w:val="center"/>
          </w:tcPr>
          <w:p w14:paraId="4816C0A9">
            <w:pPr>
              <w:ind w:firstLine="0" w:firstLineChars="0"/>
              <w:jc w:val="center"/>
              <w:rPr>
                <w:rFonts w:hint="eastAsia" w:cs="宋体"/>
                <w:sz w:val="22"/>
                <w:szCs w:val="22"/>
              </w:rPr>
            </w:pPr>
            <w:r>
              <w:rPr>
                <w:rFonts w:cs="宋体"/>
                <w:sz w:val="22"/>
                <w:szCs w:val="22"/>
              </w:rPr>
              <w:t>1</w:t>
            </w:r>
          </w:p>
        </w:tc>
        <w:tc>
          <w:tcPr>
            <w:tcW w:w="812" w:type="pct"/>
            <w:shd w:val="clear" w:color="auto" w:fill="auto"/>
            <w:vAlign w:val="center"/>
          </w:tcPr>
          <w:p w14:paraId="2BE9E9DD">
            <w:pPr>
              <w:widowControl/>
              <w:spacing w:line="240" w:lineRule="auto"/>
              <w:ind w:firstLine="0" w:firstLineChars="0"/>
              <w:jc w:val="center"/>
              <w:rPr>
                <w:rFonts w:hint="eastAsia" w:cs="宋体"/>
                <w:sz w:val="22"/>
                <w:szCs w:val="22"/>
              </w:rPr>
            </w:pPr>
            <w:r>
              <w:rPr>
                <w:rFonts w:hint="eastAsia" w:ascii="Tahoma" w:hAnsi="Tahoma" w:cs="Tahoma"/>
                <w:color w:val="000000"/>
                <w:kern w:val="0"/>
                <w:sz w:val="22"/>
                <w:szCs w:val="22"/>
              </w:rPr>
              <w:t>视频云存储管理软件</w:t>
            </w:r>
          </w:p>
        </w:tc>
        <w:tc>
          <w:tcPr>
            <w:tcW w:w="2916" w:type="pct"/>
            <w:shd w:val="clear" w:color="auto" w:fill="auto"/>
            <w:vAlign w:val="center"/>
          </w:tcPr>
          <w:p w14:paraId="47BD8E4A">
            <w:pPr>
              <w:ind w:firstLine="0" w:firstLineChars="0"/>
              <w:jc w:val="center"/>
              <w:rPr>
                <w:rFonts w:hint="eastAsia" w:cs="宋体"/>
                <w:sz w:val="22"/>
                <w:szCs w:val="22"/>
              </w:rPr>
            </w:pPr>
            <w:r>
              <w:rPr>
                <w:rFonts w:hint="eastAsia" w:cs="宋体"/>
                <w:sz w:val="22"/>
                <w:szCs w:val="22"/>
              </w:rPr>
              <w:t>1、包含基础运行模块，集群管理、计划管理、索引管理、负载均衡等功能。</w:t>
            </w:r>
          </w:p>
          <w:p w14:paraId="4E087FE7">
            <w:pPr>
              <w:ind w:firstLine="0" w:firstLineChars="0"/>
              <w:jc w:val="center"/>
              <w:rPr>
                <w:rFonts w:hint="eastAsia" w:cs="宋体"/>
                <w:sz w:val="22"/>
                <w:szCs w:val="22"/>
              </w:rPr>
            </w:pPr>
            <w:r>
              <w:rPr>
                <w:rFonts w:hint="eastAsia" w:cs="宋体"/>
                <w:sz w:val="22"/>
                <w:szCs w:val="22"/>
              </w:rPr>
              <w:t>2、支持视频、图片、对象数据存储，支持跨节点数据安全。</w:t>
            </w:r>
          </w:p>
          <w:p w14:paraId="371FA4A6">
            <w:pPr>
              <w:ind w:firstLine="0" w:firstLineChars="0"/>
              <w:jc w:val="center"/>
              <w:rPr>
                <w:rFonts w:hint="eastAsia" w:cs="宋体"/>
                <w:sz w:val="22"/>
                <w:szCs w:val="22"/>
              </w:rPr>
            </w:pPr>
            <w:r>
              <w:rPr>
                <w:rFonts w:hint="eastAsia" w:cs="宋体"/>
                <w:sz w:val="22"/>
                <w:szCs w:val="22"/>
              </w:rPr>
              <w:t>3、支持智能EC，并支持根据存储资源池设置智能EC策略，包括优先安全级别保障和优先空间利用率保障两种策略。</w:t>
            </w:r>
          </w:p>
          <w:p w14:paraId="53FC4514">
            <w:pPr>
              <w:ind w:firstLine="0" w:firstLineChars="0"/>
              <w:jc w:val="center"/>
              <w:rPr>
                <w:rFonts w:hint="eastAsia" w:cs="宋体"/>
                <w:sz w:val="22"/>
                <w:szCs w:val="22"/>
              </w:rPr>
            </w:pPr>
            <w:r>
              <w:rPr>
                <w:rFonts w:hint="eastAsia" w:cs="宋体"/>
                <w:sz w:val="22"/>
                <w:szCs w:val="22"/>
              </w:rPr>
              <w:t>4、▲支持图片流直存，抓拍图片无需经过任何转发服务器/虚拟机即可实现前端数据直接存储至云存储系统；支持设置资源池自动分流策略，策略包含按图片大小、图片类型(类型包含人脸、人体、车辆、电动车等)。</w:t>
            </w:r>
          </w:p>
          <w:p w14:paraId="0FF2E2C4">
            <w:pPr>
              <w:ind w:firstLine="0" w:firstLineChars="0"/>
              <w:jc w:val="center"/>
              <w:rPr>
                <w:rFonts w:hint="eastAsia" w:cs="宋体"/>
                <w:sz w:val="22"/>
                <w:szCs w:val="22"/>
              </w:rPr>
            </w:pPr>
            <w:r>
              <w:rPr>
                <w:rFonts w:hint="eastAsia" w:cs="宋体"/>
                <w:sz w:val="22"/>
                <w:szCs w:val="22"/>
              </w:rPr>
              <w:t>5、▲系统以流直存模式进行录像、图片数据存储。系统中的实时视频流、抓拍图片无需经过任何转发服务器/虚拟机即可实现数据流直存，视频与图片数据直存后可即存即取。</w:t>
            </w:r>
          </w:p>
          <w:p w14:paraId="73F22C27">
            <w:pPr>
              <w:ind w:firstLine="0" w:firstLineChars="0"/>
              <w:jc w:val="center"/>
              <w:rPr>
                <w:rFonts w:hint="eastAsia" w:cs="宋体"/>
                <w:sz w:val="22"/>
                <w:szCs w:val="22"/>
              </w:rPr>
            </w:pPr>
            <w:r>
              <w:rPr>
                <w:rFonts w:hint="eastAsia" w:cs="宋体"/>
                <w:sz w:val="22"/>
                <w:szCs w:val="22"/>
              </w:rPr>
              <w:t>6、▲系统支持手动、自动对智能事件关联的多个录像片段设置录像标签。支持标签与其关联的录像片段同生命周期管理；支持通过按标签内容查询、回放、下载录像片段数据；支持对标签关联的录像片段进行锁定、备份。</w:t>
            </w:r>
          </w:p>
          <w:p w14:paraId="2C94C1CA">
            <w:pPr>
              <w:ind w:firstLine="0" w:firstLineChars="0"/>
              <w:jc w:val="center"/>
              <w:rPr>
                <w:rFonts w:hint="eastAsia" w:cs="宋体"/>
                <w:sz w:val="22"/>
                <w:szCs w:val="22"/>
              </w:rPr>
            </w:pPr>
            <w:r>
              <w:rPr>
                <w:rFonts w:hint="eastAsia" w:cs="宋体"/>
                <w:sz w:val="22"/>
                <w:szCs w:val="22"/>
              </w:rPr>
              <w:t>7、▲系统支持按照24/36/48等盘位、不同性能、不同CPU架构的存储节点混合组网，当出现磁盘或节点故障时，系统可根据CPU利用率、节点连接数、节点吞吐量、节点综合负载等策略提供最优重构速度。</w:t>
            </w:r>
          </w:p>
          <w:p w14:paraId="61DB3254">
            <w:pPr>
              <w:ind w:firstLine="0" w:firstLineChars="0"/>
              <w:jc w:val="center"/>
              <w:rPr>
                <w:rFonts w:hint="eastAsia" w:cs="宋体"/>
                <w:sz w:val="22"/>
                <w:szCs w:val="22"/>
              </w:rPr>
            </w:pPr>
            <w:r>
              <w:rPr>
                <w:rFonts w:hint="eastAsia" w:cs="宋体"/>
                <w:sz w:val="22"/>
                <w:szCs w:val="22"/>
              </w:rPr>
              <w:t>8、▲系统支持手动、自动对智能事件关联的多个录像片段设置录像标签。支持标签与其关联的录像片段同生命周期管理；支持通过按标签内容查询、回放、下载录像片段数据；支持对标签关联的录像片段进行锁定、备份。</w:t>
            </w:r>
          </w:p>
          <w:p w14:paraId="3126B973">
            <w:pPr>
              <w:ind w:firstLine="0" w:firstLineChars="0"/>
              <w:jc w:val="center"/>
              <w:rPr>
                <w:rFonts w:hint="eastAsia" w:cs="宋体"/>
                <w:sz w:val="22"/>
                <w:szCs w:val="22"/>
              </w:rPr>
            </w:pPr>
            <w:r>
              <w:rPr>
                <w:rFonts w:hint="eastAsia" w:cs="宋体"/>
                <w:sz w:val="22"/>
                <w:szCs w:val="22"/>
              </w:rPr>
              <w:t>9、▲支持图形化页面对图片数据进行处理，包括图片预览、压缩、裁剪、旋转、缩放、格式转换、马赛克、归一化及打文字水印，并支持通过图形化页面下载处理成功的图片数据。</w:t>
            </w:r>
          </w:p>
          <w:p w14:paraId="35A55110">
            <w:pPr>
              <w:ind w:firstLine="0" w:firstLineChars="0"/>
              <w:jc w:val="center"/>
              <w:rPr>
                <w:rFonts w:hint="eastAsia" w:cs="宋体"/>
                <w:sz w:val="22"/>
                <w:szCs w:val="22"/>
              </w:rPr>
            </w:pPr>
            <w:r>
              <w:rPr>
                <w:rFonts w:hint="eastAsia" w:cs="宋体"/>
                <w:sz w:val="22"/>
                <w:szCs w:val="22"/>
              </w:rPr>
              <w:t>10、▲设备可对硬盘进行加密解密；支持录像加密功能，当前端相机不支持加密功能时，支持在数据落盘前进行加密；支持从存储出去的数据均为加密后的数据，下载的录像无法通过普通播放器播放，且使用专用播放器播放时，也必</w:t>
            </w:r>
            <w:r>
              <w:rPr>
                <w:rFonts w:hint="eastAsia" w:cs="宋体"/>
                <w:sz w:val="22"/>
                <w:szCs w:val="22"/>
                <w:lang w:eastAsia="zh-CN"/>
              </w:rPr>
              <w:t>需</w:t>
            </w:r>
            <w:r>
              <w:rPr>
                <w:rFonts w:hint="eastAsia" w:cs="宋体"/>
                <w:sz w:val="22"/>
                <w:szCs w:val="22"/>
              </w:rPr>
              <w:t>经过授权才可正常解码播放。</w:t>
            </w:r>
          </w:p>
        </w:tc>
        <w:tc>
          <w:tcPr>
            <w:tcW w:w="423" w:type="pct"/>
            <w:shd w:val="clear" w:color="auto" w:fill="auto"/>
            <w:vAlign w:val="center"/>
          </w:tcPr>
          <w:p w14:paraId="222395F3">
            <w:pPr>
              <w:ind w:firstLine="0" w:firstLineChars="0"/>
              <w:jc w:val="center"/>
              <w:rPr>
                <w:rFonts w:hint="eastAsia" w:cs="宋体"/>
                <w:sz w:val="22"/>
                <w:szCs w:val="22"/>
              </w:rPr>
            </w:pPr>
            <w:r>
              <w:rPr>
                <w:rFonts w:cs="宋体"/>
                <w:sz w:val="22"/>
                <w:szCs w:val="22"/>
              </w:rPr>
              <w:t>1</w:t>
            </w:r>
          </w:p>
        </w:tc>
        <w:tc>
          <w:tcPr>
            <w:tcW w:w="423" w:type="pct"/>
            <w:shd w:val="clear" w:color="auto" w:fill="auto"/>
            <w:vAlign w:val="center"/>
          </w:tcPr>
          <w:p w14:paraId="4A3C5B86">
            <w:pPr>
              <w:ind w:firstLine="0" w:firstLineChars="0"/>
              <w:jc w:val="center"/>
              <w:rPr>
                <w:rFonts w:hint="eastAsia" w:cs="宋体"/>
                <w:sz w:val="22"/>
                <w:szCs w:val="22"/>
              </w:rPr>
            </w:pPr>
            <w:r>
              <w:rPr>
                <w:rFonts w:cs="宋体"/>
                <w:sz w:val="22"/>
                <w:szCs w:val="22"/>
              </w:rPr>
              <w:t>套</w:t>
            </w:r>
          </w:p>
        </w:tc>
      </w:tr>
      <w:tr w14:paraId="6942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shd w:val="clear" w:color="auto" w:fill="auto"/>
            <w:vAlign w:val="center"/>
          </w:tcPr>
          <w:p w14:paraId="1A14256D">
            <w:pPr>
              <w:ind w:firstLine="0" w:firstLineChars="0"/>
              <w:jc w:val="center"/>
              <w:rPr>
                <w:rFonts w:hint="eastAsia" w:cs="宋体"/>
                <w:sz w:val="22"/>
                <w:szCs w:val="22"/>
              </w:rPr>
            </w:pPr>
            <w:r>
              <w:rPr>
                <w:rFonts w:hint="eastAsia" w:cs="宋体"/>
                <w:sz w:val="22"/>
                <w:szCs w:val="22"/>
              </w:rPr>
              <w:t>2</w:t>
            </w:r>
          </w:p>
        </w:tc>
        <w:tc>
          <w:tcPr>
            <w:tcW w:w="812" w:type="pct"/>
            <w:shd w:val="clear" w:color="auto" w:fill="auto"/>
            <w:vAlign w:val="center"/>
          </w:tcPr>
          <w:p w14:paraId="11EC8B3C">
            <w:pPr>
              <w:ind w:firstLine="0" w:firstLineChars="0"/>
              <w:jc w:val="center"/>
              <w:rPr>
                <w:rFonts w:hint="eastAsia" w:cs="宋体"/>
                <w:sz w:val="22"/>
                <w:szCs w:val="22"/>
              </w:rPr>
            </w:pPr>
            <w:r>
              <w:rPr>
                <w:rFonts w:hint="eastAsia" w:cs="宋体"/>
                <w:sz w:val="22"/>
                <w:szCs w:val="22"/>
              </w:rPr>
              <w:t>云存储节点设备授权</w:t>
            </w:r>
          </w:p>
        </w:tc>
        <w:tc>
          <w:tcPr>
            <w:tcW w:w="2916" w:type="pct"/>
            <w:shd w:val="clear" w:color="auto" w:fill="auto"/>
            <w:vAlign w:val="center"/>
          </w:tcPr>
          <w:p w14:paraId="3AA63EF6">
            <w:pPr>
              <w:ind w:firstLine="0" w:firstLineChars="0"/>
              <w:jc w:val="center"/>
              <w:rPr>
                <w:rFonts w:hint="eastAsia" w:cs="宋体"/>
                <w:sz w:val="22"/>
                <w:szCs w:val="22"/>
              </w:rPr>
            </w:pPr>
            <w:r>
              <w:rPr>
                <w:rFonts w:hint="eastAsia" w:cs="宋体"/>
                <w:sz w:val="22"/>
                <w:szCs w:val="22"/>
              </w:rPr>
              <w:t>定制</w:t>
            </w:r>
          </w:p>
        </w:tc>
        <w:tc>
          <w:tcPr>
            <w:tcW w:w="423" w:type="pct"/>
            <w:shd w:val="clear" w:color="auto" w:fill="auto"/>
            <w:vAlign w:val="center"/>
          </w:tcPr>
          <w:p w14:paraId="16CA25C2">
            <w:pPr>
              <w:ind w:firstLine="0" w:firstLineChars="0"/>
              <w:jc w:val="center"/>
              <w:rPr>
                <w:rFonts w:hint="eastAsia" w:cs="宋体"/>
                <w:sz w:val="22"/>
                <w:szCs w:val="22"/>
              </w:rPr>
            </w:pPr>
            <w:r>
              <w:rPr>
                <w:rFonts w:hint="eastAsia" w:cs="宋体"/>
                <w:sz w:val="22"/>
                <w:szCs w:val="22"/>
              </w:rPr>
              <w:t>6</w:t>
            </w:r>
          </w:p>
        </w:tc>
        <w:tc>
          <w:tcPr>
            <w:tcW w:w="423" w:type="pct"/>
            <w:shd w:val="clear" w:color="auto" w:fill="auto"/>
            <w:vAlign w:val="center"/>
          </w:tcPr>
          <w:p w14:paraId="64173467">
            <w:pPr>
              <w:ind w:firstLine="0" w:firstLineChars="0"/>
              <w:jc w:val="center"/>
              <w:rPr>
                <w:rFonts w:hint="eastAsia" w:cs="宋体"/>
                <w:sz w:val="22"/>
                <w:szCs w:val="22"/>
              </w:rPr>
            </w:pPr>
            <w:r>
              <w:rPr>
                <w:rFonts w:hint="eastAsia" w:cs="宋体"/>
                <w:sz w:val="22"/>
                <w:szCs w:val="22"/>
              </w:rPr>
              <w:t>个</w:t>
            </w:r>
          </w:p>
        </w:tc>
      </w:tr>
      <w:tr w14:paraId="4FB8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pct"/>
            <w:shd w:val="clear" w:color="auto" w:fill="auto"/>
            <w:vAlign w:val="center"/>
          </w:tcPr>
          <w:p w14:paraId="2E52C62C">
            <w:pPr>
              <w:ind w:firstLine="0" w:firstLineChars="0"/>
              <w:jc w:val="center"/>
              <w:rPr>
                <w:rFonts w:hint="eastAsia" w:cs="宋体"/>
                <w:sz w:val="22"/>
                <w:szCs w:val="22"/>
              </w:rPr>
            </w:pPr>
            <w:r>
              <w:rPr>
                <w:rFonts w:hint="eastAsia" w:cs="宋体"/>
                <w:sz w:val="22"/>
                <w:szCs w:val="22"/>
              </w:rPr>
              <w:t>3</w:t>
            </w:r>
          </w:p>
        </w:tc>
        <w:tc>
          <w:tcPr>
            <w:tcW w:w="812" w:type="pct"/>
            <w:shd w:val="clear" w:color="auto" w:fill="auto"/>
            <w:vAlign w:val="center"/>
          </w:tcPr>
          <w:p w14:paraId="38894779">
            <w:pPr>
              <w:ind w:firstLine="0" w:firstLineChars="0"/>
              <w:jc w:val="center"/>
              <w:rPr>
                <w:rFonts w:hint="eastAsia" w:cs="宋体"/>
                <w:sz w:val="22"/>
                <w:szCs w:val="22"/>
              </w:rPr>
            </w:pPr>
            <w:r>
              <w:rPr>
                <w:rFonts w:hint="eastAsia" w:cs="宋体"/>
                <w:sz w:val="22"/>
                <w:szCs w:val="22"/>
              </w:rPr>
              <w:t>前端点位授权</w:t>
            </w:r>
          </w:p>
        </w:tc>
        <w:tc>
          <w:tcPr>
            <w:tcW w:w="2916" w:type="pct"/>
            <w:shd w:val="clear" w:color="auto" w:fill="auto"/>
            <w:vAlign w:val="center"/>
          </w:tcPr>
          <w:p w14:paraId="0587BD5C">
            <w:pPr>
              <w:ind w:firstLine="0" w:firstLineChars="0"/>
              <w:jc w:val="center"/>
              <w:rPr>
                <w:rFonts w:hint="eastAsia" w:cs="宋体"/>
                <w:sz w:val="22"/>
                <w:szCs w:val="22"/>
              </w:rPr>
            </w:pPr>
            <w:r>
              <w:rPr>
                <w:rFonts w:hint="eastAsia" w:cs="宋体"/>
                <w:sz w:val="22"/>
                <w:szCs w:val="22"/>
              </w:rPr>
              <w:t>定制</w:t>
            </w:r>
          </w:p>
        </w:tc>
        <w:tc>
          <w:tcPr>
            <w:tcW w:w="423" w:type="pct"/>
            <w:shd w:val="clear" w:color="auto" w:fill="auto"/>
            <w:vAlign w:val="center"/>
          </w:tcPr>
          <w:p w14:paraId="43782214">
            <w:pPr>
              <w:ind w:firstLine="0" w:firstLineChars="0"/>
              <w:jc w:val="center"/>
              <w:rPr>
                <w:rFonts w:hint="eastAsia" w:cs="宋体"/>
                <w:sz w:val="22"/>
                <w:szCs w:val="22"/>
              </w:rPr>
            </w:pPr>
            <w:r>
              <w:rPr>
                <w:rFonts w:hint="eastAsia" w:cs="宋体"/>
                <w:sz w:val="22"/>
                <w:szCs w:val="22"/>
              </w:rPr>
              <w:t>670</w:t>
            </w:r>
          </w:p>
        </w:tc>
        <w:tc>
          <w:tcPr>
            <w:tcW w:w="423" w:type="pct"/>
            <w:shd w:val="clear" w:color="auto" w:fill="auto"/>
            <w:vAlign w:val="center"/>
          </w:tcPr>
          <w:p w14:paraId="72C020D2">
            <w:pPr>
              <w:ind w:firstLine="0" w:firstLineChars="0"/>
              <w:jc w:val="center"/>
              <w:rPr>
                <w:rFonts w:hint="eastAsia" w:cs="宋体"/>
                <w:sz w:val="22"/>
                <w:szCs w:val="22"/>
              </w:rPr>
            </w:pPr>
            <w:r>
              <w:rPr>
                <w:rFonts w:hint="eastAsia" w:cs="宋体"/>
                <w:sz w:val="22"/>
                <w:szCs w:val="22"/>
              </w:rPr>
              <w:t>个</w:t>
            </w:r>
          </w:p>
        </w:tc>
      </w:tr>
      <w:tr w14:paraId="681B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shd w:val="clear" w:color="auto" w:fill="auto"/>
            <w:vAlign w:val="center"/>
          </w:tcPr>
          <w:p w14:paraId="617FAEE6">
            <w:pPr>
              <w:ind w:firstLine="0" w:firstLineChars="0"/>
              <w:jc w:val="center"/>
              <w:rPr>
                <w:rFonts w:hint="eastAsia" w:cs="宋体"/>
                <w:sz w:val="22"/>
                <w:szCs w:val="22"/>
              </w:rPr>
            </w:pPr>
            <w:r>
              <w:rPr>
                <w:rFonts w:hint="eastAsia" w:cs="宋体"/>
                <w:sz w:val="22"/>
                <w:szCs w:val="22"/>
              </w:rPr>
              <w:t>4</w:t>
            </w:r>
          </w:p>
        </w:tc>
        <w:tc>
          <w:tcPr>
            <w:tcW w:w="812" w:type="pct"/>
            <w:shd w:val="clear" w:color="auto" w:fill="auto"/>
            <w:vAlign w:val="center"/>
          </w:tcPr>
          <w:p w14:paraId="7A65A164">
            <w:pPr>
              <w:ind w:firstLine="0" w:firstLineChars="0"/>
              <w:jc w:val="center"/>
              <w:rPr>
                <w:rFonts w:hint="eastAsia" w:cs="宋体"/>
                <w:sz w:val="22"/>
                <w:szCs w:val="22"/>
              </w:rPr>
            </w:pPr>
            <w:r>
              <w:rPr>
                <w:rFonts w:hint="eastAsia" w:cs="宋体"/>
                <w:sz w:val="22"/>
                <w:szCs w:val="22"/>
              </w:rPr>
              <w:t>云存储容量授权</w:t>
            </w:r>
          </w:p>
        </w:tc>
        <w:tc>
          <w:tcPr>
            <w:tcW w:w="2916" w:type="pct"/>
            <w:shd w:val="clear" w:color="auto" w:fill="auto"/>
            <w:vAlign w:val="center"/>
          </w:tcPr>
          <w:p w14:paraId="27ED727D">
            <w:pPr>
              <w:ind w:firstLine="0" w:firstLineChars="0"/>
              <w:jc w:val="center"/>
              <w:rPr>
                <w:rFonts w:hint="eastAsia" w:cs="宋体"/>
                <w:sz w:val="22"/>
                <w:szCs w:val="22"/>
              </w:rPr>
            </w:pPr>
            <w:r>
              <w:rPr>
                <w:rFonts w:hint="eastAsia" w:cs="宋体"/>
                <w:sz w:val="22"/>
                <w:szCs w:val="22"/>
              </w:rPr>
              <w:t>定制</w:t>
            </w:r>
          </w:p>
        </w:tc>
        <w:tc>
          <w:tcPr>
            <w:tcW w:w="423" w:type="pct"/>
            <w:shd w:val="clear" w:color="auto" w:fill="auto"/>
            <w:vAlign w:val="center"/>
          </w:tcPr>
          <w:p w14:paraId="5B4DF44F">
            <w:pPr>
              <w:ind w:firstLine="0" w:firstLineChars="0"/>
              <w:jc w:val="center"/>
              <w:rPr>
                <w:rFonts w:hint="eastAsia" w:cs="宋体"/>
                <w:sz w:val="22"/>
                <w:szCs w:val="22"/>
              </w:rPr>
            </w:pPr>
            <w:r>
              <w:rPr>
                <w:rFonts w:hint="eastAsia" w:cs="宋体"/>
                <w:sz w:val="22"/>
                <w:szCs w:val="22"/>
              </w:rPr>
              <w:t>2496</w:t>
            </w:r>
          </w:p>
        </w:tc>
        <w:tc>
          <w:tcPr>
            <w:tcW w:w="423" w:type="pct"/>
            <w:shd w:val="clear" w:color="auto" w:fill="auto"/>
            <w:vAlign w:val="center"/>
          </w:tcPr>
          <w:p w14:paraId="58A25ECD">
            <w:pPr>
              <w:ind w:firstLine="0" w:firstLineChars="0"/>
              <w:jc w:val="center"/>
              <w:rPr>
                <w:rFonts w:hint="eastAsia" w:cs="宋体"/>
                <w:sz w:val="22"/>
                <w:szCs w:val="22"/>
              </w:rPr>
            </w:pPr>
            <w:r>
              <w:rPr>
                <w:rFonts w:hint="eastAsia" w:cs="宋体"/>
                <w:sz w:val="22"/>
                <w:szCs w:val="22"/>
              </w:rPr>
              <w:t>T</w:t>
            </w:r>
          </w:p>
        </w:tc>
      </w:tr>
    </w:tbl>
    <w:p w14:paraId="0E577A40">
      <w:pPr>
        <w:rPr>
          <w:rFonts w:hint="eastAsia"/>
        </w:rPr>
      </w:pPr>
    </w:p>
    <w:p w14:paraId="4CF99E13">
      <w:pPr>
        <w:pStyle w:val="2"/>
        <w:rPr>
          <w:rFonts w:hint="eastAsia"/>
        </w:rPr>
      </w:pPr>
      <w:r>
        <w:rPr>
          <w:rFonts w:hint="eastAsia"/>
          <w:lang w:eastAsia="zh-CN"/>
        </w:rPr>
        <w:t>现有资源情况</w:t>
      </w:r>
    </w:p>
    <w:p w14:paraId="52C48250">
      <w:pPr>
        <w:ind w:firstLine="0" w:firstLineChars="0"/>
        <w:rPr>
          <w:rFonts w:hint="eastAsia" w:eastAsia="宋体"/>
          <w:lang w:eastAsia="zh-CN"/>
        </w:rPr>
      </w:pPr>
      <w:r>
        <w:rPr>
          <w:rFonts w:hint="eastAsia"/>
        </w:rPr>
        <w:t>根据项目前期资源现状，本次建设根据估算拟向电子政务云申请1</w:t>
      </w:r>
      <w:r>
        <w:t>82</w:t>
      </w:r>
      <w:r>
        <w:rPr>
          <w:rFonts w:hint="eastAsia"/>
        </w:rPr>
        <w:t>台服务器资源CPU460核 、内存2452G、存储581T，其中虚拟机1</w:t>
      </w:r>
      <w:r>
        <w:t>66</w:t>
      </w:r>
      <w:r>
        <w:rPr>
          <w:rFonts w:hint="eastAsia"/>
        </w:rPr>
        <w:t>台，物理机1</w:t>
      </w:r>
      <w:r>
        <w:t>6</w:t>
      </w:r>
      <w:r>
        <w:rPr>
          <w:rFonts w:hint="eastAsia"/>
        </w:rPr>
        <w:t>台。</w:t>
      </w:r>
    </w:p>
    <w:p w14:paraId="270F757F">
      <w:pPr>
        <w:ind w:left="0" w:leftChars="0" w:firstLine="0" w:firstLineChars="0"/>
        <w:rPr>
          <w:rFonts w:hint="eastAsia"/>
          <w:lang w:eastAsia="zh-CN"/>
        </w:rPr>
      </w:pPr>
      <w:r>
        <w:rPr>
          <w:rFonts w:hint="eastAsia"/>
          <w:lang w:eastAsia="zh-CN"/>
        </w:rPr>
        <w:t>现有设备情况如下，投标人需充分考虑，进行适配工作：</w:t>
      </w:r>
    </w:p>
    <w:tbl>
      <w:tblPr>
        <w:tblStyle w:val="8"/>
        <w:tblW w:w="0" w:type="auto"/>
        <w:tblInd w:w="-4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80"/>
        <w:gridCol w:w="902"/>
        <w:gridCol w:w="1145"/>
        <w:gridCol w:w="1004"/>
        <w:gridCol w:w="3954"/>
      </w:tblGrid>
      <w:tr w14:paraId="56E2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6C9F3804">
            <w:pPr>
              <w:ind w:left="0" w:leftChars="0" w:firstLine="0" w:firstLineChars="0"/>
              <w:jc w:val="center"/>
              <w:rPr>
                <w:rFonts w:hint="eastAsia"/>
                <w:vertAlign w:val="baseline"/>
                <w:lang w:eastAsia="zh-CN"/>
              </w:rPr>
            </w:pPr>
            <w:r>
              <w:rPr>
                <w:rFonts w:hint="eastAsia"/>
                <w:vertAlign w:val="baseline"/>
                <w:lang w:eastAsia="zh-CN"/>
              </w:rPr>
              <w:t>序号</w:t>
            </w:r>
          </w:p>
        </w:tc>
        <w:tc>
          <w:tcPr>
            <w:tcW w:w="1280" w:type="dxa"/>
            <w:vAlign w:val="center"/>
          </w:tcPr>
          <w:p w14:paraId="4D0CBD4B">
            <w:pPr>
              <w:ind w:left="0" w:leftChars="0" w:firstLine="0" w:firstLineChars="0"/>
              <w:jc w:val="center"/>
              <w:rPr>
                <w:rFonts w:hint="eastAsia"/>
                <w:vertAlign w:val="baseline"/>
                <w:lang w:eastAsia="zh-CN"/>
              </w:rPr>
            </w:pPr>
            <w:r>
              <w:rPr>
                <w:rFonts w:hint="eastAsia"/>
                <w:vertAlign w:val="baseline"/>
                <w:lang w:eastAsia="zh-CN"/>
              </w:rPr>
              <w:t>设备名称</w:t>
            </w:r>
          </w:p>
        </w:tc>
        <w:tc>
          <w:tcPr>
            <w:tcW w:w="902" w:type="dxa"/>
            <w:vAlign w:val="center"/>
          </w:tcPr>
          <w:p w14:paraId="39DE0112">
            <w:pPr>
              <w:ind w:left="0" w:leftChars="0" w:firstLine="0" w:firstLineChars="0"/>
              <w:jc w:val="center"/>
              <w:rPr>
                <w:rFonts w:hint="eastAsia"/>
                <w:vertAlign w:val="baseline"/>
                <w:lang w:eastAsia="zh-CN"/>
              </w:rPr>
            </w:pPr>
            <w:r>
              <w:rPr>
                <w:rFonts w:hint="eastAsia"/>
                <w:vertAlign w:val="baseline"/>
                <w:lang w:eastAsia="zh-CN"/>
              </w:rPr>
              <w:t>品牌</w:t>
            </w:r>
          </w:p>
        </w:tc>
        <w:tc>
          <w:tcPr>
            <w:tcW w:w="1145" w:type="dxa"/>
            <w:vAlign w:val="center"/>
          </w:tcPr>
          <w:p w14:paraId="1DBE10E7">
            <w:pPr>
              <w:ind w:left="0" w:leftChars="0" w:firstLine="0" w:firstLineChars="0"/>
              <w:jc w:val="center"/>
              <w:rPr>
                <w:rFonts w:hint="eastAsia"/>
                <w:vertAlign w:val="baseline"/>
                <w:lang w:eastAsia="zh-CN"/>
              </w:rPr>
            </w:pPr>
            <w:r>
              <w:rPr>
                <w:rFonts w:hint="eastAsia"/>
                <w:vertAlign w:val="baseline"/>
                <w:lang w:eastAsia="zh-CN"/>
              </w:rPr>
              <w:t>型号</w:t>
            </w:r>
          </w:p>
        </w:tc>
        <w:tc>
          <w:tcPr>
            <w:tcW w:w="1004" w:type="dxa"/>
            <w:vAlign w:val="center"/>
          </w:tcPr>
          <w:p w14:paraId="3E8C214C">
            <w:pPr>
              <w:ind w:left="0" w:leftChars="0" w:firstLine="0" w:firstLineChars="0"/>
              <w:jc w:val="center"/>
              <w:rPr>
                <w:rFonts w:hint="eastAsia"/>
                <w:vertAlign w:val="baseline"/>
                <w:lang w:eastAsia="zh-CN"/>
              </w:rPr>
            </w:pPr>
            <w:r>
              <w:rPr>
                <w:rFonts w:hint="eastAsia"/>
                <w:vertAlign w:val="baseline"/>
                <w:lang w:eastAsia="zh-CN"/>
              </w:rPr>
              <w:t>版本号</w:t>
            </w:r>
          </w:p>
        </w:tc>
        <w:tc>
          <w:tcPr>
            <w:tcW w:w="3954" w:type="dxa"/>
            <w:vAlign w:val="center"/>
          </w:tcPr>
          <w:p w14:paraId="1A342FBD">
            <w:pPr>
              <w:ind w:left="0" w:leftChars="0" w:firstLine="0" w:firstLineChars="0"/>
              <w:jc w:val="center"/>
              <w:rPr>
                <w:rFonts w:hint="eastAsia"/>
                <w:vertAlign w:val="baseline"/>
                <w:lang w:eastAsia="zh-CN"/>
              </w:rPr>
            </w:pPr>
            <w:r>
              <w:rPr>
                <w:rFonts w:hint="eastAsia"/>
                <w:vertAlign w:val="baseline"/>
                <w:lang w:eastAsia="zh-CN"/>
              </w:rPr>
              <w:t>参数</w:t>
            </w:r>
          </w:p>
        </w:tc>
      </w:tr>
      <w:tr w14:paraId="7AB6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157755E2">
            <w:pPr>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280" w:type="dxa"/>
            <w:vAlign w:val="center"/>
          </w:tcPr>
          <w:p w14:paraId="05721AD7">
            <w:pPr>
              <w:ind w:left="0" w:leftChars="0" w:firstLine="0" w:firstLineChars="0"/>
              <w:jc w:val="center"/>
              <w:rPr>
                <w:rFonts w:hint="eastAsia"/>
                <w:vertAlign w:val="baseline"/>
                <w:lang w:eastAsia="zh-CN"/>
              </w:rPr>
            </w:pPr>
            <w:r>
              <w:rPr>
                <w:rFonts w:hint="eastAsia"/>
                <w:sz w:val="24"/>
                <w:szCs w:val="24"/>
              </w:rPr>
              <w:t>网络存储设备</w:t>
            </w:r>
          </w:p>
        </w:tc>
        <w:tc>
          <w:tcPr>
            <w:tcW w:w="902" w:type="dxa"/>
            <w:vAlign w:val="center"/>
          </w:tcPr>
          <w:p w14:paraId="1DB2CE41">
            <w:pPr>
              <w:ind w:left="0" w:leftChars="0" w:firstLine="0" w:firstLineChars="0"/>
              <w:jc w:val="center"/>
              <w:rPr>
                <w:rFonts w:hint="eastAsia"/>
                <w:vertAlign w:val="baseline"/>
                <w:lang w:eastAsia="zh-CN"/>
              </w:rPr>
            </w:pPr>
            <w:r>
              <w:rPr>
                <w:rFonts w:hint="eastAsia"/>
                <w:vertAlign w:val="baseline"/>
                <w:lang w:eastAsia="zh-CN"/>
              </w:rPr>
              <w:t>海康威视</w:t>
            </w:r>
          </w:p>
        </w:tc>
        <w:tc>
          <w:tcPr>
            <w:tcW w:w="1145" w:type="dxa"/>
            <w:vAlign w:val="center"/>
          </w:tcPr>
          <w:p w14:paraId="49D79254">
            <w:pPr>
              <w:ind w:left="0" w:leftChars="0" w:firstLine="0" w:firstLineChars="0"/>
              <w:jc w:val="center"/>
              <w:rPr>
                <w:rFonts w:hint="eastAsia"/>
                <w:vertAlign w:val="baseline"/>
                <w:lang w:eastAsia="zh-CN"/>
              </w:rPr>
            </w:pPr>
            <w:r>
              <w:rPr>
                <w:rFonts w:hint="eastAsia"/>
                <w:sz w:val="24"/>
                <w:szCs w:val="24"/>
              </w:rPr>
              <w:t>DS-A71048R-CVS</w:t>
            </w:r>
          </w:p>
        </w:tc>
        <w:tc>
          <w:tcPr>
            <w:tcW w:w="1004" w:type="dxa"/>
            <w:vAlign w:val="center"/>
          </w:tcPr>
          <w:p w14:paraId="37E5AA3E">
            <w:pPr>
              <w:ind w:left="0" w:leftChars="0" w:firstLine="0" w:firstLineChars="0"/>
              <w:jc w:val="center"/>
              <w:rPr>
                <w:rFonts w:hint="default"/>
                <w:vertAlign w:val="baseline"/>
                <w:lang w:val="en-US" w:eastAsia="zh-CN"/>
              </w:rPr>
            </w:pPr>
            <w:r>
              <w:rPr>
                <w:rFonts w:hint="eastAsia"/>
                <w:vertAlign w:val="baseline"/>
                <w:lang w:val="en-US" w:eastAsia="zh-CN"/>
              </w:rPr>
              <w:t>3.0</w:t>
            </w:r>
          </w:p>
        </w:tc>
        <w:tc>
          <w:tcPr>
            <w:tcW w:w="3954" w:type="dxa"/>
            <w:vAlign w:val="center"/>
          </w:tcPr>
          <w:p w14:paraId="350FAD6E">
            <w:pPr>
              <w:ind w:left="0" w:leftChars="0" w:firstLine="0" w:firstLineChars="0"/>
              <w:jc w:val="center"/>
              <w:rPr>
                <w:rFonts w:hint="eastAsia"/>
                <w:vertAlign w:val="baseline"/>
                <w:lang w:eastAsia="zh-CN"/>
              </w:rPr>
            </w:pPr>
            <w:r>
              <w:rPr>
                <w:rFonts w:hint="eastAsia"/>
                <w:sz w:val="24"/>
                <w:szCs w:val="24"/>
              </w:rPr>
              <w:t>8U机架式48盘位，64位多核处理器；16GB缓存；冗余电源；2个千兆网口；1个系统SSD盘，支持视音频、图片、直接写入，支持视频高速预览、回放、下载，支持云内容灾备份，支持一体化运维，支持GB/T28181-2011、Onvif、RTSP、H265、SVAC等标准视频协议。</w:t>
            </w:r>
          </w:p>
        </w:tc>
      </w:tr>
      <w:tr w14:paraId="27B3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301BA07C">
            <w:pPr>
              <w:ind w:left="0" w:leftChars="0" w:firstLine="0" w:firstLineChars="0"/>
              <w:jc w:val="center"/>
              <w:rPr>
                <w:rFonts w:hint="default"/>
                <w:vertAlign w:val="baseline"/>
                <w:lang w:val="en-US" w:eastAsia="zh-CN"/>
              </w:rPr>
            </w:pPr>
            <w:r>
              <w:rPr>
                <w:rFonts w:hint="eastAsia"/>
                <w:vertAlign w:val="baseline"/>
                <w:lang w:val="en-US" w:eastAsia="zh-CN"/>
              </w:rPr>
              <w:t>2</w:t>
            </w:r>
          </w:p>
        </w:tc>
        <w:tc>
          <w:tcPr>
            <w:tcW w:w="1280" w:type="dxa"/>
            <w:vAlign w:val="center"/>
          </w:tcPr>
          <w:p w14:paraId="2DA95903">
            <w:pPr>
              <w:ind w:left="0" w:leftChars="0" w:firstLine="0" w:firstLineChars="0"/>
              <w:jc w:val="center"/>
              <w:rPr>
                <w:rFonts w:hint="eastAsia"/>
                <w:vertAlign w:val="baseline"/>
                <w:lang w:eastAsia="zh-CN"/>
              </w:rPr>
            </w:pPr>
            <w:r>
              <w:rPr>
                <w:rFonts w:hint="eastAsia"/>
                <w:sz w:val="24"/>
                <w:szCs w:val="24"/>
              </w:rPr>
              <w:t>云存储节点</w:t>
            </w:r>
          </w:p>
        </w:tc>
        <w:tc>
          <w:tcPr>
            <w:tcW w:w="902" w:type="dxa"/>
            <w:vAlign w:val="center"/>
          </w:tcPr>
          <w:p w14:paraId="17523767">
            <w:pPr>
              <w:ind w:left="0" w:leftChars="0" w:firstLine="0" w:firstLineChars="0"/>
              <w:jc w:val="center"/>
              <w:rPr>
                <w:rFonts w:hint="eastAsia"/>
                <w:vertAlign w:val="baseline"/>
                <w:lang w:eastAsia="zh-CN"/>
              </w:rPr>
            </w:pPr>
            <w:r>
              <w:rPr>
                <w:rFonts w:hint="eastAsia"/>
                <w:vertAlign w:val="baseline"/>
                <w:lang w:eastAsia="zh-CN"/>
              </w:rPr>
              <w:t>海康威视</w:t>
            </w:r>
          </w:p>
        </w:tc>
        <w:tc>
          <w:tcPr>
            <w:tcW w:w="1145" w:type="dxa"/>
            <w:vAlign w:val="center"/>
          </w:tcPr>
          <w:p w14:paraId="33467ABD">
            <w:pPr>
              <w:ind w:left="0" w:leftChars="0" w:firstLine="0" w:firstLineChars="0"/>
              <w:jc w:val="center"/>
              <w:rPr>
                <w:rFonts w:hint="eastAsia"/>
                <w:vertAlign w:val="baseline"/>
                <w:lang w:eastAsia="zh-CN"/>
              </w:rPr>
            </w:pPr>
            <w:r>
              <w:rPr>
                <w:rFonts w:hint="eastAsia"/>
                <w:sz w:val="24"/>
                <w:szCs w:val="24"/>
              </w:rPr>
              <w:t>DS-A5120RL-CVMN</w:t>
            </w:r>
          </w:p>
        </w:tc>
        <w:tc>
          <w:tcPr>
            <w:tcW w:w="1004" w:type="dxa"/>
            <w:vAlign w:val="center"/>
          </w:tcPr>
          <w:p w14:paraId="70E74EA1">
            <w:pPr>
              <w:ind w:left="0" w:leftChars="0" w:firstLine="0" w:firstLineChars="0"/>
              <w:jc w:val="center"/>
              <w:rPr>
                <w:rFonts w:hint="default"/>
                <w:vertAlign w:val="baseline"/>
                <w:lang w:val="en-US" w:eastAsia="zh-CN"/>
              </w:rPr>
            </w:pPr>
            <w:r>
              <w:rPr>
                <w:rFonts w:hint="eastAsia"/>
                <w:vertAlign w:val="baseline"/>
                <w:lang w:val="en-US" w:eastAsia="zh-CN"/>
              </w:rPr>
              <w:t>2.0</w:t>
            </w:r>
          </w:p>
        </w:tc>
        <w:tc>
          <w:tcPr>
            <w:tcW w:w="3954" w:type="dxa"/>
            <w:vAlign w:val="center"/>
          </w:tcPr>
          <w:p w14:paraId="3A144EC1">
            <w:pPr>
              <w:ind w:left="0" w:leftChars="0" w:firstLine="0" w:firstLineChars="0"/>
              <w:jc w:val="center"/>
              <w:rPr>
                <w:rFonts w:hint="eastAsia"/>
                <w:vertAlign w:val="baseline"/>
                <w:lang w:eastAsia="zh-CN"/>
              </w:rPr>
            </w:pPr>
            <w:r>
              <w:rPr>
                <w:rFonts w:hint="eastAsia"/>
                <w:sz w:val="24"/>
                <w:szCs w:val="24"/>
              </w:rPr>
              <w:t>DS-A5120RL-CVMN</w:t>
            </w:r>
            <w:r>
              <w:rPr>
                <w:rFonts w:hint="eastAsia"/>
                <w:sz w:val="24"/>
                <w:szCs w:val="24"/>
              </w:rPr>
              <w:br w:type="textWrapping"/>
            </w:r>
            <w:r>
              <w:rPr>
                <w:rFonts w:hint="eastAsia"/>
                <w:sz w:val="24"/>
                <w:szCs w:val="24"/>
              </w:rPr>
              <w:t>2U机架式服务器</w:t>
            </w:r>
            <w:r>
              <w:rPr>
                <w:rFonts w:hint="eastAsia"/>
                <w:sz w:val="24"/>
                <w:szCs w:val="24"/>
              </w:rPr>
              <w:br w:type="textWrapping"/>
            </w:r>
            <w:r>
              <w:rPr>
                <w:rFonts w:hint="eastAsia"/>
                <w:sz w:val="24"/>
                <w:szCs w:val="24"/>
              </w:rPr>
              <w:t>处理器：64位多核处理器（核数≧16）</w:t>
            </w:r>
            <w:r>
              <w:rPr>
                <w:rFonts w:hint="eastAsia"/>
                <w:sz w:val="24"/>
                <w:szCs w:val="24"/>
              </w:rPr>
              <w:br w:type="textWrapping"/>
            </w:r>
            <w:r>
              <w:rPr>
                <w:rFonts w:hint="eastAsia"/>
                <w:sz w:val="24"/>
                <w:szCs w:val="24"/>
              </w:rPr>
              <w:t>内存：DDR4，标配32GB内存，最大可扩展至256GB</w:t>
            </w:r>
            <w:r>
              <w:rPr>
                <w:rFonts w:hint="eastAsia"/>
                <w:sz w:val="24"/>
                <w:szCs w:val="24"/>
              </w:rPr>
              <w:br w:type="textWrapping"/>
            </w:r>
            <w:r>
              <w:rPr>
                <w:rFonts w:hint="eastAsia"/>
                <w:sz w:val="24"/>
                <w:szCs w:val="24"/>
              </w:rPr>
              <w:t>内置SSD硬盘：标配2个热插拔960GB SSD硬盘</w:t>
            </w:r>
            <w:r>
              <w:rPr>
                <w:rFonts w:hint="eastAsia"/>
                <w:sz w:val="24"/>
                <w:szCs w:val="24"/>
              </w:rPr>
              <w:br w:type="textWrapping"/>
            </w:r>
            <w:r>
              <w:rPr>
                <w:rFonts w:hint="eastAsia"/>
                <w:sz w:val="24"/>
                <w:szCs w:val="24"/>
              </w:rPr>
              <w:t>网口：2个千兆网口，可扩展万兆口；</w:t>
            </w:r>
          </w:p>
        </w:tc>
      </w:tr>
    </w:tbl>
    <w:p w14:paraId="3AB1A30D">
      <w:pPr>
        <w:ind w:left="0" w:leftChars="0" w:firstLine="0" w:firstLineChars="0"/>
        <w:rPr>
          <w:rFonts w:hint="eastAsia"/>
          <w:lang w:eastAsia="zh-CN"/>
        </w:rPr>
      </w:pPr>
    </w:p>
    <w:p w14:paraId="41BB3D31">
      <w:pPr>
        <w:pStyle w:val="2"/>
        <w:rPr>
          <w:rFonts w:hint="eastAsia"/>
        </w:rPr>
      </w:pPr>
      <w:bookmarkStart w:id="17" w:name="_Toc63785503"/>
      <w:r>
        <w:rPr>
          <w:rFonts w:hint="eastAsia"/>
        </w:rPr>
        <w:t>其他工作要求</w:t>
      </w:r>
      <w:bookmarkEnd w:id="17"/>
    </w:p>
    <w:p w14:paraId="47275997">
      <w:pPr>
        <w:keepNext/>
        <w:keepLines/>
        <w:numPr>
          <w:ilvl w:val="1"/>
          <w:numId w:val="2"/>
        </w:numPr>
        <w:tabs>
          <w:tab w:val="left" w:pos="360"/>
        </w:tabs>
        <w:spacing w:before="120" w:line="240" w:lineRule="auto"/>
        <w:ind w:left="0" w:firstLine="0" w:firstLineChars="0"/>
        <w:outlineLvl w:val="1"/>
        <w:rPr>
          <w:rFonts w:hint="eastAsia" w:ascii="仿宋" w:hAnsi="仿宋" w:eastAsia="仿宋"/>
          <w:b/>
          <w:vanish/>
          <w:color w:val="000000"/>
          <w:sz w:val="28"/>
          <w:szCs w:val="20"/>
        </w:rPr>
      </w:pPr>
      <w:bookmarkStart w:id="18" w:name="_Toc63785504"/>
      <w:bookmarkEnd w:id="18"/>
      <w:bookmarkStart w:id="19" w:name="_Toc63151871"/>
      <w:bookmarkEnd w:id="19"/>
      <w:bookmarkStart w:id="20" w:name="_Toc63762370"/>
      <w:bookmarkEnd w:id="20"/>
      <w:bookmarkStart w:id="21" w:name="_Toc61968111"/>
      <w:bookmarkEnd w:id="21"/>
      <w:bookmarkStart w:id="22" w:name="_Toc62209488"/>
      <w:bookmarkEnd w:id="22"/>
      <w:bookmarkStart w:id="23" w:name="_Toc63585480"/>
      <w:bookmarkEnd w:id="23"/>
      <w:bookmarkStart w:id="24" w:name="_Toc62219358"/>
      <w:bookmarkEnd w:id="24"/>
      <w:bookmarkStart w:id="25" w:name="_Toc63785439"/>
      <w:bookmarkEnd w:id="25"/>
    </w:p>
    <w:p w14:paraId="4BA4D90F">
      <w:pPr>
        <w:pStyle w:val="3"/>
        <w:rPr>
          <w:rFonts w:hint="eastAsia"/>
        </w:rPr>
      </w:pPr>
      <w:bookmarkStart w:id="26" w:name="_Toc63785505"/>
      <w:r>
        <w:rPr>
          <w:rFonts w:hint="eastAsia"/>
        </w:rPr>
        <w:t>售后服务要求</w:t>
      </w:r>
      <w:bookmarkEnd w:id="26"/>
    </w:p>
    <w:p w14:paraId="0E28012C">
      <w:pPr>
        <w:pStyle w:val="11"/>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2FC1BDF7">
      <w:pPr>
        <w:pStyle w:val="11"/>
        <w:snapToGrid w:val="0"/>
        <w:spacing w:line="360" w:lineRule="auto"/>
        <w:ind w:firstLine="480"/>
        <w:rPr>
          <w:rFonts w:hint="eastAsia" w:ascii="宋体" w:hAnsi="宋体"/>
          <w:sz w:val="24"/>
          <w:szCs w:val="24"/>
        </w:rPr>
      </w:pPr>
      <w:r>
        <w:rPr>
          <w:rFonts w:hint="eastAsia" w:ascii="宋体" w:hAnsi="宋体"/>
          <w:sz w:val="24"/>
          <w:szCs w:val="24"/>
        </w:rPr>
        <w:t>软硬件维护：投标方必</w:t>
      </w:r>
      <w:r>
        <w:rPr>
          <w:rFonts w:hint="eastAsia" w:ascii="宋体" w:hAnsi="宋体"/>
          <w:sz w:val="24"/>
          <w:szCs w:val="24"/>
          <w:lang w:eastAsia="zh-CN"/>
        </w:rPr>
        <w:t>需</w:t>
      </w:r>
      <w:r>
        <w:rPr>
          <w:rFonts w:hint="eastAsia" w:ascii="宋体" w:hAnsi="宋体"/>
          <w:sz w:val="24"/>
          <w:szCs w:val="24"/>
        </w:rPr>
        <w:t>负责对本标书中所有软硬件产品在系统验收后提供不少于1年的免费技术支持服务。</w:t>
      </w:r>
    </w:p>
    <w:p w14:paraId="36A1836C">
      <w:pPr>
        <w:pStyle w:val="11"/>
        <w:snapToGrid w:val="0"/>
        <w:spacing w:line="360" w:lineRule="auto"/>
        <w:ind w:firstLine="480"/>
        <w:rPr>
          <w:rFonts w:hint="eastAsia" w:ascii="宋体" w:hAnsi="宋体"/>
          <w:sz w:val="24"/>
          <w:szCs w:val="24"/>
        </w:rPr>
      </w:pPr>
      <w:r>
        <w:rPr>
          <w:rFonts w:hint="eastAsia" w:ascii="宋体" w:hAnsi="宋体"/>
          <w:sz w:val="24"/>
          <w:szCs w:val="24"/>
        </w:rPr>
        <w:t>投标方必</w:t>
      </w:r>
      <w:r>
        <w:rPr>
          <w:rFonts w:hint="eastAsia" w:ascii="宋体" w:hAnsi="宋体"/>
          <w:sz w:val="24"/>
          <w:szCs w:val="24"/>
          <w:lang w:eastAsia="zh-CN"/>
        </w:rPr>
        <w:t>需</w:t>
      </w:r>
      <w:r>
        <w:rPr>
          <w:rFonts w:hint="eastAsia" w:ascii="宋体" w:hAnsi="宋体"/>
          <w:sz w:val="24"/>
          <w:szCs w:val="24"/>
        </w:rPr>
        <w:t>提出保修期内的维修、维护内容及服务方式、范围（产品、技术、模块、部件）。保修期内，投标方负责对其提供的产品进行现场维修与维护，不收取额外费用。</w:t>
      </w:r>
    </w:p>
    <w:p w14:paraId="6D3BA624">
      <w:pPr>
        <w:pStyle w:val="3"/>
        <w:rPr>
          <w:rFonts w:hint="eastAsia"/>
        </w:rPr>
      </w:pPr>
      <w:bookmarkStart w:id="27" w:name="_Toc63785506"/>
      <w:r>
        <w:rPr>
          <w:rFonts w:hint="eastAsia"/>
        </w:rPr>
        <w:t>应急响应要求</w:t>
      </w:r>
      <w:bookmarkEnd w:id="27"/>
    </w:p>
    <w:p w14:paraId="2461A01A">
      <w:pPr>
        <w:pStyle w:val="11"/>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w:t>
      </w:r>
      <w:r>
        <w:rPr>
          <w:rFonts w:hint="eastAsia" w:ascii="宋体" w:hAnsi="宋体"/>
          <w:sz w:val="24"/>
          <w:szCs w:val="24"/>
        </w:rPr>
        <w:t>1</w:t>
      </w:r>
      <w:r>
        <w:rPr>
          <w:rFonts w:ascii="宋体" w:hAnsi="宋体"/>
          <w:sz w:val="24"/>
          <w:szCs w:val="24"/>
        </w:rPr>
        <w:t>小时内到达现场</w:t>
      </w:r>
      <w:r>
        <w:rPr>
          <w:rFonts w:hint="eastAsia" w:ascii="宋体" w:hAnsi="宋体"/>
          <w:sz w:val="24"/>
          <w:szCs w:val="24"/>
        </w:rPr>
        <w:t>。特殊故障与客户沟通协商后，按照协商的方式制定解决方案并进行处理。</w:t>
      </w:r>
    </w:p>
    <w:p w14:paraId="5047C403">
      <w:pPr>
        <w:pStyle w:val="11"/>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14:paraId="6C377443">
      <w:pPr>
        <w:pStyle w:val="11"/>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267431FE">
      <w:pPr>
        <w:pStyle w:val="11"/>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52AE964B">
      <w:pPr>
        <w:pStyle w:val="11"/>
        <w:snapToGrid w:val="0"/>
        <w:spacing w:line="360" w:lineRule="auto"/>
        <w:ind w:firstLine="480"/>
        <w:rPr>
          <w:rFonts w:hint="eastAsia"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0EC89DDB">
      <w:pPr>
        <w:pStyle w:val="3"/>
        <w:rPr>
          <w:rFonts w:hint="eastAsia"/>
        </w:rPr>
      </w:pPr>
      <w:bookmarkStart w:id="28" w:name="_Toc63785507"/>
      <w:r>
        <w:rPr>
          <w:rFonts w:hint="eastAsia"/>
        </w:rPr>
        <w:t>培训要求</w:t>
      </w:r>
      <w:bookmarkEnd w:id="28"/>
    </w:p>
    <w:p w14:paraId="415C8F88">
      <w:pPr>
        <w:rPr>
          <w:rFonts w:hint="eastAsia"/>
        </w:rPr>
      </w:pPr>
      <w:r>
        <w:rPr>
          <w:rFonts w:hint="eastAsia"/>
        </w:rPr>
        <w:t>对系统使用单位提供业务操作培训，应提供详细培训方案。</w:t>
      </w:r>
    </w:p>
    <w:p w14:paraId="16FB3E5C">
      <w:pPr>
        <w:rPr>
          <w:rFonts w:hint="eastAsia"/>
        </w:rPr>
      </w:pPr>
      <w:r>
        <w:rPr>
          <w:rFonts w:hint="eastAsia"/>
        </w:rPr>
        <w:t>(1)在1年的质量保证期内，提供2次与项目相关的必要培训。</w:t>
      </w:r>
    </w:p>
    <w:p w14:paraId="3F93FCC1">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2B544DD5">
      <w:pPr>
        <w:rPr>
          <w:rFonts w:hint="eastAsia"/>
          <w:strike/>
          <w:szCs w:val="21"/>
        </w:rPr>
      </w:pPr>
      <w:r>
        <w:rPr>
          <w:rFonts w:hint="eastAsia"/>
        </w:rPr>
        <w:t>(3)供应商应提供一般用户的基础操作培训和部门信息管理员的日常应用维护的培训，确保用户对象能够掌握对应的操作技能。</w:t>
      </w:r>
    </w:p>
    <w:p w14:paraId="55903A36">
      <w:pPr>
        <w:pStyle w:val="3"/>
        <w:rPr>
          <w:rFonts w:hint="eastAsia"/>
        </w:rPr>
      </w:pPr>
      <w:bookmarkStart w:id="29" w:name="_Toc63785510"/>
      <w:bookmarkStart w:id="33" w:name="_GoBack"/>
      <w:bookmarkEnd w:id="33"/>
      <w:r>
        <w:rPr>
          <w:rFonts w:hint="eastAsia"/>
        </w:rPr>
        <w:t>项目团队及驻场人员要求</w:t>
      </w:r>
      <w:bookmarkEnd w:id="29"/>
    </w:p>
    <w:p w14:paraId="1503D8E1">
      <w:pPr>
        <w:rPr>
          <w:rFonts w:hint="eastAsia"/>
        </w:rPr>
      </w:pPr>
      <w:bookmarkStart w:id="30" w:name="_Toc63785511"/>
      <w:r>
        <w:t>1）投标人</w:t>
      </w:r>
      <w:r>
        <w:rPr>
          <w:rFonts w:hint="eastAsia"/>
          <w:lang w:eastAsia="zh-CN"/>
        </w:rPr>
        <w:t>需</w:t>
      </w:r>
      <w:r>
        <w:t>具有稳定的在职技术保障力量，能够提供及时的技术支援或服务，应针对本项目提供不少于</w:t>
      </w:r>
      <w:r>
        <w:rPr>
          <w:rFonts w:hint="eastAsia"/>
        </w:rPr>
        <w:t>7</w:t>
      </w:r>
      <w:r>
        <w:t>人的项目服务团队（包括项目经理</w:t>
      </w:r>
      <w:r>
        <w:rPr>
          <w:rFonts w:hint="eastAsia"/>
        </w:rPr>
        <w:t>、项目副总经理</w:t>
      </w:r>
      <w:r>
        <w:t>、技术负责人</w:t>
      </w:r>
      <w:r>
        <w:rPr>
          <w:rFonts w:hint="eastAsia"/>
        </w:rPr>
        <w:t>、质量员、安全员、材料员、资料员等各类项目管理人员</w:t>
      </w:r>
      <w:r>
        <w:t>等），投标单位的相关服务人员需具备相应的服务能力，需提供相关证明。</w:t>
      </w:r>
    </w:p>
    <w:p w14:paraId="781A37CE">
      <w:pPr>
        <w:rPr>
          <w:rFonts w:hint="eastAsia"/>
        </w:rPr>
      </w:pPr>
    </w:p>
    <w:tbl>
      <w:tblPr>
        <w:tblStyle w:val="7"/>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0"/>
        <w:gridCol w:w="2244"/>
        <w:gridCol w:w="1276"/>
        <w:gridCol w:w="2020"/>
        <w:gridCol w:w="1438"/>
      </w:tblGrid>
      <w:tr w14:paraId="7D52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50" w:type="dxa"/>
            <w:shd w:val="clear" w:color="auto" w:fill="auto"/>
            <w:noWrap/>
            <w:vAlign w:val="center"/>
          </w:tcPr>
          <w:p w14:paraId="4FA3E6F6">
            <w:pPr>
              <w:widowControl/>
              <w:spacing w:line="240" w:lineRule="auto"/>
              <w:ind w:firstLine="0" w:firstLineChars="0"/>
              <w:jc w:val="center"/>
              <w:rPr>
                <w:rFonts w:hint="eastAsia"/>
                <w:b/>
              </w:rPr>
            </w:pPr>
            <w:r>
              <w:rPr>
                <w:rFonts w:hint="eastAsia"/>
                <w:b/>
              </w:rPr>
              <w:t>角色</w:t>
            </w:r>
          </w:p>
        </w:tc>
        <w:tc>
          <w:tcPr>
            <w:tcW w:w="2244" w:type="dxa"/>
            <w:shd w:val="clear" w:color="auto" w:fill="auto"/>
            <w:noWrap/>
            <w:vAlign w:val="center"/>
          </w:tcPr>
          <w:p w14:paraId="5DE0402F">
            <w:pPr>
              <w:widowControl/>
              <w:spacing w:line="240" w:lineRule="auto"/>
              <w:ind w:firstLine="0" w:firstLineChars="0"/>
              <w:jc w:val="center"/>
              <w:rPr>
                <w:rFonts w:hint="eastAsia"/>
                <w:b/>
              </w:rPr>
            </w:pPr>
            <w:r>
              <w:rPr>
                <w:rFonts w:hint="eastAsia"/>
                <w:b/>
              </w:rPr>
              <w:t>主要职责</w:t>
            </w:r>
          </w:p>
        </w:tc>
        <w:tc>
          <w:tcPr>
            <w:tcW w:w="1276" w:type="dxa"/>
            <w:shd w:val="clear" w:color="auto" w:fill="auto"/>
            <w:noWrap/>
            <w:vAlign w:val="center"/>
          </w:tcPr>
          <w:p w14:paraId="7F0B3C96">
            <w:pPr>
              <w:widowControl/>
              <w:spacing w:line="240" w:lineRule="auto"/>
              <w:ind w:firstLine="0" w:firstLineChars="0"/>
              <w:jc w:val="center"/>
              <w:rPr>
                <w:rFonts w:hint="eastAsia"/>
                <w:b/>
              </w:rPr>
            </w:pPr>
            <w:r>
              <w:rPr>
                <w:rFonts w:hint="eastAsia"/>
                <w:b/>
              </w:rPr>
              <w:t>人员数量</w:t>
            </w:r>
          </w:p>
        </w:tc>
        <w:tc>
          <w:tcPr>
            <w:tcW w:w="2020" w:type="dxa"/>
            <w:vAlign w:val="center"/>
          </w:tcPr>
          <w:p w14:paraId="6D204DCF">
            <w:pPr>
              <w:widowControl/>
              <w:spacing w:line="240" w:lineRule="auto"/>
              <w:ind w:firstLine="0" w:firstLineChars="0"/>
              <w:jc w:val="center"/>
              <w:rPr>
                <w:rFonts w:hint="eastAsia"/>
                <w:b/>
              </w:rPr>
            </w:pPr>
            <w:r>
              <w:rPr>
                <w:rFonts w:hint="eastAsia"/>
                <w:b/>
              </w:rPr>
              <w:t>人员要求</w:t>
            </w:r>
          </w:p>
        </w:tc>
        <w:tc>
          <w:tcPr>
            <w:tcW w:w="1438" w:type="dxa"/>
            <w:shd w:val="clear" w:color="auto" w:fill="auto"/>
            <w:noWrap/>
            <w:vAlign w:val="center"/>
          </w:tcPr>
          <w:p w14:paraId="0B560034">
            <w:pPr>
              <w:widowControl/>
              <w:spacing w:line="240" w:lineRule="auto"/>
              <w:ind w:firstLine="0" w:firstLineChars="0"/>
              <w:jc w:val="center"/>
              <w:rPr>
                <w:rFonts w:hint="eastAsia"/>
                <w:b/>
              </w:rPr>
            </w:pPr>
            <w:r>
              <w:rPr>
                <w:rFonts w:hint="eastAsia"/>
                <w:b/>
              </w:rPr>
              <w:t>驻场要求</w:t>
            </w:r>
          </w:p>
        </w:tc>
      </w:tr>
      <w:tr w14:paraId="725B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50" w:type="dxa"/>
            <w:shd w:val="clear" w:color="auto" w:fill="auto"/>
            <w:noWrap/>
            <w:vAlign w:val="center"/>
          </w:tcPr>
          <w:p w14:paraId="61A123FD">
            <w:pPr>
              <w:widowControl/>
              <w:spacing w:line="240" w:lineRule="auto"/>
              <w:ind w:firstLine="0" w:firstLineChars="0"/>
              <w:jc w:val="center"/>
              <w:rPr>
                <w:rFonts w:hint="eastAsia"/>
              </w:rPr>
            </w:pPr>
            <w:r>
              <w:rPr>
                <w:rFonts w:hint="eastAsia"/>
              </w:rPr>
              <w:t>项目经理</w:t>
            </w:r>
          </w:p>
        </w:tc>
        <w:tc>
          <w:tcPr>
            <w:tcW w:w="2244" w:type="dxa"/>
            <w:shd w:val="clear" w:color="auto" w:fill="auto"/>
            <w:vAlign w:val="center"/>
          </w:tcPr>
          <w:p w14:paraId="7DEE9A84">
            <w:pPr>
              <w:widowControl/>
              <w:spacing w:line="240" w:lineRule="auto"/>
              <w:ind w:firstLine="0" w:firstLineChars="0"/>
              <w:jc w:val="center"/>
              <w:rPr>
                <w:rFonts w:hint="eastAsia"/>
              </w:rPr>
            </w:pPr>
            <w:r>
              <w:rPr>
                <w:rFonts w:hint="eastAsia"/>
              </w:rPr>
              <w:t>负责项目全生命周期管理</w:t>
            </w:r>
          </w:p>
        </w:tc>
        <w:tc>
          <w:tcPr>
            <w:tcW w:w="1276" w:type="dxa"/>
            <w:shd w:val="clear" w:color="auto" w:fill="auto"/>
            <w:noWrap/>
            <w:vAlign w:val="center"/>
          </w:tcPr>
          <w:p w14:paraId="45AAB296">
            <w:pPr>
              <w:widowControl/>
              <w:spacing w:line="240" w:lineRule="auto"/>
              <w:ind w:firstLine="0" w:firstLineChars="0"/>
              <w:jc w:val="center"/>
              <w:rPr>
                <w:rFonts w:hint="eastAsia"/>
              </w:rPr>
            </w:pPr>
            <w:r>
              <w:rPr>
                <w:rFonts w:hint="eastAsia"/>
              </w:rPr>
              <w:t>1人</w:t>
            </w:r>
          </w:p>
        </w:tc>
        <w:tc>
          <w:tcPr>
            <w:tcW w:w="2020" w:type="dxa"/>
            <w:vAlign w:val="center"/>
          </w:tcPr>
          <w:p w14:paraId="40920F6A">
            <w:pPr>
              <w:widowControl/>
              <w:spacing w:line="240" w:lineRule="auto"/>
              <w:ind w:firstLine="0" w:firstLineChars="0"/>
              <w:jc w:val="center"/>
              <w:rPr>
                <w:rFonts w:hint="eastAsia"/>
              </w:rPr>
            </w:pPr>
            <w:r>
              <w:rPr>
                <w:rFonts w:hint="eastAsia"/>
              </w:rPr>
              <w:t>具备一级建造师（机电专业）执业资格证书、信息系统项目管理师证书</w:t>
            </w:r>
          </w:p>
        </w:tc>
        <w:tc>
          <w:tcPr>
            <w:tcW w:w="1438" w:type="dxa"/>
            <w:shd w:val="clear" w:color="auto" w:fill="auto"/>
            <w:noWrap/>
            <w:vAlign w:val="center"/>
          </w:tcPr>
          <w:p w14:paraId="3E663711">
            <w:pPr>
              <w:widowControl/>
              <w:spacing w:line="240" w:lineRule="auto"/>
              <w:ind w:firstLine="0" w:firstLineChars="0"/>
              <w:jc w:val="center"/>
              <w:rPr>
                <w:rFonts w:hint="eastAsia"/>
              </w:rPr>
            </w:pPr>
            <w:r>
              <w:rPr>
                <w:rFonts w:hint="eastAsia"/>
              </w:rPr>
              <w:t>不驻场</w:t>
            </w:r>
          </w:p>
        </w:tc>
      </w:tr>
      <w:tr w14:paraId="34DD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50" w:type="dxa"/>
            <w:shd w:val="clear" w:color="auto" w:fill="auto"/>
            <w:noWrap/>
            <w:vAlign w:val="center"/>
          </w:tcPr>
          <w:p w14:paraId="734121D2">
            <w:pPr>
              <w:widowControl/>
              <w:spacing w:line="240" w:lineRule="auto"/>
              <w:ind w:firstLine="0" w:firstLineChars="0"/>
              <w:jc w:val="center"/>
              <w:rPr>
                <w:rFonts w:hint="eastAsia"/>
              </w:rPr>
            </w:pPr>
            <w:r>
              <w:rPr>
                <w:rFonts w:hint="eastAsia"/>
              </w:rPr>
              <w:t>项目副经理</w:t>
            </w:r>
          </w:p>
        </w:tc>
        <w:tc>
          <w:tcPr>
            <w:tcW w:w="2244" w:type="dxa"/>
            <w:shd w:val="clear" w:color="auto" w:fill="auto"/>
            <w:vAlign w:val="center"/>
          </w:tcPr>
          <w:p w14:paraId="24BB6E00">
            <w:pPr>
              <w:widowControl/>
              <w:spacing w:line="240" w:lineRule="auto"/>
              <w:ind w:firstLine="0" w:firstLineChars="0"/>
              <w:jc w:val="center"/>
              <w:rPr>
                <w:rFonts w:hint="eastAsia"/>
              </w:rPr>
            </w:pPr>
            <w:r>
              <w:rPr>
                <w:rFonts w:hint="eastAsia"/>
              </w:rPr>
              <w:t>负责项目施工现场管理</w:t>
            </w:r>
          </w:p>
        </w:tc>
        <w:tc>
          <w:tcPr>
            <w:tcW w:w="1276" w:type="dxa"/>
            <w:shd w:val="clear" w:color="auto" w:fill="auto"/>
            <w:noWrap/>
            <w:vAlign w:val="center"/>
          </w:tcPr>
          <w:p w14:paraId="4577C174">
            <w:pPr>
              <w:widowControl/>
              <w:spacing w:line="240" w:lineRule="auto"/>
              <w:ind w:firstLine="0" w:firstLineChars="0"/>
              <w:jc w:val="center"/>
              <w:rPr>
                <w:rFonts w:hint="eastAsia"/>
              </w:rPr>
            </w:pPr>
            <w:r>
              <w:rPr>
                <w:rFonts w:hint="eastAsia"/>
              </w:rPr>
              <w:t>1人</w:t>
            </w:r>
          </w:p>
        </w:tc>
        <w:tc>
          <w:tcPr>
            <w:tcW w:w="2020" w:type="dxa"/>
            <w:vAlign w:val="center"/>
          </w:tcPr>
          <w:p w14:paraId="1E45559C">
            <w:pPr>
              <w:widowControl/>
              <w:spacing w:line="240" w:lineRule="auto"/>
              <w:ind w:firstLine="0" w:firstLineChars="0"/>
              <w:jc w:val="center"/>
              <w:rPr>
                <w:rFonts w:hint="eastAsia"/>
              </w:rPr>
            </w:pPr>
            <w:r>
              <w:rPr>
                <w:rFonts w:hint="eastAsia"/>
              </w:rPr>
              <w:t>具备二级建造师（机电专业）执业资格证书</w:t>
            </w:r>
          </w:p>
        </w:tc>
        <w:tc>
          <w:tcPr>
            <w:tcW w:w="1438" w:type="dxa"/>
            <w:shd w:val="clear" w:color="auto" w:fill="auto"/>
            <w:noWrap/>
            <w:vAlign w:val="center"/>
          </w:tcPr>
          <w:p w14:paraId="64F20CAC">
            <w:pPr>
              <w:widowControl/>
              <w:spacing w:line="240" w:lineRule="auto"/>
              <w:ind w:firstLine="0" w:firstLineChars="0"/>
              <w:jc w:val="center"/>
              <w:rPr>
                <w:rFonts w:hint="eastAsia"/>
              </w:rPr>
            </w:pPr>
            <w:r>
              <w:rPr>
                <w:rFonts w:hint="eastAsia"/>
              </w:rPr>
              <w:t>不驻场</w:t>
            </w:r>
          </w:p>
        </w:tc>
      </w:tr>
      <w:tr w14:paraId="21BD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50" w:type="dxa"/>
            <w:shd w:val="clear" w:color="auto" w:fill="auto"/>
            <w:noWrap/>
            <w:vAlign w:val="center"/>
          </w:tcPr>
          <w:p w14:paraId="33C0097E">
            <w:pPr>
              <w:widowControl/>
              <w:spacing w:line="240" w:lineRule="auto"/>
              <w:ind w:firstLine="0" w:firstLineChars="0"/>
              <w:jc w:val="center"/>
              <w:rPr>
                <w:rFonts w:hint="eastAsia"/>
              </w:rPr>
            </w:pPr>
            <w:r>
              <w:rPr>
                <w:rFonts w:hint="eastAsia"/>
              </w:rPr>
              <w:t>技术负责人</w:t>
            </w:r>
          </w:p>
        </w:tc>
        <w:tc>
          <w:tcPr>
            <w:tcW w:w="2244" w:type="dxa"/>
            <w:shd w:val="clear" w:color="auto" w:fill="auto"/>
            <w:vAlign w:val="center"/>
          </w:tcPr>
          <w:p w14:paraId="6938F539">
            <w:pPr>
              <w:widowControl/>
              <w:spacing w:line="240" w:lineRule="auto"/>
              <w:ind w:firstLine="0" w:firstLineChars="0"/>
              <w:jc w:val="center"/>
              <w:rPr>
                <w:rFonts w:hint="eastAsia"/>
              </w:rPr>
            </w:pPr>
            <w:r>
              <w:rPr>
                <w:rFonts w:hint="eastAsia"/>
              </w:rPr>
              <w:t>负责项目总体技术</w:t>
            </w:r>
          </w:p>
        </w:tc>
        <w:tc>
          <w:tcPr>
            <w:tcW w:w="1276" w:type="dxa"/>
            <w:shd w:val="clear" w:color="auto" w:fill="auto"/>
            <w:noWrap/>
            <w:vAlign w:val="center"/>
          </w:tcPr>
          <w:p w14:paraId="49246C5D">
            <w:pPr>
              <w:widowControl/>
              <w:spacing w:line="240" w:lineRule="auto"/>
              <w:ind w:firstLine="0" w:firstLineChars="0"/>
              <w:jc w:val="center"/>
              <w:rPr>
                <w:rFonts w:hint="eastAsia"/>
              </w:rPr>
            </w:pPr>
            <w:r>
              <w:rPr>
                <w:rFonts w:hint="eastAsia"/>
              </w:rPr>
              <w:t>1人</w:t>
            </w:r>
          </w:p>
        </w:tc>
        <w:tc>
          <w:tcPr>
            <w:tcW w:w="2020" w:type="dxa"/>
            <w:vAlign w:val="center"/>
          </w:tcPr>
          <w:p w14:paraId="155E11C4">
            <w:pPr>
              <w:widowControl/>
              <w:spacing w:line="240" w:lineRule="auto"/>
              <w:ind w:firstLine="0" w:firstLineChars="0"/>
              <w:jc w:val="center"/>
              <w:rPr>
                <w:rFonts w:hint="eastAsia"/>
              </w:rPr>
            </w:pPr>
            <w:r>
              <w:rPr>
                <w:rFonts w:hint="eastAsia"/>
              </w:rPr>
              <w:t>具备建筑智能化中级工程师证书</w:t>
            </w:r>
          </w:p>
        </w:tc>
        <w:tc>
          <w:tcPr>
            <w:tcW w:w="1438" w:type="dxa"/>
            <w:shd w:val="clear" w:color="auto" w:fill="auto"/>
            <w:noWrap/>
            <w:vAlign w:val="center"/>
          </w:tcPr>
          <w:p w14:paraId="54DC47D8">
            <w:pPr>
              <w:widowControl/>
              <w:spacing w:line="240" w:lineRule="auto"/>
              <w:ind w:firstLine="0" w:firstLineChars="0"/>
              <w:jc w:val="center"/>
              <w:rPr>
                <w:rFonts w:hint="eastAsia"/>
              </w:rPr>
            </w:pPr>
            <w:r>
              <w:rPr>
                <w:rFonts w:hint="eastAsia"/>
              </w:rPr>
              <w:t>不驻场</w:t>
            </w:r>
          </w:p>
        </w:tc>
      </w:tr>
      <w:tr w14:paraId="75A1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6" w:hRule="atLeast"/>
          <w:jc w:val="center"/>
        </w:trPr>
        <w:tc>
          <w:tcPr>
            <w:tcW w:w="1550" w:type="dxa"/>
            <w:shd w:val="clear" w:color="auto" w:fill="auto"/>
            <w:noWrap/>
            <w:vAlign w:val="center"/>
          </w:tcPr>
          <w:p w14:paraId="6E931892">
            <w:pPr>
              <w:widowControl/>
              <w:spacing w:line="240" w:lineRule="auto"/>
              <w:ind w:firstLine="0" w:firstLineChars="0"/>
              <w:jc w:val="center"/>
              <w:rPr>
                <w:rFonts w:hint="eastAsia"/>
              </w:rPr>
            </w:pPr>
            <w:r>
              <w:rPr>
                <w:rFonts w:hint="eastAsia"/>
              </w:rPr>
              <w:t>各类管理人员</w:t>
            </w:r>
          </w:p>
        </w:tc>
        <w:tc>
          <w:tcPr>
            <w:tcW w:w="2244" w:type="dxa"/>
            <w:shd w:val="clear" w:color="auto" w:fill="auto"/>
            <w:noWrap/>
            <w:vAlign w:val="center"/>
          </w:tcPr>
          <w:p w14:paraId="1C22901A">
            <w:pPr>
              <w:widowControl/>
              <w:spacing w:line="240" w:lineRule="auto"/>
              <w:ind w:firstLine="0" w:firstLineChars="0"/>
              <w:jc w:val="center"/>
              <w:rPr>
                <w:rFonts w:hint="eastAsia"/>
              </w:rPr>
            </w:pPr>
            <w:r>
              <w:rPr>
                <w:rFonts w:hint="eastAsia"/>
              </w:rPr>
              <w:t>负责项目实施过程中质量、安全、材料、资料的管理</w:t>
            </w:r>
          </w:p>
        </w:tc>
        <w:tc>
          <w:tcPr>
            <w:tcW w:w="1276" w:type="dxa"/>
            <w:shd w:val="clear" w:color="auto" w:fill="auto"/>
            <w:noWrap/>
            <w:vAlign w:val="center"/>
          </w:tcPr>
          <w:p w14:paraId="74FF010C">
            <w:pPr>
              <w:widowControl/>
              <w:spacing w:line="240" w:lineRule="auto"/>
              <w:ind w:firstLine="0" w:firstLineChars="0"/>
              <w:jc w:val="center"/>
              <w:rPr>
                <w:rFonts w:hint="eastAsia"/>
              </w:rPr>
            </w:pPr>
            <w:r>
              <w:rPr>
                <w:rFonts w:hint="eastAsia"/>
              </w:rPr>
              <w:t>4人</w:t>
            </w:r>
          </w:p>
        </w:tc>
        <w:tc>
          <w:tcPr>
            <w:tcW w:w="2020" w:type="dxa"/>
            <w:vAlign w:val="center"/>
          </w:tcPr>
          <w:p w14:paraId="75D80DC3">
            <w:pPr>
              <w:widowControl/>
              <w:spacing w:line="240" w:lineRule="auto"/>
              <w:ind w:firstLine="0" w:firstLineChars="0"/>
              <w:jc w:val="center"/>
              <w:rPr>
                <w:rFonts w:hint="eastAsia"/>
              </w:rPr>
            </w:pPr>
            <w:r>
              <w:rPr>
                <w:rFonts w:hint="eastAsia"/>
              </w:rPr>
              <w:t>具备上岗证书</w:t>
            </w:r>
          </w:p>
        </w:tc>
        <w:tc>
          <w:tcPr>
            <w:tcW w:w="1438" w:type="dxa"/>
            <w:shd w:val="clear" w:color="auto" w:fill="auto"/>
            <w:noWrap/>
            <w:vAlign w:val="center"/>
          </w:tcPr>
          <w:p w14:paraId="7C94DAF6">
            <w:pPr>
              <w:widowControl/>
              <w:spacing w:line="240" w:lineRule="auto"/>
              <w:ind w:firstLine="0" w:firstLineChars="0"/>
              <w:jc w:val="center"/>
              <w:rPr>
                <w:rFonts w:hint="eastAsia"/>
              </w:rPr>
            </w:pPr>
            <w:r>
              <w:rPr>
                <w:rFonts w:hint="eastAsia"/>
              </w:rPr>
              <w:t>不驻场</w:t>
            </w:r>
          </w:p>
        </w:tc>
      </w:tr>
    </w:tbl>
    <w:p w14:paraId="269C8D99">
      <w:pPr>
        <w:rPr>
          <w:rFonts w:hint="eastAsia"/>
        </w:rPr>
      </w:pPr>
    </w:p>
    <w:p w14:paraId="3DF93022">
      <w:pPr>
        <w:rPr>
          <w:rFonts w:hint="eastAsia"/>
        </w:rPr>
      </w:pPr>
      <w:r>
        <w:t>2）投标人应针对本项目提供不少于</w:t>
      </w:r>
      <w:r>
        <w:rPr>
          <w:rFonts w:hint="eastAsia"/>
        </w:rPr>
        <w:t>3</w:t>
      </w:r>
      <w:r>
        <w:t>人的质保期间支撑团队（</w:t>
      </w:r>
      <w:r>
        <w:rPr>
          <w:rFonts w:hint="eastAsia"/>
        </w:rPr>
        <w:t>其中运维经理1人、技术支持工程师1人，运维工程师1人</w:t>
      </w:r>
      <w:r>
        <w:t>）；投标人的相关服务人员需具备相应的服务能力，需提供相关证明（最近一个季度依法缴纳社保费的证明）。</w:t>
      </w:r>
    </w:p>
    <w:tbl>
      <w:tblPr>
        <w:tblStyle w:val="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2268"/>
        <w:gridCol w:w="1276"/>
        <w:gridCol w:w="1984"/>
        <w:gridCol w:w="1465"/>
      </w:tblGrid>
      <w:tr w14:paraId="2D89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7" w:type="dxa"/>
            <w:shd w:val="clear" w:color="auto" w:fill="auto"/>
            <w:noWrap/>
            <w:tcMar>
              <w:left w:w="0" w:type="dxa"/>
              <w:right w:w="0" w:type="dxa"/>
            </w:tcMar>
            <w:vAlign w:val="center"/>
          </w:tcPr>
          <w:p w14:paraId="1BB85934">
            <w:pPr>
              <w:widowControl/>
              <w:spacing w:line="240" w:lineRule="auto"/>
              <w:ind w:firstLine="0" w:firstLineChars="0"/>
              <w:jc w:val="center"/>
              <w:rPr>
                <w:rFonts w:hint="eastAsia"/>
                <w:b/>
              </w:rPr>
            </w:pPr>
            <w:r>
              <w:rPr>
                <w:rFonts w:hint="eastAsia"/>
                <w:b/>
              </w:rPr>
              <w:t>角色</w:t>
            </w:r>
          </w:p>
        </w:tc>
        <w:tc>
          <w:tcPr>
            <w:tcW w:w="2268" w:type="dxa"/>
            <w:shd w:val="clear" w:color="auto" w:fill="auto"/>
            <w:noWrap/>
            <w:tcMar>
              <w:left w:w="0" w:type="dxa"/>
              <w:right w:w="0" w:type="dxa"/>
            </w:tcMar>
            <w:vAlign w:val="center"/>
          </w:tcPr>
          <w:p w14:paraId="0A42D2FF">
            <w:pPr>
              <w:widowControl/>
              <w:spacing w:line="240" w:lineRule="auto"/>
              <w:ind w:firstLine="0" w:firstLineChars="0"/>
              <w:jc w:val="center"/>
              <w:rPr>
                <w:rFonts w:hint="eastAsia"/>
                <w:b/>
              </w:rPr>
            </w:pPr>
            <w:r>
              <w:rPr>
                <w:rFonts w:hint="eastAsia"/>
                <w:b/>
              </w:rPr>
              <w:t>主要职责</w:t>
            </w:r>
          </w:p>
        </w:tc>
        <w:tc>
          <w:tcPr>
            <w:tcW w:w="1276" w:type="dxa"/>
            <w:shd w:val="clear" w:color="auto" w:fill="auto"/>
            <w:noWrap/>
            <w:tcMar>
              <w:left w:w="0" w:type="dxa"/>
              <w:right w:w="0" w:type="dxa"/>
            </w:tcMar>
            <w:vAlign w:val="center"/>
          </w:tcPr>
          <w:p w14:paraId="40A52F78">
            <w:pPr>
              <w:widowControl/>
              <w:spacing w:line="240" w:lineRule="auto"/>
              <w:ind w:firstLine="0" w:firstLineChars="0"/>
              <w:jc w:val="center"/>
              <w:rPr>
                <w:rFonts w:hint="eastAsia"/>
                <w:b/>
              </w:rPr>
            </w:pPr>
            <w:r>
              <w:rPr>
                <w:rFonts w:hint="eastAsia"/>
                <w:b/>
              </w:rPr>
              <w:t>人员数量</w:t>
            </w:r>
          </w:p>
        </w:tc>
        <w:tc>
          <w:tcPr>
            <w:tcW w:w="1984" w:type="dxa"/>
            <w:tcMar>
              <w:left w:w="0" w:type="dxa"/>
              <w:right w:w="0" w:type="dxa"/>
            </w:tcMar>
            <w:vAlign w:val="center"/>
          </w:tcPr>
          <w:p w14:paraId="1C1AD63A">
            <w:pPr>
              <w:widowControl/>
              <w:spacing w:line="240" w:lineRule="auto"/>
              <w:ind w:firstLine="0" w:firstLineChars="0"/>
              <w:jc w:val="center"/>
              <w:rPr>
                <w:rFonts w:hint="eastAsia"/>
                <w:b/>
              </w:rPr>
            </w:pPr>
            <w:r>
              <w:rPr>
                <w:rFonts w:hint="eastAsia"/>
                <w:b/>
              </w:rPr>
              <w:t>人员要求</w:t>
            </w:r>
          </w:p>
        </w:tc>
        <w:tc>
          <w:tcPr>
            <w:tcW w:w="1465" w:type="dxa"/>
            <w:shd w:val="clear" w:color="auto" w:fill="auto"/>
            <w:noWrap/>
            <w:tcMar>
              <w:left w:w="0" w:type="dxa"/>
              <w:right w:w="0" w:type="dxa"/>
            </w:tcMar>
            <w:vAlign w:val="center"/>
          </w:tcPr>
          <w:p w14:paraId="4C993B6C">
            <w:pPr>
              <w:widowControl/>
              <w:spacing w:line="240" w:lineRule="auto"/>
              <w:ind w:firstLine="0" w:firstLineChars="0"/>
              <w:jc w:val="center"/>
              <w:rPr>
                <w:rFonts w:hint="eastAsia"/>
                <w:b/>
              </w:rPr>
            </w:pPr>
            <w:r>
              <w:rPr>
                <w:rFonts w:hint="eastAsia"/>
                <w:b/>
              </w:rPr>
              <w:t>驻场要求</w:t>
            </w:r>
          </w:p>
        </w:tc>
      </w:tr>
      <w:tr w14:paraId="6E7D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7" w:type="dxa"/>
            <w:shd w:val="clear" w:color="auto" w:fill="auto"/>
            <w:noWrap/>
            <w:tcMar>
              <w:left w:w="0" w:type="dxa"/>
              <w:right w:w="0" w:type="dxa"/>
            </w:tcMar>
            <w:vAlign w:val="center"/>
          </w:tcPr>
          <w:p w14:paraId="0E575C80">
            <w:pPr>
              <w:widowControl/>
              <w:spacing w:line="240" w:lineRule="auto"/>
              <w:ind w:firstLine="0" w:firstLineChars="0"/>
              <w:jc w:val="center"/>
              <w:rPr>
                <w:rFonts w:hint="eastAsia"/>
              </w:rPr>
            </w:pPr>
            <w:r>
              <w:rPr>
                <w:rFonts w:hint="eastAsia"/>
              </w:rPr>
              <w:t>运维经理</w:t>
            </w:r>
          </w:p>
        </w:tc>
        <w:tc>
          <w:tcPr>
            <w:tcW w:w="2268" w:type="dxa"/>
            <w:shd w:val="clear" w:color="auto" w:fill="auto"/>
            <w:tcMar>
              <w:left w:w="0" w:type="dxa"/>
              <w:right w:w="0" w:type="dxa"/>
            </w:tcMar>
            <w:vAlign w:val="center"/>
          </w:tcPr>
          <w:p w14:paraId="48844BA7">
            <w:pPr>
              <w:widowControl/>
              <w:spacing w:line="240" w:lineRule="auto"/>
              <w:ind w:firstLine="0" w:firstLineChars="0"/>
              <w:jc w:val="center"/>
              <w:rPr>
                <w:rFonts w:hint="eastAsia"/>
              </w:rPr>
            </w:pPr>
            <w:r>
              <w:rPr>
                <w:rFonts w:hint="eastAsia"/>
              </w:rPr>
              <w:t>运维工作总体负责</w:t>
            </w:r>
          </w:p>
        </w:tc>
        <w:tc>
          <w:tcPr>
            <w:tcW w:w="1276" w:type="dxa"/>
            <w:shd w:val="clear" w:color="auto" w:fill="auto"/>
            <w:noWrap/>
            <w:tcMar>
              <w:left w:w="0" w:type="dxa"/>
              <w:right w:w="0" w:type="dxa"/>
            </w:tcMar>
            <w:vAlign w:val="center"/>
          </w:tcPr>
          <w:p w14:paraId="16572581">
            <w:pPr>
              <w:widowControl/>
              <w:spacing w:line="240" w:lineRule="auto"/>
              <w:ind w:firstLine="0" w:firstLineChars="0"/>
              <w:jc w:val="center"/>
              <w:rPr>
                <w:rFonts w:hint="eastAsia"/>
              </w:rPr>
            </w:pPr>
            <w:r>
              <w:rPr>
                <w:rFonts w:hint="eastAsia"/>
              </w:rPr>
              <w:t>1人</w:t>
            </w:r>
          </w:p>
        </w:tc>
        <w:tc>
          <w:tcPr>
            <w:tcW w:w="1984" w:type="dxa"/>
            <w:tcMar>
              <w:left w:w="0" w:type="dxa"/>
              <w:right w:w="0" w:type="dxa"/>
            </w:tcMar>
            <w:vAlign w:val="center"/>
          </w:tcPr>
          <w:p w14:paraId="2846858E">
            <w:pPr>
              <w:widowControl/>
              <w:spacing w:line="240" w:lineRule="auto"/>
              <w:ind w:firstLine="0" w:firstLineChars="0"/>
              <w:jc w:val="center"/>
              <w:rPr>
                <w:rFonts w:hint="eastAsia"/>
              </w:rPr>
            </w:pPr>
            <w:r>
              <w:rPr>
                <w:rFonts w:hint="eastAsia"/>
              </w:rPr>
              <w:t>具备ITSS的IT服务工程师证书</w:t>
            </w:r>
          </w:p>
        </w:tc>
        <w:tc>
          <w:tcPr>
            <w:tcW w:w="1465" w:type="dxa"/>
            <w:shd w:val="clear" w:color="auto" w:fill="auto"/>
            <w:noWrap/>
            <w:tcMar>
              <w:left w:w="0" w:type="dxa"/>
              <w:right w:w="0" w:type="dxa"/>
            </w:tcMar>
            <w:vAlign w:val="center"/>
          </w:tcPr>
          <w:p w14:paraId="347E5B33">
            <w:pPr>
              <w:widowControl/>
              <w:spacing w:line="240" w:lineRule="auto"/>
              <w:ind w:firstLine="0" w:firstLineChars="0"/>
              <w:jc w:val="center"/>
              <w:rPr>
                <w:rFonts w:hint="eastAsia"/>
              </w:rPr>
            </w:pPr>
            <w:r>
              <w:rPr>
                <w:rFonts w:hint="eastAsia"/>
              </w:rPr>
              <w:t>不驻场</w:t>
            </w:r>
          </w:p>
        </w:tc>
      </w:tr>
      <w:tr w14:paraId="7AC4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7" w:type="dxa"/>
            <w:shd w:val="clear" w:color="auto" w:fill="auto"/>
            <w:noWrap/>
            <w:tcMar>
              <w:left w:w="0" w:type="dxa"/>
              <w:right w:w="0" w:type="dxa"/>
            </w:tcMar>
            <w:vAlign w:val="center"/>
          </w:tcPr>
          <w:p w14:paraId="5EA5A359">
            <w:pPr>
              <w:widowControl/>
              <w:spacing w:line="240" w:lineRule="auto"/>
              <w:ind w:firstLine="0" w:firstLineChars="0"/>
              <w:jc w:val="center"/>
              <w:rPr>
                <w:rFonts w:hint="eastAsia"/>
              </w:rPr>
            </w:pPr>
            <w:r>
              <w:rPr>
                <w:rFonts w:hint="eastAsia"/>
              </w:rPr>
              <w:t>技术支持工程师</w:t>
            </w:r>
          </w:p>
        </w:tc>
        <w:tc>
          <w:tcPr>
            <w:tcW w:w="2268" w:type="dxa"/>
            <w:shd w:val="clear" w:color="auto" w:fill="auto"/>
            <w:tcMar>
              <w:left w:w="0" w:type="dxa"/>
              <w:right w:w="0" w:type="dxa"/>
            </w:tcMar>
            <w:vAlign w:val="center"/>
          </w:tcPr>
          <w:p w14:paraId="137880F3">
            <w:pPr>
              <w:widowControl/>
              <w:spacing w:line="240" w:lineRule="auto"/>
              <w:ind w:firstLine="0" w:firstLineChars="0"/>
              <w:jc w:val="center"/>
              <w:rPr>
                <w:rFonts w:hint="eastAsia"/>
              </w:rPr>
            </w:pPr>
            <w:r>
              <w:rPr>
                <w:rFonts w:hint="eastAsia"/>
              </w:rPr>
              <w:t>负责提供后端运维技术支持</w:t>
            </w:r>
          </w:p>
        </w:tc>
        <w:tc>
          <w:tcPr>
            <w:tcW w:w="1276" w:type="dxa"/>
            <w:shd w:val="clear" w:color="auto" w:fill="auto"/>
            <w:noWrap/>
            <w:tcMar>
              <w:left w:w="0" w:type="dxa"/>
              <w:right w:w="0" w:type="dxa"/>
            </w:tcMar>
            <w:vAlign w:val="center"/>
          </w:tcPr>
          <w:p w14:paraId="10F7A82C">
            <w:pPr>
              <w:widowControl/>
              <w:spacing w:line="240" w:lineRule="auto"/>
              <w:ind w:firstLine="0" w:firstLineChars="0"/>
              <w:jc w:val="center"/>
              <w:rPr>
                <w:rFonts w:hint="eastAsia"/>
              </w:rPr>
            </w:pPr>
            <w:r>
              <w:rPr>
                <w:rFonts w:hint="eastAsia"/>
              </w:rPr>
              <w:t>1人</w:t>
            </w:r>
          </w:p>
        </w:tc>
        <w:tc>
          <w:tcPr>
            <w:tcW w:w="1984" w:type="dxa"/>
            <w:tcMar>
              <w:left w:w="0" w:type="dxa"/>
              <w:right w:w="0" w:type="dxa"/>
            </w:tcMar>
            <w:vAlign w:val="center"/>
          </w:tcPr>
          <w:p w14:paraId="07FB54D0">
            <w:pPr>
              <w:widowControl/>
              <w:spacing w:line="240" w:lineRule="auto"/>
              <w:ind w:firstLine="0" w:firstLineChars="0"/>
              <w:jc w:val="center"/>
              <w:rPr>
                <w:rFonts w:hint="eastAsia"/>
              </w:rPr>
            </w:pPr>
            <w:r>
              <w:rPr>
                <w:rFonts w:hint="eastAsia"/>
              </w:rPr>
              <w:t>/</w:t>
            </w:r>
          </w:p>
        </w:tc>
        <w:tc>
          <w:tcPr>
            <w:tcW w:w="1465" w:type="dxa"/>
            <w:shd w:val="clear" w:color="auto" w:fill="auto"/>
            <w:noWrap/>
            <w:tcMar>
              <w:left w:w="0" w:type="dxa"/>
              <w:right w:w="0" w:type="dxa"/>
            </w:tcMar>
            <w:vAlign w:val="center"/>
          </w:tcPr>
          <w:p w14:paraId="4FF16536">
            <w:pPr>
              <w:widowControl/>
              <w:spacing w:line="240" w:lineRule="auto"/>
              <w:ind w:firstLine="0" w:firstLineChars="0"/>
              <w:jc w:val="center"/>
              <w:rPr>
                <w:rFonts w:hint="eastAsia"/>
              </w:rPr>
            </w:pPr>
            <w:r>
              <w:rPr>
                <w:rFonts w:hint="eastAsia"/>
              </w:rPr>
              <w:t>不驻场</w:t>
            </w:r>
          </w:p>
        </w:tc>
      </w:tr>
      <w:tr w14:paraId="6FE2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7" w:type="dxa"/>
            <w:shd w:val="clear" w:color="auto" w:fill="auto"/>
            <w:noWrap/>
            <w:tcMar>
              <w:left w:w="0" w:type="dxa"/>
              <w:right w:w="0" w:type="dxa"/>
            </w:tcMar>
            <w:vAlign w:val="center"/>
          </w:tcPr>
          <w:p w14:paraId="64E9B08D">
            <w:pPr>
              <w:widowControl/>
              <w:spacing w:line="240" w:lineRule="auto"/>
              <w:ind w:firstLine="0" w:firstLineChars="0"/>
              <w:jc w:val="center"/>
              <w:rPr>
                <w:rFonts w:hint="eastAsia"/>
              </w:rPr>
            </w:pPr>
            <w:r>
              <w:rPr>
                <w:rFonts w:hint="eastAsia"/>
              </w:rPr>
              <w:t>运维工程师</w:t>
            </w:r>
          </w:p>
        </w:tc>
        <w:tc>
          <w:tcPr>
            <w:tcW w:w="2268" w:type="dxa"/>
            <w:shd w:val="clear" w:color="auto" w:fill="auto"/>
            <w:noWrap/>
            <w:tcMar>
              <w:left w:w="0" w:type="dxa"/>
              <w:right w:w="0" w:type="dxa"/>
            </w:tcMar>
            <w:vAlign w:val="center"/>
          </w:tcPr>
          <w:p w14:paraId="742710D3">
            <w:pPr>
              <w:widowControl/>
              <w:spacing w:line="240" w:lineRule="auto"/>
              <w:ind w:firstLine="0" w:firstLineChars="0"/>
              <w:jc w:val="center"/>
              <w:rPr>
                <w:rFonts w:hint="eastAsia"/>
              </w:rPr>
            </w:pPr>
            <w:r>
              <w:rPr>
                <w:rFonts w:hint="eastAsia"/>
              </w:rPr>
              <w:t>负责项目运行维护</w:t>
            </w:r>
          </w:p>
        </w:tc>
        <w:tc>
          <w:tcPr>
            <w:tcW w:w="1276" w:type="dxa"/>
            <w:shd w:val="clear" w:color="auto" w:fill="auto"/>
            <w:noWrap/>
            <w:tcMar>
              <w:left w:w="0" w:type="dxa"/>
              <w:right w:w="0" w:type="dxa"/>
            </w:tcMar>
            <w:vAlign w:val="center"/>
          </w:tcPr>
          <w:p w14:paraId="19BD554F">
            <w:pPr>
              <w:widowControl/>
              <w:spacing w:line="240" w:lineRule="auto"/>
              <w:ind w:firstLine="0" w:firstLineChars="0"/>
              <w:jc w:val="center"/>
              <w:rPr>
                <w:rFonts w:hint="eastAsia"/>
              </w:rPr>
            </w:pPr>
            <w:r>
              <w:rPr>
                <w:rFonts w:hint="eastAsia"/>
              </w:rPr>
              <w:t>1人</w:t>
            </w:r>
          </w:p>
        </w:tc>
        <w:tc>
          <w:tcPr>
            <w:tcW w:w="1984" w:type="dxa"/>
            <w:tcMar>
              <w:left w:w="0" w:type="dxa"/>
              <w:right w:w="0" w:type="dxa"/>
            </w:tcMar>
            <w:vAlign w:val="center"/>
          </w:tcPr>
          <w:p w14:paraId="0F7E657C">
            <w:pPr>
              <w:widowControl/>
              <w:spacing w:line="240" w:lineRule="auto"/>
              <w:ind w:firstLine="0" w:firstLineChars="0"/>
              <w:jc w:val="center"/>
              <w:rPr>
                <w:rFonts w:hint="eastAsia"/>
              </w:rPr>
            </w:pPr>
            <w:r>
              <w:rPr>
                <w:rFonts w:hint="eastAsia"/>
              </w:rPr>
              <w:t>/</w:t>
            </w:r>
          </w:p>
        </w:tc>
        <w:tc>
          <w:tcPr>
            <w:tcW w:w="1465" w:type="dxa"/>
            <w:shd w:val="clear" w:color="auto" w:fill="auto"/>
            <w:noWrap/>
            <w:tcMar>
              <w:left w:w="0" w:type="dxa"/>
              <w:right w:w="0" w:type="dxa"/>
            </w:tcMar>
            <w:vAlign w:val="center"/>
          </w:tcPr>
          <w:p w14:paraId="7F07F8D8">
            <w:pPr>
              <w:widowControl/>
              <w:spacing w:line="240" w:lineRule="auto"/>
              <w:ind w:firstLine="0" w:firstLineChars="0"/>
              <w:jc w:val="center"/>
              <w:rPr>
                <w:rFonts w:hint="eastAsia"/>
              </w:rPr>
            </w:pPr>
            <w:r>
              <w:rPr>
                <w:rFonts w:hint="eastAsia"/>
              </w:rPr>
              <w:t>不驻场</w:t>
            </w:r>
          </w:p>
        </w:tc>
      </w:tr>
    </w:tbl>
    <w:p w14:paraId="5C827D0A">
      <w:pPr>
        <w:ind w:left="480" w:firstLine="0" w:firstLineChars="0"/>
        <w:rPr>
          <w:rFonts w:hint="eastAsia"/>
        </w:rPr>
      </w:pPr>
    </w:p>
    <w:p w14:paraId="54E3C4B0">
      <w:pPr>
        <w:pStyle w:val="3"/>
        <w:rPr>
          <w:rFonts w:hint="eastAsia"/>
        </w:rPr>
      </w:pPr>
      <w:r>
        <w:t>等级保护要求</w:t>
      </w:r>
      <w:bookmarkEnd w:id="30"/>
      <w:r>
        <w:rPr>
          <w:rFonts w:hint="eastAsia"/>
        </w:rPr>
        <w:t>（无）</w:t>
      </w:r>
    </w:p>
    <w:p w14:paraId="40FD8634">
      <w:pPr>
        <w:rPr>
          <w:rFonts w:hint="eastAsia"/>
        </w:rPr>
      </w:pPr>
      <w:r>
        <w:t xml:space="preserve">本项目等级保护要求： </w:t>
      </w:r>
    </w:p>
    <w:p w14:paraId="591252CE">
      <w:pPr>
        <w:ind w:firstLine="560"/>
        <w:rPr>
          <w:rFonts w:hint="eastAsia" w:ascii="仿宋_GB2312" w:eastAsia="仿宋_GB2312" w:cs="仿宋_GB2312"/>
          <w:color w:val="000000"/>
          <w:kern w:val="0"/>
          <w:sz w:val="28"/>
          <w:szCs w:val="28"/>
        </w:rPr>
      </w:pPr>
      <w:r>
        <w:rPr>
          <w:rFonts w:ascii="仿宋_GB2312" w:eastAsia="仿宋_GB2312" w:cs="仿宋_GB2312"/>
          <w:color w:val="000000"/>
          <w:kern w:val="0"/>
          <w:sz w:val="28"/>
          <w:szCs w:val="28"/>
        </w:rPr>
        <w:t>明确拟建项目的信息系统安全等级</w:t>
      </w:r>
      <w:r>
        <w:rPr>
          <w:rFonts w:hint="eastAsia" w:ascii="仿宋_GB2312" w:eastAsia="仿宋_GB2312" w:cs="仿宋_GB2312"/>
          <w:color w:val="000000"/>
          <w:kern w:val="0"/>
          <w:sz w:val="28"/>
          <w:szCs w:val="28"/>
        </w:rPr>
        <w:t>。</w:t>
      </w:r>
    </w:p>
    <w:p w14:paraId="2EFF817A">
      <w:pPr>
        <w:pStyle w:val="3"/>
        <w:rPr>
          <w:rFonts w:hint="eastAsia"/>
        </w:rPr>
      </w:pPr>
      <w:r>
        <w:rPr>
          <w:rFonts w:hint="eastAsia"/>
        </w:rPr>
        <w:t>商业密码应用需求（无）</w:t>
      </w:r>
    </w:p>
    <w:p w14:paraId="1B16FA97">
      <w:pPr>
        <w:ind w:firstLine="560"/>
        <w:rPr>
          <w:rFonts w:hint="eastAsia"/>
        </w:rPr>
      </w:pPr>
      <w:r>
        <w:rPr>
          <w:rFonts w:hint="eastAsia" w:ascii="仿宋_GB2312" w:eastAsia="仿宋_GB2312" w:cs="仿宋_GB2312"/>
          <w:color w:val="000000"/>
          <w:kern w:val="0"/>
          <w:sz w:val="28"/>
          <w:szCs w:val="28"/>
        </w:rPr>
        <w:t>明确拟建项目的</w:t>
      </w:r>
      <w:r>
        <w:rPr>
          <w:rFonts w:ascii="仿宋_GB2312" w:eastAsia="仿宋_GB2312" w:cs="仿宋_GB2312"/>
          <w:color w:val="000000"/>
          <w:kern w:val="0"/>
          <w:sz w:val="28"/>
          <w:szCs w:val="28"/>
        </w:rPr>
        <w:t>商用密码应用需求</w:t>
      </w:r>
      <w:r>
        <w:rPr>
          <w:rFonts w:hint="eastAsia" w:ascii="仿宋_GB2312" w:eastAsia="仿宋_GB2312" w:cs="仿宋_GB2312"/>
          <w:color w:val="000000"/>
          <w:kern w:val="0"/>
          <w:sz w:val="28"/>
          <w:szCs w:val="28"/>
        </w:rPr>
        <w:t>。</w:t>
      </w:r>
    </w:p>
    <w:p w14:paraId="5B984174">
      <w:pPr>
        <w:pStyle w:val="3"/>
        <w:rPr>
          <w:rFonts w:hint="eastAsia"/>
        </w:rPr>
      </w:pPr>
      <w:bookmarkStart w:id="31" w:name="_Toc63785512"/>
      <w:r>
        <w:rPr>
          <w:rFonts w:hint="eastAsia"/>
        </w:rPr>
        <w:t>技术文件要求</w:t>
      </w:r>
    </w:p>
    <w:p w14:paraId="7B13EDBB">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14:paraId="46942308">
      <w:pPr>
        <w:rPr>
          <w:rFonts w:hint="eastAsia"/>
        </w:rPr>
      </w:pPr>
      <w:r>
        <w:rPr>
          <w:rFonts w:hint="eastAsia"/>
        </w:rPr>
        <w:t>－</w:t>
      </w:r>
      <w:r>
        <w:t xml:space="preserve"> 系统说明文件； </w:t>
      </w:r>
    </w:p>
    <w:p w14:paraId="3C10CCBD">
      <w:pPr>
        <w:rPr>
          <w:rFonts w:hint="eastAsia"/>
        </w:rPr>
      </w:pPr>
      <w:r>
        <w:rPr>
          <w:rFonts w:hint="eastAsia"/>
        </w:rPr>
        <w:t>－</w:t>
      </w:r>
      <w:r>
        <w:t xml:space="preserve"> 技术手册(安装、测试、操作、维护、故障排除等)； </w:t>
      </w:r>
    </w:p>
    <w:bookmarkEnd w:id="31"/>
    <w:p w14:paraId="43C2B8A3">
      <w:pPr>
        <w:pStyle w:val="12"/>
        <w:ind w:firstLine="1200" w:firstLineChars="400"/>
        <w:rPr>
          <w:rFonts w:hint="eastAsia"/>
          <w:b/>
          <w:bCs/>
          <w:sz w:val="30"/>
          <w:szCs w:val="32"/>
        </w:rPr>
      </w:pPr>
      <w:r>
        <w:rPr>
          <w:rFonts w:hint="eastAsia"/>
          <w:b/>
          <w:bCs/>
          <w:sz w:val="30"/>
          <w:szCs w:val="32"/>
        </w:rPr>
        <w:t>5.9、企业综合实力要求</w:t>
      </w:r>
    </w:p>
    <w:p w14:paraId="65664DAA">
      <w:pPr>
        <w:pStyle w:val="12"/>
        <w:ind w:firstLine="480"/>
        <w:rPr>
          <w:rFonts w:hint="eastAsia"/>
          <w:sz w:val="24"/>
          <w:szCs w:val="24"/>
        </w:rPr>
      </w:pPr>
      <w:r>
        <w:rPr>
          <w:rFonts w:hint="eastAsia" w:cs="Times New Roman"/>
          <w:color w:val="auto"/>
          <w:kern w:val="2"/>
          <w:sz w:val="24"/>
          <w:szCs w:val="24"/>
        </w:rPr>
        <w:t>投标人具备ISO27001信息安全管理体系认证证书、ISO9001质量管理体系认证证书</w:t>
      </w:r>
      <w:r>
        <w:rPr>
          <w:rFonts w:hint="eastAsia"/>
          <w:sz w:val="24"/>
          <w:szCs w:val="24"/>
        </w:rPr>
        <w:t>、CS2级（或以上）信息系统建设和服务能力等级证书</w:t>
      </w:r>
      <w:r>
        <w:rPr>
          <w:rFonts w:hint="eastAsia" w:cs="Times New Roman"/>
          <w:color w:val="auto"/>
          <w:kern w:val="2"/>
          <w:sz w:val="24"/>
          <w:szCs w:val="24"/>
        </w:rPr>
        <w:t>的优先考虑</w:t>
      </w:r>
    </w:p>
    <w:p w14:paraId="30556C9C">
      <w:pPr>
        <w:pStyle w:val="3"/>
        <w:numPr>
          <w:ilvl w:val="1"/>
          <w:numId w:val="3"/>
        </w:numPr>
        <w:ind w:hanging="154"/>
        <w:rPr>
          <w:rFonts w:hint="eastAsia"/>
        </w:rPr>
      </w:pPr>
      <w:r>
        <w:rPr>
          <w:rFonts w:hint="eastAsia"/>
        </w:rPr>
        <w:t>验收要求</w:t>
      </w:r>
    </w:p>
    <w:p w14:paraId="1190CE40">
      <w:pPr>
        <w:rPr>
          <w:rFonts w:hint="eastAsia"/>
        </w:rPr>
      </w:pPr>
      <w:r>
        <w:rPr>
          <w:rFonts w:hint="eastAsia"/>
        </w:rPr>
        <w:t>确保视频云存储设备能够识别和兼容看守所现有的监控摄像头、录像格式等，与现有监控系统前端不同品牌、型号的摄像头以及不同格式的监控视频实现无缝对接，将看守所内既有的监控录像完整、准确地迁移到新的云存储设备中，并保证数据的一致性和完整性。</w:t>
      </w:r>
    </w:p>
    <w:p w14:paraId="7B4518B5">
      <w:pPr>
        <w:rPr>
          <w:rFonts w:hint="eastAsia"/>
        </w:rPr>
      </w:pPr>
      <w:r>
        <w:rPr>
          <w:rFonts w:hint="eastAsia"/>
        </w:rPr>
        <w:t>需要重点解决在看守所端和区检察院端通过不同平台调用视频时产生的卡段现象，，保证数据在各个系统之间的顺畅流通和共享。</w:t>
      </w:r>
    </w:p>
    <w:p w14:paraId="24D1BF15">
      <w:pPr>
        <w:rPr>
          <w:rFonts w:hint="eastAsia"/>
        </w:rPr>
      </w:pPr>
      <w:r>
        <w:rPr>
          <w:rFonts w:hint="eastAsia"/>
        </w:rPr>
        <w:t>视频云存储管理软件需提供开放的接口，以便与现有不同品牌、型号的的监控存储系统进行深度集成，实现统一的管理和监控。</w:t>
      </w:r>
    </w:p>
    <w:p w14:paraId="01673A1C">
      <w:pPr>
        <w:rPr>
          <w:rFonts w:hint="eastAsia"/>
          <w:sz w:val="24"/>
          <w:szCs w:val="24"/>
        </w:rPr>
      </w:pPr>
      <w:r>
        <w:rPr>
          <w:rFonts w:hint="eastAsia"/>
        </w:rPr>
        <w:t>对于不支持标准协议的设备或系统，应从原制造商处获取接口协议（投标人自行负责），并根据实际情况进行接口协议的二次开发，实现协议的兼容和转换。</w:t>
      </w:r>
    </w:p>
    <w:p w14:paraId="20321338">
      <w:pPr>
        <w:pStyle w:val="2"/>
        <w:rPr>
          <w:rFonts w:hint="eastAsia"/>
        </w:rPr>
      </w:pPr>
      <w:bookmarkStart w:id="32" w:name="_Toc68798863"/>
      <w:r>
        <w:rPr>
          <w:rFonts w:hint="eastAsia"/>
        </w:rPr>
        <w:t>附录</w:t>
      </w:r>
      <w:bookmarkEnd w:id="32"/>
    </w:p>
    <w:p w14:paraId="3C180231">
      <w:pPr>
        <w:ind w:firstLine="482"/>
        <w:rPr>
          <w:rFonts w:hint="eastAsia"/>
          <w:b/>
        </w:rPr>
      </w:pPr>
      <w:r>
        <w:rPr>
          <w:rFonts w:hint="eastAsia"/>
          <w:b/>
        </w:rPr>
        <w:t>若项目建设过程中需符合相关技术标准或规范文件的要求，请将相关文件作为附件列出。</w:t>
      </w:r>
    </w:p>
    <w:p w14:paraId="0018EA25">
      <w:pPr>
        <w:ind w:firstLine="482"/>
        <w:rPr>
          <w:rFonts w:hint="eastAsia"/>
        </w:rPr>
      </w:pPr>
      <w:r>
        <w:rPr>
          <w:rFonts w:hint="eastAsia"/>
          <w:b/>
        </w:rPr>
        <w:t>参考如下：</w:t>
      </w:r>
    </w:p>
    <w:p w14:paraId="56DB46D6">
      <w:pPr>
        <w:ind w:firstLine="0" w:firstLineChars="0"/>
        <w:rPr>
          <w:rFonts w:hint="eastAsia"/>
        </w:rPr>
      </w:pPr>
      <w:r>
        <w:rPr>
          <w:rFonts w:hint="eastAsia"/>
        </w:rPr>
        <w:t>1、</w:t>
      </w:r>
      <w:r>
        <w:t>《政务网络安全监测平台总体技术要求》</w:t>
      </w:r>
    </w:p>
    <w:p w14:paraId="35395ED4">
      <w:pPr>
        <w:ind w:firstLine="0" w:firstLineChars="0"/>
        <w:rPr>
          <w:rFonts w:hint="eastAsia"/>
        </w:rPr>
      </w:pPr>
      <w:r>
        <w:object>
          <v:shape id="_x0000_i1025" o:spt="75" type="#_x0000_t75" style="height:54.2pt;width:77pt;" o:ole="t" filled="f" o:preferrelative="t" stroked="f" coordsize="21600,21600">
            <v:path/>
            <v:fill on="f" focussize="0,0"/>
            <v:stroke on="f" joinstyle="miter"/>
            <v:imagedata r:id="rId13" o:title=""/>
            <o:lock v:ext="edit" aspectratio="t"/>
            <w10:wrap type="none"/>
            <w10:anchorlock/>
          </v:shape>
          <o:OLEObject Type="Embed" ProgID="Package" ShapeID="_x0000_i1025" DrawAspect="Icon" ObjectID="_1468075725" r:id="rId12">
            <o:LockedField>false</o:LockedField>
          </o:OLEObject>
        </w:object>
      </w:r>
    </w:p>
    <w:p w14:paraId="74F7BF62">
      <w:pPr>
        <w:ind w:firstLine="0" w:firstLineChars="0"/>
        <w:rPr>
          <w:rFonts w:hint="eastAsia"/>
        </w:rPr>
      </w:pPr>
    </w:p>
    <w:p w14:paraId="5F7600AB">
      <w:pPr>
        <w:ind w:firstLine="0" w:firstLineChars="0"/>
        <w:jc w:val="left"/>
        <w:rPr>
          <w:rFonts w:hint="eastAsia"/>
        </w:rPr>
      </w:pPr>
      <w:r>
        <w:rPr>
          <w:rFonts w:hint="eastAsia"/>
        </w:rPr>
        <w:t>2、《上海市电子政务外网建设和运行管理指南（试行）》</w:t>
      </w:r>
    </w:p>
    <w:p w14:paraId="4D0499E1">
      <w:pPr>
        <w:ind w:firstLine="0" w:firstLineChars="0"/>
        <w:jc w:val="left"/>
        <w:rPr>
          <w:rFonts w:hint="eastAsia"/>
        </w:rPr>
      </w:pPr>
      <w:r>
        <w:object>
          <v:shape id="_x0000_i1026" o:spt="75" type="#_x0000_t75" style="height:54.2pt;width:77pt;" o:ole="t" filled="f" o:preferrelative="t" stroked="f" coordsize="21600,21600">
            <v:path/>
            <v:fill on="f" focussize="0,0"/>
            <v:stroke on="f" joinstyle="miter"/>
            <v:imagedata r:id="rId15" o:title=""/>
            <o:lock v:ext="edit" aspectratio="t"/>
            <w10:wrap type="none"/>
            <w10:anchorlock/>
          </v:shape>
          <o:OLEObject Type="Embed" ProgID="Package" ShapeID="_x0000_i1026" DrawAspect="Icon" ObjectID="_1468075726" r:id="rId14">
            <o:LockedField>false</o:LockedField>
          </o:OLEObject>
        </w:object>
      </w:r>
    </w:p>
    <w:p w14:paraId="44902CF2">
      <w:pPr>
        <w:ind w:firstLine="0" w:firstLineChars="0"/>
        <w:jc w:val="left"/>
        <w:rPr>
          <w:rFonts w:hint="eastAsia"/>
          <w:b/>
          <w:bCs/>
        </w:rPr>
      </w:pPr>
      <w:r>
        <w:rPr>
          <w:rFonts w:hint="eastAsia"/>
        </w:rPr>
        <w:t>3、其他标准</w:t>
      </w:r>
    </w:p>
    <w:p w14:paraId="6A192271">
      <w:pPr>
        <w:widowControl/>
        <w:spacing w:line="240" w:lineRule="auto"/>
        <w:ind w:firstLine="0" w:firstLineChars="0"/>
        <w:jc w:val="left"/>
        <w:rPr>
          <w:rFonts w:hint="eastAsia"/>
        </w:rPr>
      </w:pPr>
      <w:r>
        <w:rPr>
          <w:rFonts w:hint="eastAsia"/>
        </w:rPr>
        <w:br w:type="page"/>
      </w:r>
    </w:p>
    <w:p w14:paraId="17994E9A">
      <w:pPr>
        <w:ind w:firstLine="0" w:firstLineChars="0"/>
        <w:rPr>
          <w:rFonts w:hint="eastAsia"/>
        </w:rPr>
      </w:pPr>
    </w:p>
    <w:p w14:paraId="194BD44A">
      <w:pPr>
        <w:rPr>
          <w:rFonts w:hint="eastAsia"/>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1720E">
    <w:pPr>
      <w:pStyle w:val="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18334">
    <w:pPr>
      <w:pStyle w:val="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935F">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23287BEE">
    <w:pPr>
      <w:rPr>
        <w:rFonts w:hint="eastAsia"/>
      </w:rPr>
    </w:pPr>
  </w:p>
  <w:p w14:paraId="79C6D74F">
    <w:pPr>
      <w:rPr>
        <w:rFonts w:hint="eastAsia"/>
      </w:rPr>
    </w:pPr>
  </w:p>
  <w:p w14:paraId="488D22E7">
    <w:pPr>
      <w:rPr>
        <w:rFonts w:hint="eastAsia"/>
      </w:rPr>
    </w:pPr>
  </w:p>
  <w:p w14:paraId="65AACDF3">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AD91B">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A633E">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4F9F2">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191730EC"/>
    <w:multiLevelType w:val="multilevel"/>
    <w:tmpl w:val="191730EC"/>
    <w:lvl w:ilvl="0" w:tentative="0">
      <w:start w:val="5"/>
      <w:numFmt w:val="decimal"/>
      <w:lvlText w:val="%1"/>
      <w:lvlJc w:val="left"/>
      <w:pPr>
        <w:ind w:left="630" w:hanging="630"/>
      </w:pPr>
      <w:rPr>
        <w:rFonts w:hint="default"/>
      </w:rPr>
    </w:lvl>
    <w:lvl w:ilvl="1" w:tentative="0">
      <w:start w:val="10"/>
      <w:numFmt w:val="decimal"/>
      <w:lvlText w:val="%1.%2"/>
      <w:lvlJc w:val="left"/>
      <w:pPr>
        <w:ind w:left="1288" w:hanging="720"/>
      </w:pPr>
      <w:rPr>
        <w:rFonts w:hint="default"/>
      </w:rPr>
    </w:lvl>
    <w:lvl w:ilvl="2" w:tentative="0">
      <w:start w:val="1"/>
      <w:numFmt w:val="decimal"/>
      <w:lvlText w:val="%1.%2.%3"/>
      <w:lvlJc w:val="left"/>
      <w:pPr>
        <w:ind w:left="2216" w:hanging="1080"/>
      </w:pPr>
      <w:rPr>
        <w:rFonts w:hint="default"/>
      </w:rPr>
    </w:lvl>
    <w:lvl w:ilvl="3" w:tentative="0">
      <w:start w:val="1"/>
      <w:numFmt w:val="decimal"/>
      <w:lvlText w:val="%1.%2.%3.%4"/>
      <w:lvlJc w:val="left"/>
      <w:pPr>
        <w:ind w:left="2784" w:hanging="1080"/>
      </w:pPr>
      <w:rPr>
        <w:rFonts w:hint="default"/>
      </w:rPr>
    </w:lvl>
    <w:lvl w:ilvl="4" w:tentative="0">
      <w:start w:val="1"/>
      <w:numFmt w:val="decimal"/>
      <w:lvlText w:val="%1.%2.%3.%4.%5"/>
      <w:lvlJc w:val="left"/>
      <w:pPr>
        <w:ind w:left="3712" w:hanging="1440"/>
      </w:pPr>
      <w:rPr>
        <w:rFonts w:hint="default"/>
      </w:rPr>
    </w:lvl>
    <w:lvl w:ilvl="5" w:tentative="0">
      <w:start w:val="1"/>
      <w:numFmt w:val="decimal"/>
      <w:lvlText w:val="%1.%2.%3.%4.%5.%6"/>
      <w:lvlJc w:val="left"/>
      <w:pPr>
        <w:ind w:left="4640" w:hanging="1800"/>
      </w:pPr>
      <w:rPr>
        <w:rFonts w:hint="default"/>
      </w:rPr>
    </w:lvl>
    <w:lvl w:ilvl="6" w:tentative="0">
      <w:start w:val="1"/>
      <w:numFmt w:val="decimal"/>
      <w:lvlText w:val="%1.%2.%3.%4.%5.%6.%7"/>
      <w:lvlJc w:val="left"/>
      <w:pPr>
        <w:ind w:left="5568" w:hanging="2160"/>
      </w:pPr>
      <w:rPr>
        <w:rFonts w:hint="default"/>
      </w:rPr>
    </w:lvl>
    <w:lvl w:ilvl="7" w:tentative="0">
      <w:start w:val="1"/>
      <w:numFmt w:val="decimal"/>
      <w:lvlText w:val="%1.%2.%3.%4.%5.%6.%7.%8"/>
      <w:lvlJc w:val="left"/>
      <w:pPr>
        <w:ind w:left="6496" w:hanging="2520"/>
      </w:pPr>
      <w:rPr>
        <w:rFonts w:hint="default"/>
      </w:rPr>
    </w:lvl>
    <w:lvl w:ilvl="8" w:tentative="0">
      <w:start w:val="1"/>
      <w:numFmt w:val="decimal"/>
      <w:lvlText w:val="%1.%2.%3.%4.%5.%6.%7.%8.%9"/>
      <w:lvlJc w:val="left"/>
      <w:pPr>
        <w:ind w:left="7424" w:hanging="2880"/>
      </w:pPr>
      <w:rPr>
        <w:rFonts w:hint="default"/>
      </w:r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OTMyYmVkNDBiZGZjOTJjNzg0ZTljMGM2NGM1NWEifQ=="/>
  </w:docVars>
  <w:rsids>
    <w:rsidRoot w:val="00172A27"/>
    <w:rsid w:val="0000243A"/>
    <w:rsid w:val="0001074F"/>
    <w:rsid w:val="000A56E0"/>
    <w:rsid w:val="00174231"/>
    <w:rsid w:val="0019182B"/>
    <w:rsid w:val="001E5D50"/>
    <w:rsid w:val="00201493"/>
    <w:rsid w:val="00282AFA"/>
    <w:rsid w:val="002A5FBC"/>
    <w:rsid w:val="00367E41"/>
    <w:rsid w:val="00367F5F"/>
    <w:rsid w:val="003D4185"/>
    <w:rsid w:val="00403331"/>
    <w:rsid w:val="004150BD"/>
    <w:rsid w:val="00440936"/>
    <w:rsid w:val="00442BC3"/>
    <w:rsid w:val="004C72AF"/>
    <w:rsid w:val="0055396E"/>
    <w:rsid w:val="00570A54"/>
    <w:rsid w:val="005D4D29"/>
    <w:rsid w:val="00603B73"/>
    <w:rsid w:val="006637FA"/>
    <w:rsid w:val="00665CFF"/>
    <w:rsid w:val="006F2CD1"/>
    <w:rsid w:val="00713B53"/>
    <w:rsid w:val="00752161"/>
    <w:rsid w:val="00767B5E"/>
    <w:rsid w:val="007763E9"/>
    <w:rsid w:val="007B19F0"/>
    <w:rsid w:val="007C67E3"/>
    <w:rsid w:val="0087439E"/>
    <w:rsid w:val="008D0B68"/>
    <w:rsid w:val="008D7208"/>
    <w:rsid w:val="008E1415"/>
    <w:rsid w:val="008E2502"/>
    <w:rsid w:val="0090775A"/>
    <w:rsid w:val="009160C5"/>
    <w:rsid w:val="00916DD5"/>
    <w:rsid w:val="00917253"/>
    <w:rsid w:val="0095066C"/>
    <w:rsid w:val="00980725"/>
    <w:rsid w:val="00980D7A"/>
    <w:rsid w:val="00A01688"/>
    <w:rsid w:val="00A71216"/>
    <w:rsid w:val="00A93B18"/>
    <w:rsid w:val="00B40FEB"/>
    <w:rsid w:val="00BF4A98"/>
    <w:rsid w:val="00C12ADD"/>
    <w:rsid w:val="00C17443"/>
    <w:rsid w:val="00C3468D"/>
    <w:rsid w:val="00C92FBA"/>
    <w:rsid w:val="00D01B93"/>
    <w:rsid w:val="00D93524"/>
    <w:rsid w:val="00DD029B"/>
    <w:rsid w:val="00DD68E2"/>
    <w:rsid w:val="00E4263C"/>
    <w:rsid w:val="00EB1EB8"/>
    <w:rsid w:val="00ED34CF"/>
    <w:rsid w:val="00F8406A"/>
    <w:rsid w:val="00FD70B5"/>
    <w:rsid w:val="09566528"/>
    <w:rsid w:val="0AE71698"/>
    <w:rsid w:val="15227E9D"/>
    <w:rsid w:val="16645AF9"/>
    <w:rsid w:val="196B378F"/>
    <w:rsid w:val="1DA82D2D"/>
    <w:rsid w:val="1FBFFCCF"/>
    <w:rsid w:val="206429F4"/>
    <w:rsid w:val="21C72855"/>
    <w:rsid w:val="258752B0"/>
    <w:rsid w:val="27252395"/>
    <w:rsid w:val="2B936841"/>
    <w:rsid w:val="2B9638D1"/>
    <w:rsid w:val="35EF246C"/>
    <w:rsid w:val="38B74300"/>
    <w:rsid w:val="4AA6244A"/>
    <w:rsid w:val="519B78A3"/>
    <w:rsid w:val="576FAFF6"/>
    <w:rsid w:val="585B41FD"/>
    <w:rsid w:val="5DFB8EFA"/>
    <w:rsid w:val="5EA72FD8"/>
    <w:rsid w:val="645D785C"/>
    <w:rsid w:val="6CD02EB0"/>
    <w:rsid w:val="7664690E"/>
    <w:rsid w:val="7D6A6A08"/>
    <w:rsid w:val="7E5F8A77"/>
    <w:rsid w:val="7F73A0A7"/>
    <w:rsid w:val="7F9F1AD0"/>
    <w:rsid w:val="BFDDCFCB"/>
    <w:rsid w:val="D7FE0E0C"/>
    <w:rsid w:val="F11F8520"/>
    <w:rsid w:val="F3DF75EF"/>
    <w:rsid w:val="FB6B3A26"/>
    <w:rsid w:val="FDBF006E"/>
    <w:rsid w:val="FEAF808B"/>
    <w:rsid w:val="FF7EB862"/>
    <w:rsid w:val="FFFF9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link w:val="13"/>
    <w:qFormat/>
    <w:uiPriority w:val="0"/>
    <w:pPr>
      <w:tabs>
        <w:tab w:val="center" w:pos="4153"/>
        <w:tab w:val="right" w:pos="8306"/>
      </w:tabs>
      <w:snapToGrid w:val="0"/>
      <w:spacing w:line="240" w:lineRule="auto"/>
      <w:jc w:val="left"/>
    </w:pPr>
    <w:rPr>
      <w:sz w:val="18"/>
      <w:szCs w:val="18"/>
    </w:rPr>
  </w:style>
  <w:style w:type="paragraph" w:styleId="6">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paragraph" w:customStyle="1" w:styleId="11">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2">
    <w:name w:val="正文正文2"/>
    <w:basedOn w:val="1"/>
    <w:autoRedefine/>
    <w:qFormat/>
    <w:uiPriority w:val="0"/>
    <w:pPr>
      <w:ind w:firstLine="460"/>
    </w:pPr>
    <w:rPr>
      <w:sz w:val="21"/>
      <w:szCs w:val="21"/>
    </w:rPr>
  </w:style>
  <w:style w:type="character" w:customStyle="1" w:styleId="13">
    <w:name w:val="页脚 字符"/>
    <w:basedOn w:val="9"/>
    <w:link w:val="5"/>
    <w:qFormat/>
    <w:uiPriority w:val="0"/>
    <w:rPr>
      <w:rFonts w:ascii="宋体" w:hAnsi="宋体" w:eastAsia="宋体" w:cs="Times New Roman"/>
      <w:kern w:val="2"/>
      <w:sz w:val="18"/>
      <w:szCs w:val="18"/>
    </w:rPr>
  </w:style>
  <w:style w:type="paragraph" w:customStyle="1" w:styleId="14">
    <w:name w:val="Revision"/>
    <w:hidden/>
    <w:unhideWhenUsed/>
    <w:qFormat/>
    <w:uiPriority w:val="99"/>
    <w:rPr>
      <w:rFonts w:ascii="宋体" w:hAnsi="宋体" w:eastAsia="宋体" w:cs="Times New Roman"/>
      <w:kern w:val="2"/>
      <w:sz w:val="24"/>
      <w:szCs w:val="24"/>
      <w:lang w:val="en-US" w:eastAsia="zh-CN" w:bidi="ar-SA"/>
    </w:rPr>
  </w:style>
  <w:style w:type="paragraph" w:styleId="15">
    <w:name w:val="List Paragraph"/>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4160</Words>
  <Characters>4411</Characters>
  <Lines>1</Lines>
  <Paragraphs>1</Paragraphs>
  <TotalTime>114</TotalTime>
  <ScaleCrop>false</ScaleCrop>
  <LinksUpToDate>false</LinksUpToDate>
  <CharactersWithSpaces>8304</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2025-05-22T08:39:00Z</dcterms:created>
  <dc:creator>user</dc:creator>
  <cp:lastModifiedBy>郭田恬</cp:lastModifiedBy>
  <dcterms:modified xsi:type="dcterms:W3CDTF">2025-06-10T11:04:59Z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59657A665D4346EF89421F1BCF245A43_13</vt:lpwstr>
  </property>
  <property fmtid="{D5CDD505-2E9C-101B-9397-08002B2CF9AE}" pid="4" name="KSOTemplateDocerSaveRecord">
    <vt:lpwstr>eyJoZGlkIjoiNDg4N2E5NTFmNzMyMWQxNWUyYzM5OTY1MGEzODY0NzciLCJ1c2VySWQiOiI3MjMwMjAyODQifQ==</vt:lpwstr>
  </property>
</Properties>
</file>