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BA30F">
      <w:pPr>
        <w:ind w:firstLine="0" w:firstLineChars="0"/>
        <w:jc w:val="center"/>
        <w:rPr>
          <w:rFonts w:ascii="黑体" w:hAnsi="黑体" w:eastAsia="黑体"/>
          <w:sz w:val="48"/>
          <w:szCs w:val="48"/>
        </w:rPr>
      </w:pPr>
    </w:p>
    <w:p w14:paraId="026B50D1">
      <w:pPr>
        <w:ind w:firstLine="0" w:firstLineChars="0"/>
        <w:jc w:val="center"/>
        <w:rPr>
          <w:rFonts w:ascii="黑体" w:hAnsi="黑体" w:eastAsia="黑体"/>
          <w:sz w:val="48"/>
          <w:szCs w:val="48"/>
        </w:rPr>
      </w:pPr>
    </w:p>
    <w:p w14:paraId="6A0817A6">
      <w:pPr>
        <w:ind w:firstLine="0" w:firstLineChars="0"/>
        <w:jc w:val="center"/>
        <w:rPr>
          <w:rFonts w:ascii="黑体" w:hAnsi="黑体" w:eastAsia="黑体"/>
          <w:sz w:val="52"/>
          <w:szCs w:val="52"/>
        </w:rPr>
      </w:pPr>
      <w:r>
        <w:rPr>
          <w:rFonts w:hint="eastAsia" w:ascii="黑体" w:hAnsi="黑体" w:eastAsia="黑体"/>
          <w:sz w:val="52"/>
          <w:szCs w:val="52"/>
        </w:rPr>
        <w:t>上海市电子政务基础设施综合运行管理项目（2025年升级改造）</w:t>
      </w:r>
    </w:p>
    <w:p w14:paraId="53801E36">
      <w:pPr>
        <w:ind w:firstLine="0" w:firstLineChars="0"/>
        <w:jc w:val="center"/>
        <w:rPr>
          <w:rFonts w:ascii="黑体" w:hAnsi="黑体" w:eastAsia="黑体"/>
          <w:sz w:val="52"/>
          <w:szCs w:val="52"/>
        </w:rPr>
      </w:pPr>
      <w:r>
        <w:rPr>
          <w:rFonts w:hint="eastAsia" w:ascii="黑体" w:hAnsi="黑体" w:eastAsia="黑体"/>
          <w:sz w:val="52"/>
          <w:szCs w:val="52"/>
        </w:rPr>
        <w:t>采购需求</w:t>
      </w:r>
    </w:p>
    <w:p w14:paraId="7513E577">
      <w:pPr>
        <w:ind w:firstLine="0" w:firstLineChars="0"/>
        <w:jc w:val="center"/>
        <w:rPr>
          <w:rFonts w:ascii="黑体" w:hAnsi="黑体" w:eastAsia="黑体"/>
          <w:sz w:val="72"/>
          <w:szCs w:val="72"/>
        </w:rPr>
      </w:pPr>
    </w:p>
    <w:p w14:paraId="1756FCFF">
      <w:pPr>
        <w:ind w:firstLine="0" w:firstLineChars="0"/>
        <w:jc w:val="center"/>
        <w:rPr>
          <w:rFonts w:ascii="黑体" w:hAnsi="黑体" w:eastAsia="黑体"/>
          <w:sz w:val="48"/>
          <w:szCs w:val="48"/>
        </w:rPr>
      </w:pPr>
    </w:p>
    <w:p w14:paraId="7F34725D">
      <w:pPr>
        <w:ind w:firstLine="0" w:firstLineChars="0"/>
        <w:jc w:val="center"/>
        <w:rPr>
          <w:rFonts w:ascii="黑体" w:hAnsi="黑体" w:eastAsia="黑体"/>
          <w:sz w:val="52"/>
          <w:szCs w:val="52"/>
        </w:rPr>
      </w:pPr>
    </w:p>
    <w:p w14:paraId="1A144EAD">
      <w:pPr>
        <w:ind w:firstLine="1040"/>
        <w:rPr>
          <w:rFonts w:ascii="黑体" w:hAnsi="黑体" w:eastAsia="黑体"/>
          <w:sz w:val="52"/>
          <w:szCs w:val="52"/>
        </w:rPr>
      </w:pPr>
    </w:p>
    <w:p w14:paraId="181B041D">
      <w:pPr>
        <w:ind w:firstLine="0" w:firstLineChars="0"/>
      </w:pPr>
    </w:p>
    <w:p w14:paraId="5F798807">
      <w:pPr>
        <w:pStyle w:val="7"/>
        <w:numPr>
          <w:ilvl w:val="5"/>
          <w:numId w:val="0"/>
        </w:numPr>
        <w:ind w:left="709"/>
      </w:pPr>
    </w:p>
    <w:p w14:paraId="546456EC"/>
    <w:p w14:paraId="26ED995B"/>
    <w:p w14:paraId="04210AA2">
      <w:pPr>
        <w:ind w:firstLine="1040"/>
        <w:rPr>
          <w:rFonts w:ascii="黑体" w:hAnsi="黑体" w:eastAsia="黑体"/>
          <w:sz w:val="52"/>
          <w:szCs w:val="52"/>
        </w:rPr>
      </w:pPr>
    </w:p>
    <w:p w14:paraId="6A17A734">
      <w:pPr>
        <w:jc w:val="cente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0DEE4912">
      <w:pPr>
        <w:pStyle w:val="2"/>
        <w:numPr>
          <w:ilvl w:val="0"/>
          <w:numId w:val="3"/>
        </w:numPr>
      </w:pPr>
      <w:bookmarkStart w:id="0" w:name="_Toc63785461"/>
      <w:r>
        <w:rPr>
          <w:rFonts w:hint="eastAsia"/>
        </w:rPr>
        <w:t>项目概况</w:t>
      </w:r>
      <w:bookmarkEnd w:id="0"/>
    </w:p>
    <w:p w14:paraId="0975E16E">
      <w:pPr>
        <w:spacing w:line="560" w:lineRule="exact"/>
        <w:ind w:firstLine="482"/>
      </w:pPr>
      <w:r>
        <w:rPr>
          <w:rFonts w:hint="eastAsia"/>
          <w:b/>
          <w:bCs/>
        </w:rPr>
        <w:t>项目背景&amp;现状</w:t>
      </w:r>
      <w:r>
        <w:rPr>
          <w:rFonts w:hint="eastAsia"/>
        </w:rPr>
        <w:t>：</w:t>
      </w:r>
    </w:p>
    <w:p w14:paraId="0A55F1AF">
      <w:pPr>
        <w:jc w:val="left"/>
      </w:pPr>
      <w:r>
        <w:rPr>
          <w:rFonts w:hint="eastAsia"/>
        </w:rPr>
        <w:t>为促进5G、区块链等前沿技术在电子政务基础设施领域的深度应用，进一步提升政务外网的移动接入能力和电子政务基础设施的整体运行管理水平，市大数据中心拟构建“上海市电子政务基础设施综合运行管理项目（2025年升级改造）”对现有“上海市政务外网运行和安全监测支撑系统”（以下简称“运管平台”）进行全面升级，旨在满足5G接入及互联网安全加密接入等新业务的运营管理需求。同时，对现有“上海市电子政务云基础设施监管服务平台”（以下简称“云管平台”）进行升级，重点解决区块链PaaS服务在日常运营和服务使用中的共性问题，推动区块链PaaS服务的精细化管理进程。此次升级还基于现有业务的运行情况及未来新增业务需求，对平台的原有功能进行优化和增强，以确保其更好地支撑各政务业务的使用。</w:t>
      </w:r>
    </w:p>
    <w:p w14:paraId="1E258D4F">
      <w:pPr>
        <w:spacing w:line="560" w:lineRule="exact"/>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建设期限</w:t>
      </w:r>
      <w:r>
        <w:rPr>
          <w:rFonts w:hint="eastAsia"/>
          <w:color w:val="000000" w:themeColor="text1"/>
          <w14:textFill>
            <w14:solidFill>
              <w14:schemeClr w14:val="tx1"/>
            </w14:solidFill>
          </w14:textFill>
        </w:rPr>
        <w:t>：合同签订之日起届满6个月</w:t>
      </w:r>
    </w:p>
    <w:p w14:paraId="21AAD529">
      <w:pPr>
        <w:spacing w:line="560" w:lineRule="exact"/>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建设地点</w:t>
      </w:r>
      <w:r>
        <w:rPr>
          <w:rFonts w:hint="eastAsia"/>
          <w:color w:val="000000" w:themeColor="text1"/>
          <w14:textFill>
            <w14:solidFill>
              <w14:schemeClr w14:val="tx1"/>
            </w14:solidFill>
          </w14:textFill>
        </w:rPr>
        <w:t>：上海市寿阳路 99 弄 15 号</w:t>
      </w:r>
    </w:p>
    <w:p w14:paraId="31C047FC">
      <w:pPr>
        <w:spacing w:line="560" w:lineRule="exact"/>
        <w:ind w:firstLine="482"/>
      </w:pPr>
      <w:r>
        <w:rPr>
          <w:rFonts w:hint="eastAsia"/>
          <w:b/>
          <w:bCs/>
        </w:rPr>
        <w:t>预算金额</w:t>
      </w:r>
      <w:r>
        <w:rPr>
          <w:rFonts w:hint="eastAsia"/>
        </w:rPr>
        <w:t>：</w:t>
      </w:r>
      <w:r>
        <w:t>2112500</w:t>
      </w:r>
      <w:r>
        <w:rPr>
          <w:rFonts w:hint="eastAsia"/>
        </w:rPr>
        <w:t>元</w:t>
      </w:r>
    </w:p>
    <w:p w14:paraId="389649F7">
      <w:pPr>
        <w:spacing w:line="560" w:lineRule="exact"/>
        <w:ind w:firstLine="482"/>
      </w:pPr>
      <w:r>
        <w:rPr>
          <w:rFonts w:hint="eastAsia"/>
          <w:b/>
          <w:bCs/>
        </w:rPr>
        <w:t>2025年预算为：</w:t>
      </w:r>
      <w:r>
        <w:t>2112500</w:t>
      </w:r>
      <w:r>
        <w:rPr>
          <w:rFonts w:hint="eastAsia"/>
        </w:rPr>
        <w:t>元</w:t>
      </w:r>
    </w:p>
    <w:p w14:paraId="78A06424">
      <w:pPr>
        <w:spacing w:line="560" w:lineRule="exact"/>
        <w:ind w:firstLine="482"/>
      </w:pPr>
      <w:r>
        <w:rPr>
          <w:rFonts w:hint="eastAsia"/>
          <w:b/>
          <w:bCs/>
        </w:rPr>
        <w:t>采购金额（最高限价）</w:t>
      </w:r>
      <w:r>
        <w:rPr>
          <w:rFonts w:hint="eastAsia"/>
        </w:rPr>
        <w:t>：</w:t>
      </w:r>
      <w:r>
        <w:t>2112500</w:t>
      </w:r>
      <w:r>
        <w:rPr>
          <w:rFonts w:hint="eastAsia"/>
        </w:rPr>
        <w:t>元</w:t>
      </w:r>
    </w:p>
    <w:p w14:paraId="3C2EA9FF">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组织形式</w:t>
      </w:r>
      <w:r>
        <w:rPr>
          <w:rFonts w:hint="eastAsia"/>
          <w:color w:val="000000" w:themeColor="text1"/>
          <w14:textFill>
            <w14:solidFill>
              <w14:schemeClr w14:val="tx1"/>
            </w14:solidFill>
          </w14:textFill>
        </w:rPr>
        <w:t>：集中采购</w:t>
      </w:r>
    </w:p>
    <w:p w14:paraId="653C6B49">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采购方式</w:t>
      </w:r>
      <w:r>
        <w:rPr>
          <w:rFonts w:hint="eastAsia"/>
          <w:color w:val="000000" w:themeColor="text1"/>
          <w14:textFill>
            <w14:solidFill>
              <w14:schemeClr w14:val="tx1"/>
            </w14:solidFill>
          </w14:textFill>
        </w:rPr>
        <w:t>：竞争性磋商</w:t>
      </w:r>
    </w:p>
    <w:p w14:paraId="67A59A88">
      <w:pPr>
        <w:ind w:firstLine="482"/>
        <w:rPr>
          <w:color w:val="000000" w:themeColor="text1"/>
          <w14:textFill>
            <w14:solidFill>
              <w14:schemeClr w14:val="tx1"/>
            </w14:solidFill>
          </w14:textFill>
        </w:rPr>
      </w:pPr>
      <w:r>
        <w:rPr>
          <w:b/>
          <w:bCs/>
          <w:color w:val="000000" w:themeColor="text1"/>
          <w14:textFill>
            <w14:solidFill>
              <w14:schemeClr w14:val="tx1"/>
            </w14:solidFill>
          </w14:textFill>
        </w:rPr>
        <w:t>是否按信创要求建设</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是</w:t>
      </w:r>
    </w:p>
    <w:p w14:paraId="57263B68">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运维后所属大系统</w:t>
      </w:r>
      <w:r>
        <w:rPr>
          <w:rFonts w:hint="eastAsia"/>
          <w:color w:val="000000" w:themeColor="text1"/>
          <w14:textFill>
            <w14:solidFill>
              <w14:schemeClr w14:val="tx1"/>
            </w14:solidFill>
          </w14:textFill>
        </w:rPr>
        <w:t>：综合运行管理系统</w:t>
      </w:r>
    </w:p>
    <w:p w14:paraId="70C1E31D">
      <w:pPr>
        <w:pStyle w:val="3"/>
      </w:pPr>
      <w:bookmarkStart w:id="1" w:name="_Toc47531634"/>
      <w:bookmarkEnd w:id="1"/>
      <w:bookmarkStart w:id="2" w:name="_Toc47533256"/>
      <w:bookmarkEnd w:id="2"/>
      <w:bookmarkStart w:id="3" w:name="_Toc47532255"/>
      <w:bookmarkEnd w:id="3"/>
      <w:bookmarkStart w:id="4" w:name="_Toc47532891"/>
      <w:bookmarkEnd w:id="4"/>
      <w:bookmarkStart w:id="5" w:name="_Toc47536644"/>
      <w:bookmarkEnd w:id="5"/>
      <w:bookmarkStart w:id="6" w:name="_Toc47537134"/>
      <w:bookmarkEnd w:id="6"/>
      <w:bookmarkStart w:id="7" w:name="_Toc47539070"/>
      <w:bookmarkEnd w:id="7"/>
      <w:bookmarkStart w:id="8" w:name="_Toc47536272"/>
      <w:bookmarkEnd w:id="8"/>
      <w:bookmarkStart w:id="9" w:name="_Toc48223882"/>
      <w:bookmarkStart w:id="10" w:name="_Toc63785463"/>
      <w:r>
        <w:rPr>
          <w:rFonts w:hint="eastAsia"/>
        </w:rPr>
        <w:t>建设目标</w:t>
      </w:r>
      <w:bookmarkEnd w:id="9"/>
      <w:bookmarkEnd w:id="10"/>
    </w:p>
    <w:p w14:paraId="5932C3AC">
      <w:r>
        <w:rPr>
          <w:rFonts w:hint="eastAsia"/>
        </w:rPr>
        <w:t>本项目拟实现以下建设目标：一是从运管平台架构层面，通过增加政务外网无线网和互联网安全加密接入服务相关管理、业务申请管理、运营分析等功能，实现政务外网无线网和互联网安全加密接入服务的全流程管理，打造一个整体上高效、安全、易维护的电子政务外网管理平台。二是从云管平台架构层面，通过增加区块链服务的接入以及对原平台的功能优化，实现对区块链服务的申请、运营、运维、监控以及计量计费管理，为区块链服务产品提供全方位的支持，促进区块链技术的广泛应用和进一步发展，其次是通过对服务流程、资源释放逻辑进行优化、根据业务需求实现与对应平台的日志对接、平台对接等实现对原有平台的功能优化。</w:t>
      </w:r>
    </w:p>
    <w:p w14:paraId="0B898C4F">
      <w:pPr>
        <w:pStyle w:val="3"/>
      </w:pPr>
      <w:r>
        <w:rPr>
          <w:rFonts w:hint="eastAsia"/>
        </w:rPr>
        <w:t>绩效目标</w:t>
      </w:r>
    </w:p>
    <w:p w14:paraId="36D8589D">
      <w:pPr>
        <w:spacing w:line="560" w:lineRule="exact"/>
        <w:ind w:firstLine="0" w:firstLineChars="0"/>
      </w:pPr>
      <w:r>
        <w:rPr>
          <w:rFonts w:hint="eastAsia"/>
          <w:b/>
          <w:bCs/>
        </w:rPr>
        <w:t>业务绩效目标</w:t>
      </w:r>
      <w:r>
        <w:rPr>
          <w:rFonts w:hint="eastAsia"/>
        </w:rPr>
        <w:t>：</w:t>
      </w:r>
    </w:p>
    <w:p w14:paraId="24CC556E">
      <w:pPr>
        <w:pStyle w:val="135"/>
        <w:ind w:firstLine="480"/>
        <w:rPr>
          <w:rFonts w:ascii="宋体" w:hAnsi="宋体" w:eastAsia="宋体"/>
          <w:sz w:val="24"/>
          <w:szCs w:val="24"/>
        </w:rPr>
      </w:pPr>
      <w:r>
        <w:rPr>
          <w:rFonts w:hint="eastAsia" w:ascii="宋体" w:hAnsi="宋体" w:eastAsia="宋体"/>
          <w:sz w:val="24"/>
          <w:szCs w:val="24"/>
        </w:rPr>
        <w:t>一是在运管平台完成5G无线网和互联网安全加密服务的接入，实现服务的业务运营管理、资产监管、监控管理以及计量计费等方面的管理，以提升政务外网的运行管理水平和服务质量。</w:t>
      </w:r>
    </w:p>
    <w:p w14:paraId="4DF620FF">
      <w:pPr>
        <w:pStyle w:val="135"/>
        <w:ind w:firstLine="480"/>
        <w:rPr>
          <w:rFonts w:ascii="宋体" w:hAnsi="宋体" w:eastAsia="宋体"/>
          <w:sz w:val="24"/>
          <w:szCs w:val="24"/>
        </w:rPr>
      </w:pPr>
      <w:r>
        <w:rPr>
          <w:rFonts w:hint="eastAsia" w:ascii="宋体" w:hAnsi="宋体" w:eastAsia="宋体"/>
          <w:sz w:val="24"/>
          <w:szCs w:val="24"/>
        </w:rPr>
        <w:t>二是在云管平台完成区块链服务的接入，实现区块链服务的申请管理、运营管理、监控告警管理以及计量计费管理，为区块链服务产品提供支持，促进区块链技术的广泛应用和进一步发展；完成新增功能建设，通过对服务流程、资源释放逻辑进行优化、根据业务需求实现与对应平台的接口对接、平台对接等实现对原有平台的功能优化。</w:t>
      </w:r>
    </w:p>
    <w:p w14:paraId="765CADC6">
      <w:pPr>
        <w:spacing w:line="560" w:lineRule="exact"/>
        <w:ind w:firstLine="0" w:firstLineChars="0"/>
      </w:pPr>
      <w:r>
        <w:rPr>
          <w:rFonts w:hint="eastAsia"/>
          <w:b/>
          <w:bCs/>
        </w:rPr>
        <w:t>技术绩效目标</w:t>
      </w:r>
      <w:r>
        <w:rPr>
          <w:rFonts w:hint="eastAsia"/>
        </w:rPr>
        <w:t>：</w:t>
      </w:r>
    </w:p>
    <w:p w14:paraId="5C838EA5">
      <w:pPr>
        <w:spacing w:line="560" w:lineRule="exact"/>
      </w:pPr>
      <w:r>
        <w:rPr>
          <w:rFonts w:hint="eastAsia"/>
        </w:rPr>
        <w:t>1.运管平台：</w:t>
      </w:r>
    </w:p>
    <w:p w14:paraId="3E044AC0">
      <w:pPr>
        <w:spacing w:line="560" w:lineRule="exact"/>
      </w:pPr>
      <w:r>
        <w:rPr>
          <w:rFonts w:hint="eastAsia"/>
        </w:rPr>
        <w:t>（1）平台可用性不低于99%</w:t>
      </w:r>
    </w:p>
    <w:p w14:paraId="45B4766D">
      <w:pPr>
        <w:spacing w:line="560" w:lineRule="exact"/>
      </w:pPr>
      <w:r>
        <w:rPr>
          <w:rFonts w:hint="eastAsia"/>
        </w:rPr>
        <w:t>（2）数据持久性不低于99%；</w:t>
      </w:r>
    </w:p>
    <w:p w14:paraId="373002CC">
      <w:pPr>
        <w:spacing w:line="560" w:lineRule="exact"/>
      </w:pPr>
      <w:r>
        <w:rPr>
          <w:rFonts w:hint="eastAsia"/>
        </w:rPr>
        <w:t>（3）界面操作响应时间≤3s；</w:t>
      </w:r>
    </w:p>
    <w:p w14:paraId="47E825B9">
      <w:pPr>
        <w:spacing w:line="560" w:lineRule="exact"/>
      </w:pPr>
      <w:r>
        <w:rPr>
          <w:rFonts w:hint="eastAsia"/>
        </w:rPr>
        <w:t>（4）后台管理并发用户数不低于150个。</w:t>
      </w:r>
    </w:p>
    <w:p w14:paraId="2FFC0D57">
      <w:pPr>
        <w:spacing w:line="560" w:lineRule="exact"/>
      </w:pPr>
      <w:r>
        <w:rPr>
          <w:rFonts w:hint="eastAsia"/>
        </w:rPr>
        <w:t>2.云管平台：</w:t>
      </w:r>
    </w:p>
    <w:p w14:paraId="739881FE">
      <w:pPr>
        <w:spacing w:line="560" w:lineRule="exact"/>
      </w:pPr>
      <w:r>
        <w:rPr>
          <w:rFonts w:hint="eastAsia"/>
        </w:rPr>
        <w:t>（1）平台可用性不低于99%</w:t>
      </w:r>
    </w:p>
    <w:p w14:paraId="3CBFE0BD">
      <w:pPr>
        <w:spacing w:line="560" w:lineRule="exact"/>
      </w:pPr>
      <w:r>
        <w:rPr>
          <w:rFonts w:hint="eastAsia"/>
        </w:rPr>
        <w:t>（2）数据持久性不低于99%；</w:t>
      </w:r>
    </w:p>
    <w:p w14:paraId="281D890E">
      <w:pPr>
        <w:spacing w:line="560" w:lineRule="exact"/>
      </w:pPr>
      <w:r>
        <w:rPr>
          <w:rFonts w:hint="eastAsia"/>
        </w:rPr>
        <w:t>（3）界面操作响应时间≤3s；</w:t>
      </w:r>
    </w:p>
    <w:p w14:paraId="101FA220">
      <w:pPr>
        <w:spacing w:line="560" w:lineRule="exact"/>
      </w:pPr>
      <w:r>
        <w:rPr>
          <w:rFonts w:hint="eastAsia"/>
        </w:rPr>
        <w:t>（4）后台管理并发用户数不低于150个。</w:t>
      </w:r>
    </w:p>
    <w:p w14:paraId="289B5668">
      <w:pPr>
        <w:pStyle w:val="16"/>
      </w:pPr>
    </w:p>
    <w:p w14:paraId="6A4E90C5">
      <w:pPr>
        <w:pStyle w:val="2"/>
      </w:pPr>
      <w:bookmarkStart w:id="11" w:name="_Toc47537166"/>
      <w:bookmarkEnd w:id="11"/>
      <w:bookmarkStart w:id="12" w:name="_Toc47532923"/>
      <w:bookmarkEnd w:id="12"/>
      <w:bookmarkStart w:id="13" w:name="_Toc47536676"/>
      <w:bookmarkEnd w:id="13"/>
      <w:bookmarkStart w:id="14" w:name="_Toc47533288"/>
      <w:bookmarkEnd w:id="14"/>
      <w:bookmarkStart w:id="15" w:name="_Toc47536304"/>
      <w:bookmarkEnd w:id="15"/>
      <w:bookmarkStart w:id="16" w:name="_Toc47539102"/>
      <w:bookmarkEnd w:id="16"/>
      <w:r>
        <w:rPr>
          <w:rFonts w:hint="eastAsia"/>
        </w:rPr>
        <w:t>项目建设内容</w:t>
      </w:r>
    </w:p>
    <w:p w14:paraId="6314D039">
      <w:pPr>
        <w:pStyle w:val="3"/>
      </w:pPr>
      <w:r>
        <w:rPr>
          <w:rFonts w:hint="eastAsia"/>
        </w:rPr>
        <w:t>建设内容总体描述</w:t>
      </w:r>
    </w:p>
    <w:p w14:paraId="308501CF">
      <w:pPr>
        <w:numPr>
          <w:ilvl w:val="0"/>
          <w:numId w:val="4"/>
        </w:numPr>
        <w:ind w:firstLineChars="0"/>
        <w:rPr>
          <w:b/>
          <w:bCs/>
        </w:rPr>
      </w:pPr>
      <w:r>
        <w:rPr>
          <w:rFonts w:hint="eastAsia"/>
          <w:b/>
          <w:bCs/>
        </w:rPr>
        <w:t>运管平台建设内容</w:t>
      </w:r>
    </w:p>
    <w:p w14:paraId="79A339A3">
      <w:r>
        <w:rPr>
          <w:rFonts w:hint="eastAsia"/>
        </w:rPr>
        <w:t>在原功能基础上，增加以下功能：</w:t>
      </w:r>
    </w:p>
    <w:p w14:paraId="05E72172">
      <w:r>
        <w:rPr>
          <w:rFonts w:hint="eastAsia"/>
        </w:rPr>
        <w:t>（1）实现政务外网无线网、互联网安全加密接入的双端综合管理（PC端+移动端）。</w:t>
      </w:r>
    </w:p>
    <w:p w14:paraId="0EFAD661">
      <w:r>
        <w:rPr>
          <w:rFonts w:hint="eastAsia"/>
        </w:rPr>
        <w:t>（2）实现无线网络业务的专网卡开户申请、套餐变更申请、销户申请、机卡解绑、换卡申请等功能，互联网安全加密接入服务的开户申请、业务变更、撤销业务流程，以及工单管理功能等；</w:t>
      </w:r>
    </w:p>
    <w:p w14:paraId="47FEF10C">
      <w:r>
        <w:rPr>
          <w:rFonts w:hint="eastAsia"/>
        </w:rPr>
        <w:t>（3）实现无线网服务以及互联网安全加密接入服务的日常运营分析、服务支撑底座管理等功能；</w:t>
      </w:r>
    </w:p>
    <w:p w14:paraId="1A7240D7">
      <w:r>
        <w:rPr>
          <w:rFonts w:hint="eastAsia"/>
        </w:rPr>
        <w:t>（4）实现相关资产管理及监督、故障管理和告警管理功能；</w:t>
      </w:r>
    </w:p>
    <w:p w14:paraId="2C2E25AA">
      <w:r>
        <w:rPr>
          <w:rFonts w:hint="eastAsia"/>
        </w:rPr>
        <w:t>（6）实现本平台与无线网业务相关平台对接、与互联网安全加密相关平台的对接。</w:t>
      </w:r>
    </w:p>
    <w:p w14:paraId="0167AF06">
      <w:r>
        <w:rPr>
          <w:rFonts w:hint="eastAsia"/>
        </w:rPr>
        <w:t>（7）计量计费管理功能，包括计量稽核、出账功能等以及实现与相关办公平台进行对接。</w:t>
      </w:r>
    </w:p>
    <w:p w14:paraId="01B21881">
      <w:pPr>
        <w:numPr>
          <w:ilvl w:val="0"/>
          <w:numId w:val="4"/>
        </w:numPr>
        <w:ind w:firstLineChars="0"/>
        <w:rPr>
          <w:b/>
          <w:bCs/>
        </w:rPr>
      </w:pPr>
      <w:r>
        <w:rPr>
          <w:rFonts w:hint="eastAsia"/>
          <w:b/>
          <w:bCs/>
        </w:rPr>
        <w:t>云管平台建设内容</w:t>
      </w:r>
    </w:p>
    <w:p w14:paraId="2862BD7F">
      <w:r>
        <w:rPr>
          <w:rFonts w:hint="eastAsia"/>
        </w:rPr>
        <w:t>区块链PaaS业务部分</w:t>
      </w:r>
    </w:p>
    <w:p w14:paraId="6F0C6BB0">
      <w:r>
        <w:rPr>
          <w:rFonts w:hint="eastAsia"/>
        </w:rPr>
        <w:t>（1）实现区块链服务申请管理；</w:t>
      </w:r>
    </w:p>
    <w:p w14:paraId="4A8C397B">
      <w:r>
        <w:rPr>
          <w:rFonts w:hint="eastAsia"/>
        </w:rPr>
        <w:t>（2）实现区块链服务运营分析管理；</w:t>
      </w:r>
    </w:p>
    <w:p w14:paraId="0086138E">
      <w:r>
        <w:rPr>
          <w:rFonts w:hint="eastAsia"/>
        </w:rPr>
        <w:t>（3）提供针对区块链服务的监控告警管理；</w:t>
      </w:r>
    </w:p>
    <w:p w14:paraId="32A8E955">
      <w:r>
        <w:rPr>
          <w:rFonts w:hint="eastAsia"/>
        </w:rPr>
        <w:t>（4）实现对用于区块链相关云资源信息的监控管理和计量计费管理功能；</w:t>
      </w:r>
    </w:p>
    <w:p w14:paraId="150C24F2">
      <w:r>
        <w:rPr>
          <w:rFonts w:hint="eastAsia"/>
        </w:rPr>
        <w:t>（5）将业务相关数据以及各类告警信息同步到区块链平台，实现业务数据对接、告警数据对接。</w:t>
      </w:r>
    </w:p>
    <w:p w14:paraId="0DF20656">
      <w:r>
        <w:rPr>
          <w:rFonts w:hint="eastAsia"/>
        </w:rPr>
        <w:t>优化升级部分</w:t>
      </w:r>
    </w:p>
    <w:p w14:paraId="18E9C5BB">
      <w:r>
        <w:rPr>
          <w:rFonts w:hint="eastAsia"/>
        </w:rPr>
        <w:t>（1）进行服务流程优化，包括不限于优化PaaS服务申请流程、新增PaaS流程与IaaS流程交互功能、新增PolarDB服务、GPU服务、蜜罐服务、资源配额扩容申请流程等；</w:t>
      </w:r>
    </w:p>
    <w:p w14:paraId="5B5366C5">
      <w:r>
        <w:rPr>
          <w:rFonts w:hint="eastAsia"/>
        </w:rPr>
        <w:t>（2）进行资源释放逻辑优化，包括主机释放后自动生成主机对应其他服务的释放流程，以及针对涉及PaaS密码服务的释放流程；</w:t>
      </w:r>
    </w:p>
    <w:p w14:paraId="299A6EDE">
      <w:r>
        <w:rPr>
          <w:rFonts w:hint="eastAsia"/>
        </w:rPr>
        <w:t>（3）新增医保独立平台性能日志对接、物理机性能日志对接、电信侧ELB、EIP指标项对接、一体化办公平台对接、联通B节点数据中心数据对接等。</w:t>
      </w:r>
    </w:p>
    <w:p w14:paraId="249C0DF8">
      <w:pPr>
        <w:pStyle w:val="3"/>
      </w:pPr>
      <w:r>
        <w:rPr>
          <w:rFonts w:hint="eastAsia"/>
        </w:rPr>
        <w:t>建设内容明细及要求</w:t>
      </w:r>
    </w:p>
    <w:tbl>
      <w:tblPr>
        <w:tblStyle w:val="35"/>
        <w:tblW w:w="0" w:type="auto"/>
        <w:jc w:val="center"/>
        <w:tblLayout w:type="fixed"/>
        <w:tblCellMar>
          <w:top w:w="0" w:type="dxa"/>
          <w:left w:w="108" w:type="dxa"/>
          <w:bottom w:w="0" w:type="dxa"/>
          <w:right w:w="108" w:type="dxa"/>
        </w:tblCellMar>
      </w:tblPr>
      <w:tblGrid>
        <w:gridCol w:w="708"/>
        <w:gridCol w:w="920"/>
        <w:gridCol w:w="2762"/>
        <w:gridCol w:w="5247"/>
      </w:tblGrid>
      <w:tr w14:paraId="701BFBDD">
        <w:tblPrEx>
          <w:tblCellMar>
            <w:top w:w="0" w:type="dxa"/>
            <w:left w:w="108" w:type="dxa"/>
            <w:bottom w:w="0" w:type="dxa"/>
            <w:right w:w="108" w:type="dxa"/>
          </w:tblCellMar>
        </w:tblPrEx>
        <w:trPr>
          <w:trHeight w:val="59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F3F8FC"/>
            <w:noWrap/>
            <w:vAlign w:val="center"/>
          </w:tcPr>
          <w:p w14:paraId="11D0BC56">
            <w:pPr>
              <w:spacing w:line="240" w:lineRule="auto"/>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920" w:type="dxa"/>
            <w:tcBorders>
              <w:top w:val="single" w:color="000000" w:sz="4" w:space="0"/>
              <w:left w:val="single" w:color="000000" w:sz="4" w:space="0"/>
              <w:bottom w:val="single" w:color="000000" w:sz="4" w:space="0"/>
              <w:right w:val="single" w:color="000000" w:sz="4" w:space="0"/>
            </w:tcBorders>
            <w:shd w:val="clear" w:color="auto" w:fill="F3F8FC"/>
            <w:noWrap/>
            <w:vAlign w:val="center"/>
          </w:tcPr>
          <w:p w14:paraId="0FD5EF89">
            <w:pPr>
              <w:spacing w:line="240" w:lineRule="auto"/>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应用系统名称</w:t>
            </w:r>
          </w:p>
        </w:tc>
        <w:tc>
          <w:tcPr>
            <w:tcW w:w="2762" w:type="dxa"/>
            <w:tcBorders>
              <w:top w:val="single" w:color="000000" w:sz="4" w:space="0"/>
              <w:left w:val="single" w:color="000000" w:sz="4" w:space="0"/>
              <w:bottom w:val="single" w:color="000000" w:sz="4" w:space="0"/>
              <w:right w:val="single" w:color="000000" w:sz="4" w:space="0"/>
            </w:tcBorders>
            <w:shd w:val="clear" w:color="auto" w:fill="F3F8FC"/>
            <w:noWrap/>
            <w:vAlign w:val="center"/>
          </w:tcPr>
          <w:p w14:paraId="1D530867">
            <w:pPr>
              <w:spacing w:line="240" w:lineRule="auto"/>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模块名称</w:t>
            </w:r>
          </w:p>
        </w:tc>
        <w:tc>
          <w:tcPr>
            <w:tcW w:w="5247" w:type="dxa"/>
            <w:tcBorders>
              <w:top w:val="single" w:color="000000" w:sz="4" w:space="0"/>
              <w:left w:val="single" w:color="000000" w:sz="4" w:space="0"/>
              <w:bottom w:val="single" w:color="000000" w:sz="4" w:space="0"/>
              <w:right w:val="single" w:color="000000" w:sz="4" w:space="0"/>
            </w:tcBorders>
            <w:shd w:val="clear" w:color="auto" w:fill="F3F8FC"/>
            <w:vAlign w:val="center"/>
          </w:tcPr>
          <w:p w14:paraId="157622A6">
            <w:pPr>
              <w:spacing w:line="240" w:lineRule="auto"/>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模块描述</w:t>
            </w:r>
          </w:p>
        </w:tc>
      </w:tr>
      <w:tr w14:paraId="2FBE23DF">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4B03">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AA80">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C67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运管平台首页（PC端）-政务外网无线网综合管理</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C400">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在现有平台中增加无线网业务的汇总信息，包括无线网业务申请量、流量、应用接入量、用户数、告警故障内容的综合管理。</w:t>
            </w:r>
          </w:p>
        </w:tc>
      </w:tr>
      <w:tr w14:paraId="4DAC570F">
        <w:tblPrEx>
          <w:tblCellMar>
            <w:top w:w="0" w:type="dxa"/>
            <w:left w:w="108" w:type="dxa"/>
            <w:bottom w:w="0" w:type="dxa"/>
            <w:right w:w="108" w:type="dxa"/>
          </w:tblCellMar>
        </w:tblPrEx>
        <w:trPr>
          <w:trHeight w:val="106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DCD5">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A168">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FE4D">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运管平台首页（PC端）-政务外网互联网安全加密接入综合管理</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C2EB">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在现有平台中增加互联网安全加密接入服务的汇总信息，包括接入申请量、接入单位量、用户行为异常告警、访问应用数量等内容管理。</w:t>
            </w:r>
          </w:p>
        </w:tc>
      </w:tr>
      <w:tr w14:paraId="739E8622">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C24D">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DFD6">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E2BD">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运管平台手机端业务审批-无线网和互联网安全加密接入服务的申请审批功能</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703B">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提供手机端无线网业务（开户、套餐变更、销户等）及互联网安全加密接入服务（开户、变更、撤销）的审批功能。</w:t>
            </w:r>
          </w:p>
        </w:tc>
      </w:tr>
      <w:tr w14:paraId="452660ED">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CC7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1D30">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B579">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运管平台手机端运营管理-无线网和互联网安全加密接入服务的运营管理</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A053">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提供手机端新增无线网及互联网安全加密接入服务的运营管理模块，涵盖业务申请量、用户数、告警故障等数据管理。</w:t>
            </w:r>
          </w:p>
        </w:tc>
      </w:tr>
      <w:tr w14:paraId="6810FD79">
        <w:tblPrEx>
          <w:tblCellMar>
            <w:top w:w="0" w:type="dxa"/>
            <w:left w:w="108" w:type="dxa"/>
            <w:bottom w:w="0" w:type="dxa"/>
            <w:right w:w="108" w:type="dxa"/>
          </w:tblCellMar>
        </w:tblPrEx>
        <w:trPr>
          <w:trHeight w:val="59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3697">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3E88">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D506">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运管平台无线网业务申请管理-专网卡开户申请流程</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3D6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提供单域卡、双域卡开户申请流程、工单审批、信息同步及权限开通工单流转等。</w:t>
            </w:r>
          </w:p>
        </w:tc>
      </w:tr>
      <w:tr w14:paraId="302CA3A5">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EF6F">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656C">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8985">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运管平台无线网业务申请管理-专网卡套餐变更流程</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9060">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提供专网卡的套餐变更申请流程，包括套餐变更申请、套餐变更信息同步等，接入单位可实时查看业务办理进度。</w:t>
            </w:r>
          </w:p>
        </w:tc>
      </w:tr>
      <w:tr w14:paraId="5A324F09">
        <w:tblPrEx>
          <w:tblCellMar>
            <w:top w:w="0" w:type="dxa"/>
            <w:left w:w="108" w:type="dxa"/>
            <w:bottom w:w="0" w:type="dxa"/>
            <w:right w:w="108" w:type="dxa"/>
          </w:tblCellMar>
        </w:tblPrEx>
        <w:trPr>
          <w:trHeight w:val="106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B2A7">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95F8">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3B1E">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运管平台无线网业务申请管理-专网卡销户申请流程</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904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提供单域卡和双域卡销户申请流程，包括销户申请、工单审批、工单下发、（销户后）信息同步、接入单位可实时查看业务办理进度。</w:t>
            </w:r>
          </w:p>
        </w:tc>
      </w:tr>
      <w:tr w14:paraId="39F9A4EE">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E941">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4C69">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4445">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运管平台无线网业务申请管理-机卡解绑申请流程</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C2BD">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提供机卡解绑申请流程，包括机卡解绑申请提交和录入、工单审批、工单下发、接入单位可实时查看业务办理进度。</w:t>
            </w:r>
          </w:p>
        </w:tc>
      </w:tr>
      <w:tr w14:paraId="0D3FE2C1">
        <w:tblPrEx>
          <w:tblCellMar>
            <w:top w:w="0" w:type="dxa"/>
            <w:left w:w="108" w:type="dxa"/>
            <w:bottom w:w="0" w:type="dxa"/>
            <w:right w:w="108" w:type="dxa"/>
          </w:tblCellMar>
        </w:tblPrEx>
        <w:trPr>
          <w:trHeight w:val="59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07E4">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8FF7">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E447">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运管平台无线网业务申请管理-换卡申请流程</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40B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为已成功办理无线网用户需要换卡的场景提供专网卡的换卡申请流程。</w:t>
            </w:r>
          </w:p>
        </w:tc>
      </w:tr>
      <w:tr w14:paraId="4273FE29">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C3C7">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95F0">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008F">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运管平台无线网业务申请管理-访问应用权限申请及变更</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6F21">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提供对可访问系统的权限申请及变更。</w:t>
            </w:r>
          </w:p>
        </w:tc>
      </w:tr>
      <w:tr w14:paraId="11B4A5F5">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351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ED00">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DD6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运管平台互联网安全加密接入服务申请管理-开户申请流程</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D8C3">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提供政务外网互联网安全加密接入服务账号开户申请。</w:t>
            </w:r>
          </w:p>
        </w:tc>
      </w:tr>
      <w:tr w14:paraId="3FA41968">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57E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5590">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54B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运管平台互联网安全加密接入服务申请管理-业务变更流程</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1346">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支持政务外网互联网安全加密接入服务中对MAC地址变更及可访问系统的权限变更申请。</w:t>
            </w:r>
          </w:p>
        </w:tc>
      </w:tr>
      <w:tr w14:paraId="1981B0EB">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6E5F">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DFD7">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3730">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运管平台互联网安全加密接入服务申请管理-撤销业务流程</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FE7C">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提供政务外网互联网安全加密接入服务账号销户申请流程，支持工单审批及进度跟踪。</w:t>
            </w:r>
          </w:p>
        </w:tc>
      </w:tr>
      <w:tr w14:paraId="5365451D">
        <w:tblPrEx>
          <w:tblCellMar>
            <w:top w:w="0" w:type="dxa"/>
            <w:left w:w="108" w:type="dxa"/>
            <w:bottom w:w="0" w:type="dxa"/>
            <w:right w:w="108" w:type="dxa"/>
          </w:tblCellMar>
        </w:tblPrEx>
        <w:trPr>
          <w:trHeight w:val="59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E0FE">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3DE7">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814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运管平台-工单管理</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BA78">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支持全类型工单管理，提供多维搜索、统计及详情查看功能。</w:t>
            </w:r>
          </w:p>
        </w:tc>
      </w:tr>
      <w:tr w14:paraId="6DF6F181">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5A3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441A">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7BF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运管平台日常运营分析-无线网服务申请情况统计分析</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FA31">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提供无线网服务的各类统计分析功能，其中包含办理状态统计、办理总量统计，并支持以时间维度进行统计。</w:t>
            </w:r>
          </w:p>
        </w:tc>
      </w:tr>
      <w:tr w14:paraId="3E838479">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DB8C">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631A">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9CBD">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运管平台日常运营分析-无线网服务使用情况统计分析</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AC4B">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支持无线网服务各类型号卡用户分布、运营商报修统计、故障排行及用户在线分析。</w:t>
            </w:r>
          </w:p>
        </w:tc>
      </w:tr>
      <w:tr w14:paraId="463E519E">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FDE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9E78">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337E">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运管平台日常运营分析-互联网安全加密接入服务申请情况统计分析</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30B5">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提供互联网安全加密接入服务申请量、办理状态及时间维度统计分析功能。</w:t>
            </w:r>
          </w:p>
        </w:tc>
      </w:tr>
      <w:tr w14:paraId="182BB4AB">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E746">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5034">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CAB0">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运管平台日常运营分析-互联网安全加密接入服务使用情况统计分析</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75B7">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支持互联网安全加密接入服务的使用用户总量、月度故障及接入单位故障排行统计。</w:t>
            </w:r>
          </w:p>
        </w:tc>
      </w:tr>
      <w:tr w14:paraId="06D68E6A">
        <w:tblPrEx>
          <w:tblCellMar>
            <w:top w:w="0" w:type="dxa"/>
            <w:left w:w="108" w:type="dxa"/>
            <w:bottom w:w="0" w:type="dxa"/>
            <w:right w:w="108" w:type="dxa"/>
          </w:tblCellMar>
        </w:tblPrEx>
        <w:trPr>
          <w:trHeight w:val="106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B22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D3A2">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ABE5">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运管平台服务支撑底座管理-无线网专网卡管理</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32F5">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提供管理单位视角查看所有已申请并且已完成开通的专网卡基本信息（卡号、套餐、单位等）、专网卡状态等信息，支持导出及根据专网卡信息追踪申请工单等。</w:t>
            </w:r>
          </w:p>
        </w:tc>
      </w:tr>
      <w:tr w14:paraId="054C9375">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2ED4">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6F4D">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D994">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运管平台服务支撑底座管理-无线网终端安全管控账号管理</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DF3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为管理单位提供无线网终端安全管控账号的管理，可查看账号的基本信息、账号可访问系统信息，并可对账号基本信息进行修改。</w:t>
            </w:r>
          </w:p>
        </w:tc>
      </w:tr>
      <w:tr w14:paraId="085FC8CB">
        <w:tblPrEx>
          <w:tblCellMar>
            <w:top w:w="0" w:type="dxa"/>
            <w:left w:w="108" w:type="dxa"/>
            <w:bottom w:w="0" w:type="dxa"/>
            <w:right w:w="108" w:type="dxa"/>
          </w:tblCellMar>
        </w:tblPrEx>
        <w:trPr>
          <w:trHeight w:val="118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ABBF">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99B9">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3829">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运管平台服务支撑底座管理-互联网安全加密接入服务账号管理和访问权限管理</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2A3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为管理单位提供互联网安全加密接入服务账号管理和访问权限管理功能，管理账号基本信息，账号状态、账号可访问系统信息等。</w:t>
            </w:r>
          </w:p>
        </w:tc>
      </w:tr>
      <w:tr w14:paraId="59ED64DB">
        <w:tblPrEx>
          <w:tblCellMar>
            <w:top w:w="0" w:type="dxa"/>
            <w:left w:w="108" w:type="dxa"/>
            <w:bottom w:w="0" w:type="dxa"/>
            <w:right w:w="108" w:type="dxa"/>
          </w:tblCellMar>
        </w:tblPrEx>
        <w:trPr>
          <w:trHeight w:val="80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BF6E">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B4D4">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08FF">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运管平台资产管理及监管-光纤网业务资产信息管理</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129F">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对光纤网业务资产信息（硬件资产、软件资产）进行管理，预计纳管不少于2500个资产信息。</w:t>
            </w:r>
          </w:p>
        </w:tc>
      </w:tr>
      <w:tr w14:paraId="12D2B1BC">
        <w:tblPrEx>
          <w:tblCellMar>
            <w:top w:w="0" w:type="dxa"/>
            <w:left w:w="108" w:type="dxa"/>
            <w:bottom w:w="0" w:type="dxa"/>
            <w:right w:w="108" w:type="dxa"/>
          </w:tblCellMar>
        </w:tblPrEx>
        <w:trPr>
          <w:trHeight w:val="80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1295">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9C9F">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45F9">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运管平台资产管理及监管-无线网业务资产信息管理</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3381">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对无线网业务资产信息（硬件资产、软件资产）进行管理，预计纳管不少于190个资产信息。</w:t>
            </w:r>
          </w:p>
        </w:tc>
      </w:tr>
      <w:tr w14:paraId="3F0D627A">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32EB">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2EFF">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CD5E">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运管平台资产管理及监管-政务外网互联网安全加密接入服务资产信息管理</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7C2B">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对互联网安全加密接入服务资产信息（硬件资产、软件资产）进行管理。</w:t>
            </w:r>
          </w:p>
        </w:tc>
      </w:tr>
      <w:tr w14:paraId="03DD0080">
        <w:tblPrEx>
          <w:tblCellMar>
            <w:top w:w="0" w:type="dxa"/>
            <w:left w:w="108" w:type="dxa"/>
            <w:bottom w:w="0" w:type="dxa"/>
            <w:right w:w="108" w:type="dxa"/>
          </w:tblCellMar>
        </w:tblPrEx>
        <w:trPr>
          <w:trHeight w:val="59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A886">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2474">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2EB7">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运管平台资产管理及监管-政务外网资产监管</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DB48">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支持资产全生命周期管理（年限告警、升级、进出核查、故障监控）。</w:t>
            </w:r>
          </w:p>
        </w:tc>
      </w:tr>
      <w:tr w14:paraId="753AF9D1">
        <w:tblPrEx>
          <w:tblCellMar>
            <w:top w:w="0" w:type="dxa"/>
            <w:left w:w="108" w:type="dxa"/>
            <w:bottom w:w="0" w:type="dxa"/>
            <w:right w:w="108" w:type="dxa"/>
          </w:tblCellMar>
        </w:tblPrEx>
        <w:trPr>
          <w:trHeight w:val="59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D4F9">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34EF">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ABD0">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运管平台运营监控-无线网服务监控资源统计分析</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0F20">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监控政务外网业务的资源统计和UPF流量统计等信息。</w:t>
            </w:r>
          </w:p>
        </w:tc>
      </w:tr>
      <w:tr w14:paraId="691CD488">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B3CB">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7019">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6AF0">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运管平台运营监控-互联网安全加密接入服务监控资源统计</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5CB1">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监控政务外网互联网安全加密接入服务的资源统计等信息。</w:t>
            </w:r>
          </w:p>
        </w:tc>
      </w:tr>
      <w:tr w14:paraId="6424A7DA">
        <w:tblPrEx>
          <w:tblCellMar>
            <w:top w:w="0" w:type="dxa"/>
            <w:left w:w="108" w:type="dxa"/>
            <w:bottom w:w="0" w:type="dxa"/>
            <w:right w:w="108" w:type="dxa"/>
          </w:tblCellMar>
        </w:tblPrEx>
        <w:trPr>
          <w:trHeight w:val="59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4445">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BCE4">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6F03">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运管平台故障管理-故障整改流程管理</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AD6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提供故障整改流程管理，实现故障报告提交、故障审核、故障整改等功能。</w:t>
            </w:r>
          </w:p>
        </w:tc>
      </w:tr>
      <w:tr w14:paraId="6710224A">
        <w:tblPrEx>
          <w:tblCellMar>
            <w:top w:w="0" w:type="dxa"/>
            <w:left w:w="108" w:type="dxa"/>
            <w:bottom w:w="0" w:type="dxa"/>
            <w:right w:w="108" w:type="dxa"/>
          </w:tblCellMar>
        </w:tblPrEx>
        <w:trPr>
          <w:trHeight w:val="106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490F">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AFC0">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106C">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运管平台故障管理-无线网故障管理</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D780">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提供政务外网无线网服务故障报修信息上报、查看功能、可筛选故障报修信息，提供故障报修列表导出、故障处置时效跟踪管理功能。</w:t>
            </w:r>
          </w:p>
        </w:tc>
      </w:tr>
      <w:tr w14:paraId="361151E6">
        <w:tblPrEx>
          <w:tblCellMar>
            <w:top w:w="0" w:type="dxa"/>
            <w:left w:w="108" w:type="dxa"/>
            <w:bottom w:w="0" w:type="dxa"/>
            <w:right w:w="108" w:type="dxa"/>
          </w:tblCellMar>
        </w:tblPrEx>
        <w:trPr>
          <w:trHeight w:val="106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5416">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BCB7">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8188">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运管平台故障管理-互联网安全加密接入服务故障管理</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426F">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提供政务外网互联网安全加密接入服务故障报修信息上报、查看功能、可筛选故障报修信息，提供故障报修列表导出、故障处置时效跟踪管理功能。</w:t>
            </w:r>
          </w:p>
        </w:tc>
      </w:tr>
      <w:tr w14:paraId="5782B32B">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B986">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22C5">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B849">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运管平台告警管理-无线网服务安全告警</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7E65">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提供政务外网无线网业务的网络安全告警统计、UPF告警、安全接入区告警和终端安全异常行为告警统计、业务告警。</w:t>
            </w:r>
          </w:p>
        </w:tc>
      </w:tr>
      <w:tr w14:paraId="2ED25918">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6797">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E612">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0EB0">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运管平台告警管理-互联网安全加密接入服务安全告警</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6116">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提供政务外网互联网安全加密接入服务的异常行为告警信息。</w:t>
            </w:r>
          </w:p>
        </w:tc>
      </w:tr>
      <w:tr w14:paraId="348DE65C">
        <w:tblPrEx>
          <w:tblCellMar>
            <w:top w:w="0" w:type="dxa"/>
            <w:left w:w="108" w:type="dxa"/>
            <w:bottom w:w="0" w:type="dxa"/>
            <w:right w:w="108" w:type="dxa"/>
          </w:tblCellMar>
        </w:tblPrEx>
        <w:trPr>
          <w:trHeight w:val="59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A7DD">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A153">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D766">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运管平台对接无线网业务支撑平台</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539F">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实现用户信息同步、工单接口、安全告警等相关接口对接。</w:t>
            </w:r>
          </w:p>
        </w:tc>
      </w:tr>
      <w:tr w14:paraId="4E22D067">
        <w:tblPrEx>
          <w:tblCellMar>
            <w:top w:w="0" w:type="dxa"/>
            <w:left w:w="108" w:type="dxa"/>
            <w:bottom w:w="0" w:type="dxa"/>
            <w:right w:w="108" w:type="dxa"/>
          </w:tblCellMar>
        </w:tblPrEx>
        <w:trPr>
          <w:trHeight w:val="59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2AF8">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33E1">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F2A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运管平台对接互联网安全加密接入服务支撑平台</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38E1">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实现开户、业务变更、报修等相关接口对接。</w:t>
            </w:r>
          </w:p>
        </w:tc>
      </w:tr>
      <w:tr w14:paraId="27971275">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CFE5">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3AD0">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275C">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运管平台对接运营商（广电、电信、移动、联通）业务平台-用户激活接口</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E08C">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对接运营商平台，支持用户激活、套餐变更、流量上报等接口。</w:t>
            </w:r>
          </w:p>
        </w:tc>
      </w:tr>
      <w:tr w14:paraId="1527D97B">
        <w:tblPrEx>
          <w:tblCellMar>
            <w:top w:w="0" w:type="dxa"/>
            <w:left w:w="108" w:type="dxa"/>
            <w:bottom w:w="0" w:type="dxa"/>
            <w:right w:w="108" w:type="dxa"/>
          </w:tblCellMar>
        </w:tblPrEx>
        <w:trPr>
          <w:trHeight w:val="80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E3CD">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0C63">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EE6F">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运管平台对接一体化运营平台-安全告警同步接口</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E235">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向大数据中心一体化运营平台推送政务外网安全数据，包括边界攻击、威胁源等安全告警数据。</w:t>
            </w:r>
          </w:p>
        </w:tc>
      </w:tr>
      <w:tr w14:paraId="37EE29BA">
        <w:tblPrEx>
          <w:tblCellMar>
            <w:top w:w="0" w:type="dxa"/>
            <w:left w:w="108" w:type="dxa"/>
            <w:bottom w:w="0" w:type="dxa"/>
            <w:right w:w="108" w:type="dxa"/>
          </w:tblCellMar>
        </w:tblPrEx>
        <w:trPr>
          <w:trHeight w:val="59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0F70">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07AB">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E5A3">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运管平台计量计费管理-无线网业务计量计费管理</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9918">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提供无线网业务计量稽核、费用核算及结算数据支持。</w:t>
            </w:r>
          </w:p>
        </w:tc>
      </w:tr>
      <w:tr w14:paraId="5A9F25BA">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8FA6">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AD4B">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F5DB">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运管平台计量计费管理-互联网安全加密接入服务计量管理</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A3B4">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支持服务计量数据导出及月度统计。</w:t>
            </w:r>
          </w:p>
        </w:tc>
      </w:tr>
      <w:tr w14:paraId="55115B07">
        <w:tblPrEx>
          <w:tblCellMar>
            <w:top w:w="0" w:type="dxa"/>
            <w:left w:w="108" w:type="dxa"/>
            <w:bottom w:w="0" w:type="dxa"/>
            <w:right w:w="108" w:type="dxa"/>
          </w:tblCellMar>
        </w:tblPrEx>
        <w:trPr>
          <w:trHeight w:val="80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3BCB">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39</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B1D0">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54F3">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运管平台日志管理-无线网日志管理</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C6B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提供对无线网业务申请、使用过程的操作日志、接口日志的收集，用于系统运行异常时的日志分析。</w:t>
            </w:r>
          </w:p>
        </w:tc>
      </w:tr>
      <w:tr w14:paraId="38F0B03E">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F68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A054">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C52E">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运管平台日志管理-互联网安全加密接入服务日志管理</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498F">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提供对互联网安全加密接入服务的操作日志、接口日志的筛选、查看和导出等功能。</w:t>
            </w:r>
          </w:p>
        </w:tc>
      </w:tr>
      <w:tr w14:paraId="25CB309B">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0455">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E121">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AE4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运管平台用户管理-PC端接入一体化协同办公平台的认证体系</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3E1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对接一体化协同办公平台，支持用户权限配置及角色管理。</w:t>
            </w:r>
          </w:p>
        </w:tc>
      </w:tr>
      <w:tr w14:paraId="2210FD4D">
        <w:tblPrEx>
          <w:tblCellMar>
            <w:top w:w="0" w:type="dxa"/>
            <w:left w:w="108" w:type="dxa"/>
            <w:bottom w:w="0" w:type="dxa"/>
            <w:right w:w="108" w:type="dxa"/>
          </w:tblCellMar>
        </w:tblPrEx>
        <w:trPr>
          <w:trHeight w:val="80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76E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AE5E">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2623">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云管平台区块链服务申请管理-新建业务链</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EC53">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为新建政务业务链场景提供所需的新建业务链申请服务、区块链智能合约服务等基础功能组合服务。</w:t>
            </w:r>
          </w:p>
        </w:tc>
      </w:tr>
      <w:tr w14:paraId="2B8BF428">
        <w:tblPrEx>
          <w:tblCellMar>
            <w:top w:w="0" w:type="dxa"/>
            <w:left w:w="108" w:type="dxa"/>
            <w:bottom w:w="0" w:type="dxa"/>
            <w:right w:w="108" w:type="dxa"/>
          </w:tblCellMar>
        </w:tblPrEx>
        <w:trPr>
          <w:trHeight w:val="80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41F4">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CBFD">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720B">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云管平台区块链服务申请管理-新增链节点</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D9C3">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为新增区块链节点场景提供所需的政务区块链新增链节点，变更基础服务、证书服务等基础功能组合服务。</w:t>
            </w:r>
          </w:p>
        </w:tc>
      </w:tr>
      <w:tr w14:paraId="257B5155">
        <w:tblPrEx>
          <w:tblCellMar>
            <w:top w:w="0" w:type="dxa"/>
            <w:left w:w="108" w:type="dxa"/>
            <w:bottom w:w="0" w:type="dxa"/>
            <w:right w:w="108" w:type="dxa"/>
          </w:tblCellMar>
        </w:tblPrEx>
        <w:trPr>
          <w:trHeight w:val="80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6A50">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595A">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A6D0">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云管平台区块链服务申请管理-退出链节点</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6097">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为退出区块链节点场景提供所需的政务区块链退出链节点，退出基础服务、证书服务等基础功能组合服务。</w:t>
            </w:r>
          </w:p>
        </w:tc>
      </w:tr>
      <w:tr w14:paraId="2436F8A4">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E081">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784D">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E7B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云管平台区块链服务申请管理-联盟成员变更</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CEE4">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为联盟成员的新增和变更提供所需的政务区块链单位的区块链账号服务(可选)、区块链基础服务(可选)等基础功能组合服务。</w:t>
            </w:r>
          </w:p>
        </w:tc>
      </w:tr>
      <w:tr w14:paraId="3AEA2F0A">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7023">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D046">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D416">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云管平台区块链服务申请管理-销毁链节点</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34D8">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为销毁业务链场景提供所需的政务区块链销毁业务链的基础服务、区块链智能合约服务、区块链证书服务等基础功能组合服务。</w:t>
            </w:r>
          </w:p>
        </w:tc>
      </w:tr>
      <w:tr w14:paraId="557184C0">
        <w:tblPrEx>
          <w:tblCellMar>
            <w:top w:w="0" w:type="dxa"/>
            <w:left w:w="108" w:type="dxa"/>
            <w:bottom w:w="0" w:type="dxa"/>
            <w:right w:w="108" w:type="dxa"/>
          </w:tblCellMar>
        </w:tblPrEx>
        <w:trPr>
          <w:trHeight w:val="59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740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47</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8291">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D3D6">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云管平台区块链服务申请管理-目录服务</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8670">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为区块链的使用单位提供目录服务申请、管理部门审核、实施对接的全流程记录。</w:t>
            </w:r>
          </w:p>
        </w:tc>
      </w:tr>
      <w:tr w14:paraId="2C21A38F">
        <w:tblPrEx>
          <w:tblCellMar>
            <w:top w:w="0" w:type="dxa"/>
            <w:left w:w="108" w:type="dxa"/>
            <w:bottom w:w="0" w:type="dxa"/>
            <w:right w:w="108" w:type="dxa"/>
          </w:tblCellMar>
        </w:tblPrEx>
        <w:trPr>
          <w:trHeight w:val="59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A29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48</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BFAA">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A3B7">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云管平台区块链服务申请管理-存证服务</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7DD9">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为区块链的使用单位提供申请存证服务的全流程记录。</w:t>
            </w:r>
          </w:p>
        </w:tc>
      </w:tr>
      <w:tr w14:paraId="53E43D75">
        <w:tblPrEx>
          <w:tblCellMar>
            <w:top w:w="0" w:type="dxa"/>
            <w:left w:w="108" w:type="dxa"/>
            <w:bottom w:w="0" w:type="dxa"/>
            <w:right w:w="108" w:type="dxa"/>
          </w:tblCellMar>
        </w:tblPrEx>
        <w:trPr>
          <w:trHeight w:val="59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617F">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FB20">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BC61">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云管平台区块链服务申请管理-电子签署服务</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847B">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为区块链的使用单位提供申请电子签署服务的全流程记录。</w:t>
            </w:r>
          </w:p>
        </w:tc>
      </w:tr>
      <w:tr w14:paraId="4122A799">
        <w:tblPrEx>
          <w:tblCellMar>
            <w:top w:w="0" w:type="dxa"/>
            <w:left w:w="108" w:type="dxa"/>
            <w:bottom w:w="0" w:type="dxa"/>
            <w:right w:w="108" w:type="dxa"/>
          </w:tblCellMar>
        </w:tblPrEx>
        <w:trPr>
          <w:trHeight w:val="59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A0B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50</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BBC8">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CFE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云管平台区块链服务申请管理-技术支持流程</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DDF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提供用户技术支持使用申请工单提交及处理功能。</w:t>
            </w:r>
          </w:p>
        </w:tc>
      </w:tr>
      <w:tr w14:paraId="0766EF10">
        <w:tblPrEx>
          <w:tblCellMar>
            <w:top w:w="0" w:type="dxa"/>
            <w:left w:w="108" w:type="dxa"/>
            <w:bottom w:w="0" w:type="dxa"/>
            <w:right w:w="108" w:type="dxa"/>
          </w:tblCellMar>
        </w:tblPrEx>
        <w:trPr>
          <w:trHeight w:val="80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620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E73B">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899E">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云管平台区块链运营管理-服务实例管理</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3B4D">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提供区块链服务交付后产生的实例信息的集中管理，支持报障、技术支持、运维等相关的操作。</w:t>
            </w:r>
          </w:p>
        </w:tc>
      </w:tr>
      <w:tr w14:paraId="7256674B">
        <w:tblPrEx>
          <w:tblCellMar>
            <w:top w:w="0" w:type="dxa"/>
            <w:left w:w="108" w:type="dxa"/>
            <w:bottom w:w="0" w:type="dxa"/>
            <w:right w:w="108" w:type="dxa"/>
          </w:tblCellMar>
        </w:tblPrEx>
        <w:trPr>
          <w:trHeight w:val="59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F67B">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92F7">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F61B">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云管平台区块链运营管理-报障管理</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44A0">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提供用户报障工单填报及处理跟踪功能。</w:t>
            </w:r>
          </w:p>
        </w:tc>
      </w:tr>
      <w:tr w14:paraId="0AEB2FA3">
        <w:tblPrEx>
          <w:tblCellMar>
            <w:top w:w="0" w:type="dxa"/>
            <w:left w:w="108" w:type="dxa"/>
            <w:bottom w:w="0" w:type="dxa"/>
            <w:right w:w="108" w:type="dxa"/>
          </w:tblCellMar>
        </w:tblPrEx>
        <w:trPr>
          <w:trHeight w:val="59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98C9">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50A0">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02D6">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云管平台区块链运营管理-链数稽核</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9731">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支持数据上链前合规性核查及工单审批。</w:t>
            </w:r>
          </w:p>
        </w:tc>
      </w:tr>
      <w:tr w14:paraId="4E11A8A9">
        <w:tblPrEx>
          <w:tblCellMar>
            <w:top w:w="0" w:type="dxa"/>
            <w:left w:w="108" w:type="dxa"/>
            <w:bottom w:w="0" w:type="dxa"/>
            <w:right w:w="108" w:type="dxa"/>
          </w:tblCellMar>
        </w:tblPrEx>
        <w:trPr>
          <w:trHeight w:val="118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2500">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7852">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BD6E">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云管平台区块链运营报告管理-模板配置</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DE0F">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定制区块链业务报表模板，包括样式、结构和内容的自定义。用户可选用预设的模板组件，如表格、图表等，并设定数据字段和格式，生成满足业务需求的报告模板。</w:t>
            </w:r>
          </w:p>
        </w:tc>
      </w:tr>
      <w:tr w14:paraId="0A8965F2">
        <w:tblPrEx>
          <w:tblCellMar>
            <w:top w:w="0" w:type="dxa"/>
            <w:left w:w="108" w:type="dxa"/>
            <w:bottom w:w="0" w:type="dxa"/>
            <w:right w:w="108" w:type="dxa"/>
          </w:tblCellMar>
        </w:tblPrEx>
        <w:trPr>
          <w:trHeight w:val="106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329D">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8075">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F705">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云管平台区块链运营报告管理-报告任务配置</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77F3">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支持用户设置报告任务的执行计划、参数，如频率、数据源、输出格式，并设定触发条件以自动或手动执行。配置完毕后，系统将自动按计划生成并发送报告。</w:t>
            </w:r>
          </w:p>
        </w:tc>
      </w:tr>
      <w:tr w14:paraId="162CDB38">
        <w:tblPrEx>
          <w:tblCellMar>
            <w:top w:w="0" w:type="dxa"/>
            <w:left w:w="108" w:type="dxa"/>
            <w:bottom w:w="0" w:type="dxa"/>
            <w:right w:w="108" w:type="dxa"/>
          </w:tblCellMar>
        </w:tblPrEx>
        <w:trPr>
          <w:trHeight w:val="80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9F06">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56</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862A">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E30E">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云管平台区块链运营报告管理-报告查询</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7C36">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该功能允许用户通过时间、类型、关键词等条件快速检索报告，并支持在线预览和下载，支持随时查看和使用。</w:t>
            </w:r>
          </w:p>
        </w:tc>
      </w:tr>
      <w:tr w14:paraId="2B1FF606">
        <w:tblPrEx>
          <w:tblCellMar>
            <w:top w:w="0" w:type="dxa"/>
            <w:left w:w="108" w:type="dxa"/>
            <w:bottom w:w="0" w:type="dxa"/>
            <w:right w:w="108" w:type="dxa"/>
          </w:tblCellMar>
        </w:tblPrEx>
        <w:trPr>
          <w:trHeight w:val="106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9E47">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57</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E6B3">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6A38">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云管平台区块链运营统计分析-运营统计分析</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D6A9">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支持包括区块链业务的当前服务申请量总体运营统计，涵盖区块链服务工单类别的累计汇总、每月服务工单新增的数量分析。</w:t>
            </w:r>
          </w:p>
        </w:tc>
      </w:tr>
      <w:tr w14:paraId="12F66E15">
        <w:tblPrEx>
          <w:tblCellMar>
            <w:top w:w="0" w:type="dxa"/>
            <w:left w:w="108" w:type="dxa"/>
            <w:bottom w:w="0" w:type="dxa"/>
            <w:right w:w="108" w:type="dxa"/>
          </w:tblCellMar>
        </w:tblPrEx>
        <w:trPr>
          <w:trHeight w:val="106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1BD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58</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1B3C">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D0F9">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云管平台区块链运营统计分析-服务工单时长统计分析</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A3D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提供区块链服务工单处理时长和超时情况分析，能利用精确数据统计深入理解工单效率，发现并解决潜在问题，优化服务流程。</w:t>
            </w:r>
          </w:p>
        </w:tc>
      </w:tr>
      <w:tr w14:paraId="7586CB54">
        <w:tblPrEx>
          <w:tblCellMar>
            <w:top w:w="0" w:type="dxa"/>
            <w:left w:w="108" w:type="dxa"/>
            <w:bottom w:w="0" w:type="dxa"/>
            <w:right w:w="108" w:type="dxa"/>
          </w:tblCellMar>
        </w:tblPrEx>
        <w:trPr>
          <w:trHeight w:val="106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D75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59</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4242">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980C">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云管平台区块链告警管理-活动告警列表</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D56F">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提供集中管理告警信息功能，涵盖类型、时间、级别和描述等关键数据，提供筛选和排序选项。</w:t>
            </w:r>
          </w:p>
        </w:tc>
      </w:tr>
      <w:tr w14:paraId="632118E5">
        <w:tblPrEx>
          <w:tblCellMar>
            <w:top w:w="0" w:type="dxa"/>
            <w:left w:w="108" w:type="dxa"/>
            <w:bottom w:w="0" w:type="dxa"/>
            <w:right w:w="108" w:type="dxa"/>
          </w:tblCellMar>
        </w:tblPrEx>
        <w:trPr>
          <w:trHeight w:val="80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44B5">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60</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C2DF">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CD2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云管平台区块链告警管理-告警统计面板</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8A51">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实时汇总并分析各类告警数据，支持以图表形式显示告警趋势、分布及类型。</w:t>
            </w:r>
          </w:p>
        </w:tc>
      </w:tr>
      <w:tr w14:paraId="703F9FE9">
        <w:tblPrEx>
          <w:tblCellMar>
            <w:top w:w="0" w:type="dxa"/>
            <w:left w:w="108" w:type="dxa"/>
            <w:bottom w:w="0" w:type="dxa"/>
            <w:right w:w="108" w:type="dxa"/>
          </w:tblCellMar>
        </w:tblPrEx>
        <w:trPr>
          <w:trHeight w:val="106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F05F">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248F">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56B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云管平台区块链资产管理-资产台账管理</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AED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提供实现对包括资产名称、规格等详细资产信息的全面记录和管理功能，支持资产信息的查询、编辑和统计。</w:t>
            </w:r>
          </w:p>
        </w:tc>
      </w:tr>
      <w:tr w14:paraId="1468B2C4">
        <w:tblPrEx>
          <w:tblCellMar>
            <w:top w:w="0" w:type="dxa"/>
            <w:left w:w="108" w:type="dxa"/>
            <w:bottom w:w="0" w:type="dxa"/>
            <w:right w:w="108" w:type="dxa"/>
          </w:tblCellMar>
        </w:tblPrEx>
        <w:trPr>
          <w:trHeight w:val="1309"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9FC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C7E4">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5DAD">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云管平台区块链云资源监控-云资源列表</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AC9C">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提供所有用于区块链相关云资源信息管理功能，用户可查看每个云资源的名称、配置、状态等信息，列表支持多种排序和筛选方式。</w:t>
            </w:r>
          </w:p>
        </w:tc>
      </w:tr>
      <w:tr w14:paraId="54660F09">
        <w:tblPrEx>
          <w:tblCellMar>
            <w:top w:w="0" w:type="dxa"/>
            <w:left w:w="108" w:type="dxa"/>
            <w:bottom w:w="0" w:type="dxa"/>
            <w:right w:w="108" w:type="dxa"/>
          </w:tblCellMar>
        </w:tblPrEx>
        <w:trPr>
          <w:trHeight w:val="80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D7BB">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E232">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7A04">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云管平台区块链云资源监控-云资源面板</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F43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支持以图形化方式实时显示云资源的运行状态和关键指标。</w:t>
            </w:r>
          </w:p>
        </w:tc>
      </w:tr>
      <w:tr w14:paraId="4A9C3789">
        <w:tblPrEx>
          <w:tblCellMar>
            <w:top w:w="0" w:type="dxa"/>
            <w:left w:w="108" w:type="dxa"/>
            <w:bottom w:w="0" w:type="dxa"/>
            <w:right w:w="108" w:type="dxa"/>
          </w:tblCellMar>
        </w:tblPrEx>
        <w:trPr>
          <w:trHeight w:val="80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A34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16C2">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ED04">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云管平台接口对接-区块链业务数据对接</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7271">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支持云管平台业务相关数据同步到区块链平台，包括：10项服务的业务流程和计量计费数据。</w:t>
            </w:r>
          </w:p>
        </w:tc>
      </w:tr>
      <w:tr w14:paraId="2912B649">
        <w:tblPrEx>
          <w:tblCellMar>
            <w:top w:w="0" w:type="dxa"/>
            <w:left w:w="108" w:type="dxa"/>
            <w:bottom w:w="0" w:type="dxa"/>
            <w:right w:w="108" w:type="dxa"/>
          </w:tblCellMar>
        </w:tblPrEx>
        <w:trPr>
          <w:trHeight w:val="80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5E7B">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7B1C">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C6A0">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云管平台接口对接-区块链告警数据对接</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BFB8">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支持区块链底层平台上报告警数据到云管平台，能够实现各类告警信息的集中传输。</w:t>
            </w:r>
          </w:p>
        </w:tc>
      </w:tr>
      <w:tr w14:paraId="6CD224BB">
        <w:tblPrEx>
          <w:tblCellMar>
            <w:top w:w="0" w:type="dxa"/>
            <w:left w:w="108" w:type="dxa"/>
            <w:bottom w:w="0" w:type="dxa"/>
            <w:right w:w="108" w:type="dxa"/>
          </w:tblCellMar>
        </w:tblPrEx>
        <w:trPr>
          <w:trHeight w:val="106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CA16">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9757">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CD47">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云管平台区块链计量管理-10项区块链服务项计量</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137B">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根据服务项计量规则和工单数据，进行服务项计量并支持数据导出。可定制计量模板，实现按业务链节点、单位（预算或使用）、时间等维度的统计。</w:t>
            </w:r>
          </w:p>
        </w:tc>
      </w:tr>
      <w:tr w14:paraId="170519AE">
        <w:tblPrEx>
          <w:tblCellMar>
            <w:top w:w="0" w:type="dxa"/>
            <w:left w:w="108" w:type="dxa"/>
            <w:bottom w:w="0" w:type="dxa"/>
            <w:right w:w="108" w:type="dxa"/>
          </w:tblCellMar>
        </w:tblPrEx>
        <w:trPr>
          <w:trHeight w:val="106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0BF9">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67</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3AFA">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7BC3">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云管平台区块链计费管理-10项区块链服务项计费</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B3E4">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根据服务计费规则核算费用，并支持数据导出。提供定制区块链服务模板，包括业务链节点和计量类型的月、年账单模型管理。</w:t>
            </w:r>
          </w:p>
        </w:tc>
      </w:tr>
      <w:tr w14:paraId="2AC7E48F">
        <w:tblPrEx>
          <w:tblCellMar>
            <w:top w:w="0" w:type="dxa"/>
            <w:left w:w="108" w:type="dxa"/>
            <w:bottom w:w="0" w:type="dxa"/>
            <w:right w:w="108" w:type="dxa"/>
          </w:tblCellMar>
        </w:tblPrEx>
        <w:trPr>
          <w:trHeight w:val="1309"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F8C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68</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0E6E">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77A4">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云管平台PC、移动端流程优化-优化PaaS服务申请流程</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94B7">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为服务申请实例配置对应的IaaS资源规格，支持IaaS资源规格展示，以及在满足项目资源量不超出配额20%可申请服务资源的规则下，实现服务产品申请。</w:t>
            </w:r>
          </w:p>
        </w:tc>
      </w:tr>
      <w:tr w14:paraId="2C8A0213">
        <w:tblPrEx>
          <w:tblCellMar>
            <w:top w:w="0" w:type="dxa"/>
            <w:left w:w="108" w:type="dxa"/>
            <w:bottom w:w="0" w:type="dxa"/>
            <w:right w:w="108" w:type="dxa"/>
          </w:tblCellMar>
        </w:tblPrEx>
        <w:trPr>
          <w:trHeight w:val="9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FEA4">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69</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B85D">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990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云管平台PC、移动端流程优化-新增PaaS流程与IaaS流程交互功能</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B7AC">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支持涉及密码服务器创建需要再申请密码服务的流程中，同步触发IaaS服务申请流程。</w:t>
            </w:r>
          </w:p>
        </w:tc>
      </w:tr>
      <w:tr w14:paraId="5C14215F">
        <w:tblPrEx>
          <w:tblCellMar>
            <w:top w:w="0" w:type="dxa"/>
            <w:left w:w="108" w:type="dxa"/>
            <w:bottom w:w="0" w:type="dxa"/>
            <w:right w:w="108" w:type="dxa"/>
          </w:tblCellMar>
        </w:tblPrEx>
        <w:trPr>
          <w:trHeight w:val="106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5C68">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70</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E2E4">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07E4">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云管平台PC、移动端流程优化-特殊项目IaaS服务申请</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7F1C">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支持资源使用率异常激增、未配合安装资源监控插件项目情况下，在平台中限制其申请所有IaaS服务，并提示关闭服务申请的原因。</w:t>
            </w:r>
          </w:p>
        </w:tc>
      </w:tr>
      <w:tr w14:paraId="2CE81DE3">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2F4D">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6521">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79C1">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云管平台PC、移动端流程优化-新增PolarDB服务申请流程</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C7FD">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增加PolarDB服务申请流程，表单内容包括：资源类型、网络区域、实例名称等。</w:t>
            </w:r>
          </w:p>
        </w:tc>
      </w:tr>
      <w:tr w14:paraId="423767DB">
        <w:tblPrEx>
          <w:tblCellMar>
            <w:top w:w="0" w:type="dxa"/>
            <w:left w:w="108" w:type="dxa"/>
            <w:bottom w:w="0" w:type="dxa"/>
            <w:right w:w="108" w:type="dxa"/>
          </w:tblCellMar>
        </w:tblPrEx>
        <w:trPr>
          <w:trHeight w:val="106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534C">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6F8A">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CE4F">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云管平台PC、移动端流程优化-新增GPU服务申请流程</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89FD">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增加GPU服务申请流程，服务以嵌入到物理机或云主机的服务表单中进行申请，表单内容包括：GPU类型、GPU型号、GPU显卡数量等。</w:t>
            </w:r>
          </w:p>
        </w:tc>
      </w:tr>
      <w:tr w14:paraId="7E58B2B2">
        <w:tblPrEx>
          <w:tblCellMar>
            <w:top w:w="0" w:type="dxa"/>
            <w:left w:w="108" w:type="dxa"/>
            <w:bottom w:w="0" w:type="dxa"/>
            <w:right w:w="108" w:type="dxa"/>
          </w:tblCellMar>
        </w:tblPrEx>
        <w:trPr>
          <w:trHeight w:val="59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183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159E">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5E57">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云管平台PC、移动端流程优化-新增蜜罐服务申请流程</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E089">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增加蜜罐服务申请流程，表单内容包括：资源类型、网络区域、蜜罐使用方案等。</w:t>
            </w:r>
          </w:p>
        </w:tc>
      </w:tr>
      <w:tr w14:paraId="738C1052">
        <w:tblPrEx>
          <w:tblCellMar>
            <w:top w:w="0" w:type="dxa"/>
            <w:left w:w="108" w:type="dxa"/>
            <w:bottom w:w="0" w:type="dxa"/>
            <w:right w:w="108" w:type="dxa"/>
          </w:tblCellMar>
        </w:tblPrEx>
        <w:trPr>
          <w:trHeight w:val="106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4915">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74</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6C31">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6B2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云管平台PC、移动端流程优化-新增资源配额扩容申请流程</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2284">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针对资源（CPU、内存）使用量超配20%，又急于申请资源扩容情况，提供客户申请配额扩容流程。</w:t>
            </w:r>
          </w:p>
        </w:tc>
      </w:tr>
      <w:tr w14:paraId="4F4AC04D">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08FB">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75</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744D">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9620">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云管平台PC、移动端流程优化-新增EIP服务申请逻辑调整</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0F88">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支持在申请主机（物理机、云主机）、负载均衡服务的同时，可申请EIP服务流程。</w:t>
            </w:r>
          </w:p>
        </w:tc>
      </w:tr>
      <w:tr w14:paraId="36FEFE14">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3965">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76</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8EFD">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5BB3">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云管平台PC、移动端流程优化-新增堡垒机申请逻辑调整</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C00F">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支持在申请主机（物理机、云主机）同时，增加对堡垒机纳管逻辑的调整，无需等待主机反馈增加后再申请堡垒机及纳管工单。</w:t>
            </w:r>
          </w:p>
        </w:tc>
      </w:tr>
      <w:tr w14:paraId="2F1A4C18">
        <w:tblPrEx>
          <w:tblCellMar>
            <w:top w:w="0" w:type="dxa"/>
            <w:left w:w="108" w:type="dxa"/>
            <w:bottom w:w="0" w:type="dxa"/>
            <w:right w:w="108" w:type="dxa"/>
          </w:tblCellMar>
        </w:tblPrEx>
        <w:trPr>
          <w:trHeight w:val="59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1E34">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77</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A208">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F189">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云管平台PC、移动端流程优化-新增高危端口判断</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EC70">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支持在网络策略工单中目的地址涉及高危端口，填写高危端口使用说明功能。</w:t>
            </w:r>
          </w:p>
        </w:tc>
      </w:tr>
      <w:tr w14:paraId="4AB410D1">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1288">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78</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AEC3">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7A5B">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云管平台PC、移动端流程优化-新增三大件临时授权申请</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D74B">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支持自三大件授权合同到期后，申请临时授权功能。</w:t>
            </w:r>
          </w:p>
        </w:tc>
      </w:tr>
      <w:tr w14:paraId="58D4DACD">
        <w:tblPrEx>
          <w:tblCellMar>
            <w:top w:w="0" w:type="dxa"/>
            <w:left w:w="108" w:type="dxa"/>
            <w:bottom w:w="0" w:type="dxa"/>
            <w:right w:w="108" w:type="dxa"/>
          </w:tblCellMar>
        </w:tblPrEx>
        <w:trPr>
          <w:trHeight w:val="1569"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0115">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79</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76B2">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4C14">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云管平台资源管理-增加资源释放逻辑优化</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64B1">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主机释放后，支持自动触发与之关联的服务（包括网络策略、EIP、负载均衡等）的释放流程。支持涉及八种密码服务产品释放后，自动发起相关IaaS资源（如云主机、负载均衡等）的释放流程。</w:t>
            </w:r>
          </w:p>
        </w:tc>
      </w:tr>
      <w:tr w14:paraId="34589127">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D817">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80</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E097">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F2F8">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云管平台各平台日志对接-医保独立平台性能日志对接</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0683">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支持实现云管平台与移动侧医保平台性能日志数据对接（CPU使用率、内存使用率、存储使用率、网络上下行）</w:t>
            </w:r>
          </w:p>
        </w:tc>
      </w:tr>
      <w:tr w14:paraId="6534EA27">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5C89">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C5AA">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F90D">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云管平台各平台日志对接-三家云服务商物理机性能日志对接</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4FF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支持实现云管平台与三家运营商物理机性能日志数据对接（CPU使用率、内存使用率、存储使用率）</w:t>
            </w:r>
          </w:p>
        </w:tc>
      </w:tr>
      <w:tr w14:paraId="1C278CF7">
        <w:tblPrEx>
          <w:tblCellMar>
            <w:top w:w="0" w:type="dxa"/>
            <w:left w:w="108" w:type="dxa"/>
            <w:bottom w:w="0" w:type="dxa"/>
            <w:right w:w="108" w:type="dxa"/>
          </w:tblCellMar>
        </w:tblPrEx>
        <w:trPr>
          <w:trHeight w:val="1569"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C1F2">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2A58">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4C1C">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云管平台各平台日志对接-电信侧elb、eip指标项对接</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955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通过接口实现与EIP和ELB监控数据的对接，包括带宽指标（上行流量、上行带宽、下行流量、下行带宽、出网带宽使用率）和ELB监控指标（活跃连接数、并发连接数、新建连接数、网络流入流速、网络流出流速）。</w:t>
            </w:r>
          </w:p>
        </w:tc>
      </w:tr>
      <w:tr w14:paraId="540AFA14">
        <w:tblPrEx>
          <w:tblCellMar>
            <w:top w:w="0" w:type="dxa"/>
            <w:left w:w="108" w:type="dxa"/>
            <w:bottom w:w="0" w:type="dxa"/>
            <w:right w:w="108" w:type="dxa"/>
          </w:tblCellMar>
        </w:tblPrEx>
        <w:trPr>
          <w:trHeight w:val="1184"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AF75">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D92C">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3344">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云管平台各平台日志对接-一体化办公平台对接</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A013">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支持将“政务微信”、“上海市一体化办公平台建设项目(一期)”中XC云服务器信息、云服务器使用率、网络指标和ELB指标同步到一体化办公平台。</w:t>
            </w:r>
          </w:p>
        </w:tc>
      </w:tr>
      <w:tr w14:paraId="12FFCCCA">
        <w:tblPrEx>
          <w:tblCellMar>
            <w:top w:w="0" w:type="dxa"/>
            <w:left w:w="108" w:type="dxa"/>
            <w:bottom w:w="0" w:type="dxa"/>
            <w:right w:w="108" w:type="dxa"/>
          </w:tblCellMar>
        </w:tblPrEx>
        <w:trPr>
          <w:trHeight w:val="1309"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B0CD">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72A6">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43C3">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云管平台各平台日志对接-联通B节点数据中心数据对接</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7A8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实现与联通B节点云平台数据对接，涵盖VPC、ECS、宿主机、磁盘及其挂载关系、网络端口、安全组及规则、浮动IP、带宽、性能日志（CPU、内存、存储使用率，网络流量）的采集。</w:t>
            </w:r>
          </w:p>
        </w:tc>
      </w:tr>
      <w:tr w14:paraId="608206E1">
        <w:tblPrEx>
          <w:tblCellMar>
            <w:top w:w="0" w:type="dxa"/>
            <w:left w:w="108" w:type="dxa"/>
            <w:bottom w:w="0" w:type="dxa"/>
            <w:right w:w="108" w:type="dxa"/>
          </w:tblCellMar>
        </w:tblPrEx>
        <w:trPr>
          <w:trHeight w:val="118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0DE3">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B99F">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E1D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云管平台各平台日志对接-PaaS各服务运行日志对接</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40EA">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实现与PaaS服务（26项服务）的运行日志对接，包括API和VM服务数据的收集整理。工作内容涵盖日志采集、数据格式统一、关键指标分析（如错误率、延迟、请求次数）以及数据分析的可视化呈现。</w:t>
            </w:r>
          </w:p>
        </w:tc>
      </w:tr>
      <w:tr w14:paraId="345BF2B3">
        <w:tblPrEx>
          <w:tblCellMar>
            <w:top w:w="0" w:type="dxa"/>
            <w:left w:w="108" w:type="dxa"/>
            <w:bottom w:w="0" w:type="dxa"/>
            <w:right w:w="108" w:type="dxa"/>
          </w:tblCellMar>
        </w:tblPrEx>
        <w:trPr>
          <w:trHeight w:val="887"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D694">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86</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DABC">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3896">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云管平台与其他平台对接-与政务云主管单位项目批复系统接口对接</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A79B">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支持在项目资源配额接口中加入项目架构（X86、XC）、负责人、联系信息及GPU服务详情（类型、型号、数量）。</w:t>
            </w:r>
          </w:p>
        </w:tc>
      </w:tr>
      <w:tr w14:paraId="61F47A2F">
        <w:tblPrEx>
          <w:tblCellMar>
            <w:top w:w="0" w:type="dxa"/>
            <w:left w:w="108" w:type="dxa"/>
            <w:bottom w:w="0" w:type="dxa"/>
            <w:right w:w="108" w:type="dxa"/>
          </w:tblCellMar>
        </w:tblPrEx>
        <w:trPr>
          <w:trHeight w:val="109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8D93">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87</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245B">
            <w:pPr>
              <w:spacing w:line="240" w:lineRule="auto"/>
              <w:ind w:firstLine="0" w:firstLineChars="0"/>
              <w:rPr>
                <w:rFonts w:asciiTheme="minorEastAsia" w:hAnsiTheme="minorEastAsia" w:eastAsiaTheme="minorEastAsia" w:cstheme="minorEastAsia"/>
                <w:sz w:val="21"/>
                <w:szCs w:val="21"/>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9CBD">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云管平台与其他平台对接-灾备业务平台对接</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C4CC">
            <w:pPr>
              <w:spacing w:line="240" w:lineRule="auto"/>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提供云管平台云服务器和网络策略的申请、变更、释放流程接口。灾备业务平台推送相关申请单数据至云管平台，云管平台支持根据数据生成服务流程。</w:t>
            </w:r>
          </w:p>
        </w:tc>
      </w:tr>
    </w:tbl>
    <w:p w14:paraId="7B004020">
      <w:pPr>
        <w:spacing w:line="560" w:lineRule="exact"/>
        <w:rPr>
          <w:b/>
        </w:rPr>
      </w:pPr>
      <w:r>
        <w:rPr>
          <w:rFonts w:hint="eastAsia"/>
        </w:rPr>
        <w:t>（2）应用系统密码改造</w:t>
      </w:r>
    </w:p>
    <w:tbl>
      <w:tblPr>
        <w:tblStyle w:val="35"/>
        <w:tblW w:w="0" w:type="auto"/>
        <w:jc w:val="center"/>
        <w:tblLayout w:type="fixed"/>
        <w:tblCellMar>
          <w:top w:w="0" w:type="dxa"/>
          <w:left w:w="108" w:type="dxa"/>
          <w:bottom w:w="0" w:type="dxa"/>
          <w:right w:w="108" w:type="dxa"/>
        </w:tblCellMar>
      </w:tblPr>
      <w:tblGrid>
        <w:gridCol w:w="711"/>
        <w:gridCol w:w="3666"/>
        <w:gridCol w:w="5265"/>
      </w:tblGrid>
      <w:tr w14:paraId="01672E05">
        <w:tblPrEx>
          <w:tblCellMar>
            <w:top w:w="0" w:type="dxa"/>
            <w:left w:w="108" w:type="dxa"/>
            <w:bottom w:w="0" w:type="dxa"/>
            <w:right w:w="108" w:type="dxa"/>
          </w:tblCellMar>
        </w:tblPrEx>
        <w:trPr>
          <w:trHeight w:val="68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F3F8FC"/>
            <w:noWrap/>
            <w:vAlign w:val="center"/>
          </w:tcPr>
          <w:p w14:paraId="53A910C6">
            <w:pPr>
              <w:spacing w:line="560" w:lineRule="exact"/>
              <w:ind w:firstLine="0" w:firstLineChars="0"/>
            </w:pPr>
            <w:r>
              <w:rPr>
                <w:rFonts w:hint="eastAsia"/>
              </w:rPr>
              <w:t>序号</w:t>
            </w:r>
          </w:p>
        </w:tc>
        <w:tc>
          <w:tcPr>
            <w:tcW w:w="3666" w:type="dxa"/>
            <w:tcBorders>
              <w:top w:val="single" w:color="000000" w:sz="4" w:space="0"/>
              <w:left w:val="single" w:color="000000" w:sz="4" w:space="0"/>
              <w:bottom w:val="single" w:color="000000" w:sz="4" w:space="0"/>
              <w:right w:val="single" w:color="000000" w:sz="4" w:space="0"/>
            </w:tcBorders>
            <w:shd w:val="clear" w:color="auto" w:fill="F3F8FC"/>
            <w:noWrap/>
            <w:vAlign w:val="center"/>
          </w:tcPr>
          <w:p w14:paraId="17F54D3B">
            <w:pPr>
              <w:spacing w:line="560" w:lineRule="exact"/>
              <w:ind w:firstLine="0" w:firstLineChars="0"/>
            </w:pPr>
            <w:r>
              <w:rPr>
                <w:rFonts w:hint="eastAsia"/>
              </w:rPr>
              <w:t>模块名称</w:t>
            </w:r>
          </w:p>
        </w:tc>
        <w:tc>
          <w:tcPr>
            <w:tcW w:w="5265" w:type="dxa"/>
            <w:tcBorders>
              <w:top w:val="single" w:color="000000" w:sz="4" w:space="0"/>
              <w:left w:val="single" w:color="000000" w:sz="4" w:space="0"/>
              <w:bottom w:val="single" w:color="000000" w:sz="4" w:space="0"/>
              <w:right w:val="single" w:color="000000" w:sz="4" w:space="0"/>
            </w:tcBorders>
            <w:shd w:val="clear" w:color="auto" w:fill="F3F8FC"/>
          </w:tcPr>
          <w:p w14:paraId="38A086FB">
            <w:pPr>
              <w:spacing w:line="560" w:lineRule="exact"/>
              <w:ind w:firstLine="0" w:firstLineChars="0"/>
            </w:pPr>
            <w:r>
              <w:rPr>
                <w:rFonts w:hint="eastAsia"/>
              </w:rPr>
              <w:t>模块描述</w:t>
            </w:r>
          </w:p>
        </w:tc>
      </w:tr>
      <w:tr w14:paraId="165172D5">
        <w:tblPrEx>
          <w:tblCellMar>
            <w:top w:w="0" w:type="dxa"/>
            <w:left w:w="108" w:type="dxa"/>
            <w:bottom w:w="0" w:type="dxa"/>
            <w:right w:w="108" w:type="dxa"/>
          </w:tblCellMar>
        </w:tblPrEx>
        <w:trPr>
          <w:trHeight w:val="704"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1954">
            <w:pPr>
              <w:spacing w:line="560" w:lineRule="exact"/>
              <w:ind w:firstLine="0" w:firstLineChars="0"/>
            </w:pPr>
            <w:r>
              <w:rPr>
                <w:rFonts w:hint="eastAsia"/>
              </w:rPr>
              <w:t>1</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AF78">
            <w:pPr>
              <w:ind w:firstLine="0" w:firstLineChars="0"/>
            </w:pPr>
            <w:r>
              <w:rPr>
                <w:rFonts w:hint="eastAsia"/>
              </w:rPr>
              <w:t>上海市政务外网运行和安全监测支撑系统密码应用改造模块开发</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48AA">
            <w:pPr>
              <w:ind w:firstLine="0" w:firstLineChars="0"/>
            </w:pPr>
            <w:r>
              <w:rPr>
                <w:rFonts w:hint="eastAsia"/>
              </w:rPr>
              <w:t>上海市政务外网运行和安全监测支撑系统密码应用改造模块开发</w:t>
            </w:r>
          </w:p>
        </w:tc>
      </w:tr>
      <w:tr w14:paraId="31B25770">
        <w:tblPrEx>
          <w:tblCellMar>
            <w:top w:w="0" w:type="dxa"/>
            <w:left w:w="108" w:type="dxa"/>
            <w:bottom w:w="0" w:type="dxa"/>
            <w:right w:w="108" w:type="dxa"/>
          </w:tblCellMar>
        </w:tblPrEx>
        <w:trPr>
          <w:trHeight w:val="1219"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1D62">
            <w:pPr>
              <w:spacing w:line="560" w:lineRule="exact"/>
              <w:ind w:firstLine="0" w:firstLineChars="0"/>
            </w:pPr>
            <w:r>
              <w:rPr>
                <w:rFonts w:hint="eastAsia"/>
              </w:rPr>
              <w:t>2</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27CB">
            <w:pPr>
              <w:ind w:firstLine="0" w:firstLineChars="0"/>
            </w:pPr>
            <w:r>
              <w:rPr>
                <w:rFonts w:hint="eastAsia"/>
              </w:rPr>
              <w:t>上海市电子政务云基础设施监管服务平台密码应用功能模块开发</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85DD">
            <w:pPr>
              <w:ind w:firstLine="0" w:firstLineChars="0"/>
            </w:pPr>
            <w:r>
              <w:rPr>
                <w:rFonts w:hint="eastAsia"/>
              </w:rPr>
              <w:t>上海市电子政务云基础设施监管服务平台密码应用功能模块开发</w:t>
            </w:r>
          </w:p>
        </w:tc>
      </w:tr>
    </w:tbl>
    <w:p w14:paraId="21D129BF">
      <w:pPr>
        <w:ind w:firstLine="0" w:firstLineChars="0"/>
      </w:pPr>
    </w:p>
    <w:p w14:paraId="703B57DB">
      <w:pPr>
        <w:pStyle w:val="2"/>
      </w:pPr>
      <w:bookmarkStart w:id="17" w:name="_Toc63785503"/>
      <w:r>
        <w:rPr>
          <w:rFonts w:hint="eastAsia"/>
        </w:rPr>
        <w:t>其他工作要求</w:t>
      </w:r>
      <w:bookmarkEnd w:id="17"/>
    </w:p>
    <w:p w14:paraId="2FA653BC">
      <w:pPr>
        <w:keepNext/>
        <w:keepLines/>
        <w:numPr>
          <w:ilvl w:val="1"/>
          <w:numId w:val="5"/>
        </w:numPr>
        <w:tabs>
          <w:tab w:val="left" w:pos="360"/>
        </w:tabs>
        <w:spacing w:before="120" w:line="240" w:lineRule="auto"/>
        <w:ind w:left="0" w:firstLine="0" w:firstLineChars="0"/>
        <w:outlineLvl w:val="1"/>
        <w:rPr>
          <w:rFonts w:ascii="仿宋" w:hAnsi="仿宋" w:eastAsia="仿宋"/>
          <w:b/>
          <w:vanish/>
          <w:color w:val="000000"/>
          <w:sz w:val="28"/>
          <w:szCs w:val="20"/>
        </w:rPr>
      </w:pPr>
      <w:bookmarkStart w:id="18" w:name="_Toc62209488"/>
      <w:bookmarkEnd w:id="18"/>
      <w:bookmarkStart w:id="19" w:name="_Toc63585480"/>
      <w:bookmarkEnd w:id="19"/>
      <w:bookmarkStart w:id="20" w:name="_Toc63762370"/>
      <w:bookmarkEnd w:id="20"/>
      <w:bookmarkStart w:id="21" w:name="_Toc62219358"/>
      <w:bookmarkEnd w:id="21"/>
      <w:bookmarkStart w:id="22" w:name="_Toc63785439"/>
      <w:bookmarkEnd w:id="22"/>
      <w:bookmarkStart w:id="23" w:name="_Toc61968111"/>
      <w:bookmarkEnd w:id="23"/>
      <w:bookmarkStart w:id="24" w:name="_Toc63151871"/>
      <w:bookmarkEnd w:id="24"/>
      <w:bookmarkStart w:id="25" w:name="_Toc63785504"/>
      <w:bookmarkEnd w:id="25"/>
    </w:p>
    <w:p w14:paraId="1AE731C9">
      <w:pPr>
        <w:pStyle w:val="3"/>
      </w:pPr>
      <w:bookmarkStart w:id="26" w:name="_Toc63785505"/>
      <w:r>
        <w:rPr>
          <w:rFonts w:hint="eastAsia"/>
        </w:rPr>
        <w:t>售后服务要求</w:t>
      </w:r>
      <w:bookmarkEnd w:id="26"/>
    </w:p>
    <w:p w14:paraId="326DA15F">
      <w:pPr>
        <w:pStyle w:val="106"/>
        <w:snapToGrid w:val="0"/>
        <w:spacing w:line="360" w:lineRule="auto"/>
        <w:ind w:firstLine="480"/>
        <w:rPr>
          <w:rFonts w:ascii="宋体" w:hAnsi="宋体"/>
          <w:sz w:val="24"/>
          <w:szCs w:val="24"/>
        </w:rPr>
      </w:pPr>
      <w:r>
        <w:rPr>
          <w:rFonts w:hint="eastAsia" w:ascii="宋体" w:hAnsi="宋体"/>
          <w:sz w:val="24"/>
          <w:szCs w:val="24"/>
        </w:rPr>
        <w:t>本项目从系统验收通过之日起1年内提供7*24小时免费技术支持和售后服务，1年后进入有偿维护期。</w:t>
      </w:r>
    </w:p>
    <w:p w14:paraId="32D47994">
      <w:pPr>
        <w:pStyle w:val="106"/>
        <w:snapToGrid w:val="0"/>
        <w:spacing w:line="360" w:lineRule="auto"/>
        <w:ind w:firstLine="480"/>
        <w:rPr>
          <w:rFonts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1C48E1DC">
      <w:pPr>
        <w:pStyle w:val="106"/>
        <w:snapToGrid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sz w:val="24"/>
          <w:szCs w:val="24"/>
        </w:rPr>
        <w:t>在质量保证期内，供应商负责信息系统的运行维护工作，确保信息系统安全、稳定、可靠地运行。本项目涉及的运行维护工作范围为：</w:t>
      </w:r>
      <w:r>
        <w:rPr>
          <w:rFonts w:hint="eastAsia" w:ascii="宋体" w:hAnsi="宋体"/>
          <w:color w:val="000000" w:themeColor="text1"/>
          <w:sz w:val="24"/>
          <w:szCs w:val="24"/>
          <w14:textFill>
            <w14:solidFill>
              <w14:schemeClr w14:val="tx1"/>
            </w14:solidFill>
          </w14:textFill>
        </w:rPr>
        <w:t>项目功能维护、日常技术支持、故障处置、性能优化、系统安全保障、重大活动或节日保障、系统培训等。</w:t>
      </w:r>
    </w:p>
    <w:p w14:paraId="330D6627">
      <w:pPr>
        <w:pStyle w:val="3"/>
      </w:pPr>
      <w:bookmarkStart w:id="27" w:name="_Toc63785506"/>
      <w:r>
        <w:rPr>
          <w:rFonts w:hint="eastAsia"/>
        </w:rPr>
        <w:t>应急响应要求</w:t>
      </w:r>
      <w:bookmarkEnd w:id="27"/>
    </w:p>
    <w:p w14:paraId="2414A69C">
      <w:pPr>
        <w:pStyle w:val="106"/>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47486A3D">
      <w:pPr>
        <w:pStyle w:val="106"/>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14:paraId="40208F82">
      <w:pPr>
        <w:pStyle w:val="106"/>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3C2E56E7">
      <w:pPr>
        <w:pStyle w:val="106"/>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58C8AC3D">
      <w:pPr>
        <w:pStyle w:val="106"/>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25849593">
      <w:pPr>
        <w:pStyle w:val="3"/>
      </w:pPr>
      <w:bookmarkStart w:id="28" w:name="_Toc63785507"/>
      <w:r>
        <w:rPr>
          <w:rFonts w:hint="eastAsia"/>
        </w:rPr>
        <w:t>培训要求</w:t>
      </w:r>
      <w:bookmarkEnd w:id="28"/>
    </w:p>
    <w:p w14:paraId="6A6AF414">
      <w:r>
        <w:rPr>
          <w:rFonts w:hint="eastAsia"/>
        </w:rPr>
        <w:t>对系统使用单位提供业务操作培训，应提供详细培训方案。</w:t>
      </w:r>
    </w:p>
    <w:p w14:paraId="24228EA4">
      <w:r>
        <w:rPr>
          <w:rFonts w:hint="eastAsia"/>
        </w:rPr>
        <w:t>(1)在12个月的质量保证期内，提供2次与项目相关的必要培训。</w:t>
      </w:r>
    </w:p>
    <w:p w14:paraId="5CC6E837">
      <w:r>
        <w:rPr>
          <w:rFonts w:hint="eastAsia"/>
        </w:rPr>
        <w:t>(2)供应商需要开展分层次的人员培训工作，每次培训后应对参加培训人员进行测试，评估培训成果。培训应具有培训教材、培训环境和高水平的培训讲师。</w:t>
      </w:r>
    </w:p>
    <w:p w14:paraId="55C7807D">
      <w:r>
        <w:rPr>
          <w:rFonts w:hint="eastAsia"/>
        </w:rPr>
        <w:t>(3)供应商应提供一般用户的基础操作培训和部门信息管理员的日常应用维护的培训，确保用户对象能够掌握对应的操作技能。</w:t>
      </w:r>
    </w:p>
    <w:p w14:paraId="376B7867">
      <w:pPr>
        <w:pStyle w:val="3"/>
      </w:pPr>
      <w:bookmarkStart w:id="29" w:name="_Toc63785509"/>
      <w:r>
        <w:rPr>
          <w:rFonts w:hint="eastAsia"/>
        </w:rPr>
        <w:t>进度要求</w:t>
      </w:r>
      <w:bookmarkEnd w:id="29"/>
    </w:p>
    <w:p w14:paraId="30F6CCA7">
      <w:r>
        <w:rPr>
          <w:rFonts w:hint="eastAsia"/>
          <w:lang w:eastAsia="zh-CN"/>
        </w:rPr>
        <w:t>供应商</w:t>
      </w:r>
      <w:r>
        <w:rPr>
          <w:rFonts w:hint="eastAsia"/>
        </w:rPr>
        <w:t>应根据建设内容，分阶段制定合理的时间进度，并且应根据</w:t>
      </w:r>
      <w:r>
        <w:rPr>
          <w:rFonts w:hint="eastAsia"/>
          <w:lang w:eastAsia="zh-CN"/>
        </w:rPr>
        <w:t>采购人</w:t>
      </w:r>
      <w:r>
        <w:rPr>
          <w:rFonts w:hint="eastAsia"/>
        </w:rPr>
        <w:t>要求进行调整和细化。</w:t>
      </w:r>
    </w:p>
    <w:p w14:paraId="0715F638">
      <w:pPr>
        <w:rPr>
          <w:color w:val="000000" w:themeColor="text1"/>
          <w14:textFill>
            <w14:solidFill>
              <w14:schemeClr w14:val="tx1"/>
            </w14:solidFill>
          </w14:textFill>
        </w:rPr>
      </w:pPr>
      <w:r>
        <w:rPr>
          <w:rFonts w:hint="eastAsia"/>
          <w:color w:val="000000" w:themeColor="text1"/>
          <w14:textFill>
            <w14:solidFill>
              <w14:schemeClr w14:val="tx1"/>
            </w14:solidFill>
          </w14:textFill>
        </w:rPr>
        <w:t>总建设周期为6个月，分为四个阶段。</w:t>
      </w:r>
    </w:p>
    <w:p w14:paraId="709363C2">
      <w:pPr>
        <w:rPr>
          <w:color w:val="000000" w:themeColor="text1"/>
          <w14:textFill>
            <w14:solidFill>
              <w14:schemeClr w14:val="tx1"/>
            </w14:solidFill>
          </w14:textFill>
        </w:rPr>
      </w:pPr>
      <w:r>
        <w:rPr>
          <w:rFonts w:hint="eastAsia"/>
          <w:color w:val="000000" w:themeColor="text1"/>
          <w14:textFill>
            <w14:solidFill>
              <w14:schemeClr w14:val="tx1"/>
            </w14:solidFill>
          </w14:textFill>
        </w:rPr>
        <w:t>第一阶段为1个月，完成系统需求分析。</w:t>
      </w:r>
    </w:p>
    <w:p w14:paraId="61670A20">
      <w:pPr>
        <w:rPr>
          <w:color w:val="000000" w:themeColor="text1"/>
          <w14:textFill>
            <w14:solidFill>
              <w14:schemeClr w14:val="tx1"/>
            </w14:solidFill>
          </w14:textFill>
        </w:rPr>
      </w:pPr>
      <w:r>
        <w:rPr>
          <w:rFonts w:hint="eastAsia"/>
          <w:color w:val="000000" w:themeColor="text1"/>
          <w14:textFill>
            <w14:solidFill>
              <w14:schemeClr w14:val="tx1"/>
            </w14:solidFill>
          </w14:textFill>
        </w:rPr>
        <w:t>第二阶段为3个月，完成系统建设。</w:t>
      </w:r>
    </w:p>
    <w:p w14:paraId="48FC692E">
      <w:pPr>
        <w:rPr>
          <w:color w:val="000000" w:themeColor="text1"/>
          <w14:textFill>
            <w14:solidFill>
              <w14:schemeClr w14:val="tx1"/>
            </w14:solidFill>
          </w14:textFill>
        </w:rPr>
      </w:pPr>
      <w:r>
        <w:rPr>
          <w:rFonts w:hint="eastAsia"/>
          <w:color w:val="000000" w:themeColor="text1"/>
          <w14:textFill>
            <w14:solidFill>
              <w14:schemeClr w14:val="tx1"/>
            </w14:solidFill>
          </w14:textFill>
        </w:rPr>
        <w:t>第三阶段为1个月，完成系统试运行。</w:t>
      </w:r>
    </w:p>
    <w:p w14:paraId="165BF7B5">
      <w:pPr>
        <w:rPr>
          <w:color w:val="000000" w:themeColor="text1"/>
          <w14:textFill>
            <w14:solidFill>
              <w14:schemeClr w14:val="tx1"/>
            </w14:solidFill>
          </w14:textFill>
        </w:rPr>
      </w:pPr>
      <w:bookmarkStart w:id="30" w:name="_Toc63785510"/>
      <w:r>
        <w:rPr>
          <w:rFonts w:hint="eastAsia"/>
          <w:color w:val="000000" w:themeColor="text1"/>
          <w14:textFill>
            <w14:solidFill>
              <w14:schemeClr w14:val="tx1"/>
            </w14:solidFill>
          </w14:textFill>
        </w:rPr>
        <w:t>第四阶段为1个月，完成系统验收。</w:t>
      </w:r>
    </w:p>
    <w:p w14:paraId="613AA71B">
      <w:pPr>
        <w:pStyle w:val="3"/>
      </w:pPr>
      <w:bookmarkStart w:id="38" w:name="_GoBack"/>
      <w:bookmarkEnd w:id="38"/>
      <w:r>
        <w:rPr>
          <w:rFonts w:hint="eastAsia"/>
        </w:rPr>
        <w:t>项目团队及驻场人员要求</w:t>
      </w:r>
      <w:bookmarkEnd w:id="30"/>
    </w:p>
    <w:p w14:paraId="2229942C">
      <w:pPr>
        <w:numPr>
          <w:ilvl w:val="0"/>
          <w:numId w:val="6"/>
        </w:numPr>
      </w:pPr>
      <w:r>
        <w:rPr>
          <w:rFonts w:hint="eastAsia"/>
          <w:lang w:eastAsia="zh-CN"/>
        </w:rPr>
        <w:t>供应商</w:t>
      </w:r>
      <w:r>
        <w:t>须具有稳定的在职技术保障力量，能够提供及时的技术支援或服务，应针对本项目提供不少于</w:t>
      </w:r>
      <w:r>
        <w:rPr>
          <w:rFonts w:hint="eastAsia"/>
        </w:rPr>
        <w:t>6</w:t>
      </w:r>
      <w:r>
        <w:t>人的项目服务团队（包括项目经理、</w:t>
      </w:r>
      <w:r>
        <w:rPr>
          <w:rFonts w:hint="eastAsia"/>
        </w:rPr>
        <w:t>技术负责人、研发</w:t>
      </w:r>
      <w:r>
        <w:t>等），相关服务人员</w:t>
      </w:r>
      <w:r>
        <w:rPr>
          <w:rFonts w:hint="eastAsia"/>
        </w:rPr>
        <w:t>须具备</w:t>
      </w:r>
      <w:r>
        <w:t>相应的服务能力，需提供相关证明。</w:t>
      </w:r>
    </w:p>
    <w:p w14:paraId="0EAAB102">
      <w:pPr>
        <w:numPr>
          <w:ilvl w:val="0"/>
          <w:numId w:val="0"/>
        </w:num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849"/>
        <w:gridCol w:w="1298"/>
        <w:gridCol w:w="2788"/>
        <w:gridCol w:w="1177"/>
      </w:tblGrid>
      <w:tr w14:paraId="4E76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30261BE6">
            <w:pPr>
              <w:widowControl/>
              <w:spacing w:line="240" w:lineRule="auto"/>
              <w:ind w:firstLine="0" w:firstLineChars="0"/>
              <w:jc w:val="center"/>
              <w:rPr>
                <w:b/>
              </w:rPr>
            </w:pPr>
            <w:r>
              <w:rPr>
                <w:rFonts w:hint="eastAsia"/>
                <w:b/>
              </w:rPr>
              <w:t>角色</w:t>
            </w:r>
          </w:p>
        </w:tc>
        <w:tc>
          <w:tcPr>
            <w:tcW w:w="1849" w:type="dxa"/>
            <w:shd w:val="clear" w:color="auto" w:fill="auto"/>
            <w:noWrap/>
            <w:vAlign w:val="center"/>
          </w:tcPr>
          <w:p w14:paraId="41091E12">
            <w:pPr>
              <w:widowControl/>
              <w:spacing w:line="240" w:lineRule="auto"/>
              <w:ind w:firstLine="0" w:firstLineChars="0"/>
              <w:jc w:val="center"/>
              <w:rPr>
                <w:b/>
              </w:rPr>
            </w:pPr>
            <w:r>
              <w:rPr>
                <w:rFonts w:hint="eastAsia"/>
                <w:b/>
              </w:rPr>
              <w:t>主要职责</w:t>
            </w:r>
          </w:p>
        </w:tc>
        <w:tc>
          <w:tcPr>
            <w:tcW w:w="1298" w:type="dxa"/>
            <w:shd w:val="clear" w:color="auto" w:fill="auto"/>
            <w:noWrap/>
            <w:vAlign w:val="center"/>
          </w:tcPr>
          <w:p w14:paraId="15D37860">
            <w:pPr>
              <w:widowControl/>
              <w:spacing w:line="240" w:lineRule="auto"/>
              <w:ind w:firstLine="0" w:firstLineChars="0"/>
              <w:jc w:val="center"/>
              <w:rPr>
                <w:b/>
              </w:rPr>
            </w:pPr>
            <w:r>
              <w:rPr>
                <w:rFonts w:hint="eastAsia"/>
                <w:b/>
              </w:rPr>
              <w:t>人员数量</w:t>
            </w:r>
          </w:p>
        </w:tc>
        <w:tc>
          <w:tcPr>
            <w:tcW w:w="2788" w:type="dxa"/>
            <w:vAlign w:val="center"/>
          </w:tcPr>
          <w:p w14:paraId="6CBDBA90">
            <w:pPr>
              <w:widowControl/>
              <w:spacing w:line="240" w:lineRule="auto"/>
              <w:ind w:firstLine="0" w:firstLineChars="0"/>
              <w:jc w:val="center"/>
              <w:rPr>
                <w:b/>
              </w:rPr>
            </w:pPr>
            <w:r>
              <w:rPr>
                <w:rFonts w:hint="eastAsia"/>
                <w:b/>
              </w:rPr>
              <w:t>人员要求</w:t>
            </w:r>
          </w:p>
        </w:tc>
        <w:tc>
          <w:tcPr>
            <w:tcW w:w="1177" w:type="dxa"/>
            <w:shd w:val="clear" w:color="auto" w:fill="auto"/>
            <w:noWrap/>
            <w:vAlign w:val="center"/>
          </w:tcPr>
          <w:p w14:paraId="45AB0F49">
            <w:pPr>
              <w:widowControl/>
              <w:spacing w:line="240" w:lineRule="auto"/>
              <w:ind w:firstLine="0" w:firstLineChars="0"/>
              <w:jc w:val="center"/>
              <w:rPr>
                <w:b/>
              </w:rPr>
            </w:pPr>
            <w:r>
              <w:rPr>
                <w:rFonts w:hint="eastAsia"/>
                <w:b/>
              </w:rPr>
              <w:t>驻场要求</w:t>
            </w:r>
          </w:p>
        </w:tc>
      </w:tr>
      <w:tr w14:paraId="5DF6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2BDFE448">
            <w:pPr>
              <w:widowControl/>
              <w:spacing w:line="240" w:lineRule="auto"/>
              <w:ind w:firstLine="0" w:firstLineChars="0"/>
              <w:jc w:val="center"/>
            </w:pPr>
            <w:r>
              <w:rPr>
                <w:rFonts w:hint="eastAsia"/>
              </w:rPr>
              <w:t>项目经理</w:t>
            </w:r>
          </w:p>
        </w:tc>
        <w:tc>
          <w:tcPr>
            <w:tcW w:w="1849" w:type="dxa"/>
            <w:shd w:val="clear" w:color="auto" w:fill="auto"/>
            <w:vAlign w:val="center"/>
          </w:tcPr>
          <w:p w14:paraId="47456736">
            <w:pPr>
              <w:widowControl/>
              <w:spacing w:line="240" w:lineRule="auto"/>
              <w:ind w:firstLine="0" w:firstLineChars="0"/>
              <w:jc w:val="center"/>
            </w:pPr>
            <w:r>
              <w:rPr>
                <w:rFonts w:hint="eastAsia"/>
              </w:rPr>
              <w:t>负责项目质量和进度控制</w:t>
            </w:r>
          </w:p>
        </w:tc>
        <w:tc>
          <w:tcPr>
            <w:tcW w:w="1298" w:type="dxa"/>
            <w:shd w:val="clear" w:color="auto" w:fill="auto"/>
            <w:noWrap/>
            <w:vAlign w:val="center"/>
          </w:tcPr>
          <w:p w14:paraId="4C956047">
            <w:pPr>
              <w:widowControl/>
              <w:spacing w:line="240" w:lineRule="auto"/>
              <w:ind w:firstLine="0" w:firstLineChars="0"/>
              <w:jc w:val="center"/>
            </w:pPr>
            <w:r>
              <w:rPr>
                <w:rFonts w:hint="eastAsia"/>
              </w:rPr>
              <w:t>1人</w:t>
            </w:r>
          </w:p>
        </w:tc>
        <w:tc>
          <w:tcPr>
            <w:tcW w:w="2788" w:type="dxa"/>
            <w:vAlign w:val="center"/>
          </w:tcPr>
          <w:p w14:paraId="199B5F95">
            <w:pPr>
              <w:widowControl/>
              <w:spacing w:line="240" w:lineRule="auto"/>
              <w:ind w:firstLine="0" w:firstLineChars="0"/>
              <w:jc w:val="center"/>
            </w:pPr>
            <w:r>
              <w:rPr>
                <w:rFonts w:hint="eastAsia"/>
              </w:rPr>
              <w:t>具备5年及以上类似项目服务经验</w:t>
            </w:r>
            <w:r>
              <w:rPr>
                <w:rFonts w:hint="eastAsia"/>
                <w:lang w:eastAsia="zh-CN"/>
              </w:rPr>
              <w:t>、</w:t>
            </w:r>
            <w:r>
              <w:rPr>
                <w:rFonts w:hint="eastAsia"/>
                <w:lang w:val="en-US" w:eastAsia="zh-CN"/>
              </w:rPr>
              <w:t>具有信息系统项目管理师</w:t>
            </w:r>
            <w:r>
              <w:rPr>
                <w:rFonts w:hint="eastAsia"/>
              </w:rPr>
              <w:t>证书</w:t>
            </w:r>
          </w:p>
        </w:tc>
        <w:tc>
          <w:tcPr>
            <w:tcW w:w="1177" w:type="dxa"/>
            <w:shd w:val="clear" w:color="auto" w:fill="auto"/>
            <w:noWrap/>
            <w:vAlign w:val="center"/>
          </w:tcPr>
          <w:p w14:paraId="78AE9E28">
            <w:pPr>
              <w:widowControl/>
              <w:spacing w:line="240" w:lineRule="auto"/>
              <w:ind w:firstLine="0" w:firstLineChars="0"/>
              <w:jc w:val="center"/>
            </w:pPr>
            <w:r>
              <w:rPr>
                <w:rFonts w:hint="eastAsia"/>
              </w:rPr>
              <w:t>驻场</w:t>
            </w:r>
          </w:p>
        </w:tc>
      </w:tr>
      <w:tr w14:paraId="7B2F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51A2C51C">
            <w:pPr>
              <w:widowControl/>
              <w:spacing w:line="240" w:lineRule="auto"/>
              <w:ind w:firstLine="0" w:firstLineChars="0"/>
              <w:jc w:val="center"/>
            </w:pPr>
            <w:r>
              <w:rPr>
                <w:rFonts w:hint="eastAsia"/>
              </w:rPr>
              <w:t>研发工程师</w:t>
            </w:r>
          </w:p>
        </w:tc>
        <w:tc>
          <w:tcPr>
            <w:tcW w:w="1849" w:type="dxa"/>
            <w:shd w:val="clear" w:color="auto" w:fill="auto"/>
            <w:vAlign w:val="center"/>
          </w:tcPr>
          <w:p w14:paraId="6C70AD6B">
            <w:pPr>
              <w:widowControl/>
              <w:spacing w:line="240" w:lineRule="auto"/>
              <w:ind w:firstLine="0" w:firstLineChars="0"/>
              <w:jc w:val="center"/>
            </w:pPr>
            <w:r>
              <w:rPr>
                <w:rFonts w:hint="eastAsia"/>
              </w:rPr>
              <w:t>负责项目具体开发与实施</w:t>
            </w:r>
          </w:p>
        </w:tc>
        <w:tc>
          <w:tcPr>
            <w:tcW w:w="1298" w:type="dxa"/>
            <w:shd w:val="clear" w:color="auto" w:fill="auto"/>
            <w:noWrap/>
            <w:vAlign w:val="center"/>
          </w:tcPr>
          <w:p w14:paraId="39B9D171">
            <w:pPr>
              <w:widowControl/>
              <w:spacing w:line="240" w:lineRule="auto"/>
              <w:ind w:firstLine="0" w:firstLineChars="0"/>
              <w:jc w:val="center"/>
            </w:pPr>
            <w:r>
              <w:rPr>
                <w:rFonts w:hint="eastAsia"/>
              </w:rPr>
              <w:t>3人</w:t>
            </w:r>
          </w:p>
        </w:tc>
        <w:tc>
          <w:tcPr>
            <w:tcW w:w="2788" w:type="dxa"/>
            <w:vMerge w:val="restart"/>
            <w:vAlign w:val="center"/>
          </w:tcPr>
          <w:p w14:paraId="28A4A15C">
            <w:pPr>
              <w:widowControl/>
              <w:spacing w:line="240" w:lineRule="auto"/>
              <w:ind w:firstLine="0" w:firstLineChars="0"/>
              <w:jc w:val="center"/>
              <w:rPr>
                <w:rFonts w:hint="eastAsia" w:eastAsia="宋体"/>
                <w:highlight w:val="yellow"/>
                <w:lang w:val="en-US" w:eastAsia="zh-CN"/>
              </w:rPr>
            </w:pPr>
            <w:r>
              <w:rPr>
                <w:rFonts w:hint="eastAsia"/>
                <w:lang w:val="en-US" w:eastAsia="zh-CN"/>
              </w:rPr>
              <w:t>团队成员个人工作经验不少于3年</w:t>
            </w:r>
            <w:r>
              <w:rPr>
                <w:rFonts w:hint="eastAsia"/>
              </w:rPr>
              <w:t>且具有网络</w:t>
            </w:r>
            <w:r>
              <w:rPr>
                <w:rFonts w:hint="eastAsia"/>
                <w:lang w:val="en-US" w:eastAsia="zh-CN"/>
              </w:rPr>
              <w:t>或者</w:t>
            </w:r>
            <w:r>
              <w:rPr>
                <w:rFonts w:hint="eastAsia"/>
              </w:rPr>
              <w:t>云计算相关行业经验</w:t>
            </w:r>
          </w:p>
        </w:tc>
        <w:tc>
          <w:tcPr>
            <w:tcW w:w="1177" w:type="dxa"/>
            <w:shd w:val="clear" w:color="auto" w:fill="auto"/>
            <w:noWrap/>
            <w:vAlign w:val="center"/>
          </w:tcPr>
          <w:p w14:paraId="4ECF20EF">
            <w:pPr>
              <w:widowControl/>
              <w:spacing w:line="240" w:lineRule="auto"/>
              <w:ind w:firstLine="0" w:firstLineChars="0"/>
              <w:jc w:val="center"/>
            </w:pPr>
            <w:r>
              <w:rPr>
                <w:rFonts w:hint="eastAsia"/>
              </w:rPr>
              <w:t>不驻场</w:t>
            </w:r>
          </w:p>
        </w:tc>
      </w:tr>
      <w:tr w14:paraId="4934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62BD117E">
            <w:pPr>
              <w:widowControl/>
              <w:spacing w:line="240" w:lineRule="auto"/>
              <w:ind w:firstLine="0" w:firstLineChars="0"/>
              <w:jc w:val="center"/>
            </w:pPr>
            <w:r>
              <w:rPr>
                <w:rFonts w:hint="eastAsia"/>
              </w:rPr>
              <w:t>测试工程师</w:t>
            </w:r>
          </w:p>
        </w:tc>
        <w:tc>
          <w:tcPr>
            <w:tcW w:w="1849" w:type="dxa"/>
            <w:shd w:val="clear" w:color="auto" w:fill="auto"/>
            <w:noWrap/>
            <w:vAlign w:val="center"/>
          </w:tcPr>
          <w:p w14:paraId="0A5506E3">
            <w:pPr>
              <w:widowControl/>
              <w:spacing w:line="240" w:lineRule="auto"/>
              <w:ind w:firstLine="0" w:firstLineChars="0"/>
              <w:jc w:val="center"/>
            </w:pPr>
            <w:r>
              <w:rPr>
                <w:rFonts w:hint="eastAsia"/>
              </w:rPr>
              <w:t>负责项目测试设计与执行</w:t>
            </w:r>
          </w:p>
        </w:tc>
        <w:tc>
          <w:tcPr>
            <w:tcW w:w="1298" w:type="dxa"/>
            <w:shd w:val="clear" w:color="auto" w:fill="auto"/>
            <w:noWrap/>
            <w:vAlign w:val="center"/>
          </w:tcPr>
          <w:p w14:paraId="7AF5EC75">
            <w:pPr>
              <w:widowControl/>
              <w:spacing w:line="240" w:lineRule="auto"/>
              <w:ind w:firstLine="0" w:firstLineChars="0"/>
              <w:jc w:val="center"/>
            </w:pPr>
            <w:r>
              <w:rPr>
                <w:rFonts w:hint="eastAsia"/>
              </w:rPr>
              <w:t>1人</w:t>
            </w:r>
          </w:p>
        </w:tc>
        <w:tc>
          <w:tcPr>
            <w:tcW w:w="2788" w:type="dxa"/>
            <w:vMerge w:val="continue"/>
            <w:shd w:val="clear" w:color="auto" w:fill="auto"/>
            <w:vAlign w:val="center"/>
          </w:tcPr>
          <w:p w14:paraId="477D34F9">
            <w:pPr>
              <w:widowControl/>
              <w:spacing w:line="240" w:lineRule="auto"/>
              <w:ind w:firstLine="0" w:firstLineChars="0"/>
              <w:jc w:val="center"/>
              <w:rPr>
                <w:highlight w:val="yellow"/>
              </w:rPr>
            </w:pPr>
          </w:p>
        </w:tc>
        <w:tc>
          <w:tcPr>
            <w:tcW w:w="1177" w:type="dxa"/>
            <w:shd w:val="clear" w:color="auto" w:fill="auto"/>
            <w:noWrap/>
            <w:vAlign w:val="center"/>
          </w:tcPr>
          <w:p w14:paraId="296600A9">
            <w:pPr>
              <w:widowControl/>
              <w:spacing w:line="240" w:lineRule="auto"/>
              <w:ind w:firstLine="0" w:firstLineChars="0"/>
              <w:jc w:val="center"/>
            </w:pPr>
            <w:r>
              <w:rPr>
                <w:rFonts w:hint="eastAsia"/>
              </w:rPr>
              <w:t>不驻场</w:t>
            </w:r>
          </w:p>
        </w:tc>
      </w:tr>
      <w:tr w14:paraId="392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70289A71">
            <w:pPr>
              <w:widowControl/>
              <w:spacing w:line="240" w:lineRule="auto"/>
              <w:ind w:firstLine="0" w:firstLineChars="0"/>
              <w:jc w:val="center"/>
            </w:pPr>
            <w:r>
              <w:rPr>
                <w:rFonts w:hint="eastAsia"/>
              </w:rPr>
              <w:t>技术实施人员</w:t>
            </w:r>
          </w:p>
        </w:tc>
        <w:tc>
          <w:tcPr>
            <w:tcW w:w="1849" w:type="dxa"/>
            <w:shd w:val="clear" w:color="auto" w:fill="auto"/>
            <w:noWrap/>
            <w:vAlign w:val="center"/>
          </w:tcPr>
          <w:p w14:paraId="60B9DE2E">
            <w:pPr>
              <w:widowControl/>
              <w:spacing w:line="240" w:lineRule="auto"/>
              <w:ind w:firstLine="0" w:firstLineChars="0"/>
              <w:jc w:val="center"/>
            </w:pPr>
            <w:r>
              <w:rPr>
                <w:rFonts w:hint="eastAsia"/>
              </w:rPr>
              <w:t>负责项目技术实施与支持</w:t>
            </w:r>
          </w:p>
        </w:tc>
        <w:tc>
          <w:tcPr>
            <w:tcW w:w="1298" w:type="dxa"/>
            <w:shd w:val="clear" w:color="auto" w:fill="auto"/>
            <w:noWrap/>
            <w:vAlign w:val="center"/>
          </w:tcPr>
          <w:p w14:paraId="558D71BD">
            <w:pPr>
              <w:widowControl/>
              <w:spacing w:line="240" w:lineRule="auto"/>
              <w:ind w:firstLine="0" w:firstLineChars="0"/>
              <w:jc w:val="center"/>
            </w:pPr>
            <w:r>
              <w:rPr>
                <w:rFonts w:hint="eastAsia"/>
              </w:rPr>
              <w:t>1人</w:t>
            </w:r>
          </w:p>
        </w:tc>
        <w:tc>
          <w:tcPr>
            <w:tcW w:w="2788" w:type="dxa"/>
            <w:vMerge w:val="continue"/>
            <w:shd w:val="clear" w:color="auto" w:fill="auto"/>
            <w:vAlign w:val="center"/>
          </w:tcPr>
          <w:p w14:paraId="2E513022">
            <w:pPr>
              <w:widowControl/>
              <w:spacing w:line="240" w:lineRule="auto"/>
              <w:ind w:firstLine="0" w:firstLineChars="0"/>
              <w:jc w:val="center"/>
              <w:rPr>
                <w:highlight w:val="yellow"/>
              </w:rPr>
            </w:pPr>
          </w:p>
        </w:tc>
        <w:tc>
          <w:tcPr>
            <w:tcW w:w="1177" w:type="dxa"/>
            <w:shd w:val="clear" w:color="auto" w:fill="auto"/>
            <w:noWrap/>
            <w:vAlign w:val="center"/>
          </w:tcPr>
          <w:p w14:paraId="7BB06556">
            <w:pPr>
              <w:widowControl/>
              <w:spacing w:line="240" w:lineRule="auto"/>
              <w:ind w:firstLine="0" w:firstLineChars="0"/>
              <w:jc w:val="center"/>
            </w:pPr>
            <w:r>
              <w:rPr>
                <w:rFonts w:hint="eastAsia"/>
              </w:rPr>
              <w:t>不驻场</w:t>
            </w:r>
          </w:p>
        </w:tc>
      </w:tr>
    </w:tbl>
    <w:p w14:paraId="7AEC31C0">
      <w:bookmarkStart w:id="31" w:name="_Toc63785511"/>
      <w:r>
        <w:t>2）</w:t>
      </w:r>
      <w:r>
        <w:rPr>
          <w:rFonts w:hint="eastAsia"/>
          <w:lang w:eastAsia="zh-CN"/>
        </w:rPr>
        <w:t>供应商</w:t>
      </w:r>
      <w:r>
        <w:t>应针对本项目提供不少于</w:t>
      </w:r>
      <w:r>
        <w:rPr>
          <w:rFonts w:hint="eastAsia"/>
        </w:rPr>
        <w:t>2</w:t>
      </w:r>
      <w:r>
        <w:t>人的质保期间支撑团队（其中</w:t>
      </w:r>
      <w:r>
        <w:rPr>
          <w:rFonts w:hint="eastAsia"/>
        </w:rPr>
        <w:t>项目经</w:t>
      </w:r>
      <w:r>
        <w:t>理</w:t>
      </w:r>
      <w:r>
        <w:rPr>
          <w:rFonts w:hint="eastAsia"/>
        </w:rPr>
        <w:t>1</w:t>
      </w:r>
      <w:r>
        <w:t>人，技术工程师</w:t>
      </w:r>
      <w:r>
        <w:rPr>
          <w:rFonts w:hint="eastAsia"/>
        </w:rPr>
        <w:t>1</w:t>
      </w:r>
      <w:r>
        <w:t>人）；</w:t>
      </w:r>
      <w:r>
        <w:rPr>
          <w:rFonts w:hint="eastAsia"/>
          <w:lang w:eastAsia="zh-CN"/>
        </w:rPr>
        <w:t>供应商</w:t>
      </w:r>
      <w:r>
        <w:t>的相关服务人员</w:t>
      </w:r>
      <w:r>
        <w:rPr>
          <w:rFonts w:hint="eastAsia"/>
        </w:rPr>
        <w:t>须具备</w:t>
      </w:r>
      <w:r>
        <w:t>相应的服务能力，需提供相关证明（最近一个季度依法缴纳社保费的证明）。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376"/>
        <w:gridCol w:w="1180"/>
        <w:gridCol w:w="2376"/>
        <w:gridCol w:w="1180"/>
      </w:tblGrid>
      <w:tr w14:paraId="295D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523D9713">
            <w:pPr>
              <w:widowControl/>
              <w:spacing w:line="240" w:lineRule="auto"/>
              <w:ind w:firstLine="0" w:firstLineChars="0"/>
              <w:jc w:val="center"/>
              <w:rPr>
                <w:b/>
              </w:rPr>
            </w:pPr>
            <w:r>
              <w:rPr>
                <w:rFonts w:hint="eastAsia"/>
                <w:b/>
              </w:rPr>
              <w:t>角色</w:t>
            </w:r>
          </w:p>
        </w:tc>
        <w:tc>
          <w:tcPr>
            <w:tcW w:w="0" w:type="auto"/>
            <w:shd w:val="clear" w:color="auto" w:fill="auto"/>
            <w:noWrap/>
            <w:vAlign w:val="center"/>
          </w:tcPr>
          <w:p w14:paraId="1FD9855A">
            <w:pPr>
              <w:widowControl/>
              <w:spacing w:line="240" w:lineRule="auto"/>
              <w:ind w:firstLine="0" w:firstLineChars="0"/>
              <w:jc w:val="center"/>
              <w:rPr>
                <w:b/>
              </w:rPr>
            </w:pPr>
            <w:r>
              <w:rPr>
                <w:rFonts w:hint="eastAsia"/>
                <w:b/>
              </w:rPr>
              <w:t>主要职责</w:t>
            </w:r>
          </w:p>
        </w:tc>
        <w:tc>
          <w:tcPr>
            <w:tcW w:w="0" w:type="auto"/>
            <w:shd w:val="clear" w:color="auto" w:fill="auto"/>
            <w:noWrap/>
            <w:vAlign w:val="center"/>
          </w:tcPr>
          <w:p w14:paraId="76DD922D">
            <w:pPr>
              <w:widowControl/>
              <w:spacing w:line="240" w:lineRule="auto"/>
              <w:ind w:firstLine="0" w:firstLineChars="0"/>
              <w:jc w:val="center"/>
              <w:rPr>
                <w:b/>
              </w:rPr>
            </w:pPr>
            <w:r>
              <w:rPr>
                <w:rFonts w:hint="eastAsia"/>
                <w:b/>
              </w:rPr>
              <w:t>人员数量</w:t>
            </w:r>
          </w:p>
        </w:tc>
        <w:tc>
          <w:tcPr>
            <w:tcW w:w="0" w:type="auto"/>
            <w:vAlign w:val="center"/>
          </w:tcPr>
          <w:p w14:paraId="2D3DC94D">
            <w:pPr>
              <w:widowControl/>
              <w:spacing w:line="240" w:lineRule="auto"/>
              <w:ind w:firstLine="0" w:firstLineChars="0"/>
              <w:jc w:val="center"/>
              <w:rPr>
                <w:b/>
              </w:rPr>
            </w:pPr>
            <w:r>
              <w:rPr>
                <w:rFonts w:hint="eastAsia"/>
                <w:b/>
              </w:rPr>
              <w:t>人员要求</w:t>
            </w:r>
          </w:p>
        </w:tc>
        <w:tc>
          <w:tcPr>
            <w:tcW w:w="0" w:type="auto"/>
            <w:shd w:val="clear" w:color="auto" w:fill="auto"/>
            <w:noWrap/>
            <w:vAlign w:val="center"/>
          </w:tcPr>
          <w:p w14:paraId="366059AD">
            <w:pPr>
              <w:widowControl/>
              <w:spacing w:line="240" w:lineRule="auto"/>
              <w:ind w:firstLine="0" w:firstLineChars="0"/>
              <w:jc w:val="center"/>
              <w:rPr>
                <w:b/>
              </w:rPr>
            </w:pPr>
            <w:r>
              <w:rPr>
                <w:rFonts w:hint="eastAsia"/>
                <w:b/>
              </w:rPr>
              <w:t>驻场要求</w:t>
            </w:r>
          </w:p>
        </w:tc>
      </w:tr>
      <w:tr w14:paraId="146B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7488DA45">
            <w:pPr>
              <w:widowControl/>
              <w:spacing w:line="240" w:lineRule="auto"/>
              <w:ind w:firstLine="0" w:firstLineChars="0"/>
              <w:jc w:val="center"/>
            </w:pPr>
            <w:r>
              <w:rPr>
                <w:rFonts w:hint="eastAsia"/>
              </w:rPr>
              <w:t>项目经理</w:t>
            </w:r>
          </w:p>
        </w:tc>
        <w:tc>
          <w:tcPr>
            <w:tcW w:w="0" w:type="auto"/>
            <w:shd w:val="clear" w:color="auto" w:fill="auto"/>
            <w:vAlign w:val="center"/>
          </w:tcPr>
          <w:p w14:paraId="412A7EB4">
            <w:pPr>
              <w:widowControl/>
              <w:spacing w:line="240" w:lineRule="auto"/>
              <w:ind w:firstLine="0" w:firstLineChars="0"/>
              <w:jc w:val="center"/>
            </w:pPr>
            <w:r>
              <w:rPr>
                <w:rFonts w:hint="eastAsia"/>
              </w:rPr>
              <w:t>负责项目质量和进度控制</w:t>
            </w:r>
          </w:p>
        </w:tc>
        <w:tc>
          <w:tcPr>
            <w:tcW w:w="0" w:type="auto"/>
            <w:shd w:val="clear" w:color="auto" w:fill="auto"/>
            <w:noWrap/>
            <w:vAlign w:val="center"/>
          </w:tcPr>
          <w:p w14:paraId="164BA020">
            <w:pPr>
              <w:widowControl/>
              <w:spacing w:line="240" w:lineRule="auto"/>
              <w:ind w:firstLine="0" w:firstLineChars="0"/>
              <w:jc w:val="center"/>
            </w:pPr>
            <w:r>
              <w:rPr>
                <w:rFonts w:hint="eastAsia"/>
              </w:rPr>
              <w:t>1人</w:t>
            </w:r>
          </w:p>
        </w:tc>
        <w:tc>
          <w:tcPr>
            <w:tcW w:w="0" w:type="auto"/>
            <w:vAlign w:val="center"/>
          </w:tcPr>
          <w:p w14:paraId="6E4AB234">
            <w:pPr>
              <w:widowControl/>
              <w:spacing w:line="240" w:lineRule="auto"/>
              <w:ind w:firstLine="0" w:firstLineChars="0"/>
              <w:jc w:val="center"/>
            </w:pPr>
            <w:r>
              <w:rPr>
                <w:rFonts w:hint="eastAsia"/>
                <w:lang w:val="en-US" w:eastAsia="zh-CN"/>
              </w:rPr>
              <w:t>具有信息系统项目管理师</w:t>
            </w:r>
            <w:r>
              <w:rPr>
                <w:rFonts w:hint="eastAsia"/>
              </w:rPr>
              <w:t>证书</w:t>
            </w:r>
          </w:p>
        </w:tc>
        <w:tc>
          <w:tcPr>
            <w:tcW w:w="0" w:type="auto"/>
            <w:shd w:val="clear" w:color="auto" w:fill="auto"/>
            <w:noWrap/>
            <w:vAlign w:val="center"/>
          </w:tcPr>
          <w:p w14:paraId="42A37924">
            <w:pPr>
              <w:widowControl/>
              <w:spacing w:line="240" w:lineRule="auto"/>
              <w:ind w:firstLine="0" w:firstLineChars="0"/>
              <w:jc w:val="center"/>
            </w:pPr>
            <w:r>
              <w:rPr>
                <w:rFonts w:hint="eastAsia"/>
              </w:rPr>
              <w:t>驻场</w:t>
            </w:r>
          </w:p>
        </w:tc>
      </w:tr>
      <w:tr w14:paraId="7A2A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6D636AAE">
            <w:pPr>
              <w:widowControl/>
              <w:spacing w:line="240" w:lineRule="auto"/>
              <w:ind w:firstLine="0" w:firstLineChars="0"/>
              <w:jc w:val="center"/>
            </w:pPr>
            <w:r>
              <w:rPr>
                <w:rFonts w:hint="eastAsia"/>
              </w:rPr>
              <w:t>技术工程师</w:t>
            </w:r>
          </w:p>
        </w:tc>
        <w:tc>
          <w:tcPr>
            <w:tcW w:w="0" w:type="auto"/>
            <w:shd w:val="clear" w:color="auto" w:fill="auto"/>
            <w:noWrap/>
            <w:vAlign w:val="center"/>
          </w:tcPr>
          <w:p w14:paraId="1A0099E9">
            <w:pPr>
              <w:widowControl/>
              <w:spacing w:line="240" w:lineRule="auto"/>
              <w:ind w:firstLine="0" w:firstLineChars="0"/>
              <w:jc w:val="center"/>
            </w:pPr>
            <w:r>
              <w:rPr>
                <w:rFonts w:hint="eastAsia"/>
              </w:rPr>
              <w:t>负责项目运行维护</w:t>
            </w:r>
          </w:p>
        </w:tc>
        <w:tc>
          <w:tcPr>
            <w:tcW w:w="0" w:type="auto"/>
            <w:shd w:val="clear" w:color="auto" w:fill="auto"/>
            <w:noWrap/>
            <w:vAlign w:val="center"/>
          </w:tcPr>
          <w:p w14:paraId="241D4D7F">
            <w:pPr>
              <w:widowControl/>
              <w:spacing w:line="240" w:lineRule="auto"/>
              <w:ind w:firstLine="0" w:firstLineChars="0"/>
              <w:jc w:val="center"/>
            </w:pPr>
            <w:r>
              <w:rPr>
                <w:rFonts w:hint="eastAsia"/>
              </w:rPr>
              <w:t>1人</w:t>
            </w:r>
          </w:p>
        </w:tc>
        <w:tc>
          <w:tcPr>
            <w:tcW w:w="0" w:type="auto"/>
            <w:vAlign w:val="center"/>
          </w:tcPr>
          <w:p w14:paraId="1332D06A">
            <w:pPr>
              <w:widowControl/>
              <w:spacing w:line="240" w:lineRule="auto"/>
              <w:ind w:firstLine="0" w:firstLineChars="0"/>
              <w:jc w:val="center"/>
            </w:pPr>
            <w:r>
              <w:rPr>
                <w:rFonts w:hint="eastAsia"/>
                <w:lang w:val="en-US" w:eastAsia="zh-CN"/>
              </w:rPr>
              <w:t>工作经验不少于3年</w:t>
            </w:r>
            <w:r>
              <w:rPr>
                <w:rFonts w:hint="eastAsia"/>
              </w:rPr>
              <w:t>且具有网络</w:t>
            </w:r>
            <w:r>
              <w:rPr>
                <w:rFonts w:hint="eastAsia"/>
                <w:lang w:val="en-US" w:eastAsia="zh-CN"/>
              </w:rPr>
              <w:t>或者</w:t>
            </w:r>
            <w:r>
              <w:rPr>
                <w:rFonts w:hint="eastAsia"/>
              </w:rPr>
              <w:t>云计算相关行业经验</w:t>
            </w:r>
          </w:p>
        </w:tc>
        <w:tc>
          <w:tcPr>
            <w:tcW w:w="0" w:type="auto"/>
            <w:shd w:val="clear" w:color="auto" w:fill="auto"/>
            <w:noWrap/>
            <w:vAlign w:val="center"/>
          </w:tcPr>
          <w:p w14:paraId="1F722CBB">
            <w:pPr>
              <w:widowControl/>
              <w:spacing w:line="240" w:lineRule="auto"/>
              <w:ind w:firstLine="0" w:firstLineChars="0"/>
              <w:jc w:val="center"/>
            </w:pPr>
            <w:r>
              <w:rPr>
                <w:rFonts w:hint="eastAsia"/>
              </w:rPr>
              <w:t>驻场</w:t>
            </w:r>
          </w:p>
        </w:tc>
      </w:tr>
    </w:tbl>
    <w:p w14:paraId="5444A5E4">
      <w:pPr>
        <w:ind w:left="1135" w:firstLine="0" w:firstLineChars="0"/>
      </w:pPr>
    </w:p>
    <w:p w14:paraId="689D0BD8">
      <w:pPr>
        <w:pStyle w:val="3"/>
      </w:pPr>
      <w:r>
        <w:t>等级保护要求</w:t>
      </w:r>
      <w:bookmarkEnd w:id="31"/>
    </w:p>
    <w:p w14:paraId="6BDC4C83">
      <w:pPr>
        <w:rPr>
          <w:rFonts w:cs="宋体"/>
          <w:color w:val="000000"/>
          <w:kern w:val="0"/>
        </w:rPr>
      </w:pPr>
      <w:r>
        <w:rPr>
          <w:rFonts w:hint="eastAsia" w:cs="宋体"/>
          <w:color w:val="000000"/>
          <w:kern w:val="0"/>
        </w:rPr>
        <w:t>本项目运管平台、云管平台整体安全依托于电子政务云安全体系，安全等级需要达到三级标准。</w:t>
      </w:r>
    </w:p>
    <w:p w14:paraId="7D701EC5">
      <w:pPr>
        <w:pStyle w:val="3"/>
      </w:pPr>
      <w:r>
        <w:rPr>
          <w:rFonts w:hint="eastAsia"/>
        </w:rPr>
        <w:t>商业密码应用需求</w:t>
      </w:r>
    </w:p>
    <w:p w14:paraId="51595C08">
      <w:pPr>
        <w:rPr>
          <w:rFonts w:cs="宋体"/>
          <w:color w:val="000000"/>
          <w:kern w:val="0"/>
        </w:rPr>
      </w:pPr>
      <w:r>
        <w:rPr>
          <w:rFonts w:hint="eastAsia" w:cs="宋体"/>
          <w:color w:val="000000"/>
          <w:kern w:val="0"/>
        </w:rPr>
        <w:t>根据安全风险分析，并对照《密码应用基本要求》中三级指标要求和《密码应用设计指南》，运管平台、云管平台均需满足如下密码应用需求：</w:t>
      </w:r>
    </w:p>
    <w:p w14:paraId="6C2C9178">
      <w:pPr>
        <w:keepNext/>
        <w:ind w:firstLine="0" w:firstLineChars="0"/>
        <w:jc w:val="center"/>
        <w:rPr>
          <w:rFonts w:cs="宋体"/>
          <w:szCs w:val="28"/>
        </w:rPr>
      </w:pPr>
      <w:r>
        <w:rPr>
          <w:rFonts w:hint="eastAsia" w:cs="宋体"/>
          <w:szCs w:val="28"/>
        </w:rPr>
        <w:t>表-系统密码应用需求清单</w:t>
      </w:r>
    </w:p>
    <w:tbl>
      <w:tblPr>
        <w:tblStyle w:val="35"/>
        <w:tblW w:w="4960" w:type="pct"/>
        <w:jc w:val="center"/>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2066"/>
        <w:gridCol w:w="3517"/>
        <w:gridCol w:w="1266"/>
      </w:tblGrid>
      <w:tr w14:paraId="0FD84108">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952" w:type="pct"/>
            <w:shd w:val="clear" w:color="auto" w:fill="D9D9D9"/>
            <w:vAlign w:val="center"/>
          </w:tcPr>
          <w:p w14:paraId="04D59E63">
            <w:pPr>
              <w:widowControl/>
              <w:spacing w:line="240" w:lineRule="auto"/>
              <w:ind w:firstLine="0" w:firstLineChars="0"/>
              <w:jc w:val="center"/>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指标要求</w:t>
            </w:r>
          </w:p>
        </w:tc>
        <w:tc>
          <w:tcPr>
            <w:tcW w:w="1221" w:type="pct"/>
            <w:shd w:val="clear" w:color="auto" w:fill="D9D9D9"/>
            <w:vAlign w:val="center"/>
          </w:tcPr>
          <w:p w14:paraId="1229DDC3">
            <w:pPr>
              <w:widowControl/>
              <w:spacing w:line="240" w:lineRule="auto"/>
              <w:ind w:firstLine="0" w:firstLineChars="0"/>
              <w:jc w:val="center"/>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密码技术应用点</w:t>
            </w:r>
          </w:p>
        </w:tc>
        <w:tc>
          <w:tcPr>
            <w:tcW w:w="2078" w:type="pct"/>
            <w:shd w:val="clear" w:color="auto" w:fill="D9D9D9"/>
            <w:vAlign w:val="center"/>
          </w:tcPr>
          <w:p w14:paraId="6B2D323E">
            <w:pPr>
              <w:widowControl/>
              <w:spacing w:line="240" w:lineRule="auto"/>
              <w:ind w:firstLine="0" w:firstLineChars="0"/>
              <w:jc w:val="center"/>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密码应用需求</w:t>
            </w:r>
          </w:p>
        </w:tc>
        <w:tc>
          <w:tcPr>
            <w:tcW w:w="748" w:type="pct"/>
            <w:shd w:val="clear" w:color="auto" w:fill="D9D9D9"/>
            <w:vAlign w:val="center"/>
          </w:tcPr>
          <w:p w14:paraId="3FED5B66">
            <w:pPr>
              <w:widowControl/>
              <w:spacing w:line="240" w:lineRule="auto"/>
              <w:ind w:firstLine="0" w:firstLineChars="0"/>
              <w:jc w:val="center"/>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说明</w:t>
            </w:r>
          </w:p>
        </w:tc>
      </w:tr>
      <w:tr w14:paraId="6AC38700">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restart"/>
            <w:vAlign w:val="center"/>
          </w:tcPr>
          <w:p w14:paraId="764395BD">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物理和环境安全</w:t>
            </w:r>
          </w:p>
        </w:tc>
        <w:tc>
          <w:tcPr>
            <w:tcW w:w="1221" w:type="pct"/>
            <w:vAlign w:val="center"/>
          </w:tcPr>
          <w:p w14:paraId="19D45897">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身份鉴别</w:t>
            </w:r>
          </w:p>
        </w:tc>
        <w:tc>
          <w:tcPr>
            <w:tcW w:w="2078" w:type="pct"/>
            <w:vMerge w:val="restart"/>
            <w:vAlign w:val="center"/>
          </w:tcPr>
          <w:p w14:paraId="0257661C">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系统的物理和环境安全由云平台提供安全保障</w:t>
            </w:r>
          </w:p>
        </w:tc>
        <w:tc>
          <w:tcPr>
            <w:tcW w:w="748" w:type="pct"/>
            <w:vMerge w:val="restart"/>
            <w:vAlign w:val="center"/>
          </w:tcPr>
          <w:p w14:paraId="6DF4FE0F">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云平台通过密评</w:t>
            </w:r>
          </w:p>
        </w:tc>
      </w:tr>
      <w:tr w14:paraId="131A4F36">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952" w:type="pct"/>
            <w:vMerge w:val="continue"/>
            <w:vAlign w:val="center"/>
          </w:tcPr>
          <w:p w14:paraId="6A1EFE03">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4203B253">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电子门禁记录数据完整性</w:t>
            </w:r>
          </w:p>
        </w:tc>
        <w:tc>
          <w:tcPr>
            <w:tcW w:w="2078" w:type="pct"/>
            <w:vMerge w:val="continue"/>
            <w:vAlign w:val="center"/>
          </w:tcPr>
          <w:p w14:paraId="22DCEFF3">
            <w:pPr>
              <w:spacing w:line="240" w:lineRule="auto"/>
              <w:ind w:firstLine="0" w:firstLineChars="0"/>
              <w:jc w:val="center"/>
              <w:rPr>
                <w:rFonts w:asciiTheme="minorEastAsia" w:hAnsiTheme="minorEastAsia" w:eastAsiaTheme="minorEastAsia" w:cstheme="minorEastAsia"/>
                <w:kern w:val="0"/>
                <w:sz w:val="21"/>
                <w:szCs w:val="21"/>
              </w:rPr>
            </w:pPr>
          </w:p>
        </w:tc>
        <w:tc>
          <w:tcPr>
            <w:tcW w:w="748" w:type="pct"/>
            <w:vMerge w:val="continue"/>
            <w:vAlign w:val="center"/>
          </w:tcPr>
          <w:p w14:paraId="10EDEFEF">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2B538349">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952" w:type="pct"/>
            <w:vMerge w:val="continue"/>
            <w:vAlign w:val="center"/>
          </w:tcPr>
          <w:p w14:paraId="735D849C">
            <w:pPr>
              <w:pStyle w:val="115"/>
              <w:ind w:firstLine="0" w:firstLineChars="0"/>
              <w:rPr>
                <w:rFonts w:asciiTheme="minorEastAsia" w:hAnsiTheme="minorEastAsia" w:eastAsiaTheme="minorEastAsia" w:cstheme="minorEastAsia"/>
                <w:szCs w:val="21"/>
              </w:rPr>
            </w:pPr>
          </w:p>
        </w:tc>
        <w:tc>
          <w:tcPr>
            <w:tcW w:w="1221" w:type="pct"/>
            <w:vAlign w:val="center"/>
          </w:tcPr>
          <w:p w14:paraId="65B54523">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视频记录数据完整性</w:t>
            </w:r>
          </w:p>
        </w:tc>
        <w:tc>
          <w:tcPr>
            <w:tcW w:w="2078" w:type="pct"/>
            <w:vMerge w:val="continue"/>
            <w:vAlign w:val="center"/>
          </w:tcPr>
          <w:p w14:paraId="762A4247">
            <w:pPr>
              <w:pStyle w:val="115"/>
              <w:ind w:firstLine="0" w:firstLineChars="0"/>
              <w:rPr>
                <w:rFonts w:asciiTheme="minorEastAsia" w:hAnsiTheme="minorEastAsia" w:eastAsiaTheme="minorEastAsia" w:cstheme="minorEastAsia"/>
                <w:szCs w:val="21"/>
              </w:rPr>
            </w:pPr>
          </w:p>
        </w:tc>
        <w:tc>
          <w:tcPr>
            <w:tcW w:w="748" w:type="pct"/>
            <w:vMerge w:val="continue"/>
            <w:vAlign w:val="center"/>
          </w:tcPr>
          <w:p w14:paraId="4E3D9394">
            <w:pPr>
              <w:pStyle w:val="115"/>
              <w:ind w:firstLine="0" w:firstLineChars="0"/>
              <w:rPr>
                <w:rFonts w:asciiTheme="minorEastAsia" w:hAnsiTheme="minorEastAsia" w:eastAsiaTheme="minorEastAsia" w:cstheme="minorEastAsia"/>
                <w:szCs w:val="21"/>
              </w:rPr>
            </w:pPr>
          </w:p>
        </w:tc>
      </w:tr>
      <w:tr w14:paraId="556D50AD">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3DE05E49">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638DFD65">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密码服务</w:t>
            </w:r>
          </w:p>
        </w:tc>
        <w:tc>
          <w:tcPr>
            <w:tcW w:w="2078" w:type="pct"/>
            <w:vMerge w:val="continue"/>
            <w:vAlign w:val="center"/>
          </w:tcPr>
          <w:p w14:paraId="593EF497">
            <w:pPr>
              <w:widowControl/>
              <w:spacing w:line="240" w:lineRule="auto"/>
              <w:ind w:firstLine="0" w:firstLineChars="0"/>
              <w:jc w:val="center"/>
              <w:rPr>
                <w:rFonts w:asciiTheme="minorEastAsia" w:hAnsiTheme="minorEastAsia" w:eastAsiaTheme="minorEastAsia" w:cstheme="minorEastAsia"/>
                <w:kern w:val="0"/>
                <w:sz w:val="21"/>
                <w:szCs w:val="21"/>
              </w:rPr>
            </w:pPr>
          </w:p>
        </w:tc>
        <w:tc>
          <w:tcPr>
            <w:tcW w:w="748" w:type="pct"/>
            <w:vMerge w:val="continue"/>
            <w:vAlign w:val="center"/>
          </w:tcPr>
          <w:p w14:paraId="5F3A2A15">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103CBF1C">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5DBCF003">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345083E6">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密码产品</w:t>
            </w:r>
          </w:p>
        </w:tc>
        <w:tc>
          <w:tcPr>
            <w:tcW w:w="2078" w:type="pct"/>
            <w:vMerge w:val="continue"/>
            <w:vAlign w:val="center"/>
          </w:tcPr>
          <w:p w14:paraId="0FE0DC1C">
            <w:pPr>
              <w:widowControl/>
              <w:spacing w:line="240" w:lineRule="auto"/>
              <w:ind w:firstLine="0" w:firstLineChars="0"/>
              <w:jc w:val="center"/>
              <w:rPr>
                <w:rFonts w:asciiTheme="minorEastAsia" w:hAnsiTheme="minorEastAsia" w:eastAsiaTheme="minorEastAsia" w:cstheme="minorEastAsia"/>
                <w:kern w:val="0"/>
                <w:sz w:val="21"/>
                <w:szCs w:val="21"/>
              </w:rPr>
            </w:pPr>
          </w:p>
        </w:tc>
        <w:tc>
          <w:tcPr>
            <w:tcW w:w="748" w:type="pct"/>
            <w:vMerge w:val="continue"/>
            <w:vAlign w:val="center"/>
          </w:tcPr>
          <w:p w14:paraId="4068D193">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588FA160">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restart"/>
            <w:vAlign w:val="center"/>
          </w:tcPr>
          <w:p w14:paraId="057C4C53">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网络和通信安全</w:t>
            </w:r>
          </w:p>
        </w:tc>
        <w:tc>
          <w:tcPr>
            <w:tcW w:w="1221" w:type="pct"/>
            <w:vAlign w:val="center"/>
          </w:tcPr>
          <w:p w14:paraId="0C88B3A5">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身份鉴别</w:t>
            </w:r>
          </w:p>
        </w:tc>
        <w:tc>
          <w:tcPr>
            <w:tcW w:w="2078" w:type="pct"/>
            <w:vAlign w:val="center"/>
          </w:tcPr>
          <w:p w14:paraId="736069D9">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确认服务端的身份真实性，防止与假冒实体进行通信</w:t>
            </w:r>
          </w:p>
        </w:tc>
        <w:tc>
          <w:tcPr>
            <w:tcW w:w="748" w:type="pct"/>
            <w:vAlign w:val="center"/>
          </w:tcPr>
          <w:p w14:paraId="54C9B0C7">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5E0AC401">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192ECCF9">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337A31EB">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通信数据完整性</w:t>
            </w:r>
          </w:p>
        </w:tc>
        <w:tc>
          <w:tcPr>
            <w:tcW w:w="2078" w:type="pct"/>
            <w:vAlign w:val="center"/>
          </w:tcPr>
          <w:p w14:paraId="71D9C675">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防止重要数据在传输过程中被非法篡改</w:t>
            </w:r>
          </w:p>
        </w:tc>
        <w:tc>
          <w:tcPr>
            <w:tcW w:w="748" w:type="pct"/>
            <w:vAlign w:val="center"/>
          </w:tcPr>
          <w:p w14:paraId="4A9F5849">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035F341F">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5E0E523F">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66762CB3">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通信过程中重要数据的机密性</w:t>
            </w:r>
          </w:p>
        </w:tc>
        <w:tc>
          <w:tcPr>
            <w:tcW w:w="2078" w:type="pct"/>
            <w:vAlign w:val="center"/>
          </w:tcPr>
          <w:p w14:paraId="5E9DCBDB">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防止重要数据在传输过程中被非法窃取</w:t>
            </w:r>
          </w:p>
        </w:tc>
        <w:tc>
          <w:tcPr>
            <w:tcW w:w="748" w:type="pct"/>
            <w:vAlign w:val="center"/>
          </w:tcPr>
          <w:p w14:paraId="66A281EC">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0B20D0A4">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765F46A0">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40255F43">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网络边界访问控制信息的完整性</w:t>
            </w:r>
          </w:p>
        </w:tc>
        <w:tc>
          <w:tcPr>
            <w:tcW w:w="2078" w:type="pct"/>
            <w:vAlign w:val="center"/>
          </w:tcPr>
          <w:p w14:paraId="74C45FFC">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系统网络拓扑中不同区域网络边界访问控制信息的完整性保护由云平台提供</w:t>
            </w:r>
            <w:r>
              <w:rPr>
                <w:rFonts w:hint="eastAsia" w:asciiTheme="minorEastAsia" w:hAnsiTheme="minorEastAsia" w:eastAsiaTheme="minorEastAsia" w:cstheme="minorEastAsia"/>
                <w:sz w:val="21"/>
                <w:szCs w:val="21"/>
              </w:rPr>
              <w:t>。</w:t>
            </w:r>
          </w:p>
        </w:tc>
        <w:tc>
          <w:tcPr>
            <w:tcW w:w="748" w:type="pct"/>
            <w:vAlign w:val="center"/>
          </w:tcPr>
          <w:p w14:paraId="2CA32DCD">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云平台通过密评</w:t>
            </w:r>
          </w:p>
        </w:tc>
      </w:tr>
      <w:tr w14:paraId="69CF835F">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04F0DBC7">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272C1D9D">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安全接入认证</w:t>
            </w:r>
          </w:p>
        </w:tc>
        <w:tc>
          <w:tcPr>
            <w:tcW w:w="2078" w:type="pct"/>
            <w:vAlign w:val="center"/>
          </w:tcPr>
          <w:p w14:paraId="6278CBFA">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不适用</w:t>
            </w:r>
          </w:p>
        </w:tc>
        <w:tc>
          <w:tcPr>
            <w:tcW w:w="748" w:type="pct"/>
            <w:vAlign w:val="center"/>
          </w:tcPr>
          <w:p w14:paraId="4F361BA6">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无外部设备接入本系统的需求</w:t>
            </w:r>
          </w:p>
        </w:tc>
      </w:tr>
      <w:tr w14:paraId="10990F78">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restart"/>
            <w:vAlign w:val="center"/>
          </w:tcPr>
          <w:p w14:paraId="58EFCC12">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设备和计算安全</w:t>
            </w:r>
          </w:p>
        </w:tc>
        <w:tc>
          <w:tcPr>
            <w:tcW w:w="1221" w:type="pct"/>
            <w:vAlign w:val="center"/>
          </w:tcPr>
          <w:p w14:paraId="0274B259">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身份鉴别</w:t>
            </w:r>
          </w:p>
        </w:tc>
        <w:tc>
          <w:tcPr>
            <w:tcW w:w="2078" w:type="pct"/>
            <w:vAlign w:val="center"/>
          </w:tcPr>
          <w:p w14:paraId="51EAB1B6">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对远程登录设备的用户身份真实性进行鉴别，防止假冒用户登录</w:t>
            </w:r>
          </w:p>
        </w:tc>
        <w:tc>
          <w:tcPr>
            <w:tcW w:w="748" w:type="pct"/>
            <w:vAlign w:val="center"/>
          </w:tcPr>
          <w:p w14:paraId="33B0617F">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2B1920D1">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5AF32943">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3D82D1CC">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系统资源访问控制信息完整性</w:t>
            </w:r>
          </w:p>
        </w:tc>
        <w:tc>
          <w:tcPr>
            <w:tcW w:w="2078" w:type="pct"/>
            <w:vAlign w:val="center"/>
          </w:tcPr>
          <w:p w14:paraId="5EB74C82">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保护系统资源访问控制信息免受非法篡改</w:t>
            </w:r>
          </w:p>
        </w:tc>
        <w:tc>
          <w:tcPr>
            <w:tcW w:w="748" w:type="pct"/>
            <w:vAlign w:val="center"/>
          </w:tcPr>
          <w:p w14:paraId="38FF096B">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5A09BEFE">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7E0CCEAF">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4C620AD5">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重要信息资源安全标记的完整性</w:t>
            </w:r>
          </w:p>
        </w:tc>
        <w:tc>
          <w:tcPr>
            <w:tcW w:w="2078" w:type="pct"/>
            <w:vAlign w:val="center"/>
          </w:tcPr>
          <w:p w14:paraId="68465F93">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不适用</w:t>
            </w:r>
          </w:p>
        </w:tc>
        <w:tc>
          <w:tcPr>
            <w:tcW w:w="748" w:type="pct"/>
            <w:vAlign w:val="center"/>
          </w:tcPr>
          <w:p w14:paraId="6ECD6E34">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53F2DE36">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42F10B16">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34432BA7">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日志记录完整性</w:t>
            </w:r>
          </w:p>
        </w:tc>
        <w:tc>
          <w:tcPr>
            <w:tcW w:w="2078" w:type="pct"/>
            <w:vAlign w:val="center"/>
          </w:tcPr>
          <w:p w14:paraId="0FEE6549">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保护重要日志记录信息免受非法篡改</w:t>
            </w:r>
          </w:p>
        </w:tc>
        <w:tc>
          <w:tcPr>
            <w:tcW w:w="748" w:type="pct"/>
            <w:vAlign w:val="center"/>
          </w:tcPr>
          <w:p w14:paraId="47B05D2A">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356B560F">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2743A22C">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68B142AE">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重要可执行程序完整性、重要可执行程序来源真实性</w:t>
            </w:r>
          </w:p>
        </w:tc>
        <w:tc>
          <w:tcPr>
            <w:tcW w:w="2078" w:type="pct"/>
            <w:vAlign w:val="center"/>
          </w:tcPr>
          <w:p w14:paraId="7357FF19">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保护应用服务器等设备中部署的重要可执行程序的完整性和来源真实性，防止被非授权篡改</w:t>
            </w:r>
          </w:p>
        </w:tc>
        <w:tc>
          <w:tcPr>
            <w:tcW w:w="748" w:type="pct"/>
            <w:vAlign w:val="center"/>
          </w:tcPr>
          <w:p w14:paraId="11E265E2">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6147A595">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restart"/>
            <w:vAlign w:val="center"/>
          </w:tcPr>
          <w:p w14:paraId="71D157CF">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应用和数据安全</w:t>
            </w:r>
          </w:p>
        </w:tc>
        <w:tc>
          <w:tcPr>
            <w:tcW w:w="1221" w:type="pct"/>
            <w:vAlign w:val="center"/>
          </w:tcPr>
          <w:p w14:paraId="0722A2A7">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身份鉴别</w:t>
            </w:r>
          </w:p>
        </w:tc>
        <w:tc>
          <w:tcPr>
            <w:tcW w:w="2078" w:type="pct"/>
            <w:vAlign w:val="center"/>
          </w:tcPr>
          <w:p w14:paraId="56C69D49">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保护执行关键操作或访问重要数据的用户身份真实性，防止假冒用户访问</w:t>
            </w:r>
          </w:p>
        </w:tc>
        <w:tc>
          <w:tcPr>
            <w:tcW w:w="748" w:type="pct"/>
            <w:vAlign w:val="center"/>
          </w:tcPr>
          <w:p w14:paraId="1C8CD157">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04EA2810">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14A84110">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15D4C6ED">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访问控制信息完整性</w:t>
            </w:r>
          </w:p>
        </w:tc>
        <w:tc>
          <w:tcPr>
            <w:tcW w:w="2078" w:type="pct"/>
            <w:vAlign w:val="center"/>
          </w:tcPr>
          <w:p w14:paraId="1EE029D9">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保护应用系统的访问控制信息免受非法篡改</w:t>
            </w:r>
          </w:p>
        </w:tc>
        <w:tc>
          <w:tcPr>
            <w:tcW w:w="748" w:type="pct"/>
            <w:vAlign w:val="center"/>
          </w:tcPr>
          <w:p w14:paraId="18B222B5">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18E92016">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260FAB08">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422114BE">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重要信息资源安全标记完整性</w:t>
            </w:r>
          </w:p>
        </w:tc>
        <w:tc>
          <w:tcPr>
            <w:tcW w:w="2078" w:type="pct"/>
            <w:vAlign w:val="center"/>
          </w:tcPr>
          <w:p w14:paraId="0A2597C4">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不适用</w:t>
            </w:r>
          </w:p>
        </w:tc>
        <w:tc>
          <w:tcPr>
            <w:tcW w:w="748" w:type="pct"/>
            <w:vAlign w:val="center"/>
          </w:tcPr>
          <w:p w14:paraId="5F3BEC67">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应用没有安全标记</w:t>
            </w:r>
          </w:p>
        </w:tc>
      </w:tr>
      <w:tr w14:paraId="20CFDB9D">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4280985A">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5A617C8D">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重要数据传输机密性</w:t>
            </w:r>
          </w:p>
        </w:tc>
        <w:tc>
          <w:tcPr>
            <w:tcW w:w="2078" w:type="pct"/>
            <w:vAlign w:val="center"/>
          </w:tcPr>
          <w:p w14:paraId="68F40E7A">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保护用户鉴别信息等重要数据传输的机密性</w:t>
            </w:r>
          </w:p>
        </w:tc>
        <w:tc>
          <w:tcPr>
            <w:tcW w:w="748" w:type="pct"/>
            <w:vAlign w:val="center"/>
          </w:tcPr>
          <w:p w14:paraId="75DC55AE">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633570F9">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6128E2FC">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7898CC4A">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重要数据存储机密性</w:t>
            </w:r>
          </w:p>
        </w:tc>
        <w:tc>
          <w:tcPr>
            <w:tcW w:w="2078" w:type="pct"/>
            <w:vAlign w:val="center"/>
          </w:tcPr>
          <w:p w14:paraId="18E21E8F">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保护用户鉴别信息等重要数据存储的机密性</w:t>
            </w:r>
          </w:p>
        </w:tc>
        <w:tc>
          <w:tcPr>
            <w:tcW w:w="748" w:type="pct"/>
            <w:vAlign w:val="center"/>
          </w:tcPr>
          <w:p w14:paraId="35BB082D">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678FD36F">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143BFD5E">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5C73AAC1">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重要数据传输完整性</w:t>
            </w:r>
          </w:p>
        </w:tc>
        <w:tc>
          <w:tcPr>
            <w:tcW w:w="2078" w:type="pct"/>
            <w:vAlign w:val="center"/>
          </w:tcPr>
          <w:p w14:paraId="5C6AA360">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保护用户鉴别信息等重要数据传输的完整性</w:t>
            </w:r>
          </w:p>
        </w:tc>
        <w:tc>
          <w:tcPr>
            <w:tcW w:w="748" w:type="pct"/>
            <w:vAlign w:val="center"/>
          </w:tcPr>
          <w:p w14:paraId="020A7DFC">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218F0887">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13AF2D95">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427478F5">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重要数据存储完整性</w:t>
            </w:r>
          </w:p>
        </w:tc>
        <w:tc>
          <w:tcPr>
            <w:tcW w:w="2078" w:type="pct"/>
            <w:vAlign w:val="center"/>
          </w:tcPr>
          <w:p w14:paraId="095121F4">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保护用户鉴别信息等重要数据存储的完整性</w:t>
            </w:r>
          </w:p>
        </w:tc>
        <w:tc>
          <w:tcPr>
            <w:tcW w:w="748" w:type="pct"/>
            <w:vAlign w:val="center"/>
          </w:tcPr>
          <w:p w14:paraId="0890440B">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33910A33">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0746F52B">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48382918">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不可否认性</w:t>
            </w:r>
          </w:p>
        </w:tc>
        <w:tc>
          <w:tcPr>
            <w:tcW w:w="2078" w:type="pct"/>
            <w:vAlign w:val="center"/>
          </w:tcPr>
          <w:p w14:paraId="2D8D5995">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不适用</w:t>
            </w:r>
          </w:p>
        </w:tc>
        <w:tc>
          <w:tcPr>
            <w:tcW w:w="748" w:type="pct"/>
            <w:vAlign w:val="center"/>
          </w:tcPr>
          <w:p w14:paraId="22B27722">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4DB4D110">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952" w:type="pct"/>
            <w:shd w:val="clear" w:color="auto" w:fill="D9D9D9"/>
            <w:vAlign w:val="center"/>
          </w:tcPr>
          <w:p w14:paraId="5E411EDE">
            <w:pPr>
              <w:widowControl/>
              <w:spacing w:line="240" w:lineRule="auto"/>
              <w:ind w:firstLine="0" w:firstLineChars="0"/>
              <w:jc w:val="center"/>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指标要求</w:t>
            </w:r>
          </w:p>
        </w:tc>
        <w:tc>
          <w:tcPr>
            <w:tcW w:w="1221" w:type="pct"/>
            <w:shd w:val="clear" w:color="auto" w:fill="D9D9D9"/>
            <w:vAlign w:val="center"/>
          </w:tcPr>
          <w:p w14:paraId="034A0A69">
            <w:pPr>
              <w:widowControl/>
              <w:spacing w:line="240" w:lineRule="auto"/>
              <w:ind w:firstLine="0" w:firstLineChars="0"/>
              <w:jc w:val="center"/>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密码技术应用点</w:t>
            </w:r>
          </w:p>
        </w:tc>
        <w:tc>
          <w:tcPr>
            <w:tcW w:w="2078" w:type="pct"/>
            <w:shd w:val="clear" w:color="auto" w:fill="D9D9D9"/>
            <w:vAlign w:val="center"/>
          </w:tcPr>
          <w:p w14:paraId="4A7E16DD">
            <w:pPr>
              <w:widowControl/>
              <w:spacing w:line="240" w:lineRule="auto"/>
              <w:ind w:firstLine="0" w:firstLineChars="0"/>
              <w:jc w:val="center"/>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密码应用需求</w:t>
            </w:r>
          </w:p>
        </w:tc>
        <w:tc>
          <w:tcPr>
            <w:tcW w:w="748" w:type="pct"/>
            <w:shd w:val="clear" w:color="auto" w:fill="D9D9D9"/>
            <w:vAlign w:val="center"/>
          </w:tcPr>
          <w:p w14:paraId="62400962">
            <w:pPr>
              <w:widowControl/>
              <w:spacing w:line="240" w:lineRule="auto"/>
              <w:ind w:firstLine="0" w:firstLineChars="0"/>
              <w:jc w:val="center"/>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说明</w:t>
            </w:r>
          </w:p>
        </w:tc>
      </w:tr>
      <w:tr w14:paraId="7D233558">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restart"/>
            <w:vAlign w:val="center"/>
          </w:tcPr>
          <w:p w14:paraId="2CC53233">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物理和环境安全</w:t>
            </w:r>
          </w:p>
        </w:tc>
        <w:tc>
          <w:tcPr>
            <w:tcW w:w="1221" w:type="pct"/>
            <w:vAlign w:val="center"/>
          </w:tcPr>
          <w:p w14:paraId="24238AC6">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身份鉴别</w:t>
            </w:r>
          </w:p>
        </w:tc>
        <w:tc>
          <w:tcPr>
            <w:tcW w:w="2078" w:type="pct"/>
            <w:vMerge w:val="restart"/>
            <w:vAlign w:val="center"/>
          </w:tcPr>
          <w:p w14:paraId="028F82E8">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系统的物理和环境安全由云平台提供安全保障</w:t>
            </w:r>
          </w:p>
        </w:tc>
        <w:tc>
          <w:tcPr>
            <w:tcW w:w="748" w:type="pct"/>
            <w:vMerge w:val="restart"/>
            <w:vAlign w:val="center"/>
          </w:tcPr>
          <w:p w14:paraId="569DC1DE">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云平台通过密评</w:t>
            </w:r>
          </w:p>
        </w:tc>
      </w:tr>
      <w:tr w14:paraId="080CFBE3">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952" w:type="pct"/>
            <w:vMerge w:val="continue"/>
            <w:vAlign w:val="center"/>
          </w:tcPr>
          <w:p w14:paraId="4AC25DB0">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1D91185C">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电子门禁记录数据完整性</w:t>
            </w:r>
          </w:p>
        </w:tc>
        <w:tc>
          <w:tcPr>
            <w:tcW w:w="2078" w:type="pct"/>
            <w:vMerge w:val="continue"/>
            <w:vAlign w:val="center"/>
          </w:tcPr>
          <w:p w14:paraId="626038B8">
            <w:pPr>
              <w:spacing w:line="240" w:lineRule="auto"/>
              <w:ind w:firstLine="0" w:firstLineChars="0"/>
              <w:jc w:val="center"/>
              <w:rPr>
                <w:rFonts w:asciiTheme="minorEastAsia" w:hAnsiTheme="minorEastAsia" w:eastAsiaTheme="minorEastAsia" w:cstheme="minorEastAsia"/>
                <w:kern w:val="0"/>
                <w:sz w:val="21"/>
                <w:szCs w:val="21"/>
              </w:rPr>
            </w:pPr>
          </w:p>
        </w:tc>
        <w:tc>
          <w:tcPr>
            <w:tcW w:w="748" w:type="pct"/>
            <w:vMerge w:val="continue"/>
            <w:vAlign w:val="center"/>
          </w:tcPr>
          <w:p w14:paraId="206CC6A2">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35D3C522">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952" w:type="pct"/>
            <w:vMerge w:val="continue"/>
            <w:vAlign w:val="center"/>
          </w:tcPr>
          <w:p w14:paraId="7527EE6E">
            <w:pPr>
              <w:pStyle w:val="115"/>
              <w:ind w:firstLine="0" w:firstLineChars="0"/>
              <w:rPr>
                <w:rFonts w:asciiTheme="minorEastAsia" w:hAnsiTheme="minorEastAsia" w:eastAsiaTheme="minorEastAsia" w:cstheme="minorEastAsia"/>
                <w:szCs w:val="21"/>
              </w:rPr>
            </w:pPr>
          </w:p>
        </w:tc>
        <w:tc>
          <w:tcPr>
            <w:tcW w:w="1221" w:type="pct"/>
            <w:vAlign w:val="center"/>
          </w:tcPr>
          <w:p w14:paraId="17F2F04B">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视频记录数据完整性</w:t>
            </w:r>
          </w:p>
        </w:tc>
        <w:tc>
          <w:tcPr>
            <w:tcW w:w="2078" w:type="pct"/>
            <w:vMerge w:val="continue"/>
            <w:vAlign w:val="center"/>
          </w:tcPr>
          <w:p w14:paraId="5DF92A50">
            <w:pPr>
              <w:pStyle w:val="115"/>
              <w:ind w:firstLine="0" w:firstLineChars="0"/>
              <w:rPr>
                <w:rFonts w:asciiTheme="minorEastAsia" w:hAnsiTheme="minorEastAsia" w:eastAsiaTheme="minorEastAsia" w:cstheme="minorEastAsia"/>
                <w:szCs w:val="21"/>
              </w:rPr>
            </w:pPr>
          </w:p>
        </w:tc>
        <w:tc>
          <w:tcPr>
            <w:tcW w:w="748" w:type="pct"/>
            <w:vMerge w:val="continue"/>
            <w:vAlign w:val="center"/>
          </w:tcPr>
          <w:p w14:paraId="3AD91A53">
            <w:pPr>
              <w:pStyle w:val="115"/>
              <w:ind w:firstLine="0" w:firstLineChars="0"/>
              <w:rPr>
                <w:rFonts w:asciiTheme="minorEastAsia" w:hAnsiTheme="minorEastAsia" w:eastAsiaTheme="minorEastAsia" w:cstheme="minorEastAsia"/>
                <w:szCs w:val="21"/>
              </w:rPr>
            </w:pPr>
          </w:p>
        </w:tc>
      </w:tr>
      <w:tr w14:paraId="75CF69BC">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183E812C">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30EE23F7">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密码服务</w:t>
            </w:r>
          </w:p>
        </w:tc>
        <w:tc>
          <w:tcPr>
            <w:tcW w:w="2078" w:type="pct"/>
            <w:vMerge w:val="continue"/>
            <w:vAlign w:val="center"/>
          </w:tcPr>
          <w:p w14:paraId="3AE6904D">
            <w:pPr>
              <w:widowControl/>
              <w:spacing w:line="240" w:lineRule="auto"/>
              <w:ind w:firstLine="0" w:firstLineChars="0"/>
              <w:jc w:val="center"/>
              <w:rPr>
                <w:rFonts w:asciiTheme="minorEastAsia" w:hAnsiTheme="minorEastAsia" w:eastAsiaTheme="minorEastAsia" w:cstheme="minorEastAsia"/>
                <w:kern w:val="0"/>
                <w:sz w:val="21"/>
                <w:szCs w:val="21"/>
              </w:rPr>
            </w:pPr>
          </w:p>
        </w:tc>
        <w:tc>
          <w:tcPr>
            <w:tcW w:w="748" w:type="pct"/>
            <w:vMerge w:val="continue"/>
            <w:vAlign w:val="center"/>
          </w:tcPr>
          <w:p w14:paraId="3A3A9E15">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4E823AF8">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311856E5">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0DCA63F0">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密码产品</w:t>
            </w:r>
          </w:p>
        </w:tc>
        <w:tc>
          <w:tcPr>
            <w:tcW w:w="2078" w:type="pct"/>
            <w:vMerge w:val="continue"/>
            <w:vAlign w:val="center"/>
          </w:tcPr>
          <w:p w14:paraId="2868B260">
            <w:pPr>
              <w:widowControl/>
              <w:spacing w:line="240" w:lineRule="auto"/>
              <w:ind w:firstLine="0" w:firstLineChars="0"/>
              <w:jc w:val="center"/>
              <w:rPr>
                <w:rFonts w:asciiTheme="minorEastAsia" w:hAnsiTheme="minorEastAsia" w:eastAsiaTheme="minorEastAsia" w:cstheme="minorEastAsia"/>
                <w:kern w:val="0"/>
                <w:sz w:val="21"/>
                <w:szCs w:val="21"/>
              </w:rPr>
            </w:pPr>
          </w:p>
        </w:tc>
        <w:tc>
          <w:tcPr>
            <w:tcW w:w="748" w:type="pct"/>
            <w:vMerge w:val="continue"/>
            <w:vAlign w:val="center"/>
          </w:tcPr>
          <w:p w14:paraId="538FCB97">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42A03BDB">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restart"/>
            <w:vAlign w:val="center"/>
          </w:tcPr>
          <w:p w14:paraId="751D1122">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网络和通信安全</w:t>
            </w:r>
          </w:p>
        </w:tc>
        <w:tc>
          <w:tcPr>
            <w:tcW w:w="1221" w:type="pct"/>
            <w:vAlign w:val="center"/>
          </w:tcPr>
          <w:p w14:paraId="77274BC5">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身份鉴别</w:t>
            </w:r>
          </w:p>
        </w:tc>
        <w:tc>
          <w:tcPr>
            <w:tcW w:w="2078" w:type="pct"/>
            <w:vAlign w:val="center"/>
          </w:tcPr>
          <w:p w14:paraId="3992BFAD">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确认服务端的身份真实性，防止与假冒实体进行通信</w:t>
            </w:r>
          </w:p>
        </w:tc>
        <w:tc>
          <w:tcPr>
            <w:tcW w:w="748" w:type="pct"/>
            <w:vAlign w:val="center"/>
          </w:tcPr>
          <w:p w14:paraId="4DD0141B">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581DEDF3">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1825178E">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620551A4">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通信数据完整性</w:t>
            </w:r>
          </w:p>
        </w:tc>
        <w:tc>
          <w:tcPr>
            <w:tcW w:w="2078" w:type="pct"/>
            <w:vAlign w:val="center"/>
          </w:tcPr>
          <w:p w14:paraId="0119DD1E">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防止重要数据在传输过程中被非法篡改</w:t>
            </w:r>
          </w:p>
        </w:tc>
        <w:tc>
          <w:tcPr>
            <w:tcW w:w="748" w:type="pct"/>
            <w:vAlign w:val="center"/>
          </w:tcPr>
          <w:p w14:paraId="584487E3">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484B25DF">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0F3E6A75">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6886C28C">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通信过程中重要数据的机密性</w:t>
            </w:r>
          </w:p>
        </w:tc>
        <w:tc>
          <w:tcPr>
            <w:tcW w:w="2078" w:type="pct"/>
            <w:vAlign w:val="center"/>
          </w:tcPr>
          <w:p w14:paraId="14E26FF8">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防止重要数据在传输过程中被非法窃取</w:t>
            </w:r>
          </w:p>
        </w:tc>
        <w:tc>
          <w:tcPr>
            <w:tcW w:w="748" w:type="pct"/>
            <w:vAlign w:val="center"/>
          </w:tcPr>
          <w:p w14:paraId="4DEE4147">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1A79C8F3">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05F8B721">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31961BAB">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网络边界访问控制信息的完整性</w:t>
            </w:r>
          </w:p>
        </w:tc>
        <w:tc>
          <w:tcPr>
            <w:tcW w:w="2078" w:type="pct"/>
            <w:vAlign w:val="center"/>
          </w:tcPr>
          <w:p w14:paraId="66B04F2D">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系统网络拓扑中不同区域网络边界访问控制信息的完整性保护由云平台提供</w:t>
            </w:r>
            <w:r>
              <w:rPr>
                <w:rFonts w:hint="eastAsia" w:asciiTheme="minorEastAsia" w:hAnsiTheme="minorEastAsia" w:eastAsiaTheme="minorEastAsia" w:cstheme="minorEastAsia"/>
                <w:sz w:val="21"/>
                <w:szCs w:val="21"/>
              </w:rPr>
              <w:t>。</w:t>
            </w:r>
          </w:p>
        </w:tc>
        <w:tc>
          <w:tcPr>
            <w:tcW w:w="748" w:type="pct"/>
            <w:vAlign w:val="center"/>
          </w:tcPr>
          <w:p w14:paraId="14DA6C4F">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云平台通过密评</w:t>
            </w:r>
          </w:p>
        </w:tc>
      </w:tr>
      <w:tr w14:paraId="63FF2434">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4D1ED93C">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3380AD29">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安全接入认证</w:t>
            </w:r>
          </w:p>
        </w:tc>
        <w:tc>
          <w:tcPr>
            <w:tcW w:w="2078" w:type="pct"/>
            <w:vAlign w:val="center"/>
          </w:tcPr>
          <w:p w14:paraId="6A7FD9FB">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不适用</w:t>
            </w:r>
          </w:p>
        </w:tc>
        <w:tc>
          <w:tcPr>
            <w:tcW w:w="748" w:type="pct"/>
            <w:vAlign w:val="center"/>
          </w:tcPr>
          <w:p w14:paraId="45DA5517">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无外部设备接入本系统的需求</w:t>
            </w:r>
          </w:p>
        </w:tc>
      </w:tr>
      <w:tr w14:paraId="4FD62785">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restart"/>
            <w:vAlign w:val="center"/>
          </w:tcPr>
          <w:p w14:paraId="4E1CB85B">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设备和计算安全</w:t>
            </w:r>
          </w:p>
        </w:tc>
        <w:tc>
          <w:tcPr>
            <w:tcW w:w="1221" w:type="pct"/>
            <w:vAlign w:val="center"/>
          </w:tcPr>
          <w:p w14:paraId="3ED95041">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身份鉴别</w:t>
            </w:r>
          </w:p>
        </w:tc>
        <w:tc>
          <w:tcPr>
            <w:tcW w:w="2078" w:type="pct"/>
            <w:vAlign w:val="center"/>
          </w:tcPr>
          <w:p w14:paraId="31E8953F">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对远程登录设备的用户身份真实性进行鉴别，防止假冒用户登录</w:t>
            </w:r>
          </w:p>
        </w:tc>
        <w:tc>
          <w:tcPr>
            <w:tcW w:w="748" w:type="pct"/>
            <w:vAlign w:val="center"/>
          </w:tcPr>
          <w:p w14:paraId="42B25E3D">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4BD191C2">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65B6FF97">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387841BC">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系统资源访问控制信息完整性</w:t>
            </w:r>
          </w:p>
        </w:tc>
        <w:tc>
          <w:tcPr>
            <w:tcW w:w="2078" w:type="pct"/>
            <w:vAlign w:val="center"/>
          </w:tcPr>
          <w:p w14:paraId="787EA921">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保护系统资源访问控制信息免受非法篡改</w:t>
            </w:r>
          </w:p>
        </w:tc>
        <w:tc>
          <w:tcPr>
            <w:tcW w:w="748" w:type="pct"/>
            <w:vAlign w:val="center"/>
          </w:tcPr>
          <w:p w14:paraId="2E2B3D0B">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02DDEBF1">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41D1933F">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200AB493">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重要信息资源安全标记的完整性</w:t>
            </w:r>
          </w:p>
        </w:tc>
        <w:tc>
          <w:tcPr>
            <w:tcW w:w="2078" w:type="pct"/>
            <w:vAlign w:val="center"/>
          </w:tcPr>
          <w:p w14:paraId="55BE3954">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不适用</w:t>
            </w:r>
          </w:p>
        </w:tc>
        <w:tc>
          <w:tcPr>
            <w:tcW w:w="748" w:type="pct"/>
            <w:vAlign w:val="center"/>
          </w:tcPr>
          <w:p w14:paraId="7DAA21C1">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53E041E4">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16B135B9">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2766C464">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日志记录完整性</w:t>
            </w:r>
          </w:p>
        </w:tc>
        <w:tc>
          <w:tcPr>
            <w:tcW w:w="2078" w:type="pct"/>
            <w:vAlign w:val="center"/>
          </w:tcPr>
          <w:p w14:paraId="2C88F411">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保护重要日志记录信息免受非法篡改</w:t>
            </w:r>
          </w:p>
        </w:tc>
        <w:tc>
          <w:tcPr>
            <w:tcW w:w="748" w:type="pct"/>
            <w:vAlign w:val="center"/>
          </w:tcPr>
          <w:p w14:paraId="1D07EB72">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44C1039E">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5D4C9A9F">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5ED4BAF3">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重要可执行程序完整性、重要可执行程序来源真实性</w:t>
            </w:r>
          </w:p>
        </w:tc>
        <w:tc>
          <w:tcPr>
            <w:tcW w:w="2078" w:type="pct"/>
            <w:vAlign w:val="center"/>
          </w:tcPr>
          <w:p w14:paraId="2214D96A">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保护应用服务器等设备中部署的重要可执行程序的完整性和来源真实性，防止被非授权篡改</w:t>
            </w:r>
          </w:p>
        </w:tc>
        <w:tc>
          <w:tcPr>
            <w:tcW w:w="748" w:type="pct"/>
            <w:vAlign w:val="center"/>
          </w:tcPr>
          <w:p w14:paraId="14E588E2">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576AB87B">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restart"/>
            <w:vAlign w:val="center"/>
          </w:tcPr>
          <w:p w14:paraId="3BB4A31C">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应用和数据安全</w:t>
            </w:r>
          </w:p>
        </w:tc>
        <w:tc>
          <w:tcPr>
            <w:tcW w:w="1221" w:type="pct"/>
            <w:vAlign w:val="center"/>
          </w:tcPr>
          <w:p w14:paraId="1BE2336E">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身份鉴别</w:t>
            </w:r>
          </w:p>
        </w:tc>
        <w:tc>
          <w:tcPr>
            <w:tcW w:w="2078" w:type="pct"/>
            <w:vAlign w:val="center"/>
          </w:tcPr>
          <w:p w14:paraId="4FDBB6A9">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保护执行关键操作或访问重要数据的用户身份真实性，防止假冒用户访问</w:t>
            </w:r>
          </w:p>
        </w:tc>
        <w:tc>
          <w:tcPr>
            <w:tcW w:w="748" w:type="pct"/>
            <w:vAlign w:val="center"/>
          </w:tcPr>
          <w:p w14:paraId="3AFB57F9">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3D71BB5D">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34343C66">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52FDD63E">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访问控制信息完整性</w:t>
            </w:r>
          </w:p>
        </w:tc>
        <w:tc>
          <w:tcPr>
            <w:tcW w:w="2078" w:type="pct"/>
            <w:vAlign w:val="center"/>
          </w:tcPr>
          <w:p w14:paraId="6F10E369">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保护应用系统的访问控制信息免受非法篡改</w:t>
            </w:r>
          </w:p>
        </w:tc>
        <w:tc>
          <w:tcPr>
            <w:tcW w:w="748" w:type="pct"/>
            <w:vAlign w:val="center"/>
          </w:tcPr>
          <w:p w14:paraId="75F119A5">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6129BE53">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4F2DB254">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271F2EA9">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重要信息资源安全标记完整性</w:t>
            </w:r>
          </w:p>
        </w:tc>
        <w:tc>
          <w:tcPr>
            <w:tcW w:w="2078" w:type="pct"/>
            <w:vAlign w:val="center"/>
          </w:tcPr>
          <w:p w14:paraId="724DE3AE">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不适用</w:t>
            </w:r>
          </w:p>
        </w:tc>
        <w:tc>
          <w:tcPr>
            <w:tcW w:w="748" w:type="pct"/>
            <w:vAlign w:val="center"/>
          </w:tcPr>
          <w:p w14:paraId="312485B2">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应用没有安全标记</w:t>
            </w:r>
          </w:p>
        </w:tc>
      </w:tr>
      <w:tr w14:paraId="3FD162DE">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19776CFE">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159D02E6">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重要数据传输机密性</w:t>
            </w:r>
          </w:p>
        </w:tc>
        <w:tc>
          <w:tcPr>
            <w:tcW w:w="2078" w:type="pct"/>
            <w:vAlign w:val="center"/>
          </w:tcPr>
          <w:p w14:paraId="4384F4FE">
            <w:pPr>
              <w:widowControl/>
              <w:spacing w:line="240" w:lineRule="auto"/>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保护用户鉴别信息等重要数据传输的机密性</w:t>
            </w:r>
          </w:p>
        </w:tc>
        <w:tc>
          <w:tcPr>
            <w:tcW w:w="748" w:type="pct"/>
            <w:vAlign w:val="center"/>
          </w:tcPr>
          <w:p w14:paraId="5EB77A08">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268F4FAF">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5ECAAFF2">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20CCB3D4">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重要数据存储机密性</w:t>
            </w:r>
          </w:p>
        </w:tc>
        <w:tc>
          <w:tcPr>
            <w:tcW w:w="2078" w:type="pct"/>
            <w:vAlign w:val="center"/>
          </w:tcPr>
          <w:p w14:paraId="681B887B">
            <w:pPr>
              <w:widowControl/>
              <w:spacing w:line="240" w:lineRule="auto"/>
              <w:ind w:firstLine="0" w:firstLineChars="0"/>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保护用户鉴别信息等重要数据存储的机密性</w:t>
            </w:r>
          </w:p>
        </w:tc>
        <w:tc>
          <w:tcPr>
            <w:tcW w:w="748" w:type="pct"/>
            <w:vAlign w:val="center"/>
          </w:tcPr>
          <w:p w14:paraId="034FC6EE">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7166C1C3">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62F0C165">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493821D9">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重要数据传输完整性</w:t>
            </w:r>
          </w:p>
        </w:tc>
        <w:tc>
          <w:tcPr>
            <w:tcW w:w="2078" w:type="pct"/>
            <w:vAlign w:val="center"/>
          </w:tcPr>
          <w:p w14:paraId="097759BA">
            <w:pPr>
              <w:widowControl/>
              <w:spacing w:line="240" w:lineRule="auto"/>
              <w:ind w:firstLine="0" w:firstLineChars="0"/>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保护用户鉴别信息等重要数据传输的完整性</w:t>
            </w:r>
          </w:p>
        </w:tc>
        <w:tc>
          <w:tcPr>
            <w:tcW w:w="748" w:type="pct"/>
            <w:vAlign w:val="center"/>
          </w:tcPr>
          <w:p w14:paraId="42B9EA85">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3F05D6EC">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0E2440B1">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1FD27AAE">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重要数据存储完整性</w:t>
            </w:r>
          </w:p>
        </w:tc>
        <w:tc>
          <w:tcPr>
            <w:tcW w:w="2078" w:type="pct"/>
            <w:vAlign w:val="center"/>
          </w:tcPr>
          <w:p w14:paraId="68B91769">
            <w:pPr>
              <w:widowControl/>
              <w:spacing w:line="240" w:lineRule="auto"/>
              <w:ind w:firstLine="0" w:firstLineChars="0"/>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保护用户鉴别信息等重要数据存储的完整性</w:t>
            </w:r>
          </w:p>
        </w:tc>
        <w:tc>
          <w:tcPr>
            <w:tcW w:w="748" w:type="pct"/>
            <w:vAlign w:val="center"/>
          </w:tcPr>
          <w:p w14:paraId="1FC40BCF">
            <w:pPr>
              <w:widowControl/>
              <w:spacing w:line="240" w:lineRule="auto"/>
              <w:ind w:firstLine="0" w:firstLineChars="0"/>
              <w:jc w:val="center"/>
              <w:rPr>
                <w:rFonts w:asciiTheme="minorEastAsia" w:hAnsiTheme="minorEastAsia" w:eastAsiaTheme="minorEastAsia" w:cstheme="minorEastAsia"/>
                <w:kern w:val="0"/>
                <w:sz w:val="21"/>
                <w:szCs w:val="21"/>
              </w:rPr>
            </w:pPr>
          </w:p>
        </w:tc>
      </w:tr>
      <w:tr w14:paraId="1BB30827">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 w:type="pct"/>
            <w:vMerge w:val="continue"/>
            <w:vAlign w:val="center"/>
          </w:tcPr>
          <w:p w14:paraId="5E12E397">
            <w:pPr>
              <w:widowControl/>
              <w:spacing w:line="240" w:lineRule="auto"/>
              <w:ind w:firstLine="0" w:firstLineChars="0"/>
              <w:jc w:val="left"/>
              <w:rPr>
                <w:rFonts w:asciiTheme="minorEastAsia" w:hAnsiTheme="minorEastAsia" w:eastAsiaTheme="minorEastAsia" w:cstheme="minorEastAsia"/>
                <w:kern w:val="0"/>
                <w:sz w:val="21"/>
                <w:szCs w:val="21"/>
              </w:rPr>
            </w:pPr>
          </w:p>
        </w:tc>
        <w:tc>
          <w:tcPr>
            <w:tcW w:w="1221" w:type="pct"/>
            <w:vAlign w:val="center"/>
          </w:tcPr>
          <w:p w14:paraId="15B1F91E">
            <w:pPr>
              <w:pStyle w:val="115"/>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不可否认性</w:t>
            </w:r>
          </w:p>
        </w:tc>
        <w:tc>
          <w:tcPr>
            <w:tcW w:w="2078" w:type="pct"/>
            <w:vAlign w:val="center"/>
          </w:tcPr>
          <w:p w14:paraId="67AE9E88">
            <w:pPr>
              <w:widowControl/>
              <w:spacing w:line="240" w:lineRule="auto"/>
              <w:ind w:firstLine="0" w:firstLineChars="0"/>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不适用</w:t>
            </w:r>
          </w:p>
        </w:tc>
        <w:tc>
          <w:tcPr>
            <w:tcW w:w="748" w:type="pct"/>
            <w:vAlign w:val="center"/>
          </w:tcPr>
          <w:p w14:paraId="3104AECF">
            <w:pPr>
              <w:widowControl/>
              <w:spacing w:line="240" w:lineRule="auto"/>
              <w:ind w:firstLine="0" w:firstLineChars="0"/>
              <w:jc w:val="center"/>
              <w:rPr>
                <w:rFonts w:asciiTheme="minorEastAsia" w:hAnsiTheme="minorEastAsia" w:eastAsiaTheme="minorEastAsia" w:cstheme="minorEastAsia"/>
                <w:kern w:val="0"/>
                <w:sz w:val="21"/>
                <w:szCs w:val="21"/>
              </w:rPr>
            </w:pPr>
          </w:p>
        </w:tc>
      </w:tr>
    </w:tbl>
    <w:p w14:paraId="3E4C888D">
      <w:pPr>
        <w:ind w:firstLine="0" w:firstLineChars="0"/>
        <w:rPr>
          <w:rFonts w:ascii="仿宋_GB2312" w:eastAsia="仿宋_GB2312" w:cs="仿宋_GB2312"/>
          <w:color w:val="000000"/>
          <w:kern w:val="0"/>
          <w:sz w:val="28"/>
          <w:szCs w:val="28"/>
        </w:rPr>
      </w:pPr>
    </w:p>
    <w:p w14:paraId="191F4E89">
      <w:pPr>
        <w:pStyle w:val="3"/>
      </w:pPr>
      <w:bookmarkStart w:id="32" w:name="_Toc63785512"/>
      <w:r>
        <w:rPr>
          <w:rFonts w:hint="eastAsia"/>
        </w:rPr>
        <w:t>技术文件要求</w:t>
      </w:r>
    </w:p>
    <w:p w14:paraId="611491EB">
      <w:r>
        <w:rPr>
          <w:rFonts w:hint="eastAsia"/>
          <w:lang w:eastAsia="zh-CN"/>
        </w:rPr>
        <w:t>供应商</w:t>
      </w:r>
      <w:r>
        <w:rPr>
          <w:rFonts w:hint="eastAsia"/>
        </w:rPr>
        <w:t>提供的书面技术资料应能确保系统正常运行所需的管理、运营及维护有关的全套文件。技术文件应该全面、完整、详细。</w:t>
      </w:r>
      <w:r>
        <w:rPr>
          <w:rFonts w:hint="eastAsia"/>
          <w:lang w:eastAsia="zh-CN"/>
        </w:rPr>
        <w:t>供应商</w:t>
      </w:r>
      <w:r>
        <w:rPr>
          <w:rFonts w:hint="eastAsia"/>
        </w:rPr>
        <w:t>提供的技术文件至少应包括：</w:t>
      </w:r>
    </w:p>
    <w:p w14:paraId="6D2ECE64">
      <w:r>
        <w:rPr>
          <w:rFonts w:hint="eastAsia"/>
        </w:rPr>
        <w:t>－</w:t>
      </w:r>
      <w:r>
        <w:t xml:space="preserve"> 系统说明文件； </w:t>
      </w:r>
    </w:p>
    <w:p w14:paraId="37B0D35B">
      <w:r>
        <w:rPr>
          <w:rFonts w:hint="eastAsia"/>
        </w:rPr>
        <w:t>－</w:t>
      </w:r>
      <w:r>
        <w:t xml:space="preserve"> 技术手册(安装、测试、操作、维护、故障排除等)； </w:t>
      </w:r>
    </w:p>
    <w:p w14:paraId="15A91BCF">
      <w:r>
        <w:rPr>
          <w:rFonts w:hint="eastAsia"/>
        </w:rPr>
        <w:t>－</w:t>
      </w:r>
      <w:r>
        <w:t xml:space="preserve"> 项目文档，应该包括：</w:t>
      </w:r>
    </w:p>
    <w:p w14:paraId="139C8E32">
      <w:pPr>
        <w:numPr>
          <w:ilvl w:val="0"/>
          <w:numId w:val="7"/>
        </w:numPr>
        <w:ind w:left="360"/>
      </w:pPr>
      <w:r>
        <w:t>软件需求说明书</w:t>
      </w:r>
    </w:p>
    <w:p w14:paraId="7807DE44">
      <w:pPr>
        <w:ind w:left="360"/>
      </w:pPr>
      <w:r>
        <w:t>(2)</w:t>
      </w:r>
      <w:r>
        <w:tab/>
      </w:r>
      <w:r>
        <w:t>系统总体设计说明书</w:t>
      </w:r>
    </w:p>
    <w:p w14:paraId="60E6C931">
      <w:pPr>
        <w:ind w:left="360"/>
      </w:pPr>
      <w:r>
        <w:t>(3)</w:t>
      </w:r>
      <w:r>
        <w:tab/>
      </w:r>
      <w:r>
        <w:t>应用软件功能清单</w:t>
      </w:r>
    </w:p>
    <w:p w14:paraId="10C14B9F">
      <w:r>
        <w:rPr>
          <w:rFonts w:hint="eastAsia"/>
        </w:rPr>
        <w:t>提供全套技术文件纸介质</w:t>
      </w:r>
      <w:r>
        <w:t>3套以及电子文件1套。</w:t>
      </w:r>
    </w:p>
    <w:p w14:paraId="627EDF09">
      <w:pPr>
        <w:pStyle w:val="2"/>
      </w:pPr>
      <w:r>
        <w:rPr>
          <w:rFonts w:hint="eastAsia"/>
        </w:rPr>
        <w:t>供应商</w:t>
      </w:r>
      <w:r>
        <w:rPr>
          <w:rFonts w:hint="eastAsia"/>
          <w:lang w:eastAsia="zh-CN"/>
        </w:rPr>
        <w:t>实力</w:t>
      </w:r>
      <w:r>
        <w:rPr>
          <w:rFonts w:hint="eastAsia"/>
        </w:rPr>
        <w:t>要求</w:t>
      </w:r>
    </w:p>
    <w:p w14:paraId="022862B1">
      <w:r>
        <w:rPr>
          <w:rFonts w:hint="eastAsia"/>
        </w:rPr>
        <w:t>具备有效的ISO9001质量管理体系证书、ISO27001信息安全管理体系证书、ISO20000信息技术服务管理体系证书</w:t>
      </w:r>
      <w:r>
        <w:rPr>
          <w:rFonts w:hint="eastAsia"/>
          <w:lang w:eastAsia="zh-CN"/>
        </w:rPr>
        <w:t>的优先考虑。</w:t>
      </w:r>
    </w:p>
    <w:p w14:paraId="7711D137">
      <w:pPr>
        <w:pStyle w:val="2"/>
      </w:pPr>
      <w:r>
        <w:rPr>
          <w:rFonts w:hint="eastAsia" w:eastAsia="黑体"/>
          <w:b/>
          <w:bCs/>
          <w:kern w:val="44"/>
          <w:sz w:val="32"/>
          <w:szCs w:val="28"/>
        </w:rPr>
        <w:t>供应商管理要求</w:t>
      </w:r>
      <w:bookmarkEnd w:id="32"/>
    </w:p>
    <w:p w14:paraId="0194293D">
      <w:pPr>
        <w:pStyle w:val="80"/>
        <w:ind w:firstLine="480"/>
        <w:rPr>
          <w:sz w:val="24"/>
          <w:szCs w:val="24"/>
        </w:rPr>
      </w:pPr>
      <w:r>
        <w:rPr>
          <w:rFonts w:hint="eastAsia"/>
          <w:sz w:val="24"/>
          <w:szCs w:val="24"/>
        </w:rPr>
        <w:t>1、在项目实施期间，</w:t>
      </w:r>
      <w:r>
        <w:rPr>
          <w:rFonts w:hint="eastAsia"/>
          <w:sz w:val="24"/>
          <w:szCs w:val="24"/>
          <w:lang w:eastAsia="zh-CN"/>
        </w:rPr>
        <w:t>成交供应商</w:t>
      </w:r>
      <w:r>
        <w:rPr>
          <w:rFonts w:hint="eastAsia"/>
          <w:sz w:val="24"/>
          <w:szCs w:val="24"/>
        </w:rPr>
        <w:t>应严格执行国家、地方、行业有关本项目业务管理和安全作业的法律、法规和制度并按规定承担相应的费用。</w:t>
      </w:r>
      <w:r>
        <w:rPr>
          <w:rFonts w:hint="eastAsia"/>
          <w:sz w:val="24"/>
          <w:szCs w:val="24"/>
          <w:lang w:eastAsia="zh-CN"/>
        </w:rPr>
        <w:t>成交供应商</w:t>
      </w:r>
      <w:r>
        <w:rPr>
          <w:rFonts w:hint="eastAsia"/>
          <w:sz w:val="24"/>
          <w:szCs w:val="24"/>
        </w:rPr>
        <w:t>因违反规定等原因造成的一切损失和责任由</w:t>
      </w:r>
      <w:r>
        <w:rPr>
          <w:rFonts w:hint="eastAsia"/>
          <w:sz w:val="24"/>
          <w:szCs w:val="24"/>
          <w:lang w:eastAsia="zh-CN"/>
        </w:rPr>
        <w:t>成交供应商</w:t>
      </w:r>
      <w:r>
        <w:rPr>
          <w:rFonts w:hint="eastAsia"/>
          <w:sz w:val="24"/>
          <w:szCs w:val="24"/>
        </w:rPr>
        <w:t>自行承担。</w:t>
      </w:r>
    </w:p>
    <w:p w14:paraId="2BFEBF2F">
      <w:pPr>
        <w:pStyle w:val="80"/>
        <w:ind w:firstLine="480"/>
        <w:rPr>
          <w:sz w:val="24"/>
          <w:szCs w:val="24"/>
        </w:rPr>
      </w:pPr>
      <w:r>
        <w:rPr>
          <w:rFonts w:hint="eastAsia"/>
          <w:sz w:val="24"/>
          <w:szCs w:val="24"/>
        </w:rPr>
        <w:t>2、</w:t>
      </w:r>
      <w:r>
        <w:rPr>
          <w:rFonts w:hint="eastAsia"/>
          <w:sz w:val="24"/>
          <w:szCs w:val="24"/>
          <w:lang w:eastAsia="zh-CN"/>
        </w:rPr>
        <w:t>成交供应商</w:t>
      </w:r>
      <w:r>
        <w:rPr>
          <w:rFonts w:hint="eastAsia"/>
          <w:sz w:val="24"/>
          <w:szCs w:val="24"/>
        </w:rPr>
        <w:t>在标书中承诺并经</w:t>
      </w:r>
      <w:r>
        <w:rPr>
          <w:rFonts w:hint="eastAsia"/>
          <w:sz w:val="24"/>
          <w:szCs w:val="24"/>
          <w:lang w:eastAsia="zh-CN"/>
        </w:rPr>
        <w:t>采购人</w:t>
      </w:r>
      <w:r>
        <w:rPr>
          <w:rFonts w:hint="eastAsia"/>
          <w:sz w:val="24"/>
          <w:szCs w:val="24"/>
        </w:rPr>
        <w:t>认定的项目负责人及专业技术人员必须是本单位职工（在本单位缴纳社会保障金）和该项目实施现场的实际操作者，应具有类似本项目的实施经验，并应在软件应用调研、安装、试运行等期间常驻项目现场。未经采购人同意，</w:t>
      </w:r>
      <w:r>
        <w:rPr>
          <w:rFonts w:hint="eastAsia"/>
          <w:sz w:val="24"/>
          <w:szCs w:val="24"/>
          <w:lang w:eastAsia="zh-CN"/>
        </w:rPr>
        <w:t>成交供应商</w:t>
      </w:r>
      <w:r>
        <w:rPr>
          <w:rFonts w:hint="eastAsia"/>
          <w:sz w:val="24"/>
          <w:szCs w:val="24"/>
        </w:rPr>
        <w:t>不得调换或撤离上述人员。如采购人认为有必要，可要求</w:t>
      </w:r>
      <w:r>
        <w:rPr>
          <w:rFonts w:hint="eastAsia"/>
          <w:sz w:val="24"/>
          <w:szCs w:val="24"/>
          <w:lang w:eastAsia="zh-CN"/>
        </w:rPr>
        <w:t>成交供应商</w:t>
      </w:r>
      <w:r>
        <w:rPr>
          <w:rFonts w:hint="eastAsia"/>
          <w:sz w:val="24"/>
          <w:szCs w:val="24"/>
        </w:rPr>
        <w:t>对上述人员中的部分人员做出更好的调整。</w:t>
      </w:r>
    </w:p>
    <w:p w14:paraId="66F9467D">
      <w:pPr>
        <w:pStyle w:val="80"/>
        <w:ind w:firstLine="480"/>
        <w:rPr>
          <w:sz w:val="24"/>
          <w:szCs w:val="24"/>
        </w:rPr>
      </w:pPr>
      <w:r>
        <w:rPr>
          <w:rFonts w:hint="eastAsia"/>
          <w:sz w:val="24"/>
          <w:szCs w:val="24"/>
        </w:rPr>
        <w:t>3、</w:t>
      </w:r>
      <w:r>
        <w:rPr>
          <w:rFonts w:hint="eastAsia"/>
          <w:sz w:val="24"/>
          <w:szCs w:val="24"/>
          <w:lang w:eastAsia="zh-CN"/>
        </w:rPr>
        <w:t>成交供应商</w:t>
      </w:r>
      <w:r>
        <w:rPr>
          <w:rFonts w:hint="eastAsia"/>
          <w:sz w:val="24"/>
          <w:szCs w:val="24"/>
        </w:rPr>
        <w:t>在项目实施期间，应按项目实际进度与环节落实所对应项目整体及各环节管理工作，按照规范做好项目实施期间相关管理与实施记录。</w:t>
      </w:r>
    </w:p>
    <w:p w14:paraId="04121BA4">
      <w:pPr>
        <w:pStyle w:val="80"/>
        <w:ind w:firstLine="480"/>
        <w:rPr>
          <w:sz w:val="24"/>
          <w:szCs w:val="24"/>
        </w:rPr>
      </w:pPr>
      <w:r>
        <w:rPr>
          <w:rFonts w:hint="eastAsia"/>
          <w:sz w:val="24"/>
          <w:szCs w:val="24"/>
        </w:rPr>
        <w:t>4、参与本项目的工作人员应严格遵循采购人的安全制度，保障采购人资料和设备的安全。</w:t>
      </w:r>
      <w:r>
        <w:rPr>
          <w:rFonts w:hint="eastAsia"/>
          <w:sz w:val="24"/>
          <w:szCs w:val="24"/>
          <w:lang w:eastAsia="zh-CN"/>
        </w:rPr>
        <w:t>供应商</w:t>
      </w:r>
      <w:r>
        <w:rPr>
          <w:rFonts w:hint="eastAsia"/>
          <w:sz w:val="24"/>
          <w:szCs w:val="24"/>
        </w:rPr>
        <w:t>如需进入采购人机房工作，只能在采购人规定的工作区域内对项目涉及的设备进行操作，严禁触动与项目无关的任何设备（包括任何操作行为），如需跨区操作必须得到采购人项目联系人确认。</w:t>
      </w:r>
    </w:p>
    <w:p w14:paraId="45BB25DD">
      <w:pPr>
        <w:pStyle w:val="80"/>
        <w:ind w:firstLine="480"/>
        <w:rPr>
          <w:sz w:val="24"/>
          <w:szCs w:val="24"/>
        </w:rPr>
      </w:pPr>
      <w:r>
        <w:rPr>
          <w:rFonts w:hint="eastAsia"/>
          <w:sz w:val="24"/>
          <w:szCs w:val="24"/>
        </w:rPr>
        <w:t>5、</w:t>
      </w:r>
      <w:r>
        <w:rPr>
          <w:rFonts w:hint="eastAsia"/>
          <w:sz w:val="24"/>
          <w:szCs w:val="24"/>
          <w:lang w:eastAsia="zh-CN"/>
        </w:rPr>
        <w:t>成交供应商</w:t>
      </w:r>
      <w:r>
        <w:rPr>
          <w:rFonts w:hint="eastAsia"/>
          <w:sz w:val="24"/>
          <w:szCs w:val="24"/>
        </w:rPr>
        <w:t>在项目实施期间必须遵守采购人的规章制度并提供实施人员名单。</w:t>
      </w:r>
    </w:p>
    <w:p w14:paraId="37A86D79">
      <w:pPr>
        <w:pStyle w:val="80"/>
        <w:ind w:firstLine="480"/>
        <w:rPr>
          <w:sz w:val="24"/>
          <w:szCs w:val="24"/>
        </w:rPr>
      </w:pPr>
      <w:r>
        <w:rPr>
          <w:rFonts w:hint="eastAsia"/>
          <w:sz w:val="24"/>
          <w:szCs w:val="24"/>
        </w:rPr>
        <w:t>6、各</w:t>
      </w:r>
      <w:r>
        <w:rPr>
          <w:rFonts w:hint="eastAsia"/>
          <w:sz w:val="24"/>
          <w:szCs w:val="24"/>
          <w:lang w:eastAsia="zh-CN"/>
        </w:rPr>
        <w:t>供应商</w:t>
      </w:r>
      <w:r>
        <w:rPr>
          <w:rFonts w:hint="eastAsia"/>
          <w:sz w:val="24"/>
          <w:szCs w:val="24"/>
        </w:rPr>
        <w:t>在</w:t>
      </w:r>
      <w:r>
        <w:rPr>
          <w:rFonts w:hint="eastAsia"/>
          <w:sz w:val="24"/>
          <w:szCs w:val="24"/>
          <w:lang w:eastAsia="zh-CN"/>
        </w:rPr>
        <w:t>响应</w:t>
      </w:r>
      <w:r>
        <w:rPr>
          <w:rFonts w:hint="eastAsia"/>
          <w:sz w:val="24"/>
          <w:szCs w:val="24"/>
        </w:rPr>
        <w:t>文件中要结合本项目的特点和采购人上述的具体要求制定相应的管理措施，并在报价中列支相应的费用清单，</w:t>
      </w:r>
      <w:r>
        <w:rPr>
          <w:rFonts w:hint="eastAsia"/>
          <w:sz w:val="24"/>
          <w:szCs w:val="24"/>
          <w:lang w:eastAsia="zh-CN"/>
        </w:rPr>
        <w:t>供应商</w:t>
      </w:r>
      <w:r>
        <w:rPr>
          <w:rFonts w:hint="eastAsia"/>
          <w:sz w:val="24"/>
          <w:szCs w:val="24"/>
        </w:rPr>
        <w:t>报价中未列支上述费用清单的，上述费用视为已包含在</w:t>
      </w:r>
      <w:r>
        <w:rPr>
          <w:rFonts w:hint="eastAsia"/>
          <w:sz w:val="24"/>
          <w:szCs w:val="24"/>
          <w:lang w:eastAsia="zh-CN"/>
        </w:rPr>
        <w:t>供应商</w:t>
      </w:r>
      <w:r>
        <w:rPr>
          <w:rFonts w:hint="eastAsia"/>
          <w:sz w:val="24"/>
          <w:szCs w:val="24"/>
        </w:rPr>
        <w:t>的总报价中。</w:t>
      </w:r>
    </w:p>
    <w:p w14:paraId="537C7ACC">
      <w:pPr>
        <w:pStyle w:val="80"/>
        <w:ind w:firstLine="480"/>
      </w:pPr>
      <w:r>
        <w:rPr>
          <w:rFonts w:hint="eastAsia"/>
          <w:sz w:val="24"/>
          <w:szCs w:val="24"/>
        </w:rPr>
        <w:t>7、本项目软件开发及调试将纳入采购人的管理范围，</w:t>
      </w:r>
      <w:r>
        <w:rPr>
          <w:rFonts w:hint="eastAsia"/>
          <w:sz w:val="24"/>
          <w:szCs w:val="24"/>
          <w:lang w:eastAsia="zh-CN"/>
        </w:rPr>
        <w:t>成交供应商</w:t>
      </w:r>
      <w:r>
        <w:rPr>
          <w:rFonts w:hint="eastAsia"/>
          <w:sz w:val="24"/>
          <w:szCs w:val="24"/>
        </w:rPr>
        <w:t>在此过程中须服从上述单位的管理协调。</w:t>
      </w:r>
    </w:p>
    <w:p w14:paraId="697FB4A8">
      <w:pPr>
        <w:pStyle w:val="80"/>
        <w:ind w:firstLine="420"/>
      </w:pPr>
    </w:p>
    <w:p w14:paraId="634274FC">
      <w:pPr>
        <w:pStyle w:val="2"/>
      </w:pPr>
      <w:bookmarkStart w:id="33" w:name="_Toc63785513"/>
      <w:r>
        <w:rPr>
          <w:rFonts w:hint="eastAsia"/>
        </w:rPr>
        <w:t>关于转让和分包的规定</w:t>
      </w:r>
    </w:p>
    <w:p w14:paraId="078ECD3A">
      <w:r>
        <w:rPr>
          <w:rFonts w:hint="eastAsia"/>
        </w:rPr>
        <w:t>本项目不得转让与分包。</w:t>
      </w:r>
    </w:p>
    <w:p w14:paraId="0C63F035">
      <w:pPr>
        <w:pStyle w:val="2"/>
      </w:pPr>
      <w:r>
        <w:rPr>
          <w:rFonts w:hint="eastAsia"/>
        </w:rPr>
        <w:t>知识产权及保密要求</w:t>
      </w:r>
      <w:bookmarkEnd w:id="33"/>
    </w:p>
    <w:p w14:paraId="7102D554">
      <w:pPr>
        <w:ind w:firstLine="482"/>
        <w:rPr>
          <w:b/>
        </w:rPr>
      </w:pPr>
      <w:r>
        <w:rPr>
          <w:b/>
        </w:rPr>
        <w:t>1、</w:t>
      </w:r>
      <w:r>
        <w:rPr>
          <w:rFonts w:hint="eastAsia"/>
          <w:b/>
          <w:lang w:eastAsia="zh-CN"/>
        </w:rPr>
        <w:t>成交供应商</w:t>
      </w:r>
      <w:r>
        <w:rPr>
          <w:b/>
        </w:rPr>
        <w:t>数据、文件、资料知识产权</w:t>
      </w:r>
    </w:p>
    <w:p w14:paraId="14BEDA93">
      <w:r>
        <w:rPr>
          <w:rFonts w:hint="eastAsia"/>
          <w:lang w:eastAsia="zh-CN"/>
        </w:rPr>
        <w:t>成交供应商</w:t>
      </w:r>
      <w:r>
        <w:rPr>
          <w:rFonts w:hint="eastAsia"/>
        </w:rPr>
        <w:t>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w:t>
      </w:r>
      <w:r>
        <w:rPr>
          <w:rFonts w:hint="eastAsia"/>
          <w:lang w:eastAsia="zh-CN"/>
        </w:rPr>
        <w:t>成交供应商</w:t>
      </w:r>
      <w:r>
        <w:rPr>
          <w:rFonts w:hint="eastAsia"/>
        </w:rPr>
        <w:t>应负责与第三方解决纠纷，若因此导致采购人损失的，采购人有权要求</w:t>
      </w:r>
      <w:r>
        <w:rPr>
          <w:rFonts w:hint="eastAsia"/>
          <w:lang w:eastAsia="zh-CN"/>
        </w:rPr>
        <w:t>成交供应商</w:t>
      </w:r>
      <w:r>
        <w:rPr>
          <w:rFonts w:hint="eastAsia"/>
        </w:rPr>
        <w:t>赔偿采购人因此遭受的全部损失，包括但不限于直接损失、间接损失、诉讼费／仲裁费、律师费、公证费、鉴定费等。</w:t>
      </w:r>
    </w:p>
    <w:p w14:paraId="78D3F1F8">
      <w:r>
        <w:rPr>
          <w:rFonts w:hint="eastAsia"/>
          <w:lang w:eastAsia="zh-CN"/>
        </w:rPr>
        <w:t>成交供应商</w:t>
      </w:r>
      <w:r>
        <w:rPr>
          <w:rFonts w:hint="eastAsia"/>
        </w:rPr>
        <w:t>因履行本项目而产生的所有成果的知识产权等权利均归采购人所有，</w:t>
      </w:r>
      <w:r>
        <w:rPr>
          <w:rFonts w:hint="eastAsia"/>
          <w:lang w:eastAsia="zh-CN"/>
        </w:rPr>
        <w:t>成交供应商</w:t>
      </w:r>
      <w:r>
        <w:rPr>
          <w:rFonts w:hint="eastAsia"/>
        </w:rPr>
        <w:t>应配合采购人进行相关权利登记或申请。未经采购人书面同意，</w:t>
      </w:r>
      <w:r>
        <w:rPr>
          <w:rFonts w:hint="eastAsia"/>
          <w:lang w:eastAsia="zh-CN"/>
        </w:rPr>
        <w:t>成交供应商</w:t>
      </w:r>
      <w:r>
        <w:rPr>
          <w:rFonts w:hint="eastAsia"/>
        </w:rPr>
        <w:t>不得以任何形式使用或许可他人使用本项目成果的相关内容，不得擅自对外公开发表或向任何第三方透露。</w:t>
      </w:r>
    </w:p>
    <w:p w14:paraId="75F6BC9D">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15AEC740">
      <w:pPr>
        <w:ind w:firstLine="482"/>
        <w:rPr>
          <w:b/>
        </w:rPr>
      </w:pPr>
      <w:r>
        <w:rPr>
          <w:b/>
        </w:rPr>
        <w:t>2、项目保密要求</w:t>
      </w:r>
    </w:p>
    <w:p w14:paraId="6D1EB199">
      <w:r>
        <w:rPr>
          <w:rFonts w:hint="eastAsia"/>
          <w:lang w:eastAsia="zh-CN"/>
        </w:rPr>
        <w:t>成交供应商</w:t>
      </w:r>
      <w:r>
        <w:rPr>
          <w:rFonts w:hint="eastAsia"/>
        </w:rPr>
        <w:t>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w:t>
      </w:r>
      <w:r>
        <w:rPr>
          <w:rFonts w:hint="eastAsia"/>
          <w:lang w:eastAsia="zh-CN"/>
        </w:rPr>
        <w:t>成交供应商</w:t>
      </w:r>
      <w:r>
        <w:rPr>
          <w:rFonts w:hint="eastAsia"/>
        </w:rPr>
        <w:t>不得对外泄露采购人要求保密的信息，不得用于其他用途，否则</w:t>
      </w:r>
      <w:r>
        <w:rPr>
          <w:rFonts w:hint="eastAsia"/>
          <w:lang w:eastAsia="zh-CN"/>
        </w:rPr>
        <w:t>成交供应商</w:t>
      </w:r>
      <w:r>
        <w:rPr>
          <w:rFonts w:hint="eastAsia"/>
        </w:rPr>
        <w:t>需承担由此引起的法律责任和经济责任，包括但不限于直接损失、间接损失、律师费、诉讼费/仲裁费、调查费、公证费等。</w:t>
      </w:r>
    </w:p>
    <w:p w14:paraId="4D902222">
      <w:r>
        <w:rPr>
          <w:rFonts w:hint="eastAsia"/>
          <w:lang w:eastAsia="zh-CN"/>
        </w:rPr>
        <w:t>成交供应商</w:t>
      </w:r>
      <w:r>
        <w:rPr>
          <w:rFonts w:hint="eastAsia"/>
        </w:rPr>
        <w:t>应采取必要的有效措施保证其参与本项目的人员（包括</w:t>
      </w:r>
      <w:r>
        <w:rPr>
          <w:rFonts w:hint="eastAsia"/>
          <w:lang w:eastAsia="zh-CN"/>
        </w:rPr>
        <w:t>成交供应商</w:t>
      </w:r>
      <w:r>
        <w:rPr>
          <w:rFonts w:hint="eastAsia"/>
        </w:rPr>
        <w:t>聘用的人员、借调的人员、实习的人员）无论是在职或离职后，以及</w:t>
      </w:r>
      <w:r>
        <w:rPr>
          <w:rFonts w:hint="eastAsia"/>
          <w:lang w:eastAsia="zh-CN"/>
        </w:rPr>
        <w:t>成交供应商</w:t>
      </w:r>
      <w:r>
        <w:rPr>
          <w:rFonts w:hint="eastAsia"/>
        </w:rPr>
        <w:t>的合作方无论是合作中或合作终止后，都能够履行本项目约定的保密义务。若</w:t>
      </w:r>
      <w:r>
        <w:rPr>
          <w:rFonts w:hint="eastAsia"/>
          <w:lang w:eastAsia="zh-CN"/>
        </w:rPr>
        <w:t>成交供应商</w:t>
      </w:r>
      <w:r>
        <w:rPr>
          <w:rFonts w:hint="eastAsia"/>
        </w:rPr>
        <w:t>人员或</w:t>
      </w:r>
      <w:r>
        <w:rPr>
          <w:rFonts w:hint="eastAsia"/>
          <w:lang w:eastAsia="zh-CN"/>
        </w:rPr>
        <w:t>成交供应商</w:t>
      </w:r>
      <w:r>
        <w:rPr>
          <w:rFonts w:hint="eastAsia"/>
        </w:rPr>
        <w:t>合作方违反保密规定，</w:t>
      </w:r>
      <w:r>
        <w:rPr>
          <w:rFonts w:hint="eastAsia"/>
          <w:lang w:eastAsia="zh-CN"/>
        </w:rPr>
        <w:t>成交供应商</w:t>
      </w:r>
      <w:r>
        <w:rPr>
          <w:rFonts w:hint="eastAsia"/>
        </w:rPr>
        <w:t>应承担连带责任。</w:t>
      </w:r>
    </w:p>
    <w:p w14:paraId="2D7A4D64">
      <w:r>
        <w:rPr>
          <w:rFonts w:hint="eastAsia"/>
          <w:lang w:eastAsia="zh-CN"/>
        </w:rPr>
        <w:t>成交供应商</w:t>
      </w:r>
      <w:r>
        <w:rPr>
          <w:rFonts w:hint="eastAsia"/>
        </w:rPr>
        <w:t>（含</w:t>
      </w:r>
      <w:r>
        <w:rPr>
          <w:rFonts w:hint="eastAsia"/>
          <w:lang w:eastAsia="zh-CN"/>
        </w:rPr>
        <w:t>成交供应商</w:t>
      </w:r>
      <w:r>
        <w:rPr>
          <w:rFonts w:hint="eastAsia"/>
        </w:rPr>
        <w:t>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47F7C367">
      <w:r>
        <w:rPr>
          <w:rFonts w:hint="eastAsia"/>
        </w:rPr>
        <w:t>以上内容的保密期限自</w:t>
      </w:r>
      <w:r>
        <w:rPr>
          <w:rFonts w:hint="eastAsia"/>
          <w:lang w:eastAsia="zh-CN"/>
        </w:rPr>
        <w:t>成交供应商</w:t>
      </w:r>
      <w:r>
        <w:rPr>
          <w:rFonts w:hint="eastAsia"/>
        </w:rPr>
        <w:t>知悉保密信息起始至保密信息被合法公开之日止。</w:t>
      </w:r>
    </w:p>
    <w:p w14:paraId="07102A9A">
      <w:pPr>
        <w:ind w:firstLine="482"/>
        <w:rPr>
          <w:b/>
        </w:rPr>
      </w:pPr>
      <w:r>
        <w:rPr>
          <w:b/>
        </w:rPr>
        <w:t>3、临时账号等使用要求</w:t>
      </w:r>
    </w:p>
    <w:p w14:paraId="123F03CE">
      <w:r>
        <w:rPr>
          <w:rFonts w:hint="eastAsia"/>
          <w:lang w:eastAsia="zh-CN"/>
        </w:rPr>
        <w:t>成交供应商</w:t>
      </w:r>
      <w:r>
        <w:rPr>
          <w:rFonts w:hint="eastAsia"/>
        </w:rPr>
        <w:t>对采购人提供的临时使用账号要保密，不得公开，对软件开发的账号密码需进行加密，避免信息安全的泄露。未经采购人的同意不得利用采购人的网络及平台进行短信、彩信、微信发送</w:t>
      </w:r>
      <w:r>
        <w:rPr>
          <w:rFonts w:hint="eastAsia"/>
          <w:lang w:eastAsia="zh-CN"/>
        </w:rPr>
        <w:t>，</w:t>
      </w:r>
      <w:r>
        <w:t>造成的一切后果由</w:t>
      </w:r>
      <w:r>
        <w:rPr>
          <w:rFonts w:hint="eastAsia"/>
          <w:lang w:eastAsia="zh-CN"/>
        </w:rPr>
        <w:t>成交供应商</w:t>
      </w:r>
      <w:r>
        <w:t>负责。</w:t>
      </w:r>
    </w:p>
    <w:p w14:paraId="1681AF9C">
      <w:pPr>
        <w:pStyle w:val="2"/>
      </w:pPr>
      <w:bookmarkStart w:id="34" w:name="_Toc65170093"/>
      <w:r>
        <w:t>项目的变更、解除和终止</w:t>
      </w:r>
    </w:p>
    <w:p w14:paraId="083AA8E0">
      <w:r>
        <w:rPr>
          <w:rFonts w:hint="eastAsia"/>
        </w:rPr>
        <w:t>如果</w:t>
      </w:r>
      <w:r>
        <w:rPr>
          <w:rFonts w:hint="eastAsia"/>
          <w:lang w:eastAsia="zh-CN"/>
        </w:rPr>
        <w:t>成交供应商</w:t>
      </w:r>
      <w:r>
        <w:rPr>
          <w:rFonts w:hint="eastAsia"/>
        </w:rPr>
        <w:t>丧失履约能力、发生资不抵债或进入破产程序，采购人可在任何时候以书面形式通知</w:t>
      </w:r>
      <w:r>
        <w:rPr>
          <w:rFonts w:hint="eastAsia"/>
          <w:lang w:eastAsia="zh-CN"/>
        </w:rPr>
        <w:t>成交供应商</w:t>
      </w:r>
      <w:r>
        <w:rPr>
          <w:rFonts w:hint="eastAsia"/>
        </w:rPr>
        <w:t>终止本项目的执行而不给予</w:t>
      </w:r>
      <w:r>
        <w:rPr>
          <w:rFonts w:hint="eastAsia"/>
          <w:lang w:eastAsia="zh-CN"/>
        </w:rPr>
        <w:t>成交供应商</w:t>
      </w:r>
      <w:r>
        <w:rPr>
          <w:rFonts w:hint="eastAsia"/>
        </w:rPr>
        <w:t>补偿。该终止本项目将不损害或影响采购人已经采取或将要采取任何行动或补救措施的权利。</w:t>
      </w:r>
    </w:p>
    <w:p w14:paraId="4D6D4B80">
      <w:r>
        <w:rPr>
          <w:rFonts w:hint="eastAsia"/>
        </w:rPr>
        <w:t>如遇国家、行业管理部门等机构的有关标准和规定调整的，导致本项目内容需做相应调整时，双方应按照公平、合理的原则共同协商修改本项目对应的合同的相关条款。</w:t>
      </w:r>
    </w:p>
    <w:bookmarkEnd w:id="34"/>
    <w:p w14:paraId="529CAAB8">
      <w:pPr>
        <w:pStyle w:val="2"/>
      </w:pPr>
      <w:bookmarkStart w:id="35" w:name="_Toc63785514"/>
      <w:r>
        <w:rPr>
          <w:rFonts w:hint="eastAsia"/>
        </w:rPr>
        <w:t>付款</w:t>
      </w:r>
      <w:bookmarkEnd w:id="35"/>
      <w:r>
        <w:rPr>
          <w:rFonts w:hint="eastAsia"/>
        </w:rPr>
        <w:t>方式</w:t>
      </w:r>
    </w:p>
    <w:p w14:paraId="5F4E2910">
      <w:r>
        <w:rPr>
          <w:rFonts w:hint="eastAsia"/>
        </w:rPr>
        <w:t>本项目按照两笔款项进行付款：</w:t>
      </w:r>
    </w:p>
    <w:p w14:paraId="548A2AF2">
      <w:pPr>
        <w:pStyle w:val="134"/>
        <w:numPr>
          <w:ilvl w:val="0"/>
          <w:numId w:val="8"/>
        </w:numPr>
        <w:ind w:firstLineChars="0"/>
      </w:pPr>
      <w:r>
        <w:rPr>
          <w:rFonts w:hint="eastAsia"/>
        </w:rPr>
        <w:t>合同签订生效后且甲方收到乙方开具的等额发票后的10个工作日内，支付合同总价款的70%；</w:t>
      </w:r>
    </w:p>
    <w:p w14:paraId="539E617A">
      <w:pPr>
        <w:pStyle w:val="134"/>
        <w:numPr>
          <w:ilvl w:val="0"/>
          <w:numId w:val="8"/>
        </w:numPr>
        <w:ind w:firstLineChars="0"/>
      </w:pPr>
      <w:r>
        <w:rPr>
          <w:rFonts w:hint="eastAsia"/>
        </w:rPr>
        <w:t>本项目通过最终验收后且甲方收到</w:t>
      </w:r>
      <w:bookmarkStart w:id="36" w:name="_Hlk126759294"/>
      <w:r>
        <w:rPr>
          <w:rFonts w:hint="eastAsia"/>
        </w:rPr>
        <w:t>约定的项目工作成果、</w:t>
      </w:r>
      <w:bookmarkEnd w:id="36"/>
      <w:r>
        <w:rPr>
          <w:rFonts w:hint="eastAsia"/>
        </w:rPr>
        <w:t>乙方开具的等额发票后的 10个工作日内，支付合同剩余尾款。</w:t>
      </w:r>
    </w:p>
    <w:p w14:paraId="7E0E5DCF">
      <w:pPr>
        <w:ind w:firstLine="420"/>
        <w:rPr>
          <w:rFonts w:ascii="Calibri" w:hAnsi="Calibri"/>
          <w:sz w:val="21"/>
          <w:szCs w:val="22"/>
        </w:rPr>
      </w:pPr>
      <w:r>
        <w:rPr>
          <w:rFonts w:hint="eastAsia" w:ascii="Calibri" w:hAnsi="Calibri"/>
          <w:sz w:val="21"/>
          <w:szCs w:val="22"/>
        </w:rPr>
        <w:t>付款条件备注：服务提供方应当在采购方每次付款前提前至少10个工作</w:t>
      </w:r>
      <w:r>
        <w:rPr>
          <w:rFonts w:ascii="Calibri" w:hAnsi="Calibri"/>
          <w:sz w:val="21"/>
          <w:szCs w:val="22"/>
        </w:rPr>
        <w:t>日向采购方提供有效发票。</w:t>
      </w:r>
    </w:p>
    <w:p w14:paraId="1429572E">
      <w:pPr>
        <w:ind w:firstLine="0" w:firstLineChars="0"/>
        <w:rPr>
          <w:i/>
          <w:iCs/>
          <w:color w:val="FF0000"/>
        </w:rPr>
      </w:pPr>
    </w:p>
    <w:p w14:paraId="110246D2">
      <w:pPr>
        <w:pStyle w:val="2"/>
      </w:pPr>
      <w:bookmarkStart w:id="37" w:name="_Toc68798863"/>
      <w:r>
        <w:rPr>
          <w:rFonts w:hint="eastAsia"/>
        </w:rPr>
        <w:t>附录</w:t>
      </w:r>
      <w:bookmarkEnd w:id="37"/>
    </w:p>
    <w:p w14:paraId="1F63B3BB">
      <w:pPr>
        <w:rPr>
          <w:b/>
          <w:bCs/>
        </w:rPr>
      </w:pPr>
      <w:r>
        <w:rPr>
          <w:rFonts w:hint="eastAsia"/>
        </w:rPr>
        <w:t>无。</w:t>
      </w: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宋简"/>
    <w:panose1 w:val="02010600030101010101"/>
    <w:charset w:val="86"/>
    <w:family w:val="auto"/>
    <w:pitch w:val="default"/>
    <w:sig w:usb0="00000000" w:usb1="00000000" w:usb2="00000016" w:usb3="00000000" w:csb0="0004000F" w:csb1="00000000"/>
  </w:font>
  <w:font w:name="time">
    <w:altName w:val="仿宋_GB2312"/>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A19AA">
    <w:pPr>
      <w:ind w:firstLine="0" w:firstLineChars="0"/>
      <w:jc w:val="center"/>
    </w:pPr>
    <w:r>
      <w:fldChar w:fldCharType="begin"/>
    </w:r>
    <w:r>
      <w:instrText xml:space="preserve">PAGE   \* MERGEFORMAT</w:instrText>
    </w:r>
    <w:r>
      <w:fldChar w:fldCharType="separate"/>
    </w:r>
    <w:r>
      <w:rPr>
        <w:lang w:val="zh-CN"/>
      </w:rPr>
      <w:t>11</w:t>
    </w:r>
    <w:r>
      <w:rPr>
        <w:lang w:val="zh-CN"/>
      </w:rPr>
      <w:fldChar w:fldCharType="end"/>
    </w:r>
  </w:p>
  <w:p w14:paraId="7C775B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D7C8B"/>
  <w:p w14:paraId="043F9B5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7C430">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7264">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4DE217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3FBE">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62F98"/>
  <w:p w14:paraId="75ECAFE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6B6F">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E7F87384"/>
    <w:multiLevelType w:val="singleLevel"/>
    <w:tmpl w:val="E7F87384"/>
    <w:lvl w:ilvl="0" w:tentative="0">
      <w:start w:val="1"/>
      <w:numFmt w:val="chineseCounting"/>
      <w:suff w:val="nothing"/>
      <w:lvlText w:val="%1、"/>
      <w:lvlJc w:val="left"/>
      <w:pPr>
        <w:ind w:left="0" w:firstLine="420"/>
      </w:pPr>
      <w:rPr>
        <w:rFonts w:hint="eastAsia"/>
      </w:rPr>
    </w:lvl>
  </w:abstractNum>
  <w:abstractNum w:abstractNumId="2">
    <w:nsid w:val="EEFD0CCF"/>
    <w:multiLevelType w:val="singleLevel"/>
    <w:tmpl w:val="EEFD0CCF"/>
    <w:lvl w:ilvl="0" w:tentative="0">
      <w:start w:val="1"/>
      <w:numFmt w:val="chineseCounting"/>
      <w:suff w:val="nothing"/>
      <w:lvlText w:val="（%1）"/>
      <w:lvlJc w:val="left"/>
      <w:pPr>
        <w:ind w:left="-420" w:firstLine="420"/>
      </w:pPr>
      <w:rPr>
        <w:rFonts w:hint="eastAsia"/>
      </w:rPr>
    </w:lvl>
  </w:abstractNum>
  <w:abstractNum w:abstractNumId="3">
    <w:nsid w:val="EF7EE32B"/>
    <w:multiLevelType w:val="singleLevel"/>
    <w:tmpl w:val="EF7EE32B"/>
    <w:lvl w:ilvl="0" w:tentative="0">
      <w:start w:val="1"/>
      <w:numFmt w:val="decimal"/>
      <w:lvlText w:val="%1."/>
      <w:lvlJc w:val="left"/>
      <w:pPr>
        <w:ind w:left="425" w:hanging="425"/>
      </w:pPr>
      <w:rPr>
        <w:rFonts w:hint="default"/>
      </w:rPr>
    </w:lvl>
  </w:abstractNum>
  <w:abstractNum w:abstractNumId="4">
    <w:nsid w:val="FF2494AE"/>
    <w:multiLevelType w:val="singleLevel"/>
    <w:tmpl w:val="FF2494AE"/>
    <w:lvl w:ilvl="0" w:tentative="0">
      <w:start w:val="1"/>
      <w:numFmt w:val="decimal"/>
      <w:suff w:val="space"/>
      <w:lvlText w:val="(%1)"/>
      <w:lvlJc w:val="left"/>
    </w:lvl>
  </w:abstractNum>
  <w:abstractNum w:abstractNumId="5">
    <w:nsid w:val="597EA7BA"/>
    <w:multiLevelType w:val="singleLevel"/>
    <w:tmpl w:val="597EA7BA"/>
    <w:lvl w:ilvl="0" w:tentative="0">
      <w:start w:val="1"/>
      <w:numFmt w:val="decimal"/>
      <w:suff w:val="nothing"/>
      <w:lvlText w:val="%1）"/>
      <w:lvlJc w:val="left"/>
    </w:lvl>
  </w:abstractNum>
  <w:abstractNum w:abstractNumId="6">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A2F4AB3"/>
    <w:multiLevelType w:val="multilevel"/>
    <w:tmpl w:val="6A2F4AB3"/>
    <w:lvl w:ilvl="0" w:tentative="0">
      <w:start w:val="1"/>
      <w:numFmt w:val="chineseCountingThousand"/>
      <w:pStyle w:val="2"/>
      <w:suff w:val="nothing"/>
      <w:lvlText w:val="%1、"/>
      <w:lvlJc w:val="left"/>
      <w:pPr>
        <w:ind w:left="0" w:hanging="425"/>
      </w:pPr>
      <w:rPr>
        <w:rFonts w:hint="eastAsia"/>
        <w:sz w:val="32"/>
        <w:szCs w:val="32"/>
      </w:rPr>
    </w:lvl>
    <w:lvl w:ilvl="1" w:tentative="0">
      <w:start w:val="1"/>
      <w:numFmt w:val="decimal"/>
      <w:pStyle w:val="3"/>
      <w:isLgl/>
      <w:suff w:val="nothing"/>
      <w:lvlText w:val="%1.%2、"/>
      <w:lvlJc w:val="left"/>
      <w:pPr>
        <w:ind w:left="0" w:hanging="567"/>
      </w:pPr>
    </w:lvl>
    <w:lvl w:ilvl="2" w:tentative="0">
      <w:start w:val="1"/>
      <w:numFmt w:val="decimal"/>
      <w:pStyle w:val="4"/>
      <w:isLgl/>
      <w:suff w:val="nothing"/>
      <w:lvlText w:val="%1.%2.%3、"/>
      <w:lvlJc w:val="left"/>
      <w:pPr>
        <w:ind w:left="644" w:hanging="1069"/>
      </w:pPr>
      <w:rPr>
        <w:rFonts w:hint="default" w:ascii="宋体" w:hAnsi="宋体" w:eastAsia="宋体" w:cs="Arial"/>
      </w:rPr>
    </w:lvl>
    <w:lvl w:ilvl="3" w:tentative="0">
      <w:start w:val="1"/>
      <w:numFmt w:val="decimal"/>
      <w:pStyle w:val="5"/>
      <w:isLgl/>
      <w:suff w:val="nothing"/>
      <w:lvlText w:val="%1.%2.%3.%4、"/>
      <w:lvlJc w:val="left"/>
      <w:pPr>
        <w:ind w:left="2978" w:hanging="851"/>
      </w:pPr>
    </w:lvl>
    <w:lvl w:ilvl="4" w:tentative="0">
      <w:start w:val="1"/>
      <w:numFmt w:val="decimal"/>
      <w:pStyle w:val="6"/>
      <w:isLgl/>
      <w:suff w:val="nothing"/>
      <w:lvlText w:val="%1.%2.%3.%4.%5、"/>
      <w:lvlJc w:val="left"/>
      <w:pPr>
        <w:ind w:left="3119" w:hanging="992"/>
      </w:pPr>
      <w:rPr>
        <w:rFonts w:hint="eastAsia"/>
      </w:rPr>
    </w:lvl>
    <w:lvl w:ilvl="5" w:tentative="0">
      <w:start w:val="1"/>
      <w:numFmt w:val="decimal"/>
      <w:pStyle w:val="7"/>
      <w:isLgl/>
      <w:suff w:val="nothing"/>
      <w:lvlText w:val="%1.%2.%3.%4.%5.%6、"/>
      <w:lvlJc w:val="left"/>
      <w:pPr>
        <w:ind w:left="709" w:hanging="1134"/>
      </w:pPr>
      <w:rPr>
        <w:rFonts w:hint="eastAsia"/>
      </w:rPr>
    </w:lvl>
    <w:lvl w:ilvl="6" w:tentative="0">
      <w:start w:val="1"/>
      <w:numFmt w:val="decimal"/>
      <w:isLgl/>
      <w:lvlText w:val="%1.%2.%3.%4.%5.%6.%7"/>
      <w:lvlJc w:val="left"/>
      <w:pPr>
        <w:tabs>
          <w:tab w:val="left" w:pos="1800"/>
        </w:tabs>
        <w:ind w:left="851" w:hanging="1276"/>
      </w:pPr>
      <w:rPr>
        <w:rFonts w:hint="eastAsia"/>
      </w:rPr>
    </w:lvl>
    <w:lvl w:ilvl="7" w:tentative="0">
      <w:start w:val="1"/>
      <w:numFmt w:val="decimal"/>
      <w:isLgl/>
      <w:lvlText w:val="%1.%2.%3.%4.%5.%6.%7.%8"/>
      <w:lvlJc w:val="left"/>
      <w:pPr>
        <w:tabs>
          <w:tab w:val="left" w:pos="1800"/>
        </w:tabs>
        <w:ind w:left="993" w:hanging="1418"/>
      </w:pPr>
      <w:rPr>
        <w:rFonts w:hint="eastAsia"/>
      </w:rPr>
    </w:lvl>
    <w:lvl w:ilvl="8" w:tentative="0">
      <w:start w:val="1"/>
      <w:numFmt w:val="decimal"/>
      <w:isLgl/>
      <w:lvlText w:val="%1.%2.%3.%4.%5.%6.%7.%8.%9"/>
      <w:lvlJc w:val="left"/>
      <w:pPr>
        <w:tabs>
          <w:tab w:val="left" w:pos="2160"/>
        </w:tabs>
        <w:ind w:left="1134" w:hanging="1559"/>
      </w:pPr>
      <w:rPr>
        <w:rFonts w:hint="eastAsia"/>
      </w:rPr>
    </w:lvl>
  </w:abstractNum>
  <w:num w:numId="1">
    <w:abstractNumId w:val="7"/>
  </w:num>
  <w:num w:numId="2">
    <w:abstractNumId w:val="6"/>
  </w:num>
  <w:num w:numId="3">
    <w:abstractNumId w:val="1"/>
  </w:num>
  <w:num w:numId="4">
    <w:abstractNumId w:val="2"/>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0C0"/>
    <w:rsid w:val="0000005A"/>
    <w:rsid w:val="00000AED"/>
    <w:rsid w:val="00002DBA"/>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E9"/>
    <w:rsid w:val="000C75F7"/>
    <w:rsid w:val="000D0AB2"/>
    <w:rsid w:val="000D225C"/>
    <w:rsid w:val="000D36F2"/>
    <w:rsid w:val="000D4B26"/>
    <w:rsid w:val="000D74DB"/>
    <w:rsid w:val="000E24D6"/>
    <w:rsid w:val="000E6072"/>
    <w:rsid w:val="000E6D61"/>
    <w:rsid w:val="000E752A"/>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0C54"/>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55EA"/>
    <w:rsid w:val="001D6049"/>
    <w:rsid w:val="001D7339"/>
    <w:rsid w:val="001E2750"/>
    <w:rsid w:val="001E4343"/>
    <w:rsid w:val="001E52BB"/>
    <w:rsid w:val="001E660A"/>
    <w:rsid w:val="001F05D6"/>
    <w:rsid w:val="001F3A4E"/>
    <w:rsid w:val="001F5B0A"/>
    <w:rsid w:val="001F640F"/>
    <w:rsid w:val="001F6794"/>
    <w:rsid w:val="001F6F65"/>
    <w:rsid w:val="002002DF"/>
    <w:rsid w:val="002032B5"/>
    <w:rsid w:val="00203A6F"/>
    <w:rsid w:val="00205646"/>
    <w:rsid w:val="00205FB0"/>
    <w:rsid w:val="002063F7"/>
    <w:rsid w:val="002129E5"/>
    <w:rsid w:val="00212AA4"/>
    <w:rsid w:val="00212E13"/>
    <w:rsid w:val="002163C8"/>
    <w:rsid w:val="002179FE"/>
    <w:rsid w:val="00220CC0"/>
    <w:rsid w:val="00221A36"/>
    <w:rsid w:val="00223296"/>
    <w:rsid w:val="0022329B"/>
    <w:rsid w:val="002240F7"/>
    <w:rsid w:val="00224752"/>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046F"/>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0CDF"/>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6522"/>
    <w:rsid w:val="00467FD7"/>
    <w:rsid w:val="00470073"/>
    <w:rsid w:val="004730F8"/>
    <w:rsid w:val="00474353"/>
    <w:rsid w:val="00474555"/>
    <w:rsid w:val="004750F4"/>
    <w:rsid w:val="0047578A"/>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7D9"/>
    <w:rsid w:val="00571CEC"/>
    <w:rsid w:val="00572FCE"/>
    <w:rsid w:val="005750DB"/>
    <w:rsid w:val="005759FC"/>
    <w:rsid w:val="00575B85"/>
    <w:rsid w:val="00576DB9"/>
    <w:rsid w:val="0057738F"/>
    <w:rsid w:val="005805E4"/>
    <w:rsid w:val="0058202F"/>
    <w:rsid w:val="00584221"/>
    <w:rsid w:val="00584EB6"/>
    <w:rsid w:val="00585FFD"/>
    <w:rsid w:val="00586B68"/>
    <w:rsid w:val="0058774E"/>
    <w:rsid w:val="005878CF"/>
    <w:rsid w:val="00590CA0"/>
    <w:rsid w:val="00595B01"/>
    <w:rsid w:val="00596D98"/>
    <w:rsid w:val="005979A5"/>
    <w:rsid w:val="005A0021"/>
    <w:rsid w:val="005A017B"/>
    <w:rsid w:val="005A2AEC"/>
    <w:rsid w:val="005A412D"/>
    <w:rsid w:val="005A5212"/>
    <w:rsid w:val="005A53AC"/>
    <w:rsid w:val="005B002D"/>
    <w:rsid w:val="005B0FFF"/>
    <w:rsid w:val="005B19AF"/>
    <w:rsid w:val="005B258C"/>
    <w:rsid w:val="005B61DD"/>
    <w:rsid w:val="005B6735"/>
    <w:rsid w:val="005B7831"/>
    <w:rsid w:val="005C085A"/>
    <w:rsid w:val="005C0B8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0D96"/>
    <w:rsid w:val="0066109F"/>
    <w:rsid w:val="00664B26"/>
    <w:rsid w:val="0066596B"/>
    <w:rsid w:val="00670295"/>
    <w:rsid w:val="006704F5"/>
    <w:rsid w:val="00672894"/>
    <w:rsid w:val="00674B47"/>
    <w:rsid w:val="0067609E"/>
    <w:rsid w:val="00676BE1"/>
    <w:rsid w:val="00677749"/>
    <w:rsid w:val="00680E07"/>
    <w:rsid w:val="00682B9D"/>
    <w:rsid w:val="00683806"/>
    <w:rsid w:val="00686AF9"/>
    <w:rsid w:val="006910C0"/>
    <w:rsid w:val="00691954"/>
    <w:rsid w:val="0069320E"/>
    <w:rsid w:val="00693D13"/>
    <w:rsid w:val="00694F58"/>
    <w:rsid w:val="006953B8"/>
    <w:rsid w:val="006955BC"/>
    <w:rsid w:val="006959E2"/>
    <w:rsid w:val="00696920"/>
    <w:rsid w:val="00697EB9"/>
    <w:rsid w:val="006A20D4"/>
    <w:rsid w:val="006A268D"/>
    <w:rsid w:val="006A350F"/>
    <w:rsid w:val="006A3957"/>
    <w:rsid w:val="006A39A4"/>
    <w:rsid w:val="006A41D6"/>
    <w:rsid w:val="006A669D"/>
    <w:rsid w:val="006A6E41"/>
    <w:rsid w:val="006B012F"/>
    <w:rsid w:val="006B1E39"/>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6F53BD"/>
    <w:rsid w:val="00703C00"/>
    <w:rsid w:val="007057CC"/>
    <w:rsid w:val="00706155"/>
    <w:rsid w:val="007066F2"/>
    <w:rsid w:val="00706AE5"/>
    <w:rsid w:val="0070740A"/>
    <w:rsid w:val="00711F93"/>
    <w:rsid w:val="00712940"/>
    <w:rsid w:val="0071428C"/>
    <w:rsid w:val="00715A16"/>
    <w:rsid w:val="007164B0"/>
    <w:rsid w:val="007166FF"/>
    <w:rsid w:val="007260CC"/>
    <w:rsid w:val="00726543"/>
    <w:rsid w:val="0073353E"/>
    <w:rsid w:val="00736633"/>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A16CC"/>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6AD"/>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292"/>
    <w:rsid w:val="00905815"/>
    <w:rsid w:val="00905D1D"/>
    <w:rsid w:val="0091016D"/>
    <w:rsid w:val="009108A7"/>
    <w:rsid w:val="00910C98"/>
    <w:rsid w:val="00911910"/>
    <w:rsid w:val="00912A58"/>
    <w:rsid w:val="00913908"/>
    <w:rsid w:val="00913D26"/>
    <w:rsid w:val="0091438B"/>
    <w:rsid w:val="009147E3"/>
    <w:rsid w:val="00916548"/>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5254"/>
    <w:rsid w:val="0097755E"/>
    <w:rsid w:val="00981467"/>
    <w:rsid w:val="00981C24"/>
    <w:rsid w:val="009852F6"/>
    <w:rsid w:val="00985DE5"/>
    <w:rsid w:val="00986254"/>
    <w:rsid w:val="0098729E"/>
    <w:rsid w:val="00990067"/>
    <w:rsid w:val="00992977"/>
    <w:rsid w:val="009937D4"/>
    <w:rsid w:val="00993AEA"/>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EC"/>
    <w:rsid w:val="009D0358"/>
    <w:rsid w:val="009D154D"/>
    <w:rsid w:val="009D1879"/>
    <w:rsid w:val="009D18EF"/>
    <w:rsid w:val="009D32AA"/>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B8F"/>
    <w:rsid w:val="00AC0C65"/>
    <w:rsid w:val="00AC0D70"/>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E65A6"/>
    <w:rsid w:val="00AF1345"/>
    <w:rsid w:val="00AF38A8"/>
    <w:rsid w:val="00AF63EB"/>
    <w:rsid w:val="00B016D2"/>
    <w:rsid w:val="00B018EC"/>
    <w:rsid w:val="00B045AA"/>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883"/>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2152"/>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3D9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301C"/>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D54D3"/>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1633B"/>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397"/>
    <w:rsid w:val="00D6053F"/>
    <w:rsid w:val="00D6073D"/>
    <w:rsid w:val="00D618D6"/>
    <w:rsid w:val="00D62426"/>
    <w:rsid w:val="00D62804"/>
    <w:rsid w:val="00D70F55"/>
    <w:rsid w:val="00D70FA5"/>
    <w:rsid w:val="00D74171"/>
    <w:rsid w:val="00D7474C"/>
    <w:rsid w:val="00D8032C"/>
    <w:rsid w:val="00D80CE2"/>
    <w:rsid w:val="00D83080"/>
    <w:rsid w:val="00D83E66"/>
    <w:rsid w:val="00D84D5F"/>
    <w:rsid w:val="00D851E2"/>
    <w:rsid w:val="00D87FFA"/>
    <w:rsid w:val="00D91419"/>
    <w:rsid w:val="00D92A09"/>
    <w:rsid w:val="00D92D2A"/>
    <w:rsid w:val="00D92EEC"/>
    <w:rsid w:val="00D93470"/>
    <w:rsid w:val="00D9395F"/>
    <w:rsid w:val="00D93D55"/>
    <w:rsid w:val="00D941FA"/>
    <w:rsid w:val="00D94B59"/>
    <w:rsid w:val="00D95315"/>
    <w:rsid w:val="00D95C60"/>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4668"/>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5D96"/>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1AFF"/>
    <w:rsid w:val="00EE742D"/>
    <w:rsid w:val="00EF0A22"/>
    <w:rsid w:val="00EF1267"/>
    <w:rsid w:val="00EF180C"/>
    <w:rsid w:val="00EF3B6B"/>
    <w:rsid w:val="00EF4B43"/>
    <w:rsid w:val="00EF6750"/>
    <w:rsid w:val="00EF770B"/>
    <w:rsid w:val="00F02836"/>
    <w:rsid w:val="00F02FB5"/>
    <w:rsid w:val="00F04770"/>
    <w:rsid w:val="00F0534E"/>
    <w:rsid w:val="00F05C30"/>
    <w:rsid w:val="00F10F1B"/>
    <w:rsid w:val="00F14179"/>
    <w:rsid w:val="00F15786"/>
    <w:rsid w:val="00F167C5"/>
    <w:rsid w:val="00F20B5A"/>
    <w:rsid w:val="00F21F0B"/>
    <w:rsid w:val="00F236AB"/>
    <w:rsid w:val="00F24EA4"/>
    <w:rsid w:val="00F25832"/>
    <w:rsid w:val="00F27087"/>
    <w:rsid w:val="00F2773C"/>
    <w:rsid w:val="00F300B3"/>
    <w:rsid w:val="00F30DB9"/>
    <w:rsid w:val="00F30FB8"/>
    <w:rsid w:val="00F31D68"/>
    <w:rsid w:val="00F33152"/>
    <w:rsid w:val="00F338F2"/>
    <w:rsid w:val="00F349D3"/>
    <w:rsid w:val="00F3533E"/>
    <w:rsid w:val="00F35B84"/>
    <w:rsid w:val="00F37978"/>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3394"/>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2ED9"/>
    <w:rsid w:val="00FF408B"/>
    <w:rsid w:val="00FF43E1"/>
    <w:rsid w:val="03430854"/>
    <w:rsid w:val="039F5FA6"/>
    <w:rsid w:val="09305ADA"/>
    <w:rsid w:val="0E8013B7"/>
    <w:rsid w:val="10D604C6"/>
    <w:rsid w:val="11B515E0"/>
    <w:rsid w:val="11DDE1DF"/>
    <w:rsid w:val="12F50075"/>
    <w:rsid w:val="13A53267"/>
    <w:rsid w:val="13EFF3B9"/>
    <w:rsid w:val="13F970D2"/>
    <w:rsid w:val="14AA4136"/>
    <w:rsid w:val="163A420B"/>
    <w:rsid w:val="19413B26"/>
    <w:rsid w:val="1C6D3688"/>
    <w:rsid w:val="1C974DF7"/>
    <w:rsid w:val="1CC63D0A"/>
    <w:rsid w:val="1DC2081A"/>
    <w:rsid w:val="1DD94266"/>
    <w:rsid w:val="1DF7EB22"/>
    <w:rsid w:val="1F9D0947"/>
    <w:rsid w:val="1FFB29C6"/>
    <w:rsid w:val="1FFDF43E"/>
    <w:rsid w:val="22AF3620"/>
    <w:rsid w:val="22E70AD4"/>
    <w:rsid w:val="24F1508D"/>
    <w:rsid w:val="266F634F"/>
    <w:rsid w:val="2737C283"/>
    <w:rsid w:val="291059EA"/>
    <w:rsid w:val="29601F66"/>
    <w:rsid w:val="2BBF12EC"/>
    <w:rsid w:val="2BC649D9"/>
    <w:rsid w:val="2BFF7B69"/>
    <w:rsid w:val="2D7F8D27"/>
    <w:rsid w:val="2EE9E463"/>
    <w:rsid w:val="2F6D392A"/>
    <w:rsid w:val="2FFF0134"/>
    <w:rsid w:val="2FFF7999"/>
    <w:rsid w:val="3515160D"/>
    <w:rsid w:val="373BDCAE"/>
    <w:rsid w:val="37FDFD1F"/>
    <w:rsid w:val="3C7D00D8"/>
    <w:rsid w:val="3CA06C0C"/>
    <w:rsid w:val="3DF5AAEF"/>
    <w:rsid w:val="3EA25851"/>
    <w:rsid w:val="3EDB69E5"/>
    <w:rsid w:val="3F6C3757"/>
    <w:rsid w:val="405D6A10"/>
    <w:rsid w:val="41DA6594"/>
    <w:rsid w:val="444C1A75"/>
    <w:rsid w:val="44A3526F"/>
    <w:rsid w:val="44B032F4"/>
    <w:rsid w:val="457D25F7"/>
    <w:rsid w:val="468341CD"/>
    <w:rsid w:val="472C2589"/>
    <w:rsid w:val="4A760AEB"/>
    <w:rsid w:val="4B741BB6"/>
    <w:rsid w:val="4E5D562E"/>
    <w:rsid w:val="4F3162CA"/>
    <w:rsid w:val="4FEBF99A"/>
    <w:rsid w:val="50D95873"/>
    <w:rsid w:val="526102AF"/>
    <w:rsid w:val="528444DA"/>
    <w:rsid w:val="537745D5"/>
    <w:rsid w:val="539B02BF"/>
    <w:rsid w:val="53FD0C63"/>
    <w:rsid w:val="552306F6"/>
    <w:rsid w:val="56E352D5"/>
    <w:rsid w:val="578F3845"/>
    <w:rsid w:val="57E435FE"/>
    <w:rsid w:val="57ED6C49"/>
    <w:rsid w:val="582D0655"/>
    <w:rsid w:val="5951205C"/>
    <w:rsid w:val="59D079E8"/>
    <w:rsid w:val="59D40847"/>
    <w:rsid w:val="5AE37F25"/>
    <w:rsid w:val="5B5FAE21"/>
    <w:rsid w:val="5CB23D47"/>
    <w:rsid w:val="5D56C62A"/>
    <w:rsid w:val="5DBF199F"/>
    <w:rsid w:val="5EFEA2E7"/>
    <w:rsid w:val="5FAF09C4"/>
    <w:rsid w:val="5FAFF170"/>
    <w:rsid w:val="5FDB6326"/>
    <w:rsid w:val="608C4642"/>
    <w:rsid w:val="61715DB1"/>
    <w:rsid w:val="62795572"/>
    <w:rsid w:val="62BE86DA"/>
    <w:rsid w:val="64DD6417"/>
    <w:rsid w:val="66004745"/>
    <w:rsid w:val="679EE2B1"/>
    <w:rsid w:val="6A567F20"/>
    <w:rsid w:val="6BBD216C"/>
    <w:rsid w:val="6CD97953"/>
    <w:rsid w:val="6DFB625E"/>
    <w:rsid w:val="6ED30FD7"/>
    <w:rsid w:val="6FC5056D"/>
    <w:rsid w:val="71DB5B07"/>
    <w:rsid w:val="727D78FD"/>
    <w:rsid w:val="73BBE9A9"/>
    <w:rsid w:val="73CC655F"/>
    <w:rsid w:val="74F32AF9"/>
    <w:rsid w:val="75957445"/>
    <w:rsid w:val="75D01AE1"/>
    <w:rsid w:val="77524363"/>
    <w:rsid w:val="77B5C6E6"/>
    <w:rsid w:val="77B917B5"/>
    <w:rsid w:val="77DD841B"/>
    <w:rsid w:val="77DF9B5B"/>
    <w:rsid w:val="78703975"/>
    <w:rsid w:val="794FB97E"/>
    <w:rsid w:val="79DFA7D4"/>
    <w:rsid w:val="79E72449"/>
    <w:rsid w:val="7AF914DF"/>
    <w:rsid w:val="7B9E5A2F"/>
    <w:rsid w:val="7BB5FFC3"/>
    <w:rsid w:val="7BBF1BA9"/>
    <w:rsid w:val="7BE420FD"/>
    <w:rsid w:val="7BFBCEBB"/>
    <w:rsid w:val="7BFF2D13"/>
    <w:rsid w:val="7D0D296B"/>
    <w:rsid w:val="7D4E0B54"/>
    <w:rsid w:val="7D503E78"/>
    <w:rsid w:val="7D9991F8"/>
    <w:rsid w:val="7E0160D4"/>
    <w:rsid w:val="7F2D41D2"/>
    <w:rsid w:val="7F2F5776"/>
    <w:rsid w:val="7F5F7C1B"/>
    <w:rsid w:val="7FB9F6DD"/>
    <w:rsid w:val="7FBDEFD3"/>
    <w:rsid w:val="7FF58A67"/>
    <w:rsid w:val="85FF9CBE"/>
    <w:rsid w:val="8E6DA9A1"/>
    <w:rsid w:val="8FF70F40"/>
    <w:rsid w:val="9AFFC5EA"/>
    <w:rsid w:val="9B1E2733"/>
    <w:rsid w:val="9FF7D728"/>
    <w:rsid w:val="ABEF1047"/>
    <w:rsid w:val="B2CF19D0"/>
    <w:rsid w:val="B4779377"/>
    <w:rsid w:val="B7BE1F24"/>
    <w:rsid w:val="BA4E6BB3"/>
    <w:rsid w:val="BB6546D2"/>
    <w:rsid w:val="BBBBF7B9"/>
    <w:rsid w:val="BDF7D31F"/>
    <w:rsid w:val="BDFDB390"/>
    <w:rsid w:val="BE5559BD"/>
    <w:rsid w:val="BEBD244E"/>
    <w:rsid w:val="BFFE0AD3"/>
    <w:rsid w:val="C6EE5F3C"/>
    <w:rsid w:val="CC9C8A9B"/>
    <w:rsid w:val="CCBE9218"/>
    <w:rsid w:val="CFBD0181"/>
    <w:rsid w:val="D78CDD0A"/>
    <w:rsid w:val="D7FF9C0E"/>
    <w:rsid w:val="DDDED1EF"/>
    <w:rsid w:val="DDEE86B8"/>
    <w:rsid w:val="DF5E1F99"/>
    <w:rsid w:val="DF8538AB"/>
    <w:rsid w:val="DFECDC42"/>
    <w:rsid w:val="DFFD7CA2"/>
    <w:rsid w:val="E7FB82E2"/>
    <w:rsid w:val="EBEB364B"/>
    <w:rsid w:val="EDBD63E9"/>
    <w:rsid w:val="EE9470FF"/>
    <w:rsid w:val="EFDDDD2D"/>
    <w:rsid w:val="F2DD93E9"/>
    <w:rsid w:val="F39D71EA"/>
    <w:rsid w:val="F3EFA70E"/>
    <w:rsid w:val="F3FD6004"/>
    <w:rsid w:val="F3FF9E74"/>
    <w:rsid w:val="F79DDCC3"/>
    <w:rsid w:val="F7FF3A6B"/>
    <w:rsid w:val="F9FBD147"/>
    <w:rsid w:val="FA76FDC5"/>
    <w:rsid w:val="FADDFDFF"/>
    <w:rsid w:val="FB0E0ADB"/>
    <w:rsid w:val="FB278C06"/>
    <w:rsid w:val="FB52EAEB"/>
    <w:rsid w:val="FB7D8D74"/>
    <w:rsid w:val="FBD1FFE5"/>
    <w:rsid w:val="FBDE8379"/>
    <w:rsid w:val="FCEF4C47"/>
    <w:rsid w:val="FCF5837E"/>
    <w:rsid w:val="FDBFD762"/>
    <w:rsid w:val="FDDF3B8A"/>
    <w:rsid w:val="FDFB23F0"/>
    <w:rsid w:val="FE3B8BA7"/>
    <w:rsid w:val="FEFFE6B2"/>
    <w:rsid w:val="FF4FC477"/>
    <w:rsid w:val="FF772447"/>
    <w:rsid w:val="FF7D9828"/>
    <w:rsid w:val="FF7F0136"/>
    <w:rsid w:val="FFCC777E"/>
    <w:rsid w:val="FFDAB023"/>
    <w:rsid w:val="FFE03180"/>
    <w:rsid w:val="FFEC1B59"/>
    <w:rsid w:val="FFF5399B"/>
    <w:rsid w:val="FFFC2776"/>
    <w:rsid w:val="FFFC99CE"/>
    <w:rsid w:val="FFFF20E9"/>
    <w:rsid w:val="FFFF58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列出段落1"/>
    <w:basedOn w:val="1"/>
    <w:autoRedefine/>
    <w:qFormat/>
    <w:uiPriority w:val="34"/>
    <w:pPr>
      <w:spacing w:line="600" w:lineRule="exact"/>
      <w:ind w:firstLine="420"/>
    </w:pPr>
    <w:rPr>
      <w:rFonts w:ascii="Calibri" w:hAnsi="Calibri"/>
      <w:sz w:val="21"/>
      <w:szCs w:val="22"/>
    </w:rPr>
  </w:style>
  <w:style w:type="paragraph" w:customStyle="1" w:styleId="135">
    <w:name w:val="可研正文"/>
    <w:basedOn w:val="1"/>
    <w:qFormat/>
    <w:uiPriority w:val="0"/>
    <w:pPr>
      <w:ind w:firstLine="200"/>
    </w:pPr>
    <w:rPr>
      <w:rFonts w:ascii="仿宋" w:hAnsi="仿宋" w:eastAsia="仿宋"/>
      <w:sz w:val="28"/>
      <w:szCs w:val="28"/>
    </w:rPr>
  </w:style>
  <w:style w:type="paragraph" w:customStyle="1" w:styleId="136">
    <w:name w:val="修订2"/>
    <w:hidden/>
    <w:unhideWhenUsed/>
    <w:qFormat/>
    <w:uiPriority w:val="99"/>
    <w:rPr>
      <w:rFonts w:ascii="宋体" w:hAnsi="宋体" w:eastAsia="宋体" w:cs="Times New Roman"/>
      <w:kern w:val="2"/>
      <w:sz w:val="24"/>
      <w:szCs w:val="24"/>
      <w:lang w:val="en-US" w:eastAsia="zh-CN" w:bidi="ar-SA"/>
    </w:rPr>
  </w:style>
  <w:style w:type="paragraph" w:customStyle="1" w:styleId="137">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10364</Words>
  <Characters>10675</Characters>
  <Lines>127</Lines>
  <Paragraphs>35</Paragraphs>
  <TotalTime>155</TotalTime>
  <ScaleCrop>false</ScaleCrop>
  <LinksUpToDate>false</LinksUpToDate>
  <CharactersWithSpaces>10679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2025-03-28T09:28:00Z</dcterms:created>
  <dc:creator>gtig_tzb</dc:creator>
  <cp:lastModifiedBy>郭田恬</cp:lastModifiedBy>
  <cp:lastPrinted>2020-08-09T12:08:00Z</cp:lastPrinted>
  <dcterms:modified xsi:type="dcterms:W3CDTF">2025-05-08T08:59:04Z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93A79555CD184C03D4D60E68D34B316C_43</vt:lpwstr>
  </property>
  <property fmtid="{D5CDD505-2E9C-101B-9397-08002B2CF9AE}" pid="4" name="KSOTemplateDocerSaveRecord">
    <vt:lpwstr>eyJoZGlkIjoiY2VkYzk2NjgyMjZlYTRiMzg0MzQwNGIwOWIyNmU4OGEiLCJ1c2VySWQiOiIxNjg3NjY5MzU1In0=</vt:lpwstr>
  </property>
</Properties>
</file>