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sz w:val="48"/>
          <w:szCs w:val="48"/>
          <w:lang w:eastAsia="zh-CN"/>
        </w:rPr>
      </w:pPr>
    </w:p>
    <w:p>
      <w:pPr>
        <w:pStyle w:val="18"/>
        <w:rPr>
          <w:rFonts w:ascii="黑体" w:hAnsi="黑体" w:eastAsia="黑体"/>
          <w:sz w:val="48"/>
          <w:szCs w:val="48"/>
        </w:rPr>
      </w:pPr>
    </w:p>
    <w:p>
      <w:pPr>
        <w:ind w:firstLine="0" w:firstLineChars="0"/>
        <w:rPr>
          <w:rFonts w:ascii="Times New Roman" w:hAnsi="Times New Roman"/>
          <w:b/>
          <w:sz w:val="56"/>
          <w:szCs w:val="56"/>
        </w:rPr>
      </w:pPr>
      <w:bookmarkStart w:id="0" w:name="_Hlk40877953"/>
    </w:p>
    <w:p>
      <w:pPr>
        <w:ind w:firstLine="0" w:firstLineChars="0"/>
        <w:rPr>
          <w:rFonts w:ascii="Times New Roman" w:hAnsi="Times New Roman"/>
          <w:b/>
          <w:sz w:val="56"/>
          <w:szCs w:val="56"/>
        </w:rPr>
      </w:pPr>
    </w:p>
    <w:p>
      <w:pPr>
        <w:ind w:firstLine="0" w:firstLineChars="0"/>
        <w:rPr>
          <w:rFonts w:ascii="Times New Roman" w:hAnsi="Times New Roman"/>
          <w:b/>
          <w:sz w:val="56"/>
          <w:szCs w:val="56"/>
        </w:rPr>
      </w:pPr>
    </w:p>
    <w:bookmarkEnd w:id="0"/>
    <w:p>
      <w:pPr>
        <w:pStyle w:val="142"/>
        <w:spacing w:after="156" w:line="720" w:lineRule="auto"/>
        <w:ind w:firstLine="0" w:firstLineChars="0"/>
        <w:jc w:val="center"/>
        <w:rPr>
          <w:rFonts w:ascii="Times New Roman" w:hAnsi="Times New Roman"/>
          <w:b/>
          <w:sz w:val="56"/>
          <w:szCs w:val="56"/>
          <w:lang w:eastAsia="zh-CN"/>
        </w:rPr>
      </w:pPr>
      <w:r>
        <w:rPr>
          <w:rFonts w:hint="eastAsia" w:ascii="Times New Roman" w:hAnsi="Times New Roman"/>
          <w:b/>
          <w:sz w:val="56"/>
          <w:szCs w:val="56"/>
          <w:lang w:eastAsia="zh-CN"/>
        </w:rPr>
        <w:t>上海市社区事务受理信息系统（</w:t>
      </w:r>
      <w:r>
        <w:rPr>
          <w:rFonts w:ascii="Times New Roman" w:hAnsi="Times New Roman"/>
          <w:b/>
          <w:sz w:val="56"/>
          <w:szCs w:val="56"/>
          <w:lang w:eastAsia="zh-CN"/>
        </w:rPr>
        <w:t>2025年升级改造）</w:t>
      </w:r>
    </w:p>
    <w:p>
      <w:pPr>
        <w:pStyle w:val="142"/>
        <w:spacing w:after="156" w:line="720" w:lineRule="auto"/>
        <w:ind w:firstLine="0" w:firstLineChars="0"/>
        <w:jc w:val="center"/>
        <w:rPr>
          <w:rFonts w:ascii="黑体" w:hAnsi="黑体" w:eastAsia="黑体"/>
          <w:sz w:val="72"/>
          <w:szCs w:val="72"/>
          <w:lang w:eastAsia="zh-CN"/>
        </w:rPr>
      </w:pPr>
      <w:r>
        <w:rPr>
          <w:rFonts w:hint="eastAsia" w:ascii="Times New Roman" w:hAnsi="Times New Roman"/>
          <w:b/>
          <w:sz w:val="56"/>
          <w:szCs w:val="56"/>
          <w:lang w:eastAsia="zh-CN"/>
        </w:rPr>
        <w:t>采购需求</w:t>
      </w:r>
    </w:p>
    <w:p>
      <w:pPr>
        <w:ind w:firstLine="0" w:firstLineChars="0"/>
        <w:jc w:val="center"/>
        <w:rPr>
          <w:rFonts w:ascii="黑体" w:hAnsi="黑体" w:eastAsia="黑体"/>
          <w:sz w:val="48"/>
          <w:szCs w:val="48"/>
        </w:rPr>
      </w:pPr>
    </w:p>
    <w:p>
      <w:pPr>
        <w:ind w:firstLine="0" w:firstLineChars="0"/>
        <w:jc w:val="center"/>
        <w:rPr>
          <w:rFonts w:ascii="黑体" w:hAnsi="黑体" w:eastAsia="黑体"/>
          <w:sz w:val="52"/>
          <w:szCs w:val="52"/>
        </w:rPr>
      </w:pPr>
    </w:p>
    <w:p>
      <w:pPr>
        <w:ind w:firstLine="1040"/>
        <w:rPr>
          <w:rFonts w:ascii="黑体" w:hAnsi="黑体" w:eastAsia="黑体"/>
          <w:sz w:val="52"/>
          <w:szCs w:val="52"/>
        </w:rPr>
      </w:pPr>
    </w:p>
    <w:p>
      <w:pPr>
        <w:ind w:firstLine="480"/>
      </w:pPr>
    </w:p>
    <w:p>
      <w:pPr>
        <w:ind w:firstLine="480"/>
      </w:pPr>
    </w:p>
    <w:p>
      <w:pPr>
        <w:ind w:firstLine="480"/>
      </w:pPr>
    </w:p>
    <w:p>
      <w:pPr>
        <w:ind w:firstLine="480"/>
      </w:pPr>
    </w:p>
    <w:p>
      <w:pPr>
        <w:ind w:firstLine="480"/>
      </w:pPr>
    </w:p>
    <w:p>
      <w:pPr>
        <w:ind w:firstLine="1040"/>
        <w:rPr>
          <w:rFonts w:ascii="黑体" w:hAnsi="黑体" w:eastAsia="黑体"/>
          <w:sz w:val="52"/>
          <w:szCs w:val="52"/>
        </w:rPr>
      </w:pPr>
    </w:p>
    <w:p>
      <w:pPr>
        <w:ind w:firstLine="480"/>
        <w:jc w:val="cente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pPr>
        <w:pStyle w:val="2"/>
        <w:ind w:hanging="1560"/>
        <w:rPr>
          <w:color w:val="auto"/>
        </w:rPr>
      </w:pPr>
      <w:bookmarkStart w:id="1" w:name="_Toc63785461"/>
      <w:r>
        <w:rPr>
          <w:rFonts w:hint="eastAsia"/>
          <w:color w:val="auto"/>
        </w:rPr>
        <w:t>项目概况</w:t>
      </w:r>
      <w:bookmarkEnd w:id="1"/>
    </w:p>
    <w:p>
      <w:pPr>
        <w:pStyle w:val="35"/>
        <w:spacing w:after="0"/>
        <w:ind w:firstLine="480"/>
      </w:pPr>
      <w:r>
        <w:rPr>
          <w:rFonts w:hint="eastAsia"/>
        </w:rPr>
        <w:t>项目背景：</w:t>
      </w:r>
    </w:p>
    <w:p>
      <w:pPr>
        <w:spacing w:line="360" w:lineRule="auto"/>
        <w:ind w:firstLine="480"/>
      </w:pPr>
      <w:r>
        <w:rPr>
          <w:rFonts w:hint="eastAsia"/>
        </w:rPr>
        <w:t>上海市社区事务受理信息系统（简称“受理系统”）是政府面向居民提供政务服务的综合平台。通过受理系统，</w:t>
      </w:r>
      <w:r>
        <w:t>居民可以</w:t>
      </w:r>
      <w:r>
        <w:rPr>
          <w:rFonts w:hint="eastAsia"/>
        </w:rPr>
        <w:t>就近</w:t>
      </w:r>
      <w:r>
        <w:t>在受理中心</w:t>
      </w:r>
      <w:r>
        <w:rPr>
          <w:rFonts w:hint="eastAsia"/>
        </w:rPr>
        <w:t>或服务延伸点</w:t>
      </w:r>
      <w:r>
        <w:t>办理社保、医保、民政、公安等10</w:t>
      </w:r>
      <w:r>
        <w:rPr>
          <w:rFonts w:hint="eastAsia"/>
        </w:rPr>
        <w:t>多</w:t>
      </w:r>
      <w:r>
        <w:t>个条线部门190</w:t>
      </w:r>
      <w:r>
        <w:rPr>
          <w:rFonts w:hint="eastAsia"/>
        </w:rPr>
        <w:t>多</w:t>
      </w:r>
      <w:r>
        <w:t>项政务服务事项。</w:t>
      </w:r>
      <w:r>
        <w:rPr>
          <w:rFonts w:hint="eastAsia"/>
        </w:rPr>
        <w:t>受理系统作为一个对接多个条线部门业务系统的综合性受理平台，在运行过程中需要根据条线部门的政策变化以及社区事务受理、“一网通办”等重大政务服务改革任务而进行持续性的改造升级。</w:t>
      </w:r>
    </w:p>
    <w:p>
      <w:pPr>
        <w:spacing w:line="360" w:lineRule="auto"/>
        <w:ind w:firstLine="480"/>
        <w:rPr>
          <w:bCs/>
        </w:rPr>
      </w:pPr>
      <w:r>
        <w:rPr>
          <w:rFonts w:hint="eastAsia"/>
        </w:rPr>
        <w:t>根据上海市持续深化政务服务“一网通办改革行动方案的要求，</w:t>
      </w:r>
      <w:r>
        <w:rPr>
          <w:rFonts w:hint="eastAsia"/>
          <w:bCs/>
        </w:rPr>
        <w:t>打造“15分钟政务服务圈”，探索应用“远程虚拟窗口”模式，深化企业事项向区政务服务中心集中、个人事项向街镇社区事务受理服务中心集中，推进综合窗口充分授权。</w:t>
      </w:r>
      <w:r>
        <w:rPr>
          <w:bCs/>
        </w:rPr>
        <w:t>这一任务是直接面向受理系统的，</w:t>
      </w:r>
      <w:r>
        <w:rPr>
          <w:rFonts w:hint="eastAsia"/>
          <w:bCs/>
        </w:rPr>
        <w:t>需要优化推广基于视频交互的远程虚拟窗口服务模式。同时，该文件也提出了高频依申请事项“预填预审”、“一件事”新增和优化、“电子签名”和“电子档案”优化推广、办件库对接规范和服务事项编码更新、外国人永居居留身份证社会化应用、立功竞赛等多个与受理系统有关的任务，受理系统急需进行相应的升级改造，完成一网通办工作任务要求。同时需要进行受理系统的信创改造和架构升级工作，保障系统的安全稳定。</w:t>
      </w:r>
    </w:p>
    <w:p>
      <w:pPr>
        <w:spacing w:line="360" w:lineRule="auto"/>
        <w:ind w:firstLine="480"/>
        <w:rPr>
          <w:rFonts w:ascii="Times New Roman" w:hAnsi="Times New Roman"/>
        </w:rPr>
      </w:pPr>
      <w:r>
        <w:rPr>
          <w:rFonts w:hint="eastAsia"/>
        </w:rPr>
        <w:t>建设期限：自合同签订之日起至</w:t>
      </w:r>
      <w:r>
        <w:rPr>
          <w:rFonts w:ascii="Times New Roman" w:hAnsi="Times New Roman"/>
        </w:rPr>
        <w:t>202</w:t>
      </w:r>
      <w:r>
        <w:rPr>
          <w:rFonts w:hint="eastAsia" w:ascii="Times New Roman" w:hAnsi="Times New Roman"/>
        </w:rPr>
        <w:t>6年</w:t>
      </w:r>
      <w:r>
        <w:rPr>
          <w:rFonts w:ascii="Times New Roman" w:hAnsi="Times New Roman"/>
        </w:rPr>
        <w:t>3</w:t>
      </w:r>
      <w:r>
        <w:rPr>
          <w:rFonts w:hint="eastAsia" w:ascii="Times New Roman" w:hAnsi="Times New Roman"/>
        </w:rPr>
        <w:t>月</w:t>
      </w:r>
      <w:r>
        <w:rPr>
          <w:rFonts w:ascii="Times New Roman" w:hAnsi="Times New Roman"/>
        </w:rPr>
        <w:t>31</w:t>
      </w:r>
      <w:r>
        <w:rPr>
          <w:rFonts w:hint="eastAsia" w:ascii="Times New Roman" w:hAnsi="Times New Roman"/>
        </w:rPr>
        <w:t>日（包含至少</w:t>
      </w:r>
      <w:r>
        <w:rPr>
          <w:rFonts w:ascii="Times New Roman" w:hAnsi="Times New Roman"/>
        </w:rPr>
        <w:t>1</w:t>
      </w:r>
      <w:r>
        <w:rPr>
          <w:rFonts w:hint="eastAsia" w:ascii="Times New Roman" w:hAnsi="Times New Roman"/>
        </w:rPr>
        <w:t>个月的试运行）。</w:t>
      </w:r>
    </w:p>
    <w:p>
      <w:pPr>
        <w:spacing w:line="360" w:lineRule="auto"/>
        <w:ind w:firstLine="480"/>
      </w:pPr>
      <w:r>
        <w:rPr>
          <w:rFonts w:hint="eastAsia"/>
        </w:rPr>
        <w:t>建设地点：上海市</w:t>
      </w:r>
    </w:p>
    <w:p>
      <w:pPr>
        <w:spacing w:line="360" w:lineRule="auto"/>
        <w:ind w:firstLine="480"/>
      </w:pPr>
      <w:r>
        <w:rPr>
          <w:rFonts w:hint="eastAsia"/>
        </w:rPr>
        <w:t>预算金额： 6637500元</w:t>
      </w:r>
    </w:p>
    <w:p>
      <w:pPr>
        <w:spacing w:line="360" w:lineRule="auto"/>
        <w:ind w:firstLine="480"/>
      </w:pPr>
      <w:r>
        <w:rPr>
          <w:rFonts w:hint="eastAsia"/>
        </w:rPr>
        <w:t>采购金额（最高限价）： 6637500元</w:t>
      </w:r>
    </w:p>
    <w:p>
      <w:pPr>
        <w:spacing w:line="360" w:lineRule="auto"/>
        <w:ind w:firstLine="480"/>
      </w:pPr>
      <w:r>
        <w:rPr>
          <w:rFonts w:hint="eastAsia"/>
        </w:rPr>
        <w:t>组织形式：集中采购</w:t>
      </w:r>
    </w:p>
    <w:p>
      <w:pPr>
        <w:spacing w:line="360" w:lineRule="auto"/>
        <w:ind w:firstLine="480"/>
      </w:pPr>
      <w:r>
        <w:rPr>
          <w:rFonts w:hint="eastAsia"/>
        </w:rPr>
        <w:t>采购方式：公开招标</w:t>
      </w:r>
    </w:p>
    <w:p>
      <w:pPr>
        <w:spacing w:line="360" w:lineRule="auto"/>
        <w:ind w:firstLine="480"/>
      </w:pPr>
      <w:r>
        <w:rPr>
          <w:rFonts w:hint="eastAsia"/>
        </w:rPr>
        <w:t>是否接受联合体投标：否</w:t>
      </w:r>
    </w:p>
    <w:p>
      <w:pPr>
        <w:spacing w:line="360" w:lineRule="auto"/>
        <w:ind w:firstLine="480"/>
      </w:pPr>
      <w:r>
        <w:t>是否按信创要求建设：是</w:t>
      </w:r>
    </w:p>
    <w:p>
      <w:pPr>
        <w:spacing w:line="360" w:lineRule="auto"/>
        <w:ind w:firstLine="480"/>
      </w:pPr>
      <w:r>
        <w:rPr>
          <w:rFonts w:hint="eastAsia"/>
        </w:rPr>
        <w:t>运维后所属大系统：社区事务受理系统</w:t>
      </w:r>
    </w:p>
    <w:p>
      <w:pPr>
        <w:spacing w:line="360" w:lineRule="auto"/>
        <w:ind w:firstLine="480"/>
      </w:pPr>
    </w:p>
    <w:p>
      <w:pPr>
        <w:pStyle w:val="2"/>
        <w:ind w:hanging="1418"/>
        <w:rPr>
          <w:color w:val="auto"/>
        </w:rPr>
      </w:pPr>
      <w:bookmarkStart w:id="2" w:name="_Toc47536644"/>
      <w:bookmarkEnd w:id="2"/>
      <w:bookmarkStart w:id="3" w:name="_Toc47532891"/>
      <w:bookmarkEnd w:id="3"/>
      <w:bookmarkStart w:id="4" w:name="_Toc47532255"/>
      <w:bookmarkEnd w:id="4"/>
      <w:bookmarkStart w:id="5" w:name="_Toc47533256"/>
      <w:bookmarkEnd w:id="5"/>
      <w:bookmarkStart w:id="6" w:name="_Toc47537134"/>
      <w:bookmarkEnd w:id="6"/>
      <w:bookmarkStart w:id="7" w:name="_Toc47539070"/>
      <w:bookmarkEnd w:id="7"/>
      <w:bookmarkStart w:id="8" w:name="_Toc47536272"/>
      <w:bookmarkEnd w:id="8"/>
      <w:bookmarkStart w:id="9" w:name="_Toc47531634"/>
      <w:bookmarkEnd w:id="9"/>
      <w:bookmarkStart w:id="10" w:name="_Toc48223882"/>
      <w:bookmarkStart w:id="11" w:name="_Toc63785463"/>
      <w:r>
        <w:rPr>
          <w:rFonts w:hint="eastAsia"/>
          <w:color w:val="auto"/>
        </w:rPr>
        <w:t>建设目标</w:t>
      </w:r>
      <w:bookmarkEnd w:id="10"/>
      <w:bookmarkEnd w:id="11"/>
    </w:p>
    <w:p>
      <w:pPr>
        <w:spacing w:line="360" w:lineRule="auto"/>
        <w:ind w:firstLine="480"/>
      </w:pPr>
      <w:r>
        <w:rPr>
          <w:rFonts w:hint="eastAsia"/>
        </w:rPr>
        <w:t>本项目的建设目标为：根据上海市“一网通办”建设的最新要求，作为“一网通办”重要组成部分的受理系统需要进行新一轮升级改造，重点做好远程虚拟窗口服务模式优化与推广工作，助力“15分钟政务服务圈”打造；落实高频事项“预填预审”，“电子签名”，“电子档案”，“一件事”，根据办件库最新对接规范和服务事项编码做相应调整，完成新版外国人永居证应用等一网通办新的工作要求；按税务、民政、公安、医保等条线部门要求完成重要事项新增或改造；按步骤推进受理系统的信创改造工作，提升受理系统的安全性、可靠性、健壮性，让受理系统运行更稳定，让工作人员效率更高，居民体验更好，为“一网通办”迈向“一网好办”贡献力量。</w:t>
      </w:r>
    </w:p>
    <w:p>
      <w:pPr>
        <w:numPr>
          <w:ilvl w:val="0"/>
          <w:numId w:val="3"/>
        </w:numPr>
        <w:spacing w:line="360" w:lineRule="auto"/>
        <w:ind w:firstLine="482"/>
        <w:rPr>
          <w:b/>
          <w:bCs/>
        </w:rPr>
      </w:pPr>
      <w:r>
        <w:rPr>
          <w:rFonts w:hint="eastAsia"/>
          <w:b/>
          <w:bCs/>
        </w:rPr>
        <w:t>本项目主要应用指标包括：</w:t>
      </w:r>
    </w:p>
    <w:p>
      <w:pPr>
        <w:numPr>
          <w:ilvl w:val="255"/>
          <w:numId w:val="0"/>
        </w:numPr>
        <w:spacing w:line="360" w:lineRule="auto"/>
        <w:ind w:firstLine="480" w:firstLineChars="200"/>
      </w:pPr>
      <w:r>
        <w:rPr>
          <w:rFonts w:hint="eastAsia"/>
        </w:rPr>
        <w:t>1、一网通办创新工作。从服务模式、办理过程、管理方式三个维度优化推广基于视频交互的远程虚拟窗口服务体系，进一步完善远程虚拟窗口的技术支撑能力。</w:t>
      </w:r>
    </w:p>
    <w:p>
      <w:pPr>
        <w:numPr>
          <w:ilvl w:val="255"/>
          <w:numId w:val="0"/>
        </w:numPr>
        <w:spacing w:line="360" w:lineRule="auto"/>
        <w:ind w:firstLine="480" w:firstLineChars="200"/>
      </w:pPr>
      <w:r>
        <w:rPr>
          <w:rFonts w:hint="eastAsia"/>
        </w:rPr>
        <w:t>2、一网通办常规任务。根据一网通办相关政策要求，完成“预填预审”，“电子签名”，“电子档案”，“一件事”新增和优化，办件库对接规范更新，服务事项编码更新、新版外国人永居证应用、立功竞赛等一网通办的任务工作。</w:t>
      </w:r>
    </w:p>
    <w:p>
      <w:pPr>
        <w:numPr>
          <w:ilvl w:val="255"/>
          <w:numId w:val="0"/>
        </w:numPr>
        <w:spacing w:line="360" w:lineRule="auto"/>
        <w:ind w:firstLine="480" w:firstLineChars="200"/>
      </w:pPr>
      <w:r>
        <w:rPr>
          <w:rFonts w:hint="eastAsia"/>
        </w:rPr>
        <w:t>3、条线事项新增和改造工作。根据条线政策调整或新增需求，对税务、民政、公安等条线的要求进行相应改造。</w:t>
      </w:r>
    </w:p>
    <w:p>
      <w:pPr>
        <w:numPr>
          <w:ilvl w:val="255"/>
          <w:numId w:val="0"/>
        </w:numPr>
        <w:spacing w:line="360" w:lineRule="auto"/>
        <w:ind w:firstLine="480" w:firstLineChars="200"/>
      </w:pPr>
      <w:r>
        <w:rPr>
          <w:rFonts w:hint="eastAsia"/>
        </w:rPr>
        <w:t>4、信创改造、架构升级工作。根据信创改造的总体安排，完成受理系统后端应用层和数据层的信创改造，同时对受理系统的应用架构进行升级，从架构层面提升受理系统健壮性和稳定性。</w:t>
      </w:r>
    </w:p>
    <w:p>
      <w:pPr>
        <w:numPr>
          <w:ilvl w:val="0"/>
          <w:numId w:val="3"/>
        </w:numPr>
        <w:spacing w:line="360" w:lineRule="auto"/>
        <w:ind w:firstLine="482"/>
        <w:rPr>
          <w:b/>
          <w:bCs/>
        </w:rPr>
      </w:pPr>
      <w:r>
        <w:rPr>
          <w:rFonts w:hint="eastAsia"/>
          <w:b/>
          <w:bCs/>
        </w:rPr>
        <w:t>本项目主要绩效指标包括：</w:t>
      </w:r>
    </w:p>
    <w:p>
      <w:pPr>
        <w:spacing w:line="360" w:lineRule="auto"/>
        <w:ind w:firstLine="480"/>
      </w:pPr>
      <w:r>
        <w:rPr>
          <w:rFonts w:hint="eastAsia"/>
        </w:rPr>
        <w:t>1、改善居民办事体验，增加居民对改革的获得感。</w:t>
      </w:r>
    </w:p>
    <w:p>
      <w:pPr>
        <w:spacing w:line="360" w:lineRule="auto"/>
        <w:ind w:firstLine="480"/>
      </w:pPr>
      <w:r>
        <w:rPr>
          <w:rFonts w:hint="eastAsia"/>
        </w:rPr>
        <w:t>通过本项目建设，实现高频事项“预填预审”，一件事的优化和新增，远程虚拟窗口服务模式的优化和推广，对社区事务受理一网通办能力进行提升，不断提高居民对改革的获得感。</w:t>
      </w:r>
    </w:p>
    <w:p>
      <w:pPr>
        <w:spacing w:line="360" w:lineRule="auto"/>
        <w:ind w:firstLine="480"/>
      </w:pPr>
      <w:r>
        <w:rPr>
          <w:rFonts w:hint="eastAsia"/>
        </w:rPr>
        <w:t>2、优化系统运行效率，助力受理中心提升服务效率。</w:t>
      </w:r>
    </w:p>
    <w:p>
      <w:pPr>
        <w:spacing w:line="360" w:lineRule="auto"/>
        <w:ind w:firstLine="480"/>
      </w:pPr>
      <w:r>
        <w:rPr>
          <w:rFonts w:hint="eastAsia"/>
        </w:rPr>
        <w:t>3、通过完成受理系统信创改造和架构升级，提升受理系统的运行效率、安全性、健壮性，并进而助力受理中心提升服务效率，尽量避免因信息系统故障而导致的为民服务“不能办、延期办”问题，更好的为群众提供安全、高效、便捷的服务，推动政务服务整体能力不断提升。</w:t>
      </w:r>
    </w:p>
    <w:p>
      <w:pPr>
        <w:numPr>
          <w:ilvl w:val="0"/>
          <w:numId w:val="3"/>
        </w:numPr>
        <w:spacing w:line="360" w:lineRule="auto"/>
        <w:ind w:firstLine="482"/>
        <w:rPr>
          <w:b/>
          <w:bCs/>
        </w:rPr>
      </w:pPr>
      <w:r>
        <w:rPr>
          <w:rFonts w:hint="eastAsia"/>
          <w:b/>
          <w:bCs/>
        </w:rPr>
        <w:t>本项目主要技术指标包括：</w:t>
      </w:r>
    </w:p>
    <w:p>
      <w:pPr>
        <w:spacing w:line="360" w:lineRule="auto"/>
        <w:ind w:firstLine="480"/>
      </w:pPr>
      <w:r>
        <w:rPr>
          <w:rFonts w:hint="eastAsia"/>
        </w:rPr>
        <w:t>综合考虑上海市社区事务受理信息系统用户分布和使用情况，本项目的技术指标需求如下：</w:t>
      </w:r>
    </w:p>
    <w:p>
      <w:pPr>
        <w:spacing w:line="360" w:lineRule="auto"/>
        <w:ind w:firstLine="480"/>
      </w:pPr>
      <w:r>
        <w:rPr>
          <w:rFonts w:hint="eastAsia"/>
        </w:rPr>
        <w:t>1、操作平台并发用户数不少于180人，支持在线人数1800人；统计分析平台并发用户数不少于50人，支持在线人数500人；</w:t>
      </w:r>
    </w:p>
    <w:p>
      <w:pPr>
        <w:spacing w:line="360" w:lineRule="auto"/>
        <w:ind w:firstLine="480"/>
      </w:pPr>
      <w:r>
        <w:rPr>
          <w:rFonts w:hint="eastAsia"/>
        </w:rPr>
        <w:t>2、简单应用客户端响应时间：3秒；复杂应用客户端响应时间：7秒。</w:t>
      </w:r>
    </w:p>
    <w:p>
      <w:pPr>
        <w:spacing w:line="360" w:lineRule="auto"/>
        <w:ind w:firstLine="480"/>
      </w:pPr>
      <w:r>
        <w:rPr>
          <w:rFonts w:hint="eastAsia"/>
        </w:rPr>
        <w:t>3、系统平均无故障时间大于1000小时。</w:t>
      </w:r>
    </w:p>
    <w:p>
      <w:pPr>
        <w:spacing w:line="360" w:lineRule="auto"/>
        <w:ind w:firstLine="480"/>
      </w:pPr>
      <w:r>
        <w:rPr>
          <w:rFonts w:hint="eastAsia"/>
        </w:rPr>
        <w:t>4、通过第三方软件测试、安全测试及密码测评。</w:t>
      </w:r>
    </w:p>
    <w:p>
      <w:pPr>
        <w:spacing w:line="360" w:lineRule="auto"/>
        <w:ind w:firstLine="480"/>
      </w:pPr>
    </w:p>
    <w:p>
      <w:pPr>
        <w:pStyle w:val="2"/>
        <w:ind w:hanging="1418"/>
        <w:rPr>
          <w:color w:val="auto"/>
        </w:rPr>
      </w:pPr>
      <w:bookmarkStart w:id="12" w:name="_Toc47533288"/>
      <w:bookmarkEnd w:id="12"/>
      <w:bookmarkStart w:id="13" w:name="_Toc47536304"/>
      <w:bookmarkEnd w:id="13"/>
      <w:bookmarkStart w:id="14" w:name="_Toc47539102"/>
      <w:bookmarkEnd w:id="14"/>
      <w:bookmarkStart w:id="15" w:name="_Toc47532923"/>
      <w:bookmarkEnd w:id="15"/>
      <w:bookmarkStart w:id="16" w:name="_Toc47537166"/>
      <w:bookmarkEnd w:id="16"/>
      <w:bookmarkStart w:id="17" w:name="_Toc47536676"/>
      <w:bookmarkEnd w:id="17"/>
      <w:r>
        <w:rPr>
          <w:rFonts w:hint="eastAsia"/>
          <w:color w:val="auto"/>
        </w:rPr>
        <w:t>项目建设内容</w:t>
      </w:r>
    </w:p>
    <w:p>
      <w:pPr>
        <w:pStyle w:val="3"/>
      </w:pPr>
      <w:r>
        <w:rPr>
          <w:rFonts w:hint="eastAsia"/>
        </w:rPr>
        <w:t>技术路线设计</w:t>
      </w:r>
    </w:p>
    <w:p>
      <w:pPr>
        <w:spacing w:line="360" w:lineRule="auto"/>
        <w:ind w:firstLine="480"/>
      </w:pPr>
      <w:r>
        <w:rPr>
          <w:rFonts w:hint="eastAsia"/>
        </w:rPr>
        <w:t>本次项目建设在受理系统3</w:t>
      </w:r>
      <w:r>
        <w:t>.0</w:t>
      </w:r>
      <w:r>
        <w:rPr>
          <w:rFonts w:hint="eastAsia"/>
        </w:rPr>
        <w:t>基础上，遵循现有总体架构进行升级改造，具体如下：</w:t>
      </w:r>
    </w:p>
    <w:p>
      <w:pPr>
        <w:numPr>
          <w:ilvl w:val="0"/>
          <w:numId w:val="4"/>
        </w:numPr>
        <w:spacing w:line="360" w:lineRule="auto"/>
        <w:ind w:firstLineChars="0"/>
      </w:pPr>
      <w:r>
        <w:rPr>
          <w:rFonts w:hint="eastAsia"/>
        </w:rPr>
        <w:t>基于JavaEE规范的总体技术路线进行设计开发。</w:t>
      </w:r>
    </w:p>
    <w:p>
      <w:pPr>
        <w:numPr>
          <w:ilvl w:val="0"/>
          <w:numId w:val="4"/>
        </w:numPr>
        <w:spacing w:line="360" w:lineRule="auto"/>
        <w:ind w:firstLineChars="0"/>
      </w:pPr>
      <w:r>
        <w:rPr>
          <w:rFonts w:hint="eastAsia"/>
        </w:rPr>
        <w:t>将受理系统应用层面架构从单体架构升级为微服务架构，并完成信创适配，搭建微服务框架，根据业务需求对应用系统进行升级。</w:t>
      </w:r>
    </w:p>
    <w:p>
      <w:pPr>
        <w:numPr>
          <w:ilvl w:val="0"/>
          <w:numId w:val="4"/>
        </w:numPr>
        <w:spacing w:line="360" w:lineRule="auto"/>
        <w:ind w:firstLineChars="0"/>
      </w:pPr>
      <w:r>
        <w:rPr>
          <w:rFonts w:hint="eastAsia"/>
        </w:rPr>
        <w:t>受理系统与条线部门业务系统之间的接口，支持根据情况采用Webservice接口技术和RESTFUL接口技术。</w:t>
      </w:r>
    </w:p>
    <w:p>
      <w:pPr>
        <w:numPr>
          <w:ilvl w:val="0"/>
          <w:numId w:val="4"/>
        </w:numPr>
        <w:spacing w:line="360" w:lineRule="auto"/>
        <w:ind w:firstLine="480" w:firstLineChars="0"/>
      </w:pPr>
      <w:r>
        <w:rPr>
          <w:rFonts w:hint="eastAsia"/>
        </w:rPr>
        <w:t>受理系统本次升级改造后将整体迁移到信创云，采用云计算及虚拟化技术，充分利用云资源环境。</w:t>
      </w:r>
    </w:p>
    <w:p>
      <w:pPr>
        <w:pStyle w:val="3"/>
      </w:pPr>
      <w:r>
        <w:rPr>
          <w:rFonts w:hint="eastAsia"/>
        </w:rPr>
        <w:t>项目建设清单</w:t>
      </w:r>
    </w:p>
    <w:p>
      <w:pPr>
        <w:pStyle w:val="4"/>
      </w:pPr>
      <w:r>
        <w:rPr>
          <w:rFonts w:hint="eastAsia"/>
        </w:rPr>
        <w:t>软件开发</w:t>
      </w:r>
    </w:p>
    <w:tbl>
      <w:tblPr>
        <w:tblStyle w:val="40"/>
        <w:tblW w:w="8428" w:type="dxa"/>
        <w:tblInd w:w="0" w:type="dxa"/>
        <w:tblLayout w:type="autofit"/>
        <w:tblCellMar>
          <w:top w:w="0" w:type="dxa"/>
          <w:left w:w="108" w:type="dxa"/>
          <w:bottom w:w="0" w:type="dxa"/>
          <w:right w:w="108" w:type="dxa"/>
        </w:tblCellMar>
      </w:tblPr>
      <w:tblGrid>
        <w:gridCol w:w="675"/>
        <w:gridCol w:w="1050"/>
        <w:gridCol w:w="1875"/>
        <w:gridCol w:w="4828"/>
      </w:tblGrid>
      <w:tr>
        <w:tblPrEx>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功能模块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功能名称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功能描述</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1</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一网通办创新工作-虚拟窗口服务模式-虚拟窗口模式优化</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上门办-延伸端硬件适配改造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上门办是利用定制化的一体化设备（包括一台PAD、一台移动式读卡器一台移动式打印机）实现上门办理社区事务受理事项的模式，受理系统虚拟窗口延伸端需要改造适配PAD屏幕，并就移动式读卡器、移动打印机、PAD摄像头识别二维码等功能与受理系统的接口进行对接。</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上门办-延伸端安全性改造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适应移动化办事的安全要求，受理系统虚拟窗口延伸端利用PAD的LBS定位功能获取精确位置信息，并通过自检接口和办事接口上传位置信息，在虚拟窗口管理模块中，增设专门针对“上门办”的管理功能，针对“上门办”点位信息进行维护，进行专门的标签和服务时间控制。</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上门办-中心端办事接口和功能改造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在咨询和办事接口中增加“上门办”位置的相关字段并进行记录，在中心端对虚拟窗口办事的统计模块中，增设专门针对“上门办”的统计功能，专项统计上门办的办理量和咨询量。</w:t>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全市通办-延伸端改造-自由取号</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虚拟窗口延伸端增设收受分离办件清单展示，新增选择受理中心进行取号的功能，并可以展示多个中心的排队情况。</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全市通办-延伸端中心端联动改造-换中心取号</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增加换中心取号操作，即第一次呼叫视频的中心发现不是本中心可受理业务，受理中心可以在视频交互时通过选择需选择的受理中心并点击“更换中心”按钮，将换中心受理的建议通过调用接口发送到延伸端，延伸端提供换中心接口供中心端调用，延伸端接收换中心信息推送并向居民展示相关页面进行操作。</w:t>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全市通办-延伸端中心端联动改造-收受分离办件记录</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增设全市通办收受分离办件提交接口，增加记录收受分离信息。</w:t>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7</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全市通办-中心端改造—统计分析改造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在统计分析平台上，为来自于与虚拟窗口的收受分离办件进行专项统计，根据试点进展逐步取代原有收受分离办件的统计。</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8</w:t>
            </w:r>
          </w:p>
        </w:tc>
        <w:tc>
          <w:tcPr>
            <w:tcW w:w="1050" w:type="dxa"/>
            <w:vMerge w:val="continue"/>
            <w:tcBorders>
              <w:left w:val="single" w:color="000000" w:sz="4" w:space="0"/>
              <w:bottom w:val="nil"/>
              <w:right w:val="single" w:color="000000" w:sz="4" w:space="0"/>
            </w:tcBorders>
            <w:shd w:val="clear" w:color="auto" w:fill="auto"/>
            <w:vAlign w:val="center"/>
          </w:tcPr>
          <w:p>
            <w:pPr>
              <w:widowControl/>
              <w:ind w:firstLine="0" w:firstLineChars="0"/>
              <w:textAlignment w:val="center"/>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全市通办-中心端改造—逐步试点支持</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收受分离事项增加控制点，支持对收受分离事项设置是否支持虚拟窗口模式（需要支持原模式、虚拟窗口模式、双模式并存），对于双模式并存的，在虚拟窗口接办情况下该事项不能选择原模式收受分离入口，在虚拟窗口模式下，该事项原收受分离入口关闭。</w:t>
            </w:r>
          </w:p>
        </w:tc>
      </w:tr>
      <w:tr>
        <w:tblPrEx>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9</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一网通办创新工作-虚拟窗口服务模式-虚拟窗口过程优化</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异常排队票号和异常评价过程处理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考虑到网络或操作的问题，可能出现延伸端设备掉线、重启等问题，造成异常的排队票号或者异常的评价等待，新增针对异常排队票号和异常评价过程的处理功能模块，包括支持在延伸端重新唤起排队号或者强制过号（切断办理状态）。</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10</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完善办事中二次读卡功能</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目前有14个事项，需要在办理过程中读取身份证/社保卡/居住证等内容，需要在延伸端针对这14个事项专门开发二次读卡页面，根据中心端的读卡请求（通过接口传递）引导用户进行远端读卡操作，中心端也接收读卡数据，校验后写入特定的位置。</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11</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完善电子申请表推送-制式申请表</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在虚拟窗口受理过程中，将申请表推送到延伸端，由居民打印后签名再拍照上传，或者直接电子签名，目前涉及申请表推送的事项约76个（113个子项），其中制式申请表93个子事项，针对这些情形，需要制作申请表的pdf文件并配置到对应事项申请表位置，还要改造通用材料列表操作模式支持经申请表发送到延伸端打印签字并接收回传。</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12</w:t>
            </w:r>
          </w:p>
        </w:tc>
        <w:tc>
          <w:tcPr>
            <w:tcW w:w="1050" w:type="dxa"/>
            <w:vMerge w:val="continue"/>
            <w:tcBorders>
              <w:left w:val="single" w:color="000000" w:sz="4" w:space="0"/>
              <w:bottom w:val="nil"/>
              <w:right w:val="single" w:color="000000" w:sz="4" w:space="0"/>
            </w:tcBorders>
            <w:shd w:val="clear" w:color="auto" w:fill="auto"/>
            <w:vAlign w:val="center"/>
          </w:tcPr>
          <w:p>
            <w:pPr>
              <w:widowControl/>
              <w:ind w:firstLine="0" w:firstLineChars="0"/>
              <w:textAlignment w:val="center"/>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完善电子申请表推送-系统生成申请表</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在虚拟窗口受理过程中，将申请表推送到延伸端，由居民打印后签名再拍照上传，或者直接电子签名，目前涉及申请表推送的事项约76个（113个子项），其中系统生成申请表20个子事项，针对这些情形，需要改造申请表生成逻辑，将表单录入信息生成pdf格式申请表并实时绑定到通用材料列表，再按照制式申请表方式实现打印、签名、回传。</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13</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一网通办创新工作-虚拟窗口服务模式-虚拟窗口管理优化</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增加设备自检</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延伸点缺乏专业的IT人员，虚拟窗口设备突然出现问题时难以准确定位问题，可能造成延伸点的长时间停摆，因此增加设备自检功能，对于一体化的虚拟窗口设备，开机时自动检测设备本身以及主要外设（读卡器、打印机、扫码枪）的健康状况，出现问题及时明确报警，并通过接口上报中心端，方便延伸点工作人员及时上报处置。</w:t>
            </w:r>
          </w:p>
        </w:tc>
      </w:tr>
      <w:tr>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14</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延伸点设备实时查询</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在中心端增加实时查询延伸点运行情况，通过延伸点设备启动以及办事情况的数据判断延伸点的运行情况，提升管理的时效性。</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15</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与政务地图系统的交互和对账功能</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目前受理系统和政务地图交互虚拟窗口延伸点的方式为非定期推送，随着延伸点数量增多和管理规范化，受理系统和政务地图之间关于延伸点的数据推送改为每天同步，并在同步后增加对账机制，从总量数据和增量数据两个方向对双方的延伸点数据进行核对，确保双方数据一致性，如出现不一致，将形成问题工单报运管中心。</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16</w:t>
            </w:r>
          </w:p>
        </w:tc>
        <w:tc>
          <w:tcPr>
            <w:tcW w:w="1050" w:type="dxa"/>
            <w:vMerge w:val="continue"/>
            <w:tcBorders>
              <w:left w:val="single" w:color="000000" w:sz="4" w:space="0"/>
              <w:bottom w:val="nil"/>
              <w:right w:val="single" w:color="000000" w:sz="4" w:space="0"/>
            </w:tcBorders>
            <w:shd w:val="clear" w:color="auto" w:fill="auto"/>
            <w:vAlign w:val="center"/>
          </w:tcPr>
          <w:p>
            <w:pPr>
              <w:widowControl/>
              <w:ind w:firstLine="0" w:firstLineChars="0"/>
              <w:textAlignment w:val="center"/>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对接完善-针对视频交互的对接完善</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根据一网通办的统一要求，将一网通办工具箱内交通银行的视频服务接入虚拟窗口，支持交行视频和腾讯视频的并行（交行视频服务需要试点并推广），针对交行视频因安全信道建立造成的加载延迟，在虚拟窗口叫号操作的同时预先启动一对一视频房间的建立，同时在延伸端增设等待页面，避免用户在取号确认后陷入长时间等待。</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17</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一网通办常规工作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预填预审改造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根据办件库对接规范6.0针对预填预审考核的要求，在受理系统中开发预填预审考核公共功能，包括预填信息归集、预审信息归集、通用预填预审接口调用、通用预审接口调用四个通用功能，用于支撑后续涉及9个条线的事项窗口受理页面的预填预审改造。</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18</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电子签名工作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针对一表多签情况进行改造支持，需要在受理系统上增设多签操作按钮和查阅签字内容环节，涉及事项共计36个（对应53个子事项）。</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19</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电子签名工作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承诺确认。目前残联的部分事项在申请表上存在抄写承诺并签名的情况，考虑到在电子签名场景下抄写的复杂性，拟采用勾选确认承诺内容并签名的方式实现，涉及9个事项。</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20</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电子签名工作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在纳入受理中心的条线中推广电子签名，人社中社保类事项（已经对接）、公安中社保卡事项（因采用嵌入式方式对接事项，无法进行电子签名改造）、档案（材料反馈无需签名）、经信委（仅1个事项无需签名）外，需要改造8个条线的事项，预计改造的总是事项数将不少于100个。</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21</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电子档案工作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人社条线社保板块26个事项进行电子档案改造，包括按照《上海社保电子档案元数据结构》v0.9，需要针对“归档事项基本信息.XML”、“办理流程基本信息.XML”、“电子文件基本信息.XML”三个基本数据包进行扩充，并调用相关电子档案流程接口。</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22</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电子档案工作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人社条线城乡居保板块11个事项进行电子档案改造，，包括按照《上海社保电子档案元数据结构》v0.9，需要针对“归档事项基本信息.XML”、“办理流程基本信息.XML”、“电子文件基本信息.XML”三个基本数据包进行扩充，并调用相关电子档案流程接口。</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23</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“一件事”新增和优化工作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配合完成“养老服务一件事”的新增工作，其中受理系统涉及长护险申请（医保事项）、养老服务补贴申请（民政事项）、申请老年综合津贴（民政事项，本项目新增）、敬老卡申请（公安事项）。</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24</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“一件事”新增和优化工作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配合完成新生儿出生“一件事”的优化工作，由于医保国统的升级，新生儿出生“一件事”中医保记录册申领事项（建账前制册）暂不可用，受理系统需配合医保部门，对医保记录册申领事项进行改造，恢复医保记录册申领事项（建账前制册）事项的办理，确保新生儿出生“一件事”的完整。</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25</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“一件事”新增和优化工作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配合完成残疾人服务“一件事”，配合完成残疾人证注销、城乡居民基本养老保险补助两个事项纳入“一件事”的相关工作，新增线下一件事办理入口（针对残疾人服务“一件事”特有的支持串联办理、并联办理以及支持串联办理下第二阶段启动场景），新增残疾人服务“一件事”特有的串联办理两阶段间数据更新监控服务。</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26</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“一件事”新增和优化工作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报销一件事由于医保国拨系统升级根据医保要求，将原医保事项“新增结算服务项目的相关手续（职保零报）”和“新增结算服务项目的相关手续（居保零报）”改为对接国拨事项“零星报销登记（职保、居保）”并新增虚拟物流功能（针对电子票据的特殊流程，确保网上申请流程可以推进），包括线上和线下两个渠道一件事对接。</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27</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“一件事”新增和优化工作</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配合完成“城乡居保参保缴费一件事”的线下一件事新增工作，其中受理系统涉及申请办理城乡居保个人参保登记手续 （人社事项）、灵活就业及城乡居民个人委托扣款协议签订（税务事项）、城乡居民基本养老保险缴费标准选择（税务事项）</w:t>
            </w:r>
          </w:p>
        </w:tc>
      </w:tr>
      <w:tr>
        <w:tblPrEx>
          <w:tblCellMar>
            <w:top w:w="0" w:type="dxa"/>
            <w:left w:w="108" w:type="dxa"/>
            <w:bottom w:w="0" w:type="dxa"/>
            <w:right w:w="108" w:type="dxa"/>
          </w:tblCellMar>
        </w:tblPrEx>
        <w:trPr>
          <w:trHeight w:val="3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28</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办件库对接规范更新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2023年底，一网通办发布了办件库对接规范6.0。受理系统作为一网通办的重要组成部分，需要根据对接规范要求进行升级，本次升级的主要内容是对办件信息中办理人的设置和传递，受理系统需根据不同的事项特点，将代办人/监护人等信息写入办理人字段，需要根据不同事项要求写入不同身份人员的内容，首批解决公安的人户分离登记事项和残联事项代办人写入（残联规则特殊，助残员帮助残疾人申请的情景下，残疾人本人作为申请人，助残员作为办理人，助残员与残疾人并无实际亲属关系，助残员不需要录入办理人信息）。</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29</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服务事项编码更新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根据市政府办公厅牵头对全市公共服务事项进行梳理和统一编码的工作要求，受理系统需要根据各条线的梳理进度和具体要求，更新事项编码，其中涉及受理系统本身配置信息变更，受理系统与办件库的对接数据变更，编码变更期的在途办件处理。</w:t>
            </w:r>
          </w:p>
        </w:tc>
      </w:tr>
      <w:tr>
        <w:tblPrEx>
          <w:tblCellMar>
            <w:top w:w="0" w:type="dxa"/>
            <w:left w:w="108" w:type="dxa"/>
            <w:bottom w:w="0" w:type="dxa"/>
            <w:right w:w="108" w:type="dxa"/>
          </w:tblCellMar>
        </w:tblPrEx>
        <w:trPr>
          <w:trHeight w:val="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30</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新版外国人永居证应用</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为了适配事项扩服人员需求，刷证类型新增外国人永居居留证和港澳台居民居住证2种证件类型，且办事页面兼容这两种证件类型，具体内容包括：</w:t>
            </w:r>
            <w:r>
              <w:rPr>
                <w:rFonts w:hint="eastAsia" w:cs="宋体"/>
                <w:kern w:val="0"/>
                <w:sz w:val="22"/>
                <w:szCs w:val="22"/>
                <w:lang w:bidi="ar"/>
              </w:rPr>
              <w:br w:type="textWrapping"/>
            </w:r>
            <w:r>
              <w:rPr>
                <w:rFonts w:hint="eastAsia" w:cs="宋体"/>
                <w:kern w:val="0"/>
                <w:sz w:val="22"/>
                <w:szCs w:val="22"/>
                <w:lang w:bidi="ar"/>
              </w:rPr>
              <w:t>1、将永居证作为身份认证证件的一种，支持在窗口刷证办事过程中使用；</w:t>
            </w:r>
            <w:r>
              <w:rPr>
                <w:rFonts w:hint="eastAsia" w:cs="宋体"/>
                <w:kern w:val="0"/>
                <w:sz w:val="22"/>
                <w:szCs w:val="22"/>
                <w:lang w:bidi="ar"/>
              </w:rPr>
              <w:br w:type="textWrapping"/>
            </w:r>
            <w:r>
              <w:rPr>
                <w:rFonts w:hint="eastAsia" w:cs="宋体"/>
                <w:kern w:val="0"/>
                <w:sz w:val="22"/>
                <w:szCs w:val="22"/>
                <w:lang w:bidi="ar"/>
              </w:rPr>
              <w:t>2.在人社、医保、公安、经信委相关事项中支持外国人永居证的二次读卡或信息录入，涉及11个事项。</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31</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立功竞赛考试模块</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题库管理：建立客观题的题库，支持excel模板下载，线下维护后再上传</w:t>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32</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立功竞赛考试模块</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科目管理：建立机考题（一网通办类和条线业务类）的题库和考试考生管理，市民政用户可以在题库中预先出好立功竞赛考试用题。题库支持考试（竞赛）批次设置以及试题新增、编辑、分类（单选题、多选题、判断题）、考试次数、及格分数等机考考试通用功能。</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33</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立功竞赛考试模块</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机考题考试：参加立功竞赛的受理中心参赛选手可以登录模块进行客观题答题，客观题考卷支持基于题库固定生成和随机生成。考试需要倒计时（考试时限可预设），考试支持答题情况总览和题目导航，考试结束后自动计分，考试需要支持防作弊手段（例如保持考试页面最前，不允许关闭考试页面等）。</w:t>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34</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立功竞赛考试模块</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实操题考试：参加立功竞赛的受理中心参赛选手可以登录模块进行实操题答题，工作人员可以先阅读题干，再进入模拟系统，按照“确定申请人身份”-“选择事项”-“操作事项受理”的顺序完成实操模拟，模拟过程中系统会记录参赛选手的操作过程，并和标准操作数据模板比对评分，每题答完自动计分。</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35</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立功竞赛考试模块</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比赛监控和结果统计：支持对机考和实操题答题情况的监控（考试次数统计、考试过程明细、成绩汇总等），支持对机考题和实操题答题结果的统计以及打分明细查询。</w:t>
            </w: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36</w:t>
            </w:r>
          </w:p>
        </w:tc>
        <w:tc>
          <w:tcPr>
            <w:tcW w:w="1050" w:type="dxa"/>
            <w:vMerge w:val="continue"/>
            <w:tcBorders>
              <w:left w:val="single" w:color="000000" w:sz="4" w:space="0"/>
              <w:bottom w:val="nil"/>
              <w:right w:val="single" w:color="000000" w:sz="4" w:space="0"/>
            </w:tcBorders>
            <w:shd w:val="clear" w:color="auto" w:fill="auto"/>
            <w:vAlign w:val="center"/>
          </w:tcPr>
          <w:p>
            <w:pPr>
              <w:widowControl/>
              <w:ind w:firstLine="0" w:firstLineChars="0"/>
              <w:textAlignment w:val="center"/>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立功竞赛考试模块</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实操题数据模板生成。按照受理系统模拟操作平台的实现原理，实操题的实现需要根据题干描述建立每个事项的模拟交互报文，将这些报文放在条线系统模拟器内才能在考试时模仿真实的条线系统或者一网通办系统的反馈，因此，还需要针对实操题的题干，构建每个事项的模拟交互报文。</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37</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条线事项新增和改造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税务</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新增子事项（情形）（情形）：灵活就业及城乡居民社会保险费退费申请。</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38</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税务</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新增子事项（情形）：灵活就业及城乡居民社会保险费退费情况查询。</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39</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民政</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新增子事项（情形）：发放老年综合津贴(新办)。</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40</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民政</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新增子事项（情形）：发放老年综合津贴(发放渠道变更)。</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41</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民政</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新增子事项（情形）：老年人助餐补贴（新办）。</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42</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民政</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新增子事项（情形）：老年人助餐补贴（变更）。</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43</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民政</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新增对接系统：民政业务中台，对接5个业务接口。</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44</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公安</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新增子事项（情形）：户分离受理增加补领凭证。</w:t>
            </w:r>
          </w:p>
        </w:tc>
      </w:tr>
      <w:tr>
        <w:tblPrEx>
          <w:tblCellMar>
            <w:top w:w="0" w:type="dxa"/>
            <w:left w:w="108" w:type="dxa"/>
            <w:bottom w:w="0" w:type="dxa"/>
            <w:right w:w="108" w:type="dxa"/>
          </w:tblCellMar>
        </w:tblPrEx>
        <w:trPr>
          <w:trHeight w:val="40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45</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公安</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居住登记事项根据公安和纪委要求调整，对申请人通过使用租赁备案证明办理“居住登记”情形的，予以单列（剥离为子事项），优化系统操作流程，优先调用市大数据中心“证照库”中的“住房租赁合同备案通知书”电子证照，完成自动核验。对于无法调用电子证照的情形，受理系统允许工作人员通过高拍仪采集租赁备案回执照片，通过大数据中心提供的租赁备案材料核验接口，对材料进行核验，核验不通过需提示工作人员。同时也对于居民身份证等高拍仪采集材料，受理系统通过大数据中心提供的身份证材料核验接口，对材料进行核验，核验不通过需提示工作人员。</w:t>
            </w:r>
          </w:p>
        </w:tc>
      </w:tr>
      <w:tr>
        <w:tblPrEx>
          <w:tblCellMar>
            <w:top w:w="0" w:type="dxa"/>
            <w:left w:w="108" w:type="dxa"/>
            <w:bottom w:w="0" w:type="dxa"/>
            <w:right w:w="108" w:type="dxa"/>
          </w:tblCellMar>
        </w:tblPrEx>
        <w:trPr>
          <w:trHeight w:val="54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46</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公安</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居住登记事项根据公安和纪委要求调整，对申请人通过使用集体宿舍证明办理“居住登记”情形的，予以单列（剥离为子事项），分两个阶段优化系统操作流程：</w:t>
            </w:r>
            <w:r>
              <w:rPr>
                <w:rFonts w:hint="eastAsia" w:cs="宋体"/>
                <w:kern w:val="0"/>
                <w:sz w:val="22"/>
                <w:szCs w:val="22"/>
                <w:lang w:bidi="ar"/>
              </w:rPr>
              <w:br w:type="textWrapping"/>
            </w:r>
            <w:r>
              <w:rPr>
                <w:rFonts w:hint="eastAsia" w:cs="宋体"/>
                <w:kern w:val="0"/>
                <w:sz w:val="22"/>
                <w:szCs w:val="22"/>
                <w:lang w:bidi="ar"/>
              </w:rPr>
              <w:t>阶段一：开发集体宿舍证明OCR模型，对办理过程中工作人员用高拍仪采集的集体宿舍证明进行识别，利用识别出来的身份证号、姓名、地址对工作人员录入数据进行核验，同时该OCR模型需要开发接口并注册到一网通办中台，同时也对于居民身份证等高拍仪采集材料，受理系统通过大数据中心提供的身份证材料核验接口，对材料进行核验，核验不通过需提示工作人员。</w:t>
            </w:r>
            <w:r>
              <w:rPr>
                <w:rFonts w:hint="eastAsia" w:cs="宋体"/>
                <w:kern w:val="0"/>
                <w:sz w:val="22"/>
                <w:szCs w:val="22"/>
                <w:lang w:bidi="ar"/>
              </w:rPr>
              <w:br w:type="textWrapping"/>
            </w:r>
            <w:r>
              <w:rPr>
                <w:rFonts w:hint="eastAsia" w:cs="宋体"/>
                <w:kern w:val="0"/>
                <w:sz w:val="22"/>
                <w:szCs w:val="22"/>
                <w:lang w:bidi="ar"/>
              </w:rPr>
              <w:t>阶段二：在“居住证一件事”完成集体宿舍证明线上开具流程后，受理系统调用材料库接口获取申请人的集体宿舍证明材料，并抽取姓名、身份证号、地址等信息，与与事项表单内输入内容进行比对，比对不一致提示工作人员。</w:t>
            </w:r>
          </w:p>
        </w:tc>
      </w:tr>
      <w:tr>
        <w:tblPrEx>
          <w:tblCellMar>
            <w:top w:w="0" w:type="dxa"/>
            <w:left w:w="108" w:type="dxa"/>
            <w:bottom w:w="0" w:type="dxa"/>
            <w:right w:w="108" w:type="dxa"/>
          </w:tblCellMar>
        </w:tblPrEx>
        <w:trPr>
          <w:trHeight w:val="3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47</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公安</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居住登记事项根据公安和纪委要求调整，对申请人通过使用房屋产权证明办理“居住登记”情形的，予以单列（剥离为子事项），优化系统操作流程，受理系统对工作人员通过高拍仪采集的房屋产权证明照片，通过大数据中心提供的房屋产权证明材料核验接口，对材料进行核验，核验不通过需提示工作人员。同时也对于居民身份证等高拍仪采集材料，受理系统通过大数据中心提供的身份证材料核验接口，对材料进行核验，核验不通过需提示工作人员。</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48</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医保</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受理系统针对刷证办事增加个人医保电子凭证的支持，在“医保卡”入口增加二级选择，针对选择个人医保电子凭证的，通过扫码枪读取个人医保凭证（二维码），调用医保相关接口获取个人信息。</w:t>
            </w:r>
          </w:p>
        </w:tc>
      </w:tr>
      <w:tr>
        <w:tblPrEx>
          <w:tblCellMar>
            <w:top w:w="0" w:type="dxa"/>
            <w:left w:w="108" w:type="dxa"/>
            <w:bottom w:w="0" w:type="dxa"/>
            <w:right w:w="108" w:type="dxa"/>
          </w:tblCellMar>
        </w:tblPrEx>
        <w:trPr>
          <w:trHeight w:val="29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49</w:t>
            </w: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医保</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医保相关事项需要增加对个人医保电子凭证的支持， 需要在8个事项（对应13个子事项）的中增加读取医保电子凭证，需针对每个子事项页面特定控制点进行改造开发，也需要对虚拟窗口延伸环境下二次读卡页面进行改造开发，通过扫码枪读取个人医保凭证（二维码），调用医保相关接口获取个人信息以及医保账户信息，并进行业务相关校验。</w:t>
            </w: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50</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信创改造和架构升级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存储过程改为系统逻辑</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受理系统中目前48个存储过程，主要是统计数据抽取，统计数据计算等工作，在迁移到信创环境后，不能再使用存储过程， 需要将存储过程改为Java代码实现，由于采用分布式数据库，库表结构变化后结合存储过程原有业务目标重新设计，同时进行了数据库加密，还需要解决数据抽取处理的加解密问题。</w:t>
            </w: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51</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微服务化改造-构建微服务框架</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建立微服务框架，在x86环境和信创环境搭建微服务框架，搭建注册中心、服务网关、服务监控、服务熔断；开发服务认证等服务能力。</w:t>
            </w:r>
          </w:p>
        </w:tc>
      </w:tr>
      <w:tr>
        <w:tblPrEx>
          <w:tblCellMar>
            <w:top w:w="0" w:type="dxa"/>
            <w:left w:w="108" w:type="dxa"/>
            <w:bottom w:w="0" w:type="dxa"/>
            <w:right w:w="108" w:type="dxa"/>
          </w:tblCellMar>
        </w:tblPrEx>
        <w:trPr>
          <w:trHeight w:val="40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52</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微服务化改造-操作平台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操作平台事项194个（对应279个子事项），整合咨询功能5个（对应90个咨询页面），94个系统功能进行微服务改造。事项中排除采用嵌入式对接的社保卡事项（8个事项11个子事项），实际纳入改造的事项为186个事项（对应268个子事项），含268个窗口受理功能节点，24个收受分离功能节点,193个一网通办后台受理功能节点，34个一件事受理功能节点，共计519个事项功能节点。</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53</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微服务化改造-市级监管平台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针对市级监管平台26个功能进行微服务化改造。</w:t>
            </w: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54</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微服务化改造-虚拟窗口平台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针对虚拟窗口平台涉及22个功能进行微服务化改造。</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55</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微服务化改造-运维监控平台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针对运维监控平台涉及14个功能，划分一个微服务。</w:t>
            </w:r>
          </w:p>
        </w:tc>
      </w:tr>
      <w:tr>
        <w:tblPrEx>
          <w:tblCellMar>
            <w:top w:w="0" w:type="dxa"/>
            <w:left w:w="108" w:type="dxa"/>
            <w:bottom w:w="0" w:type="dxa"/>
            <w:right w:w="108" w:type="dxa"/>
          </w:tblCellMar>
        </w:tblPrEx>
        <w:trPr>
          <w:trHeight w:val="7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56</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微服务化改造-统计分析平台</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针对统计分析平台115个功能进行微服务化改造。</w:t>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57</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微服务化改造-即时通知服务</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受集中式数据库转分布式数据库的影响较大，需要进行专门调整，即时通知服务涉及通知抓取，通知轮询等功能，需要根据分布式数据库下新的表结构调整取数规则等，涉及全市通办、一网通办、一件事的通知。</w:t>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58</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微服务化改造-模拟平台改造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在操作平台完成信创改造后，再基于操作平台进行改造，改造内容包括接口调用目标调整和用户认证调整。</w:t>
            </w:r>
          </w:p>
        </w:tc>
      </w:tr>
      <w:tr>
        <w:tblPrEx>
          <w:tblCellMar>
            <w:top w:w="0" w:type="dxa"/>
            <w:left w:w="108" w:type="dxa"/>
            <w:bottom w:w="0" w:type="dxa"/>
            <w:right w:w="108" w:type="dxa"/>
          </w:tblCellMar>
        </w:tblPrEx>
        <w:trPr>
          <w:trHeight w:val="29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59</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重建接口服务平台-接口源和用户权限管理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可以管理本系统作为服务端提供的接口，支持按方法、按用户、按时段等多个条线区分调用权限；可以管理本系统调用的外部系统接口，支持用户信息配置或者token方法获取配置。将目前分散在受理系统3.0多个子平台的50多个接口迁移整合到接口服务平台。</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60</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重建接口服务平台-接口开放</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对于本系统作为服务端的接口提供对外服务能力，提供接口信息查询，mock数据（模拟数据）配置，基于mock数据的调试支持（含日志记录）。</w:t>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61</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重建接口服务平台-接口编排</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目前一个业务过程需要多个接口调用的情况，支持接口编排和全局参数，允许在接口编排预设页面下对来自多个接口源的接口进行调用顺序编排，支持调用顺序自定义，支持全局参数（即传入参数在后各个接口调用时均有效）。支持多种事务控制方式（包括出错回退，出错终止等）。</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62</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重建接口服务平台-计划任务调用</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构建计划任务调用模块，实现受理系统内各种定时任务。目前受理系统内23个定时任务迁移到新平台。</w:t>
            </w:r>
          </w:p>
        </w:tc>
      </w:tr>
      <w:tr>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63</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重建接口服务平台-过程加解密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支持在接口交互过程中利用SM2、SM4等国密算法和RSA、AES等主流算法的加解密，内置对政务云虚拟加密机的调用能力。</w:t>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64</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重建接口服务平台-日志记录和全链路的监控</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整合受理系统内已有的ELK日志体系构建完整的日志处理平台，构建接口调用的全链路监控。</w:t>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65</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重建接口服务平台-接口查询统计</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可以对接口服务平台内管理的日志调用过程进行查询，并对接口调用次数、成功率进行统计（出具报表）。</w:t>
            </w:r>
          </w:p>
        </w:tc>
      </w:tr>
      <w:tr>
        <w:tblPrEx>
          <w:tblCellMar>
            <w:top w:w="0" w:type="dxa"/>
            <w:left w:w="108" w:type="dxa"/>
            <w:bottom w:w="0" w:type="dxa"/>
            <w:right w:w="108" w:type="dxa"/>
          </w:tblCellMar>
        </w:tblPrEx>
        <w:trPr>
          <w:trHeight w:val="10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66</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重建接口服务平台-集群管理</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接口服务平台支持集群化部署，可以对集群配置进行增删改查的操作，启停用集群，维护集群相关信息，并可对集群配置列表进行刷新操作。</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67</w:t>
            </w: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文件存储改造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针对受理系统的文件存储，从目前基于FTP的自研文件存储系统（性能较低，热备能力不足）转向高可用文件存储服务解决方案，搭建非结构化文件存储方案。</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68</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r>
              <w:rPr>
                <w:rFonts w:hint="eastAsia" w:cs="宋体"/>
                <w:kern w:val="0"/>
                <w:sz w:val="22"/>
                <w:szCs w:val="22"/>
                <w:lang w:bidi="ar"/>
              </w:rPr>
              <w:t>密码应用改造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密码应用改造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结构化数据加密字段梳理，表结构调整以及相关应用调整。</w:t>
            </w:r>
          </w:p>
        </w:tc>
      </w:tr>
      <w:tr>
        <w:tblPrEx>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69</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密码应用改造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数据库加密实施。</w:t>
            </w:r>
          </w:p>
        </w:tc>
      </w:tr>
      <w:tr>
        <w:tblPrEx>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70</w:t>
            </w:r>
          </w:p>
        </w:tc>
        <w:tc>
          <w:tcPr>
            <w:tcW w:w="1050" w:type="dxa"/>
            <w:vMerge w:val="continue"/>
            <w:tcBorders>
              <w:left w:val="single" w:color="000000" w:sz="4" w:space="0"/>
              <w:right w:val="single" w:color="000000" w:sz="4" w:space="0"/>
            </w:tcBorders>
            <w:shd w:val="clear" w:color="auto" w:fill="auto"/>
            <w:vAlign w:val="center"/>
          </w:tcPr>
          <w:p>
            <w:pPr>
              <w:ind w:firstLine="440"/>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密码应用改造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非结构化化数据加密存取应用改造。</w:t>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71</w:t>
            </w: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cs="宋体"/>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密码应用改造</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cs="宋体"/>
                <w:sz w:val="22"/>
                <w:szCs w:val="22"/>
              </w:rPr>
            </w:pPr>
            <w:r>
              <w:rPr>
                <w:rFonts w:hint="eastAsia" w:cs="宋体"/>
                <w:kern w:val="0"/>
                <w:sz w:val="22"/>
                <w:szCs w:val="22"/>
                <w:lang w:bidi="ar"/>
              </w:rPr>
              <w:t>敏感数据加密存储和解密查询，解密脱敏。</w:t>
            </w:r>
          </w:p>
        </w:tc>
      </w:tr>
    </w:tbl>
    <w:p>
      <w:pPr>
        <w:ind w:firstLine="0" w:firstLineChars="0"/>
      </w:pPr>
    </w:p>
    <w:p>
      <w:pPr>
        <w:pStyle w:val="4"/>
      </w:pPr>
      <w:r>
        <w:rPr>
          <w:rFonts w:hint="eastAsia"/>
        </w:rPr>
        <w:t>数据服务</w:t>
      </w:r>
    </w:p>
    <w:tbl>
      <w:tblPr>
        <w:tblStyle w:val="40"/>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25"/>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0" w:type="dxa"/>
            <w:shd w:val="clear" w:color="auto" w:fill="BFBFBF"/>
            <w:noWrap/>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序号</w:t>
            </w:r>
          </w:p>
        </w:tc>
        <w:tc>
          <w:tcPr>
            <w:tcW w:w="1225" w:type="dxa"/>
            <w:shd w:val="clear" w:color="auto" w:fill="BFBFBF"/>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建设内容</w:t>
            </w:r>
          </w:p>
        </w:tc>
        <w:tc>
          <w:tcPr>
            <w:tcW w:w="5874" w:type="dxa"/>
            <w:shd w:val="clear" w:color="auto" w:fill="BFBFBF"/>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0" w:type="dxa"/>
            <w:noWrap/>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1</w:t>
            </w:r>
          </w:p>
        </w:tc>
        <w:tc>
          <w:tcPr>
            <w:tcW w:w="1225" w:type="dxa"/>
            <w:vMerge w:val="restart"/>
            <w:noWrap/>
            <w:vAlign w:val="center"/>
          </w:tcPr>
          <w:p>
            <w:pPr>
              <w:ind w:firstLine="0" w:firstLineChars="0"/>
              <w:rPr>
                <w:rFonts w:asciiTheme="minorEastAsia" w:hAnsiTheme="minorEastAsia" w:eastAsiaTheme="minorEastAsia"/>
              </w:rPr>
            </w:pPr>
            <w:r>
              <w:rPr>
                <w:rFonts w:asciiTheme="minorEastAsia" w:hAnsiTheme="minorEastAsia" w:eastAsiaTheme="minorEastAsia"/>
              </w:rPr>
              <w:t>数据服务</w:t>
            </w:r>
          </w:p>
        </w:tc>
        <w:tc>
          <w:tcPr>
            <w:tcW w:w="5874" w:type="dxa"/>
            <w:vAlign w:val="center"/>
          </w:tcPr>
          <w:p>
            <w:pPr>
              <w:widowControl/>
              <w:ind w:firstLine="0" w:firstLineChars="0"/>
              <w:textAlignment w:val="center"/>
              <w:rPr>
                <w:rFonts w:cs="宋体"/>
                <w:kern w:val="0"/>
                <w:sz w:val="22"/>
                <w:szCs w:val="22"/>
                <w:lang w:bidi="ar"/>
              </w:rPr>
            </w:pPr>
            <w:r>
              <w:rPr>
                <w:rFonts w:cs="宋体"/>
                <w:kern w:val="0"/>
                <w:sz w:val="22"/>
                <w:szCs w:val="22"/>
                <w:lang w:bidi="ar"/>
              </w:rPr>
              <w:t>Oracle库中有大量的大量业务临时表、统计临时表、业务备份表等非业务表，这些表是受理系统近10年运行积累下来的，需要人工甄别是否有迁移的必要，有些临时表或者备份表也可以合并后迁移。Oracle库共计1822张表，业务表约1100张</w:t>
            </w:r>
            <w:r>
              <w:rPr>
                <w:rFonts w:hint="eastAsia"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0" w:type="dxa"/>
            <w:noWrap/>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2</w:t>
            </w:r>
          </w:p>
        </w:tc>
        <w:tc>
          <w:tcPr>
            <w:tcW w:w="1225" w:type="dxa"/>
            <w:vMerge w:val="continue"/>
            <w:vAlign w:val="center"/>
          </w:tcPr>
          <w:p>
            <w:pPr>
              <w:ind w:firstLine="0" w:firstLineChars="0"/>
              <w:rPr>
                <w:rFonts w:asciiTheme="minorEastAsia" w:hAnsiTheme="minorEastAsia" w:eastAsiaTheme="minorEastAsia"/>
              </w:rPr>
            </w:pPr>
          </w:p>
        </w:tc>
        <w:tc>
          <w:tcPr>
            <w:tcW w:w="5874" w:type="dxa"/>
            <w:vAlign w:val="center"/>
          </w:tcPr>
          <w:p>
            <w:pPr>
              <w:widowControl/>
              <w:ind w:firstLine="0" w:firstLineChars="0"/>
              <w:textAlignment w:val="center"/>
              <w:rPr>
                <w:rFonts w:cs="宋体"/>
                <w:kern w:val="0"/>
                <w:sz w:val="22"/>
                <w:szCs w:val="22"/>
                <w:lang w:bidi="ar"/>
              </w:rPr>
            </w:pPr>
            <w:r>
              <w:rPr>
                <w:rFonts w:cs="宋体"/>
                <w:kern w:val="0"/>
                <w:sz w:val="22"/>
                <w:szCs w:val="22"/>
                <w:lang w:bidi="ar"/>
              </w:rPr>
              <w:t>从现有环境迁移数据到信创环境前，针对表结构有变化的库表（主要涉及需要分库分表增加分片字段的表，以及需要考虑冗余信息避免多表查询的表），需要先在Oracle或Mysql中进行数据加工，再进行迁移。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0" w:type="dxa"/>
            <w:noWrap/>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1225" w:type="dxa"/>
            <w:vMerge w:val="continue"/>
            <w:vAlign w:val="center"/>
          </w:tcPr>
          <w:p>
            <w:pPr>
              <w:ind w:firstLine="0" w:firstLineChars="0"/>
              <w:rPr>
                <w:rFonts w:asciiTheme="minorEastAsia" w:hAnsiTheme="minorEastAsia" w:eastAsiaTheme="minorEastAsia"/>
              </w:rPr>
            </w:pPr>
          </w:p>
        </w:tc>
        <w:tc>
          <w:tcPr>
            <w:tcW w:w="5874" w:type="dxa"/>
            <w:vAlign w:val="center"/>
          </w:tcPr>
          <w:p>
            <w:pPr>
              <w:widowControl/>
              <w:ind w:firstLine="0" w:firstLineChars="0"/>
              <w:textAlignment w:val="center"/>
              <w:rPr>
                <w:rFonts w:cs="宋体"/>
                <w:kern w:val="0"/>
                <w:sz w:val="22"/>
                <w:szCs w:val="22"/>
                <w:lang w:bidi="ar"/>
              </w:rPr>
            </w:pPr>
            <w:r>
              <w:rPr>
                <w:rFonts w:cs="宋体"/>
                <w:kern w:val="0"/>
                <w:sz w:val="22"/>
                <w:szCs w:val="22"/>
                <w:lang w:bidi="ar"/>
              </w:rPr>
              <w:t>2025年结构化数据迁移：迁移部分操作平台数据（暂定为迁移时点前1年的受理数据，约1000万笔，涉及Oracle数据库CMCDEV用户下约300张表）以及全量的配置数据（包括事项、受理中心、延伸点等配置信息约100张表），这批迁移数据将用于2025年的数据库选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0" w:type="dxa"/>
            <w:noWrap/>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4</w:t>
            </w:r>
          </w:p>
        </w:tc>
        <w:tc>
          <w:tcPr>
            <w:tcW w:w="1225" w:type="dxa"/>
            <w:vMerge w:val="continue"/>
            <w:vAlign w:val="center"/>
          </w:tcPr>
          <w:p>
            <w:pPr>
              <w:ind w:firstLine="0" w:firstLineChars="0"/>
              <w:rPr>
                <w:rFonts w:asciiTheme="minorEastAsia" w:hAnsiTheme="minorEastAsia" w:eastAsiaTheme="minorEastAsia"/>
              </w:rPr>
            </w:pPr>
          </w:p>
        </w:tc>
        <w:tc>
          <w:tcPr>
            <w:tcW w:w="5874" w:type="dxa"/>
            <w:vAlign w:val="center"/>
          </w:tcPr>
          <w:p>
            <w:pPr>
              <w:widowControl/>
              <w:ind w:firstLine="0" w:firstLineChars="0"/>
              <w:textAlignment w:val="center"/>
              <w:rPr>
                <w:rFonts w:cs="宋体"/>
                <w:kern w:val="0"/>
                <w:sz w:val="22"/>
                <w:szCs w:val="22"/>
                <w:lang w:bidi="ar"/>
              </w:rPr>
            </w:pPr>
            <w:r>
              <w:rPr>
                <w:rFonts w:cs="宋体"/>
                <w:kern w:val="0"/>
                <w:sz w:val="22"/>
                <w:szCs w:val="22"/>
                <w:lang w:bidi="ar"/>
              </w:rPr>
              <w:t>2026年结构化数据迁移：将全量的结构化数据从x86环境迁移到信创环境，预计Oracle迁移9TB数据，mysql迁移120GB数据，redis迁移2-3G数据，Elasticsearch迁移约300GB数据</w:t>
            </w:r>
            <w:r>
              <w:rPr>
                <w:rFonts w:hint="eastAsia"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0" w:type="dxa"/>
            <w:noWrap/>
            <w:vAlign w:val="center"/>
          </w:tcPr>
          <w:p>
            <w:pPr>
              <w:ind w:firstLine="0" w:firstLineChars="0"/>
              <w:rPr>
                <w:rFonts w:asciiTheme="minorEastAsia" w:hAnsiTheme="minorEastAsia" w:eastAsiaTheme="minorEastAsia"/>
              </w:rPr>
            </w:pPr>
            <w:r>
              <w:rPr>
                <w:rFonts w:hint="eastAsia" w:asciiTheme="minorEastAsia" w:hAnsiTheme="minorEastAsia" w:eastAsiaTheme="minorEastAsia"/>
              </w:rPr>
              <w:t>5</w:t>
            </w:r>
          </w:p>
        </w:tc>
        <w:tc>
          <w:tcPr>
            <w:tcW w:w="1225" w:type="dxa"/>
            <w:vMerge w:val="continue"/>
            <w:vAlign w:val="center"/>
          </w:tcPr>
          <w:p>
            <w:pPr>
              <w:ind w:firstLine="0" w:firstLineChars="0"/>
              <w:rPr>
                <w:rFonts w:asciiTheme="minorEastAsia" w:hAnsiTheme="minorEastAsia" w:eastAsiaTheme="minorEastAsia"/>
              </w:rPr>
            </w:pPr>
          </w:p>
        </w:tc>
        <w:tc>
          <w:tcPr>
            <w:tcW w:w="5874" w:type="dxa"/>
            <w:vAlign w:val="center"/>
          </w:tcPr>
          <w:p>
            <w:pPr>
              <w:widowControl/>
              <w:ind w:firstLine="0" w:firstLineChars="0"/>
              <w:textAlignment w:val="center"/>
              <w:rPr>
                <w:rFonts w:cs="宋体"/>
                <w:kern w:val="0"/>
                <w:sz w:val="22"/>
                <w:szCs w:val="22"/>
                <w:lang w:bidi="ar"/>
              </w:rPr>
            </w:pPr>
            <w:r>
              <w:rPr>
                <w:rFonts w:cs="宋体"/>
                <w:kern w:val="0"/>
                <w:sz w:val="22"/>
                <w:szCs w:val="22"/>
                <w:lang w:bidi="ar"/>
              </w:rPr>
              <w:t>2026年非结构化数据迁移：将全量在库的非结构化数据从x86环境迁移到信创环境，预计迁移数据11TB，需要构建多线性迁移程序并持续监控和验证迁移成果</w:t>
            </w:r>
            <w:r>
              <w:rPr>
                <w:rFonts w:hint="eastAsia" w:cs="宋体"/>
                <w:kern w:val="0"/>
                <w:sz w:val="22"/>
                <w:szCs w:val="22"/>
                <w:lang w:bidi="ar"/>
              </w:rPr>
              <w:t>。</w:t>
            </w:r>
          </w:p>
        </w:tc>
      </w:tr>
    </w:tbl>
    <w:p>
      <w:pPr>
        <w:pStyle w:val="18"/>
      </w:pPr>
    </w:p>
    <w:p>
      <w:pPr>
        <w:pStyle w:val="2"/>
        <w:ind w:firstLine="643"/>
        <w:rPr>
          <w:color w:val="auto"/>
        </w:rPr>
      </w:pPr>
      <w:bookmarkStart w:id="18" w:name="_Toc63785502"/>
      <w:r>
        <w:rPr>
          <w:rFonts w:hint="eastAsia"/>
          <w:color w:val="auto"/>
        </w:rPr>
        <w:t>电子政务云资源需求</w:t>
      </w:r>
      <w:bookmarkEnd w:id="18"/>
    </w:p>
    <w:p>
      <w:pPr>
        <w:pStyle w:val="6"/>
        <w:spacing w:line="360" w:lineRule="auto"/>
        <w:ind w:firstLine="480"/>
        <w:rPr>
          <w:rFonts w:ascii="宋体" w:hAnsi="宋体" w:eastAsia="宋体"/>
          <w:sz w:val="24"/>
          <w:szCs w:val="24"/>
        </w:rPr>
      </w:pPr>
      <w:r>
        <w:rPr>
          <w:rFonts w:hint="eastAsia" w:ascii="宋体" w:hAnsi="宋体" w:eastAsia="宋体"/>
          <w:sz w:val="24"/>
          <w:szCs w:val="24"/>
        </w:rPr>
        <w:t>本次申请信创云资源主要用于应用的部署，参考类似项目进行信创改造的经验，信创云需按X86云同等算力的1.5倍申请资源，信创云也按政务外网区和互联网分别申请资源。</w:t>
      </w:r>
    </w:p>
    <w:p>
      <w:pPr>
        <w:pStyle w:val="6"/>
        <w:spacing w:line="360" w:lineRule="auto"/>
        <w:ind w:firstLine="480"/>
        <w:rPr>
          <w:rFonts w:ascii="宋体" w:hAnsi="宋体" w:eastAsia="宋体"/>
          <w:sz w:val="24"/>
          <w:szCs w:val="24"/>
        </w:rPr>
      </w:pPr>
      <w:r>
        <w:rPr>
          <w:rFonts w:hint="eastAsia" w:ascii="宋体" w:hAnsi="宋体" w:eastAsia="宋体"/>
          <w:sz w:val="24"/>
          <w:szCs w:val="24"/>
        </w:rPr>
        <w:t>信创云的生产环境将包括政务外网侧和互联网侧两个VPC，此外信创云还需申请热备环境。</w:t>
      </w:r>
    </w:p>
    <w:p>
      <w:pPr>
        <w:pStyle w:val="6"/>
        <w:spacing w:line="360" w:lineRule="auto"/>
        <w:ind w:firstLine="480"/>
        <w:rPr>
          <w:rFonts w:ascii="宋体" w:hAnsi="宋体" w:eastAsia="宋体"/>
          <w:sz w:val="24"/>
          <w:szCs w:val="24"/>
        </w:rPr>
      </w:pPr>
    </w:p>
    <w:p>
      <w:pPr>
        <w:pStyle w:val="2"/>
        <w:ind w:hanging="1418"/>
        <w:rPr>
          <w:color w:val="auto"/>
        </w:rPr>
      </w:pPr>
      <w:bookmarkStart w:id="19" w:name="_Toc63785503"/>
      <w:r>
        <w:rPr>
          <w:rFonts w:hint="eastAsia"/>
          <w:color w:val="auto"/>
        </w:rPr>
        <w:t>其他工作要求</w:t>
      </w:r>
      <w:bookmarkEnd w:id="19"/>
      <w:bookmarkStart w:id="20" w:name="_Toc63585480"/>
      <w:bookmarkEnd w:id="20"/>
      <w:bookmarkStart w:id="21" w:name="_Toc63762370"/>
      <w:bookmarkEnd w:id="21"/>
      <w:bookmarkStart w:id="22" w:name="_Toc63785504"/>
      <w:bookmarkEnd w:id="22"/>
      <w:bookmarkStart w:id="23" w:name="_Toc63151871"/>
      <w:bookmarkEnd w:id="23"/>
      <w:bookmarkStart w:id="24" w:name="_Toc62219358"/>
      <w:bookmarkEnd w:id="24"/>
      <w:bookmarkStart w:id="25" w:name="_Toc62209488"/>
      <w:bookmarkEnd w:id="25"/>
      <w:bookmarkStart w:id="26" w:name="_Toc63785439"/>
      <w:bookmarkEnd w:id="26"/>
      <w:bookmarkStart w:id="27" w:name="_Toc61968111"/>
      <w:bookmarkEnd w:id="27"/>
    </w:p>
    <w:p>
      <w:pPr>
        <w:pStyle w:val="3"/>
      </w:pPr>
      <w:bookmarkStart w:id="28" w:name="_Toc63785505"/>
      <w:r>
        <w:rPr>
          <w:rFonts w:hint="eastAsia"/>
        </w:rPr>
        <w:t>售后服务要求</w:t>
      </w:r>
      <w:bookmarkEnd w:id="28"/>
    </w:p>
    <w:p>
      <w:pPr>
        <w:pStyle w:val="113"/>
        <w:snapToGrid w:val="0"/>
        <w:spacing w:line="360" w:lineRule="auto"/>
        <w:ind w:firstLine="480"/>
        <w:rPr>
          <w:sz w:val="24"/>
          <w:szCs w:val="24"/>
        </w:rPr>
      </w:pPr>
      <w:r>
        <w:rPr>
          <w:rFonts w:hint="eastAsia"/>
          <w:sz w:val="24"/>
          <w:szCs w:val="24"/>
        </w:rPr>
        <w:t>（</w:t>
      </w:r>
      <w:r>
        <w:rPr>
          <w:sz w:val="24"/>
          <w:szCs w:val="24"/>
        </w:rPr>
        <w:t>1</w:t>
      </w:r>
      <w:r>
        <w:rPr>
          <w:rFonts w:hint="eastAsia"/>
          <w:sz w:val="24"/>
          <w:szCs w:val="24"/>
        </w:rPr>
        <w:t>）本项目提供从验收通过之日起1年的免费维保。</w:t>
      </w:r>
    </w:p>
    <w:p>
      <w:pPr>
        <w:pStyle w:val="113"/>
        <w:snapToGrid w:val="0"/>
        <w:spacing w:line="360" w:lineRule="auto"/>
        <w:ind w:firstLine="480"/>
        <w:rPr>
          <w:rFonts w:ascii="宋体" w:hAnsi="宋体"/>
          <w:sz w:val="24"/>
          <w:szCs w:val="24"/>
        </w:rPr>
      </w:pPr>
      <w:r>
        <w:rPr>
          <w:rFonts w:hint="eastAsia"/>
          <w:sz w:val="24"/>
          <w:szCs w:val="24"/>
        </w:rPr>
        <w:t>（</w:t>
      </w:r>
      <w:r>
        <w:rPr>
          <w:sz w:val="24"/>
          <w:szCs w:val="24"/>
        </w:rPr>
        <w:t>2</w:t>
      </w:r>
      <w:r>
        <w:rPr>
          <w:rFonts w:hint="eastAsia"/>
          <w:sz w:val="24"/>
          <w:szCs w:val="24"/>
        </w:rPr>
        <w:t>）对系统发生影响到实时操作的故障，供应商需要在</w:t>
      </w:r>
      <w:r>
        <w:rPr>
          <w:sz w:val="24"/>
          <w:szCs w:val="24"/>
        </w:rPr>
        <w:t>30分钟</w:t>
      </w:r>
      <w:r>
        <w:rPr>
          <w:rFonts w:hint="eastAsia"/>
          <w:sz w:val="24"/>
          <w:szCs w:val="24"/>
        </w:rPr>
        <w:t>内响应，对需要进行现场维护的，在</w:t>
      </w:r>
      <w:r>
        <w:rPr>
          <w:sz w:val="24"/>
          <w:szCs w:val="24"/>
        </w:rPr>
        <w:t>2小时</w:t>
      </w:r>
      <w:r>
        <w:rPr>
          <w:rFonts w:hint="eastAsia"/>
          <w:sz w:val="24"/>
          <w:szCs w:val="24"/>
        </w:rPr>
        <w:t>赶到现场，查找原因，提出解决方案排除故障。修复时间一般不超过</w:t>
      </w:r>
      <w:r>
        <w:rPr>
          <w:sz w:val="24"/>
          <w:szCs w:val="24"/>
        </w:rPr>
        <w:t>16小时</w:t>
      </w:r>
      <w:r>
        <w:rPr>
          <w:rFonts w:hint="eastAsia" w:ascii="宋体" w:hAnsi="宋体"/>
          <w:sz w:val="24"/>
          <w:szCs w:val="24"/>
        </w:rPr>
        <w:t>。</w:t>
      </w:r>
    </w:p>
    <w:p>
      <w:pPr>
        <w:pStyle w:val="3"/>
      </w:pPr>
      <w:bookmarkStart w:id="29" w:name="_Toc63785506"/>
      <w:r>
        <w:rPr>
          <w:rFonts w:hint="eastAsia"/>
        </w:rPr>
        <w:t>应急响应要求</w:t>
      </w:r>
      <w:bookmarkEnd w:id="29"/>
    </w:p>
    <w:p>
      <w:pPr>
        <w:pStyle w:val="113"/>
        <w:snapToGrid w:val="0"/>
        <w:spacing w:line="360" w:lineRule="auto"/>
        <w:ind w:firstLine="480"/>
        <w:rPr>
          <w:rFonts w:ascii="宋体" w:hAnsi="宋体"/>
          <w:sz w:val="24"/>
          <w:szCs w:val="24"/>
        </w:rPr>
      </w:pPr>
      <w:r>
        <w:rPr>
          <w:rFonts w:hint="eastAsia" w:ascii="宋体" w:hAnsi="宋体"/>
          <w:sz w:val="24"/>
          <w:szCs w:val="24"/>
        </w:rPr>
        <w:t>供应商对系统故障应能够实时响应，若系统发生故障，接到通知后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pPr>
        <w:pStyle w:val="113"/>
        <w:snapToGrid w:val="0"/>
        <w:spacing w:line="360" w:lineRule="auto"/>
        <w:ind w:firstLine="480"/>
        <w:rPr>
          <w:rFonts w:ascii="宋体" w:hAnsi="宋体"/>
          <w:sz w:val="24"/>
          <w:szCs w:val="24"/>
        </w:rPr>
      </w:pPr>
      <w:r>
        <w:rPr>
          <w:rFonts w:hint="eastAsia" w:ascii="宋体" w:hAnsi="宋体"/>
          <w:sz w:val="24"/>
          <w:szCs w:val="24"/>
        </w:rPr>
        <w:t>具体故障级别及对应的应急响应要求如下：</w:t>
      </w:r>
    </w:p>
    <w:p>
      <w:pPr>
        <w:pStyle w:val="113"/>
        <w:snapToGrid w:val="0"/>
        <w:spacing w:line="360" w:lineRule="auto"/>
        <w:ind w:firstLine="480"/>
        <w:rPr>
          <w:rFonts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pPr>
        <w:pStyle w:val="113"/>
        <w:snapToGrid w:val="0"/>
        <w:spacing w:line="360" w:lineRule="auto"/>
        <w:ind w:firstLine="480"/>
        <w:rPr>
          <w:rFonts w:ascii="宋体" w:hAnsi="宋体"/>
          <w:sz w:val="24"/>
          <w:szCs w:val="24"/>
        </w:rPr>
      </w:pPr>
      <w:r>
        <w:rPr>
          <w:rFonts w:hint="eastAsia" w:ascii="宋体" w:hAnsi="宋体"/>
          <w:sz w:val="24"/>
          <w:szCs w:val="24"/>
        </w:rPr>
        <w:t>二级故障：在</w:t>
      </w:r>
      <w:r>
        <w:rPr>
          <w:rFonts w:ascii="宋体" w:hAnsi="宋体"/>
          <w:sz w:val="24"/>
          <w:szCs w:val="24"/>
        </w:rPr>
        <w:t>2小时内确诊，总故障解决时间不超过8小时；</w:t>
      </w:r>
    </w:p>
    <w:p>
      <w:pPr>
        <w:pStyle w:val="113"/>
        <w:snapToGrid w:val="0"/>
        <w:spacing w:line="360" w:lineRule="auto"/>
        <w:ind w:firstLine="480"/>
        <w:rPr>
          <w:rFonts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pPr>
        <w:pStyle w:val="3"/>
      </w:pPr>
      <w:bookmarkStart w:id="30" w:name="_Toc63785507"/>
      <w:r>
        <w:rPr>
          <w:rFonts w:hint="eastAsia"/>
        </w:rPr>
        <w:t>培训要求</w:t>
      </w:r>
      <w:bookmarkEnd w:id="30"/>
    </w:p>
    <w:p>
      <w:pPr>
        <w:spacing w:line="360" w:lineRule="auto"/>
        <w:ind w:firstLine="480"/>
      </w:pPr>
      <w:r>
        <w:rPr>
          <w:rFonts w:hint="eastAsia"/>
        </w:rPr>
        <w:t>供应商应提供详细培训方案。</w:t>
      </w:r>
    </w:p>
    <w:p>
      <w:pPr>
        <w:spacing w:line="360" w:lineRule="auto"/>
        <w:ind w:firstLine="480"/>
      </w:pPr>
      <w:r>
        <w:rPr>
          <w:rFonts w:hint="eastAsia"/>
          <w:szCs w:val="21"/>
        </w:rPr>
        <w:t>（</w:t>
      </w:r>
      <w:r>
        <w:rPr>
          <w:szCs w:val="21"/>
        </w:rPr>
        <w:t>1）</w:t>
      </w:r>
      <w:r>
        <w:rPr>
          <w:rFonts w:hint="eastAsia"/>
        </w:rPr>
        <w:t>提供2次与项目相关的必要培训。</w:t>
      </w:r>
    </w:p>
    <w:p>
      <w:pPr>
        <w:spacing w:line="360" w:lineRule="auto"/>
        <w:ind w:firstLine="480"/>
      </w:pPr>
      <w:r>
        <w:rPr>
          <w:rFonts w:hint="eastAsia"/>
          <w:szCs w:val="21"/>
        </w:rPr>
        <w:t>（</w:t>
      </w:r>
      <w:r>
        <w:rPr>
          <w:szCs w:val="21"/>
        </w:rPr>
        <w:t>2）</w:t>
      </w:r>
      <w:r>
        <w:rPr>
          <w:rFonts w:hint="eastAsia"/>
        </w:rPr>
        <w:t>供应商需要开展分层次的人员培训工作，每次培训后应对参加培训人员进行测试，评估培训成果。培训应具有培训教材、培训环境和高水平的培训讲师。</w:t>
      </w:r>
    </w:p>
    <w:p>
      <w:pPr>
        <w:spacing w:line="360" w:lineRule="auto"/>
        <w:ind w:firstLine="480"/>
      </w:pPr>
      <w:r>
        <w:rPr>
          <w:rFonts w:hint="eastAsia"/>
          <w:szCs w:val="21"/>
        </w:rPr>
        <w:t>（3</w:t>
      </w:r>
      <w:r>
        <w:rPr>
          <w:szCs w:val="21"/>
        </w:rPr>
        <w:t>）</w:t>
      </w:r>
      <w:r>
        <w:rPr>
          <w:rFonts w:hint="eastAsia"/>
        </w:rPr>
        <w:t>供应商应提供一般用户的基础操作培训和部门信息管理员的日常应用维护的培训，确保用户对象能够掌握对应的操作技能。</w:t>
      </w:r>
    </w:p>
    <w:p>
      <w:pPr>
        <w:pStyle w:val="3"/>
      </w:pPr>
      <w:bookmarkStart w:id="31" w:name="_Toc63785508"/>
      <w:r>
        <w:rPr>
          <w:rFonts w:hint="eastAsia"/>
        </w:rPr>
        <w:t>验收要求</w:t>
      </w:r>
      <w:bookmarkEnd w:id="31"/>
    </w:p>
    <w:p>
      <w:pPr>
        <w:spacing w:line="360" w:lineRule="auto"/>
        <w:ind w:firstLine="480"/>
      </w:pPr>
      <w:bookmarkStart w:id="32" w:name="_Toc63785509"/>
      <w:r>
        <w:rPr>
          <w:rFonts w:hint="eastAsia"/>
        </w:rPr>
        <w:t>本项目按下述方式开展验收。</w:t>
      </w:r>
    </w:p>
    <w:p>
      <w:pPr>
        <w:spacing w:line="360" w:lineRule="auto"/>
        <w:ind w:firstLine="480"/>
      </w:pPr>
      <w:r>
        <w:rPr>
          <w:rFonts w:hint="eastAsia"/>
        </w:rPr>
        <w:t>（1）验收前，供应商须完成软件开发、软硬件安装和信息系统的调试等，并对本项目进行功能和运行检测，确保所有信息系统功能模块能够正常运行且已达到本项目约定的各类标准要求。招标方享有供应商免费提供的30天的信息系统试运行现场驻场服务期。该期间内，供应商应当按照招标方的要求提供现场技术支持服务，解决信息系统试运行期间可能出现的各类问题，或进一步提高与完善信息系统运行水平。招标方有权委托第三方检测机构进行验收，对此供应商应当配合。</w:t>
      </w:r>
    </w:p>
    <w:p>
      <w:pPr>
        <w:spacing w:line="360" w:lineRule="auto"/>
        <w:ind w:firstLine="480"/>
      </w:pPr>
      <w:r>
        <w:rPr>
          <w:rFonts w:hint="eastAsia"/>
        </w:rPr>
        <w:t>（2）验收时，供应商须提供软件文档包括《用户需求说明书》、《系统概要设计说明书》、《系统详细设计说明书》、《三方功能需求确认单》、《测试报告》、《用户使用手册》、《系统部署文档》等）及可安装的程序运行文件。所交付的文档与文件应当是可供自然人阅读的书面和电子文档，软件文档及可安装的程序运行文件需验证通过。信息系统试运行期已经达到本项目约定的时间，经供应商确认信息系统具备正常运行条件，且信息系统通过运行测试，供应商应以书面形式通知招标方信息系统已准备就绪等待终验。招标方在收到终验通知后的25个工作日内发起组织专家验收会。</w:t>
      </w:r>
    </w:p>
    <w:p>
      <w:pPr>
        <w:spacing w:line="360" w:lineRule="auto"/>
        <w:ind w:firstLine="480"/>
      </w:pPr>
      <w:r>
        <w:rPr>
          <w:rFonts w:hint="eastAsia"/>
        </w:rPr>
        <w:t>（3）如果属于供应商原因致使本项目未能通过验收，供应商应当排除缺陷，直至本项目完全符合验收标准，由上述情形而产生的相关费用应由供应商自行承担。</w:t>
      </w:r>
    </w:p>
    <w:p>
      <w:pPr>
        <w:spacing w:line="360" w:lineRule="auto"/>
        <w:ind w:firstLine="480"/>
      </w:pPr>
      <w:r>
        <w:rPr>
          <w:rFonts w:hint="eastAsia"/>
        </w:rPr>
        <w:t>（4）如果由于招标方原因导致本项目在终验通过前出现故障或问题，供应商应及时配合排除该方面的故障或问题。</w:t>
      </w:r>
    </w:p>
    <w:p>
      <w:pPr>
        <w:spacing w:line="360" w:lineRule="auto"/>
        <w:ind w:firstLine="480"/>
      </w:pPr>
      <w:r>
        <w:rPr>
          <w:rFonts w:hint="eastAsia"/>
        </w:rPr>
        <w:t>（5）如本项目连续2次验收未通过，招标方有权解除项目，并有权依照本项目约定的违约条款追究供应商的违约责任。</w:t>
      </w:r>
    </w:p>
    <w:p>
      <w:pPr>
        <w:pStyle w:val="3"/>
      </w:pPr>
      <w:r>
        <w:rPr>
          <w:rFonts w:hint="eastAsia"/>
        </w:rPr>
        <w:t>进度要求</w:t>
      </w:r>
      <w:bookmarkEnd w:id="32"/>
    </w:p>
    <w:p>
      <w:pPr>
        <w:spacing w:line="360" w:lineRule="auto"/>
        <w:ind w:firstLine="480"/>
        <w:rPr>
          <w:rFonts w:ascii="Times New Roman" w:hAnsi="Times New Roman"/>
        </w:rPr>
      </w:pPr>
      <w:r>
        <w:rPr>
          <w:rFonts w:hint="eastAsia" w:ascii="Times New Roman" w:hAnsi="Times New Roman"/>
        </w:rPr>
        <w:t>供应商应根据建设内容，分阶段制定合理的时间进度，并且应根据采购人要求进行调整和细化。</w:t>
      </w:r>
    </w:p>
    <w:p>
      <w:pPr>
        <w:spacing w:line="360" w:lineRule="auto"/>
        <w:ind w:firstLine="480"/>
        <w:rPr>
          <w:rFonts w:ascii="Times New Roman" w:hAnsi="Times New Roman"/>
        </w:rPr>
      </w:pPr>
      <w:r>
        <w:rPr>
          <w:rFonts w:hint="eastAsia" w:ascii="Times New Roman" w:hAnsi="Times New Roman"/>
        </w:rPr>
        <w:t>第一阶段为需求调研，</w:t>
      </w:r>
      <w:r>
        <w:rPr>
          <w:rFonts w:ascii="Times New Roman" w:hAnsi="Times New Roman"/>
        </w:rPr>
        <w:t>2025</w:t>
      </w:r>
      <w:r>
        <w:rPr>
          <w:rFonts w:hint="eastAsia" w:ascii="Times New Roman" w:hAnsi="Times New Roman"/>
        </w:rPr>
        <w:t>年5月底完成系统升级改造需求调研和分析。</w:t>
      </w:r>
    </w:p>
    <w:p>
      <w:pPr>
        <w:spacing w:line="360" w:lineRule="auto"/>
        <w:ind w:firstLine="480"/>
        <w:rPr>
          <w:rFonts w:ascii="Times New Roman" w:hAnsi="Times New Roman"/>
        </w:rPr>
      </w:pPr>
      <w:r>
        <w:rPr>
          <w:rFonts w:hint="eastAsia" w:ascii="Times New Roman" w:hAnsi="Times New Roman"/>
        </w:rPr>
        <w:t>第二阶段为系统设计，2025年</w:t>
      </w:r>
      <w:r>
        <w:rPr>
          <w:rFonts w:ascii="Times New Roman" w:hAnsi="Times New Roman"/>
        </w:rPr>
        <w:t>6</w:t>
      </w:r>
      <w:r>
        <w:rPr>
          <w:rFonts w:hint="eastAsia" w:ascii="Times New Roman" w:hAnsi="Times New Roman"/>
        </w:rPr>
        <w:t>月底完成系统设计。</w:t>
      </w:r>
    </w:p>
    <w:p>
      <w:pPr>
        <w:spacing w:line="360" w:lineRule="auto"/>
        <w:ind w:firstLine="480"/>
        <w:rPr>
          <w:rFonts w:ascii="Times New Roman" w:hAnsi="Times New Roman"/>
        </w:rPr>
      </w:pPr>
      <w:r>
        <w:rPr>
          <w:rFonts w:hint="eastAsia" w:ascii="Times New Roman" w:hAnsi="Times New Roman"/>
        </w:rPr>
        <w:t>第三阶段为系统开发与测试，</w:t>
      </w:r>
      <w:r>
        <w:rPr>
          <w:rFonts w:ascii="Times New Roman" w:hAnsi="Times New Roman"/>
        </w:rPr>
        <w:t>2026</w:t>
      </w:r>
      <w:r>
        <w:rPr>
          <w:rFonts w:hint="eastAsia" w:ascii="Times New Roman" w:hAnsi="Times New Roman"/>
        </w:rPr>
        <w:t>月</w:t>
      </w:r>
      <w:r>
        <w:rPr>
          <w:rFonts w:ascii="Times New Roman" w:hAnsi="Times New Roman"/>
        </w:rPr>
        <w:t>1</w:t>
      </w:r>
      <w:r>
        <w:rPr>
          <w:rFonts w:hint="eastAsia" w:ascii="Times New Roman" w:hAnsi="Times New Roman"/>
        </w:rPr>
        <w:t>月底完成详细设计、代码开发和系统测试工作。</w:t>
      </w:r>
    </w:p>
    <w:p>
      <w:pPr>
        <w:spacing w:line="360" w:lineRule="auto"/>
        <w:ind w:firstLine="480"/>
        <w:rPr>
          <w:rFonts w:ascii="Times New Roman" w:hAnsi="Times New Roman"/>
        </w:rPr>
      </w:pPr>
      <w:r>
        <w:rPr>
          <w:rFonts w:hint="eastAsia" w:ascii="Times New Roman" w:hAnsi="Times New Roman"/>
        </w:rPr>
        <w:t>第四阶段为系统部署试运行，</w:t>
      </w:r>
      <w:r>
        <w:rPr>
          <w:rFonts w:ascii="Times New Roman" w:hAnsi="Times New Roman"/>
        </w:rPr>
        <w:t>202</w:t>
      </w:r>
      <w:r>
        <w:rPr>
          <w:rFonts w:hint="eastAsia" w:ascii="Times New Roman" w:hAnsi="Times New Roman"/>
        </w:rPr>
        <w:t>6年</w:t>
      </w:r>
      <w:r>
        <w:rPr>
          <w:rFonts w:ascii="Times New Roman" w:hAnsi="Times New Roman"/>
        </w:rPr>
        <w:t>2</w:t>
      </w:r>
      <w:r>
        <w:rPr>
          <w:rFonts w:hint="eastAsia" w:ascii="Times New Roman" w:hAnsi="Times New Roman"/>
        </w:rPr>
        <w:t>月底完成系统安装部署和上线试运行。</w:t>
      </w:r>
    </w:p>
    <w:p>
      <w:pPr>
        <w:spacing w:line="360" w:lineRule="auto"/>
        <w:ind w:firstLine="480"/>
      </w:pPr>
      <w:r>
        <w:rPr>
          <w:rFonts w:hint="eastAsia" w:ascii="Times New Roman" w:hAnsi="Times New Roman"/>
        </w:rPr>
        <w:t>第五阶段为系统验收，</w:t>
      </w:r>
      <w:r>
        <w:rPr>
          <w:rFonts w:ascii="Times New Roman" w:hAnsi="Times New Roman"/>
        </w:rPr>
        <w:t>2026</w:t>
      </w:r>
      <w:r>
        <w:rPr>
          <w:rFonts w:hint="eastAsia" w:ascii="Times New Roman" w:hAnsi="Times New Roman"/>
        </w:rPr>
        <w:t>年</w:t>
      </w:r>
      <w:r>
        <w:rPr>
          <w:rFonts w:ascii="Times New Roman" w:hAnsi="Times New Roman"/>
        </w:rPr>
        <w:t>3</w:t>
      </w:r>
      <w:r>
        <w:rPr>
          <w:rFonts w:hint="eastAsia" w:ascii="Times New Roman" w:hAnsi="Times New Roman"/>
        </w:rPr>
        <w:t>月底完成项目验收工作</w:t>
      </w:r>
      <w:r>
        <w:rPr>
          <w:rFonts w:hint="eastAsia"/>
        </w:rPr>
        <w:t>。</w:t>
      </w:r>
    </w:p>
    <w:p>
      <w:pPr>
        <w:pStyle w:val="3"/>
      </w:pPr>
      <w:bookmarkStart w:id="33" w:name="_Toc63785510"/>
      <w:r>
        <w:rPr>
          <w:rFonts w:hint="eastAsia"/>
        </w:rPr>
        <w:t>项目团队及驻场人员要求</w:t>
      </w:r>
      <w:bookmarkEnd w:id="33"/>
    </w:p>
    <w:p>
      <w:pPr>
        <w:numPr>
          <w:ilvl w:val="255"/>
          <w:numId w:val="0"/>
        </w:numPr>
        <w:spacing w:line="360" w:lineRule="auto"/>
        <w:ind w:firstLine="480"/>
        <w:rPr>
          <w:rFonts w:ascii="Times New Roman" w:hAnsi="Times New Roman"/>
        </w:rPr>
      </w:pPr>
      <w:bookmarkStart w:id="34" w:name="_Toc63785511"/>
      <w:r>
        <w:rPr>
          <w:rFonts w:hint="eastAsia" w:ascii="Times New Roman" w:hAnsi="Times New Roman"/>
        </w:rPr>
        <w:t>（1）供应商须具有稳定的在职技术保障力量，能够提供及时的技术支援或服务，应针对本项目提供不少于</w:t>
      </w:r>
      <w:r>
        <w:rPr>
          <w:rFonts w:ascii="Times New Roman" w:hAnsi="Times New Roman"/>
        </w:rPr>
        <w:t>22</w:t>
      </w:r>
      <w:r>
        <w:rPr>
          <w:rFonts w:hint="eastAsia" w:ascii="Times New Roman" w:hAnsi="Times New Roman"/>
        </w:rPr>
        <w:t>人的项目服务团队，驻场不少于</w:t>
      </w:r>
      <w:r>
        <w:rPr>
          <w:rFonts w:ascii="Times New Roman" w:hAnsi="Times New Roman"/>
        </w:rPr>
        <w:t>10</w:t>
      </w:r>
      <w:r>
        <w:rPr>
          <w:rFonts w:hint="eastAsia" w:ascii="Times New Roman" w:hAnsi="Times New Roman"/>
        </w:rPr>
        <w:t>人（包括项目经理、实施经理、技术负责人、研发、测试、集成等）。供应商的相关服务人员需具备相应的服务能力，需提供相关证明（项目组成员缴纳的近三个月中任意一个月的社保证明凭证）。</w:t>
      </w:r>
    </w:p>
    <w:tbl>
      <w:tblPr>
        <w:tblStyle w:val="4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587"/>
        <w:gridCol w:w="945"/>
        <w:gridCol w:w="265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ascii="Times New Roman" w:hAnsi="Times New Roman" w:eastAsiaTheme="minorEastAsia"/>
                <w:b/>
              </w:rPr>
              <w:t>角色</w:t>
            </w:r>
          </w:p>
        </w:tc>
        <w:tc>
          <w:tcPr>
            <w:tcW w:w="2587"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ascii="Times New Roman" w:hAnsi="Times New Roman" w:eastAsiaTheme="minorEastAsia"/>
                <w:b/>
              </w:rPr>
              <w:t>主要职责</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hint="eastAsia" w:ascii="Times New Roman" w:hAnsi="Times New Roman" w:eastAsiaTheme="minorEastAsia"/>
                <w:b/>
              </w:rPr>
              <w:t>人员数量</w:t>
            </w:r>
          </w:p>
        </w:tc>
        <w:tc>
          <w:tcPr>
            <w:tcW w:w="2650" w:type="dxa"/>
            <w:vAlign w:val="center"/>
          </w:tcPr>
          <w:p>
            <w:pPr>
              <w:widowControl/>
              <w:spacing w:line="240" w:lineRule="auto"/>
              <w:ind w:firstLine="0" w:firstLineChars="0"/>
              <w:jc w:val="center"/>
              <w:rPr>
                <w:rFonts w:ascii="Times New Roman" w:hAnsi="Times New Roman" w:eastAsiaTheme="minorEastAsia"/>
                <w:b/>
              </w:rPr>
            </w:pPr>
            <w:r>
              <w:rPr>
                <w:rFonts w:hint="eastAsia" w:ascii="Times New Roman" w:hAnsi="Times New Roman" w:eastAsiaTheme="minorEastAsia"/>
                <w:b/>
              </w:rPr>
              <w:t>人员要求</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hint="eastAsia" w:ascii="Times New Roman" w:hAnsi="Times New Roman" w:eastAsiaTheme="minorEastAsia"/>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项目经理</w:t>
            </w:r>
          </w:p>
        </w:tc>
        <w:tc>
          <w:tcPr>
            <w:tcW w:w="2587" w:type="dxa"/>
            <w:shd w:val="clear" w:color="auto" w:fill="auto"/>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负责项目质量和进度控制</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1</w:t>
            </w:r>
            <w:r>
              <w:rPr>
                <w:rFonts w:hint="eastAsia" w:ascii="Times New Roman" w:hAnsi="Times New Roman" w:eastAsiaTheme="minorEastAsia"/>
              </w:rPr>
              <w:t>人</w:t>
            </w:r>
          </w:p>
        </w:tc>
        <w:tc>
          <w:tcPr>
            <w:tcW w:w="2650" w:type="dxa"/>
            <w:vAlign w:val="center"/>
          </w:tcPr>
          <w:p>
            <w:pPr>
              <w:widowControl/>
              <w:spacing w:line="240" w:lineRule="auto"/>
              <w:ind w:firstLine="0" w:firstLineChars="0"/>
              <w:jc w:val="left"/>
              <w:rPr>
                <w:rFonts w:ascii="Times New Roman" w:hAnsi="Times New Roman" w:eastAsiaTheme="minorEastAsia"/>
              </w:rPr>
            </w:pPr>
            <w:r>
              <w:rPr>
                <w:rFonts w:hint="eastAsia"/>
              </w:rPr>
              <w:t>应具备本科或以上学历,</w:t>
            </w:r>
            <w:r>
              <w:rPr>
                <w:rFonts w:hint="eastAsia" w:ascii="Times New Roman" w:hAnsi="Times New Roman"/>
              </w:rPr>
              <w:t>具有类似项目实施和管理经验，持有</w:t>
            </w:r>
            <w:r>
              <w:rPr>
                <w:rFonts w:hint="eastAsia" w:ascii="Times New Roman" w:hAnsi="Times New Roman" w:eastAsiaTheme="minorEastAsia"/>
              </w:rPr>
              <w:t>信息系统项目管理师证书</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实施</w:t>
            </w:r>
            <w:r>
              <w:rPr>
                <w:rFonts w:ascii="Times New Roman" w:hAnsi="Times New Roman" w:eastAsiaTheme="minorEastAsia"/>
              </w:rPr>
              <w:t>经理</w:t>
            </w:r>
          </w:p>
        </w:tc>
        <w:tc>
          <w:tcPr>
            <w:tcW w:w="2587" w:type="dxa"/>
            <w:shd w:val="clear" w:color="auto" w:fill="auto"/>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负责项目需求评估与</w:t>
            </w:r>
            <w:r>
              <w:rPr>
                <w:rFonts w:hint="eastAsia" w:ascii="Times New Roman" w:hAnsi="Times New Roman" w:eastAsiaTheme="minorEastAsia"/>
              </w:rPr>
              <w:t>软件</w:t>
            </w:r>
            <w:r>
              <w:rPr>
                <w:rFonts w:ascii="Times New Roman" w:hAnsi="Times New Roman" w:eastAsiaTheme="minorEastAsia"/>
              </w:rPr>
              <w:t>设计</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1</w:t>
            </w:r>
            <w:r>
              <w:rPr>
                <w:rFonts w:hint="eastAsia" w:ascii="Times New Roman" w:hAnsi="Times New Roman" w:eastAsiaTheme="minorEastAsia"/>
              </w:rPr>
              <w:t>人</w:t>
            </w:r>
          </w:p>
        </w:tc>
        <w:tc>
          <w:tcPr>
            <w:tcW w:w="2650" w:type="dxa"/>
            <w:vAlign w:val="center"/>
          </w:tcPr>
          <w:p>
            <w:pPr>
              <w:widowControl/>
              <w:spacing w:line="240" w:lineRule="auto"/>
              <w:ind w:firstLine="0" w:firstLineChars="0"/>
              <w:jc w:val="left"/>
              <w:rPr>
                <w:rFonts w:ascii="Times New Roman" w:hAnsi="Times New Roman"/>
              </w:rPr>
            </w:pPr>
            <w:r>
              <w:rPr>
                <w:rFonts w:hint="eastAsia" w:ascii="Times New Roman" w:hAnsi="Times New Roman"/>
              </w:rPr>
              <w:t>应具备</w:t>
            </w:r>
            <w:r>
              <w:rPr>
                <w:rFonts w:hint="eastAsia"/>
              </w:rPr>
              <w:t>本科或以上学历，具有信息系统项目管理师或系统分析师或系统架构设计师证书</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技术负责人</w:t>
            </w:r>
          </w:p>
        </w:tc>
        <w:tc>
          <w:tcPr>
            <w:tcW w:w="2587"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负责项目开发与实施</w:t>
            </w:r>
            <w:r>
              <w:rPr>
                <w:rFonts w:hint="eastAsia" w:ascii="Times New Roman" w:hAnsi="Times New Roman" w:eastAsiaTheme="minorEastAsia"/>
              </w:rPr>
              <w:t>的指导与监督</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1人</w:t>
            </w:r>
          </w:p>
        </w:tc>
        <w:tc>
          <w:tcPr>
            <w:tcW w:w="2650" w:type="dxa"/>
            <w:vAlign w:val="center"/>
          </w:tcPr>
          <w:p>
            <w:pPr>
              <w:widowControl/>
              <w:spacing w:line="240" w:lineRule="auto"/>
              <w:ind w:firstLine="0" w:firstLineChars="0"/>
              <w:jc w:val="left"/>
              <w:rPr>
                <w:rFonts w:ascii="Times New Roman" w:hAnsi="Times New Roman" w:eastAsiaTheme="minorEastAsia"/>
              </w:rPr>
            </w:pPr>
            <w:r>
              <w:rPr>
                <w:rFonts w:hint="eastAsia"/>
              </w:rPr>
              <w:t>应具备本科或以上学历,具有</w:t>
            </w:r>
            <w:r>
              <w:rPr>
                <w:rFonts w:hint="eastAsia" w:ascii="Times New Roman" w:hAnsi="Times New Roman" w:eastAsiaTheme="minorEastAsia"/>
              </w:rPr>
              <w:t>软件设计师或数据库系统工程师或系统集成项目管理工程师证书</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研发</w:t>
            </w:r>
          </w:p>
        </w:tc>
        <w:tc>
          <w:tcPr>
            <w:tcW w:w="2587"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负责项目具体开发与实施</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1</w:t>
            </w:r>
            <w:r>
              <w:rPr>
                <w:rFonts w:hint="eastAsia" w:ascii="Times New Roman" w:hAnsi="Times New Roman" w:eastAsiaTheme="minorEastAsia"/>
              </w:rPr>
              <w:t>2人</w:t>
            </w:r>
          </w:p>
        </w:tc>
        <w:tc>
          <w:tcPr>
            <w:tcW w:w="2650" w:type="dxa"/>
            <w:vAlign w:val="center"/>
          </w:tcPr>
          <w:p>
            <w:pPr>
              <w:widowControl/>
              <w:spacing w:line="240" w:lineRule="auto"/>
              <w:ind w:firstLine="0" w:firstLineChars="0"/>
              <w:jc w:val="left"/>
              <w:rPr>
                <w:rFonts w:ascii="Times New Roman" w:hAnsi="Times New Roman" w:eastAsiaTheme="minorEastAsia"/>
              </w:rPr>
            </w:pPr>
            <w:r>
              <w:rPr>
                <w:rFonts w:hint="eastAsia" w:ascii="Times New Roman" w:hAnsi="Times New Roman"/>
              </w:rPr>
              <w:t>应</w:t>
            </w:r>
            <w:r>
              <w:rPr>
                <w:rFonts w:hint="eastAsia"/>
              </w:rPr>
              <w:t>具备专科或以上学历,其中</w:t>
            </w:r>
            <w:r>
              <w:rPr>
                <w:rFonts w:hint="eastAsia" w:ascii="Times New Roman" w:hAnsi="Times New Roman"/>
              </w:rPr>
              <w:t>至少有1人具有计算机技术与软件专业技术资格（水平）考试中级或以上资格证书</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至少7人驻场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集成</w:t>
            </w:r>
          </w:p>
        </w:tc>
        <w:tc>
          <w:tcPr>
            <w:tcW w:w="2587"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负责项目的集成服务支持</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2</w:t>
            </w:r>
            <w:r>
              <w:rPr>
                <w:rFonts w:hint="eastAsia" w:ascii="Times New Roman" w:hAnsi="Times New Roman" w:eastAsiaTheme="minorEastAsia"/>
              </w:rPr>
              <w:t>人</w:t>
            </w:r>
          </w:p>
        </w:tc>
        <w:tc>
          <w:tcPr>
            <w:tcW w:w="2650" w:type="dxa"/>
            <w:vAlign w:val="center"/>
          </w:tcPr>
          <w:p>
            <w:pPr>
              <w:widowControl/>
              <w:spacing w:line="240" w:lineRule="auto"/>
              <w:ind w:firstLine="0" w:firstLineChars="0"/>
              <w:jc w:val="left"/>
              <w:rPr>
                <w:rFonts w:ascii="Times New Roman" w:hAnsi="Times New Roman"/>
              </w:rPr>
            </w:pPr>
            <w:r>
              <w:rPr>
                <w:rFonts w:hint="eastAsia" w:ascii="Times New Roman" w:hAnsi="Times New Roman"/>
              </w:rPr>
              <w:t>应具备</w:t>
            </w:r>
            <w:r>
              <w:rPr>
                <w:rFonts w:hint="eastAsia"/>
              </w:rPr>
              <w:t>专科或以上学历,其中</w:t>
            </w:r>
            <w:r>
              <w:rPr>
                <w:rFonts w:hint="eastAsia" w:ascii="Times New Roman" w:hAnsi="Times New Roman"/>
              </w:rPr>
              <w:t>至少有1人</w:t>
            </w:r>
            <w:r>
              <w:rPr>
                <w:rFonts w:hint="eastAsia"/>
              </w:rPr>
              <w:t>具有系统集成项目管理工程师或数据库系统工程师证书</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测试</w:t>
            </w:r>
          </w:p>
        </w:tc>
        <w:tc>
          <w:tcPr>
            <w:tcW w:w="2587"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负责项目开发阶段测试工作</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2</w:t>
            </w:r>
            <w:r>
              <w:rPr>
                <w:rFonts w:hint="eastAsia" w:ascii="Times New Roman" w:hAnsi="Times New Roman" w:eastAsiaTheme="minorEastAsia"/>
              </w:rPr>
              <w:t>人</w:t>
            </w:r>
          </w:p>
        </w:tc>
        <w:tc>
          <w:tcPr>
            <w:tcW w:w="2650" w:type="dxa"/>
            <w:vAlign w:val="center"/>
          </w:tcPr>
          <w:p>
            <w:pPr>
              <w:widowControl/>
              <w:spacing w:line="240" w:lineRule="auto"/>
              <w:ind w:firstLine="0" w:firstLineChars="0"/>
              <w:jc w:val="left"/>
              <w:rPr>
                <w:rFonts w:ascii="Times New Roman" w:hAnsi="Times New Roman"/>
              </w:rPr>
            </w:pPr>
            <w:r>
              <w:rPr>
                <w:rFonts w:hint="eastAsia" w:ascii="Times New Roman" w:hAnsi="Times New Roman"/>
              </w:rPr>
              <w:t>应具备</w:t>
            </w:r>
            <w:r>
              <w:rPr>
                <w:rFonts w:hint="eastAsia"/>
              </w:rPr>
              <w:t>专科或以上学历</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数据服务</w:t>
            </w:r>
          </w:p>
        </w:tc>
        <w:tc>
          <w:tcPr>
            <w:tcW w:w="2587"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负责实施数据服务工作</w:t>
            </w:r>
          </w:p>
        </w:tc>
        <w:tc>
          <w:tcPr>
            <w:tcW w:w="945"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3</w:t>
            </w:r>
            <w:r>
              <w:rPr>
                <w:rFonts w:hint="eastAsia" w:ascii="Times New Roman" w:hAnsi="Times New Roman" w:eastAsiaTheme="minorEastAsia"/>
              </w:rPr>
              <w:t>人</w:t>
            </w:r>
          </w:p>
        </w:tc>
        <w:tc>
          <w:tcPr>
            <w:tcW w:w="2650" w:type="dxa"/>
            <w:vAlign w:val="center"/>
          </w:tcPr>
          <w:p>
            <w:pPr>
              <w:widowControl/>
              <w:spacing w:line="240" w:lineRule="auto"/>
              <w:ind w:firstLine="0" w:firstLineChars="0"/>
              <w:jc w:val="left"/>
              <w:rPr>
                <w:rFonts w:ascii="Times New Roman" w:hAnsi="Times New Roman"/>
              </w:rPr>
            </w:pPr>
            <w:r>
              <w:rPr>
                <w:rFonts w:hint="eastAsia" w:ascii="Times New Roman" w:hAnsi="Times New Roman"/>
              </w:rPr>
              <w:t>应</w:t>
            </w:r>
            <w:r>
              <w:rPr>
                <w:rFonts w:hint="eastAsia"/>
              </w:rPr>
              <w:t>具备专科或以上学历</w:t>
            </w:r>
            <w:r>
              <w:t>,其中</w:t>
            </w:r>
            <w:r>
              <w:rPr>
                <w:rFonts w:hint="eastAsia" w:ascii="Times New Roman" w:hAnsi="Times New Roman"/>
              </w:rPr>
              <w:t>至少有</w:t>
            </w:r>
            <w:r>
              <w:rPr>
                <w:rFonts w:ascii="Times New Roman" w:hAnsi="Times New Roman"/>
              </w:rPr>
              <w:t>1</w:t>
            </w:r>
            <w:r>
              <w:rPr>
                <w:rFonts w:hint="eastAsia" w:ascii="Times New Roman" w:hAnsi="Times New Roman"/>
              </w:rPr>
              <w:t>人具有计算机技术与软件专业技术资格（水平）考试中级或以上资格证书</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至少</w:t>
            </w:r>
            <w:r>
              <w:rPr>
                <w:rFonts w:ascii="Times New Roman" w:hAnsi="Times New Roman" w:eastAsiaTheme="minorEastAsia"/>
              </w:rPr>
              <w:t>2</w:t>
            </w:r>
            <w:r>
              <w:rPr>
                <w:rFonts w:hint="eastAsia" w:ascii="Times New Roman" w:hAnsi="Times New Roman" w:eastAsiaTheme="minorEastAsia"/>
              </w:rPr>
              <w:t>人驻场</w:t>
            </w:r>
          </w:p>
        </w:tc>
      </w:tr>
    </w:tbl>
    <w:p>
      <w:pPr>
        <w:spacing w:line="360" w:lineRule="auto"/>
        <w:ind w:firstLine="480"/>
        <w:rPr>
          <w:rFonts w:ascii="Times New Roman" w:hAnsi="Times New Roman"/>
        </w:rPr>
      </w:pPr>
      <w:r>
        <w:rPr>
          <w:rFonts w:hint="eastAsia" w:ascii="Times New Roman" w:hAnsi="Times New Roman"/>
        </w:rPr>
        <w:t>（</w:t>
      </w:r>
      <w:r>
        <w:rPr>
          <w:rFonts w:ascii="Times New Roman" w:hAnsi="Times New Roman"/>
        </w:rPr>
        <w:t>2）供应商须针对本项目成立不少于</w:t>
      </w:r>
      <w:r>
        <w:rPr>
          <w:rFonts w:hint="eastAsia" w:ascii="Times New Roman" w:hAnsi="Times New Roman"/>
        </w:rPr>
        <w:t>5</w:t>
      </w:r>
      <w:r>
        <w:rPr>
          <w:rFonts w:ascii="Times New Roman" w:hAnsi="Times New Roman"/>
        </w:rPr>
        <w:t>人的质保期间支撑团队，涉及重大调整及变更事宜且对现有业务系统运行可能产生重大影响的操作，供应商需提前告知采购人并安排相关技术人员提供现场保障支持，以保证业务的连续性，相关服务人员需具备相应的服务能力，需提供相关证明（最近一个季度</w:t>
      </w:r>
      <w:r>
        <w:rPr>
          <w:rFonts w:hint="eastAsia" w:ascii="Times New Roman" w:hAnsi="Times New Roman"/>
        </w:rPr>
        <w:t>任意一月</w:t>
      </w:r>
      <w:r>
        <w:rPr>
          <w:rFonts w:ascii="Times New Roman" w:hAnsi="Times New Roman"/>
        </w:rPr>
        <w:t>依法缴纳社保费的证明）。</w:t>
      </w: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882"/>
        <w:gridCol w:w="1214"/>
        <w:gridCol w:w="183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ascii="Times New Roman" w:hAnsi="Times New Roman" w:eastAsiaTheme="minorEastAsia"/>
                <w:b/>
              </w:rPr>
              <w:t>角色</w:t>
            </w:r>
          </w:p>
        </w:tc>
        <w:tc>
          <w:tcPr>
            <w:tcW w:w="2882"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ascii="Times New Roman" w:hAnsi="Times New Roman" w:eastAsiaTheme="minorEastAsia"/>
                <w:b/>
              </w:rPr>
              <w:t>主要职责</w:t>
            </w:r>
          </w:p>
        </w:tc>
        <w:tc>
          <w:tcPr>
            <w:tcW w:w="1214"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ascii="Times New Roman" w:hAnsi="Times New Roman" w:eastAsiaTheme="minorEastAsia"/>
                <w:b/>
              </w:rPr>
              <w:t>人员数量</w:t>
            </w:r>
          </w:p>
        </w:tc>
        <w:tc>
          <w:tcPr>
            <w:tcW w:w="1836" w:type="dxa"/>
            <w:vAlign w:val="center"/>
          </w:tcPr>
          <w:p>
            <w:pPr>
              <w:widowControl/>
              <w:spacing w:line="240" w:lineRule="auto"/>
              <w:ind w:firstLine="0" w:firstLineChars="0"/>
              <w:jc w:val="center"/>
              <w:rPr>
                <w:rFonts w:ascii="Times New Roman" w:hAnsi="Times New Roman" w:eastAsiaTheme="minorEastAsia"/>
                <w:b/>
              </w:rPr>
            </w:pPr>
            <w:r>
              <w:rPr>
                <w:rFonts w:ascii="Times New Roman" w:hAnsi="Times New Roman" w:eastAsiaTheme="minorEastAsia"/>
                <w:b/>
              </w:rPr>
              <w:t>人员要求</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b/>
              </w:rPr>
            </w:pPr>
            <w:r>
              <w:rPr>
                <w:rFonts w:ascii="Times New Roman" w:hAnsi="Times New Roman" w:eastAsiaTheme="minorEastAsia"/>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项目经理</w:t>
            </w:r>
          </w:p>
        </w:tc>
        <w:tc>
          <w:tcPr>
            <w:tcW w:w="2882" w:type="dxa"/>
            <w:shd w:val="clear" w:color="auto" w:fill="auto"/>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负责项目质量和进度控制</w:t>
            </w:r>
          </w:p>
        </w:tc>
        <w:tc>
          <w:tcPr>
            <w:tcW w:w="1214"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1人</w:t>
            </w:r>
          </w:p>
        </w:tc>
        <w:tc>
          <w:tcPr>
            <w:tcW w:w="1836" w:type="dxa"/>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rPr>
              <w:t>具有类似信息系统规划设计、项目实施和管理经验，持有</w:t>
            </w:r>
            <w:r>
              <w:rPr>
                <w:rFonts w:hint="eastAsia" w:ascii="Times New Roman" w:hAnsi="Times New Roman" w:eastAsiaTheme="minorEastAsia"/>
              </w:rPr>
              <w:t>信息系统项目管理师证书优先</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实施</w:t>
            </w:r>
            <w:r>
              <w:rPr>
                <w:rFonts w:ascii="Times New Roman" w:hAnsi="Times New Roman" w:eastAsiaTheme="minorEastAsia"/>
              </w:rPr>
              <w:t>经理</w:t>
            </w:r>
          </w:p>
        </w:tc>
        <w:tc>
          <w:tcPr>
            <w:tcW w:w="2882" w:type="dxa"/>
            <w:shd w:val="clear" w:color="auto" w:fill="auto"/>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负责项目需求评估与</w:t>
            </w:r>
            <w:r>
              <w:rPr>
                <w:rFonts w:hint="eastAsia" w:ascii="Times New Roman" w:hAnsi="Times New Roman" w:eastAsiaTheme="minorEastAsia"/>
              </w:rPr>
              <w:t>运维工作</w:t>
            </w:r>
          </w:p>
        </w:tc>
        <w:tc>
          <w:tcPr>
            <w:tcW w:w="1214"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1人</w:t>
            </w:r>
          </w:p>
        </w:tc>
        <w:tc>
          <w:tcPr>
            <w:tcW w:w="1836" w:type="dxa"/>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运维</w:t>
            </w:r>
            <w:r>
              <w:rPr>
                <w:rFonts w:ascii="Times New Roman" w:hAnsi="Times New Roman" w:eastAsiaTheme="minorEastAsia"/>
              </w:rPr>
              <w:t>工程师</w:t>
            </w:r>
          </w:p>
        </w:tc>
        <w:tc>
          <w:tcPr>
            <w:tcW w:w="2882"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ascii="Times New Roman" w:hAnsi="Times New Roman" w:eastAsiaTheme="minorEastAsia"/>
              </w:rPr>
              <w:t>负责项目运行维护</w:t>
            </w:r>
          </w:p>
        </w:tc>
        <w:tc>
          <w:tcPr>
            <w:tcW w:w="1214"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3</w:t>
            </w:r>
            <w:r>
              <w:rPr>
                <w:rFonts w:ascii="Times New Roman" w:hAnsi="Times New Roman" w:eastAsiaTheme="minorEastAsia"/>
              </w:rPr>
              <w:t>人</w:t>
            </w:r>
          </w:p>
        </w:tc>
        <w:tc>
          <w:tcPr>
            <w:tcW w:w="1836" w:type="dxa"/>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w:t>
            </w:r>
          </w:p>
        </w:tc>
        <w:tc>
          <w:tcPr>
            <w:tcW w:w="1180" w:type="dxa"/>
            <w:shd w:val="clear" w:color="auto" w:fill="auto"/>
            <w:noWrap/>
            <w:vAlign w:val="center"/>
          </w:tcPr>
          <w:p>
            <w:pPr>
              <w:widowControl/>
              <w:spacing w:line="240" w:lineRule="auto"/>
              <w:ind w:firstLine="0" w:firstLineChars="0"/>
              <w:jc w:val="center"/>
              <w:rPr>
                <w:rFonts w:ascii="Times New Roman" w:hAnsi="Times New Roman" w:eastAsiaTheme="minorEastAsia"/>
              </w:rPr>
            </w:pPr>
            <w:r>
              <w:rPr>
                <w:rFonts w:hint="eastAsia" w:ascii="Times New Roman" w:hAnsi="Times New Roman" w:eastAsiaTheme="minorEastAsia"/>
              </w:rPr>
              <w:t>驻场</w:t>
            </w:r>
          </w:p>
        </w:tc>
      </w:tr>
      <w:bookmarkEnd w:id="34"/>
    </w:tbl>
    <w:p>
      <w:pPr>
        <w:pStyle w:val="3"/>
      </w:pPr>
      <w:r>
        <w:rPr>
          <w:rFonts w:hint="eastAsia"/>
        </w:rPr>
        <w:t>安全需求</w:t>
      </w:r>
    </w:p>
    <w:p>
      <w:pPr>
        <w:pStyle w:val="4"/>
        <w:ind w:hanging="1069"/>
      </w:pPr>
      <w:r>
        <w:rPr>
          <w:rFonts w:hint="eastAsia"/>
        </w:rPr>
        <w:t>安全设计要求</w:t>
      </w:r>
    </w:p>
    <w:p>
      <w:pPr>
        <w:spacing w:line="360" w:lineRule="auto"/>
        <w:ind w:firstLine="480"/>
      </w:pPr>
      <w:r>
        <w:rPr>
          <w:rFonts w:hint="eastAsia"/>
        </w:rPr>
        <w:t>供应商须结合本项目应用场景，制定详细的项目安全方案，包括但不限于安全需求分析、在应用安全和数据安全方面采取的安全措施、应急处置等方面内容，保证项目能够安全、平稳、高效运行。项目安全方案应</w:t>
      </w:r>
      <w:r>
        <w:rPr>
          <w:rFonts w:hint="eastAsia" w:asciiTheme="minorEastAsia" w:hAnsiTheme="minorEastAsia" w:eastAsiaTheme="minorEastAsia" w:cstheme="minorEastAsia"/>
          <w:kern w:val="0"/>
          <w:lang w:bidi="ar"/>
        </w:rPr>
        <w:t>满足等保三级要求。</w:t>
      </w:r>
    </w:p>
    <w:p>
      <w:pPr>
        <w:pStyle w:val="4"/>
        <w:ind w:hanging="1069"/>
      </w:pPr>
      <w:r>
        <w:rPr>
          <w:rFonts w:hint="eastAsia"/>
        </w:rPr>
        <w:t>商业密码应用需求</w:t>
      </w:r>
    </w:p>
    <w:p>
      <w:pPr>
        <w:spacing w:line="360" w:lineRule="auto"/>
        <w:ind w:firstLine="480"/>
      </w:pPr>
      <w:r>
        <w:rPr>
          <w:rFonts w:hint="eastAsia"/>
        </w:rPr>
        <w:t>本次项目建设内容需要符合商业密码应用需求。</w:t>
      </w:r>
      <w:r>
        <w:rPr>
          <w:rFonts w:ascii="Times New Roman" w:hAnsi="Times New Roman"/>
        </w:rPr>
        <w:t>采用密码技术对登陆用户进行身份鉴别，保证应用系统用户身份的真实性</w:t>
      </w:r>
      <w:r>
        <w:t>；</w:t>
      </w:r>
      <w:r>
        <w:rPr>
          <w:rFonts w:ascii="Times New Roman" w:hAnsi="Times New Roman"/>
        </w:rPr>
        <w:t>采用密码技术保证应用系统的访问控制信息的完整性</w:t>
      </w:r>
      <w:r>
        <w:rPr>
          <w:rFonts w:hint="eastAsia"/>
        </w:rPr>
        <w:t>；</w:t>
      </w:r>
      <w:r>
        <w:rPr>
          <w:rFonts w:ascii="Times New Roman" w:hAnsi="Times New Roman"/>
        </w:rPr>
        <w:t>采用密码技术保证应用系统重要数据在传输和存储过程中的机密性</w:t>
      </w:r>
      <w:r>
        <w:rPr>
          <w:rFonts w:hint="eastAsia"/>
        </w:rPr>
        <w:t>；</w:t>
      </w:r>
      <w:r>
        <w:rPr>
          <w:rFonts w:ascii="Times New Roman" w:hAnsi="Times New Roman"/>
        </w:rPr>
        <w:t>采用密码技术保证应用系统重要数据在传输和存储过程中的完整性</w:t>
      </w:r>
      <w:r>
        <w:rPr>
          <w:rFonts w:hint="eastAsia" w:ascii="Times New Roman" w:hAnsi="Times New Roman"/>
        </w:rPr>
        <w:t>。</w:t>
      </w:r>
    </w:p>
    <w:p>
      <w:pPr>
        <w:pStyle w:val="3"/>
      </w:pPr>
      <w:bookmarkStart w:id="35" w:name="_Toc63785512"/>
      <w:r>
        <w:rPr>
          <w:rFonts w:hint="eastAsia"/>
        </w:rPr>
        <w:t>技术文件要求</w:t>
      </w:r>
    </w:p>
    <w:p>
      <w:pPr>
        <w:spacing w:line="360" w:lineRule="auto"/>
        <w:ind w:firstLine="480"/>
      </w:pPr>
      <w:r>
        <w:rPr>
          <w:rFonts w:hint="eastAsia"/>
        </w:rPr>
        <w:t>供应商提供的书面技术资料应能确保系统正常运行所需的管理、运营及维护有关的全套文件。技术文件应该全面、完整、详细。供应商提供的技术文件至少应包括：</w:t>
      </w:r>
    </w:p>
    <w:p>
      <w:pPr>
        <w:spacing w:line="360" w:lineRule="auto"/>
        <w:ind w:firstLine="480"/>
      </w:pPr>
      <w:r>
        <w:rPr>
          <w:rFonts w:hint="eastAsia"/>
        </w:rPr>
        <w:t>－系统说明文件；</w:t>
      </w:r>
    </w:p>
    <w:p>
      <w:pPr>
        <w:spacing w:line="360" w:lineRule="auto"/>
        <w:ind w:firstLine="480"/>
      </w:pPr>
      <w:r>
        <w:rPr>
          <w:rFonts w:hint="eastAsia"/>
        </w:rPr>
        <w:t>－技术手册（安装、测试、操作、维护、故障排除等）；</w:t>
      </w:r>
    </w:p>
    <w:p>
      <w:pPr>
        <w:spacing w:line="360" w:lineRule="auto"/>
        <w:ind w:firstLine="480"/>
      </w:pPr>
      <w:r>
        <w:rPr>
          <w:rFonts w:hint="eastAsia"/>
        </w:rPr>
        <w:t>－项目文档，应该包括：</w:t>
      </w:r>
    </w:p>
    <w:p>
      <w:pPr>
        <w:spacing w:line="360" w:lineRule="auto"/>
        <w:ind w:firstLine="480"/>
      </w:pPr>
      <w:r>
        <w:rPr>
          <w:rFonts w:hint="eastAsia"/>
        </w:rPr>
        <w:t>（1）需求说明书</w:t>
      </w:r>
    </w:p>
    <w:p>
      <w:pPr>
        <w:spacing w:line="360" w:lineRule="auto"/>
        <w:ind w:firstLine="480"/>
      </w:pPr>
      <w:r>
        <w:rPr>
          <w:rFonts w:hint="eastAsia"/>
        </w:rPr>
        <w:t>（2）系统设计说明书</w:t>
      </w:r>
    </w:p>
    <w:p>
      <w:pPr>
        <w:spacing w:line="360" w:lineRule="auto"/>
        <w:ind w:firstLine="480"/>
      </w:pPr>
      <w:r>
        <w:rPr>
          <w:rFonts w:hint="eastAsia"/>
        </w:rPr>
        <w:t>（3）应用功能清单</w:t>
      </w:r>
    </w:p>
    <w:p>
      <w:pPr>
        <w:spacing w:line="360" w:lineRule="auto"/>
        <w:ind w:firstLine="480"/>
      </w:pPr>
      <w:r>
        <w:rPr>
          <w:rFonts w:hint="eastAsia"/>
        </w:rPr>
        <w:t>－采购人认为必要的其他文档，供应商根据实际情况提供，如下：</w:t>
      </w:r>
    </w:p>
    <w:p>
      <w:pPr>
        <w:pStyle w:val="18"/>
      </w:pPr>
    </w:p>
    <w:p>
      <w:pPr>
        <w:pStyle w:val="18"/>
        <w:spacing w:line="360" w:lineRule="auto"/>
        <w:jc w:val="center"/>
        <w:rPr>
          <w:rFonts w:eastAsiaTheme="minorEastAsia"/>
          <w:kern w:val="0"/>
          <w:sz w:val="24"/>
        </w:rPr>
      </w:pPr>
      <w:r>
        <w:rPr>
          <w:rFonts w:hint="eastAsia" w:eastAsiaTheme="minorEastAsia"/>
          <w:b/>
          <w:bCs/>
          <w:kern w:val="0"/>
          <w:sz w:val="24"/>
        </w:rPr>
        <w:t>信息化项目全过程文档汇总清单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文档名称</w:t>
            </w:r>
          </w:p>
        </w:tc>
        <w:tc>
          <w:tcPr>
            <w:tcW w:w="4479"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2"/>
            <w:vAlign w:val="center"/>
          </w:tcPr>
          <w:p>
            <w:pPr>
              <w:spacing w:line="240" w:lineRule="auto"/>
              <w:ind w:firstLine="0" w:firstLineChars="0"/>
              <w:jc w:val="center"/>
              <w:rPr>
                <w:rFonts w:ascii="Times New Roman" w:hAnsi="Times New Roman"/>
                <w:sz w:val="21"/>
                <w:szCs w:val="21"/>
              </w:rPr>
            </w:pPr>
            <w:r>
              <w:rPr>
                <w:rFonts w:ascii="Times New Roman" w:hAnsi="Times New Roman" w:eastAsiaTheme="minorEastAsia"/>
                <w:kern w:val="0"/>
                <w:sz w:val="21"/>
                <w:szCs w:val="21"/>
              </w:rPr>
              <w:t>实施前期阶段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工程开工报审、开工报告</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项目概况、前期准备工作情况、单位三证合一、相关资质、项目人员名单、项目人员</w:t>
            </w:r>
            <w:r>
              <w:rPr>
                <w:rFonts w:ascii="Times New Roman" w:hAnsi="Times New Roman" w:eastAsiaTheme="minorEastAsia"/>
                <w:kern w:val="0"/>
                <w:sz w:val="21"/>
                <w:szCs w:val="21"/>
              </w:rPr>
              <w:t>BM</w:t>
            </w:r>
            <w:r>
              <w:rPr>
                <w:rFonts w:hint="eastAsia" w:ascii="Times New Roman" w:hAnsi="Times New Roman" w:eastAsiaTheme="minorEastAsia"/>
                <w:kern w:val="0"/>
                <w:sz w:val="21"/>
                <w:szCs w:val="21"/>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需求分析、确认</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项目描述、系统需求概述、系统功能需求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2"/>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软件设计阶段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设计开发（编码）计划</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各模块开发时间、人员安排、可系统演示的节点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开发量考核</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人员考勤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概要设计说明书</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概要设计评审（含总体设计、接口设计、应用系统设计）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详细设计说明书</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详细设计评审</w:t>
            </w:r>
            <w:r>
              <w:rPr>
                <w:rFonts w:hint="eastAsia" w:ascii="Times New Roman" w:hAnsi="Times New Roman"/>
                <w:kern w:val="0"/>
                <w:sz w:val="21"/>
                <w:szCs w:val="21"/>
              </w:rPr>
              <w:t>（含系统概述、系统环境、功能模块设计、代码设计）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数据库结构设计说明书</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数据库整体描述、</w:t>
            </w:r>
            <w:r>
              <w:rPr>
                <w:rFonts w:ascii="Times New Roman" w:hAnsi="Times New Roman" w:eastAsiaTheme="minorEastAsia"/>
                <w:kern w:val="0"/>
                <w:sz w:val="21"/>
                <w:szCs w:val="21"/>
              </w:rPr>
              <w:t>E-R</w:t>
            </w:r>
            <w:r>
              <w:rPr>
                <w:rFonts w:hint="eastAsia" w:ascii="Times New Roman" w:hAnsi="Times New Roman" w:eastAsiaTheme="minorEastAsia"/>
                <w:kern w:val="0"/>
                <w:sz w:val="21"/>
                <w:szCs w:val="21"/>
              </w:rPr>
              <w:t>图或表关系、系统基本表、外部数据需求、数据归集方式选择等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2"/>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总体实施方案</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项目实施方案报审</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实施计划</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软件开发，系统测试，试运行计划等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系统集成方案</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含系统前期规划，人员配置、系统架构、网络端口地址、配置等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项目变更报审</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按实际情况提供（含变更说明及清单，需求变更需说明情况）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hint="eastAsia" w:ascii="Times New Roman" w:hAnsi="Times New Roman"/>
                <w:kern w:val="0"/>
                <w:sz w:val="21"/>
                <w:szCs w:val="21"/>
              </w:rPr>
              <w:t>项目阶段性报告</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系统维护手册</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系统上线保障方案</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方案适用范围、保障措施、保障流程、人员分配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应急预案</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测试方案、测试记录、测试报告</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含测试环境、浏览器、目标、测试角色、测试地址、流程、内容、人员安排、问题记录等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培训材料</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含培训手册、培训签到、培训内容讲义、培训反馈记录表等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试运行方案、试运行记录、试运行报告</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含目的、期限、准备（人员、环境、培训管理、用户培训）、制度（职责、措施）、试运行内容、问题记录等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代码审计、渗透测试报告</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重大项目原则上在上线前提供代码审计、渗透测试结果及整改复核情况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软件开发源代码</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涉及到软件开发部分，源代码需要备份留存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2"/>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验收阶段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hint="eastAsia" w:ascii="Times New Roman" w:hAnsi="Times New Roman" w:eastAsiaTheme="minorEastAsia"/>
                <w:kern w:val="0"/>
                <w:sz w:val="21"/>
                <w:szCs w:val="21"/>
              </w:rPr>
              <w:t>验收</w:t>
            </w:r>
            <w:r>
              <w:rPr>
                <w:rFonts w:ascii="Times New Roman" w:hAnsi="Times New Roman" w:eastAsiaTheme="minorEastAsia"/>
                <w:kern w:val="0"/>
                <w:sz w:val="21"/>
                <w:szCs w:val="21"/>
              </w:rPr>
              <w:t>申请</w:t>
            </w:r>
          </w:p>
        </w:tc>
        <w:tc>
          <w:tcPr>
            <w:tcW w:w="4479" w:type="dxa"/>
            <w:vAlign w:val="center"/>
          </w:tcPr>
          <w:p>
            <w:pPr>
              <w:widowControl/>
              <w:ind w:firstLine="0" w:firstLineChars="0"/>
              <w:jc w:val="left"/>
            </w:pPr>
            <w:r>
              <w:rPr>
                <w:rFonts w:hint="eastAsia" w:ascii="Times New Roman" w:hAnsi="Times New Roman" w:eastAsiaTheme="minorEastAsia"/>
                <w:kern w:val="0"/>
                <w:sz w:val="21"/>
                <w:szCs w:val="21"/>
              </w:rPr>
              <w:t>（三方）项目验收检查情况及报告、第三方测评报告、用户报告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widowControl/>
              <w:spacing w:line="240" w:lineRule="auto"/>
              <w:ind w:firstLine="0" w:firstLineChars="0"/>
              <w:jc w:val="center"/>
              <w:rPr>
                <w:rFonts w:ascii="Times New Roman" w:hAnsi="Times New Roman" w:eastAsiaTheme="minorEastAsia"/>
                <w:kern w:val="0"/>
                <w:sz w:val="21"/>
                <w:szCs w:val="21"/>
              </w:rPr>
            </w:pPr>
            <w:r>
              <w:rPr>
                <w:rFonts w:ascii="Times New Roman" w:hAnsi="Times New Roman" w:eastAsiaTheme="minorEastAsia"/>
                <w:kern w:val="0"/>
                <w:sz w:val="21"/>
                <w:szCs w:val="21"/>
              </w:rPr>
              <w:t>建设总结</w:t>
            </w:r>
          </w:p>
        </w:tc>
        <w:tc>
          <w:tcPr>
            <w:tcW w:w="4479" w:type="dxa"/>
            <w:vAlign w:val="center"/>
          </w:tcPr>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建设情况（背景、批复、总投资、招投标、建设进度）</w:t>
            </w:r>
          </w:p>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建设成果（建设目标和完成情况、总体架构、应用系统、硬件集成、系统安全建设、土建和配套工程、标准技术）</w:t>
            </w:r>
          </w:p>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经验教训（总体架构、建设方案、项目实施、组织机制）</w:t>
            </w:r>
          </w:p>
          <w:p>
            <w:pPr>
              <w:widowControl/>
              <w:spacing w:line="240" w:lineRule="auto"/>
              <w:ind w:firstLine="0" w:firstLineChars="0"/>
              <w:jc w:val="left"/>
              <w:rPr>
                <w:rFonts w:ascii="Times New Roman" w:hAnsi="Times New Roman" w:eastAsiaTheme="minorEastAsia"/>
                <w:kern w:val="0"/>
                <w:sz w:val="21"/>
                <w:szCs w:val="21"/>
              </w:rPr>
            </w:pPr>
            <w:r>
              <w:rPr>
                <w:rFonts w:hint="eastAsia" w:ascii="Times New Roman" w:hAnsi="Times New Roman" w:eastAsiaTheme="minorEastAsia"/>
                <w:kern w:val="0"/>
                <w:sz w:val="21"/>
                <w:szCs w:val="21"/>
              </w:rPr>
              <w:t>建设评价（项目总体、技术效果、环境影响、社会影响、可持续性）</w:t>
            </w:r>
          </w:p>
        </w:tc>
      </w:tr>
    </w:tbl>
    <w:p>
      <w:pPr>
        <w:pStyle w:val="18"/>
      </w:pPr>
    </w:p>
    <w:p>
      <w:pPr>
        <w:pStyle w:val="2"/>
        <w:ind w:hanging="1418"/>
        <w:rPr>
          <w:color w:val="auto"/>
        </w:rPr>
      </w:pPr>
      <w:r>
        <w:rPr>
          <w:rFonts w:hint="eastAsia"/>
          <w:color w:val="auto"/>
        </w:rPr>
        <w:t>供应商管理要求</w:t>
      </w:r>
      <w:bookmarkEnd w:id="35"/>
    </w:p>
    <w:p>
      <w:pPr>
        <w:pStyle w:val="87"/>
        <w:spacing w:line="360" w:lineRule="auto"/>
        <w:ind w:firstLine="480"/>
        <w:rPr>
          <w:rFonts w:ascii="Times New Roman" w:hAnsi="Times New Roman"/>
          <w:sz w:val="24"/>
          <w:szCs w:val="24"/>
        </w:rPr>
      </w:pPr>
      <w:r>
        <w:rPr>
          <w:rFonts w:hint="eastAsia" w:ascii="Times New Roman" w:hAnsi="Times New Roman"/>
          <w:sz w:val="24"/>
          <w:szCs w:val="24"/>
        </w:rPr>
        <w:t>1、在项目实施期间，中标人应严格执行国家、地方、行业有关本项目业务管理和安全作业的法律、法规和制度并按规定承担相应的费用。中标人因违反规定等原因造成的一切损失和责任由中标人自行承担。</w:t>
      </w:r>
    </w:p>
    <w:p>
      <w:pPr>
        <w:pStyle w:val="87"/>
        <w:spacing w:line="360" w:lineRule="auto"/>
        <w:ind w:firstLine="480"/>
        <w:rPr>
          <w:rFonts w:ascii="Times New Roman" w:hAnsi="Times New Roman"/>
          <w:sz w:val="24"/>
          <w:szCs w:val="24"/>
        </w:rPr>
      </w:pPr>
      <w:r>
        <w:rPr>
          <w:rFonts w:hint="eastAsia" w:ascii="Times New Roman" w:hAnsi="Times New Roman"/>
          <w:sz w:val="24"/>
          <w:szCs w:val="24"/>
        </w:rPr>
        <w:t>2、中标人在投标书中承诺并经招标人认定的项目负责人及专业技术人员应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作出更好的调整。</w:t>
      </w:r>
    </w:p>
    <w:p>
      <w:pPr>
        <w:pStyle w:val="87"/>
        <w:spacing w:line="360" w:lineRule="auto"/>
        <w:ind w:firstLine="480"/>
        <w:rPr>
          <w:rFonts w:ascii="Times New Roman" w:hAnsi="Times New Roman"/>
          <w:sz w:val="24"/>
          <w:szCs w:val="24"/>
        </w:rPr>
      </w:pPr>
      <w:r>
        <w:rPr>
          <w:rFonts w:hint="eastAsia" w:ascii="Times New Roman" w:hAnsi="Times New Roman"/>
          <w:sz w:val="24"/>
          <w:szCs w:val="24"/>
        </w:rPr>
        <w:t>3、中标人在项目实施期间，应按项目实际进度与环节落实所对应项目整体及各环节管理工作，按照规范做好项目实施期间相关管理与实施记录。</w:t>
      </w:r>
    </w:p>
    <w:p>
      <w:pPr>
        <w:pStyle w:val="87"/>
        <w:spacing w:line="360" w:lineRule="auto"/>
        <w:ind w:firstLine="480"/>
        <w:rPr>
          <w:rFonts w:ascii="Times New Roman" w:hAnsi="Times New Roman"/>
          <w:sz w:val="24"/>
          <w:szCs w:val="24"/>
        </w:rPr>
      </w:pPr>
      <w:r>
        <w:rPr>
          <w:rFonts w:hint="eastAsia" w:ascii="Times New Roman" w:hAnsi="Times New Roman"/>
          <w:sz w:val="24"/>
          <w:szCs w:val="24"/>
        </w:rPr>
        <w:t>4、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应得到采购人项目联系人确认。</w:t>
      </w:r>
    </w:p>
    <w:p>
      <w:pPr>
        <w:pStyle w:val="87"/>
        <w:spacing w:line="360" w:lineRule="auto"/>
        <w:ind w:firstLine="480"/>
        <w:rPr>
          <w:rFonts w:ascii="Times New Roman" w:hAnsi="Times New Roman"/>
          <w:sz w:val="24"/>
          <w:szCs w:val="24"/>
        </w:rPr>
      </w:pPr>
      <w:r>
        <w:rPr>
          <w:rFonts w:hint="eastAsia" w:ascii="Times New Roman" w:hAnsi="Times New Roman"/>
          <w:sz w:val="24"/>
          <w:szCs w:val="24"/>
        </w:rPr>
        <w:t>5、中标人在项目实施期间应遵守采购人的规章制度并提供实施人员名单。</w:t>
      </w:r>
    </w:p>
    <w:p>
      <w:pPr>
        <w:pStyle w:val="87"/>
        <w:spacing w:line="360" w:lineRule="auto"/>
        <w:ind w:firstLine="480"/>
        <w:rPr>
          <w:rFonts w:ascii="Times New Roman" w:hAnsi="Times New Roman"/>
          <w:sz w:val="24"/>
          <w:szCs w:val="24"/>
        </w:rPr>
      </w:pPr>
      <w:r>
        <w:rPr>
          <w:rFonts w:hint="eastAsia" w:ascii="Times New Roman" w:hAnsi="Times New Roman"/>
          <w:sz w:val="24"/>
          <w:szCs w:val="24"/>
        </w:rPr>
        <w:t>6、各投标人在投标文件中要结合本项目的特点和采购人上述的具体要求制定相应的管理措施，并在报价中列支相应的费用清单，投标人报价中未列支上述费用清单的，上述费用视为已包含在投标人的投标总报价中。</w:t>
      </w:r>
    </w:p>
    <w:p>
      <w:pPr>
        <w:pStyle w:val="87"/>
        <w:spacing w:line="360" w:lineRule="auto"/>
        <w:ind w:firstLine="480"/>
        <w:rPr>
          <w:rFonts w:ascii="Times New Roman" w:hAnsi="Times New Roman"/>
          <w:sz w:val="24"/>
          <w:szCs w:val="24"/>
        </w:rPr>
      </w:pPr>
      <w:r>
        <w:rPr>
          <w:rFonts w:hint="eastAsia" w:ascii="Times New Roman" w:hAnsi="Times New Roman"/>
          <w:sz w:val="24"/>
          <w:szCs w:val="24"/>
        </w:rPr>
        <w:t>7、本项目软件开发及调试将纳入采购人的管理范围，中标人在此过程中应服从上述单位的管理协调。</w:t>
      </w:r>
    </w:p>
    <w:p>
      <w:pPr>
        <w:pStyle w:val="87"/>
        <w:spacing w:line="360" w:lineRule="auto"/>
        <w:ind w:firstLine="480"/>
        <w:rPr>
          <w:rFonts w:ascii="Times New Roman" w:hAnsi="Times New Roman"/>
          <w:sz w:val="24"/>
          <w:szCs w:val="24"/>
        </w:rPr>
      </w:pPr>
    </w:p>
    <w:p>
      <w:pPr>
        <w:widowControl/>
        <w:spacing w:line="240" w:lineRule="auto"/>
        <w:ind w:firstLine="0" w:firstLineChars="0"/>
        <w:jc w:val="left"/>
        <w:rPr>
          <w:rFonts w:ascii="Times New Roman" w:hAnsi="Times New Roman"/>
          <w:sz w:val="21"/>
        </w:rPr>
      </w:pPr>
      <w:bookmarkStart w:id="36" w:name="_GoBack"/>
      <w:bookmarkEnd w:id="36"/>
    </w:p>
    <w:sectPr>
      <w:footerReference r:id="rId11" w:type="first"/>
      <w:pgSz w:w="11906" w:h="16838"/>
      <w:pgMar w:top="1134" w:right="1797" w:bottom="1135" w:left="1797" w:header="340" w:footer="795"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00000000" w:usb1="00000000" w:usb2="00000000"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time">
    <w:altName w:val="华文中宋"/>
    <w:panose1 w:val="00000000000000000000"/>
    <w:charset w:val="00"/>
    <w:family w:val="roman"/>
    <w:pitch w:val="default"/>
    <w:sig w:usb0="00000000" w:usb1="00000000" w:usb2="00000000" w:usb3="00000000" w:csb0="00040001" w:csb1="00000000"/>
  </w:font>
  <w:font w:name="等线 Light">
    <w:altName w:val="华文中宋"/>
    <w:panose1 w:val="00000000000000000000"/>
    <w:charset w:val="86"/>
    <w:family w:val="auto"/>
    <w:pitch w:val="default"/>
    <w:sig w:usb0="00000000" w:usb1="00000000" w:usb2="00000016" w:usb3="00000000" w:csb0="0004000F" w:csb1="00000000"/>
  </w:font>
  <w:font w:name="Microsoft YaHei UI">
    <w:altName w:val="华文中宋"/>
    <w:panose1 w:val="00000000000000000000"/>
    <w:charset w:val="86"/>
    <w:family w:val="swiss"/>
    <w:pitch w:val="default"/>
    <w:sig w:usb0="00000000" w:usb1="00000000" w:usb2="00000016" w:usb3="00000000" w:csb0="0004001F" w:csb1="00000000"/>
  </w:font>
  <w:font w:name="Microsoft Sans Serif">
    <w:altName w:val="DejaVu Sans"/>
    <w:panose1 w:val="020B0604020202020204"/>
    <w:charset w:val="00"/>
    <w:family w:val="swiss"/>
    <w:pitch w:val="default"/>
    <w:sig w:usb0="00000000" w:usb1="00000000" w:usb2="00000008" w:usb3="00000000" w:csb0="000101FF"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r>
      <w:fldChar w:fldCharType="begin"/>
    </w:r>
    <w:r>
      <w:instrText xml:space="preserve">PAGE   \* MERGEFORMAT</w:instrText>
    </w:r>
    <w:r>
      <w:fldChar w:fldCharType="separate"/>
    </w:r>
    <w:r>
      <w:rPr>
        <w:lang w:val="zh-CN"/>
      </w:rPr>
      <w:t>23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ACC25"/>
    <w:multiLevelType w:val="singleLevel"/>
    <w:tmpl w:val="EFFACC25"/>
    <w:lvl w:ilvl="0" w:tentative="0">
      <w:start w:val="1"/>
      <w:numFmt w:val="chineseCounting"/>
      <w:suff w:val="nothing"/>
      <w:lvlText w:val="（%1）"/>
      <w:lvlJc w:val="left"/>
      <w:pPr>
        <w:ind w:left="0" w:firstLine="420"/>
      </w:pPr>
      <w:rPr>
        <w:rFonts w:hint="eastAsia"/>
      </w:rPr>
    </w:lvl>
  </w:abstractNum>
  <w:abstractNum w:abstractNumId="1">
    <w:nsid w:val="6350366A"/>
    <w:multiLevelType w:val="multilevel"/>
    <w:tmpl w:val="6350366A"/>
    <w:lvl w:ilvl="0" w:tentative="0">
      <w:start w:val="1"/>
      <w:numFmt w:val="none"/>
      <w:pStyle w:val="11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3CC08BA"/>
    <w:multiLevelType w:val="singleLevel"/>
    <w:tmpl w:val="63CC08BA"/>
    <w:lvl w:ilvl="0" w:tentative="0">
      <w:start w:val="1"/>
      <w:numFmt w:val="chineseCounting"/>
      <w:suff w:val="nothing"/>
      <w:lvlText w:val="（%1）"/>
      <w:lvlJc w:val="left"/>
      <w:rPr>
        <w:rFonts w:hint="eastAsia"/>
      </w:rPr>
    </w:lvl>
  </w:abstractNum>
  <w:abstractNum w:abstractNumId="3">
    <w:nsid w:val="6A2F4AB3"/>
    <w:multiLevelType w:val="multilevel"/>
    <w:tmpl w:val="6A2F4AB3"/>
    <w:lvl w:ilvl="0" w:tentative="0">
      <w:start w:val="1"/>
      <w:numFmt w:val="chineseCountingThousand"/>
      <w:pStyle w:val="2"/>
      <w:suff w:val="nothing"/>
      <w:lvlText w:val="%1、"/>
      <w:lvlJc w:val="left"/>
      <w:pPr>
        <w:ind w:left="993" w:hanging="425"/>
      </w:pPr>
      <w:rPr>
        <w:rFonts w:hint="eastAsia"/>
        <w:sz w:val="32"/>
        <w:szCs w:val="32"/>
        <w:lang w:val="en-US"/>
      </w:rPr>
    </w:lvl>
    <w:lvl w:ilvl="1" w:tentative="0">
      <w:start w:val="1"/>
      <w:numFmt w:val="decimal"/>
      <w:pStyle w:val="3"/>
      <w:isLgl/>
      <w:suff w:val="nothing"/>
      <w:lvlText w:val="%1.%2、"/>
      <w:lvlJc w:val="left"/>
      <w:pPr>
        <w:ind w:left="1135" w:hanging="567"/>
      </w:p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7"/>
      <w:isLgl/>
      <w:suff w:val="nothing"/>
      <w:lvlText w:val="%1.%2.%3.%4.%5、"/>
      <w:lvlJc w:val="left"/>
      <w:pPr>
        <w:ind w:left="3544" w:hanging="992"/>
      </w:pPr>
      <w:rPr>
        <w:rFonts w:hint="eastAsia"/>
      </w:rPr>
    </w:lvl>
    <w:lvl w:ilvl="5" w:tentative="0">
      <w:start w:val="1"/>
      <w:numFmt w:val="decimal"/>
      <w:pStyle w:val="8"/>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ZDEyNzk5MmEwNjg3MWJlODUzNTlkNGE3MTgzYWYifQ=="/>
  </w:docVars>
  <w:rsids>
    <w:rsidRoot w:val="006910C0"/>
    <w:rsid w:val="0000005A"/>
    <w:rsid w:val="00000AED"/>
    <w:rsid w:val="00003516"/>
    <w:rsid w:val="0000380E"/>
    <w:rsid w:val="00005AFD"/>
    <w:rsid w:val="00006563"/>
    <w:rsid w:val="000074F1"/>
    <w:rsid w:val="00007A41"/>
    <w:rsid w:val="00007DA7"/>
    <w:rsid w:val="00010545"/>
    <w:rsid w:val="00010BEC"/>
    <w:rsid w:val="00012EF0"/>
    <w:rsid w:val="000156DE"/>
    <w:rsid w:val="000165AD"/>
    <w:rsid w:val="000179E9"/>
    <w:rsid w:val="00020C18"/>
    <w:rsid w:val="00021EE6"/>
    <w:rsid w:val="0002280E"/>
    <w:rsid w:val="00022C74"/>
    <w:rsid w:val="00025122"/>
    <w:rsid w:val="000252D5"/>
    <w:rsid w:val="00026997"/>
    <w:rsid w:val="00027A64"/>
    <w:rsid w:val="00032D27"/>
    <w:rsid w:val="00035325"/>
    <w:rsid w:val="00035D5B"/>
    <w:rsid w:val="000378D0"/>
    <w:rsid w:val="00037F2C"/>
    <w:rsid w:val="00042C2A"/>
    <w:rsid w:val="000430EC"/>
    <w:rsid w:val="000447CB"/>
    <w:rsid w:val="00046ABB"/>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231F"/>
    <w:rsid w:val="00062A05"/>
    <w:rsid w:val="00062EE6"/>
    <w:rsid w:val="0006344E"/>
    <w:rsid w:val="000649E6"/>
    <w:rsid w:val="0006794B"/>
    <w:rsid w:val="00067DCA"/>
    <w:rsid w:val="00070063"/>
    <w:rsid w:val="0007087A"/>
    <w:rsid w:val="000710EC"/>
    <w:rsid w:val="00072237"/>
    <w:rsid w:val="00072ABE"/>
    <w:rsid w:val="00072F91"/>
    <w:rsid w:val="0007313A"/>
    <w:rsid w:val="00080B39"/>
    <w:rsid w:val="00083950"/>
    <w:rsid w:val="0008452F"/>
    <w:rsid w:val="00084E8E"/>
    <w:rsid w:val="00085A68"/>
    <w:rsid w:val="00085FA1"/>
    <w:rsid w:val="00090625"/>
    <w:rsid w:val="00090948"/>
    <w:rsid w:val="00091CD1"/>
    <w:rsid w:val="0009460E"/>
    <w:rsid w:val="000951D4"/>
    <w:rsid w:val="000A2146"/>
    <w:rsid w:val="000A2930"/>
    <w:rsid w:val="000A3276"/>
    <w:rsid w:val="000A36C8"/>
    <w:rsid w:val="000A3C35"/>
    <w:rsid w:val="000A3E30"/>
    <w:rsid w:val="000A5876"/>
    <w:rsid w:val="000A61D0"/>
    <w:rsid w:val="000A6C67"/>
    <w:rsid w:val="000A6DB8"/>
    <w:rsid w:val="000A7596"/>
    <w:rsid w:val="000B0F72"/>
    <w:rsid w:val="000B11A8"/>
    <w:rsid w:val="000B1959"/>
    <w:rsid w:val="000B2119"/>
    <w:rsid w:val="000B2E1C"/>
    <w:rsid w:val="000B4459"/>
    <w:rsid w:val="000B4B46"/>
    <w:rsid w:val="000B5363"/>
    <w:rsid w:val="000B53BA"/>
    <w:rsid w:val="000B642F"/>
    <w:rsid w:val="000B6C99"/>
    <w:rsid w:val="000C3F3C"/>
    <w:rsid w:val="000C5A75"/>
    <w:rsid w:val="000C75F7"/>
    <w:rsid w:val="000D0AB2"/>
    <w:rsid w:val="000D225C"/>
    <w:rsid w:val="000D36F2"/>
    <w:rsid w:val="000D4B26"/>
    <w:rsid w:val="000D74DB"/>
    <w:rsid w:val="000E24D6"/>
    <w:rsid w:val="000E6072"/>
    <w:rsid w:val="000E6D61"/>
    <w:rsid w:val="000E7A23"/>
    <w:rsid w:val="000F1C29"/>
    <w:rsid w:val="000F1E9E"/>
    <w:rsid w:val="000F2B10"/>
    <w:rsid w:val="000F3F72"/>
    <w:rsid w:val="00102DEB"/>
    <w:rsid w:val="001055B2"/>
    <w:rsid w:val="001055B3"/>
    <w:rsid w:val="001068F0"/>
    <w:rsid w:val="00106AB8"/>
    <w:rsid w:val="00106C9E"/>
    <w:rsid w:val="00106E16"/>
    <w:rsid w:val="0010768B"/>
    <w:rsid w:val="00111701"/>
    <w:rsid w:val="00112A29"/>
    <w:rsid w:val="001146B6"/>
    <w:rsid w:val="001167F6"/>
    <w:rsid w:val="00116C86"/>
    <w:rsid w:val="00121ACF"/>
    <w:rsid w:val="00121D8F"/>
    <w:rsid w:val="00122037"/>
    <w:rsid w:val="0012210C"/>
    <w:rsid w:val="00122A7F"/>
    <w:rsid w:val="00123F98"/>
    <w:rsid w:val="001241F6"/>
    <w:rsid w:val="001242A5"/>
    <w:rsid w:val="00124345"/>
    <w:rsid w:val="00124531"/>
    <w:rsid w:val="00124D7C"/>
    <w:rsid w:val="00126EDF"/>
    <w:rsid w:val="00127BBE"/>
    <w:rsid w:val="00131D52"/>
    <w:rsid w:val="001329C1"/>
    <w:rsid w:val="00132C16"/>
    <w:rsid w:val="00133663"/>
    <w:rsid w:val="00133C43"/>
    <w:rsid w:val="00136320"/>
    <w:rsid w:val="00136FFA"/>
    <w:rsid w:val="0013759F"/>
    <w:rsid w:val="00137AC6"/>
    <w:rsid w:val="00145512"/>
    <w:rsid w:val="001465BD"/>
    <w:rsid w:val="00147B45"/>
    <w:rsid w:val="00150803"/>
    <w:rsid w:val="00151D83"/>
    <w:rsid w:val="001546C9"/>
    <w:rsid w:val="00154FAE"/>
    <w:rsid w:val="00155E77"/>
    <w:rsid w:val="00156A70"/>
    <w:rsid w:val="001571B9"/>
    <w:rsid w:val="00160A61"/>
    <w:rsid w:val="00160FC0"/>
    <w:rsid w:val="0016429B"/>
    <w:rsid w:val="00164525"/>
    <w:rsid w:val="00164C50"/>
    <w:rsid w:val="00165CB2"/>
    <w:rsid w:val="00166767"/>
    <w:rsid w:val="0017078D"/>
    <w:rsid w:val="001707CB"/>
    <w:rsid w:val="00171477"/>
    <w:rsid w:val="00172A1A"/>
    <w:rsid w:val="00173251"/>
    <w:rsid w:val="00174226"/>
    <w:rsid w:val="001757DF"/>
    <w:rsid w:val="00176BED"/>
    <w:rsid w:val="0017759D"/>
    <w:rsid w:val="001804A5"/>
    <w:rsid w:val="00181C94"/>
    <w:rsid w:val="00182C84"/>
    <w:rsid w:val="00187031"/>
    <w:rsid w:val="0019128E"/>
    <w:rsid w:val="00191EA4"/>
    <w:rsid w:val="00192B6C"/>
    <w:rsid w:val="00192C30"/>
    <w:rsid w:val="0019381E"/>
    <w:rsid w:val="00194CF5"/>
    <w:rsid w:val="0019503C"/>
    <w:rsid w:val="00195D94"/>
    <w:rsid w:val="00196F7B"/>
    <w:rsid w:val="001971CB"/>
    <w:rsid w:val="001975DE"/>
    <w:rsid w:val="00197706"/>
    <w:rsid w:val="0019795C"/>
    <w:rsid w:val="001A053A"/>
    <w:rsid w:val="001A22A2"/>
    <w:rsid w:val="001A2971"/>
    <w:rsid w:val="001A3D52"/>
    <w:rsid w:val="001A460A"/>
    <w:rsid w:val="001A4A4C"/>
    <w:rsid w:val="001B00A6"/>
    <w:rsid w:val="001B0230"/>
    <w:rsid w:val="001B13AB"/>
    <w:rsid w:val="001B3907"/>
    <w:rsid w:val="001B3B49"/>
    <w:rsid w:val="001B4907"/>
    <w:rsid w:val="001B4DC5"/>
    <w:rsid w:val="001B5505"/>
    <w:rsid w:val="001B5D74"/>
    <w:rsid w:val="001C2180"/>
    <w:rsid w:val="001C29CC"/>
    <w:rsid w:val="001C3217"/>
    <w:rsid w:val="001C3B98"/>
    <w:rsid w:val="001C6028"/>
    <w:rsid w:val="001C6365"/>
    <w:rsid w:val="001C7F57"/>
    <w:rsid w:val="001D0E79"/>
    <w:rsid w:val="001D6049"/>
    <w:rsid w:val="001D696B"/>
    <w:rsid w:val="001D7339"/>
    <w:rsid w:val="001E2750"/>
    <w:rsid w:val="001E4343"/>
    <w:rsid w:val="001E52BB"/>
    <w:rsid w:val="001E660A"/>
    <w:rsid w:val="001F05D6"/>
    <w:rsid w:val="001F1765"/>
    <w:rsid w:val="001F5B0A"/>
    <w:rsid w:val="001F640F"/>
    <w:rsid w:val="001F6794"/>
    <w:rsid w:val="001F6F65"/>
    <w:rsid w:val="002002DF"/>
    <w:rsid w:val="00203A6F"/>
    <w:rsid w:val="00205646"/>
    <w:rsid w:val="002063F7"/>
    <w:rsid w:val="002129E5"/>
    <w:rsid w:val="00212AA4"/>
    <w:rsid w:val="00212E13"/>
    <w:rsid w:val="002163C8"/>
    <w:rsid w:val="002179FE"/>
    <w:rsid w:val="00220CC0"/>
    <w:rsid w:val="00221A36"/>
    <w:rsid w:val="00223296"/>
    <w:rsid w:val="0022329B"/>
    <w:rsid w:val="00223E6C"/>
    <w:rsid w:val="002240F7"/>
    <w:rsid w:val="0022486F"/>
    <w:rsid w:val="00225314"/>
    <w:rsid w:val="00225DF4"/>
    <w:rsid w:val="00226C70"/>
    <w:rsid w:val="00230C8A"/>
    <w:rsid w:val="00231F98"/>
    <w:rsid w:val="002324F8"/>
    <w:rsid w:val="00233983"/>
    <w:rsid w:val="002348B0"/>
    <w:rsid w:val="00234D4D"/>
    <w:rsid w:val="00235CDC"/>
    <w:rsid w:val="00237E76"/>
    <w:rsid w:val="00240BBE"/>
    <w:rsid w:val="00241525"/>
    <w:rsid w:val="00241D87"/>
    <w:rsid w:val="00243C55"/>
    <w:rsid w:val="00243D5E"/>
    <w:rsid w:val="002451EC"/>
    <w:rsid w:val="00245ED4"/>
    <w:rsid w:val="00246B41"/>
    <w:rsid w:val="0025002B"/>
    <w:rsid w:val="002500DE"/>
    <w:rsid w:val="002513AB"/>
    <w:rsid w:val="00252457"/>
    <w:rsid w:val="00252581"/>
    <w:rsid w:val="002535B5"/>
    <w:rsid w:val="002538CB"/>
    <w:rsid w:val="002542BD"/>
    <w:rsid w:val="0025774E"/>
    <w:rsid w:val="00257D64"/>
    <w:rsid w:val="0026340A"/>
    <w:rsid w:val="00263743"/>
    <w:rsid w:val="002654EA"/>
    <w:rsid w:val="002704EA"/>
    <w:rsid w:val="0027061A"/>
    <w:rsid w:val="002719CC"/>
    <w:rsid w:val="002730C5"/>
    <w:rsid w:val="0027337C"/>
    <w:rsid w:val="0027602B"/>
    <w:rsid w:val="00277F5E"/>
    <w:rsid w:val="00280084"/>
    <w:rsid w:val="00280490"/>
    <w:rsid w:val="002838D6"/>
    <w:rsid w:val="002858E4"/>
    <w:rsid w:val="002860B8"/>
    <w:rsid w:val="00286BBA"/>
    <w:rsid w:val="0029206E"/>
    <w:rsid w:val="00293382"/>
    <w:rsid w:val="00294F51"/>
    <w:rsid w:val="002A0D49"/>
    <w:rsid w:val="002A1B2F"/>
    <w:rsid w:val="002A2342"/>
    <w:rsid w:val="002A279E"/>
    <w:rsid w:val="002A390D"/>
    <w:rsid w:val="002A4FA3"/>
    <w:rsid w:val="002A5654"/>
    <w:rsid w:val="002B3606"/>
    <w:rsid w:val="002B3D80"/>
    <w:rsid w:val="002B4402"/>
    <w:rsid w:val="002B4946"/>
    <w:rsid w:val="002B4C41"/>
    <w:rsid w:val="002B588D"/>
    <w:rsid w:val="002C1839"/>
    <w:rsid w:val="002C214A"/>
    <w:rsid w:val="002C28E8"/>
    <w:rsid w:val="002C3027"/>
    <w:rsid w:val="002C674D"/>
    <w:rsid w:val="002C7648"/>
    <w:rsid w:val="002C7DC4"/>
    <w:rsid w:val="002D0821"/>
    <w:rsid w:val="002D1325"/>
    <w:rsid w:val="002D1929"/>
    <w:rsid w:val="002D1B73"/>
    <w:rsid w:val="002D3CB0"/>
    <w:rsid w:val="002D4800"/>
    <w:rsid w:val="002D5B21"/>
    <w:rsid w:val="002D6F6D"/>
    <w:rsid w:val="002E00DD"/>
    <w:rsid w:val="002E1FE6"/>
    <w:rsid w:val="002E2EA7"/>
    <w:rsid w:val="002E36D2"/>
    <w:rsid w:val="002E453C"/>
    <w:rsid w:val="002E748B"/>
    <w:rsid w:val="002E7F8B"/>
    <w:rsid w:val="002F2002"/>
    <w:rsid w:val="002F2265"/>
    <w:rsid w:val="002F335D"/>
    <w:rsid w:val="002F4E32"/>
    <w:rsid w:val="002F503F"/>
    <w:rsid w:val="002F51DD"/>
    <w:rsid w:val="002F5D08"/>
    <w:rsid w:val="002F6895"/>
    <w:rsid w:val="002F6D13"/>
    <w:rsid w:val="002F729D"/>
    <w:rsid w:val="002F7429"/>
    <w:rsid w:val="003010A9"/>
    <w:rsid w:val="00301975"/>
    <w:rsid w:val="003038D3"/>
    <w:rsid w:val="003049C7"/>
    <w:rsid w:val="00305F0E"/>
    <w:rsid w:val="0030667A"/>
    <w:rsid w:val="003106DE"/>
    <w:rsid w:val="00311530"/>
    <w:rsid w:val="00312D31"/>
    <w:rsid w:val="003139C1"/>
    <w:rsid w:val="00315216"/>
    <w:rsid w:val="0031691C"/>
    <w:rsid w:val="00317AEF"/>
    <w:rsid w:val="00317F49"/>
    <w:rsid w:val="0032089B"/>
    <w:rsid w:val="00323334"/>
    <w:rsid w:val="00323450"/>
    <w:rsid w:val="00323D93"/>
    <w:rsid w:val="0032464D"/>
    <w:rsid w:val="0032489B"/>
    <w:rsid w:val="003248DA"/>
    <w:rsid w:val="0032525B"/>
    <w:rsid w:val="00326A7A"/>
    <w:rsid w:val="00326FEE"/>
    <w:rsid w:val="003315D7"/>
    <w:rsid w:val="00332A5C"/>
    <w:rsid w:val="00333B72"/>
    <w:rsid w:val="003349FF"/>
    <w:rsid w:val="00334DE6"/>
    <w:rsid w:val="0033536D"/>
    <w:rsid w:val="003353FF"/>
    <w:rsid w:val="003355DE"/>
    <w:rsid w:val="003366D2"/>
    <w:rsid w:val="00336DF2"/>
    <w:rsid w:val="00337C79"/>
    <w:rsid w:val="00337FEF"/>
    <w:rsid w:val="0034084C"/>
    <w:rsid w:val="00340D5E"/>
    <w:rsid w:val="003420B5"/>
    <w:rsid w:val="00343646"/>
    <w:rsid w:val="00344CCB"/>
    <w:rsid w:val="00345897"/>
    <w:rsid w:val="00345B16"/>
    <w:rsid w:val="0034707B"/>
    <w:rsid w:val="00351BFC"/>
    <w:rsid w:val="0035575E"/>
    <w:rsid w:val="003565B4"/>
    <w:rsid w:val="0035669D"/>
    <w:rsid w:val="00362A55"/>
    <w:rsid w:val="00362E75"/>
    <w:rsid w:val="003631AA"/>
    <w:rsid w:val="003632D5"/>
    <w:rsid w:val="00363575"/>
    <w:rsid w:val="003647C8"/>
    <w:rsid w:val="00364EF9"/>
    <w:rsid w:val="00367051"/>
    <w:rsid w:val="00367579"/>
    <w:rsid w:val="0036795B"/>
    <w:rsid w:val="00370A29"/>
    <w:rsid w:val="003722F9"/>
    <w:rsid w:val="00372349"/>
    <w:rsid w:val="00372CBC"/>
    <w:rsid w:val="00373A61"/>
    <w:rsid w:val="00374BDE"/>
    <w:rsid w:val="003765FA"/>
    <w:rsid w:val="003769CB"/>
    <w:rsid w:val="00376B39"/>
    <w:rsid w:val="003772C0"/>
    <w:rsid w:val="00377BAC"/>
    <w:rsid w:val="00380142"/>
    <w:rsid w:val="00380558"/>
    <w:rsid w:val="00381D3C"/>
    <w:rsid w:val="0038223E"/>
    <w:rsid w:val="00382D92"/>
    <w:rsid w:val="00385AEF"/>
    <w:rsid w:val="00385EF5"/>
    <w:rsid w:val="003860EA"/>
    <w:rsid w:val="0038781A"/>
    <w:rsid w:val="0039080B"/>
    <w:rsid w:val="0039326E"/>
    <w:rsid w:val="00394D42"/>
    <w:rsid w:val="00394E22"/>
    <w:rsid w:val="003967A4"/>
    <w:rsid w:val="00397FA3"/>
    <w:rsid w:val="003A1596"/>
    <w:rsid w:val="003A317E"/>
    <w:rsid w:val="003A345B"/>
    <w:rsid w:val="003A49EE"/>
    <w:rsid w:val="003A674D"/>
    <w:rsid w:val="003A7123"/>
    <w:rsid w:val="003B102E"/>
    <w:rsid w:val="003B2167"/>
    <w:rsid w:val="003B37FA"/>
    <w:rsid w:val="003B5F5D"/>
    <w:rsid w:val="003B62C8"/>
    <w:rsid w:val="003C0C62"/>
    <w:rsid w:val="003C12DC"/>
    <w:rsid w:val="003C2CDA"/>
    <w:rsid w:val="003D000A"/>
    <w:rsid w:val="003D31E9"/>
    <w:rsid w:val="003D544E"/>
    <w:rsid w:val="003D5980"/>
    <w:rsid w:val="003E0842"/>
    <w:rsid w:val="003E13B0"/>
    <w:rsid w:val="003E2580"/>
    <w:rsid w:val="003E3DEE"/>
    <w:rsid w:val="003E3EBB"/>
    <w:rsid w:val="003E4A4C"/>
    <w:rsid w:val="003E4CBA"/>
    <w:rsid w:val="003E4D2F"/>
    <w:rsid w:val="003E4EDC"/>
    <w:rsid w:val="003E599D"/>
    <w:rsid w:val="003E5C81"/>
    <w:rsid w:val="003E6965"/>
    <w:rsid w:val="003F00E8"/>
    <w:rsid w:val="003F1936"/>
    <w:rsid w:val="003F1BDD"/>
    <w:rsid w:val="003F3BA3"/>
    <w:rsid w:val="003F3BD5"/>
    <w:rsid w:val="003F400E"/>
    <w:rsid w:val="003F6F35"/>
    <w:rsid w:val="003F7768"/>
    <w:rsid w:val="00400453"/>
    <w:rsid w:val="00400E8C"/>
    <w:rsid w:val="0040152A"/>
    <w:rsid w:val="004017DC"/>
    <w:rsid w:val="00401B53"/>
    <w:rsid w:val="00402668"/>
    <w:rsid w:val="0040440E"/>
    <w:rsid w:val="00404FEC"/>
    <w:rsid w:val="0040534D"/>
    <w:rsid w:val="00405A55"/>
    <w:rsid w:val="00405FAD"/>
    <w:rsid w:val="004117AB"/>
    <w:rsid w:val="00412B2F"/>
    <w:rsid w:val="00415281"/>
    <w:rsid w:val="00415716"/>
    <w:rsid w:val="0041604D"/>
    <w:rsid w:val="00417842"/>
    <w:rsid w:val="00417A6E"/>
    <w:rsid w:val="0042285D"/>
    <w:rsid w:val="00427D2B"/>
    <w:rsid w:val="00430B13"/>
    <w:rsid w:val="00430CE5"/>
    <w:rsid w:val="0043153C"/>
    <w:rsid w:val="00431D0F"/>
    <w:rsid w:val="0043481C"/>
    <w:rsid w:val="00437414"/>
    <w:rsid w:val="00437B2A"/>
    <w:rsid w:val="00444307"/>
    <w:rsid w:val="0044436F"/>
    <w:rsid w:val="004443EB"/>
    <w:rsid w:val="00444432"/>
    <w:rsid w:val="00444673"/>
    <w:rsid w:val="004457F6"/>
    <w:rsid w:val="0044621E"/>
    <w:rsid w:val="00447BF1"/>
    <w:rsid w:val="00447C4E"/>
    <w:rsid w:val="00450698"/>
    <w:rsid w:val="00450BA4"/>
    <w:rsid w:val="004511FC"/>
    <w:rsid w:val="00456784"/>
    <w:rsid w:val="00456DCA"/>
    <w:rsid w:val="00461140"/>
    <w:rsid w:val="004611DB"/>
    <w:rsid w:val="004658B0"/>
    <w:rsid w:val="0046614B"/>
    <w:rsid w:val="00467FD7"/>
    <w:rsid w:val="00470073"/>
    <w:rsid w:val="004730F8"/>
    <w:rsid w:val="00474353"/>
    <w:rsid w:val="00474555"/>
    <w:rsid w:val="00474AAE"/>
    <w:rsid w:val="004750F4"/>
    <w:rsid w:val="00476CB1"/>
    <w:rsid w:val="004806D1"/>
    <w:rsid w:val="00480A48"/>
    <w:rsid w:val="00482501"/>
    <w:rsid w:val="00482E7D"/>
    <w:rsid w:val="00484395"/>
    <w:rsid w:val="004865FB"/>
    <w:rsid w:val="00486C03"/>
    <w:rsid w:val="00491AB3"/>
    <w:rsid w:val="00497A33"/>
    <w:rsid w:val="004A1112"/>
    <w:rsid w:val="004A1DA0"/>
    <w:rsid w:val="004A1F20"/>
    <w:rsid w:val="004A2393"/>
    <w:rsid w:val="004A28F6"/>
    <w:rsid w:val="004A3569"/>
    <w:rsid w:val="004A452A"/>
    <w:rsid w:val="004A5F2C"/>
    <w:rsid w:val="004A6E4F"/>
    <w:rsid w:val="004A720D"/>
    <w:rsid w:val="004B00D0"/>
    <w:rsid w:val="004B6084"/>
    <w:rsid w:val="004B7AE0"/>
    <w:rsid w:val="004B7E79"/>
    <w:rsid w:val="004C0BC4"/>
    <w:rsid w:val="004C1DDD"/>
    <w:rsid w:val="004C260D"/>
    <w:rsid w:val="004C2D47"/>
    <w:rsid w:val="004C4357"/>
    <w:rsid w:val="004C4477"/>
    <w:rsid w:val="004C512D"/>
    <w:rsid w:val="004C5730"/>
    <w:rsid w:val="004C6397"/>
    <w:rsid w:val="004C668F"/>
    <w:rsid w:val="004C682B"/>
    <w:rsid w:val="004D142C"/>
    <w:rsid w:val="004D29F7"/>
    <w:rsid w:val="004D36D8"/>
    <w:rsid w:val="004D4C5C"/>
    <w:rsid w:val="004D5AB0"/>
    <w:rsid w:val="004D5EAE"/>
    <w:rsid w:val="004D7A0E"/>
    <w:rsid w:val="004E06E7"/>
    <w:rsid w:val="004E0AE3"/>
    <w:rsid w:val="004E20D3"/>
    <w:rsid w:val="004E26AC"/>
    <w:rsid w:val="004E2C82"/>
    <w:rsid w:val="004E4FAE"/>
    <w:rsid w:val="004E62C7"/>
    <w:rsid w:val="004E68FF"/>
    <w:rsid w:val="004E7A1B"/>
    <w:rsid w:val="004F0B7F"/>
    <w:rsid w:val="004F1193"/>
    <w:rsid w:val="004F11DC"/>
    <w:rsid w:val="004F2124"/>
    <w:rsid w:val="004F271B"/>
    <w:rsid w:val="004F3A52"/>
    <w:rsid w:val="004F449F"/>
    <w:rsid w:val="004F4E7E"/>
    <w:rsid w:val="004F63AB"/>
    <w:rsid w:val="004F6B76"/>
    <w:rsid w:val="004F6C7C"/>
    <w:rsid w:val="004F7F1A"/>
    <w:rsid w:val="004F7FBB"/>
    <w:rsid w:val="00502180"/>
    <w:rsid w:val="005042B3"/>
    <w:rsid w:val="005045AB"/>
    <w:rsid w:val="00507D43"/>
    <w:rsid w:val="005103F2"/>
    <w:rsid w:val="00510E2C"/>
    <w:rsid w:val="00511FDC"/>
    <w:rsid w:val="005124C6"/>
    <w:rsid w:val="00513EBC"/>
    <w:rsid w:val="00514CE1"/>
    <w:rsid w:val="00517155"/>
    <w:rsid w:val="00517DB3"/>
    <w:rsid w:val="005200DC"/>
    <w:rsid w:val="005200F2"/>
    <w:rsid w:val="00522A42"/>
    <w:rsid w:val="0052369D"/>
    <w:rsid w:val="005271DB"/>
    <w:rsid w:val="00530D2F"/>
    <w:rsid w:val="0053487C"/>
    <w:rsid w:val="00534CBE"/>
    <w:rsid w:val="005356E1"/>
    <w:rsid w:val="00536A8B"/>
    <w:rsid w:val="00540418"/>
    <w:rsid w:val="00541A96"/>
    <w:rsid w:val="00541C6A"/>
    <w:rsid w:val="00542C54"/>
    <w:rsid w:val="00546A43"/>
    <w:rsid w:val="00546C70"/>
    <w:rsid w:val="00547258"/>
    <w:rsid w:val="00550CF0"/>
    <w:rsid w:val="00551B6D"/>
    <w:rsid w:val="00553293"/>
    <w:rsid w:val="005559FE"/>
    <w:rsid w:val="005560D6"/>
    <w:rsid w:val="00556D07"/>
    <w:rsid w:val="005611F2"/>
    <w:rsid w:val="00561734"/>
    <w:rsid w:val="00561952"/>
    <w:rsid w:val="005626CA"/>
    <w:rsid w:val="00564B9A"/>
    <w:rsid w:val="00565694"/>
    <w:rsid w:val="00566DD6"/>
    <w:rsid w:val="005714EF"/>
    <w:rsid w:val="00571CEC"/>
    <w:rsid w:val="00572FCE"/>
    <w:rsid w:val="005750DB"/>
    <w:rsid w:val="005759FC"/>
    <w:rsid w:val="00575B85"/>
    <w:rsid w:val="00576DB9"/>
    <w:rsid w:val="0057738F"/>
    <w:rsid w:val="005805E4"/>
    <w:rsid w:val="0058202F"/>
    <w:rsid w:val="00584221"/>
    <w:rsid w:val="00584EB6"/>
    <w:rsid w:val="00585AC1"/>
    <w:rsid w:val="00586B68"/>
    <w:rsid w:val="0058774E"/>
    <w:rsid w:val="005878CF"/>
    <w:rsid w:val="00590CA0"/>
    <w:rsid w:val="00591EF3"/>
    <w:rsid w:val="005921FA"/>
    <w:rsid w:val="00593B85"/>
    <w:rsid w:val="00595B01"/>
    <w:rsid w:val="00596D98"/>
    <w:rsid w:val="005979A5"/>
    <w:rsid w:val="005A0021"/>
    <w:rsid w:val="005A017B"/>
    <w:rsid w:val="005A02F7"/>
    <w:rsid w:val="005A2AEC"/>
    <w:rsid w:val="005A2B58"/>
    <w:rsid w:val="005A412D"/>
    <w:rsid w:val="005A5212"/>
    <w:rsid w:val="005B002D"/>
    <w:rsid w:val="005B0FFF"/>
    <w:rsid w:val="005B19AF"/>
    <w:rsid w:val="005B258C"/>
    <w:rsid w:val="005B560E"/>
    <w:rsid w:val="005B61DD"/>
    <w:rsid w:val="005B6735"/>
    <w:rsid w:val="005B7831"/>
    <w:rsid w:val="005C0CD6"/>
    <w:rsid w:val="005C12D9"/>
    <w:rsid w:val="005C1EA6"/>
    <w:rsid w:val="005C2146"/>
    <w:rsid w:val="005C309D"/>
    <w:rsid w:val="005C49C0"/>
    <w:rsid w:val="005C544B"/>
    <w:rsid w:val="005C5916"/>
    <w:rsid w:val="005C5AEE"/>
    <w:rsid w:val="005C774A"/>
    <w:rsid w:val="005D3734"/>
    <w:rsid w:val="005D4F16"/>
    <w:rsid w:val="005D545F"/>
    <w:rsid w:val="005D5A53"/>
    <w:rsid w:val="005D5DA0"/>
    <w:rsid w:val="005D7FBD"/>
    <w:rsid w:val="005E19B4"/>
    <w:rsid w:val="005E1D6B"/>
    <w:rsid w:val="005E227A"/>
    <w:rsid w:val="005E2CF8"/>
    <w:rsid w:val="005E3126"/>
    <w:rsid w:val="005E7075"/>
    <w:rsid w:val="005E75A7"/>
    <w:rsid w:val="005F056E"/>
    <w:rsid w:val="005F38E2"/>
    <w:rsid w:val="005F3D7F"/>
    <w:rsid w:val="005F3EE6"/>
    <w:rsid w:val="005F6736"/>
    <w:rsid w:val="006007CD"/>
    <w:rsid w:val="00602C10"/>
    <w:rsid w:val="00602EBD"/>
    <w:rsid w:val="00604CF2"/>
    <w:rsid w:val="00606DFF"/>
    <w:rsid w:val="00606FB7"/>
    <w:rsid w:val="00610533"/>
    <w:rsid w:val="00610BBE"/>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4B6B"/>
    <w:rsid w:val="00636C0A"/>
    <w:rsid w:val="00637EC6"/>
    <w:rsid w:val="0064240C"/>
    <w:rsid w:val="00642FF5"/>
    <w:rsid w:val="006430FB"/>
    <w:rsid w:val="00643992"/>
    <w:rsid w:val="00644DBC"/>
    <w:rsid w:val="00646FE6"/>
    <w:rsid w:val="006474CD"/>
    <w:rsid w:val="00647744"/>
    <w:rsid w:val="006479A0"/>
    <w:rsid w:val="006500D9"/>
    <w:rsid w:val="00653B54"/>
    <w:rsid w:val="006541A3"/>
    <w:rsid w:val="00654FAD"/>
    <w:rsid w:val="00655C9F"/>
    <w:rsid w:val="006567FF"/>
    <w:rsid w:val="00656867"/>
    <w:rsid w:val="0066109F"/>
    <w:rsid w:val="00664B26"/>
    <w:rsid w:val="0066596B"/>
    <w:rsid w:val="00670295"/>
    <w:rsid w:val="006704F5"/>
    <w:rsid w:val="00672894"/>
    <w:rsid w:val="00674B47"/>
    <w:rsid w:val="0067609E"/>
    <w:rsid w:val="00677749"/>
    <w:rsid w:val="00680E07"/>
    <w:rsid w:val="00682B9D"/>
    <w:rsid w:val="00683806"/>
    <w:rsid w:val="00684DF3"/>
    <w:rsid w:val="0068569A"/>
    <w:rsid w:val="00686631"/>
    <w:rsid w:val="00686AF9"/>
    <w:rsid w:val="006910C0"/>
    <w:rsid w:val="00691954"/>
    <w:rsid w:val="0069320E"/>
    <w:rsid w:val="00693D13"/>
    <w:rsid w:val="00694F58"/>
    <w:rsid w:val="006955BC"/>
    <w:rsid w:val="006959E2"/>
    <w:rsid w:val="00696920"/>
    <w:rsid w:val="00697EB9"/>
    <w:rsid w:val="006A20D4"/>
    <w:rsid w:val="006A268D"/>
    <w:rsid w:val="006A350F"/>
    <w:rsid w:val="006A3957"/>
    <w:rsid w:val="006A39A4"/>
    <w:rsid w:val="006A41D6"/>
    <w:rsid w:val="006A5FB7"/>
    <w:rsid w:val="006A669D"/>
    <w:rsid w:val="006A6E41"/>
    <w:rsid w:val="006B012F"/>
    <w:rsid w:val="006B27CF"/>
    <w:rsid w:val="006B2AA2"/>
    <w:rsid w:val="006B41BD"/>
    <w:rsid w:val="006B5678"/>
    <w:rsid w:val="006B62B2"/>
    <w:rsid w:val="006C1C57"/>
    <w:rsid w:val="006C5760"/>
    <w:rsid w:val="006C5C3A"/>
    <w:rsid w:val="006C6D6F"/>
    <w:rsid w:val="006D00AA"/>
    <w:rsid w:val="006D0D78"/>
    <w:rsid w:val="006D1128"/>
    <w:rsid w:val="006D2848"/>
    <w:rsid w:val="006D30E0"/>
    <w:rsid w:val="006D3465"/>
    <w:rsid w:val="006D5521"/>
    <w:rsid w:val="006D5FE9"/>
    <w:rsid w:val="006D6CBB"/>
    <w:rsid w:val="006D76A9"/>
    <w:rsid w:val="006D77F4"/>
    <w:rsid w:val="006E0898"/>
    <w:rsid w:val="006E41CD"/>
    <w:rsid w:val="006E7C95"/>
    <w:rsid w:val="006F3BEC"/>
    <w:rsid w:val="00700574"/>
    <w:rsid w:val="00703C00"/>
    <w:rsid w:val="007057CC"/>
    <w:rsid w:val="007066F2"/>
    <w:rsid w:val="00706AE5"/>
    <w:rsid w:val="0070740A"/>
    <w:rsid w:val="00711F93"/>
    <w:rsid w:val="00712940"/>
    <w:rsid w:val="0071428C"/>
    <w:rsid w:val="00715A16"/>
    <w:rsid w:val="0071629A"/>
    <w:rsid w:val="007164B0"/>
    <w:rsid w:val="007166FF"/>
    <w:rsid w:val="007213DD"/>
    <w:rsid w:val="007260CC"/>
    <w:rsid w:val="00726543"/>
    <w:rsid w:val="0073353E"/>
    <w:rsid w:val="00736633"/>
    <w:rsid w:val="00741EE7"/>
    <w:rsid w:val="00743A79"/>
    <w:rsid w:val="007444D4"/>
    <w:rsid w:val="0074594D"/>
    <w:rsid w:val="007459F3"/>
    <w:rsid w:val="00746E35"/>
    <w:rsid w:val="007470E2"/>
    <w:rsid w:val="0075232F"/>
    <w:rsid w:val="00753132"/>
    <w:rsid w:val="007550B3"/>
    <w:rsid w:val="00760451"/>
    <w:rsid w:val="0077182A"/>
    <w:rsid w:val="00771913"/>
    <w:rsid w:val="00772718"/>
    <w:rsid w:val="0077486B"/>
    <w:rsid w:val="00774A23"/>
    <w:rsid w:val="00775BCF"/>
    <w:rsid w:val="00777DAE"/>
    <w:rsid w:val="00781830"/>
    <w:rsid w:val="007818AA"/>
    <w:rsid w:val="00781AA4"/>
    <w:rsid w:val="00783140"/>
    <w:rsid w:val="007838B6"/>
    <w:rsid w:val="00783E77"/>
    <w:rsid w:val="007906F1"/>
    <w:rsid w:val="00791397"/>
    <w:rsid w:val="00791C65"/>
    <w:rsid w:val="0079243D"/>
    <w:rsid w:val="00794A9B"/>
    <w:rsid w:val="0079583B"/>
    <w:rsid w:val="00796602"/>
    <w:rsid w:val="00797185"/>
    <w:rsid w:val="007976B7"/>
    <w:rsid w:val="00797A7E"/>
    <w:rsid w:val="00797D6F"/>
    <w:rsid w:val="007B014B"/>
    <w:rsid w:val="007B0D88"/>
    <w:rsid w:val="007B306F"/>
    <w:rsid w:val="007B4714"/>
    <w:rsid w:val="007B4E82"/>
    <w:rsid w:val="007B5EBC"/>
    <w:rsid w:val="007C1996"/>
    <w:rsid w:val="007C3773"/>
    <w:rsid w:val="007C3F1F"/>
    <w:rsid w:val="007C5DD7"/>
    <w:rsid w:val="007D2D0D"/>
    <w:rsid w:val="007D3325"/>
    <w:rsid w:val="007D3818"/>
    <w:rsid w:val="007D6DC5"/>
    <w:rsid w:val="007D7425"/>
    <w:rsid w:val="007E320E"/>
    <w:rsid w:val="007E3280"/>
    <w:rsid w:val="007E471D"/>
    <w:rsid w:val="007E4A02"/>
    <w:rsid w:val="007E595C"/>
    <w:rsid w:val="007E59A5"/>
    <w:rsid w:val="007F3B8C"/>
    <w:rsid w:val="007F41D0"/>
    <w:rsid w:val="007F4B8B"/>
    <w:rsid w:val="007F5957"/>
    <w:rsid w:val="007F70B6"/>
    <w:rsid w:val="007F74CA"/>
    <w:rsid w:val="007F79CF"/>
    <w:rsid w:val="00800F1E"/>
    <w:rsid w:val="0080195A"/>
    <w:rsid w:val="0080239C"/>
    <w:rsid w:val="00802841"/>
    <w:rsid w:val="008037D5"/>
    <w:rsid w:val="00805447"/>
    <w:rsid w:val="008054FA"/>
    <w:rsid w:val="0080717A"/>
    <w:rsid w:val="00807DFA"/>
    <w:rsid w:val="0081009F"/>
    <w:rsid w:val="00810152"/>
    <w:rsid w:val="0081042D"/>
    <w:rsid w:val="008115AB"/>
    <w:rsid w:val="008159F4"/>
    <w:rsid w:val="008167C1"/>
    <w:rsid w:val="008167C6"/>
    <w:rsid w:val="00816B8F"/>
    <w:rsid w:val="00820331"/>
    <w:rsid w:val="00820BF5"/>
    <w:rsid w:val="008212B1"/>
    <w:rsid w:val="0082155A"/>
    <w:rsid w:val="0082209F"/>
    <w:rsid w:val="008223C2"/>
    <w:rsid w:val="00824883"/>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17C8"/>
    <w:rsid w:val="00842A68"/>
    <w:rsid w:val="008435BA"/>
    <w:rsid w:val="0084558B"/>
    <w:rsid w:val="008462F2"/>
    <w:rsid w:val="0084654A"/>
    <w:rsid w:val="00847654"/>
    <w:rsid w:val="00851064"/>
    <w:rsid w:val="00855543"/>
    <w:rsid w:val="008566B3"/>
    <w:rsid w:val="0085709B"/>
    <w:rsid w:val="008576B7"/>
    <w:rsid w:val="00857F7B"/>
    <w:rsid w:val="00863DA1"/>
    <w:rsid w:val="008654A6"/>
    <w:rsid w:val="00865D86"/>
    <w:rsid w:val="00870495"/>
    <w:rsid w:val="00870EA1"/>
    <w:rsid w:val="008710C5"/>
    <w:rsid w:val="00874438"/>
    <w:rsid w:val="00874E75"/>
    <w:rsid w:val="008767F3"/>
    <w:rsid w:val="00876CEF"/>
    <w:rsid w:val="00877342"/>
    <w:rsid w:val="008803C3"/>
    <w:rsid w:val="00881450"/>
    <w:rsid w:val="008817C7"/>
    <w:rsid w:val="00881875"/>
    <w:rsid w:val="008848A3"/>
    <w:rsid w:val="00884AF1"/>
    <w:rsid w:val="00885F7A"/>
    <w:rsid w:val="00886630"/>
    <w:rsid w:val="00887162"/>
    <w:rsid w:val="00890712"/>
    <w:rsid w:val="00890D81"/>
    <w:rsid w:val="00892955"/>
    <w:rsid w:val="00893628"/>
    <w:rsid w:val="008941EB"/>
    <w:rsid w:val="00894F1D"/>
    <w:rsid w:val="0089545A"/>
    <w:rsid w:val="00895A02"/>
    <w:rsid w:val="008A01EE"/>
    <w:rsid w:val="008A0DAC"/>
    <w:rsid w:val="008A0E43"/>
    <w:rsid w:val="008A3B78"/>
    <w:rsid w:val="008A4166"/>
    <w:rsid w:val="008A7DBF"/>
    <w:rsid w:val="008B136C"/>
    <w:rsid w:val="008B4325"/>
    <w:rsid w:val="008B55EF"/>
    <w:rsid w:val="008B6910"/>
    <w:rsid w:val="008C0B5C"/>
    <w:rsid w:val="008C1343"/>
    <w:rsid w:val="008C3912"/>
    <w:rsid w:val="008C5598"/>
    <w:rsid w:val="008C69EA"/>
    <w:rsid w:val="008C6F8B"/>
    <w:rsid w:val="008C7AB7"/>
    <w:rsid w:val="008C7FB4"/>
    <w:rsid w:val="008D24F3"/>
    <w:rsid w:val="008D2C8C"/>
    <w:rsid w:val="008D3040"/>
    <w:rsid w:val="008D3ECD"/>
    <w:rsid w:val="008D5C03"/>
    <w:rsid w:val="008D7580"/>
    <w:rsid w:val="008D7C35"/>
    <w:rsid w:val="008E0CC9"/>
    <w:rsid w:val="008E5698"/>
    <w:rsid w:val="008E5733"/>
    <w:rsid w:val="008E5EAB"/>
    <w:rsid w:val="008E77D2"/>
    <w:rsid w:val="008E7882"/>
    <w:rsid w:val="008E78FD"/>
    <w:rsid w:val="008F199D"/>
    <w:rsid w:val="008F38A0"/>
    <w:rsid w:val="008F39C9"/>
    <w:rsid w:val="008F5EB5"/>
    <w:rsid w:val="008F678C"/>
    <w:rsid w:val="008F75A7"/>
    <w:rsid w:val="008F796A"/>
    <w:rsid w:val="008F7992"/>
    <w:rsid w:val="008F7A01"/>
    <w:rsid w:val="008F7E5A"/>
    <w:rsid w:val="00900A7F"/>
    <w:rsid w:val="00902E65"/>
    <w:rsid w:val="009030E5"/>
    <w:rsid w:val="009036EE"/>
    <w:rsid w:val="00905815"/>
    <w:rsid w:val="00905D1D"/>
    <w:rsid w:val="00910118"/>
    <w:rsid w:val="0091016D"/>
    <w:rsid w:val="00910C98"/>
    <w:rsid w:val="00911910"/>
    <w:rsid w:val="00912A58"/>
    <w:rsid w:val="00913908"/>
    <w:rsid w:val="00913D26"/>
    <w:rsid w:val="0091438B"/>
    <w:rsid w:val="009147E3"/>
    <w:rsid w:val="00920FD2"/>
    <w:rsid w:val="009213D0"/>
    <w:rsid w:val="00923A43"/>
    <w:rsid w:val="0092439C"/>
    <w:rsid w:val="0092498E"/>
    <w:rsid w:val="00925B91"/>
    <w:rsid w:val="00927508"/>
    <w:rsid w:val="00934461"/>
    <w:rsid w:val="00934F7E"/>
    <w:rsid w:val="00936A1C"/>
    <w:rsid w:val="00936EB4"/>
    <w:rsid w:val="00943E35"/>
    <w:rsid w:val="00945278"/>
    <w:rsid w:val="0094658D"/>
    <w:rsid w:val="00947678"/>
    <w:rsid w:val="00947878"/>
    <w:rsid w:val="009504C2"/>
    <w:rsid w:val="0095254A"/>
    <w:rsid w:val="0095273B"/>
    <w:rsid w:val="00954A51"/>
    <w:rsid w:val="009559E1"/>
    <w:rsid w:val="009568D5"/>
    <w:rsid w:val="00956FEA"/>
    <w:rsid w:val="00957C9F"/>
    <w:rsid w:val="00957CD3"/>
    <w:rsid w:val="0096269B"/>
    <w:rsid w:val="009627FD"/>
    <w:rsid w:val="00963FB0"/>
    <w:rsid w:val="00964C86"/>
    <w:rsid w:val="00965E82"/>
    <w:rsid w:val="009664BB"/>
    <w:rsid w:val="009669F8"/>
    <w:rsid w:val="00966F89"/>
    <w:rsid w:val="00973B5D"/>
    <w:rsid w:val="0097755E"/>
    <w:rsid w:val="00981467"/>
    <w:rsid w:val="00981C24"/>
    <w:rsid w:val="009852F6"/>
    <w:rsid w:val="00985DE5"/>
    <w:rsid w:val="00986254"/>
    <w:rsid w:val="0098729E"/>
    <w:rsid w:val="00990067"/>
    <w:rsid w:val="00992977"/>
    <w:rsid w:val="009937D4"/>
    <w:rsid w:val="00993C78"/>
    <w:rsid w:val="009948C7"/>
    <w:rsid w:val="00995850"/>
    <w:rsid w:val="00995D50"/>
    <w:rsid w:val="0099796C"/>
    <w:rsid w:val="009A194E"/>
    <w:rsid w:val="009A1EA2"/>
    <w:rsid w:val="009A209E"/>
    <w:rsid w:val="009A3FD7"/>
    <w:rsid w:val="009A500D"/>
    <w:rsid w:val="009A6652"/>
    <w:rsid w:val="009A74FD"/>
    <w:rsid w:val="009B2271"/>
    <w:rsid w:val="009B25D8"/>
    <w:rsid w:val="009B2F34"/>
    <w:rsid w:val="009B42E3"/>
    <w:rsid w:val="009B5859"/>
    <w:rsid w:val="009B6E3F"/>
    <w:rsid w:val="009C2F7A"/>
    <w:rsid w:val="009C6D07"/>
    <w:rsid w:val="009C7CEC"/>
    <w:rsid w:val="009D154D"/>
    <w:rsid w:val="009D18EF"/>
    <w:rsid w:val="009D3BE8"/>
    <w:rsid w:val="009D44E0"/>
    <w:rsid w:val="009D573B"/>
    <w:rsid w:val="009D59A0"/>
    <w:rsid w:val="009D716A"/>
    <w:rsid w:val="009D7FB8"/>
    <w:rsid w:val="009E1AC4"/>
    <w:rsid w:val="009E20B8"/>
    <w:rsid w:val="009E29A0"/>
    <w:rsid w:val="009E41B5"/>
    <w:rsid w:val="009E55D7"/>
    <w:rsid w:val="009E627C"/>
    <w:rsid w:val="009F110B"/>
    <w:rsid w:val="009F1498"/>
    <w:rsid w:val="009F1E9F"/>
    <w:rsid w:val="009F3793"/>
    <w:rsid w:val="009F54F2"/>
    <w:rsid w:val="00A0056B"/>
    <w:rsid w:val="00A01657"/>
    <w:rsid w:val="00A01C65"/>
    <w:rsid w:val="00A0213D"/>
    <w:rsid w:val="00A04C73"/>
    <w:rsid w:val="00A0679A"/>
    <w:rsid w:val="00A07A2B"/>
    <w:rsid w:val="00A10AEF"/>
    <w:rsid w:val="00A12375"/>
    <w:rsid w:val="00A125B8"/>
    <w:rsid w:val="00A13124"/>
    <w:rsid w:val="00A15370"/>
    <w:rsid w:val="00A156AB"/>
    <w:rsid w:val="00A16B8D"/>
    <w:rsid w:val="00A21293"/>
    <w:rsid w:val="00A2134B"/>
    <w:rsid w:val="00A21623"/>
    <w:rsid w:val="00A220EB"/>
    <w:rsid w:val="00A22302"/>
    <w:rsid w:val="00A25F1B"/>
    <w:rsid w:val="00A325F3"/>
    <w:rsid w:val="00A33103"/>
    <w:rsid w:val="00A33294"/>
    <w:rsid w:val="00A35DCB"/>
    <w:rsid w:val="00A3690E"/>
    <w:rsid w:val="00A37751"/>
    <w:rsid w:val="00A406B1"/>
    <w:rsid w:val="00A4113E"/>
    <w:rsid w:val="00A42435"/>
    <w:rsid w:val="00A438BA"/>
    <w:rsid w:val="00A446FD"/>
    <w:rsid w:val="00A46F46"/>
    <w:rsid w:val="00A52CB6"/>
    <w:rsid w:val="00A52F99"/>
    <w:rsid w:val="00A538BB"/>
    <w:rsid w:val="00A54164"/>
    <w:rsid w:val="00A56737"/>
    <w:rsid w:val="00A60002"/>
    <w:rsid w:val="00A603D8"/>
    <w:rsid w:val="00A60AE2"/>
    <w:rsid w:val="00A61834"/>
    <w:rsid w:val="00A618B0"/>
    <w:rsid w:val="00A62790"/>
    <w:rsid w:val="00A6291F"/>
    <w:rsid w:val="00A63F53"/>
    <w:rsid w:val="00A7111E"/>
    <w:rsid w:val="00A7186E"/>
    <w:rsid w:val="00A748B0"/>
    <w:rsid w:val="00A755B6"/>
    <w:rsid w:val="00A75B1A"/>
    <w:rsid w:val="00A77A78"/>
    <w:rsid w:val="00A80ED4"/>
    <w:rsid w:val="00A816C4"/>
    <w:rsid w:val="00A82981"/>
    <w:rsid w:val="00A83E2E"/>
    <w:rsid w:val="00A86F10"/>
    <w:rsid w:val="00A87AF2"/>
    <w:rsid w:val="00A90B23"/>
    <w:rsid w:val="00A93193"/>
    <w:rsid w:val="00A93C2B"/>
    <w:rsid w:val="00A94556"/>
    <w:rsid w:val="00A974CB"/>
    <w:rsid w:val="00AA0C5F"/>
    <w:rsid w:val="00AA1EAC"/>
    <w:rsid w:val="00AA45E2"/>
    <w:rsid w:val="00AA7AC1"/>
    <w:rsid w:val="00AB6327"/>
    <w:rsid w:val="00AB6B8F"/>
    <w:rsid w:val="00AC0C65"/>
    <w:rsid w:val="00AC0FB2"/>
    <w:rsid w:val="00AC3721"/>
    <w:rsid w:val="00AC41C6"/>
    <w:rsid w:val="00AC70C7"/>
    <w:rsid w:val="00AC76B7"/>
    <w:rsid w:val="00AD0223"/>
    <w:rsid w:val="00AD123A"/>
    <w:rsid w:val="00AD15FF"/>
    <w:rsid w:val="00AD1A06"/>
    <w:rsid w:val="00AD1AA5"/>
    <w:rsid w:val="00AD2920"/>
    <w:rsid w:val="00AD2CD5"/>
    <w:rsid w:val="00AD2DFC"/>
    <w:rsid w:val="00AD2F93"/>
    <w:rsid w:val="00AD38C4"/>
    <w:rsid w:val="00AD5A4A"/>
    <w:rsid w:val="00AD60EE"/>
    <w:rsid w:val="00AD6A2B"/>
    <w:rsid w:val="00AD73D4"/>
    <w:rsid w:val="00AE1EA2"/>
    <w:rsid w:val="00AE2874"/>
    <w:rsid w:val="00AE2F98"/>
    <w:rsid w:val="00AE3602"/>
    <w:rsid w:val="00AE5342"/>
    <w:rsid w:val="00AE5987"/>
    <w:rsid w:val="00AE6472"/>
    <w:rsid w:val="00AF1345"/>
    <w:rsid w:val="00AF1DCA"/>
    <w:rsid w:val="00AF38A8"/>
    <w:rsid w:val="00AF63EB"/>
    <w:rsid w:val="00B016D2"/>
    <w:rsid w:val="00B018EC"/>
    <w:rsid w:val="00B060C7"/>
    <w:rsid w:val="00B07DF7"/>
    <w:rsid w:val="00B11AB7"/>
    <w:rsid w:val="00B12213"/>
    <w:rsid w:val="00B13710"/>
    <w:rsid w:val="00B22881"/>
    <w:rsid w:val="00B23EFC"/>
    <w:rsid w:val="00B24B39"/>
    <w:rsid w:val="00B24B72"/>
    <w:rsid w:val="00B25DB8"/>
    <w:rsid w:val="00B2656C"/>
    <w:rsid w:val="00B266E6"/>
    <w:rsid w:val="00B3094D"/>
    <w:rsid w:val="00B30B04"/>
    <w:rsid w:val="00B311BC"/>
    <w:rsid w:val="00B31810"/>
    <w:rsid w:val="00B31C10"/>
    <w:rsid w:val="00B3446D"/>
    <w:rsid w:val="00B34652"/>
    <w:rsid w:val="00B34F6F"/>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7E8B"/>
    <w:rsid w:val="00B50B5E"/>
    <w:rsid w:val="00B51C67"/>
    <w:rsid w:val="00B53F86"/>
    <w:rsid w:val="00B53FDC"/>
    <w:rsid w:val="00B55431"/>
    <w:rsid w:val="00B55CAE"/>
    <w:rsid w:val="00B576C6"/>
    <w:rsid w:val="00B615F2"/>
    <w:rsid w:val="00B61A28"/>
    <w:rsid w:val="00B6551D"/>
    <w:rsid w:val="00B65C6D"/>
    <w:rsid w:val="00B66B06"/>
    <w:rsid w:val="00B67862"/>
    <w:rsid w:val="00B70634"/>
    <w:rsid w:val="00B70BE4"/>
    <w:rsid w:val="00B73880"/>
    <w:rsid w:val="00B73CF1"/>
    <w:rsid w:val="00B745B3"/>
    <w:rsid w:val="00B7599D"/>
    <w:rsid w:val="00B7648F"/>
    <w:rsid w:val="00B76E13"/>
    <w:rsid w:val="00B771EE"/>
    <w:rsid w:val="00B7765B"/>
    <w:rsid w:val="00B77B4B"/>
    <w:rsid w:val="00B80ABC"/>
    <w:rsid w:val="00B814C2"/>
    <w:rsid w:val="00B84D96"/>
    <w:rsid w:val="00B900FE"/>
    <w:rsid w:val="00B9064C"/>
    <w:rsid w:val="00B9190B"/>
    <w:rsid w:val="00B96DEE"/>
    <w:rsid w:val="00BA0A14"/>
    <w:rsid w:val="00BA398D"/>
    <w:rsid w:val="00BA39D3"/>
    <w:rsid w:val="00BA5C56"/>
    <w:rsid w:val="00BA6FE9"/>
    <w:rsid w:val="00BA776F"/>
    <w:rsid w:val="00BB0C0D"/>
    <w:rsid w:val="00BB0D69"/>
    <w:rsid w:val="00BB366E"/>
    <w:rsid w:val="00BB3AF0"/>
    <w:rsid w:val="00BB4F70"/>
    <w:rsid w:val="00BB67FF"/>
    <w:rsid w:val="00BC11B9"/>
    <w:rsid w:val="00BC138C"/>
    <w:rsid w:val="00BC14CF"/>
    <w:rsid w:val="00BC1659"/>
    <w:rsid w:val="00BC2C91"/>
    <w:rsid w:val="00BC3A9C"/>
    <w:rsid w:val="00BC5288"/>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F16C3"/>
    <w:rsid w:val="00BF38E0"/>
    <w:rsid w:val="00BF44FA"/>
    <w:rsid w:val="00BF57E1"/>
    <w:rsid w:val="00C003B4"/>
    <w:rsid w:val="00C00A5F"/>
    <w:rsid w:val="00C042E0"/>
    <w:rsid w:val="00C051D9"/>
    <w:rsid w:val="00C06333"/>
    <w:rsid w:val="00C06F68"/>
    <w:rsid w:val="00C075BA"/>
    <w:rsid w:val="00C10A3A"/>
    <w:rsid w:val="00C115B3"/>
    <w:rsid w:val="00C11E20"/>
    <w:rsid w:val="00C15D16"/>
    <w:rsid w:val="00C20015"/>
    <w:rsid w:val="00C21577"/>
    <w:rsid w:val="00C247DD"/>
    <w:rsid w:val="00C25B43"/>
    <w:rsid w:val="00C26A54"/>
    <w:rsid w:val="00C3092A"/>
    <w:rsid w:val="00C3261C"/>
    <w:rsid w:val="00C3318B"/>
    <w:rsid w:val="00C33C20"/>
    <w:rsid w:val="00C34375"/>
    <w:rsid w:val="00C35362"/>
    <w:rsid w:val="00C357EA"/>
    <w:rsid w:val="00C379F8"/>
    <w:rsid w:val="00C37A1C"/>
    <w:rsid w:val="00C4316E"/>
    <w:rsid w:val="00C453A9"/>
    <w:rsid w:val="00C465D5"/>
    <w:rsid w:val="00C4756A"/>
    <w:rsid w:val="00C47C39"/>
    <w:rsid w:val="00C50649"/>
    <w:rsid w:val="00C50E1F"/>
    <w:rsid w:val="00C51C09"/>
    <w:rsid w:val="00C52BB6"/>
    <w:rsid w:val="00C53471"/>
    <w:rsid w:val="00C54FD5"/>
    <w:rsid w:val="00C55143"/>
    <w:rsid w:val="00C5611B"/>
    <w:rsid w:val="00C5695E"/>
    <w:rsid w:val="00C60905"/>
    <w:rsid w:val="00C61528"/>
    <w:rsid w:val="00C620A2"/>
    <w:rsid w:val="00C63457"/>
    <w:rsid w:val="00C64964"/>
    <w:rsid w:val="00C6631E"/>
    <w:rsid w:val="00C67473"/>
    <w:rsid w:val="00C67AA4"/>
    <w:rsid w:val="00C7148C"/>
    <w:rsid w:val="00C7205F"/>
    <w:rsid w:val="00C72192"/>
    <w:rsid w:val="00C732E5"/>
    <w:rsid w:val="00C73D0B"/>
    <w:rsid w:val="00C75017"/>
    <w:rsid w:val="00C765B4"/>
    <w:rsid w:val="00C77A82"/>
    <w:rsid w:val="00C813EA"/>
    <w:rsid w:val="00C81496"/>
    <w:rsid w:val="00C82CE6"/>
    <w:rsid w:val="00C82E22"/>
    <w:rsid w:val="00C836C5"/>
    <w:rsid w:val="00C85144"/>
    <w:rsid w:val="00C85B56"/>
    <w:rsid w:val="00C86738"/>
    <w:rsid w:val="00C86A27"/>
    <w:rsid w:val="00C91517"/>
    <w:rsid w:val="00C929BD"/>
    <w:rsid w:val="00C931A2"/>
    <w:rsid w:val="00CA02E1"/>
    <w:rsid w:val="00CA15DA"/>
    <w:rsid w:val="00CA224E"/>
    <w:rsid w:val="00CA41C5"/>
    <w:rsid w:val="00CA42B7"/>
    <w:rsid w:val="00CA4A53"/>
    <w:rsid w:val="00CA51F5"/>
    <w:rsid w:val="00CB218A"/>
    <w:rsid w:val="00CB225A"/>
    <w:rsid w:val="00CB69E6"/>
    <w:rsid w:val="00CB761B"/>
    <w:rsid w:val="00CC13DF"/>
    <w:rsid w:val="00CC1EEE"/>
    <w:rsid w:val="00CC562B"/>
    <w:rsid w:val="00CC6C15"/>
    <w:rsid w:val="00CC7FCF"/>
    <w:rsid w:val="00CD1C6B"/>
    <w:rsid w:val="00CD2749"/>
    <w:rsid w:val="00CD2A60"/>
    <w:rsid w:val="00CD306F"/>
    <w:rsid w:val="00CD392E"/>
    <w:rsid w:val="00CD3971"/>
    <w:rsid w:val="00CD3DAB"/>
    <w:rsid w:val="00CE0DF1"/>
    <w:rsid w:val="00CE3786"/>
    <w:rsid w:val="00CE37CD"/>
    <w:rsid w:val="00CE4027"/>
    <w:rsid w:val="00CE47CC"/>
    <w:rsid w:val="00CE68F6"/>
    <w:rsid w:val="00CE7E27"/>
    <w:rsid w:val="00CF22AC"/>
    <w:rsid w:val="00CF2F0A"/>
    <w:rsid w:val="00CF79E8"/>
    <w:rsid w:val="00D015AA"/>
    <w:rsid w:val="00D01A96"/>
    <w:rsid w:val="00D021B8"/>
    <w:rsid w:val="00D03BAE"/>
    <w:rsid w:val="00D03D90"/>
    <w:rsid w:val="00D04024"/>
    <w:rsid w:val="00D043EB"/>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3DD"/>
    <w:rsid w:val="00D26879"/>
    <w:rsid w:val="00D26FFA"/>
    <w:rsid w:val="00D3215D"/>
    <w:rsid w:val="00D33352"/>
    <w:rsid w:val="00D3459A"/>
    <w:rsid w:val="00D347D9"/>
    <w:rsid w:val="00D35565"/>
    <w:rsid w:val="00D36A19"/>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235F"/>
    <w:rsid w:val="00D52F50"/>
    <w:rsid w:val="00D55A98"/>
    <w:rsid w:val="00D56B49"/>
    <w:rsid w:val="00D5791C"/>
    <w:rsid w:val="00D57A20"/>
    <w:rsid w:val="00D603B0"/>
    <w:rsid w:val="00D6053F"/>
    <w:rsid w:val="00D6073D"/>
    <w:rsid w:val="00D618D6"/>
    <w:rsid w:val="00D62426"/>
    <w:rsid w:val="00D62804"/>
    <w:rsid w:val="00D70F55"/>
    <w:rsid w:val="00D70FA5"/>
    <w:rsid w:val="00D74171"/>
    <w:rsid w:val="00D7474C"/>
    <w:rsid w:val="00D8032C"/>
    <w:rsid w:val="00D80CE2"/>
    <w:rsid w:val="00D83080"/>
    <w:rsid w:val="00D833AD"/>
    <w:rsid w:val="00D84D5F"/>
    <w:rsid w:val="00D851E2"/>
    <w:rsid w:val="00D87FD6"/>
    <w:rsid w:val="00D87FFA"/>
    <w:rsid w:val="00D91419"/>
    <w:rsid w:val="00D92A09"/>
    <w:rsid w:val="00D92D2A"/>
    <w:rsid w:val="00D92EEC"/>
    <w:rsid w:val="00D93470"/>
    <w:rsid w:val="00D9395F"/>
    <w:rsid w:val="00D93D55"/>
    <w:rsid w:val="00D941FA"/>
    <w:rsid w:val="00D94B59"/>
    <w:rsid w:val="00D95315"/>
    <w:rsid w:val="00D95EAB"/>
    <w:rsid w:val="00DA0B39"/>
    <w:rsid w:val="00DA1203"/>
    <w:rsid w:val="00DA2316"/>
    <w:rsid w:val="00DA25E0"/>
    <w:rsid w:val="00DA2700"/>
    <w:rsid w:val="00DA2E88"/>
    <w:rsid w:val="00DA3001"/>
    <w:rsid w:val="00DA3C5D"/>
    <w:rsid w:val="00DA3EFF"/>
    <w:rsid w:val="00DA7769"/>
    <w:rsid w:val="00DB08C6"/>
    <w:rsid w:val="00DB148F"/>
    <w:rsid w:val="00DB189E"/>
    <w:rsid w:val="00DB1BC2"/>
    <w:rsid w:val="00DB1CBB"/>
    <w:rsid w:val="00DB31ED"/>
    <w:rsid w:val="00DB4124"/>
    <w:rsid w:val="00DB4511"/>
    <w:rsid w:val="00DB4F0C"/>
    <w:rsid w:val="00DB7BD8"/>
    <w:rsid w:val="00DC0176"/>
    <w:rsid w:val="00DC043F"/>
    <w:rsid w:val="00DC093E"/>
    <w:rsid w:val="00DC0E29"/>
    <w:rsid w:val="00DC0E7A"/>
    <w:rsid w:val="00DC2A65"/>
    <w:rsid w:val="00DC2A86"/>
    <w:rsid w:val="00DC3631"/>
    <w:rsid w:val="00DC37F7"/>
    <w:rsid w:val="00DC6F54"/>
    <w:rsid w:val="00DD0C00"/>
    <w:rsid w:val="00DD0F8C"/>
    <w:rsid w:val="00DD116C"/>
    <w:rsid w:val="00DD201F"/>
    <w:rsid w:val="00DD23D5"/>
    <w:rsid w:val="00DD2AF1"/>
    <w:rsid w:val="00DD46DA"/>
    <w:rsid w:val="00DD5FDC"/>
    <w:rsid w:val="00DD6072"/>
    <w:rsid w:val="00DD62BE"/>
    <w:rsid w:val="00DD77D9"/>
    <w:rsid w:val="00DD7CA4"/>
    <w:rsid w:val="00DE167C"/>
    <w:rsid w:val="00DE3B70"/>
    <w:rsid w:val="00DE4EE5"/>
    <w:rsid w:val="00DE5813"/>
    <w:rsid w:val="00DF10B1"/>
    <w:rsid w:val="00DF1FDA"/>
    <w:rsid w:val="00DF3DD0"/>
    <w:rsid w:val="00DF4295"/>
    <w:rsid w:val="00DF4D50"/>
    <w:rsid w:val="00DF538C"/>
    <w:rsid w:val="00E021C2"/>
    <w:rsid w:val="00E024A3"/>
    <w:rsid w:val="00E0423D"/>
    <w:rsid w:val="00E057B5"/>
    <w:rsid w:val="00E0581E"/>
    <w:rsid w:val="00E079C5"/>
    <w:rsid w:val="00E07CBD"/>
    <w:rsid w:val="00E07F56"/>
    <w:rsid w:val="00E10A16"/>
    <w:rsid w:val="00E1112F"/>
    <w:rsid w:val="00E1127A"/>
    <w:rsid w:val="00E1318F"/>
    <w:rsid w:val="00E13B3B"/>
    <w:rsid w:val="00E13E29"/>
    <w:rsid w:val="00E16857"/>
    <w:rsid w:val="00E16C3A"/>
    <w:rsid w:val="00E20651"/>
    <w:rsid w:val="00E2107C"/>
    <w:rsid w:val="00E21E70"/>
    <w:rsid w:val="00E224DE"/>
    <w:rsid w:val="00E23DCE"/>
    <w:rsid w:val="00E24F59"/>
    <w:rsid w:val="00E25225"/>
    <w:rsid w:val="00E26363"/>
    <w:rsid w:val="00E272A4"/>
    <w:rsid w:val="00E305F9"/>
    <w:rsid w:val="00E306AC"/>
    <w:rsid w:val="00E34446"/>
    <w:rsid w:val="00E3633B"/>
    <w:rsid w:val="00E36870"/>
    <w:rsid w:val="00E374E1"/>
    <w:rsid w:val="00E417AB"/>
    <w:rsid w:val="00E43D48"/>
    <w:rsid w:val="00E4542D"/>
    <w:rsid w:val="00E45BE0"/>
    <w:rsid w:val="00E46CAD"/>
    <w:rsid w:val="00E47521"/>
    <w:rsid w:val="00E4760C"/>
    <w:rsid w:val="00E507A6"/>
    <w:rsid w:val="00E5375C"/>
    <w:rsid w:val="00E5399A"/>
    <w:rsid w:val="00E561AD"/>
    <w:rsid w:val="00E57FAF"/>
    <w:rsid w:val="00E60BA9"/>
    <w:rsid w:val="00E62DF3"/>
    <w:rsid w:val="00E62F19"/>
    <w:rsid w:val="00E63510"/>
    <w:rsid w:val="00E635EA"/>
    <w:rsid w:val="00E655E5"/>
    <w:rsid w:val="00E65F4E"/>
    <w:rsid w:val="00E662E0"/>
    <w:rsid w:val="00E67D5D"/>
    <w:rsid w:val="00E71C7A"/>
    <w:rsid w:val="00E72462"/>
    <w:rsid w:val="00E73119"/>
    <w:rsid w:val="00E73E1E"/>
    <w:rsid w:val="00E767FF"/>
    <w:rsid w:val="00E84C91"/>
    <w:rsid w:val="00E84E60"/>
    <w:rsid w:val="00E8556E"/>
    <w:rsid w:val="00E86B2D"/>
    <w:rsid w:val="00E86F4D"/>
    <w:rsid w:val="00E87D08"/>
    <w:rsid w:val="00E90D0E"/>
    <w:rsid w:val="00E91B2D"/>
    <w:rsid w:val="00E92FCA"/>
    <w:rsid w:val="00E95CAA"/>
    <w:rsid w:val="00E95F23"/>
    <w:rsid w:val="00EA0A39"/>
    <w:rsid w:val="00EA0EB2"/>
    <w:rsid w:val="00EA236F"/>
    <w:rsid w:val="00EA3023"/>
    <w:rsid w:val="00EA3468"/>
    <w:rsid w:val="00EA3E49"/>
    <w:rsid w:val="00EA3FC8"/>
    <w:rsid w:val="00EA4EB2"/>
    <w:rsid w:val="00EA5B8C"/>
    <w:rsid w:val="00EB0DC9"/>
    <w:rsid w:val="00EB1383"/>
    <w:rsid w:val="00EB252D"/>
    <w:rsid w:val="00EB29FA"/>
    <w:rsid w:val="00EB2CCE"/>
    <w:rsid w:val="00EB385F"/>
    <w:rsid w:val="00EB3E49"/>
    <w:rsid w:val="00EB5FC3"/>
    <w:rsid w:val="00EB6DA9"/>
    <w:rsid w:val="00EC1561"/>
    <w:rsid w:val="00EC462E"/>
    <w:rsid w:val="00EC6CD8"/>
    <w:rsid w:val="00EC786F"/>
    <w:rsid w:val="00ED1866"/>
    <w:rsid w:val="00ED3134"/>
    <w:rsid w:val="00ED38E2"/>
    <w:rsid w:val="00ED5C44"/>
    <w:rsid w:val="00ED635B"/>
    <w:rsid w:val="00EE0797"/>
    <w:rsid w:val="00EE742D"/>
    <w:rsid w:val="00EF0A22"/>
    <w:rsid w:val="00EF0DE5"/>
    <w:rsid w:val="00EF1267"/>
    <w:rsid w:val="00EF180C"/>
    <w:rsid w:val="00EF3B6B"/>
    <w:rsid w:val="00EF4B43"/>
    <w:rsid w:val="00EF598F"/>
    <w:rsid w:val="00EF6750"/>
    <w:rsid w:val="00EF770B"/>
    <w:rsid w:val="00EF79C9"/>
    <w:rsid w:val="00F02836"/>
    <w:rsid w:val="00F02FB5"/>
    <w:rsid w:val="00F03B7D"/>
    <w:rsid w:val="00F0534E"/>
    <w:rsid w:val="00F05C30"/>
    <w:rsid w:val="00F10F1B"/>
    <w:rsid w:val="00F11842"/>
    <w:rsid w:val="00F14179"/>
    <w:rsid w:val="00F144DD"/>
    <w:rsid w:val="00F14969"/>
    <w:rsid w:val="00F15786"/>
    <w:rsid w:val="00F167C5"/>
    <w:rsid w:val="00F20B5A"/>
    <w:rsid w:val="00F21F0B"/>
    <w:rsid w:val="00F236AB"/>
    <w:rsid w:val="00F24EA4"/>
    <w:rsid w:val="00F25695"/>
    <w:rsid w:val="00F27087"/>
    <w:rsid w:val="00F2773C"/>
    <w:rsid w:val="00F300B3"/>
    <w:rsid w:val="00F30DB9"/>
    <w:rsid w:val="00F30FB8"/>
    <w:rsid w:val="00F31D68"/>
    <w:rsid w:val="00F33152"/>
    <w:rsid w:val="00F338F2"/>
    <w:rsid w:val="00F349D3"/>
    <w:rsid w:val="00F3533E"/>
    <w:rsid w:val="00F35B84"/>
    <w:rsid w:val="00F402B5"/>
    <w:rsid w:val="00F4072F"/>
    <w:rsid w:val="00F41A6A"/>
    <w:rsid w:val="00F42839"/>
    <w:rsid w:val="00F44CC0"/>
    <w:rsid w:val="00F450BA"/>
    <w:rsid w:val="00F4684B"/>
    <w:rsid w:val="00F46BE9"/>
    <w:rsid w:val="00F47C3B"/>
    <w:rsid w:val="00F506CA"/>
    <w:rsid w:val="00F53A7A"/>
    <w:rsid w:val="00F54689"/>
    <w:rsid w:val="00F54FCD"/>
    <w:rsid w:val="00F5785C"/>
    <w:rsid w:val="00F62B12"/>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90CB3"/>
    <w:rsid w:val="00F912A2"/>
    <w:rsid w:val="00F913A3"/>
    <w:rsid w:val="00F925C3"/>
    <w:rsid w:val="00FA0109"/>
    <w:rsid w:val="00FA458B"/>
    <w:rsid w:val="00FA5EC5"/>
    <w:rsid w:val="00FA7016"/>
    <w:rsid w:val="00FA7174"/>
    <w:rsid w:val="00FA793D"/>
    <w:rsid w:val="00FB020E"/>
    <w:rsid w:val="00FB0F17"/>
    <w:rsid w:val="00FB4B9D"/>
    <w:rsid w:val="00FB50ED"/>
    <w:rsid w:val="00FB6E18"/>
    <w:rsid w:val="00FB720E"/>
    <w:rsid w:val="00FC095C"/>
    <w:rsid w:val="00FC144B"/>
    <w:rsid w:val="00FC2169"/>
    <w:rsid w:val="00FC28E2"/>
    <w:rsid w:val="00FC3BF6"/>
    <w:rsid w:val="00FC3D22"/>
    <w:rsid w:val="00FC6506"/>
    <w:rsid w:val="00FC6FE1"/>
    <w:rsid w:val="00FD0C3D"/>
    <w:rsid w:val="00FD2F6B"/>
    <w:rsid w:val="00FD4368"/>
    <w:rsid w:val="00FD4506"/>
    <w:rsid w:val="00FE064A"/>
    <w:rsid w:val="00FE0B55"/>
    <w:rsid w:val="00FE0D37"/>
    <w:rsid w:val="00FE1E98"/>
    <w:rsid w:val="00FE2452"/>
    <w:rsid w:val="00FE4F8C"/>
    <w:rsid w:val="00FE5469"/>
    <w:rsid w:val="00FE66C2"/>
    <w:rsid w:val="00FE684A"/>
    <w:rsid w:val="00FE6F23"/>
    <w:rsid w:val="00FF0F8C"/>
    <w:rsid w:val="00FF408B"/>
    <w:rsid w:val="00FF43E1"/>
    <w:rsid w:val="010F3B4F"/>
    <w:rsid w:val="01DB1EFD"/>
    <w:rsid w:val="026954E1"/>
    <w:rsid w:val="02703797"/>
    <w:rsid w:val="03430854"/>
    <w:rsid w:val="039F5FA6"/>
    <w:rsid w:val="040C0EEF"/>
    <w:rsid w:val="04EE7AA7"/>
    <w:rsid w:val="06BC40CF"/>
    <w:rsid w:val="07D258D6"/>
    <w:rsid w:val="08430582"/>
    <w:rsid w:val="09305ADA"/>
    <w:rsid w:val="0A051F93"/>
    <w:rsid w:val="0A856C30"/>
    <w:rsid w:val="0B7C209A"/>
    <w:rsid w:val="0B8C6B55"/>
    <w:rsid w:val="0BE360C6"/>
    <w:rsid w:val="0C3A3063"/>
    <w:rsid w:val="0C42698A"/>
    <w:rsid w:val="0E002F91"/>
    <w:rsid w:val="0E8013B7"/>
    <w:rsid w:val="0E842FD6"/>
    <w:rsid w:val="0EA570E5"/>
    <w:rsid w:val="0ED51C39"/>
    <w:rsid w:val="0EEE1653"/>
    <w:rsid w:val="10292B9E"/>
    <w:rsid w:val="102A2753"/>
    <w:rsid w:val="10D604C6"/>
    <w:rsid w:val="11B515E0"/>
    <w:rsid w:val="11E437F0"/>
    <w:rsid w:val="12356F8D"/>
    <w:rsid w:val="12BC3473"/>
    <w:rsid w:val="12D76496"/>
    <w:rsid w:val="12D84CDC"/>
    <w:rsid w:val="132D60B6"/>
    <w:rsid w:val="13A53267"/>
    <w:rsid w:val="13F970D2"/>
    <w:rsid w:val="14733F9D"/>
    <w:rsid w:val="14AA4136"/>
    <w:rsid w:val="15AA6CA6"/>
    <w:rsid w:val="1638549E"/>
    <w:rsid w:val="163A420B"/>
    <w:rsid w:val="16B36D00"/>
    <w:rsid w:val="17223DC6"/>
    <w:rsid w:val="17EE050A"/>
    <w:rsid w:val="192F0DDA"/>
    <w:rsid w:val="19413B26"/>
    <w:rsid w:val="197626FE"/>
    <w:rsid w:val="1A07140F"/>
    <w:rsid w:val="1A094122"/>
    <w:rsid w:val="1A381F10"/>
    <w:rsid w:val="1A3F6DFB"/>
    <w:rsid w:val="1AEE6D1F"/>
    <w:rsid w:val="1B063DBD"/>
    <w:rsid w:val="1B752E97"/>
    <w:rsid w:val="1C190871"/>
    <w:rsid w:val="1C6D3688"/>
    <w:rsid w:val="1C805D1C"/>
    <w:rsid w:val="1CC63D0A"/>
    <w:rsid w:val="1DC2081A"/>
    <w:rsid w:val="1DD94266"/>
    <w:rsid w:val="1F240CB5"/>
    <w:rsid w:val="1F9D0947"/>
    <w:rsid w:val="1FD06747"/>
    <w:rsid w:val="1FF70178"/>
    <w:rsid w:val="1FFB29C6"/>
    <w:rsid w:val="20B80C3F"/>
    <w:rsid w:val="20D34741"/>
    <w:rsid w:val="22730084"/>
    <w:rsid w:val="22AF3620"/>
    <w:rsid w:val="22C2681B"/>
    <w:rsid w:val="22E70AD4"/>
    <w:rsid w:val="235F22BC"/>
    <w:rsid w:val="24F1508D"/>
    <w:rsid w:val="25AC455D"/>
    <w:rsid w:val="266F634F"/>
    <w:rsid w:val="26CF203B"/>
    <w:rsid w:val="27E92A9C"/>
    <w:rsid w:val="28345287"/>
    <w:rsid w:val="289C41D2"/>
    <w:rsid w:val="28BA172F"/>
    <w:rsid w:val="291059EA"/>
    <w:rsid w:val="292602A5"/>
    <w:rsid w:val="2934650A"/>
    <w:rsid w:val="29D532D8"/>
    <w:rsid w:val="29EF13F1"/>
    <w:rsid w:val="2A5E32CD"/>
    <w:rsid w:val="2B30453E"/>
    <w:rsid w:val="2BBF12EC"/>
    <w:rsid w:val="2BC649D9"/>
    <w:rsid w:val="2C0D087E"/>
    <w:rsid w:val="2CDF6B40"/>
    <w:rsid w:val="2D931C55"/>
    <w:rsid w:val="2E18508E"/>
    <w:rsid w:val="2E295251"/>
    <w:rsid w:val="2EB347A2"/>
    <w:rsid w:val="301937F3"/>
    <w:rsid w:val="304E16EE"/>
    <w:rsid w:val="30A6724E"/>
    <w:rsid w:val="30B41641"/>
    <w:rsid w:val="313703D4"/>
    <w:rsid w:val="31733F15"/>
    <w:rsid w:val="31DB3455"/>
    <w:rsid w:val="31EC11D6"/>
    <w:rsid w:val="31FA0CE5"/>
    <w:rsid w:val="33266952"/>
    <w:rsid w:val="336A4406"/>
    <w:rsid w:val="33F151B2"/>
    <w:rsid w:val="342A2472"/>
    <w:rsid w:val="3515160D"/>
    <w:rsid w:val="35A05639"/>
    <w:rsid w:val="35DD7B0E"/>
    <w:rsid w:val="36FF05C6"/>
    <w:rsid w:val="37623CD1"/>
    <w:rsid w:val="378B4569"/>
    <w:rsid w:val="37CB13F1"/>
    <w:rsid w:val="3891486E"/>
    <w:rsid w:val="38AE3672"/>
    <w:rsid w:val="38C04D39"/>
    <w:rsid w:val="398764D0"/>
    <w:rsid w:val="3A3000B7"/>
    <w:rsid w:val="3A313A73"/>
    <w:rsid w:val="3A445910"/>
    <w:rsid w:val="3AA030F2"/>
    <w:rsid w:val="3C7D00D8"/>
    <w:rsid w:val="3CA06C0C"/>
    <w:rsid w:val="3CA848D1"/>
    <w:rsid w:val="3CDE204C"/>
    <w:rsid w:val="3D4A2574"/>
    <w:rsid w:val="3D6534A4"/>
    <w:rsid w:val="3DB854FC"/>
    <w:rsid w:val="3E412892"/>
    <w:rsid w:val="3E8B5608"/>
    <w:rsid w:val="3EA25851"/>
    <w:rsid w:val="3ECE753B"/>
    <w:rsid w:val="3EFC51FD"/>
    <w:rsid w:val="3F6C3757"/>
    <w:rsid w:val="3FDB1988"/>
    <w:rsid w:val="404A3387"/>
    <w:rsid w:val="405D6A10"/>
    <w:rsid w:val="419A3EAD"/>
    <w:rsid w:val="41BD66D4"/>
    <w:rsid w:val="41C7309C"/>
    <w:rsid w:val="41DA6594"/>
    <w:rsid w:val="42187DAE"/>
    <w:rsid w:val="425608D6"/>
    <w:rsid w:val="437A19F6"/>
    <w:rsid w:val="43A6343E"/>
    <w:rsid w:val="43C27FD1"/>
    <w:rsid w:val="444C1A75"/>
    <w:rsid w:val="44A3526F"/>
    <w:rsid w:val="44B032F4"/>
    <w:rsid w:val="44FE086A"/>
    <w:rsid w:val="451979ED"/>
    <w:rsid w:val="457D25F7"/>
    <w:rsid w:val="458100F7"/>
    <w:rsid w:val="46730287"/>
    <w:rsid w:val="468341CD"/>
    <w:rsid w:val="472C2589"/>
    <w:rsid w:val="473A5B5B"/>
    <w:rsid w:val="474E3968"/>
    <w:rsid w:val="47E72EE8"/>
    <w:rsid w:val="49044BE8"/>
    <w:rsid w:val="4A102573"/>
    <w:rsid w:val="4A760AEB"/>
    <w:rsid w:val="4AAB0227"/>
    <w:rsid w:val="4AD351BA"/>
    <w:rsid w:val="4BB70638"/>
    <w:rsid w:val="4CF24CCA"/>
    <w:rsid w:val="4D493467"/>
    <w:rsid w:val="4E206CA0"/>
    <w:rsid w:val="4F3162CA"/>
    <w:rsid w:val="4F754A92"/>
    <w:rsid w:val="50C46FB1"/>
    <w:rsid w:val="50D95873"/>
    <w:rsid w:val="51C30E70"/>
    <w:rsid w:val="526102AF"/>
    <w:rsid w:val="528444DA"/>
    <w:rsid w:val="52A020E8"/>
    <w:rsid w:val="52AD62F0"/>
    <w:rsid w:val="535D57C6"/>
    <w:rsid w:val="537745D5"/>
    <w:rsid w:val="54971006"/>
    <w:rsid w:val="54F86499"/>
    <w:rsid w:val="552306F6"/>
    <w:rsid w:val="56E352D5"/>
    <w:rsid w:val="57CF5722"/>
    <w:rsid w:val="57E435FE"/>
    <w:rsid w:val="582D0655"/>
    <w:rsid w:val="58910887"/>
    <w:rsid w:val="58FE78A6"/>
    <w:rsid w:val="5951205C"/>
    <w:rsid w:val="59B50753"/>
    <w:rsid w:val="59C26B25"/>
    <w:rsid w:val="59C56616"/>
    <w:rsid w:val="59D079E8"/>
    <w:rsid w:val="59D40847"/>
    <w:rsid w:val="5AE37F25"/>
    <w:rsid w:val="5AE84C1D"/>
    <w:rsid w:val="5AF70A51"/>
    <w:rsid w:val="5C9A1694"/>
    <w:rsid w:val="5CB23D47"/>
    <w:rsid w:val="5D34260A"/>
    <w:rsid w:val="5D9B663A"/>
    <w:rsid w:val="5EE94235"/>
    <w:rsid w:val="5F012CD4"/>
    <w:rsid w:val="5F881444"/>
    <w:rsid w:val="5FAF09C4"/>
    <w:rsid w:val="6010496B"/>
    <w:rsid w:val="608C4642"/>
    <w:rsid w:val="60AB6843"/>
    <w:rsid w:val="61695AD8"/>
    <w:rsid w:val="62195750"/>
    <w:rsid w:val="62795572"/>
    <w:rsid w:val="62960B4F"/>
    <w:rsid w:val="62AC3C32"/>
    <w:rsid w:val="62D84CC4"/>
    <w:rsid w:val="62F07467"/>
    <w:rsid w:val="62FF7401"/>
    <w:rsid w:val="63715118"/>
    <w:rsid w:val="63F721E0"/>
    <w:rsid w:val="641C2AF0"/>
    <w:rsid w:val="64DD6417"/>
    <w:rsid w:val="64E96ED0"/>
    <w:rsid w:val="65504C7D"/>
    <w:rsid w:val="66004745"/>
    <w:rsid w:val="66372649"/>
    <w:rsid w:val="66567ADA"/>
    <w:rsid w:val="673F502F"/>
    <w:rsid w:val="67421228"/>
    <w:rsid w:val="67F73E3E"/>
    <w:rsid w:val="69351FA7"/>
    <w:rsid w:val="6A026ACA"/>
    <w:rsid w:val="6A567F20"/>
    <w:rsid w:val="6AD20249"/>
    <w:rsid w:val="6B3F7544"/>
    <w:rsid w:val="6BEC358E"/>
    <w:rsid w:val="6C1105EF"/>
    <w:rsid w:val="6C5143E0"/>
    <w:rsid w:val="6CB30550"/>
    <w:rsid w:val="6CD97953"/>
    <w:rsid w:val="6DF42BCE"/>
    <w:rsid w:val="6ED30FD7"/>
    <w:rsid w:val="6ED9662B"/>
    <w:rsid w:val="6F742218"/>
    <w:rsid w:val="6F83245B"/>
    <w:rsid w:val="6F92269E"/>
    <w:rsid w:val="70144E5B"/>
    <w:rsid w:val="713057A6"/>
    <w:rsid w:val="727C2514"/>
    <w:rsid w:val="727D78FD"/>
    <w:rsid w:val="73396047"/>
    <w:rsid w:val="735A7B95"/>
    <w:rsid w:val="73CC655F"/>
    <w:rsid w:val="758D6980"/>
    <w:rsid w:val="75957445"/>
    <w:rsid w:val="75D01AE1"/>
    <w:rsid w:val="76067942"/>
    <w:rsid w:val="76983A20"/>
    <w:rsid w:val="77524363"/>
    <w:rsid w:val="77B917B5"/>
    <w:rsid w:val="78237D2F"/>
    <w:rsid w:val="784309DA"/>
    <w:rsid w:val="78703975"/>
    <w:rsid w:val="789B0E25"/>
    <w:rsid w:val="793B3DA7"/>
    <w:rsid w:val="79906F6E"/>
    <w:rsid w:val="79AA4491"/>
    <w:rsid w:val="7B1C00B5"/>
    <w:rsid w:val="7BD5386A"/>
    <w:rsid w:val="7BE420FD"/>
    <w:rsid w:val="7CA958D6"/>
    <w:rsid w:val="7D0D296B"/>
    <w:rsid w:val="7D225061"/>
    <w:rsid w:val="7D4E0B54"/>
    <w:rsid w:val="7D503E78"/>
    <w:rsid w:val="7DEB5124"/>
    <w:rsid w:val="7E0160D4"/>
    <w:rsid w:val="7EC67765"/>
    <w:rsid w:val="D67E44D9"/>
    <w:rsid w:val="FBFBD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96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82"/>
    <w:qFormat/>
    <w:uiPriority w:val="9"/>
    <w:pPr>
      <w:keepNext/>
      <w:keepLines/>
      <w:numPr>
        <w:ilvl w:val="0"/>
        <w:numId w:val="1"/>
      </w:numPr>
      <w:spacing w:before="120" w:after="120"/>
      <w:ind w:left="1560" w:firstLine="0" w:firstLineChars="0"/>
      <w:outlineLvl w:val="0"/>
    </w:pPr>
    <w:rPr>
      <w:rFonts w:eastAsia="黑体"/>
      <w:b/>
      <w:bCs/>
      <w:color w:val="000000" w:themeColor="text1"/>
      <w:kern w:val="44"/>
      <w:sz w:val="32"/>
      <w:szCs w:val="28"/>
      <w14:textFill>
        <w14:solidFill>
          <w14:schemeClr w14:val="tx1"/>
        </w14:solidFill>
      </w14:textFill>
    </w:rPr>
  </w:style>
  <w:style w:type="paragraph" w:styleId="3">
    <w:name w:val="heading 2"/>
    <w:basedOn w:val="1"/>
    <w:next w:val="1"/>
    <w:link w:val="95"/>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8"/>
    <w:qFormat/>
    <w:uiPriority w:val="9"/>
    <w:pPr>
      <w:keepNext/>
      <w:keepLines/>
      <w:numPr>
        <w:ilvl w:val="2"/>
        <w:numId w:val="1"/>
      </w:numPr>
      <w:spacing w:before="120" w:after="120"/>
      <w:ind w:firstLine="0" w:firstLineChars="0"/>
      <w:outlineLvl w:val="2"/>
    </w:pPr>
    <w:rPr>
      <w:b/>
      <w:bCs/>
      <w:sz w:val="28"/>
      <w:szCs w:val="28"/>
    </w:rPr>
  </w:style>
  <w:style w:type="paragraph" w:styleId="5">
    <w:name w:val="heading 4"/>
    <w:basedOn w:val="1"/>
    <w:next w:val="6"/>
    <w:link w:val="66"/>
    <w:qFormat/>
    <w:uiPriority w:val="9"/>
    <w:pPr>
      <w:keepNext/>
      <w:keepLines/>
      <w:numPr>
        <w:ilvl w:val="3"/>
        <w:numId w:val="1"/>
      </w:numPr>
      <w:spacing w:before="120" w:after="120"/>
      <w:ind w:left="851" w:firstLine="0" w:firstLineChars="0"/>
      <w:outlineLvl w:val="3"/>
    </w:pPr>
    <w:rPr>
      <w:b/>
      <w:bCs/>
      <w:sz w:val="30"/>
      <w:szCs w:val="30"/>
    </w:rPr>
  </w:style>
  <w:style w:type="paragraph" w:styleId="7">
    <w:name w:val="heading 5"/>
    <w:basedOn w:val="1"/>
    <w:next w:val="1"/>
    <w:link w:val="93"/>
    <w:qFormat/>
    <w:uiPriority w:val="9"/>
    <w:pPr>
      <w:keepNext/>
      <w:keepLines/>
      <w:numPr>
        <w:ilvl w:val="4"/>
        <w:numId w:val="1"/>
      </w:numPr>
      <w:spacing w:before="120" w:after="120"/>
      <w:ind w:left="0" w:firstLine="0" w:firstLineChars="0"/>
      <w:outlineLvl w:val="4"/>
    </w:pPr>
    <w:rPr>
      <w:b/>
      <w:bCs/>
      <w:szCs w:val="28"/>
    </w:rPr>
  </w:style>
  <w:style w:type="paragraph" w:styleId="8">
    <w:name w:val="heading 6"/>
    <w:basedOn w:val="1"/>
    <w:next w:val="1"/>
    <w:link w:val="106"/>
    <w:qFormat/>
    <w:uiPriority w:val="9"/>
    <w:pPr>
      <w:keepNext/>
      <w:keepLines/>
      <w:numPr>
        <w:ilvl w:val="5"/>
        <w:numId w:val="1"/>
      </w:numPr>
      <w:spacing w:before="120" w:after="120"/>
      <w:ind w:firstLine="0" w:firstLineChars="0"/>
      <w:outlineLvl w:val="5"/>
    </w:pPr>
    <w:rPr>
      <w:rFonts w:ascii="Cambria" w:hAnsi="Cambria"/>
      <w:b/>
      <w:bCs/>
    </w:rPr>
  </w:style>
  <w:style w:type="paragraph" w:styleId="9">
    <w:name w:val="heading 7"/>
    <w:basedOn w:val="1"/>
    <w:next w:val="1"/>
    <w:link w:val="79"/>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10">
    <w:name w:val="heading 8"/>
    <w:basedOn w:val="1"/>
    <w:next w:val="1"/>
    <w:link w:val="105"/>
    <w:qFormat/>
    <w:uiPriority w:val="9"/>
    <w:pPr>
      <w:keepNext/>
      <w:keepLines/>
      <w:spacing w:before="240" w:after="64" w:line="319" w:lineRule="auto"/>
      <w:ind w:firstLine="0" w:firstLineChars="0"/>
      <w:outlineLvl w:val="7"/>
    </w:pPr>
    <w:rPr>
      <w:rFonts w:ascii="Cambria" w:hAnsi="Cambria"/>
      <w:sz w:val="21"/>
    </w:rPr>
  </w:style>
  <w:style w:type="paragraph" w:styleId="11">
    <w:name w:val="heading 9"/>
    <w:basedOn w:val="1"/>
    <w:next w:val="1"/>
    <w:link w:val="56"/>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6">
    <w:name w:val="段落正文"/>
    <w:basedOn w:val="1"/>
    <w:link w:val="145"/>
    <w:qFormat/>
    <w:uiPriority w:val="0"/>
    <w:pPr>
      <w:ind w:firstLine="560"/>
    </w:pPr>
    <w:rPr>
      <w:rFonts w:ascii="仿宋" w:hAnsi="仿宋" w:eastAsia="仿宋"/>
      <w:sz w:val="28"/>
      <w:szCs w:val="28"/>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Normal Indent"/>
    <w:basedOn w:val="1"/>
    <w:unhideWhenUsed/>
    <w:qFormat/>
    <w:uiPriority w:val="99"/>
    <w:pPr>
      <w:spacing w:line="240" w:lineRule="auto"/>
      <w:ind w:firstLine="420"/>
    </w:pPr>
    <w:rPr>
      <w:rFonts w:ascii="Calibri" w:hAnsi="Calibri"/>
      <w:sz w:val="21"/>
    </w:rPr>
  </w:style>
  <w:style w:type="paragraph" w:styleId="14">
    <w:name w:val="caption"/>
    <w:basedOn w:val="1"/>
    <w:next w:val="1"/>
    <w:link w:val="62"/>
    <w:qFormat/>
    <w:uiPriority w:val="35"/>
    <w:pPr>
      <w:spacing w:afterLines="50"/>
      <w:ind w:firstLine="200"/>
    </w:pPr>
    <w:rPr>
      <w:rFonts w:ascii="Arial" w:hAnsi="Arial" w:eastAsia="黑体"/>
      <w:sz w:val="20"/>
      <w:szCs w:val="20"/>
    </w:rPr>
  </w:style>
  <w:style w:type="paragraph" w:styleId="15">
    <w:name w:val="Document Map"/>
    <w:basedOn w:val="1"/>
    <w:link w:val="98"/>
    <w:qFormat/>
    <w:uiPriority w:val="0"/>
    <w:rPr>
      <w:rFonts w:hAnsi="Times New Roman"/>
      <w:sz w:val="18"/>
      <w:szCs w:val="18"/>
    </w:rPr>
  </w:style>
  <w:style w:type="paragraph" w:styleId="16">
    <w:name w:val="annotation text"/>
    <w:basedOn w:val="1"/>
    <w:link w:val="53"/>
    <w:qFormat/>
    <w:uiPriority w:val="99"/>
    <w:pPr>
      <w:jc w:val="left"/>
    </w:pPr>
    <w:rPr>
      <w:rFonts w:ascii="Times New Roman" w:hAnsi="Times New Roman" w:eastAsia="仿宋"/>
      <w:sz w:val="28"/>
    </w:rPr>
  </w:style>
  <w:style w:type="paragraph" w:styleId="17">
    <w:name w:val="Salutation"/>
    <w:basedOn w:val="1"/>
    <w:next w:val="1"/>
    <w:link w:val="151"/>
    <w:unhideWhenUsed/>
    <w:qFormat/>
    <w:uiPriority w:val="0"/>
    <w:pPr>
      <w:widowControl/>
      <w:spacing w:line="240" w:lineRule="auto"/>
      <w:ind w:firstLine="0" w:firstLineChars="0"/>
    </w:pPr>
    <w:rPr>
      <w:rFonts w:cs="宋体"/>
      <w:kern w:val="0"/>
    </w:rPr>
  </w:style>
  <w:style w:type="paragraph" w:styleId="18">
    <w:name w:val="Body Text"/>
    <w:basedOn w:val="1"/>
    <w:link w:val="67"/>
    <w:unhideWhenUsed/>
    <w:qFormat/>
    <w:uiPriority w:val="0"/>
    <w:pPr>
      <w:spacing w:after="120" w:line="240" w:lineRule="auto"/>
      <w:ind w:firstLine="0" w:firstLineChars="0"/>
    </w:pPr>
    <w:rPr>
      <w:rFonts w:ascii="Times New Roman" w:hAnsi="Times New Roman"/>
      <w:sz w:val="21"/>
    </w:rPr>
  </w:style>
  <w:style w:type="paragraph" w:styleId="19">
    <w:name w:val="Body Text Indent"/>
    <w:basedOn w:val="1"/>
    <w:link w:val="92"/>
    <w:qFormat/>
    <w:uiPriority w:val="0"/>
    <w:pPr>
      <w:spacing w:after="120"/>
      <w:ind w:firstLine="200"/>
    </w:pPr>
    <w:rPr>
      <w:rFonts w:ascii="Times New Roman" w:hAnsi="Times New Roman"/>
      <w:sz w:val="21"/>
      <w:szCs w:val="20"/>
    </w:rPr>
  </w:style>
  <w:style w:type="paragraph" w:styleId="20">
    <w:name w:val="Block Text"/>
    <w:basedOn w:val="1"/>
    <w:unhideWhenUsed/>
    <w:qFormat/>
    <w:uiPriority w:val="99"/>
    <w:pPr>
      <w:spacing w:after="120" w:line="360" w:lineRule="auto"/>
      <w:ind w:left="1440" w:leftChars="700" w:right="700" w:rightChars="700" w:firstLine="200"/>
    </w:pPr>
    <w:rPr>
      <w:rFonts w:ascii="Calibri" w:hAnsi="Calibri" w:eastAsia="仿宋"/>
      <w:sz w:val="28"/>
      <w:szCs w:val="22"/>
    </w:rPr>
  </w:style>
  <w:style w:type="paragraph" w:styleId="21">
    <w:name w:val="toc 5"/>
    <w:basedOn w:val="1"/>
    <w:next w:val="1"/>
    <w:unhideWhenUsed/>
    <w:qFormat/>
    <w:uiPriority w:val="39"/>
    <w:pPr>
      <w:ind w:left="1680" w:leftChars="800"/>
    </w:pPr>
    <w:rPr>
      <w:rFonts w:ascii="等线" w:hAnsi="等线" w:eastAsia="等线"/>
      <w:szCs w:val="22"/>
    </w:rPr>
  </w:style>
  <w:style w:type="paragraph" w:styleId="22">
    <w:name w:val="toc 3"/>
    <w:basedOn w:val="1"/>
    <w:next w:val="1"/>
    <w:qFormat/>
    <w:uiPriority w:val="39"/>
    <w:pPr>
      <w:tabs>
        <w:tab w:val="right" w:leader="dot" w:pos="8302"/>
      </w:tabs>
      <w:ind w:left="840" w:leftChars="400"/>
    </w:pPr>
  </w:style>
  <w:style w:type="paragraph" w:styleId="23">
    <w:name w:val="Plain Text"/>
    <w:basedOn w:val="1"/>
    <w:link w:val="73"/>
    <w:qFormat/>
    <w:uiPriority w:val="0"/>
    <w:pPr>
      <w:spacing w:line="240" w:lineRule="auto"/>
      <w:ind w:firstLine="0" w:firstLineChars="0"/>
    </w:pPr>
    <w:rPr>
      <w:rFonts w:hAnsi="Courier New"/>
      <w:sz w:val="21"/>
      <w:szCs w:val="20"/>
    </w:rPr>
  </w:style>
  <w:style w:type="paragraph" w:styleId="24">
    <w:name w:val="toc 8"/>
    <w:basedOn w:val="1"/>
    <w:next w:val="1"/>
    <w:unhideWhenUsed/>
    <w:qFormat/>
    <w:uiPriority w:val="39"/>
    <w:pPr>
      <w:ind w:left="2940" w:leftChars="1400"/>
    </w:pPr>
    <w:rPr>
      <w:rFonts w:ascii="等线" w:hAnsi="等线" w:eastAsia="等线"/>
      <w:szCs w:val="22"/>
    </w:rPr>
  </w:style>
  <w:style w:type="paragraph" w:styleId="25">
    <w:name w:val="Date"/>
    <w:basedOn w:val="1"/>
    <w:next w:val="1"/>
    <w:link w:val="55"/>
    <w:qFormat/>
    <w:uiPriority w:val="0"/>
    <w:pPr>
      <w:ind w:left="100" w:leftChars="2500"/>
    </w:pPr>
    <w:rPr>
      <w:rFonts w:ascii="Times New Roman" w:hAnsi="Times New Roman"/>
      <w:sz w:val="21"/>
    </w:rPr>
  </w:style>
  <w:style w:type="paragraph" w:styleId="26">
    <w:name w:val="Balloon Text"/>
    <w:basedOn w:val="1"/>
    <w:link w:val="103"/>
    <w:qFormat/>
    <w:uiPriority w:val="99"/>
    <w:rPr>
      <w:rFonts w:ascii="Times New Roman" w:hAnsi="Times New Roman"/>
      <w:sz w:val="18"/>
      <w:szCs w:val="18"/>
    </w:rPr>
  </w:style>
  <w:style w:type="paragraph" w:styleId="27">
    <w:name w:val="footer"/>
    <w:basedOn w:val="1"/>
    <w:link w:val="96"/>
    <w:qFormat/>
    <w:uiPriority w:val="99"/>
    <w:pPr>
      <w:tabs>
        <w:tab w:val="center" w:pos="4153"/>
        <w:tab w:val="right" w:pos="8306"/>
      </w:tabs>
      <w:snapToGrid w:val="0"/>
      <w:jc w:val="center"/>
    </w:pPr>
    <w:rPr>
      <w:rFonts w:ascii="Times New Roman" w:hAnsi="Times New Roman"/>
      <w:sz w:val="18"/>
      <w:szCs w:val="18"/>
    </w:rPr>
  </w:style>
  <w:style w:type="paragraph" w:styleId="28">
    <w:name w:val="header"/>
    <w:basedOn w:val="1"/>
    <w:link w:val="104"/>
    <w:qFormat/>
    <w:uiPriority w:val="0"/>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9">
    <w:name w:val="toc 1"/>
    <w:basedOn w:val="1"/>
    <w:next w:val="1"/>
    <w:qFormat/>
    <w:uiPriority w:val="39"/>
  </w:style>
  <w:style w:type="paragraph" w:styleId="30">
    <w:name w:val="toc 4"/>
    <w:basedOn w:val="1"/>
    <w:next w:val="1"/>
    <w:unhideWhenUsed/>
    <w:qFormat/>
    <w:uiPriority w:val="39"/>
    <w:pPr>
      <w:ind w:left="1260" w:leftChars="600"/>
    </w:pPr>
    <w:rPr>
      <w:rFonts w:ascii="等线" w:hAnsi="等线" w:eastAsia="等线"/>
      <w:szCs w:val="22"/>
    </w:rPr>
  </w:style>
  <w:style w:type="paragraph" w:styleId="31">
    <w:name w:val="Subtitle"/>
    <w:basedOn w:val="1"/>
    <w:next w:val="1"/>
    <w:link w:val="94"/>
    <w:qFormat/>
    <w:uiPriority w:val="0"/>
    <w:pPr>
      <w:spacing w:before="240" w:after="60" w:line="312" w:lineRule="auto"/>
      <w:jc w:val="center"/>
      <w:outlineLvl w:val="1"/>
    </w:pPr>
    <w:rPr>
      <w:rFonts w:ascii="Calibri Light" w:hAnsi="Calibri Light"/>
      <w:b/>
      <w:bCs/>
      <w:kern w:val="28"/>
      <w:sz w:val="32"/>
      <w:szCs w:val="32"/>
    </w:rPr>
  </w:style>
  <w:style w:type="paragraph" w:styleId="32">
    <w:name w:val="toc 6"/>
    <w:basedOn w:val="1"/>
    <w:next w:val="1"/>
    <w:unhideWhenUsed/>
    <w:qFormat/>
    <w:uiPriority w:val="39"/>
    <w:pPr>
      <w:ind w:left="2100" w:leftChars="1000"/>
    </w:pPr>
    <w:rPr>
      <w:rFonts w:ascii="等线" w:hAnsi="等线" w:eastAsia="等线"/>
      <w:szCs w:val="22"/>
    </w:rPr>
  </w:style>
  <w:style w:type="paragraph" w:styleId="33">
    <w:name w:val="toc 2"/>
    <w:basedOn w:val="1"/>
    <w:next w:val="1"/>
    <w:qFormat/>
    <w:uiPriority w:val="39"/>
    <w:pPr>
      <w:tabs>
        <w:tab w:val="right" w:leader="dot" w:pos="8302"/>
      </w:tabs>
      <w:ind w:left="420" w:leftChars="200"/>
    </w:pPr>
  </w:style>
  <w:style w:type="paragraph" w:styleId="34">
    <w:name w:val="toc 9"/>
    <w:basedOn w:val="1"/>
    <w:next w:val="1"/>
    <w:unhideWhenUsed/>
    <w:qFormat/>
    <w:uiPriority w:val="39"/>
    <w:pPr>
      <w:ind w:left="3360" w:leftChars="1600"/>
    </w:pPr>
    <w:rPr>
      <w:rFonts w:ascii="等线" w:hAnsi="等线" w:eastAsia="等线"/>
      <w:szCs w:val="22"/>
    </w:rPr>
  </w:style>
  <w:style w:type="paragraph" w:styleId="35">
    <w:name w:val="Body Text 2"/>
    <w:basedOn w:val="1"/>
    <w:qFormat/>
    <w:uiPriority w:val="0"/>
    <w:pPr>
      <w:spacing w:after="120" w:line="480" w:lineRule="auto"/>
    </w:pPr>
  </w:style>
  <w:style w:type="paragraph" w:styleId="36">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7">
    <w:name w:val="Title"/>
    <w:basedOn w:val="1"/>
    <w:next w:val="1"/>
    <w:link w:val="102"/>
    <w:qFormat/>
    <w:uiPriority w:val="10"/>
    <w:pPr>
      <w:spacing w:before="240" w:after="60" w:line="960" w:lineRule="auto"/>
      <w:jc w:val="center"/>
    </w:pPr>
    <w:rPr>
      <w:rFonts w:ascii="Cambria" w:hAnsi="Cambria" w:eastAsia="黑体"/>
      <w:b/>
      <w:bCs/>
      <w:sz w:val="52"/>
      <w:szCs w:val="32"/>
    </w:rPr>
  </w:style>
  <w:style w:type="paragraph" w:styleId="38">
    <w:name w:val="annotation subject"/>
    <w:basedOn w:val="16"/>
    <w:next w:val="16"/>
    <w:link w:val="90"/>
    <w:qFormat/>
    <w:uiPriority w:val="99"/>
    <w:rPr>
      <w:b/>
      <w:bCs/>
      <w:sz w:val="21"/>
    </w:rPr>
  </w:style>
  <w:style w:type="paragraph" w:styleId="39">
    <w:name w:val="Body Text First Indent"/>
    <w:basedOn w:val="18"/>
    <w:link w:val="152"/>
    <w:semiHidden/>
    <w:unhideWhenUsed/>
    <w:qFormat/>
    <w:uiPriority w:val="0"/>
    <w:pPr>
      <w:widowControl/>
      <w:ind w:firstLine="420" w:firstLineChars="100"/>
    </w:pPr>
    <w:rPr>
      <w:rFonts w:cs="宋体"/>
      <w:kern w:val="0"/>
      <w:sz w:val="24"/>
      <w:szCs w:val="20"/>
    </w:rPr>
  </w:style>
  <w:style w:type="table" w:styleId="41">
    <w:name w:val="Table Grid"/>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page number"/>
    <w:basedOn w:val="42"/>
    <w:qFormat/>
    <w:uiPriority w:val="0"/>
  </w:style>
  <w:style w:type="character" w:styleId="45">
    <w:name w:val="FollowedHyperlink"/>
    <w:unhideWhenUsed/>
    <w:qFormat/>
    <w:uiPriority w:val="99"/>
    <w:rPr>
      <w:color w:val="954F72"/>
      <w:u w:val="single"/>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正文"/>
    <w:basedOn w:val="1"/>
    <w:link w:val="71"/>
    <w:qFormat/>
    <w:uiPriority w:val="0"/>
    <w:pPr>
      <w:widowControl/>
      <w:ind w:firstLine="200"/>
      <w:contextualSpacing/>
    </w:pPr>
    <w:rPr>
      <w:rFonts w:ascii="time" w:hAnsi="time"/>
      <w:kern w:val="0"/>
      <w:lang w:bidi="en-US"/>
    </w:rPr>
  </w:style>
  <w:style w:type="character" w:customStyle="1" w:styleId="50">
    <w:name w:val="标题 3 字符1"/>
    <w:qFormat/>
    <w:uiPriority w:val="0"/>
    <w:rPr>
      <w:rFonts w:ascii="宋体" w:hAnsi="宋体"/>
      <w:b/>
      <w:bCs/>
      <w:kern w:val="2"/>
      <w:sz w:val="28"/>
      <w:szCs w:val="28"/>
    </w:rPr>
  </w:style>
  <w:style w:type="character" w:customStyle="1" w:styleId="51">
    <w:name w:val="首行缩进正文 Char"/>
    <w:link w:val="52"/>
    <w:qFormat/>
    <w:uiPriority w:val="0"/>
    <w:rPr>
      <w:kern w:val="2"/>
      <w:sz w:val="24"/>
    </w:rPr>
  </w:style>
  <w:style w:type="paragraph" w:customStyle="1" w:styleId="52">
    <w:name w:val="首行缩进正文"/>
    <w:basedOn w:val="1"/>
    <w:link w:val="51"/>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53">
    <w:name w:val="批注文字 Char"/>
    <w:link w:val="16"/>
    <w:qFormat/>
    <w:uiPriority w:val="99"/>
    <w:rPr>
      <w:rFonts w:eastAsia="仿宋"/>
      <w:kern w:val="2"/>
      <w:sz w:val="28"/>
      <w:szCs w:val="24"/>
    </w:rPr>
  </w:style>
  <w:style w:type="character" w:customStyle="1" w:styleId="54">
    <w:name w:val="日期 字符"/>
    <w:semiHidden/>
    <w:qFormat/>
    <w:uiPriority w:val="0"/>
    <w:rPr>
      <w:rFonts w:ascii="宋体" w:hAnsi="宋体"/>
      <w:kern w:val="2"/>
      <w:sz w:val="24"/>
      <w:szCs w:val="24"/>
    </w:rPr>
  </w:style>
  <w:style w:type="character" w:customStyle="1" w:styleId="55">
    <w:name w:val="日期 Char"/>
    <w:link w:val="25"/>
    <w:qFormat/>
    <w:uiPriority w:val="0"/>
    <w:rPr>
      <w:kern w:val="2"/>
      <w:sz w:val="21"/>
      <w:szCs w:val="24"/>
    </w:rPr>
  </w:style>
  <w:style w:type="character" w:customStyle="1" w:styleId="56">
    <w:name w:val="标题 9 Char"/>
    <w:link w:val="11"/>
    <w:qFormat/>
    <w:uiPriority w:val="9"/>
    <w:rPr>
      <w:rFonts w:ascii="Cambria" w:hAnsi="Cambria"/>
      <w:kern w:val="2"/>
      <w:sz w:val="21"/>
      <w:szCs w:val="21"/>
    </w:rPr>
  </w:style>
  <w:style w:type="character" w:customStyle="1" w:styleId="57">
    <w:name w:val="未处理的提及1"/>
    <w:unhideWhenUsed/>
    <w:qFormat/>
    <w:uiPriority w:val="99"/>
    <w:rPr>
      <w:color w:val="605E5C"/>
      <w:shd w:val="clear" w:color="auto" w:fill="E1DFDD"/>
    </w:rPr>
  </w:style>
  <w:style w:type="character" w:customStyle="1" w:styleId="58">
    <w:name w:val="标题 1 字符"/>
    <w:qFormat/>
    <w:uiPriority w:val="9"/>
    <w:rPr>
      <w:rFonts w:ascii="宋体" w:hAnsi="宋体"/>
      <w:b/>
      <w:bCs/>
      <w:kern w:val="44"/>
      <w:sz w:val="44"/>
      <w:szCs w:val="44"/>
    </w:rPr>
  </w:style>
  <w:style w:type="character" w:customStyle="1" w:styleId="59">
    <w:name w:val="标题 3 字符"/>
    <w:qFormat/>
    <w:uiPriority w:val="9"/>
    <w:rPr>
      <w:rFonts w:ascii="宋体" w:hAnsi="宋体"/>
      <w:b/>
      <w:bCs/>
      <w:kern w:val="2"/>
      <w:sz w:val="32"/>
      <w:szCs w:val="32"/>
    </w:rPr>
  </w:style>
  <w:style w:type="character" w:customStyle="1" w:styleId="60">
    <w:name w:val="页脚 字符"/>
    <w:qFormat/>
    <w:uiPriority w:val="99"/>
  </w:style>
  <w:style w:type="character" w:customStyle="1" w:styleId="61">
    <w:name w:val="标题 5 字符"/>
    <w:qFormat/>
    <w:uiPriority w:val="9"/>
    <w:rPr>
      <w:rFonts w:ascii="宋体" w:hAnsi="宋体"/>
      <w:b/>
      <w:bCs/>
      <w:kern w:val="2"/>
      <w:sz w:val="28"/>
      <w:szCs w:val="28"/>
    </w:rPr>
  </w:style>
  <w:style w:type="character" w:customStyle="1" w:styleId="62">
    <w:name w:val="题注 Char"/>
    <w:link w:val="14"/>
    <w:qFormat/>
    <w:locked/>
    <w:uiPriority w:val="35"/>
    <w:rPr>
      <w:rFonts w:ascii="Arial" w:hAnsi="Arial" w:eastAsia="黑体"/>
      <w:kern w:val="2"/>
    </w:rPr>
  </w:style>
  <w:style w:type="character" w:customStyle="1" w:styleId="63">
    <w:name w:val="标题 2 字符"/>
    <w:qFormat/>
    <w:uiPriority w:val="9"/>
    <w:rPr>
      <w:rFonts w:ascii="等线 Light" w:hAnsi="等线 Light" w:eastAsia="等线 Light" w:cs="Times New Roman"/>
      <w:b/>
      <w:bCs/>
      <w:kern w:val="2"/>
      <w:sz w:val="32"/>
      <w:szCs w:val="32"/>
    </w:rPr>
  </w:style>
  <w:style w:type="character" w:customStyle="1" w:styleId="64">
    <w:name w:val="纯文本 字符"/>
    <w:qFormat/>
    <w:uiPriority w:val="0"/>
    <w:rPr>
      <w:rFonts w:ascii="宋体" w:hAnsi="Courier New" w:cs="Courier New"/>
      <w:kern w:val="2"/>
      <w:sz w:val="21"/>
      <w:szCs w:val="21"/>
    </w:rPr>
  </w:style>
  <w:style w:type="character" w:customStyle="1" w:styleId="65">
    <w:name w:val="列表段落 字符"/>
    <w:qFormat/>
    <w:uiPriority w:val="34"/>
    <w:rPr>
      <w:kern w:val="2"/>
      <w:sz w:val="21"/>
      <w:szCs w:val="22"/>
    </w:rPr>
  </w:style>
  <w:style w:type="character" w:customStyle="1" w:styleId="66">
    <w:name w:val="标题 4 Char"/>
    <w:link w:val="5"/>
    <w:qFormat/>
    <w:uiPriority w:val="0"/>
    <w:rPr>
      <w:rFonts w:ascii="宋体" w:hAnsi="宋体"/>
      <w:b/>
      <w:bCs/>
      <w:kern w:val="2"/>
      <w:sz w:val="30"/>
      <w:szCs w:val="30"/>
    </w:rPr>
  </w:style>
  <w:style w:type="character" w:customStyle="1" w:styleId="67">
    <w:name w:val="正文文本 Char"/>
    <w:link w:val="18"/>
    <w:qFormat/>
    <w:uiPriority w:val="0"/>
    <w:rPr>
      <w:kern w:val="2"/>
      <w:sz w:val="21"/>
      <w:szCs w:val="24"/>
    </w:rPr>
  </w:style>
  <w:style w:type="character" w:customStyle="1" w:styleId="68">
    <w:name w:val="列出段落 Char"/>
    <w:link w:val="69"/>
    <w:qFormat/>
    <w:uiPriority w:val="34"/>
    <w:rPr>
      <w:kern w:val="2"/>
      <w:sz w:val="21"/>
      <w:szCs w:val="24"/>
    </w:rPr>
  </w:style>
  <w:style w:type="paragraph" w:styleId="69">
    <w:name w:val="List Paragraph"/>
    <w:basedOn w:val="1"/>
    <w:link w:val="68"/>
    <w:qFormat/>
    <w:uiPriority w:val="34"/>
    <w:pPr>
      <w:ind w:firstLine="420"/>
    </w:pPr>
    <w:rPr>
      <w:rFonts w:ascii="Times New Roman" w:hAnsi="Times New Roman"/>
      <w:sz w:val="21"/>
    </w:rPr>
  </w:style>
  <w:style w:type="character" w:customStyle="1" w:styleId="70">
    <w:name w:val="font21"/>
    <w:qFormat/>
    <w:uiPriority w:val="0"/>
    <w:rPr>
      <w:rFonts w:ascii="Calibri" w:hAnsi="Calibri" w:cs="Calibri"/>
      <w:color w:val="000000"/>
      <w:sz w:val="21"/>
      <w:szCs w:val="21"/>
      <w:u w:val="none"/>
    </w:rPr>
  </w:style>
  <w:style w:type="character" w:customStyle="1" w:styleId="71">
    <w:name w:val="*正文 Char"/>
    <w:link w:val="49"/>
    <w:qFormat/>
    <w:uiPriority w:val="0"/>
    <w:rPr>
      <w:rFonts w:ascii="time" w:hAnsi="time"/>
      <w:sz w:val="24"/>
      <w:szCs w:val="24"/>
      <w:lang w:bidi="en-US"/>
    </w:rPr>
  </w:style>
  <w:style w:type="character" w:customStyle="1" w:styleId="72">
    <w:name w:val="正文文本缩进 字符"/>
    <w:semiHidden/>
    <w:qFormat/>
    <w:uiPriority w:val="99"/>
    <w:rPr>
      <w:rFonts w:ascii="宋体" w:hAnsi="宋体"/>
      <w:kern w:val="2"/>
      <w:sz w:val="24"/>
      <w:szCs w:val="24"/>
    </w:rPr>
  </w:style>
  <w:style w:type="character" w:customStyle="1" w:styleId="73">
    <w:name w:val="纯文本 Char"/>
    <w:link w:val="23"/>
    <w:qFormat/>
    <w:locked/>
    <w:uiPriority w:val="0"/>
    <w:rPr>
      <w:rFonts w:ascii="宋体" w:hAnsi="Courier New"/>
      <w:kern w:val="2"/>
      <w:sz w:val="21"/>
    </w:rPr>
  </w:style>
  <w:style w:type="character" w:customStyle="1" w:styleId="74">
    <w:name w:val="my正文 Char"/>
    <w:link w:val="75"/>
    <w:qFormat/>
    <w:uiPriority w:val="0"/>
    <w:rPr>
      <w:kern w:val="2"/>
      <w:sz w:val="21"/>
      <w:szCs w:val="24"/>
    </w:rPr>
  </w:style>
  <w:style w:type="paragraph" w:customStyle="1" w:styleId="75">
    <w:name w:val="my正文"/>
    <w:basedOn w:val="1"/>
    <w:link w:val="74"/>
    <w:qFormat/>
    <w:uiPriority w:val="0"/>
    <w:pPr>
      <w:spacing w:line="240" w:lineRule="auto"/>
      <w:ind w:firstLine="0" w:firstLineChars="0"/>
    </w:pPr>
    <w:rPr>
      <w:rFonts w:ascii="Times New Roman" w:hAnsi="Times New Roman"/>
      <w:sz w:val="21"/>
    </w:rPr>
  </w:style>
  <w:style w:type="character" w:customStyle="1" w:styleId="76">
    <w:name w:val="正文2 字符"/>
    <w:link w:val="77"/>
    <w:qFormat/>
    <w:uiPriority w:val="0"/>
    <w:rPr>
      <w:kern w:val="2"/>
      <w:sz w:val="21"/>
      <w:szCs w:val="24"/>
    </w:rPr>
  </w:style>
  <w:style w:type="paragraph" w:customStyle="1" w:styleId="77">
    <w:name w:val="正文2"/>
    <w:basedOn w:val="1"/>
    <w:link w:val="76"/>
    <w:qFormat/>
    <w:uiPriority w:val="0"/>
    <w:pPr>
      <w:ind w:firstLine="420"/>
    </w:pPr>
    <w:rPr>
      <w:rFonts w:ascii="Times New Roman" w:hAnsi="Times New Roman"/>
      <w:sz w:val="21"/>
    </w:rPr>
  </w:style>
  <w:style w:type="character" w:customStyle="1" w:styleId="78">
    <w:name w:val="font41"/>
    <w:qFormat/>
    <w:uiPriority w:val="0"/>
    <w:rPr>
      <w:rFonts w:hint="eastAsia" w:ascii="宋体" w:hAnsi="宋体" w:eastAsia="宋体" w:cs="宋体"/>
      <w:color w:val="000000"/>
      <w:sz w:val="21"/>
      <w:szCs w:val="21"/>
      <w:u w:val="none"/>
    </w:rPr>
  </w:style>
  <w:style w:type="character" w:customStyle="1" w:styleId="79">
    <w:name w:val="标题 7 Char"/>
    <w:link w:val="9"/>
    <w:qFormat/>
    <w:uiPriority w:val="9"/>
    <w:rPr>
      <w:b/>
      <w:bCs/>
      <w:kern w:val="2"/>
      <w:sz w:val="21"/>
      <w:szCs w:val="24"/>
    </w:rPr>
  </w:style>
  <w:style w:type="character" w:customStyle="1" w:styleId="80">
    <w:name w:val="批注框文本 字符"/>
    <w:semiHidden/>
    <w:qFormat/>
    <w:uiPriority w:val="99"/>
    <w:rPr>
      <w:rFonts w:ascii="宋体" w:hAnsi="宋体"/>
      <w:kern w:val="2"/>
      <w:sz w:val="18"/>
      <w:szCs w:val="18"/>
    </w:rPr>
  </w:style>
  <w:style w:type="character" w:customStyle="1" w:styleId="81">
    <w:name w:val="副标题 Char1"/>
    <w:qFormat/>
    <w:uiPriority w:val="0"/>
    <w:rPr>
      <w:rFonts w:ascii="Calibri Light" w:hAnsi="Calibri Light" w:cs="Times New Roman"/>
      <w:b/>
      <w:bCs/>
      <w:kern w:val="28"/>
      <w:sz w:val="32"/>
      <w:szCs w:val="32"/>
    </w:rPr>
  </w:style>
  <w:style w:type="character" w:customStyle="1" w:styleId="82">
    <w:name w:val="标题 1 Char1"/>
    <w:link w:val="2"/>
    <w:qFormat/>
    <w:uiPriority w:val="9"/>
    <w:rPr>
      <w:rFonts w:ascii="宋体" w:hAnsi="宋体" w:eastAsia="黑体"/>
      <w:b/>
      <w:bCs/>
      <w:color w:val="000000" w:themeColor="text1"/>
      <w:kern w:val="44"/>
      <w:sz w:val="32"/>
      <w:szCs w:val="28"/>
      <w14:textFill>
        <w14:solidFill>
          <w14:schemeClr w14:val="tx1"/>
        </w14:solidFill>
      </w14:textFill>
    </w:rPr>
  </w:style>
  <w:style w:type="character" w:customStyle="1" w:styleId="83">
    <w:name w:val="批注文字 字符"/>
    <w:qFormat/>
    <w:uiPriority w:val="99"/>
    <w:rPr>
      <w:rFonts w:ascii="宋体" w:hAnsi="宋体"/>
      <w:kern w:val="2"/>
      <w:sz w:val="24"/>
      <w:szCs w:val="24"/>
    </w:rPr>
  </w:style>
  <w:style w:type="character" w:customStyle="1" w:styleId="84">
    <w:name w:val="文档结构图 字符"/>
    <w:semiHidden/>
    <w:qFormat/>
    <w:uiPriority w:val="99"/>
    <w:rPr>
      <w:rFonts w:ascii="Microsoft YaHei UI" w:hAnsi="宋体" w:eastAsia="Microsoft YaHei UI"/>
      <w:kern w:val="2"/>
      <w:sz w:val="18"/>
      <w:szCs w:val="18"/>
    </w:rPr>
  </w:style>
  <w:style w:type="character" w:customStyle="1" w:styleId="85">
    <w:name w:val="标题 6 字符"/>
    <w:qFormat/>
    <w:uiPriority w:val="9"/>
    <w:rPr>
      <w:rFonts w:ascii="等线 Light" w:hAnsi="等线 Light" w:eastAsia="等线 Light" w:cs="Times New Roman"/>
      <w:b/>
      <w:bCs/>
      <w:kern w:val="2"/>
      <w:sz w:val="24"/>
      <w:szCs w:val="24"/>
    </w:rPr>
  </w:style>
  <w:style w:type="character" w:customStyle="1" w:styleId="86">
    <w:name w:val="正文正文2 Char"/>
    <w:link w:val="87"/>
    <w:qFormat/>
    <w:uiPriority w:val="0"/>
    <w:rPr>
      <w:rFonts w:ascii="宋体" w:hAnsi="宋体"/>
      <w:kern w:val="2"/>
      <w:sz w:val="21"/>
      <w:szCs w:val="21"/>
    </w:rPr>
  </w:style>
  <w:style w:type="paragraph" w:customStyle="1" w:styleId="87">
    <w:name w:val="正文正文2"/>
    <w:basedOn w:val="1"/>
    <w:link w:val="86"/>
    <w:qFormat/>
    <w:uiPriority w:val="0"/>
    <w:pPr>
      <w:ind w:firstLine="460"/>
    </w:pPr>
    <w:rPr>
      <w:sz w:val="21"/>
      <w:szCs w:val="21"/>
    </w:rPr>
  </w:style>
  <w:style w:type="character" w:customStyle="1" w:styleId="88">
    <w:name w:val="标题 3 Char"/>
    <w:link w:val="4"/>
    <w:qFormat/>
    <w:uiPriority w:val="0"/>
    <w:rPr>
      <w:rFonts w:ascii="宋体" w:hAnsi="宋体"/>
      <w:b/>
      <w:bCs/>
      <w:kern w:val="2"/>
      <w:sz w:val="28"/>
      <w:szCs w:val="28"/>
    </w:rPr>
  </w:style>
  <w:style w:type="character" w:customStyle="1" w:styleId="89">
    <w:name w:val="标题 4 字符"/>
    <w:qFormat/>
    <w:uiPriority w:val="9"/>
    <w:rPr>
      <w:rFonts w:ascii="等线 Light" w:hAnsi="等线 Light" w:eastAsia="等线 Light" w:cs="Times New Roman"/>
      <w:b/>
      <w:bCs/>
      <w:kern w:val="2"/>
      <w:sz w:val="28"/>
      <w:szCs w:val="28"/>
    </w:rPr>
  </w:style>
  <w:style w:type="character" w:customStyle="1" w:styleId="90">
    <w:name w:val="批注主题 Char"/>
    <w:link w:val="38"/>
    <w:qFormat/>
    <w:uiPriority w:val="0"/>
    <w:rPr>
      <w:rFonts w:eastAsia="仿宋"/>
      <w:b/>
      <w:bCs/>
      <w:kern w:val="2"/>
      <w:sz w:val="21"/>
      <w:szCs w:val="24"/>
    </w:rPr>
  </w:style>
  <w:style w:type="character" w:customStyle="1" w:styleId="91">
    <w:name w:val="页眉 字符"/>
    <w:qFormat/>
    <w:uiPriority w:val="0"/>
    <w:rPr>
      <w:rFonts w:ascii="宋体" w:hAnsi="宋体"/>
      <w:kern w:val="2"/>
      <w:sz w:val="18"/>
      <w:szCs w:val="18"/>
    </w:rPr>
  </w:style>
  <w:style w:type="character" w:customStyle="1" w:styleId="92">
    <w:name w:val="正文文本缩进 Char"/>
    <w:link w:val="19"/>
    <w:qFormat/>
    <w:uiPriority w:val="0"/>
    <w:rPr>
      <w:kern w:val="2"/>
      <w:sz w:val="21"/>
    </w:rPr>
  </w:style>
  <w:style w:type="character" w:customStyle="1" w:styleId="93">
    <w:name w:val="标题 5 Char"/>
    <w:link w:val="7"/>
    <w:qFormat/>
    <w:uiPriority w:val="0"/>
    <w:rPr>
      <w:rFonts w:ascii="宋体" w:hAnsi="宋体"/>
      <w:b/>
      <w:bCs/>
      <w:kern w:val="2"/>
      <w:sz w:val="24"/>
      <w:szCs w:val="28"/>
    </w:rPr>
  </w:style>
  <w:style w:type="character" w:customStyle="1" w:styleId="94">
    <w:name w:val="副标题 Char"/>
    <w:link w:val="31"/>
    <w:qFormat/>
    <w:uiPriority w:val="0"/>
    <w:rPr>
      <w:rFonts w:ascii="Calibri Light" w:hAnsi="Calibri Light"/>
      <w:b/>
      <w:bCs/>
      <w:kern w:val="28"/>
      <w:sz w:val="32"/>
      <w:szCs w:val="32"/>
    </w:rPr>
  </w:style>
  <w:style w:type="character" w:customStyle="1" w:styleId="95">
    <w:name w:val="标题 2 Char"/>
    <w:link w:val="3"/>
    <w:qFormat/>
    <w:uiPriority w:val="9"/>
    <w:rPr>
      <w:rFonts w:ascii="宋体" w:hAnsi="宋体"/>
      <w:b/>
      <w:bCs/>
      <w:kern w:val="2"/>
      <w:sz w:val="30"/>
      <w:szCs w:val="32"/>
    </w:rPr>
  </w:style>
  <w:style w:type="character" w:customStyle="1" w:styleId="96">
    <w:name w:val="页脚 Char"/>
    <w:link w:val="27"/>
    <w:qFormat/>
    <w:uiPriority w:val="99"/>
    <w:rPr>
      <w:kern w:val="2"/>
      <w:sz w:val="18"/>
      <w:szCs w:val="18"/>
    </w:rPr>
  </w:style>
  <w:style w:type="character" w:customStyle="1" w:styleId="97">
    <w:name w:val="批注主题 字符"/>
    <w:qFormat/>
    <w:uiPriority w:val="99"/>
    <w:rPr>
      <w:rFonts w:ascii="宋体" w:hAnsi="宋体"/>
      <w:b/>
      <w:bCs/>
      <w:kern w:val="2"/>
      <w:sz w:val="24"/>
      <w:szCs w:val="24"/>
    </w:rPr>
  </w:style>
  <w:style w:type="character" w:customStyle="1" w:styleId="98">
    <w:name w:val="文档结构图 Char"/>
    <w:link w:val="15"/>
    <w:qFormat/>
    <w:uiPriority w:val="0"/>
    <w:rPr>
      <w:rFonts w:ascii="宋体"/>
      <w:kern w:val="2"/>
      <w:sz w:val="18"/>
      <w:szCs w:val="18"/>
    </w:rPr>
  </w:style>
  <w:style w:type="character" w:customStyle="1" w:styleId="99">
    <w:name w:val="font31"/>
    <w:qFormat/>
    <w:uiPriority w:val="0"/>
    <w:rPr>
      <w:rFonts w:hint="eastAsia" w:ascii="宋体" w:hAnsi="宋体" w:eastAsia="宋体" w:cs="宋体"/>
      <w:color w:val="000000"/>
      <w:sz w:val="21"/>
      <w:szCs w:val="21"/>
      <w:u w:val="none"/>
    </w:rPr>
  </w:style>
  <w:style w:type="character" w:customStyle="1" w:styleId="100">
    <w:name w:val="标准正文 Char"/>
    <w:link w:val="101"/>
    <w:qFormat/>
    <w:uiPriority w:val="0"/>
    <w:rPr>
      <w:rFonts w:ascii="Arial" w:hAnsi="Arial"/>
      <w:kern w:val="2"/>
      <w:sz w:val="24"/>
    </w:rPr>
  </w:style>
  <w:style w:type="paragraph" w:customStyle="1" w:styleId="101">
    <w:name w:val="标准正文"/>
    <w:basedOn w:val="19"/>
    <w:link w:val="100"/>
    <w:qFormat/>
    <w:uiPriority w:val="0"/>
    <w:pPr>
      <w:spacing w:before="60" w:after="60"/>
      <w:ind w:firstLine="482" w:firstLineChars="0"/>
    </w:pPr>
    <w:rPr>
      <w:rFonts w:ascii="Arial" w:hAnsi="Arial"/>
      <w:sz w:val="24"/>
    </w:rPr>
  </w:style>
  <w:style w:type="character" w:customStyle="1" w:styleId="102">
    <w:name w:val="标题 Char"/>
    <w:link w:val="37"/>
    <w:qFormat/>
    <w:uiPriority w:val="0"/>
    <w:rPr>
      <w:rFonts w:ascii="Cambria" w:hAnsi="Cambria" w:eastAsia="黑体"/>
      <w:b/>
      <w:bCs/>
      <w:kern w:val="2"/>
      <w:sz w:val="52"/>
      <w:szCs w:val="32"/>
    </w:rPr>
  </w:style>
  <w:style w:type="character" w:customStyle="1" w:styleId="103">
    <w:name w:val="批注框文本 Char"/>
    <w:link w:val="26"/>
    <w:qFormat/>
    <w:uiPriority w:val="0"/>
    <w:rPr>
      <w:kern w:val="2"/>
      <w:sz w:val="18"/>
      <w:szCs w:val="18"/>
    </w:rPr>
  </w:style>
  <w:style w:type="character" w:customStyle="1" w:styleId="104">
    <w:name w:val="页眉 Char"/>
    <w:link w:val="28"/>
    <w:qFormat/>
    <w:uiPriority w:val="99"/>
    <w:rPr>
      <w:kern w:val="2"/>
      <w:sz w:val="18"/>
      <w:szCs w:val="18"/>
    </w:rPr>
  </w:style>
  <w:style w:type="character" w:customStyle="1" w:styleId="105">
    <w:name w:val="标题 8 Char"/>
    <w:link w:val="10"/>
    <w:qFormat/>
    <w:uiPriority w:val="9"/>
    <w:rPr>
      <w:rFonts w:ascii="Cambria" w:hAnsi="Cambria"/>
      <w:kern w:val="2"/>
      <w:sz w:val="21"/>
      <w:szCs w:val="24"/>
    </w:rPr>
  </w:style>
  <w:style w:type="character" w:customStyle="1" w:styleId="106">
    <w:name w:val="标题 6 Char"/>
    <w:link w:val="8"/>
    <w:qFormat/>
    <w:uiPriority w:val="0"/>
    <w:rPr>
      <w:rFonts w:ascii="Cambria" w:hAnsi="Cambria"/>
      <w:b/>
      <w:bCs/>
      <w:kern w:val="2"/>
      <w:sz w:val="24"/>
      <w:szCs w:val="24"/>
    </w:rPr>
  </w:style>
  <w:style w:type="character" w:customStyle="1" w:styleId="107">
    <w:name w:val="标题 字符"/>
    <w:qFormat/>
    <w:uiPriority w:val="10"/>
    <w:rPr>
      <w:rFonts w:ascii="等线 Light" w:hAnsi="等线 Light" w:eastAsia="等线 Light" w:cs="Times New Roman"/>
      <w:b/>
      <w:bCs/>
      <w:kern w:val="2"/>
      <w:sz w:val="32"/>
      <w:szCs w:val="32"/>
    </w:rPr>
  </w:style>
  <w:style w:type="character" w:customStyle="1" w:styleId="108">
    <w:name w:val="副标题 字符"/>
    <w:qFormat/>
    <w:uiPriority w:val="11"/>
    <w:rPr>
      <w:rFonts w:ascii="等线" w:hAnsi="等线" w:eastAsia="等线" w:cs="Times New Roman"/>
      <w:b/>
      <w:bCs/>
      <w:kern w:val="28"/>
      <w:sz w:val="32"/>
      <w:szCs w:val="32"/>
    </w:rPr>
  </w:style>
  <w:style w:type="paragraph" w:customStyle="1" w:styleId="109">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10">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11">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12">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13">
    <w:name w:val="正文缩进1"/>
    <w:basedOn w:val="1"/>
    <w:qFormat/>
    <w:uiPriority w:val="0"/>
    <w:pPr>
      <w:spacing w:line="240" w:lineRule="auto"/>
      <w:ind w:firstLine="420"/>
    </w:pPr>
    <w:rPr>
      <w:rFonts w:ascii="Times New Roman" w:hAnsi="Times New Roman"/>
      <w:sz w:val="21"/>
      <w:szCs w:val="20"/>
    </w:rPr>
  </w:style>
  <w:style w:type="paragraph" w:customStyle="1" w:styleId="114">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15">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16">
    <w:name w:val="Indent Normal"/>
    <w:basedOn w:val="1"/>
    <w:qFormat/>
    <w:uiPriority w:val="0"/>
    <w:pPr>
      <w:ind w:firstLine="150" w:firstLineChars="150"/>
    </w:pPr>
  </w:style>
  <w:style w:type="paragraph" w:customStyle="1" w:styleId="117">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8">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9">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20">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21">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2">
    <w:name w:val="段"/>
    <w:link w:val="186"/>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24">
    <w:name w:val="Char Char Char Char Char Char1 Char"/>
    <w:basedOn w:val="1"/>
    <w:qFormat/>
    <w:uiPriority w:val="0"/>
    <w:pPr>
      <w:widowControl/>
      <w:spacing w:after="160" w:line="240" w:lineRule="exact"/>
      <w:jc w:val="left"/>
    </w:pPr>
  </w:style>
  <w:style w:type="paragraph" w:customStyle="1" w:styleId="125">
    <w:name w:val="PM_Body"/>
    <w:basedOn w:val="1"/>
    <w:qFormat/>
    <w:locked/>
    <w:uiPriority w:val="0"/>
    <w:rPr>
      <w:szCs w:val="21"/>
    </w:rPr>
  </w:style>
  <w:style w:type="paragraph" w:customStyle="1" w:styleId="126">
    <w:name w:val="Char Char1"/>
    <w:basedOn w:val="1"/>
    <w:qFormat/>
    <w:uiPriority w:val="0"/>
    <w:pPr>
      <w:widowControl/>
      <w:spacing w:before="120" w:after="120"/>
    </w:pPr>
    <w:rPr>
      <w:rFonts w:ascii="Times New Roman" w:hAnsi="Times New Roman" w:cs="宋体"/>
    </w:rPr>
  </w:style>
  <w:style w:type="paragraph" w:customStyle="1" w:styleId="127">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8">
    <w:name w:val="修订1"/>
    <w:unhideWhenUsed/>
    <w:qFormat/>
    <w:uiPriority w:val="0"/>
    <w:rPr>
      <w:rFonts w:ascii="宋体" w:hAnsi="宋体" w:eastAsia="宋体" w:cs="Times New Roman"/>
      <w:kern w:val="2"/>
      <w:sz w:val="24"/>
      <w:szCs w:val="24"/>
      <w:lang w:val="en-US" w:eastAsia="zh-CN" w:bidi="ar-SA"/>
    </w:rPr>
  </w:style>
  <w:style w:type="paragraph" w:customStyle="1" w:styleId="129">
    <w:name w:val="列出段落2"/>
    <w:basedOn w:val="1"/>
    <w:qFormat/>
    <w:uiPriority w:val="0"/>
    <w:pPr>
      <w:spacing w:line="240" w:lineRule="auto"/>
      <w:ind w:firstLine="420"/>
    </w:pPr>
    <w:rPr>
      <w:rFonts w:ascii="等线" w:hAnsi="等线" w:eastAsia="等线" w:cs="等线"/>
      <w:sz w:val="21"/>
      <w:szCs w:val="21"/>
    </w:rPr>
  </w:style>
  <w:style w:type="paragraph" w:customStyle="1" w:styleId="130">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32">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33">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34">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35">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36">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7">
    <w:name w:val="!我的表格1"/>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1"/>
    <w:basedOn w:val="40"/>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9">
    <w:name w:val="标题 1 Char"/>
    <w:qFormat/>
    <w:uiPriority w:val="0"/>
    <w:rPr>
      <w:rFonts w:ascii="宋体" w:hAnsi="宋体" w:eastAsia="黑体"/>
      <w:b/>
      <w:bCs/>
      <w:kern w:val="44"/>
      <w:sz w:val="32"/>
      <w:szCs w:val="28"/>
    </w:rPr>
  </w:style>
  <w:style w:type="character" w:customStyle="1" w:styleId="140">
    <w:name w:val="纯文本 Char2"/>
    <w:qFormat/>
    <w:uiPriority w:val="0"/>
    <w:rPr>
      <w:rFonts w:ascii="宋体" w:hAnsi="宋体" w:eastAsia="宋体" w:cs="Times New Roman"/>
      <w:color w:val="000000"/>
      <w:kern w:val="0"/>
      <w:sz w:val="24"/>
      <w:szCs w:val="24"/>
    </w:rPr>
  </w:style>
  <w:style w:type="paragraph" w:customStyle="1" w:styleId="141">
    <w:name w:val="！正文"/>
    <w:basedOn w:val="1"/>
    <w:qFormat/>
    <w:uiPriority w:val="0"/>
    <w:pPr>
      <w:widowControl/>
      <w:autoSpaceDE w:val="0"/>
      <w:autoSpaceDN w:val="0"/>
      <w:adjustRightInd w:val="0"/>
      <w:spacing w:line="560" w:lineRule="exact"/>
    </w:pPr>
    <w:rPr>
      <w:rFonts w:ascii="仿宋_GB2312" w:eastAsia="仿宋_GB2312"/>
      <w:sz w:val="32"/>
      <w:szCs w:val="28"/>
      <w:lang w:val="zh-CN"/>
    </w:rPr>
  </w:style>
  <w:style w:type="paragraph" w:customStyle="1" w:styleId="142">
    <w:name w:val="样式2"/>
    <w:basedOn w:val="1"/>
    <w:link w:val="184"/>
    <w:qFormat/>
    <w:uiPriority w:val="0"/>
    <w:pPr>
      <w:widowControl/>
      <w:adjustRightInd w:val="0"/>
      <w:ind w:firstLine="480"/>
    </w:pPr>
    <w:rPr>
      <w:kern w:val="0"/>
      <w:lang w:eastAsia="en-US"/>
    </w:rPr>
  </w:style>
  <w:style w:type="table" w:customStyle="1" w:styleId="143">
    <w:name w:val="Table Normal"/>
    <w:semiHidden/>
    <w:unhideWhenUsed/>
    <w:qFormat/>
    <w:uiPriority w:val="0"/>
    <w:tblPr>
      <w:tblCellMar>
        <w:top w:w="0" w:type="dxa"/>
        <w:left w:w="0" w:type="dxa"/>
        <w:bottom w:w="0" w:type="dxa"/>
        <w:right w:w="0" w:type="dxa"/>
      </w:tblCellMar>
    </w:tblPr>
  </w:style>
  <w:style w:type="character" w:customStyle="1" w:styleId="144">
    <w:name w:val="font01"/>
    <w:basedOn w:val="42"/>
    <w:qFormat/>
    <w:uiPriority w:val="0"/>
    <w:rPr>
      <w:rFonts w:hint="default" w:ascii="Microsoft Sans Serif" w:hAnsi="Microsoft Sans Serif" w:eastAsia="Microsoft Sans Serif" w:cs="Microsoft Sans Serif"/>
      <w:color w:val="000000"/>
      <w:sz w:val="18"/>
      <w:szCs w:val="18"/>
      <w:u w:val="none"/>
    </w:rPr>
  </w:style>
  <w:style w:type="character" w:customStyle="1" w:styleId="145">
    <w:name w:val="段落正文 Char"/>
    <w:link w:val="6"/>
    <w:qFormat/>
    <w:uiPriority w:val="0"/>
    <w:rPr>
      <w:rFonts w:ascii="仿宋" w:hAnsi="仿宋" w:eastAsia="仿宋"/>
      <w:sz w:val="28"/>
      <w:szCs w:val="28"/>
    </w:rPr>
  </w:style>
  <w:style w:type="character" w:customStyle="1" w:styleId="146">
    <w:name w:val="font51"/>
    <w:basedOn w:val="42"/>
    <w:qFormat/>
    <w:uiPriority w:val="0"/>
    <w:rPr>
      <w:rFonts w:hint="default" w:ascii="Times New Roman" w:hAnsi="Times New Roman" w:cs="Times New Roman"/>
      <w:color w:val="000000"/>
      <w:sz w:val="24"/>
      <w:szCs w:val="24"/>
      <w:u w:val="none"/>
    </w:rPr>
  </w:style>
  <w:style w:type="character" w:customStyle="1" w:styleId="147">
    <w:name w:val="font61"/>
    <w:basedOn w:val="42"/>
    <w:qFormat/>
    <w:uiPriority w:val="0"/>
    <w:rPr>
      <w:rFonts w:hint="eastAsia" w:ascii="宋体" w:hAnsi="宋体" w:eastAsia="宋体" w:cs="宋体"/>
      <w:b/>
      <w:bCs/>
      <w:color w:val="000000"/>
      <w:sz w:val="24"/>
      <w:szCs w:val="24"/>
      <w:u w:val="none"/>
    </w:rPr>
  </w:style>
  <w:style w:type="character" w:customStyle="1" w:styleId="148">
    <w:name w:val="font71"/>
    <w:basedOn w:val="42"/>
    <w:qFormat/>
    <w:uiPriority w:val="0"/>
    <w:rPr>
      <w:rFonts w:hint="default" w:ascii="Times New Roman" w:hAnsi="Times New Roman" w:cs="Times New Roman"/>
      <w:color w:val="000000"/>
      <w:sz w:val="24"/>
      <w:szCs w:val="24"/>
      <w:u w:val="none"/>
    </w:rPr>
  </w:style>
  <w:style w:type="character" w:customStyle="1" w:styleId="149">
    <w:name w:val="font81"/>
    <w:basedOn w:val="42"/>
    <w:qFormat/>
    <w:uiPriority w:val="0"/>
    <w:rPr>
      <w:rFonts w:hint="eastAsia" w:ascii="宋体" w:hAnsi="宋体" w:eastAsia="宋体" w:cs="宋体"/>
      <w:color w:val="000000"/>
      <w:sz w:val="24"/>
      <w:szCs w:val="24"/>
      <w:u w:val="none"/>
    </w:rPr>
  </w:style>
  <w:style w:type="character" w:customStyle="1" w:styleId="150">
    <w:name w:val="font11"/>
    <w:basedOn w:val="42"/>
    <w:qFormat/>
    <w:uiPriority w:val="0"/>
    <w:rPr>
      <w:rFonts w:hint="default" w:ascii="Arial" w:hAnsi="Arial" w:cs="Arial"/>
      <w:color w:val="000000"/>
      <w:sz w:val="21"/>
      <w:szCs w:val="21"/>
      <w:u w:val="none"/>
    </w:rPr>
  </w:style>
  <w:style w:type="character" w:customStyle="1" w:styleId="151">
    <w:name w:val="称呼 Char"/>
    <w:basedOn w:val="42"/>
    <w:link w:val="17"/>
    <w:qFormat/>
    <w:uiPriority w:val="0"/>
    <w:rPr>
      <w:rFonts w:ascii="宋体" w:hAnsi="宋体" w:cs="宋体"/>
      <w:sz w:val="24"/>
      <w:szCs w:val="24"/>
    </w:rPr>
  </w:style>
  <w:style w:type="character" w:customStyle="1" w:styleId="152">
    <w:name w:val="正文首行缩进 Char"/>
    <w:basedOn w:val="67"/>
    <w:link w:val="39"/>
    <w:semiHidden/>
    <w:qFormat/>
    <w:uiPriority w:val="0"/>
    <w:rPr>
      <w:rFonts w:cs="宋体"/>
      <w:kern w:val="2"/>
      <w:sz w:val="24"/>
      <w:szCs w:val="24"/>
    </w:rPr>
  </w:style>
  <w:style w:type="paragraph" w:customStyle="1" w:styleId="153">
    <w:name w:val="表图内容"/>
    <w:basedOn w:val="1"/>
    <w:link w:val="154"/>
    <w:qFormat/>
    <w:uiPriority w:val="0"/>
    <w:pPr>
      <w:widowControl/>
      <w:spacing w:line="240" w:lineRule="auto"/>
      <w:ind w:firstLine="0" w:firstLineChars="0"/>
    </w:pPr>
    <w:rPr>
      <w:rFonts w:ascii="Times New Roman" w:hAnsi="Times New Roman" w:cs="宋体"/>
      <w:color w:val="000000"/>
      <w:kern w:val="0"/>
    </w:rPr>
  </w:style>
  <w:style w:type="character" w:customStyle="1" w:styleId="154">
    <w:name w:val="表图内容 Char"/>
    <w:link w:val="153"/>
    <w:qFormat/>
    <w:uiPriority w:val="0"/>
    <w:rPr>
      <w:rFonts w:cs="宋体"/>
      <w:color w:val="000000"/>
      <w:sz w:val="24"/>
      <w:szCs w:val="24"/>
    </w:rPr>
  </w:style>
  <w:style w:type="paragraph" w:customStyle="1" w:styleId="155">
    <w:name w:val="_Style 33"/>
    <w:qFormat/>
    <w:uiPriority w:val="60"/>
    <w:rPr>
      <w:rFonts w:ascii="Calibri" w:hAnsi="Calibri" w:eastAsia="宋体" w:cs="Times New Roman"/>
      <w:color w:val="31849B"/>
      <w:kern w:val="2"/>
      <w:sz w:val="21"/>
      <w:szCs w:val="22"/>
      <w:lang w:val="en-US" w:eastAsia="zh-CN" w:bidi="ar-SA"/>
    </w:rPr>
  </w:style>
  <w:style w:type="paragraph" w:customStyle="1" w:styleId="156">
    <w:name w:val="彩色底纹 - 强调文字颜色 12"/>
    <w:hidden/>
    <w:qFormat/>
    <w:uiPriority w:val="0"/>
    <w:rPr>
      <w:rFonts w:ascii="Times New Roman" w:hAnsi="Times New Roman" w:eastAsia="宋体" w:cs="Times New Roman"/>
      <w:kern w:val="2"/>
      <w:sz w:val="21"/>
      <w:szCs w:val="24"/>
      <w:lang w:val="en-US" w:eastAsia="zh-CN" w:bidi="ar-SA"/>
    </w:rPr>
  </w:style>
  <w:style w:type="paragraph" w:customStyle="1" w:styleId="157">
    <w:name w:val="彩色底纹 - 强调文字颜色 11"/>
    <w:hidden/>
    <w:qFormat/>
    <w:uiPriority w:val="0"/>
    <w:rPr>
      <w:rFonts w:ascii="Times New Roman" w:hAnsi="Times New Roman" w:eastAsia="宋体" w:cs="Times New Roman"/>
      <w:kern w:val="2"/>
      <w:sz w:val="21"/>
      <w:szCs w:val="24"/>
      <w:lang w:val="en-US" w:eastAsia="zh-CN" w:bidi="ar-SA"/>
    </w:rPr>
  </w:style>
  <w:style w:type="paragraph" w:customStyle="1" w:styleId="158">
    <w:name w:val="z-窗体顶端1"/>
    <w:basedOn w:val="1"/>
    <w:next w:val="1"/>
    <w:link w:val="159"/>
    <w:qFormat/>
    <w:uiPriority w:val="0"/>
    <w:pPr>
      <w:widowControl/>
      <w:pBdr>
        <w:bottom w:val="single" w:color="auto" w:sz="6" w:space="1"/>
      </w:pBdr>
      <w:spacing w:line="240" w:lineRule="auto"/>
      <w:ind w:firstLine="485" w:firstLineChars="202"/>
      <w:jc w:val="center"/>
    </w:pPr>
    <w:rPr>
      <w:rFonts w:ascii="Arial" w:hAnsi="Arial" w:cs="Arial"/>
      <w:vanish/>
      <w:color w:val="000000"/>
      <w:kern w:val="0"/>
      <w:sz w:val="16"/>
      <w:szCs w:val="16"/>
    </w:rPr>
  </w:style>
  <w:style w:type="character" w:customStyle="1" w:styleId="159">
    <w:name w:val="z-窗体顶端 字符"/>
    <w:link w:val="158"/>
    <w:qFormat/>
    <w:uiPriority w:val="0"/>
    <w:rPr>
      <w:rFonts w:ascii="Arial" w:hAnsi="Arial" w:cs="Arial"/>
      <w:vanish/>
      <w:color w:val="000000"/>
      <w:sz w:val="16"/>
      <w:szCs w:val="16"/>
    </w:rPr>
  </w:style>
  <w:style w:type="paragraph" w:customStyle="1" w:styleId="160">
    <w:name w:val="z-窗体底端1"/>
    <w:basedOn w:val="1"/>
    <w:next w:val="1"/>
    <w:link w:val="161"/>
    <w:qFormat/>
    <w:uiPriority w:val="0"/>
    <w:pPr>
      <w:widowControl/>
      <w:pBdr>
        <w:top w:val="single" w:color="auto" w:sz="6" w:space="1"/>
      </w:pBdr>
      <w:spacing w:line="240" w:lineRule="auto"/>
      <w:ind w:firstLine="485" w:firstLineChars="202"/>
      <w:jc w:val="center"/>
    </w:pPr>
    <w:rPr>
      <w:rFonts w:ascii="Arial" w:hAnsi="Arial" w:cs="Arial"/>
      <w:vanish/>
      <w:color w:val="000000"/>
      <w:kern w:val="0"/>
      <w:sz w:val="16"/>
      <w:szCs w:val="16"/>
    </w:rPr>
  </w:style>
  <w:style w:type="character" w:customStyle="1" w:styleId="161">
    <w:name w:val="z-窗体底端 字符"/>
    <w:link w:val="160"/>
    <w:qFormat/>
    <w:uiPriority w:val="0"/>
    <w:rPr>
      <w:rFonts w:ascii="Arial" w:hAnsi="Arial" w:cs="Arial"/>
      <w:vanish/>
      <w:color w:val="000000"/>
      <w:sz w:val="16"/>
      <w:szCs w:val="16"/>
    </w:rPr>
  </w:style>
  <w:style w:type="paragraph" w:customStyle="1" w:styleId="162">
    <w:name w:val="修订11"/>
    <w:hidden/>
    <w:qFormat/>
    <w:uiPriority w:val="0"/>
    <w:rPr>
      <w:rFonts w:ascii="Times New Roman" w:hAnsi="Times New Roman" w:eastAsia="宋体" w:cs="Times New Roman"/>
      <w:kern w:val="2"/>
      <w:sz w:val="21"/>
      <w:szCs w:val="24"/>
      <w:lang w:val="en-US" w:eastAsia="zh-CN" w:bidi="ar-SA"/>
    </w:rPr>
  </w:style>
  <w:style w:type="paragraph" w:styleId="163">
    <w:name w:val="No Spacing"/>
    <w:link w:val="164"/>
    <w:qFormat/>
    <w:uiPriority w:val="1"/>
    <w:pPr>
      <w:widowControl w:val="0"/>
      <w:spacing w:before="160" w:after="120"/>
      <w:jc w:val="center"/>
      <w:outlineLvl w:val="8"/>
    </w:pPr>
    <w:rPr>
      <w:rFonts w:ascii="Times New Roman" w:hAnsi="Times New Roman" w:eastAsia="宋体" w:cs="Times New Roman"/>
      <w:kern w:val="2"/>
      <w:sz w:val="21"/>
      <w:szCs w:val="22"/>
      <w:lang w:val="en-US" w:eastAsia="zh-CN" w:bidi="ar-SA"/>
    </w:rPr>
  </w:style>
  <w:style w:type="character" w:customStyle="1" w:styleId="164">
    <w:name w:val="无间隔 Char"/>
    <w:link w:val="163"/>
    <w:qFormat/>
    <w:uiPriority w:val="1"/>
    <w:rPr>
      <w:kern w:val="2"/>
      <w:sz w:val="21"/>
      <w:szCs w:val="22"/>
    </w:rPr>
  </w:style>
  <w:style w:type="paragraph" w:customStyle="1" w:styleId="165">
    <w:name w:val="图名"/>
    <w:basedOn w:val="1"/>
    <w:link w:val="166"/>
    <w:qFormat/>
    <w:uiPriority w:val="0"/>
    <w:pPr>
      <w:widowControl/>
      <w:spacing w:before="160" w:after="120" w:line="240" w:lineRule="auto"/>
      <w:ind w:firstLine="0" w:firstLineChars="0"/>
      <w:jc w:val="center"/>
      <w:outlineLvl w:val="8"/>
    </w:pPr>
    <w:rPr>
      <w:rFonts w:ascii="Times New Roman" w:hAnsi="Times New Roman" w:cs="宋体"/>
      <w:kern w:val="0"/>
    </w:rPr>
  </w:style>
  <w:style w:type="character" w:customStyle="1" w:styleId="166">
    <w:name w:val="图名 Char"/>
    <w:link w:val="165"/>
    <w:qFormat/>
    <w:uiPriority w:val="0"/>
    <w:rPr>
      <w:rFonts w:cs="宋体"/>
      <w:sz w:val="24"/>
      <w:szCs w:val="24"/>
    </w:rPr>
  </w:style>
  <w:style w:type="paragraph" w:customStyle="1" w:styleId="167">
    <w:name w:val="表格样式"/>
    <w:basedOn w:val="6"/>
    <w:link w:val="168"/>
    <w:qFormat/>
    <w:uiPriority w:val="0"/>
    <w:pPr>
      <w:widowControl/>
      <w:spacing w:line="240" w:lineRule="auto"/>
      <w:ind w:firstLine="0" w:firstLineChars="0"/>
      <w:jc w:val="center"/>
    </w:pPr>
    <w:rPr>
      <w:rFonts w:ascii="Times New Roman" w:hAnsi="Times New Roman" w:eastAsia="宋体" w:cs="宋体"/>
      <w:kern w:val="0"/>
      <w:sz w:val="24"/>
      <w:szCs w:val="24"/>
    </w:rPr>
  </w:style>
  <w:style w:type="character" w:customStyle="1" w:styleId="168">
    <w:name w:val="表格样式 字符"/>
    <w:link w:val="167"/>
    <w:qFormat/>
    <w:uiPriority w:val="0"/>
    <w:rPr>
      <w:rFonts w:cs="宋体"/>
      <w:sz w:val="24"/>
      <w:szCs w:val="24"/>
    </w:rPr>
  </w:style>
  <w:style w:type="paragraph" w:customStyle="1" w:styleId="169">
    <w:name w:val="图片格式"/>
    <w:basedOn w:val="6"/>
    <w:link w:val="170"/>
    <w:qFormat/>
    <w:uiPriority w:val="0"/>
    <w:pPr>
      <w:widowControl/>
      <w:spacing w:line="240" w:lineRule="auto"/>
      <w:ind w:firstLine="0" w:firstLineChars="0"/>
      <w:jc w:val="left"/>
    </w:pPr>
    <w:rPr>
      <w:rFonts w:ascii="Times New Roman" w:hAnsi="Times New Roman" w:eastAsia="宋体" w:cs="宋体"/>
      <w:kern w:val="0"/>
      <w:sz w:val="24"/>
      <w:szCs w:val="24"/>
    </w:rPr>
  </w:style>
  <w:style w:type="character" w:customStyle="1" w:styleId="170">
    <w:name w:val="图片格式 字符"/>
    <w:link w:val="169"/>
    <w:qFormat/>
    <w:uiPriority w:val="0"/>
    <w:rPr>
      <w:rFonts w:cs="宋体"/>
      <w:sz w:val="24"/>
      <w:szCs w:val="24"/>
    </w:rPr>
  </w:style>
  <w:style w:type="paragraph" w:customStyle="1" w:styleId="171">
    <w:name w:val="可研正文"/>
    <w:basedOn w:val="1"/>
    <w:link w:val="172"/>
    <w:qFormat/>
    <w:uiPriority w:val="0"/>
    <w:pPr>
      <w:widowControl/>
      <w:spacing w:line="240" w:lineRule="auto"/>
      <w:ind w:firstLine="200"/>
    </w:pPr>
    <w:rPr>
      <w:rFonts w:ascii="仿宋" w:hAnsi="仿宋" w:eastAsia="仿宋" w:cs="宋体"/>
      <w:kern w:val="0"/>
      <w:sz w:val="28"/>
      <w:szCs w:val="28"/>
      <w:lang w:val="zh-CN"/>
    </w:rPr>
  </w:style>
  <w:style w:type="character" w:customStyle="1" w:styleId="172">
    <w:name w:val="可研正文 Char"/>
    <w:link w:val="171"/>
    <w:qFormat/>
    <w:uiPriority w:val="0"/>
    <w:rPr>
      <w:rFonts w:ascii="仿宋" w:hAnsi="仿宋" w:eastAsia="仿宋" w:cs="宋体"/>
      <w:sz w:val="28"/>
      <w:szCs w:val="28"/>
      <w:lang w:val="zh-CN"/>
    </w:rPr>
  </w:style>
  <w:style w:type="paragraph" w:customStyle="1" w:styleId="173">
    <w:name w:val="列出段落1"/>
    <w:basedOn w:val="1"/>
    <w:link w:val="174"/>
    <w:qFormat/>
    <w:uiPriority w:val="34"/>
    <w:pPr>
      <w:widowControl/>
      <w:spacing w:line="240" w:lineRule="auto"/>
      <w:ind w:firstLine="420"/>
    </w:pPr>
    <w:rPr>
      <w:rFonts w:cs="宋体"/>
      <w:kern w:val="0"/>
    </w:rPr>
  </w:style>
  <w:style w:type="character" w:customStyle="1" w:styleId="174">
    <w:name w:val="列出段落 字符"/>
    <w:link w:val="173"/>
    <w:qFormat/>
    <w:uiPriority w:val="34"/>
    <w:rPr>
      <w:rFonts w:ascii="宋体" w:hAnsi="宋体" w:cs="宋体"/>
      <w:sz w:val="24"/>
      <w:szCs w:val="24"/>
    </w:rPr>
  </w:style>
  <w:style w:type="paragraph" w:customStyle="1" w:styleId="175">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7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rPr>
  </w:style>
  <w:style w:type="paragraph" w:customStyle="1" w:styleId="177">
    <w:name w:val="列出段落14"/>
    <w:basedOn w:val="1"/>
    <w:link w:val="178"/>
    <w:qFormat/>
    <w:uiPriority w:val="34"/>
    <w:pPr>
      <w:widowControl/>
      <w:spacing w:line="240" w:lineRule="auto"/>
      <w:ind w:left="720" w:firstLine="0" w:firstLineChars="0"/>
      <w:contextualSpacing/>
    </w:pPr>
    <w:rPr>
      <w:rFonts w:ascii="Times New Roman" w:hAnsi="Times New Roman" w:cs="宋体"/>
      <w:kern w:val="0"/>
    </w:rPr>
  </w:style>
  <w:style w:type="character" w:customStyle="1" w:styleId="178">
    <w:name w:val="列出段落1 Char"/>
    <w:link w:val="177"/>
    <w:qFormat/>
    <w:uiPriority w:val="34"/>
    <w:rPr>
      <w:rFonts w:cs="宋体"/>
      <w:sz w:val="24"/>
      <w:szCs w:val="24"/>
    </w:rPr>
  </w:style>
  <w:style w:type="paragraph" w:customStyle="1" w:styleId="179">
    <w:name w:val="正文文本首行缩进1"/>
    <w:basedOn w:val="1"/>
    <w:qFormat/>
    <w:uiPriority w:val="99"/>
    <w:pPr>
      <w:widowControl/>
      <w:spacing w:after="120" w:line="240" w:lineRule="auto"/>
      <w:ind w:firstLine="420" w:firstLineChars="100"/>
    </w:pPr>
    <w:rPr>
      <w:rFonts w:ascii="Times New Roman" w:hAnsi="Times New Roman" w:cs="宋体"/>
      <w:kern w:val="0"/>
    </w:rPr>
  </w:style>
  <w:style w:type="paragraph" w:customStyle="1" w:styleId="180">
    <w:name w:val="FS正文"/>
    <w:basedOn w:val="39"/>
    <w:qFormat/>
    <w:uiPriority w:val="0"/>
    <w:pPr>
      <w:spacing w:line="360" w:lineRule="auto"/>
      <w:ind w:firstLine="200" w:firstLineChars="200"/>
      <w:jc w:val="left"/>
    </w:pPr>
    <w:rPr>
      <w:rFonts w:hAnsi="宋体"/>
      <w:szCs w:val="24"/>
    </w:rPr>
  </w:style>
  <w:style w:type="paragraph" w:customStyle="1" w:styleId="181">
    <w:name w:val="标题 6（有编号）（绿盟科技）"/>
    <w:basedOn w:val="1"/>
    <w:next w:val="1"/>
    <w:qFormat/>
    <w:uiPriority w:val="0"/>
    <w:pPr>
      <w:keepNext/>
      <w:keepLines/>
      <w:widowControl/>
      <w:tabs>
        <w:tab w:val="left" w:pos="1152"/>
      </w:tabs>
      <w:spacing w:before="240" w:after="64" w:line="319" w:lineRule="auto"/>
      <w:ind w:left="1152" w:hanging="1152" w:firstLineChars="0"/>
      <w:jc w:val="left"/>
      <w:outlineLvl w:val="5"/>
    </w:pPr>
    <w:rPr>
      <w:rFonts w:ascii="Arial" w:hAnsi="Arial" w:eastAsia="黑体" w:cs="宋体"/>
      <w:b/>
      <w:kern w:val="0"/>
    </w:rPr>
  </w:style>
  <w:style w:type="character" w:customStyle="1" w:styleId="182">
    <w:name w:val="mini-tree-nodetext"/>
    <w:basedOn w:val="42"/>
    <w:qFormat/>
    <w:uiPriority w:val="0"/>
  </w:style>
  <w:style w:type="paragraph" w:customStyle="1" w:styleId="183">
    <w:name w:val="xl63"/>
    <w:basedOn w:val="1"/>
    <w:qFormat/>
    <w:uiPriority w:val="0"/>
    <w:pPr>
      <w:widowControl/>
      <w:spacing w:before="100" w:beforeAutospacing="1" w:after="100" w:afterAutospacing="1" w:line="240" w:lineRule="auto"/>
      <w:ind w:firstLine="0" w:firstLineChars="0"/>
      <w:jc w:val="center"/>
      <w:textAlignment w:val="center"/>
    </w:pPr>
    <w:rPr>
      <w:rFonts w:cs="宋体"/>
      <w:kern w:val="0"/>
      <w:sz w:val="18"/>
      <w:szCs w:val="18"/>
    </w:rPr>
  </w:style>
  <w:style w:type="character" w:customStyle="1" w:styleId="184">
    <w:name w:val="样式2 Char"/>
    <w:link w:val="142"/>
    <w:qFormat/>
    <w:uiPriority w:val="0"/>
    <w:rPr>
      <w:rFonts w:ascii="宋体" w:hAnsi="宋体"/>
      <w:sz w:val="24"/>
      <w:szCs w:val="24"/>
      <w:lang w:eastAsia="en-US"/>
    </w:rPr>
  </w:style>
  <w:style w:type="paragraph" w:customStyle="1" w:styleId="185">
    <w:name w:val="列表段落211"/>
    <w:basedOn w:val="1"/>
    <w:qFormat/>
    <w:uiPriority w:val="34"/>
    <w:pPr>
      <w:widowControl/>
      <w:spacing w:line="240" w:lineRule="auto"/>
      <w:ind w:firstLine="0" w:firstLineChars="0"/>
    </w:pPr>
    <w:rPr>
      <w:rFonts w:ascii="Times New Roman" w:hAnsi="Times New Roman" w:cs="宋体"/>
      <w:kern w:val="0"/>
    </w:rPr>
  </w:style>
  <w:style w:type="character" w:customStyle="1" w:styleId="186">
    <w:name w:val="段 Char"/>
    <w:basedOn w:val="42"/>
    <w:link w:val="122"/>
    <w:qFormat/>
    <w:uiPriority w:val="0"/>
    <w:rPr>
      <w:rFonts w:ascii="宋体" w:cs="Calibri"/>
      <w:sz w:val="21"/>
    </w:rPr>
  </w:style>
  <w:style w:type="character" w:customStyle="1" w:styleId="187">
    <w:name w:val="未处理的提及2"/>
    <w:basedOn w:val="42"/>
    <w:semiHidden/>
    <w:unhideWhenUsed/>
    <w:qFormat/>
    <w:uiPriority w:val="99"/>
    <w:rPr>
      <w:color w:val="605E5C"/>
      <w:shd w:val="clear" w:color="auto" w:fill="E1DFDD"/>
    </w:rPr>
  </w:style>
  <w:style w:type="paragraph" w:customStyle="1" w:styleId="188">
    <w:name w:val="修订2"/>
    <w:hidden/>
    <w:semiHidden/>
    <w:qFormat/>
    <w:uiPriority w:val="99"/>
    <w:rPr>
      <w:rFonts w:ascii="宋体" w:hAnsi="宋体" w:eastAsia="宋体" w:cs="Times New Roman"/>
      <w:kern w:val="2"/>
      <w:sz w:val="24"/>
      <w:szCs w:val="24"/>
      <w:lang w:val="en-US" w:eastAsia="zh-CN" w:bidi="ar-SA"/>
    </w:rPr>
  </w:style>
  <w:style w:type="paragraph" w:customStyle="1" w:styleId="189">
    <w:name w:val="修订3"/>
    <w:hidden/>
    <w:semiHidden/>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C9FDC60-B300-413F-8ACA-5F622AF365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3021</Words>
  <Characters>17223</Characters>
  <Lines>143</Lines>
  <Paragraphs>40</Paragraphs>
  <TotalTime>72</TotalTime>
  <ScaleCrop>false</ScaleCrop>
  <LinksUpToDate>false</LinksUpToDate>
  <CharactersWithSpaces>20204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2025-01-23T00:15:00Z</dcterms:created>
  <dc:creator>gtig_tzb</dc:creator>
  <cp:lastModifiedBy>user</cp:lastModifiedBy>
  <cp:lastPrinted>2020-08-07T12:08:00Z</cp:lastPrinted>
  <dcterms:modified xsi:type="dcterms:W3CDTF">2025-01-23T20:44:46Z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D7E319D0F3B64C1E9C3A1E6A9EF7F0DC_13</vt:lpwstr>
  </property>
</Properties>
</file>