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DE639">
      <w:pPr>
        <w:ind w:firstLine="560"/>
        <w:rPr>
          <w:rFonts w:hint="eastAsia"/>
        </w:rPr>
      </w:pPr>
    </w:p>
    <w:p w14:paraId="2F9E9E51">
      <w:pPr>
        <w:ind w:firstLine="560"/>
        <w:rPr>
          <w:rFonts w:hint="eastAsia"/>
        </w:rPr>
      </w:pPr>
    </w:p>
    <w:p w14:paraId="218A2598">
      <w:pPr>
        <w:ind w:firstLine="560"/>
        <w:rPr>
          <w:rFonts w:hint="eastAsia"/>
        </w:rPr>
      </w:pPr>
    </w:p>
    <w:p w14:paraId="1740F497">
      <w:pPr>
        <w:ind w:firstLine="560"/>
        <w:rPr>
          <w:rFonts w:hint="eastAsia"/>
        </w:rPr>
      </w:pPr>
    </w:p>
    <w:p w14:paraId="4DB6ED9C">
      <w:pPr>
        <w:ind w:firstLine="560"/>
        <w:rPr>
          <w:rFonts w:hint="eastAsia"/>
        </w:rPr>
      </w:pPr>
    </w:p>
    <w:p w14:paraId="444AEC00">
      <w:pPr>
        <w:pStyle w:val="21"/>
        <w:outlineLvl w:val="0"/>
      </w:pPr>
      <w:r>
        <w:rPr>
          <w:rFonts w:hint="eastAsia"/>
        </w:rPr>
        <w:t>一分中心2025年商用密码应用安全性评估</w:t>
      </w:r>
    </w:p>
    <w:p w14:paraId="531E98DA">
      <w:pPr>
        <w:pStyle w:val="21"/>
        <w:outlineLvl w:val="0"/>
      </w:pPr>
      <w:r>
        <w:rPr>
          <w:rFonts w:hint="eastAsia"/>
        </w:rPr>
        <w:t>服务采购需求</w:t>
      </w:r>
    </w:p>
    <w:p w14:paraId="52A594DA">
      <w:pPr>
        <w:ind w:firstLine="560"/>
        <w:rPr>
          <w:rFonts w:hint="eastAsia"/>
        </w:rPr>
      </w:pPr>
    </w:p>
    <w:p w14:paraId="33D80903">
      <w:pPr>
        <w:ind w:firstLine="560"/>
        <w:rPr>
          <w:rFonts w:hint="eastAsia"/>
        </w:rPr>
      </w:pPr>
    </w:p>
    <w:p w14:paraId="4FEFD881">
      <w:pPr>
        <w:ind w:firstLine="560"/>
        <w:rPr>
          <w:rFonts w:hint="eastAsia"/>
        </w:rPr>
      </w:pPr>
    </w:p>
    <w:p w14:paraId="784358A7">
      <w:pPr>
        <w:ind w:firstLine="560"/>
        <w:rPr>
          <w:rFonts w:hint="eastAsia"/>
        </w:rPr>
      </w:pPr>
    </w:p>
    <w:p w14:paraId="660978E6">
      <w:pPr>
        <w:ind w:firstLine="560"/>
        <w:rPr>
          <w:rFonts w:hint="eastAsia"/>
        </w:rPr>
      </w:pPr>
    </w:p>
    <w:p w14:paraId="74D74050">
      <w:pPr>
        <w:ind w:firstLine="560"/>
        <w:rPr>
          <w:rFonts w:hint="eastAsia"/>
        </w:rPr>
      </w:pPr>
    </w:p>
    <w:p w14:paraId="44F1499B">
      <w:pPr>
        <w:ind w:firstLine="560"/>
        <w:rPr>
          <w:rFonts w:hint="eastAsia"/>
        </w:rPr>
      </w:pPr>
    </w:p>
    <w:p w14:paraId="548BCEDB">
      <w:pPr>
        <w:pStyle w:val="21"/>
        <w:outlineLvl w:val="0"/>
        <w:rPr>
          <w:sz w:val="30"/>
          <w:szCs w:val="30"/>
        </w:rPr>
      </w:pPr>
      <w:r>
        <w:rPr>
          <w:rFonts w:hint="eastAsia"/>
          <w:sz w:val="30"/>
          <w:szCs w:val="30"/>
        </w:rPr>
        <w:t>上海市大数据中心</w:t>
      </w:r>
    </w:p>
    <w:p w14:paraId="2A52CDCF">
      <w:pPr>
        <w:ind w:firstLine="560"/>
        <w:rPr>
          <w:rFonts w:hint="eastAsia"/>
        </w:rPr>
      </w:pPr>
    </w:p>
    <w:p w14:paraId="1C927D84">
      <w:pPr>
        <w:ind w:firstLine="560"/>
        <w:rPr>
          <w:rFonts w:hint="eastAsia"/>
        </w:rPr>
      </w:pPr>
    </w:p>
    <w:p w14:paraId="2CA23033">
      <w:pPr>
        <w:pStyle w:val="2"/>
        <w:rPr>
          <w:rFonts w:hint="eastAsia"/>
        </w:rPr>
      </w:pPr>
      <w:bookmarkStart w:id="0" w:name="_Toc69194644"/>
      <w:r>
        <w:rPr>
          <w:rFonts w:hint="eastAsia"/>
        </w:rPr>
        <w:t>项目概述</w:t>
      </w:r>
      <w:bookmarkEnd w:id="0"/>
    </w:p>
    <w:p w14:paraId="795949BC">
      <w:pPr>
        <w:widowControl w:val="0"/>
        <w:ind w:firstLine="560"/>
        <w:rPr>
          <w:rFonts w:hint="eastAsia"/>
        </w:rPr>
      </w:pPr>
      <w:r>
        <w:rPr>
          <w:rFonts w:hint="eastAsia"/>
        </w:rPr>
        <w:t>近年来，网络和数据安全对国家安全和发展的重要性日益凸显，特别是在当前复杂多变的安全形势下，加强网络和数据安全保障工作已成为迫切需求。本项目依据《中华人民共和国密码法》、《商用密码管理条例》、《关键信息基础设施安全保护条例》等相关法律法规，结合市大数据中心网络和数据安全工作要求，旨在为上海市大数据中心信息化服务第一分中心（以下简称“第一分中心”）提供全面的网络和数据安全的技术支持和保障。</w:t>
      </w:r>
    </w:p>
    <w:p w14:paraId="2CA0D9F3">
      <w:pPr>
        <w:widowControl w:val="0"/>
        <w:ind w:firstLine="560"/>
        <w:rPr>
          <w:rFonts w:hint="eastAsia"/>
        </w:rPr>
      </w:pPr>
      <w:r>
        <w:rPr>
          <w:rFonts w:hint="eastAsia"/>
        </w:rPr>
        <w:t>项目将通过组织开展人工访谈、文档查阅、人工检测、工具测评等密码测评服务工作，持续提升第一分中心整体网络和数据安全密码防护水平和能力，确保网络和数据安全管理工作落到实处，有效保障第一分中心信息系统安全稳定运行。</w:t>
      </w:r>
    </w:p>
    <w:p w14:paraId="212A2CA6">
      <w:pPr>
        <w:widowControl w:val="0"/>
        <w:ind w:firstLine="560"/>
        <w:rPr>
          <w:rFonts w:hint="eastAsia"/>
        </w:rPr>
      </w:pPr>
      <w:r>
        <w:rPr>
          <w:rFonts w:hint="eastAsia"/>
        </w:rPr>
        <w:t>第一分中心以筑牢网络和数据安全屏障为目标，消除各信息系统安全风险隐患，以重要信息系统网络安全保障为重点，明确网络安全工作职责分工，提升第一分中心各信息化服务团队网络与数据安全管控能力，切实推进第一分中心2025年度网络安全工作有序开展，确保全年无重大网络安全事件发生。拟通过竞争性磋商方式，选择优质的服务商提供商用密码应用安全性评估</w:t>
      </w:r>
      <w:r>
        <w:rPr>
          <w:rFonts w:hint="eastAsia"/>
          <w:lang w:val="en-US" w:eastAsia="zh-CN"/>
        </w:rPr>
        <w:t>服务</w:t>
      </w:r>
      <w:r>
        <w:rPr>
          <w:rFonts w:hint="eastAsia"/>
        </w:rPr>
        <w:t>。</w:t>
      </w:r>
    </w:p>
    <w:p w14:paraId="2AE0B09F">
      <w:pPr>
        <w:widowControl w:val="0"/>
        <w:ind w:firstLine="560"/>
        <w:rPr>
          <w:rFonts w:hint="eastAsia"/>
        </w:rPr>
      </w:pPr>
      <w:r>
        <w:rPr>
          <w:rFonts w:hint="eastAsia"/>
        </w:rPr>
        <w:t>服务期限：合同签订之日起至2025年12月31日</w:t>
      </w:r>
    </w:p>
    <w:p w14:paraId="2E1B2F2F">
      <w:pPr>
        <w:widowControl w:val="0"/>
        <w:ind w:firstLine="560"/>
        <w:rPr>
          <w:rFonts w:hint="eastAsia"/>
        </w:rPr>
      </w:pPr>
      <w:r>
        <w:rPr>
          <w:rFonts w:hint="eastAsia"/>
        </w:rPr>
        <w:t>服务地点：上海市大数据中心信息化服务第一分中心</w:t>
      </w:r>
    </w:p>
    <w:p w14:paraId="5311D3EB">
      <w:pPr>
        <w:widowControl w:val="0"/>
        <w:ind w:firstLine="560"/>
        <w:rPr>
          <w:rFonts w:hint="eastAsia"/>
        </w:rPr>
      </w:pPr>
      <w:r>
        <w:rPr>
          <w:rFonts w:hint="eastAsia"/>
        </w:rPr>
        <w:t>预算金额：283.0245万元</w:t>
      </w:r>
    </w:p>
    <w:p w14:paraId="195013C2">
      <w:pPr>
        <w:widowControl w:val="0"/>
        <w:ind w:firstLine="560"/>
        <w:rPr>
          <w:rFonts w:hint="eastAsia"/>
        </w:rPr>
      </w:pPr>
      <w:r>
        <w:rPr>
          <w:rFonts w:hint="eastAsia"/>
        </w:rPr>
        <w:t>采购金额（最高限价）：283.0245万元</w:t>
      </w:r>
    </w:p>
    <w:p w14:paraId="195025DE">
      <w:pPr>
        <w:widowControl w:val="0"/>
        <w:ind w:firstLine="560"/>
        <w:rPr>
          <w:rFonts w:hint="eastAsia"/>
        </w:rPr>
      </w:pPr>
      <w:r>
        <w:rPr>
          <w:rFonts w:hint="eastAsia"/>
        </w:rPr>
        <w:t>组织形式：集中采购</w:t>
      </w:r>
    </w:p>
    <w:p w14:paraId="0F8CC739">
      <w:pPr>
        <w:widowControl w:val="0"/>
        <w:ind w:firstLine="560"/>
        <w:rPr>
          <w:rFonts w:hint="eastAsia"/>
        </w:rPr>
      </w:pPr>
      <w:r>
        <w:rPr>
          <w:rFonts w:hint="eastAsia"/>
        </w:rPr>
        <w:t>采购方式：竞争性磋商</w:t>
      </w:r>
    </w:p>
    <w:p w14:paraId="79C39E5B">
      <w:pPr>
        <w:widowControl w:val="0"/>
        <w:ind w:firstLine="560"/>
        <w:rPr>
          <w:rFonts w:hint="eastAsia"/>
        </w:rPr>
      </w:pPr>
      <w:r>
        <w:rPr>
          <w:rFonts w:hint="eastAsia"/>
        </w:rPr>
        <w:t>面向企业类型：大中小微</w:t>
      </w:r>
    </w:p>
    <w:p w14:paraId="206EB9B3">
      <w:pPr>
        <w:widowControl w:val="0"/>
        <w:ind w:firstLine="560"/>
        <w:rPr>
          <w:rFonts w:hint="eastAsia"/>
        </w:rPr>
      </w:pPr>
      <w:r>
        <w:rPr>
          <w:rFonts w:hint="eastAsia"/>
        </w:rPr>
        <w:t>是否接受联合体投标：否</w:t>
      </w:r>
    </w:p>
    <w:p w14:paraId="37EF47A5">
      <w:pPr>
        <w:ind w:firstLine="560"/>
        <w:rPr>
          <w:rFonts w:hint="eastAsia"/>
        </w:rPr>
      </w:pPr>
      <w:r>
        <w:rPr>
          <w:rFonts w:hint="eastAsia"/>
        </w:rPr>
        <w:br w:type="page"/>
      </w:r>
    </w:p>
    <w:p w14:paraId="6C19691D">
      <w:pPr>
        <w:pStyle w:val="2"/>
        <w:rPr>
          <w:rFonts w:hint="eastAsia"/>
        </w:rPr>
      </w:pPr>
      <w:bookmarkStart w:id="1" w:name="_Toc69194645"/>
      <w:r>
        <w:rPr>
          <w:rFonts w:hint="eastAsia"/>
        </w:rPr>
        <w:t>服务范围</w:t>
      </w:r>
      <w:bookmarkEnd w:id="1"/>
    </w:p>
    <w:p w14:paraId="40AC6CF3">
      <w:pPr>
        <w:widowControl w:val="0"/>
        <w:ind w:firstLine="560"/>
        <w:rPr>
          <w:rFonts w:hint="eastAsia"/>
        </w:rPr>
      </w:pPr>
      <w:r>
        <w:rPr>
          <w:rFonts w:hint="eastAsia"/>
        </w:rPr>
        <w:t>开展密码应用安全性评估工作是完善信息系统密码应用安全防护能力的一个重要环节，也是信息系统密码应用安全建设和管理的重要组成部分。有序开展第一分中心2025年度商用密码应用安全性评估工作，可以发现信息系统密码应用的安全现状与需要达到的安全等级或目标的差异，从而有效加强和完善密码应用安全整改工作。</w:t>
      </w:r>
    </w:p>
    <w:p w14:paraId="248D9325">
      <w:pPr>
        <w:pStyle w:val="11"/>
        <w:ind w:firstLine="560"/>
        <w:rPr>
          <w:rFonts w:hint="eastAsia"/>
        </w:rPr>
      </w:pPr>
      <w:r>
        <w:rPr>
          <w:rFonts w:hint="eastAsia"/>
        </w:rPr>
        <w:t>第一分中心2025年商用密码应用安全性评估范围覆盖一分中心6个信息化服务团队需求范围内系统商用密码应用安全性评估工作</w:t>
      </w:r>
      <w:r>
        <w:rPr>
          <w:rFonts w:hint="eastAsia" w:ascii="宋体" w:hAnsi="宋体"/>
          <w:szCs w:val="21"/>
        </w:rPr>
        <w:t>。</w:t>
      </w:r>
    </w:p>
    <w:p w14:paraId="36A1580D">
      <w:pPr>
        <w:ind w:firstLine="560"/>
        <w:rPr>
          <w:rFonts w:hint="eastAsia"/>
        </w:rPr>
      </w:pPr>
      <w:r>
        <w:rPr>
          <w:rFonts w:hint="eastAsia"/>
        </w:rPr>
        <w:br w:type="page"/>
      </w:r>
    </w:p>
    <w:p w14:paraId="35F998E2">
      <w:pPr>
        <w:pStyle w:val="2"/>
        <w:rPr>
          <w:rFonts w:hint="eastAsia"/>
        </w:rPr>
      </w:pPr>
      <w:r>
        <w:rPr>
          <w:rFonts w:hint="eastAsia"/>
        </w:rPr>
        <w:t>服务内容</w:t>
      </w:r>
    </w:p>
    <w:p w14:paraId="69578B95">
      <w:pPr>
        <w:pStyle w:val="3"/>
        <w:rPr>
          <w:rFonts w:hint="eastAsia"/>
        </w:rPr>
      </w:pPr>
      <w:r>
        <w:rPr>
          <w:rFonts w:hint="eastAsia"/>
        </w:rPr>
        <w:t>服务内容概述</w:t>
      </w:r>
    </w:p>
    <w:p w14:paraId="4D75DE05">
      <w:pPr>
        <w:pStyle w:val="11"/>
        <w:ind w:firstLine="560"/>
        <w:rPr>
          <w:rFonts w:hint="eastAsia"/>
        </w:rPr>
      </w:pPr>
      <w:r>
        <w:rPr>
          <w:rFonts w:hint="eastAsia"/>
        </w:rPr>
        <w:t>信息系统商用密码应用安全性评估的内容包括但不限于以下内容。</w:t>
      </w:r>
      <w:r>
        <w:rPr>
          <w:rFonts w:hint="eastAsia" w:ascii="宋体" w:hAnsi="宋体"/>
          <w:szCs w:val="21"/>
        </w:rPr>
        <w:t>实施过程中应根据一分中心、各委办局团队的实际要求，按需提供相关安全服务。</w:t>
      </w:r>
    </w:p>
    <w:p w14:paraId="09A853D6">
      <w:pPr>
        <w:widowControl w:val="0"/>
        <w:ind w:firstLine="560"/>
        <w:rPr>
          <w:rFonts w:hint="eastAsia"/>
        </w:rPr>
      </w:pPr>
      <w:r>
        <w:rPr>
          <w:rFonts w:hint="eastAsia"/>
        </w:rPr>
        <w:t>1、安全技术测评：包括物理和环境安全、网络和通信安全、设备和计算安全、应用和数据安全等四个方面的安全测评。</w:t>
      </w:r>
    </w:p>
    <w:p w14:paraId="49140063">
      <w:pPr>
        <w:widowControl w:val="0"/>
        <w:ind w:firstLine="560"/>
        <w:rPr>
          <w:rFonts w:hint="eastAsia"/>
        </w:rPr>
      </w:pPr>
      <w:r>
        <w:rPr>
          <w:rFonts w:hint="eastAsia"/>
        </w:rPr>
        <w:t>（1）物理和环境安全</w:t>
      </w:r>
    </w:p>
    <w:tbl>
      <w:tblPr>
        <w:tblStyle w:val="25"/>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7"/>
        <w:gridCol w:w="5776"/>
      </w:tblGrid>
      <w:tr w14:paraId="29608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shd w:val="clear" w:color="auto" w:fill="auto"/>
            <w:tcMar>
              <w:top w:w="11" w:type="dxa"/>
              <w:left w:w="11" w:type="dxa"/>
              <w:bottom w:w="11" w:type="dxa"/>
              <w:right w:w="11" w:type="dxa"/>
            </w:tcMar>
            <w:vAlign w:val="center"/>
          </w:tcPr>
          <w:p w14:paraId="450D03AD">
            <w:pPr>
              <w:widowControl w:val="0"/>
              <w:ind w:firstLine="560"/>
              <w:rPr>
                <w:rFonts w:hint="eastAsia"/>
              </w:rPr>
            </w:pPr>
            <w:r>
              <w:rPr>
                <w:rFonts w:hint="eastAsia"/>
              </w:rPr>
              <w:t>测评类别</w:t>
            </w:r>
          </w:p>
        </w:tc>
        <w:tc>
          <w:tcPr>
            <w:tcW w:w="3466" w:type="pct"/>
            <w:shd w:val="clear" w:color="auto" w:fill="auto"/>
            <w:vAlign w:val="center"/>
          </w:tcPr>
          <w:p w14:paraId="12B58EF6">
            <w:pPr>
              <w:widowControl w:val="0"/>
              <w:ind w:firstLine="560"/>
              <w:rPr>
                <w:rFonts w:hint="eastAsia"/>
              </w:rPr>
            </w:pPr>
            <w:r>
              <w:rPr>
                <w:rFonts w:hint="eastAsia"/>
              </w:rPr>
              <w:t>测评单元</w:t>
            </w:r>
          </w:p>
        </w:tc>
      </w:tr>
      <w:tr w14:paraId="5EE60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shd w:val="clear" w:color="auto" w:fill="auto"/>
            <w:tcMar>
              <w:top w:w="11" w:type="dxa"/>
              <w:left w:w="11" w:type="dxa"/>
              <w:bottom w:w="11" w:type="dxa"/>
              <w:right w:w="11" w:type="dxa"/>
            </w:tcMar>
            <w:vAlign w:val="center"/>
          </w:tcPr>
          <w:p w14:paraId="507EE0B3">
            <w:pPr>
              <w:widowControl w:val="0"/>
              <w:ind w:firstLine="0" w:firstLineChars="0"/>
              <w:jc w:val="center"/>
              <w:rPr>
                <w:rFonts w:hint="eastAsia"/>
              </w:rPr>
            </w:pPr>
            <w:r>
              <w:rPr>
                <w:rFonts w:hint="eastAsia"/>
              </w:rPr>
              <w:t>安全技术测评-物理和环境安全</w:t>
            </w:r>
          </w:p>
        </w:tc>
        <w:tc>
          <w:tcPr>
            <w:tcW w:w="3466" w:type="pct"/>
            <w:shd w:val="clear" w:color="auto" w:fill="auto"/>
            <w:tcMar>
              <w:top w:w="11" w:type="dxa"/>
              <w:left w:w="11" w:type="dxa"/>
              <w:bottom w:w="11" w:type="dxa"/>
              <w:right w:w="11" w:type="dxa"/>
            </w:tcMar>
            <w:vAlign w:val="center"/>
          </w:tcPr>
          <w:p w14:paraId="51A99570">
            <w:pPr>
              <w:widowControl w:val="0"/>
              <w:ind w:firstLine="560"/>
              <w:rPr>
                <w:rFonts w:hint="eastAsia"/>
              </w:rPr>
            </w:pPr>
            <w:r>
              <w:rPr>
                <w:rFonts w:hint="eastAsia"/>
              </w:rPr>
              <w:t>身份鉴别</w:t>
            </w:r>
          </w:p>
        </w:tc>
      </w:tr>
      <w:tr w14:paraId="6CAC2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3F05D955">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30E2A6CC">
            <w:pPr>
              <w:widowControl w:val="0"/>
              <w:ind w:firstLine="560"/>
              <w:rPr>
                <w:rFonts w:hint="eastAsia"/>
              </w:rPr>
            </w:pPr>
            <w:r>
              <w:rPr>
                <w:rFonts w:hint="eastAsia"/>
              </w:rPr>
              <w:t>电子门禁记录数据完整性</w:t>
            </w:r>
          </w:p>
        </w:tc>
      </w:tr>
      <w:tr w14:paraId="1CD59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7693EC21">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6E90C484">
            <w:pPr>
              <w:widowControl w:val="0"/>
              <w:ind w:firstLine="560"/>
              <w:rPr>
                <w:rFonts w:hint="eastAsia"/>
              </w:rPr>
            </w:pPr>
            <w:r>
              <w:rPr>
                <w:rFonts w:hint="eastAsia"/>
              </w:rPr>
              <w:t>视频记录数据完整性</w:t>
            </w:r>
          </w:p>
        </w:tc>
      </w:tr>
    </w:tbl>
    <w:p w14:paraId="625B6533">
      <w:pPr>
        <w:widowControl w:val="0"/>
        <w:ind w:firstLine="560"/>
        <w:rPr>
          <w:rFonts w:hint="eastAsia"/>
        </w:rPr>
      </w:pPr>
      <w:r>
        <w:rPr>
          <w:rFonts w:hint="eastAsia"/>
        </w:rPr>
        <w:t>（2）网络和通信安全</w:t>
      </w:r>
    </w:p>
    <w:tbl>
      <w:tblPr>
        <w:tblStyle w:val="25"/>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7"/>
        <w:gridCol w:w="5776"/>
      </w:tblGrid>
      <w:tr w14:paraId="6FBA5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shd w:val="clear" w:color="auto" w:fill="auto"/>
            <w:tcMar>
              <w:top w:w="11" w:type="dxa"/>
              <w:left w:w="11" w:type="dxa"/>
              <w:bottom w:w="11" w:type="dxa"/>
              <w:right w:w="11" w:type="dxa"/>
            </w:tcMar>
            <w:vAlign w:val="center"/>
          </w:tcPr>
          <w:p w14:paraId="45978F0D">
            <w:pPr>
              <w:widowControl w:val="0"/>
              <w:ind w:firstLine="560"/>
              <w:rPr>
                <w:rFonts w:hint="eastAsia"/>
              </w:rPr>
            </w:pPr>
            <w:r>
              <w:rPr>
                <w:rFonts w:hint="eastAsia"/>
              </w:rPr>
              <w:t>测评类别</w:t>
            </w:r>
          </w:p>
        </w:tc>
        <w:tc>
          <w:tcPr>
            <w:tcW w:w="3466" w:type="pct"/>
            <w:shd w:val="clear" w:color="auto" w:fill="auto"/>
            <w:vAlign w:val="center"/>
          </w:tcPr>
          <w:p w14:paraId="58F083F2">
            <w:pPr>
              <w:widowControl w:val="0"/>
              <w:ind w:firstLine="560"/>
              <w:rPr>
                <w:rFonts w:hint="eastAsia"/>
              </w:rPr>
            </w:pPr>
            <w:r>
              <w:rPr>
                <w:rFonts w:hint="eastAsia"/>
              </w:rPr>
              <w:t>测评单元</w:t>
            </w:r>
          </w:p>
        </w:tc>
      </w:tr>
      <w:tr w14:paraId="6D3D6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shd w:val="clear" w:color="auto" w:fill="auto"/>
            <w:tcMar>
              <w:top w:w="11" w:type="dxa"/>
              <w:left w:w="11" w:type="dxa"/>
              <w:bottom w:w="11" w:type="dxa"/>
              <w:right w:w="11" w:type="dxa"/>
            </w:tcMar>
            <w:vAlign w:val="center"/>
          </w:tcPr>
          <w:p w14:paraId="356380BB">
            <w:pPr>
              <w:widowControl w:val="0"/>
              <w:ind w:firstLine="0" w:firstLineChars="0"/>
              <w:jc w:val="center"/>
              <w:rPr>
                <w:rFonts w:hint="eastAsia"/>
              </w:rPr>
            </w:pPr>
            <w:r>
              <w:rPr>
                <w:rFonts w:hint="eastAsia"/>
              </w:rPr>
              <w:t>安全技术测评-网络和通信安全</w:t>
            </w:r>
          </w:p>
        </w:tc>
        <w:tc>
          <w:tcPr>
            <w:tcW w:w="3466" w:type="pct"/>
            <w:shd w:val="clear" w:color="auto" w:fill="auto"/>
            <w:tcMar>
              <w:top w:w="11" w:type="dxa"/>
              <w:left w:w="11" w:type="dxa"/>
              <w:bottom w:w="11" w:type="dxa"/>
              <w:right w:w="11" w:type="dxa"/>
            </w:tcMar>
            <w:vAlign w:val="center"/>
          </w:tcPr>
          <w:p w14:paraId="165EEA14">
            <w:pPr>
              <w:widowControl w:val="0"/>
              <w:ind w:firstLine="560"/>
              <w:rPr>
                <w:rFonts w:hint="eastAsia"/>
              </w:rPr>
            </w:pPr>
            <w:r>
              <w:rPr>
                <w:rFonts w:hint="eastAsia"/>
              </w:rPr>
              <w:t>身份鉴别</w:t>
            </w:r>
          </w:p>
        </w:tc>
      </w:tr>
      <w:tr w14:paraId="4C0C3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250336EE">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11B35580">
            <w:pPr>
              <w:widowControl w:val="0"/>
              <w:ind w:firstLine="560"/>
              <w:rPr>
                <w:rFonts w:hint="eastAsia"/>
              </w:rPr>
            </w:pPr>
            <w:r>
              <w:rPr>
                <w:rFonts w:hint="eastAsia"/>
              </w:rPr>
              <w:t>通信数据完整性</w:t>
            </w:r>
          </w:p>
        </w:tc>
      </w:tr>
      <w:tr w14:paraId="7F5BB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478F5927">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67DBFF57">
            <w:pPr>
              <w:widowControl w:val="0"/>
              <w:ind w:firstLine="560"/>
              <w:rPr>
                <w:rFonts w:hint="eastAsia"/>
              </w:rPr>
            </w:pPr>
            <w:r>
              <w:rPr>
                <w:rFonts w:hint="eastAsia"/>
              </w:rPr>
              <w:t>通信过程中重要数据的机密性</w:t>
            </w:r>
          </w:p>
        </w:tc>
      </w:tr>
      <w:tr w14:paraId="11117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282AE1F1">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00982935">
            <w:pPr>
              <w:widowControl w:val="0"/>
              <w:ind w:firstLine="560"/>
              <w:rPr>
                <w:rFonts w:hint="eastAsia"/>
              </w:rPr>
            </w:pPr>
            <w:r>
              <w:rPr>
                <w:rFonts w:hint="eastAsia"/>
              </w:rPr>
              <w:t>网络边界访问控制信息完整性</w:t>
            </w:r>
          </w:p>
        </w:tc>
      </w:tr>
      <w:tr w14:paraId="147526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6E975810">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397F7984">
            <w:pPr>
              <w:widowControl w:val="0"/>
              <w:ind w:firstLine="560"/>
              <w:rPr>
                <w:rFonts w:hint="eastAsia"/>
              </w:rPr>
            </w:pPr>
            <w:r>
              <w:rPr>
                <w:rFonts w:hint="eastAsia"/>
              </w:rPr>
              <w:t>安全接入认证</w:t>
            </w:r>
          </w:p>
        </w:tc>
      </w:tr>
    </w:tbl>
    <w:p w14:paraId="5E7A0D55">
      <w:pPr>
        <w:widowControl w:val="0"/>
        <w:ind w:firstLine="560"/>
        <w:rPr>
          <w:rFonts w:hint="eastAsia"/>
        </w:rPr>
      </w:pPr>
      <w:r>
        <w:rPr>
          <w:rFonts w:hint="eastAsia"/>
        </w:rPr>
        <w:t>（3）设备和计算安全</w:t>
      </w:r>
    </w:p>
    <w:tbl>
      <w:tblPr>
        <w:tblStyle w:val="25"/>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6"/>
        <w:gridCol w:w="5775"/>
      </w:tblGrid>
      <w:tr w14:paraId="6CCA2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shd w:val="clear" w:color="auto" w:fill="auto"/>
            <w:tcMar>
              <w:top w:w="11" w:type="dxa"/>
              <w:left w:w="11" w:type="dxa"/>
              <w:bottom w:w="11" w:type="dxa"/>
              <w:right w:w="11" w:type="dxa"/>
            </w:tcMar>
            <w:vAlign w:val="center"/>
          </w:tcPr>
          <w:p w14:paraId="118D92F6">
            <w:pPr>
              <w:widowControl w:val="0"/>
              <w:ind w:firstLine="560"/>
              <w:rPr>
                <w:rFonts w:hint="eastAsia"/>
              </w:rPr>
            </w:pPr>
            <w:r>
              <w:rPr>
                <w:rFonts w:hint="eastAsia"/>
              </w:rPr>
              <w:t>测评类别</w:t>
            </w:r>
          </w:p>
        </w:tc>
        <w:tc>
          <w:tcPr>
            <w:tcW w:w="3466" w:type="pct"/>
            <w:shd w:val="clear" w:color="auto" w:fill="auto"/>
            <w:vAlign w:val="center"/>
          </w:tcPr>
          <w:p w14:paraId="5A74CB46">
            <w:pPr>
              <w:widowControl w:val="0"/>
              <w:ind w:firstLine="560"/>
              <w:rPr>
                <w:rFonts w:hint="eastAsia"/>
              </w:rPr>
            </w:pPr>
            <w:r>
              <w:rPr>
                <w:rFonts w:hint="eastAsia"/>
              </w:rPr>
              <w:t>测评单元</w:t>
            </w:r>
          </w:p>
        </w:tc>
      </w:tr>
      <w:tr w14:paraId="3A0F3E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shd w:val="clear" w:color="auto" w:fill="auto"/>
            <w:tcMar>
              <w:top w:w="11" w:type="dxa"/>
              <w:left w:w="11" w:type="dxa"/>
              <w:bottom w:w="11" w:type="dxa"/>
              <w:right w:w="11" w:type="dxa"/>
            </w:tcMar>
            <w:vAlign w:val="center"/>
          </w:tcPr>
          <w:p w14:paraId="1E1F3117">
            <w:pPr>
              <w:widowControl w:val="0"/>
              <w:ind w:firstLine="0" w:firstLineChars="0"/>
              <w:jc w:val="center"/>
              <w:rPr>
                <w:rFonts w:hint="eastAsia"/>
              </w:rPr>
            </w:pPr>
            <w:r>
              <w:rPr>
                <w:rFonts w:hint="eastAsia"/>
              </w:rPr>
              <w:t>安全技术测评-设备和计算安全</w:t>
            </w:r>
          </w:p>
        </w:tc>
        <w:tc>
          <w:tcPr>
            <w:tcW w:w="3466" w:type="pct"/>
            <w:shd w:val="clear" w:color="auto" w:fill="auto"/>
            <w:tcMar>
              <w:top w:w="11" w:type="dxa"/>
              <w:left w:w="11" w:type="dxa"/>
              <w:bottom w:w="11" w:type="dxa"/>
              <w:right w:w="11" w:type="dxa"/>
            </w:tcMar>
            <w:vAlign w:val="center"/>
          </w:tcPr>
          <w:p w14:paraId="0F7EA1ED">
            <w:pPr>
              <w:widowControl w:val="0"/>
              <w:ind w:firstLine="560"/>
              <w:rPr>
                <w:rFonts w:hint="eastAsia"/>
              </w:rPr>
            </w:pPr>
            <w:r>
              <w:rPr>
                <w:rFonts w:hint="eastAsia"/>
              </w:rPr>
              <w:t>身份鉴别</w:t>
            </w:r>
          </w:p>
        </w:tc>
      </w:tr>
      <w:tr w14:paraId="3848A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5032B42F">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21058858">
            <w:pPr>
              <w:widowControl w:val="0"/>
              <w:ind w:firstLine="560"/>
              <w:rPr>
                <w:rFonts w:hint="eastAsia"/>
              </w:rPr>
            </w:pPr>
            <w:r>
              <w:rPr>
                <w:rFonts w:hint="eastAsia"/>
              </w:rPr>
              <w:t>远程管理通道安全</w:t>
            </w:r>
          </w:p>
        </w:tc>
      </w:tr>
      <w:tr w14:paraId="4DED3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7CE30D2D">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71026BFA">
            <w:pPr>
              <w:widowControl w:val="0"/>
              <w:ind w:firstLine="560"/>
              <w:rPr>
                <w:rFonts w:hint="eastAsia"/>
              </w:rPr>
            </w:pPr>
            <w:r>
              <w:rPr>
                <w:rFonts w:hint="eastAsia"/>
              </w:rPr>
              <w:t>系统资源访问控制信息完整性</w:t>
            </w:r>
          </w:p>
        </w:tc>
      </w:tr>
      <w:tr w14:paraId="3602D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20644F02">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35E57547">
            <w:pPr>
              <w:widowControl w:val="0"/>
              <w:ind w:firstLine="560"/>
              <w:rPr>
                <w:rFonts w:hint="eastAsia"/>
              </w:rPr>
            </w:pPr>
            <w:r>
              <w:rPr>
                <w:rFonts w:hint="eastAsia"/>
              </w:rPr>
              <w:t>重要信息资源安全标记完整性</w:t>
            </w:r>
          </w:p>
        </w:tc>
      </w:tr>
      <w:tr w14:paraId="56429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4BF248F4">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40930C7A">
            <w:pPr>
              <w:widowControl w:val="0"/>
              <w:ind w:firstLine="560"/>
              <w:rPr>
                <w:rFonts w:hint="eastAsia"/>
              </w:rPr>
            </w:pPr>
            <w:r>
              <w:rPr>
                <w:rFonts w:hint="eastAsia"/>
              </w:rPr>
              <w:t>日志记录完整性</w:t>
            </w:r>
          </w:p>
        </w:tc>
      </w:tr>
      <w:tr w14:paraId="33B16B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13F02E22">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34E63A6D">
            <w:pPr>
              <w:widowControl w:val="0"/>
              <w:ind w:firstLine="560"/>
              <w:rPr>
                <w:rFonts w:hint="eastAsia"/>
              </w:rPr>
            </w:pPr>
            <w:r>
              <w:rPr>
                <w:rFonts w:hint="eastAsia"/>
              </w:rPr>
              <w:t>重要可执行程序完整性、重要可执行程序来源真实性</w:t>
            </w:r>
          </w:p>
        </w:tc>
      </w:tr>
    </w:tbl>
    <w:p w14:paraId="1A7B6B86">
      <w:pPr>
        <w:widowControl w:val="0"/>
        <w:ind w:firstLine="560"/>
        <w:rPr>
          <w:rFonts w:hint="eastAsia"/>
        </w:rPr>
      </w:pPr>
      <w:r>
        <w:rPr>
          <w:rFonts w:hint="eastAsia"/>
        </w:rPr>
        <w:t>（4）应用和数据安全</w:t>
      </w:r>
    </w:p>
    <w:tbl>
      <w:tblPr>
        <w:tblStyle w:val="25"/>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7"/>
        <w:gridCol w:w="5776"/>
      </w:tblGrid>
      <w:tr w14:paraId="799FAC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shd w:val="clear" w:color="auto" w:fill="auto"/>
            <w:tcMar>
              <w:top w:w="11" w:type="dxa"/>
              <w:left w:w="11" w:type="dxa"/>
              <w:bottom w:w="11" w:type="dxa"/>
              <w:right w:w="11" w:type="dxa"/>
            </w:tcMar>
            <w:vAlign w:val="center"/>
          </w:tcPr>
          <w:p w14:paraId="121FB5E6">
            <w:pPr>
              <w:widowControl w:val="0"/>
              <w:ind w:firstLine="560"/>
              <w:rPr>
                <w:rFonts w:hint="eastAsia"/>
              </w:rPr>
            </w:pPr>
            <w:r>
              <w:rPr>
                <w:rFonts w:hint="eastAsia"/>
              </w:rPr>
              <w:t>测评类别</w:t>
            </w:r>
          </w:p>
        </w:tc>
        <w:tc>
          <w:tcPr>
            <w:tcW w:w="3466" w:type="pct"/>
            <w:shd w:val="clear" w:color="auto" w:fill="auto"/>
            <w:vAlign w:val="center"/>
          </w:tcPr>
          <w:p w14:paraId="68B25F7C">
            <w:pPr>
              <w:widowControl w:val="0"/>
              <w:ind w:firstLine="560"/>
              <w:rPr>
                <w:rFonts w:hint="eastAsia"/>
              </w:rPr>
            </w:pPr>
            <w:r>
              <w:rPr>
                <w:rFonts w:hint="eastAsia"/>
              </w:rPr>
              <w:t>测评单元</w:t>
            </w:r>
          </w:p>
        </w:tc>
      </w:tr>
      <w:tr w14:paraId="4F4BAA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shd w:val="clear" w:color="auto" w:fill="auto"/>
            <w:tcMar>
              <w:top w:w="11" w:type="dxa"/>
              <w:left w:w="11" w:type="dxa"/>
              <w:bottom w:w="11" w:type="dxa"/>
              <w:right w:w="11" w:type="dxa"/>
            </w:tcMar>
            <w:vAlign w:val="center"/>
          </w:tcPr>
          <w:p w14:paraId="4A5902FD">
            <w:pPr>
              <w:widowControl w:val="0"/>
              <w:ind w:firstLine="0" w:firstLineChars="0"/>
              <w:jc w:val="center"/>
              <w:rPr>
                <w:rFonts w:hint="eastAsia"/>
              </w:rPr>
            </w:pPr>
            <w:r>
              <w:rPr>
                <w:rFonts w:hint="eastAsia"/>
              </w:rPr>
              <w:t>安全技术测评-应用和数据安全</w:t>
            </w:r>
          </w:p>
        </w:tc>
        <w:tc>
          <w:tcPr>
            <w:tcW w:w="3466" w:type="pct"/>
            <w:shd w:val="clear" w:color="auto" w:fill="auto"/>
            <w:tcMar>
              <w:top w:w="11" w:type="dxa"/>
              <w:left w:w="11" w:type="dxa"/>
              <w:bottom w:w="11" w:type="dxa"/>
              <w:right w:w="11" w:type="dxa"/>
            </w:tcMar>
            <w:vAlign w:val="center"/>
          </w:tcPr>
          <w:p w14:paraId="62A2A328">
            <w:pPr>
              <w:widowControl w:val="0"/>
              <w:ind w:firstLine="560"/>
              <w:rPr>
                <w:rFonts w:hint="eastAsia"/>
              </w:rPr>
            </w:pPr>
            <w:r>
              <w:rPr>
                <w:rFonts w:hint="eastAsia"/>
              </w:rPr>
              <w:t>身份鉴别</w:t>
            </w:r>
          </w:p>
        </w:tc>
      </w:tr>
      <w:tr w14:paraId="06A2EA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1A4992AF">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7A042238">
            <w:pPr>
              <w:widowControl w:val="0"/>
              <w:ind w:firstLine="560"/>
              <w:rPr>
                <w:rFonts w:hint="eastAsia"/>
              </w:rPr>
            </w:pPr>
            <w:r>
              <w:rPr>
                <w:rFonts w:hint="eastAsia"/>
              </w:rPr>
              <w:t>访问控制信息完整性</w:t>
            </w:r>
          </w:p>
        </w:tc>
      </w:tr>
      <w:tr w14:paraId="3B534D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1A212872">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127AAE04">
            <w:pPr>
              <w:widowControl w:val="0"/>
              <w:ind w:firstLine="560"/>
              <w:rPr>
                <w:rFonts w:hint="eastAsia"/>
              </w:rPr>
            </w:pPr>
            <w:r>
              <w:rPr>
                <w:rFonts w:hint="eastAsia"/>
              </w:rPr>
              <w:t>重要信息资源安全标记完整性</w:t>
            </w:r>
          </w:p>
        </w:tc>
      </w:tr>
      <w:tr w14:paraId="4C2EF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744C1C16">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33C9F04B">
            <w:pPr>
              <w:widowControl w:val="0"/>
              <w:ind w:firstLine="560"/>
              <w:rPr>
                <w:rFonts w:hint="eastAsia"/>
              </w:rPr>
            </w:pPr>
            <w:r>
              <w:rPr>
                <w:rFonts w:hint="eastAsia"/>
              </w:rPr>
              <w:t>重要数据存储机密性</w:t>
            </w:r>
          </w:p>
        </w:tc>
      </w:tr>
      <w:tr w14:paraId="2E2D9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257160EC">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7CDBA640">
            <w:pPr>
              <w:widowControl w:val="0"/>
              <w:ind w:firstLine="560"/>
              <w:rPr>
                <w:rFonts w:hint="eastAsia"/>
              </w:rPr>
            </w:pPr>
            <w:r>
              <w:rPr>
                <w:rFonts w:hint="eastAsia"/>
              </w:rPr>
              <w:t>重要数据传输机密性</w:t>
            </w:r>
          </w:p>
        </w:tc>
      </w:tr>
      <w:tr w14:paraId="74289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5AEDF131">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78B2261C">
            <w:pPr>
              <w:widowControl w:val="0"/>
              <w:ind w:firstLine="560"/>
              <w:rPr>
                <w:rFonts w:hint="eastAsia"/>
              </w:rPr>
            </w:pPr>
            <w:r>
              <w:rPr>
                <w:rFonts w:hint="eastAsia"/>
              </w:rPr>
              <w:t>重要数据传输完整性</w:t>
            </w:r>
          </w:p>
        </w:tc>
      </w:tr>
      <w:tr w14:paraId="1E774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322E2ED4">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39584124">
            <w:pPr>
              <w:widowControl w:val="0"/>
              <w:ind w:firstLine="560"/>
              <w:rPr>
                <w:rFonts w:hint="eastAsia"/>
              </w:rPr>
            </w:pPr>
            <w:r>
              <w:rPr>
                <w:rFonts w:hint="eastAsia"/>
              </w:rPr>
              <w:t>重要数据存储完整性</w:t>
            </w:r>
          </w:p>
        </w:tc>
      </w:tr>
      <w:tr w14:paraId="74322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7094E0CF">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40144930">
            <w:pPr>
              <w:widowControl w:val="0"/>
              <w:ind w:firstLine="560"/>
              <w:rPr>
                <w:rFonts w:hint="eastAsia"/>
              </w:rPr>
            </w:pPr>
            <w:r>
              <w:rPr>
                <w:rFonts w:hint="eastAsia"/>
              </w:rPr>
              <w:t>不可否认性</w:t>
            </w:r>
          </w:p>
        </w:tc>
      </w:tr>
    </w:tbl>
    <w:p w14:paraId="2B5B7CCB">
      <w:pPr>
        <w:widowControl w:val="0"/>
        <w:ind w:firstLine="560"/>
        <w:rPr>
          <w:rFonts w:hint="eastAsia"/>
        </w:rPr>
      </w:pPr>
      <w:r>
        <w:rPr>
          <w:rFonts w:hint="eastAsia"/>
        </w:rPr>
        <w:t>2、安全管理测评：包括安全管理（分为制度、人员、建设和应急四个子模块）的安全测评。</w:t>
      </w:r>
    </w:p>
    <w:p w14:paraId="4F649222">
      <w:pPr>
        <w:widowControl w:val="0"/>
        <w:ind w:firstLine="560"/>
        <w:rPr>
          <w:rFonts w:hint="eastAsia"/>
        </w:rPr>
      </w:pPr>
      <w:r>
        <w:rPr>
          <w:rFonts w:hint="eastAsia"/>
        </w:rPr>
        <w:t>（1）管理制度</w:t>
      </w:r>
    </w:p>
    <w:tbl>
      <w:tblPr>
        <w:tblStyle w:val="25"/>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7"/>
        <w:gridCol w:w="5776"/>
      </w:tblGrid>
      <w:tr w14:paraId="1E2B4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shd w:val="clear" w:color="auto" w:fill="auto"/>
            <w:tcMar>
              <w:top w:w="11" w:type="dxa"/>
              <w:left w:w="11" w:type="dxa"/>
              <w:bottom w:w="11" w:type="dxa"/>
              <w:right w:w="11" w:type="dxa"/>
            </w:tcMar>
            <w:vAlign w:val="center"/>
          </w:tcPr>
          <w:p w14:paraId="7368F9A0">
            <w:pPr>
              <w:widowControl w:val="0"/>
              <w:ind w:firstLine="560"/>
              <w:rPr>
                <w:rFonts w:hint="eastAsia"/>
              </w:rPr>
            </w:pPr>
            <w:r>
              <w:rPr>
                <w:rFonts w:hint="eastAsia"/>
              </w:rPr>
              <w:t>测评类别</w:t>
            </w:r>
          </w:p>
        </w:tc>
        <w:tc>
          <w:tcPr>
            <w:tcW w:w="3466" w:type="pct"/>
            <w:shd w:val="clear" w:color="auto" w:fill="auto"/>
            <w:vAlign w:val="center"/>
          </w:tcPr>
          <w:p w14:paraId="5C1F24EE">
            <w:pPr>
              <w:widowControl w:val="0"/>
              <w:ind w:firstLine="560"/>
              <w:rPr>
                <w:rFonts w:hint="eastAsia"/>
              </w:rPr>
            </w:pPr>
            <w:r>
              <w:rPr>
                <w:rFonts w:hint="eastAsia"/>
              </w:rPr>
              <w:t>测评单元</w:t>
            </w:r>
          </w:p>
        </w:tc>
      </w:tr>
      <w:tr w14:paraId="3980C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shd w:val="clear" w:color="auto" w:fill="auto"/>
            <w:tcMar>
              <w:top w:w="11" w:type="dxa"/>
              <w:left w:w="11" w:type="dxa"/>
              <w:bottom w:w="11" w:type="dxa"/>
              <w:right w:w="11" w:type="dxa"/>
            </w:tcMar>
            <w:vAlign w:val="center"/>
          </w:tcPr>
          <w:p w14:paraId="20A45EDD">
            <w:pPr>
              <w:widowControl w:val="0"/>
              <w:ind w:firstLine="0" w:firstLineChars="0"/>
              <w:jc w:val="center"/>
              <w:rPr>
                <w:rFonts w:hint="eastAsia"/>
              </w:rPr>
            </w:pPr>
            <w:r>
              <w:rPr>
                <w:rFonts w:hint="eastAsia"/>
              </w:rPr>
              <w:t>安全管理测评-管理制度</w:t>
            </w:r>
          </w:p>
        </w:tc>
        <w:tc>
          <w:tcPr>
            <w:tcW w:w="3466" w:type="pct"/>
            <w:shd w:val="clear" w:color="auto" w:fill="auto"/>
            <w:tcMar>
              <w:top w:w="11" w:type="dxa"/>
              <w:left w:w="11" w:type="dxa"/>
              <w:bottom w:w="11" w:type="dxa"/>
              <w:right w:w="11" w:type="dxa"/>
            </w:tcMar>
            <w:vAlign w:val="center"/>
          </w:tcPr>
          <w:p w14:paraId="771F12A8">
            <w:pPr>
              <w:widowControl w:val="0"/>
              <w:ind w:firstLine="560"/>
              <w:rPr>
                <w:rFonts w:hint="eastAsia"/>
              </w:rPr>
            </w:pPr>
            <w:r>
              <w:rPr>
                <w:rFonts w:hint="eastAsia"/>
              </w:rPr>
              <w:t>具备密码应用安全管理制度</w:t>
            </w:r>
          </w:p>
        </w:tc>
      </w:tr>
      <w:tr w14:paraId="094C4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32860FD1">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4FA301D1">
            <w:pPr>
              <w:widowControl w:val="0"/>
              <w:ind w:firstLine="560"/>
              <w:rPr>
                <w:rFonts w:hint="eastAsia"/>
              </w:rPr>
            </w:pPr>
            <w:r>
              <w:rPr>
                <w:rFonts w:hint="eastAsia"/>
              </w:rPr>
              <w:t>密钥管理规则</w:t>
            </w:r>
          </w:p>
        </w:tc>
      </w:tr>
      <w:tr w14:paraId="42837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28D2C4D1">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30E7E0FC">
            <w:pPr>
              <w:widowControl w:val="0"/>
              <w:ind w:firstLine="560"/>
              <w:rPr>
                <w:rFonts w:hint="eastAsia"/>
              </w:rPr>
            </w:pPr>
            <w:r>
              <w:rPr>
                <w:rFonts w:hint="eastAsia"/>
              </w:rPr>
              <w:t>建立操作规程</w:t>
            </w:r>
          </w:p>
        </w:tc>
      </w:tr>
      <w:tr w14:paraId="7564B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7C3C7BE8">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471D14AA">
            <w:pPr>
              <w:widowControl w:val="0"/>
              <w:ind w:firstLine="560"/>
              <w:rPr>
                <w:rFonts w:hint="eastAsia"/>
              </w:rPr>
            </w:pPr>
            <w:r>
              <w:rPr>
                <w:rFonts w:hint="eastAsia"/>
              </w:rPr>
              <w:t>定期修订安全管理制度</w:t>
            </w:r>
          </w:p>
        </w:tc>
      </w:tr>
      <w:tr w14:paraId="47A3B4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6810DB0E">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18D29094">
            <w:pPr>
              <w:widowControl w:val="0"/>
              <w:ind w:firstLine="560"/>
              <w:rPr>
                <w:rFonts w:hint="eastAsia"/>
              </w:rPr>
            </w:pPr>
            <w:r>
              <w:rPr>
                <w:rFonts w:hint="eastAsia"/>
              </w:rPr>
              <w:t>明确管理制度发布流程</w:t>
            </w:r>
          </w:p>
        </w:tc>
      </w:tr>
      <w:tr w14:paraId="206A2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0BED28AA">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267DE069">
            <w:pPr>
              <w:widowControl w:val="0"/>
              <w:ind w:firstLine="560"/>
              <w:rPr>
                <w:rFonts w:hint="eastAsia"/>
              </w:rPr>
            </w:pPr>
            <w:r>
              <w:rPr>
                <w:rFonts w:hint="eastAsia"/>
              </w:rPr>
              <w:t>制度执行过程记录留存</w:t>
            </w:r>
          </w:p>
        </w:tc>
      </w:tr>
    </w:tbl>
    <w:p w14:paraId="5316A76E">
      <w:pPr>
        <w:widowControl w:val="0"/>
        <w:ind w:firstLine="560"/>
        <w:rPr>
          <w:rFonts w:hint="eastAsia"/>
        </w:rPr>
      </w:pPr>
      <w:r>
        <w:rPr>
          <w:rFonts w:hint="eastAsia"/>
        </w:rPr>
        <w:t>（2）人员管理</w:t>
      </w:r>
    </w:p>
    <w:tbl>
      <w:tblPr>
        <w:tblStyle w:val="25"/>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7"/>
        <w:gridCol w:w="5776"/>
      </w:tblGrid>
      <w:tr w14:paraId="29271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shd w:val="clear" w:color="auto" w:fill="auto"/>
            <w:tcMar>
              <w:top w:w="11" w:type="dxa"/>
              <w:left w:w="11" w:type="dxa"/>
              <w:bottom w:w="11" w:type="dxa"/>
              <w:right w:w="11" w:type="dxa"/>
            </w:tcMar>
            <w:vAlign w:val="center"/>
          </w:tcPr>
          <w:p w14:paraId="70DEB663">
            <w:pPr>
              <w:widowControl w:val="0"/>
              <w:ind w:firstLine="560"/>
              <w:rPr>
                <w:rFonts w:hint="eastAsia"/>
              </w:rPr>
            </w:pPr>
            <w:r>
              <w:rPr>
                <w:rFonts w:hint="eastAsia"/>
              </w:rPr>
              <w:t>测评类别</w:t>
            </w:r>
          </w:p>
        </w:tc>
        <w:tc>
          <w:tcPr>
            <w:tcW w:w="3466" w:type="pct"/>
            <w:shd w:val="clear" w:color="auto" w:fill="auto"/>
            <w:vAlign w:val="center"/>
          </w:tcPr>
          <w:p w14:paraId="48D19A93">
            <w:pPr>
              <w:widowControl w:val="0"/>
              <w:ind w:firstLine="560"/>
              <w:rPr>
                <w:rFonts w:hint="eastAsia"/>
              </w:rPr>
            </w:pPr>
            <w:r>
              <w:rPr>
                <w:rFonts w:hint="eastAsia"/>
              </w:rPr>
              <w:t>测评单元</w:t>
            </w:r>
          </w:p>
        </w:tc>
      </w:tr>
      <w:tr w14:paraId="65FF1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shd w:val="clear" w:color="auto" w:fill="auto"/>
            <w:tcMar>
              <w:top w:w="11" w:type="dxa"/>
              <w:left w:w="11" w:type="dxa"/>
              <w:bottom w:w="11" w:type="dxa"/>
              <w:right w:w="11" w:type="dxa"/>
            </w:tcMar>
            <w:vAlign w:val="center"/>
          </w:tcPr>
          <w:p w14:paraId="1EBA57E5">
            <w:pPr>
              <w:widowControl w:val="0"/>
              <w:ind w:firstLine="0" w:firstLineChars="0"/>
              <w:jc w:val="center"/>
              <w:rPr>
                <w:rFonts w:hint="eastAsia"/>
              </w:rPr>
            </w:pPr>
            <w:r>
              <w:rPr>
                <w:rFonts w:hint="eastAsia"/>
              </w:rPr>
              <w:t>安全管理测评-人员管理度</w:t>
            </w:r>
          </w:p>
        </w:tc>
        <w:tc>
          <w:tcPr>
            <w:tcW w:w="3466" w:type="pct"/>
            <w:shd w:val="clear" w:color="auto" w:fill="auto"/>
            <w:tcMar>
              <w:top w:w="11" w:type="dxa"/>
              <w:left w:w="11" w:type="dxa"/>
              <w:bottom w:w="11" w:type="dxa"/>
              <w:right w:w="11" w:type="dxa"/>
            </w:tcMar>
            <w:vAlign w:val="center"/>
          </w:tcPr>
          <w:p w14:paraId="08D2183F">
            <w:pPr>
              <w:widowControl w:val="0"/>
              <w:ind w:firstLine="560"/>
              <w:rPr>
                <w:rFonts w:hint="eastAsia"/>
              </w:rPr>
            </w:pPr>
            <w:r>
              <w:rPr>
                <w:rFonts w:hint="eastAsia"/>
              </w:rPr>
              <w:t>了解并遵守密码相关法律法规和密码管理制度</w:t>
            </w:r>
          </w:p>
        </w:tc>
      </w:tr>
      <w:tr w14:paraId="6F05D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108CFB90">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6600CFD9">
            <w:pPr>
              <w:widowControl w:val="0"/>
              <w:ind w:firstLine="560"/>
              <w:rPr>
                <w:rFonts w:hint="eastAsia"/>
              </w:rPr>
            </w:pPr>
            <w:r>
              <w:rPr>
                <w:rFonts w:hint="eastAsia"/>
              </w:rPr>
              <w:t>建立密码应用岗位责任制度</w:t>
            </w:r>
          </w:p>
        </w:tc>
      </w:tr>
      <w:tr w14:paraId="60674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2FFBB0D0">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4B2C7B5D">
            <w:pPr>
              <w:widowControl w:val="0"/>
              <w:ind w:firstLine="560"/>
              <w:rPr>
                <w:rFonts w:hint="eastAsia"/>
              </w:rPr>
            </w:pPr>
            <w:r>
              <w:rPr>
                <w:rFonts w:hint="eastAsia"/>
              </w:rPr>
              <w:t>建立上岗人员培训制度</w:t>
            </w:r>
          </w:p>
        </w:tc>
      </w:tr>
      <w:tr w14:paraId="4A6E3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40968A6D">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3C847643">
            <w:pPr>
              <w:widowControl w:val="0"/>
              <w:ind w:firstLine="560"/>
              <w:rPr>
                <w:rFonts w:hint="eastAsia"/>
              </w:rPr>
            </w:pPr>
            <w:r>
              <w:rPr>
                <w:rFonts w:hint="eastAsia"/>
              </w:rPr>
              <w:t>定期进行安全岗位人员考核</w:t>
            </w:r>
          </w:p>
        </w:tc>
      </w:tr>
      <w:tr w14:paraId="10FF7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3C150E86">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323269E1">
            <w:pPr>
              <w:widowControl w:val="0"/>
              <w:ind w:firstLine="560"/>
              <w:rPr>
                <w:rFonts w:hint="eastAsia"/>
              </w:rPr>
            </w:pPr>
            <w:r>
              <w:rPr>
                <w:rFonts w:hint="eastAsia"/>
              </w:rPr>
              <w:t>建立关键岗位人员保密制度和调离制度</w:t>
            </w:r>
          </w:p>
        </w:tc>
      </w:tr>
    </w:tbl>
    <w:p w14:paraId="699551C1">
      <w:pPr>
        <w:widowControl w:val="0"/>
        <w:ind w:firstLine="560"/>
        <w:rPr>
          <w:rFonts w:hint="eastAsia"/>
        </w:rPr>
      </w:pPr>
      <w:r>
        <w:rPr>
          <w:rFonts w:hint="eastAsia"/>
        </w:rPr>
        <w:t>（3）建设运行</w:t>
      </w:r>
    </w:p>
    <w:tbl>
      <w:tblPr>
        <w:tblStyle w:val="25"/>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7"/>
        <w:gridCol w:w="5776"/>
      </w:tblGrid>
      <w:tr w14:paraId="101D6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shd w:val="clear" w:color="auto" w:fill="auto"/>
            <w:tcMar>
              <w:top w:w="11" w:type="dxa"/>
              <w:left w:w="11" w:type="dxa"/>
              <w:bottom w:w="11" w:type="dxa"/>
              <w:right w:w="11" w:type="dxa"/>
            </w:tcMar>
            <w:vAlign w:val="center"/>
          </w:tcPr>
          <w:p w14:paraId="550AA199">
            <w:pPr>
              <w:widowControl w:val="0"/>
              <w:ind w:firstLine="560"/>
              <w:rPr>
                <w:rFonts w:hint="eastAsia"/>
              </w:rPr>
            </w:pPr>
            <w:r>
              <w:rPr>
                <w:rFonts w:hint="eastAsia"/>
              </w:rPr>
              <w:t>测评类别</w:t>
            </w:r>
          </w:p>
        </w:tc>
        <w:tc>
          <w:tcPr>
            <w:tcW w:w="3466" w:type="pct"/>
            <w:shd w:val="clear" w:color="auto" w:fill="auto"/>
            <w:vAlign w:val="center"/>
          </w:tcPr>
          <w:p w14:paraId="421D412A">
            <w:pPr>
              <w:widowControl w:val="0"/>
              <w:ind w:firstLine="560"/>
              <w:rPr>
                <w:rFonts w:hint="eastAsia"/>
              </w:rPr>
            </w:pPr>
            <w:r>
              <w:rPr>
                <w:rFonts w:hint="eastAsia"/>
              </w:rPr>
              <w:t>测评单元</w:t>
            </w:r>
          </w:p>
        </w:tc>
      </w:tr>
      <w:tr w14:paraId="535B9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shd w:val="clear" w:color="auto" w:fill="auto"/>
            <w:tcMar>
              <w:top w:w="11" w:type="dxa"/>
              <w:left w:w="11" w:type="dxa"/>
              <w:bottom w:w="11" w:type="dxa"/>
              <w:right w:w="11" w:type="dxa"/>
            </w:tcMar>
            <w:vAlign w:val="center"/>
          </w:tcPr>
          <w:p w14:paraId="54FEED35">
            <w:pPr>
              <w:widowControl w:val="0"/>
              <w:ind w:firstLine="0" w:firstLineChars="0"/>
              <w:jc w:val="center"/>
              <w:rPr>
                <w:rFonts w:hint="eastAsia"/>
              </w:rPr>
            </w:pPr>
            <w:r>
              <w:rPr>
                <w:rFonts w:hint="eastAsia"/>
              </w:rPr>
              <w:t>安全管理测评-建设运行</w:t>
            </w:r>
          </w:p>
        </w:tc>
        <w:tc>
          <w:tcPr>
            <w:tcW w:w="3466" w:type="pct"/>
            <w:shd w:val="clear" w:color="auto" w:fill="auto"/>
            <w:tcMar>
              <w:top w:w="11" w:type="dxa"/>
              <w:left w:w="11" w:type="dxa"/>
              <w:bottom w:w="11" w:type="dxa"/>
              <w:right w:w="11" w:type="dxa"/>
            </w:tcMar>
            <w:vAlign w:val="center"/>
          </w:tcPr>
          <w:p w14:paraId="55BB63A9">
            <w:pPr>
              <w:widowControl w:val="0"/>
              <w:ind w:firstLine="560"/>
              <w:rPr>
                <w:rFonts w:hint="eastAsia"/>
              </w:rPr>
            </w:pPr>
            <w:r>
              <w:rPr>
                <w:rFonts w:hint="eastAsia"/>
              </w:rPr>
              <w:t>制定密码应用方案</w:t>
            </w:r>
          </w:p>
        </w:tc>
      </w:tr>
      <w:tr w14:paraId="2BD9F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5A529828">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223B1419">
            <w:pPr>
              <w:widowControl w:val="0"/>
              <w:ind w:firstLine="560"/>
              <w:rPr>
                <w:rFonts w:hint="eastAsia"/>
              </w:rPr>
            </w:pPr>
            <w:r>
              <w:rPr>
                <w:rFonts w:hint="eastAsia"/>
              </w:rPr>
              <w:t>制定密钥安全管理策略</w:t>
            </w:r>
          </w:p>
        </w:tc>
      </w:tr>
      <w:tr w14:paraId="21F8E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248A340D">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06772BE9">
            <w:pPr>
              <w:widowControl w:val="0"/>
              <w:ind w:firstLine="560"/>
              <w:rPr>
                <w:rFonts w:hint="eastAsia"/>
              </w:rPr>
            </w:pPr>
            <w:r>
              <w:rPr>
                <w:rFonts w:hint="eastAsia"/>
              </w:rPr>
              <w:t>制定实施方案</w:t>
            </w:r>
          </w:p>
        </w:tc>
      </w:tr>
      <w:tr w14:paraId="40A82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1739B035">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3DC00DC6">
            <w:pPr>
              <w:widowControl w:val="0"/>
              <w:ind w:firstLine="560"/>
              <w:rPr>
                <w:rFonts w:hint="eastAsia"/>
              </w:rPr>
            </w:pPr>
            <w:r>
              <w:rPr>
                <w:rFonts w:hint="eastAsia"/>
              </w:rPr>
              <w:t>投入运行前进行密码应用安全性评估</w:t>
            </w:r>
          </w:p>
        </w:tc>
      </w:tr>
      <w:tr w14:paraId="73A3D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2085076E">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0CB623AD">
            <w:pPr>
              <w:widowControl w:val="0"/>
              <w:ind w:firstLine="560"/>
              <w:rPr>
                <w:rFonts w:hint="eastAsia"/>
              </w:rPr>
            </w:pPr>
            <w:r>
              <w:rPr>
                <w:rFonts w:hint="eastAsia"/>
              </w:rPr>
              <w:t>定期开展密码应用安全性评估及攻防对抗演习</w:t>
            </w:r>
          </w:p>
        </w:tc>
      </w:tr>
    </w:tbl>
    <w:p w14:paraId="5404E350">
      <w:pPr>
        <w:widowControl w:val="0"/>
        <w:ind w:firstLine="560"/>
        <w:rPr>
          <w:rFonts w:hint="eastAsia"/>
        </w:rPr>
      </w:pPr>
      <w:r>
        <w:rPr>
          <w:rFonts w:hint="eastAsia"/>
        </w:rPr>
        <w:t>（4）应急处置</w:t>
      </w:r>
    </w:p>
    <w:tbl>
      <w:tblPr>
        <w:tblStyle w:val="25"/>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557"/>
        <w:gridCol w:w="5776"/>
      </w:tblGrid>
      <w:tr w14:paraId="72A4F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534" w:type="pct"/>
            <w:shd w:val="clear" w:color="auto" w:fill="auto"/>
            <w:tcMar>
              <w:top w:w="11" w:type="dxa"/>
              <w:left w:w="11" w:type="dxa"/>
              <w:bottom w:w="11" w:type="dxa"/>
              <w:right w:w="11" w:type="dxa"/>
            </w:tcMar>
            <w:vAlign w:val="center"/>
          </w:tcPr>
          <w:p w14:paraId="6738DF39">
            <w:pPr>
              <w:widowControl w:val="0"/>
              <w:ind w:firstLine="560"/>
              <w:rPr>
                <w:rFonts w:hint="eastAsia"/>
              </w:rPr>
            </w:pPr>
            <w:r>
              <w:rPr>
                <w:rFonts w:hint="eastAsia"/>
              </w:rPr>
              <w:t>测评类别</w:t>
            </w:r>
          </w:p>
        </w:tc>
        <w:tc>
          <w:tcPr>
            <w:tcW w:w="3466" w:type="pct"/>
            <w:shd w:val="clear" w:color="auto" w:fill="auto"/>
            <w:vAlign w:val="center"/>
          </w:tcPr>
          <w:p w14:paraId="23C95CEA">
            <w:pPr>
              <w:widowControl w:val="0"/>
              <w:ind w:firstLine="560"/>
              <w:rPr>
                <w:rFonts w:hint="eastAsia"/>
              </w:rPr>
            </w:pPr>
            <w:r>
              <w:rPr>
                <w:rFonts w:hint="eastAsia"/>
              </w:rPr>
              <w:t>测评单元</w:t>
            </w:r>
          </w:p>
        </w:tc>
      </w:tr>
      <w:tr w14:paraId="3EADF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restart"/>
            <w:shd w:val="clear" w:color="auto" w:fill="auto"/>
            <w:tcMar>
              <w:top w:w="11" w:type="dxa"/>
              <w:left w:w="11" w:type="dxa"/>
              <w:bottom w:w="11" w:type="dxa"/>
              <w:right w:w="11" w:type="dxa"/>
            </w:tcMar>
            <w:vAlign w:val="center"/>
          </w:tcPr>
          <w:p w14:paraId="093E065D">
            <w:pPr>
              <w:widowControl w:val="0"/>
              <w:ind w:firstLine="0" w:firstLineChars="0"/>
              <w:jc w:val="center"/>
              <w:rPr>
                <w:rFonts w:hint="eastAsia"/>
              </w:rPr>
            </w:pPr>
            <w:r>
              <w:rPr>
                <w:rFonts w:hint="eastAsia"/>
              </w:rPr>
              <w:t>安全管理测评-应急处置</w:t>
            </w:r>
          </w:p>
        </w:tc>
        <w:tc>
          <w:tcPr>
            <w:tcW w:w="3466" w:type="pct"/>
            <w:shd w:val="clear" w:color="auto" w:fill="auto"/>
            <w:tcMar>
              <w:top w:w="11" w:type="dxa"/>
              <w:left w:w="11" w:type="dxa"/>
              <w:bottom w:w="11" w:type="dxa"/>
              <w:right w:w="11" w:type="dxa"/>
            </w:tcMar>
            <w:vAlign w:val="center"/>
          </w:tcPr>
          <w:p w14:paraId="03D2CB42">
            <w:pPr>
              <w:widowControl w:val="0"/>
              <w:ind w:firstLine="560"/>
              <w:rPr>
                <w:rFonts w:hint="eastAsia"/>
              </w:rPr>
            </w:pPr>
            <w:r>
              <w:rPr>
                <w:rFonts w:hint="eastAsia"/>
              </w:rPr>
              <w:t>应急策略</w:t>
            </w:r>
          </w:p>
        </w:tc>
      </w:tr>
      <w:tr w14:paraId="7853E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3E56D0AB">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7F999978">
            <w:pPr>
              <w:widowControl w:val="0"/>
              <w:ind w:firstLine="560"/>
              <w:rPr>
                <w:rFonts w:hint="eastAsia"/>
              </w:rPr>
            </w:pPr>
            <w:r>
              <w:rPr>
                <w:rFonts w:hint="eastAsia"/>
              </w:rPr>
              <w:t>事件处置</w:t>
            </w:r>
          </w:p>
        </w:tc>
      </w:tr>
      <w:tr w14:paraId="1F437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534" w:type="pct"/>
            <w:vMerge w:val="continue"/>
            <w:vAlign w:val="center"/>
          </w:tcPr>
          <w:p w14:paraId="4A94AC1B">
            <w:pPr>
              <w:widowControl w:val="0"/>
              <w:ind w:firstLine="560"/>
              <w:rPr>
                <w:rFonts w:hint="eastAsia"/>
              </w:rPr>
            </w:pPr>
          </w:p>
        </w:tc>
        <w:tc>
          <w:tcPr>
            <w:tcW w:w="3466" w:type="pct"/>
            <w:shd w:val="clear" w:color="auto" w:fill="auto"/>
            <w:tcMar>
              <w:top w:w="11" w:type="dxa"/>
              <w:left w:w="11" w:type="dxa"/>
              <w:bottom w:w="11" w:type="dxa"/>
              <w:right w:w="11" w:type="dxa"/>
            </w:tcMar>
            <w:vAlign w:val="center"/>
          </w:tcPr>
          <w:p w14:paraId="18214991">
            <w:pPr>
              <w:widowControl w:val="0"/>
              <w:ind w:firstLine="560"/>
              <w:rPr>
                <w:rFonts w:hint="eastAsia"/>
              </w:rPr>
            </w:pPr>
            <w:r>
              <w:rPr>
                <w:rFonts w:hint="eastAsia"/>
              </w:rPr>
              <w:t>向有关主管部门上报处置情况</w:t>
            </w:r>
          </w:p>
        </w:tc>
      </w:tr>
    </w:tbl>
    <w:p w14:paraId="332618A9">
      <w:pPr>
        <w:pStyle w:val="3"/>
        <w:rPr>
          <w:rFonts w:hint="eastAsia"/>
        </w:rPr>
      </w:pPr>
      <w:r>
        <w:t>服务内容清单</w:t>
      </w:r>
    </w:p>
    <w:p w14:paraId="6F5F9909">
      <w:pPr>
        <w:widowControl w:val="0"/>
        <w:ind w:firstLine="560"/>
        <w:rPr>
          <w:rFonts w:hint="eastAsia"/>
        </w:rPr>
      </w:pPr>
      <w:r>
        <w:t>本项目为以下系统提供商用密码应用安全性评估服务，具体以实际服务范围为准：</w:t>
      </w:r>
    </w:p>
    <w:tbl>
      <w:tblPr>
        <w:tblStyle w:val="26"/>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173"/>
        <w:gridCol w:w="3388"/>
        <w:gridCol w:w="1972"/>
      </w:tblGrid>
      <w:tr w14:paraId="2634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57817F07">
            <w:pPr>
              <w:ind w:firstLine="0" w:firstLineChars="0"/>
              <w:jc w:val="center"/>
              <w:rPr>
                <w:rFonts w:hint="eastAsia"/>
                <w:b/>
                <w:color w:val="000000"/>
                <w:kern w:val="0"/>
                <w:sz w:val="24"/>
                <w:szCs w:val="24"/>
                <w:lang w:bidi="ar"/>
              </w:rPr>
            </w:pPr>
            <w:r>
              <w:rPr>
                <w:rFonts w:hint="eastAsia"/>
                <w:b/>
                <w:color w:val="000000"/>
                <w:kern w:val="0"/>
                <w:sz w:val="24"/>
                <w:szCs w:val="24"/>
                <w:lang w:bidi="ar"/>
              </w:rPr>
              <w:t>序号</w:t>
            </w:r>
          </w:p>
        </w:tc>
        <w:tc>
          <w:tcPr>
            <w:tcW w:w="1303" w:type="pct"/>
            <w:vAlign w:val="center"/>
          </w:tcPr>
          <w:p w14:paraId="01C221B5">
            <w:pPr>
              <w:ind w:firstLine="0" w:firstLineChars="0"/>
              <w:jc w:val="center"/>
              <w:rPr>
                <w:rFonts w:hint="eastAsia"/>
                <w:b/>
                <w:color w:val="000000"/>
                <w:kern w:val="0"/>
                <w:sz w:val="24"/>
                <w:szCs w:val="24"/>
                <w:lang w:bidi="ar"/>
              </w:rPr>
            </w:pPr>
            <w:r>
              <w:rPr>
                <w:rFonts w:hint="eastAsia"/>
                <w:b/>
                <w:color w:val="000000"/>
                <w:kern w:val="0"/>
                <w:sz w:val="24"/>
                <w:szCs w:val="24"/>
                <w:lang w:bidi="ar"/>
              </w:rPr>
              <w:t>服务团队</w:t>
            </w:r>
          </w:p>
        </w:tc>
        <w:tc>
          <w:tcPr>
            <w:tcW w:w="2031" w:type="pct"/>
            <w:vAlign w:val="center"/>
          </w:tcPr>
          <w:p w14:paraId="1AA6120D">
            <w:pPr>
              <w:ind w:firstLine="0" w:firstLineChars="0"/>
              <w:jc w:val="center"/>
              <w:rPr>
                <w:rFonts w:hint="eastAsia"/>
                <w:b/>
                <w:color w:val="000000"/>
                <w:kern w:val="0"/>
                <w:sz w:val="24"/>
                <w:szCs w:val="24"/>
                <w:lang w:bidi="ar"/>
              </w:rPr>
            </w:pPr>
            <w:r>
              <w:rPr>
                <w:rFonts w:hint="eastAsia"/>
                <w:b/>
                <w:color w:val="000000"/>
                <w:kern w:val="0"/>
                <w:sz w:val="24"/>
                <w:szCs w:val="24"/>
                <w:lang w:bidi="ar"/>
              </w:rPr>
              <w:t>系统名称</w:t>
            </w:r>
          </w:p>
        </w:tc>
        <w:tc>
          <w:tcPr>
            <w:tcW w:w="1182" w:type="pct"/>
            <w:vAlign w:val="center"/>
          </w:tcPr>
          <w:p w14:paraId="0076C6A2">
            <w:pPr>
              <w:ind w:firstLine="0" w:firstLineChars="0"/>
              <w:jc w:val="center"/>
              <w:rPr>
                <w:rFonts w:hint="eastAsia"/>
                <w:b/>
                <w:color w:val="000000"/>
                <w:kern w:val="0"/>
                <w:sz w:val="24"/>
                <w:szCs w:val="24"/>
                <w:lang w:bidi="ar"/>
              </w:rPr>
            </w:pPr>
            <w:r>
              <w:rPr>
                <w:rFonts w:hint="eastAsia"/>
                <w:b/>
                <w:color w:val="000000"/>
                <w:kern w:val="0"/>
                <w:sz w:val="24"/>
                <w:szCs w:val="24"/>
                <w:lang w:bidi="ar"/>
              </w:rPr>
              <w:t>级别</w:t>
            </w:r>
          </w:p>
        </w:tc>
      </w:tr>
      <w:tr w14:paraId="2CF2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482" w:type="pct"/>
            <w:vAlign w:val="center"/>
          </w:tcPr>
          <w:p w14:paraId="51CF98CF">
            <w:pPr>
              <w:pStyle w:val="33"/>
              <w:numPr>
                <w:ilvl w:val="0"/>
                <w:numId w:val="5"/>
              </w:numPr>
              <w:tabs>
                <w:tab w:val="left" w:pos="172"/>
              </w:tabs>
              <w:jc w:val="center"/>
              <w:rPr>
                <w:rFonts w:hint="eastAsia"/>
                <w:color w:val="000000"/>
                <w:kern w:val="0"/>
                <w:sz w:val="24"/>
                <w:szCs w:val="24"/>
                <w:lang w:bidi="ar"/>
              </w:rPr>
            </w:pPr>
          </w:p>
        </w:tc>
        <w:tc>
          <w:tcPr>
            <w:tcW w:w="1303" w:type="pct"/>
            <w:vMerge w:val="restart"/>
            <w:vAlign w:val="center"/>
          </w:tcPr>
          <w:p w14:paraId="0A83BC8C">
            <w:pPr>
              <w:ind w:firstLine="0" w:firstLineChars="0"/>
              <w:jc w:val="center"/>
              <w:rPr>
                <w:rFonts w:hint="eastAsia"/>
                <w:color w:val="000000"/>
                <w:kern w:val="0"/>
                <w:sz w:val="24"/>
                <w:szCs w:val="24"/>
                <w:lang w:bidi="ar"/>
              </w:rPr>
            </w:pPr>
            <w:r>
              <w:rPr>
                <w:rFonts w:hint="eastAsia"/>
                <w:color w:val="000000"/>
                <w:kern w:val="0"/>
                <w:sz w:val="24"/>
                <w:szCs w:val="24"/>
                <w:lang w:bidi="ar"/>
              </w:rPr>
              <w:t>发改委（含粮食物资储备局）和统计局团队</w:t>
            </w:r>
          </w:p>
        </w:tc>
        <w:tc>
          <w:tcPr>
            <w:tcW w:w="2031" w:type="pct"/>
            <w:vAlign w:val="center"/>
          </w:tcPr>
          <w:p w14:paraId="6AC1D864">
            <w:pPr>
              <w:ind w:firstLine="0" w:firstLineChars="0"/>
              <w:jc w:val="center"/>
              <w:rPr>
                <w:rFonts w:hint="eastAsia"/>
                <w:color w:val="000000"/>
                <w:kern w:val="0"/>
                <w:sz w:val="24"/>
                <w:szCs w:val="24"/>
                <w:lang w:bidi="ar"/>
              </w:rPr>
            </w:pPr>
            <w:r>
              <w:rPr>
                <w:rFonts w:hint="eastAsia"/>
                <w:color w:val="000000"/>
                <w:kern w:val="0"/>
                <w:sz w:val="24"/>
                <w:szCs w:val="24"/>
                <w:lang w:bidi="ar"/>
              </w:rPr>
              <w:t>上海市粮食和物资储备局业务管理平台</w:t>
            </w:r>
          </w:p>
        </w:tc>
        <w:tc>
          <w:tcPr>
            <w:tcW w:w="1182" w:type="pct"/>
            <w:vAlign w:val="center"/>
          </w:tcPr>
          <w:p w14:paraId="40E37CBA">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73B6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482" w:type="pct"/>
            <w:vAlign w:val="center"/>
          </w:tcPr>
          <w:p w14:paraId="4588FCA6">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19DE3AFD">
            <w:pPr>
              <w:ind w:firstLine="480"/>
              <w:jc w:val="center"/>
              <w:rPr>
                <w:rFonts w:hint="eastAsia"/>
                <w:color w:val="000000"/>
                <w:kern w:val="0"/>
                <w:sz w:val="24"/>
                <w:szCs w:val="24"/>
                <w:lang w:bidi="ar"/>
              </w:rPr>
            </w:pPr>
          </w:p>
        </w:tc>
        <w:tc>
          <w:tcPr>
            <w:tcW w:w="2031" w:type="pct"/>
            <w:vAlign w:val="center"/>
          </w:tcPr>
          <w:p w14:paraId="12DD4F19">
            <w:pPr>
              <w:ind w:firstLine="0" w:firstLineChars="0"/>
              <w:jc w:val="center"/>
              <w:rPr>
                <w:rFonts w:hint="eastAsia"/>
                <w:color w:val="000000"/>
                <w:kern w:val="0"/>
                <w:sz w:val="24"/>
                <w:szCs w:val="24"/>
                <w:lang w:bidi="ar"/>
              </w:rPr>
            </w:pPr>
            <w:r>
              <w:rPr>
                <w:rFonts w:hint="eastAsia"/>
                <w:color w:val="000000"/>
                <w:kern w:val="0"/>
                <w:sz w:val="24"/>
                <w:szCs w:val="24"/>
                <w:lang w:bidi="ar"/>
              </w:rPr>
              <w:t>上海市粮食和物资储备局智慧决策平台</w:t>
            </w:r>
          </w:p>
        </w:tc>
        <w:tc>
          <w:tcPr>
            <w:tcW w:w="1182" w:type="pct"/>
            <w:vAlign w:val="center"/>
          </w:tcPr>
          <w:p w14:paraId="725BFAA4">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65F5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41656290">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1AEAF30F">
            <w:pPr>
              <w:ind w:firstLine="480"/>
              <w:jc w:val="center"/>
              <w:rPr>
                <w:rFonts w:hint="eastAsia"/>
                <w:color w:val="000000"/>
                <w:kern w:val="0"/>
                <w:sz w:val="24"/>
                <w:szCs w:val="24"/>
                <w:lang w:bidi="ar"/>
              </w:rPr>
            </w:pPr>
          </w:p>
        </w:tc>
        <w:tc>
          <w:tcPr>
            <w:tcW w:w="2031" w:type="pct"/>
            <w:vAlign w:val="center"/>
          </w:tcPr>
          <w:p w14:paraId="238079AC">
            <w:pPr>
              <w:ind w:firstLine="0" w:firstLineChars="0"/>
              <w:jc w:val="center"/>
              <w:rPr>
                <w:rFonts w:hint="eastAsia"/>
                <w:color w:val="000000"/>
                <w:kern w:val="0"/>
                <w:sz w:val="24"/>
                <w:szCs w:val="24"/>
                <w:lang w:bidi="ar"/>
              </w:rPr>
            </w:pPr>
            <w:r>
              <w:rPr>
                <w:rFonts w:hint="eastAsia"/>
                <w:color w:val="000000"/>
                <w:kern w:val="0"/>
                <w:sz w:val="24"/>
                <w:szCs w:val="24"/>
                <w:lang w:bidi="ar"/>
              </w:rPr>
              <w:t>国家级普查、调查数据处理系统</w:t>
            </w:r>
          </w:p>
        </w:tc>
        <w:tc>
          <w:tcPr>
            <w:tcW w:w="1182" w:type="pct"/>
            <w:vAlign w:val="center"/>
          </w:tcPr>
          <w:p w14:paraId="7AC8D6E1">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2BFE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536A5D30">
            <w:pPr>
              <w:pStyle w:val="33"/>
              <w:numPr>
                <w:ilvl w:val="0"/>
                <w:numId w:val="5"/>
              </w:numPr>
              <w:tabs>
                <w:tab w:val="left" w:pos="172"/>
              </w:tabs>
              <w:jc w:val="center"/>
              <w:rPr>
                <w:rFonts w:hint="eastAsia"/>
                <w:color w:val="000000"/>
                <w:kern w:val="0"/>
                <w:sz w:val="24"/>
                <w:szCs w:val="24"/>
                <w:lang w:bidi="ar"/>
              </w:rPr>
            </w:pPr>
          </w:p>
        </w:tc>
        <w:tc>
          <w:tcPr>
            <w:tcW w:w="1303" w:type="pct"/>
            <w:vMerge w:val="restart"/>
            <w:vAlign w:val="center"/>
          </w:tcPr>
          <w:p w14:paraId="72BA9CFB">
            <w:pPr>
              <w:ind w:firstLine="0" w:firstLineChars="0"/>
              <w:jc w:val="center"/>
              <w:rPr>
                <w:rFonts w:hint="eastAsia"/>
                <w:color w:val="000000"/>
                <w:kern w:val="0"/>
                <w:sz w:val="24"/>
                <w:szCs w:val="24"/>
                <w:lang w:bidi="ar"/>
              </w:rPr>
            </w:pPr>
            <w:r>
              <w:rPr>
                <w:rFonts w:hint="eastAsia"/>
                <w:color w:val="000000"/>
                <w:kern w:val="0"/>
                <w:sz w:val="24"/>
                <w:szCs w:val="24"/>
                <w:lang w:bidi="ar"/>
              </w:rPr>
              <w:t>国资委、科委和地方金融监管局团队</w:t>
            </w:r>
          </w:p>
        </w:tc>
        <w:tc>
          <w:tcPr>
            <w:tcW w:w="2031" w:type="pct"/>
            <w:vAlign w:val="center"/>
          </w:tcPr>
          <w:p w14:paraId="073CFF60">
            <w:pPr>
              <w:ind w:firstLine="0" w:firstLineChars="0"/>
              <w:jc w:val="center"/>
              <w:rPr>
                <w:rFonts w:hint="eastAsia"/>
                <w:color w:val="000000"/>
                <w:kern w:val="0"/>
                <w:sz w:val="24"/>
                <w:szCs w:val="24"/>
                <w:lang w:bidi="ar"/>
              </w:rPr>
            </w:pPr>
            <w:r>
              <w:rPr>
                <w:rFonts w:hint="eastAsia"/>
                <w:color w:val="000000"/>
                <w:kern w:val="0"/>
                <w:sz w:val="24"/>
                <w:szCs w:val="24"/>
                <w:lang w:bidi="ar"/>
              </w:rPr>
              <w:t>市地方金融监管局监管信息系统</w:t>
            </w:r>
          </w:p>
        </w:tc>
        <w:tc>
          <w:tcPr>
            <w:tcW w:w="1182" w:type="pct"/>
            <w:vAlign w:val="center"/>
          </w:tcPr>
          <w:p w14:paraId="0C1EBF85">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4C03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6A0D7B62">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77D37DC9">
            <w:pPr>
              <w:ind w:firstLine="480"/>
              <w:jc w:val="center"/>
              <w:rPr>
                <w:rFonts w:hint="eastAsia"/>
                <w:color w:val="000000"/>
                <w:kern w:val="0"/>
                <w:sz w:val="24"/>
                <w:szCs w:val="24"/>
                <w:lang w:bidi="ar"/>
              </w:rPr>
            </w:pPr>
          </w:p>
        </w:tc>
        <w:tc>
          <w:tcPr>
            <w:tcW w:w="2031" w:type="pct"/>
            <w:vAlign w:val="center"/>
          </w:tcPr>
          <w:p w14:paraId="1307A155">
            <w:pPr>
              <w:ind w:firstLine="0" w:firstLineChars="0"/>
              <w:jc w:val="center"/>
              <w:rPr>
                <w:rFonts w:hint="eastAsia"/>
                <w:color w:val="000000"/>
                <w:kern w:val="0"/>
                <w:sz w:val="24"/>
                <w:szCs w:val="24"/>
                <w:lang w:bidi="ar"/>
              </w:rPr>
            </w:pPr>
            <w:r>
              <w:rPr>
                <w:rFonts w:hint="eastAsia"/>
                <w:color w:val="000000"/>
                <w:kern w:val="0"/>
                <w:sz w:val="24"/>
                <w:szCs w:val="24"/>
                <w:lang w:bidi="ar"/>
              </w:rPr>
              <w:t>市地方金融监管局金融服务信息系统</w:t>
            </w:r>
          </w:p>
        </w:tc>
        <w:tc>
          <w:tcPr>
            <w:tcW w:w="1182" w:type="pct"/>
            <w:vAlign w:val="center"/>
          </w:tcPr>
          <w:p w14:paraId="14DB3CD1">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7CDA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82" w:type="pct"/>
            <w:vAlign w:val="center"/>
          </w:tcPr>
          <w:p w14:paraId="7DDB2CF9">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65DC931F">
            <w:pPr>
              <w:ind w:firstLine="480"/>
              <w:jc w:val="center"/>
              <w:rPr>
                <w:rFonts w:hint="eastAsia"/>
                <w:color w:val="000000"/>
                <w:kern w:val="0"/>
                <w:sz w:val="24"/>
                <w:szCs w:val="24"/>
                <w:lang w:bidi="ar"/>
              </w:rPr>
            </w:pPr>
          </w:p>
        </w:tc>
        <w:tc>
          <w:tcPr>
            <w:tcW w:w="2031" w:type="pct"/>
            <w:vAlign w:val="center"/>
          </w:tcPr>
          <w:p w14:paraId="6A55E7D0">
            <w:pPr>
              <w:ind w:firstLine="0" w:firstLineChars="0"/>
              <w:jc w:val="center"/>
              <w:rPr>
                <w:rFonts w:hint="eastAsia"/>
                <w:color w:val="000000"/>
                <w:kern w:val="0"/>
                <w:sz w:val="24"/>
                <w:szCs w:val="24"/>
                <w:lang w:bidi="ar"/>
              </w:rPr>
            </w:pPr>
            <w:r>
              <w:rPr>
                <w:rFonts w:hint="eastAsia"/>
                <w:color w:val="000000"/>
                <w:kern w:val="0"/>
                <w:sz w:val="24"/>
                <w:szCs w:val="24"/>
                <w:lang w:bidi="ar"/>
              </w:rPr>
              <w:t>科技管理信息系统</w:t>
            </w:r>
          </w:p>
        </w:tc>
        <w:tc>
          <w:tcPr>
            <w:tcW w:w="1182" w:type="pct"/>
            <w:vAlign w:val="center"/>
          </w:tcPr>
          <w:p w14:paraId="4199F391">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6938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5A7ABF98">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3A6613B1">
            <w:pPr>
              <w:ind w:firstLine="480"/>
              <w:jc w:val="center"/>
              <w:rPr>
                <w:rFonts w:hint="eastAsia"/>
                <w:color w:val="000000"/>
                <w:kern w:val="0"/>
                <w:sz w:val="24"/>
                <w:szCs w:val="24"/>
                <w:lang w:bidi="ar"/>
              </w:rPr>
            </w:pPr>
          </w:p>
        </w:tc>
        <w:tc>
          <w:tcPr>
            <w:tcW w:w="2031" w:type="pct"/>
            <w:vAlign w:val="center"/>
          </w:tcPr>
          <w:p w14:paraId="4C4446A9">
            <w:pPr>
              <w:ind w:firstLine="0" w:firstLineChars="0"/>
              <w:jc w:val="center"/>
              <w:rPr>
                <w:rFonts w:hint="eastAsia"/>
                <w:color w:val="000000"/>
                <w:kern w:val="0"/>
                <w:sz w:val="24"/>
                <w:szCs w:val="24"/>
                <w:lang w:bidi="ar"/>
              </w:rPr>
            </w:pPr>
            <w:r>
              <w:rPr>
                <w:rFonts w:hint="eastAsia"/>
                <w:color w:val="000000"/>
                <w:kern w:val="0"/>
                <w:sz w:val="24"/>
                <w:szCs w:val="24"/>
                <w:lang w:bidi="ar"/>
              </w:rPr>
              <w:t>科技政务服务系统</w:t>
            </w:r>
          </w:p>
        </w:tc>
        <w:tc>
          <w:tcPr>
            <w:tcW w:w="1182" w:type="pct"/>
            <w:vAlign w:val="center"/>
          </w:tcPr>
          <w:p w14:paraId="32D20A13">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188F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6AF95129">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50AD0890">
            <w:pPr>
              <w:ind w:firstLine="480"/>
              <w:jc w:val="center"/>
              <w:rPr>
                <w:rFonts w:hint="eastAsia"/>
                <w:color w:val="000000"/>
                <w:kern w:val="0"/>
                <w:sz w:val="24"/>
                <w:szCs w:val="24"/>
                <w:lang w:bidi="ar"/>
              </w:rPr>
            </w:pPr>
          </w:p>
        </w:tc>
        <w:tc>
          <w:tcPr>
            <w:tcW w:w="2031" w:type="pct"/>
            <w:vAlign w:val="center"/>
          </w:tcPr>
          <w:p w14:paraId="6A5A6700">
            <w:pPr>
              <w:ind w:firstLine="0" w:firstLineChars="0"/>
              <w:jc w:val="center"/>
              <w:rPr>
                <w:rFonts w:hint="eastAsia"/>
                <w:color w:val="000000"/>
                <w:kern w:val="0"/>
                <w:sz w:val="24"/>
                <w:szCs w:val="24"/>
                <w:lang w:bidi="ar"/>
              </w:rPr>
            </w:pPr>
            <w:r>
              <w:rPr>
                <w:rFonts w:hint="eastAsia"/>
                <w:color w:val="000000"/>
                <w:kern w:val="0"/>
                <w:sz w:val="24"/>
                <w:szCs w:val="24"/>
                <w:lang w:bidi="ar"/>
              </w:rPr>
              <w:t>上海市科委分布式网上业务服务系统</w:t>
            </w:r>
          </w:p>
        </w:tc>
        <w:tc>
          <w:tcPr>
            <w:tcW w:w="1182" w:type="pct"/>
            <w:vAlign w:val="center"/>
          </w:tcPr>
          <w:p w14:paraId="5B522525">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5B27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482" w:type="pct"/>
            <w:vAlign w:val="center"/>
          </w:tcPr>
          <w:p w14:paraId="0E08E259">
            <w:pPr>
              <w:pStyle w:val="33"/>
              <w:numPr>
                <w:ilvl w:val="0"/>
                <w:numId w:val="5"/>
              </w:numPr>
              <w:tabs>
                <w:tab w:val="left" w:pos="172"/>
              </w:tabs>
              <w:jc w:val="center"/>
              <w:rPr>
                <w:rFonts w:hint="eastAsia"/>
                <w:color w:val="000000"/>
                <w:kern w:val="0"/>
                <w:sz w:val="24"/>
                <w:szCs w:val="24"/>
                <w:lang w:bidi="ar"/>
              </w:rPr>
            </w:pPr>
          </w:p>
        </w:tc>
        <w:tc>
          <w:tcPr>
            <w:tcW w:w="1303" w:type="pct"/>
            <w:vMerge w:val="restart"/>
            <w:vAlign w:val="center"/>
          </w:tcPr>
          <w:p w14:paraId="3F3493B6">
            <w:pPr>
              <w:ind w:firstLine="0" w:firstLineChars="0"/>
              <w:jc w:val="center"/>
              <w:rPr>
                <w:rFonts w:hint="eastAsia"/>
                <w:color w:val="000000"/>
                <w:kern w:val="0"/>
                <w:sz w:val="24"/>
                <w:szCs w:val="24"/>
                <w:lang w:bidi="ar"/>
              </w:rPr>
            </w:pPr>
            <w:r>
              <w:rPr>
                <w:rFonts w:hint="eastAsia"/>
                <w:color w:val="000000"/>
                <w:kern w:val="0"/>
                <w:sz w:val="24"/>
                <w:szCs w:val="24"/>
                <w:lang w:bidi="ar"/>
              </w:rPr>
              <w:t>市场监管局（含药监局）团队</w:t>
            </w:r>
          </w:p>
        </w:tc>
        <w:tc>
          <w:tcPr>
            <w:tcW w:w="2031" w:type="pct"/>
            <w:vAlign w:val="center"/>
          </w:tcPr>
          <w:p w14:paraId="773FFBA5">
            <w:pPr>
              <w:ind w:firstLine="0" w:firstLineChars="0"/>
              <w:jc w:val="center"/>
              <w:rPr>
                <w:rFonts w:hint="eastAsia"/>
                <w:color w:val="000000"/>
                <w:kern w:val="0"/>
                <w:sz w:val="24"/>
                <w:szCs w:val="24"/>
                <w:lang w:bidi="ar"/>
              </w:rPr>
            </w:pPr>
            <w:r>
              <w:rPr>
                <w:rFonts w:hint="eastAsia"/>
                <w:color w:val="000000"/>
                <w:kern w:val="0"/>
                <w:sz w:val="24"/>
                <w:szCs w:val="24"/>
                <w:lang w:bidi="ar"/>
              </w:rPr>
              <w:t>市场监管一网通办大系统</w:t>
            </w:r>
          </w:p>
        </w:tc>
        <w:tc>
          <w:tcPr>
            <w:tcW w:w="1182" w:type="pct"/>
            <w:vAlign w:val="center"/>
          </w:tcPr>
          <w:p w14:paraId="63D8A52A">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266F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48A44EFB">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4B668EDF">
            <w:pPr>
              <w:ind w:firstLine="480"/>
              <w:jc w:val="center"/>
              <w:rPr>
                <w:rFonts w:hint="eastAsia"/>
                <w:color w:val="000000"/>
                <w:kern w:val="0"/>
                <w:sz w:val="24"/>
                <w:szCs w:val="24"/>
                <w:lang w:bidi="ar"/>
              </w:rPr>
            </w:pPr>
          </w:p>
        </w:tc>
        <w:tc>
          <w:tcPr>
            <w:tcW w:w="2031" w:type="pct"/>
            <w:vAlign w:val="center"/>
          </w:tcPr>
          <w:p w14:paraId="088A5004">
            <w:pPr>
              <w:ind w:firstLine="0" w:firstLineChars="0"/>
              <w:jc w:val="center"/>
              <w:rPr>
                <w:rFonts w:hint="eastAsia"/>
                <w:color w:val="000000"/>
                <w:kern w:val="0"/>
                <w:sz w:val="24"/>
                <w:szCs w:val="24"/>
                <w:lang w:bidi="ar"/>
              </w:rPr>
            </w:pPr>
            <w:r>
              <w:rPr>
                <w:rFonts w:hint="eastAsia"/>
                <w:color w:val="000000"/>
                <w:kern w:val="0"/>
                <w:sz w:val="24"/>
                <w:szCs w:val="24"/>
                <w:lang w:bidi="ar"/>
              </w:rPr>
              <w:t>市场监管一网统管大系统</w:t>
            </w:r>
          </w:p>
        </w:tc>
        <w:tc>
          <w:tcPr>
            <w:tcW w:w="1182" w:type="pct"/>
            <w:vAlign w:val="center"/>
          </w:tcPr>
          <w:p w14:paraId="03F6AD28">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5999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4F83DDAF">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14B46732">
            <w:pPr>
              <w:ind w:firstLine="480"/>
              <w:jc w:val="center"/>
              <w:rPr>
                <w:rFonts w:hint="eastAsia"/>
                <w:color w:val="000000"/>
                <w:kern w:val="0"/>
                <w:sz w:val="24"/>
                <w:szCs w:val="24"/>
                <w:lang w:bidi="ar"/>
              </w:rPr>
            </w:pPr>
          </w:p>
        </w:tc>
        <w:tc>
          <w:tcPr>
            <w:tcW w:w="2031" w:type="pct"/>
            <w:vAlign w:val="center"/>
          </w:tcPr>
          <w:p w14:paraId="29423C7E">
            <w:pPr>
              <w:ind w:firstLine="0" w:firstLineChars="0"/>
              <w:jc w:val="center"/>
              <w:rPr>
                <w:rFonts w:hint="eastAsia"/>
                <w:color w:val="000000"/>
                <w:kern w:val="0"/>
                <w:sz w:val="24"/>
                <w:szCs w:val="24"/>
                <w:lang w:bidi="ar"/>
              </w:rPr>
            </w:pPr>
            <w:r>
              <w:rPr>
                <w:rFonts w:hint="eastAsia"/>
                <w:color w:val="000000"/>
                <w:kern w:val="0"/>
                <w:sz w:val="24"/>
                <w:szCs w:val="24"/>
                <w:lang w:bidi="ar"/>
              </w:rPr>
              <w:t>市场监管协同办公大系统</w:t>
            </w:r>
          </w:p>
        </w:tc>
        <w:tc>
          <w:tcPr>
            <w:tcW w:w="1182" w:type="pct"/>
            <w:vAlign w:val="center"/>
          </w:tcPr>
          <w:p w14:paraId="6B04D039">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3C94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06F1CE6B">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5713A825">
            <w:pPr>
              <w:ind w:firstLine="480"/>
              <w:jc w:val="center"/>
              <w:rPr>
                <w:rFonts w:hint="eastAsia"/>
                <w:color w:val="000000"/>
                <w:kern w:val="0"/>
                <w:sz w:val="24"/>
                <w:szCs w:val="24"/>
                <w:lang w:bidi="ar"/>
              </w:rPr>
            </w:pPr>
          </w:p>
        </w:tc>
        <w:tc>
          <w:tcPr>
            <w:tcW w:w="2031" w:type="pct"/>
            <w:vAlign w:val="center"/>
          </w:tcPr>
          <w:p w14:paraId="643B61E0">
            <w:pPr>
              <w:ind w:firstLine="0" w:firstLineChars="0"/>
              <w:jc w:val="center"/>
              <w:rPr>
                <w:rFonts w:hint="eastAsia"/>
                <w:color w:val="000000"/>
                <w:kern w:val="0"/>
                <w:sz w:val="24"/>
                <w:szCs w:val="24"/>
                <w:lang w:bidi="ar"/>
              </w:rPr>
            </w:pPr>
            <w:r>
              <w:rPr>
                <w:rFonts w:hint="eastAsia"/>
                <w:color w:val="000000"/>
                <w:kern w:val="0"/>
                <w:sz w:val="24"/>
                <w:szCs w:val="24"/>
                <w:lang w:bidi="ar"/>
              </w:rPr>
              <w:t>市场监管质量发展与技术基础大系统</w:t>
            </w:r>
          </w:p>
        </w:tc>
        <w:tc>
          <w:tcPr>
            <w:tcW w:w="1182" w:type="pct"/>
            <w:vAlign w:val="center"/>
          </w:tcPr>
          <w:p w14:paraId="1054DC34">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1A3A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482" w:type="pct"/>
            <w:vAlign w:val="center"/>
          </w:tcPr>
          <w:p w14:paraId="3B44E657">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7B3E5395">
            <w:pPr>
              <w:ind w:firstLine="480"/>
              <w:jc w:val="center"/>
              <w:rPr>
                <w:rFonts w:hint="eastAsia"/>
                <w:color w:val="000000"/>
                <w:kern w:val="0"/>
                <w:sz w:val="24"/>
                <w:szCs w:val="24"/>
                <w:lang w:bidi="ar"/>
              </w:rPr>
            </w:pPr>
          </w:p>
        </w:tc>
        <w:tc>
          <w:tcPr>
            <w:tcW w:w="2031" w:type="pct"/>
            <w:vAlign w:val="center"/>
          </w:tcPr>
          <w:p w14:paraId="2063953D">
            <w:pPr>
              <w:ind w:firstLine="0" w:firstLineChars="0"/>
              <w:jc w:val="center"/>
              <w:rPr>
                <w:rFonts w:hint="eastAsia"/>
                <w:color w:val="000000"/>
                <w:kern w:val="0"/>
                <w:sz w:val="24"/>
                <w:szCs w:val="24"/>
                <w:lang w:bidi="ar"/>
              </w:rPr>
            </w:pPr>
            <w:r>
              <w:rPr>
                <w:rFonts w:hint="eastAsia"/>
                <w:color w:val="000000"/>
                <w:kern w:val="0"/>
                <w:sz w:val="24"/>
                <w:szCs w:val="24"/>
                <w:lang w:bidi="ar"/>
              </w:rPr>
              <w:t>市场监管数据慧治大系统</w:t>
            </w:r>
          </w:p>
        </w:tc>
        <w:tc>
          <w:tcPr>
            <w:tcW w:w="1182" w:type="pct"/>
            <w:vAlign w:val="center"/>
          </w:tcPr>
          <w:p w14:paraId="13D930D1">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4634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61E86854">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31A6DD61">
            <w:pPr>
              <w:ind w:firstLine="480"/>
              <w:jc w:val="center"/>
              <w:rPr>
                <w:rFonts w:hint="eastAsia"/>
                <w:color w:val="000000"/>
                <w:kern w:val="0"/>
                <w:sz w:val="24"/>
                <w:szCs w:val="24"/>
                <w:lang w:bidi="ar"/>
              </w:rPr>
            </w:pPr>
          </w:p>
        </w:tc>
        <w:tc>
          <w:tcPr>
            <w:tcW w:w="2031" w:type="pct"/>
            <w:vAlign w:val="center"/>
          </w:tcPr>
          <w:p w14:paraId="1E08843F">
            <w:pPr>
              <w:ind w:firstLine="0" w:firstLineChars="0"/>
              <w:jc w:val="center"/>
              <w:rPr>
                <w:rFonts w:hint="eastAsia"/>
                <w:color w:val="000000"/>
                <w:kern w:val="0"/>
                <w:sz w:val="24"/>
                <w:szCs w:val="24"/>
                <w:lang w:bidi="ar"/>
              </w:rPr>
            </w:pPr>
            <w:r>
              <w:rPr>
                <w:rFonts w:hint="eastAsia"/>
                <w:color w:val="000000"/>
                <w:kern w:val="0"/>
                <w:sz w:val="24"/>
                <w:szCs w:val="24"/>
                <w:lang w:bidi="ar"/>
              </w:rPr>
              <w:t>互联网+监管系统</w:t>
            </w:r>
          </w:p>
        </w:tc>
        <w:tc>
          <w:tcPr>
            <w:tcW w:w="1182" w:type="pct"/>
            <w:vAlign w:val="center"/>
          </w:tcPr>
          <w:p w14:paraId="0CA7ACCB">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7ED9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4D1B1036">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1B2192D8">
            <w:pPr>
              <w:ind w:firstLine="480"/>
              <w:jc w:val="center"/>
              <w:rPr>
                <w:rFonts w:hint="eastAsia"/>
                <w:color w:val="000000"/>
                <w:kern w:val="0"/>
                <w:sz w:val="24"/>
                <w:szCs w:val="24"/>
                <w:lang w:bidi="ar"/>
              </w:rPr>
            </w:pPr>
          </w:p>
        </w:tc>
        <w:tc>
          <w:tcPr>
            <w:tcW w:w="2031" w:type="pct"/>
            <w:vAlign w:val="center"/>
          </w:tcPr>
          <w:p w14:paraId="607AF29C">
            <w:pPr>
              <w:ind w:firstLine="0" w:firstLineChars="0"/>
              <w:jc w:val="center"/>
              <w:rPr>
                <w:rFonts w:hint="eastAsia"/>
                <w:color w:val="000000"/>
                <w:kern w:val="0"/>
                <w:sz w:val="24"/>
                <w:szCs w:val="24"/>
                <w:lang w:bidi="ar"/>
              </w:rPr>
            </w:pPr>
            <w:r>
              <w:rPr>
                <w:rFonts w:hint="eastAsia"/>
                <w:color w:val="000000"/>
                <w:kern w:val="0"/>
                <w:sz w:val="24"/>
                <w:szCs w:val="24"/>
                <w:lang w:bidi="ar"/>
              </w:rPr>
              <w:t>市药品监管局风险管控大系统</w:t>
            </w:r>
          </w:p>
        </w:tc>
        <w:tc>
          <w:tcPr>
            <w:tcW w:w="1182" w:type="pct"/>
            <w:vAlign w:val="center"/>
          </w:tcPr>
          <w:p w14:paraId="4243B045">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628B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7D68BCA6">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155EE164">
            <w:pPr>
              <w:ind w:firstLine="480"/>
              <w:jc w:val="center"/>
              <w:rPr>
                <w:rFonts w:hint="eastAsia"/>
                <w:color w:val="000000"/>
                <w:kern w:val="0"/>
                <w:sz w:val="24"/>
                <w:szCs w:val="24"/>
                <w:lang w:bidi="ar"/>
              </w:rPr>
            </w:pPr>
          </w:p>
        </w:tc>
        <w:tc>
          <w:tcPr>
            <w:tcW w:w="2031" w:type="pct"/>
            <w:vAlign w:val="center"/>
          </w:tcPr>
          <w:p w14:paraId="20EF9094">
            <w:pPr>
              <w:ind w:firstLine="0" w:firstLineChars="0"/>
              <w:jc w:val="center"/>
              <w:rPr>
                <w:rFonts w:hint="eastAsia"/>
                <w:color w:val="000000"/>
                <w:kern w:val="0"/>
                <w:sz w:val="24"/>
                <w:szCs w:val="24"/>
                <w:lang w:bidi="ar"/>
              </w:rPr>
            </w:pPr>
            <w:r>
              <w:rPr>
                <w:rFonts w:hint="eastAsia"/>
                <w:color w:val="000000"/>
                <w:kern w:val="0"/>
                <w:sz w:val="24"/>
                <w:szCs w:val="24"/>
                <w:lang w:bidi="ar"/>
              </w:rPr>
              <w:t>市药品监管局公众服务大系统</w:t>
            </w:r>
          </w:p>
        </w:tc>
        <w:tc>
          <w:tcPr>
            <w:tcW w:w="1182" w:type="pct"/>
            <w:vAlign w:val="center"/>
          </w:tcPr>
          <w:p w14:paraId="1C0BB9EC">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70B8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4237CF86">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4BCEFB1A">
            <w:pPr>
              <w:ind w:firstLine="480"/>
              <w:jc w:val="center"/>
              <w:rPr>
                <w:rFonts w:hint="eastAsia"/>
                <w:color w:val="000000"/>
                <w:kern w:val="0"/>
                <w:sz w:val="24"/>
                <w:szCs w:val="24"/>
                <w:lang w:bidi="ar"/>
              </w:rPr>
            </w:pPr>
          </w:p>
        </w:tc>
        <w:tc>
          <w:tcPr>
            <w:tcW w:w="2031" w:type="pct"/>
            <w:vAlign w:val="center"/>
          </w:tcPr>
          <w:p w14:paraId="5B62AADE">
            <w:pPr>
              <w:ind w:firstLine="0" w:firstLineChars="0"/>
              <w:jc w:val="center"/>
              <w:rPr>
                <w:rFonts w:hint="eastAsia"/>
                <w:color w:val="000000"/>
                <w:kern w:val="0"/>
                <w:sz w:val="24"/>
                <w:szCs w:val="24"/>
                <w:lang w:bidi="ar"/>
              </w:rPr>
            </w:pPr>
            <w:r>
              <w:rPr>
                <w:rFonts w:hint="eastAsia"/>
                <w:color w:val="000000"/>
                <w:kern w:val="0"/>
                <w:sz w:val="24"/>
                <w:szCs w:val="24"/>
                <w:lang w:bidi="ar"/>
              </w:rPr>
              <w:t>市药品监管局协同办公大系统</w:t>
            </w:r>
          </w:p>
        </w:tc>
        <w:tc>
          <w:tcPr>
            <w:tcW w:w="1182" w:type="pct"/>
            <w:vAlign w:val="center"/>
          </w:tcPr>
          <w:p w14:paraId="09EEEA21">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2857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4E936F69">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796CC560">
            <w:pPr>
              <w:ind w:firstLine="480"/>
              <w:jc w:val="center"/>
              <w:rPr>
                <w:rFonts w:hint="eastAsia"/>
                <w:color w:val="000000"/>
                <w:kern w:val="0"/>
                <w:sz w:val="24"/>
                <w:szCs w:val="24"/>
                <w:lang w:bidi="ar"/>
              </w:rPr>
            </w:pPr>
          </w:p>
        </w:tc>
        <w:tc>
          <w:tcPr>
            <w:tcW w:w="2031" w:type="pct"/>
            <w:vAlign w:val="center"/>
          </w:tcPr>
          <w:p w14:paraId="0CD34829">
            <w:pPr>
              <w:ind w:firstLine="0" w:firstLineChars="0"/>
              <w:jc w:val="center"/>
              <w:rPr>
                <w:rFonts w:hint="eastAsia"/>
                <w:color w:val="000000"/>
                <w:kern w:val="0"/>
                <w:sz w:val="24"/>
                <w:szCs w:val="24"/>
                <w:lang w:bidi="ar"/>
              </w:rPr>
            </w:pPr>
            <w:r>
              <w:rPr>
                <w:rFonts w:hint="eastAsia"/>
                <w:color w:val="000000"/>
                <w:kern w:val="0"/>
                <w:sz w:val="24"/>
                <w:szCs w:val="24"/>
                <w:lang w:bidi="ar"/>
              </w:rPr>
              <w:t>市药品监管局一网通办大系统</w:t>
            </w:r>
          </w:p>
        </w:tc>
        <w:tc>
          <w:tcPr>
            <w:tcW w:w="1182" w:type="pct"/>
            <w:vAlign w:val="center"/>
          </w:tcPr>
          <w:p w14:paraId="3FE19D32">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0874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40E8CD6A">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57670914">
            <w:pPr>
              <w:ind w:firstLine="480"/>
              <w:jc w:val="center"/>
              <w:rPr>
                <w:rFonts w:hint="eastAsia"/>
                <w:color w:val="000000"/>
                <w:kern w:val="0"/>
                <w:sz w:val="24"/>
                <w:szCs w:val="24"/>
                <w:lang w:bidi="ar"/>
              </w:rPr>
            </w:pPr>
          </w:p>
        </w:tc>
        <w:tc>
          <w:tcPr>
            <w:tcW w:w="2031" w:type="pct"/>
            <w:vAlign w:val="center"/>
          </w:tcPr>
          <w:p w14:paraId="11F25B9D">
            <w:pPr>
              <w:ind w:firstLine="0" w:firstLineChars="0"/>
              <w:jc w:val="center"/>
              <w:rPr>
                <w:rFonts w:hint="eastAsia"/>
                <w:color w:val="000000"/>
                <w:kern w:val="0"/>
                <w:sz w:val="24"/>
                <w:szCs w:val="24"/>
                <w:lang w:bidi="ar"/>
              </w:rPr>
            </w:pPr>
            <w:r>
              <w:rPr>
                <w:rFonts w:hint="eastAsia"/>
                <w:color w:val="000000"/>
                <w:kern w:val="0"/>
                <w:sz w:val="24"/>
                <w:szCs w:val="24"/>
                <w:lang w:bidi="ar"/>
              </w:rPr>
              <w:t>市药品监管局药品监管大系统</w:t>
            </w:r>
          </w:p>
        </w:tc>
        <w:tc>
          <w:tcPr>
            <w:tcW w:w="1182" w:type="pct"/>
            <w:vAlign w:val="center"/>
          </w:tcPr>
          <w:p w14:paraId="5FF3CA44">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748D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6B03A0F0">
            <w:pPr>
              <w:pStyle w:val="33"/>
              <w:numPr>
                <w:ilvl w:val="0"/>
                <w:numId w:val="5"/>
              </w:numPr>
              <w:tabs>
                <w:tab w:val="left" w:pos="172"/>
              </w:tabs>
              <w:jc w:val="center"/>
              <w:rPr>
                <w:rFonts w:hint="eastAsia"/>
                <w:color w:val="000000"/>
                <w:kern w:val="0"/>
                <w:sz w:val="24"/>
                <w:szCs w:val="24"/>
                <w:lang w:bidi="ar"/>
              </w:rPr>
            </w:pPr>
          </w:p>
        </w:tc>
        <w:tc>
          <w:tcPr>
            <w:tcW w:w="1303" w:type="pct"/>
            <w:vMerge w:val="restart"/>
            <w:vAlign w:val="center"/>
          </w:tcPr>
          <w:p w14:paraId="7F5134C3">
            <w:pPr>
              <w:ind w:firstLine="0" w:firstLineChars="0"/>
              <w:jc w:val="center"/>
              <w:rPr>
                <w:rFonts w:hint="eastAsia"/>
                <w:color w:val="000000"/>
                <w:kern w:val="0"/>
                <w:sz w:val="24"/>
                <w:szCs w:val="24"/>
                <w:lang w:bidi="ar"/>
              </w:rPr>
            </w:pPr>
            <w:r>
              <w:rPr>
                <w:rFonts w:hint="eastAsia"/>
                <w:color w:val="000000"/>
                <w:kern w:val="0"/>
                <w:sz w:val="24"/>
                <w:szCs w:val="24"/>
                <w:lang w:bidi="ar"/>
              </w:rPr>
              <w:t>财政局团队</w:t>
            </w:r>
          </w:p>
        </w:tc>
        <w:tc>
          <w:tcPr>
            <w:tcW w:w="2031" w:type="pct"/>
            <w:vAlign w:val="center"/>
          </w:tcPr>
          <w:p w14:paraId="618C5F1B">
            <w:pPr>
              <w:ind w:firstLine="0" w:firstLineChars="0"/>
              <w:jc w:val="center"/>
              <w:rPr>
                <w:rFonts w:hint="eastAsia"/>
                <w:color w:val="000000"/>
                <w:kern w:val="0"/>
                <w:sz w:val="24"/>
                <w:szCs w:val="24"/>
                <w:lang w:bidi="ar"/>
              </w:rPr>
            </w:pPr>
            <w:r>
              <w:rPr>
                <w:rFonts w:hint="eastAsia"/>
                <w:color w:val="000000"/>
                <w:kern w:val="0"/>
                <w:sz w:val="24"/>
                <w:szCs w:val="24"/>
                <w:lang w:bidi="ar"/>
              </w:rPr>
              <w:t>上海市财政综合办公系统</w:t>
            </w:r>
          </w:p>
        </w:tc>
        <w:tc>
          <w:tcPr>
            <w:tcW w:w="1182" w:type="pct"/>
            <w:vAlign w:val="center"/>
          </w:tcPr>
          <w:p w14:paraId="24E25C93">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05C8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2339001D">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109A4FC0">
            <w:pPr>
              <w:ind w:firstLine="480"/>
              <w:jc w:val="center"/>
              <w:rPr>
                <w:rFonts w:hint="eastAsia"/>
                <w:color w:val="000000"/>
                <w:kern w:val="0"/>
                <w:sz w:val="24"/>
                <w:szCs w:val="24"/>
                <w:lang w:bidi="ar"/>
              </w:rPr>
            </w:pPr>
          </w:p>
        </w:tc>
        <w:tc>
          <w:tcPr>
            <w:tcW w:w="2031" w:type="pct"/>
            <w:vAlign w:val="center"/>
          </w:tcPr>
          <w:p w14:paraId="0AC5629E">
            <w:pPr>
              <w:ind w:firstLine="0" w:firstLineChars="0"/>
              <w:jc w:val="center"/>
              <w:rPr>
                <w:rFonts w:hint="eastAsia"/>
                <w:color w:val="000000"/>
                <w:kern w:val="0"/>
                <w:sz w:val="24"/>
                <w:szCs w:val="24"/>
                <w:lang w:bidi="ar"/>
              </w:rPr>
            </w:pPr>
            <w:r>
              <w:rPr>
                <w:rFonts w:hint="eastAsia"/>
                <w:color w:val="000000"/>
                <w:kern w:val="0"/>
                <w:sz w:val="24"/>
                <w:szCs w:val="24"/>
                <w:lang w:bidi="ar"/>
              </w:rPr>
              <w:t>非税收入管理系统</w:t>
            </w:r>
          </w:p>
        </w:tc>
        <w:tc>
          <w:tcPr>
            <w:tcW w:w="1182" w:type="pct"/>
            <w:vAlign w:val="center"/>
          </w:tcPr>
          <w:p w14:paraId="7432A5D4">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21C8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3EF7FBB4">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15B3250B">
            <w:pPr>
              <w:ind w:firstLine="480"/>
              <w:jc w:val="center"/>
              <w:rPr>
                <w:rFonts w:hint="eastAsia"/>
                <w:color w:val="000000"/>
                <w:kern w:val="0"/>
                <w:sz w:val="24"/>
                <w:szCs w:val="24"/>
                <w:lang w:bidi="ar"/>
              </w:rPr>
            </w:pPr>
          </w:p>
        </w:tc>
        <w:tc>
          <w:tcPr>
            <w:tcW w:w="2031" w:type="pct"/>
            <w:vAlign w:val="center"/>
          </w:tcPr>
          <w:p w14:paraId="0C002F56">
            <w:pPr>
              <w:ind w:firstLine="0" w:firstLineChars="0"/>
              <w:jc w:val="center"/>
              <w:rPr>
                <w:rFonts w:hint="eastAsia"/>
                <w:color w:val="000000"/>
                <w:kern w:val="0"/>
                <w:sz w:val="24"/>
                <w:szCs w:val="24"/>
                <w:lang w:bidi="ar"/>
              </w:rPr>
            </w:pPr>
            <w:r>
              <w:rPr>
                <w:rFonts w:hint="eastAsia"/>
                <w:color w:val="000000"/>
                <w:kern w:val="0"/>
                <w:sz w:val="24"/>
                <w:szCs w:val="24"/>
                <w:lang w:bidi="ar"/>
              </w:rPr>
              <w:t>上海市财政局门户网站</w:t>
            </w:r>
          </w:p>
        </w:tc>
        <w:tc>
          <w:tcPr>
            <w:tcW w:w="1182" w:type="pct"/>
            <w:vAlign w:val="center"/>
          </w:tcPr>
          <w:p w14:paraId="392DD645">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175E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05E3B248">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2A9FA675">
            <w:pPr>
              <w:ind w:firstLine="480"/>
              <w:jc w:val="center"/>
              <w:rPr>
                <w:rFonts w:hint="eastAsia"/>
                <w:color w:val="000000"/>
                <w:kern w:val="0"/>
                <w:sz w:val="24"/>
                <w:szCs w:val="24"/>
                <w:lang w:bidi="ar"/>
              </w:rPr>
            </w:pPr>
          </w:p>
        </w:tc>
        <w:tc>
          <w:tcPr>
            <w:tcW w:w="2031" w:type="pct"/>
            <w:vAlign w:val="center"/>
          </w:tcPr>
          <w:p w14:paraId="62403F6D">
            <w:pPr>
              <w:ind w:firstLine="0" w:firstLineChars="0"/>
              <w:jc w:val="center"/>
              <w:rPr>
                <w:rFonts w:hint="eastAsia"/>
                <w:color w:val="000000"/>
                <w:kern w:val="0"/>
                <w:sz w:val="24"/>
                <w:szCs w:val="24"/>
                <w:lang w:bidi="ar"/>
              </w:rPr>
            </w:pPr>
            <w:r>
              <w:rPr>
                <w:rFonts w:hint="eastAsia"/>
                <w:color w:val="000000"/>
                <w:kern w:val="0"/>
                <w:sz w:val="24"/>
                <w:szCs w:val="24"/>
                <w:lang w:bidi="ar"/>
              </w:rPr>
              <w:t>上海市预算管理一体化信息系统</w:t>
            </w:r>
          </w:p>
        </w:tc>
        <w:tc>
          <w:tcPr>
            <w:tcW w:w="1182" w:type="pct"/>
            <w:vAlign w:val="center"/>
          </w:tcPr>
          <w:p w14:paraId="4077F8AE">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75DD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2FA552D4">
            <w:pPr>
              <w:pStyle w:val="33"/>
              <w:numPr>
                <w:ilvl w:val="0"/>
                <w:numId w:val="5"/>
              </w:numPr>
              <w:tabs>
                <w:tab w:val="left" w:pos="172"/>
              </w:tabs>
              <w:jc w:val="center"/>
              <w:rPr>
                <w:rFonts w:hint="eastAsia"/>
                <w:color w:val="000000"/>
                <w:kern w:val="0"/>
                <w:sz w:val="24"/>
                <w:szCs w:val="24"/>
                <w:lang w:bidi="ar"/>
              </w:rPr>
            </w:pPr>
          </w:p>
        </w:tc>
        <w:tc>
          <w:tcPr>
            <w:tcW w:w="1303" w:type="pct"/>
            <w:vMerge w:val="restart"/>
            <w:vAlign w:val="center"/>
          </w:tcPr>
          <w:p w14:paraId="7FE9CAF2">
            <w:pPr>
              <w:ind w:firstLine="0" w:firstLineChars="0"/>
              <w:jc w:val="center"/>
              <w:rPr>
                <w:rFonts w:hint="eastAsia"/>
                <w:color w:val="000000"/>
                <w:kern w:val="0"/>
                <w:sz w:val="24"/>
                <w:szCs w:val="24"/>
                <w:lang w:bidi="ar"/>
              </w:rPr>
            </w:pPr>
            <w:r>
              <w:rPr>
                <w:rFonts w:hint="eastAsia"/>
                <w:color w:val="000000"/>
                <w:kern w:val="0"/>
                <w:sz w:val="24"/>
                <w:szCs w:val="24"/>
                <w:lang w:bidi="ar"/>
              </w:rPr>
              <w:t>经信委和商务委团队</w:t>
            </w:r>
          </w:p>
        </w:tc>
        <w:tc>
          <w:tcPr>
            <w:tcW w:w="2031" w:type="pct"/>
            <w:vAlign w:val="center"/>
          </w:tcPr>
          <w:p w14:paraId="5058BBD3">
            <w:pPr>
              <w:ind w:firstLine="0" w:firstLineChars="0"/>
              <w:jc w:val="center"/>
              <w:rPr>
                <w:rFonts w:hint="eastAsia"/>
                <w:color w:val="000000"/>
                <w:kern w:val="0"/>
                <w:sz w:val="24"/>
                <w:szCs w:val="24"/>
                <w:lang w:bidi="ar"/>
              </w:rPr>
            </w:pPr>
            <w:r>
              <w:rPr>
                <w:rFonts w:hint="eastAsia"/>
                <w:color w:val="000000"/>
                <w:kern w:val="0"/>
                <w:sz w:val="24"/>
                <w:szCs w:val="24"/>
                <w:lang w:bidi="ar"/>
              </w:rPr>
              <w:t>市商务委门户网站</w:t>
            </w:r>
          </w:p>
        </w:tc>
        <w:tc>
          <w:tcPr>
            <w:tcW w:w="1182" w:type="pct"/>
            <w:vAlign w:val="center"/>
          </w:tcPr>
          <w:p w14:paraId="06C4C9A5">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35A5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24607A40">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32390D68">
            <w:pPr>
              <w:ind w:firstLine="480"/>
              <w:jc w:val="center"/>
              <w:rPr>
                <w:rFonts w:hint="eastAsia"/>
                <w:color w:val="000000"/>
                <w:kern w:val="0"/>
                <w:sz w:val="24"/>
                <w:szCs w:val="24"/>
                <w:lang w:bidi="ar"/>
              </w:rPr>
            </w:pPr>
          </w:p>
        </w:tc>
        <w:tc>
          <w:tcPr>
            <w:tcW w:w="2031" w:type="pct"/>
            <w:vAlign w:val="center"/>
          </w:tcPr>
          <w:p w14:paraId="62471728">
            <w:pPr>
              <w:ind w:firstLine="0" w:firstLineChars="0"/>
              <w:jc w:val="center"/>
              <w:rPr>
                <w:rFonts w:hint="eastAsia"/>
                <w:color w:val="000000"/>
                <w:kern w:val="0"/>
                <w:sz w:val="24"/>
                <w:szCs w:val="24"/>
                <w:lang w:bidi="ar"/>
              </w:rPr>
            </w:pPr>
            <w:r>
              <w:rPr>
                <w:rFonts w:hint="eastAsia"/>
                <w:color w:val="000000"/>
                <w:kern w:val="0"/>
                <w:sz w:val="24"/>
                <w:szCs w:val="24"/>
                <w:lang w:bidi="ar"/>
              </w:rPr>
              <w:t>市商务委公共服务系统</w:t>
            </w:r>
          </w:p>
        </w:tc>
        <w:tc>
          <w:tcPr>
            <w:tcW w:w="1182" w:type="pct"/>
            <w:vAlign w:val="center"/>
          </w:tcPr>
          <w:p w14:paraId="07AA177F">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7191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542414F5">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5D4A2939">
            <w:pPr>
              <w:ind w:firstLine="480"/>
              <w:jc w:val="center"/>
              <w:rPr>
                <w:rFonts w:hint="eastAsia"/>
                <w:color w:val="000000"/>
                <w:kern w:val="0"/>
                <w:sz w:val="24"/>
                <w:szCs w:val="24"/>
                <w:lang w:bidi="ar"/>
              </w:rPr>
            </w:pPr>
          </w:p>
        </w:tc>
        <w:tc>
          <w:tcPr>
            <w:tcW w:w="2031" w:type="pct"/>
            <w:vAlign w:val="center"/>
          </w:tcPr>
          <w:p w14:paraId="608EC47A">
            <w:pPr>
              <w:ind w:firstLine="0" w:firstLineChars="0"/>
              <w:jc w:val="center"/>
              <w:rPr>
                <w:rFonts w:hint="eastAsia"/>
                <w:color w:val="000000"/>
                <w:kern w:val="0"/>
                <w:sz w:val="24"/>
                <w:szCs w:val="24"/>
                <w:lang w:bidi="ar"/>
              </w:rPr>
            </w:pPr>
            <w:r>
              <w:rPr>
                <w:rFonts w:hint="eastAsia"/>
                <w:color w:val="000000"/>
                <w:kern w:val="0"/>
                <w:sz w:val="24"/>
                <w:szCs w:val="24"/>
                <w:lang w:bidi="ar"/>
              </w:rPr>
              <w:t>市商务委行业通管系统</w:t>
            </w:r>
          </w:p>
        </w:tc>
        <w:tc>
          <w:tcPr>
            <w:tcW w:w="1182" w:type="pct"/>
            <w:vAlign w:val="center"/>
          </w:tcPr>
          <w:p w14:paraId="5B1CF546">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17FA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258567C5">
            <w:pPr>
              <w:pStyle w:val="33"/>
              <w:numPr>
                <w:ilvl w:val="0"/>
                <w:numId w:val="5"/>
              </w:numPr>
              <w:tabs>
                <w:tab w:val="left" w:pos="172"/>
              </w:tabs>
              <w:jc w:val="center"/>
              <w:rPr>
                <w:rFonts w:hint="eastAsia"/>
                <w:color w:val="000000"/>
                <w:kern w:val="0"/>
                <w:sz w:val="24"/>
                <w:szCs w:val="24"/>
                <w:lang w:bidi="ar"/>
              </w:rPr>
            </w:pPr>
          </w:p>
        </w:tc>
        <w:tc>
          <w:tcPr>
            <w:tcW w:w="1303" w:type="pct"/>
            <w:vMerge w:val="continue"/>
            <w:vAlign w:val="center"/>
          </w:tcPr>
          <w:p w14:paraId="560DCBA7">
            <w:pPr>
              <w:ind w:firstLine="480"/>
              <w:jc w:val="center"/>
              <w:rPr>
                <w:rFonts w:hint="eastAsia"/>
                <w:color w:val="000000"/>
                <w:kern w:val="0"/>
                <w:sz w:val="24"/>
                <w:szCs w:val="24"/>
                <w:lang w:bidi="ar"/>
              </w:rPr>
            </w:pPr>
          </w:p>
        </w:tc>
        <w:tc>
          <w:tcPr>
            <w:tcW w:w="2031" w:type="pct"/>
            <w:vAlign w:val="center"/>
          </w:tcPr>
          <w:p w14:paraId="01C64B28">
            <w:pPr>
              <w:ind w:firstLine="0" w:firstLineChars="0"/>
              <w:jc w:val="center"/>
              <w:rPr>
                <w:rFonts w:hint="eastAsia"/>
                <w:color w:val="000000"/>
                <w:kern w:val="0"/>
                <w:sz w:val="24"/>
                <w:szCs w:val="24"/>
                <w:lang w:bidi="ar"/>
              </w:rPr>
            </w:pPr>
            <w:r>
              <w:rPr>
                <w:rFonts w:hint="eastAsia"/>
                <w:color w:val="000000"/>
                <w:kern w:val="0"/>
                <w:sz w:val="24"/>
                <w:szCs w:val="24"/>
                <w:lang w:bidi="ar"/>
              </w:rPr>
              <w:t>市商务委数据中台</w:t>
            </w:r>
          </w:p>
        </w:tc>
        <w:tc>
          <w:tcPr>
            <w:tcW w:w="1182" w:type="pct"/>
            <w:vAlign w:val="center"/>
          </w:tcPr>
          <w:p w14:paraId="55339B3A">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r w14:paraId="7C5F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82" w:type="pct"/>
            <w:vAlign w:val="center"/>
          </w:tcPr>
          <w:p w14:paraId="217E1A9D">
            <w:pPr>
              <w:pStyle w:val="33"/>
              <w:numPr>
                <w:ilvl w:val="0"/>
                <w:numId w:val="5"/>
              </w:numPr>
              <w:tabs>
                <w:tab w:val="left" w:pos="172"/>
              </w:tabs>
              <w:jc w:val="center"/>
              <w:rPr>
                <w:rFonts w:hint="eastAsia"/>
                <w:color w:val="000000"/>
                <w:kern w:val="0"/>
                <w:sz w:val="24"/>
                <w:szCs w:val="24"/>
                <w:lang w:bidi="ar"/>
              </w:rPr>
            </w:pPr>
          </w:p>
        </w:tc>
        <w:tc>
          <w:tcPr>
            <w:tcW w:w="1303" w:type="pct"/>
            <w:vAlign w:val="center"/>
          </w:tcPr>
          <w:p w14:paraId="46336BF0">
            <w:pPr>
              <w:ind w:firstLine="0" w:firstLineChars="0"/>
              <w:jc w:val="center"/>
              <w:rPr>
                <w:rFonts w:hint="eastAsia"/>
                <w:color w:val="000000"/>
                <w:kern w:val="0"/>
                <w:sz w:val="24"/>
                <w:szCs w:val="24"/>
                <w:lang w:bidi="ar"/>
              </w:rPr>
            </w:pPr>
            <w:r>
              <w:rPr>
                <w:rFonts w:hint="eastAsia"/>
                <w:color w:val="000000"/>
                <w:kern w:val="0"/>
                <w:sz w:val="24"/>
                <w:szCs w:val="24"/>
                <w:lang w:bidi="ar"/>
              </w:rPr>
              <w:t>审计局和知识产权局团队</w:t>
            </w:r>
          </w:p>
        </w:tc>
        <w:tc>
          <w:tcPr>
            <w:tcW w:w="2031" w:type="pct"/>
            <w:vAlign w:val="center"/>
          </w:tcPr>
          <w:p w14:paraId="03B5E5DB">
            <w:pPr>
              <w:ind w:firstLine="0" w:firstLineChars="0"/>
              <w:jc w:val="center"/>
              <w:rPr>
                <w:rFonts w:hint="eastAsia"/>
                <w:color w:val="000000"/>
                <w:kern w:val="0"/>
                <w:sz w:val="24"/>
                <w:szCs w:val="24"/>
                <w:lang w:bidi="ar"/>
              </w:rPr>
            </w:pPr>
            <w:r>
              <w:rPr>
                <w:rFonts w:hint="eastAsia"/>
                <w:color w:val="000000"/>
                <w:kern w:val="0"/>
                <w:sz w:val="24"/>
                <w:szCs w:val="24"/>
                <w:lang w:bidi="ar"/>
              </w:rPr>
              <w:t>审计信息化系统</w:t>
            </w:r>
          </w:p>
        </w:tc>
        <w:tc>
          <w:tcPr>
            <w:tcW w:w="1182" w:type="pct"/>
            <w:vAlign w:val="center"/>
          </w:tcPr>
          <w:p w14:paraId="223A777C">
            <w:pPr>
              <w:ind w:firstLine="0" w:firstLineChars="0"/>
              <w:jc w:val="center"/>
              <w:rPr>
                <w:rFonts w:hint="eastAsia"/>
                <w:color w:val="000000"/>
                <w:kern w:val="0"/>
                <w:sz w:val="24"/>
                <w:szCs w:val="24"/>
                <w:lang w:bidi="ar"/>
              </w:rPr>
            </w:pPr>
            <w:r>
              <w:rPr>
                <w:rFonts w:hint="eastAsia"/>
                <w:color w:val="000000"/>
                <w:kern w:val="0"/>
                <w:sz w:val="24"/>
                <w:szCs w:val="24"/>
                <w:lang w:bidi="ar"/>
              </w:rPr>
              <w:t>三级</w:t>
            </w:r>
          </w:p>
        </w:tc>
      </w:tr>
    </w:tbl>
    <w:p w14:paraId="5FC19F50">
      <w:pPr>
        <w:widowControl w:val="0"/>
        <w:ind w:firstLine="560"/>
        <w:rPr>
          <w:rFonts w:hint="eastAsia"/>
        </w:rPr>
      </w:pPr>
    </w:p>
    <w:p w14:paraId="6453B951">
      <w:pPr>
        <w:pStyle w:val="2"/>
        <w:rPr>
          <w:rFonts w:hint="eastAsia"/>
        </w:rPr>
      </w:pPr>
      <w:bookmarkStart w:id="2" w:name="_Toc69194666"/>
      <w:bookmarkStart w:id="3" w:name="_Toc69194682"/>
      <w:r>
        <w:rPr>
          <w:rFonts w:hint="eastAsia"/>
        </w:rPr>
        <w:t>服务需求</w:t>
      </w:r>
    </w:p>
    <w:p w14:paraId="10180367">
      <w:pPr>
        <w:widowControl w:val="0"/>
        <w:ind w:firstLine="560"/>
        <w:rPr>
          <w:rFonts w:hint="eastAsia"/>
        </w:rPr>
      </w:pPr>
      <w:r>
        <w:rPr>
          <w:rFonts w:hint="eastAsia"/>
        </w:rPr>
        <w:t>按照一分中心2025年商用密码应用安全性评估工作要求，按照实施范围完成信息系统密码应用安全性评估服务，出具符合规范的《密码应用安全性评估报告》，提供密码应用技术支撑并协助第一分中心各信息化服务团队开展密码应用安全整改工作。</w:t>
      </w:r>
    </w:p>
    <w:p w14:paraId="4E06B392">
      <w:pPr>
        <w:widowControl w:val="0"/>
        <w:ind w:firstLine="560"/>
        <w:rPr>
          <w:rFonts w:hint="eastAsia"/>
        </w:rPr>
      </w:pPr>
      <w:r>
        <w:rPr>
          <w:rFonts w:hint="eastAsia"/>
        </w:rPr>
        <w:t>服务方式：远程与现场相结合的方式。</w:t>
      </w:r>
    </w:p>
    <w:p w14:paraId="44969E14">
      <w:pPr>
        <w:widowControl w:val="0"/>
        <w:ind w:firstLine="560"/>
        <w:rPr>
          <w:rFonts w:hint="eastAsia"/>
        </w:rPr>
      </w:pPr>
      <w:r>
        <w:rPr>
          <w:rFonts w:hint="eastAsia"/>
        </w:rPr>
        <w:t>服务交付物：《密码应用安全性评估服务总体实施方案》、《密码应用安全性评估差距分析及密码应用建议》、《商用密码应用安全性评估报告》、《密码应用安全性评估服务年度总结报告》。</w:t>
      </w:r>
    </w:p>
    <w:bookmarkEnd w:id="2"/>
    <w:p w14:paraId="1E7166A3">
      <w:pPr>
        <w:pStyle w:val="2"/>
        <w:rPr>
          <w:rFonts w:hint="eastAsia"/>
        </w:rPr>
      </w:pPr>
      <w:r>
        <w:rPr>
          <w:rFonts w:hint="eastAsia"/>
        </w:rPr>
        <w:t>服务质量考核</w:t>
      </w:r>
      <w:bookmarkEnd w:id="3"/>
      <w:r>
        <w:rPr>
          <w:rFonts w:hint="eastAsia"/>
        </w:rPr>
        <w:t>要求</w:t>
      </w:r>
    </w:p>
    <w:p w14:paraId="0E764995">
      <w:pPr>
        <w:widowControl w:val="0"/>
        <w:ind w:firstLine="560"/>
        <w:rPr>
          <w:rFonts w:hint="eastAsia"/>
        </w:rPr>
      </w:pPr>
      <w:r>
        <w:rPr>
          <w:rFonts w:hint="eastAsia"/>
        </w:rPr>
        <w:t>服务质量的考核结果将作为确认甲方需支付的最终合同总价的依据之一。就甲方需支付的最终合同总价，服务质量考核结果为优秀和良好的按中标金额的100%支付，服务质量考核结果为一般的按中标金额的97%支付。</w:t>
      </w:r>
    </w:p>
    <w:p w14:paraId="0AB6AD9A">
      <w:pPr>
        <w:widowControl w:val="0"/>
        <w:ind w:firstLine="560"/>
        <w:rPr>
          <w:rFonts w:hint="eastAsia"/>
        </w:rPr>
      </w:pPr>
      <w:r>
        <w:rPr>
          <w:rFonts w:hint="eastAsia"/>
        </w:rPr>
        <w:t>1、根据项目要求在项目验收前完成相关商用密码应用安全性评估服务工作。</w:t>
      </w:r>
    </w:p>
    <w:p w14:paraId="58EDE54C">
      <w:pPr>
        <w:widowControl w:val="0"/>
        <w:ind w:firstLine="560"/>
        <w:rPr>
          <w:rFonts w:hint="eastAsia"/>
        </w:rPr>
      </w:pPr>
      <w:r>
        <w:rPr>
          <w:rFonts w:hint="eastAsia"/>
        </w:rPr>
        <w:t>2、服务提供方应根据第一分中心商用密码应用安全性评估项目需求，制定详细商用密码应用安全性评估工作计划和方案。</w:t>
      </w:r>
    </w:p>
    <w:p w14:paraId="499CFBE3">
      <w:pPr>
        <w:widowControl w:val="0"/>
        <w:ind w:firstLine="560"/>
        <w:rPr>
          <w:rFonts w:hint="eastAsia"/>
        </w:rPr>
      </w:pPr>
      <w:r>
        <w:rPr>
          <w:rFonts w:hint="eastAsia"/>
        </w:rPr>
        <w:t>3、商用密码应用安全性评估项目服务响应率=100%。</w:t>
      </w:r>
    </w:p>
    <w:p w14:paraId="1C48466A">
      <w:pPr>
        <w:widowControl w:val="0"/>
        <w:ind w:firstLine="560"/>
        <w:rPr>
          <w:rFonts w:hint="eastAsia"/>
        </w:rPr>
      </w:pPr>
      <w:r>
        <w:rPr>
          <w:rFonts w:hint="eastAsia"/>
        </w:rPr>
        <w:t>4、文档完整度和准确率大于95%。</w:t>
      </w:r>
    </w:p>
    <w:p w14:paraId="57BAF275">
      <w:pPr>
        <w:pStyle w:val="2"/>
        <w:rPr>
          <w:rFonts w:hint="eastAsia"/>
        </w:rPr>
      </w:pPr>
      <w:bookmarkStart w:id="4" w:name="_Toc69194685"/>
      <w:bookmarkStart w:id="5" w:name="_Toc67249662"/>
      <w:bookmarkStart w:id="6" w:name="_Toc69194684"/>
      <w:bookmarkStart w:id="7" w:name="_Toc38354903"/>
      <w:r>
        <w:rPr>
          <w:rFonts w:hint="eastAsia"/>
        </w:rPr>
        <w:t>验收要求</w:t>
      </w:r>
    </w:p>
    <w:p w14:paraId="005BD41B">
      <w:pPr>
        <w:ind w:firstLine="560"/>
        <w:rPr>
          <w:rFonts w:hint="eastAsia"/>
        </w:rPr>
      </w:pPr>
      <w:r>
        <w:rPr>
          <w:rFonts w:hint="eastAsia"/>
        </w:rPr>
        <w:t>信息系统密码测评服务期限结束两个月前，服务提供方应当以书面形式向用户方提交《商用密码应用安全性评估报告》及相关材料。用户方在收到服务提供方提交的密码应用安全性评估资料（服务周期内的服务过程文档和服务总结报告等）后20个工作日内，对服务提供方的工作进行验收。如属于服务提供方原因致使商用密码应用安全性评估服务未能通过验收的，服务提供方应当在15个工作日内进行整改，并自行承担相关商用密码应用安全性评估相关费用，再次接受用户方的验收，直至符合约定要求。</w:t>
      </w:r>
    </w:p>
    <w:p w14:paraId="44A4FC46">
      <w:pPr>
        <w:pStyle w:val="2"/>
        <w:rPr>
          <w:rFonts w:hint="eastAsia"/>
        </w:rPr>
      </w:pPr>
      <w:r>
        <w:rPr>
          <w:rFonts w:hint="eastAsia"/>
        </w:rPr>
        <w:t>应急服务</w:t>
      </w:r>
    </w:p>
    <w:p w14:paraId="2A5599CF">
      <w:pPr>
        <w:ind w:firstLine="560"/>
        <w:rPr>
          <w:rFonts w:hint="eastAsia"/>
          <w:bCs w:val="0"/>
        </w:rPr>
      </w:pPr>
      <w:r>
        <w:rPr>
          <w:rFonts w:hint="eastAsia"/>
          <w:bCs w:val="0"/>
        </w:rPr>
        <w:t>1、服务提供方坚持主动预防、迅速高效的原则，紧密结合实际情况，精心编制并持续完善应急预案。</w:t>
      </w:r>
    </w:p>
    <w:p w14:paraId="4F158669">
      <w:pPr>
        <w:ind w:firstLine="560"/>
        <w:rPr>
          <w:rFonts w:hint="eastAsia"/>
          <w:bCs w:val="0"/>
        </w:rPr>
      </w:pPr>
      <w:r>
        <w:rPr>
          <w:rFonts w:hint="eastAsia"/>
          <w:bCs w:val="0"/>
        </w:rPr>
        <w:t>2、服务提供方</w:t>
      </w:r>
      <w:r>
        <w:rPr>
          <w:rFonts w:hint="eastAsia"/>
          <w:bCs w:val="0"/>
          <w:lang w:eastAsia="zh-CN"/>
        </w:rPr>
        <w:t>需</w:t>
      </w:r>
      <w:r>
        <w:rPr>
          <w:rFonts w:hint="eastAsia"/>
          <w:bCs w:val="0"/>
        </w:rPr>
        <w:t>提供7*24小时全天候应急响应服务。</w:t>
      </w:r>
    </w:p>
    <w:p w14:paraId="161C9FDE">
      <w:pPr>
        <w:ind w:firstLine="560"/>
        <w:rPr>
          <w:rFonts w:hint="eastAsia"/>
          <w:bCs w:val="0"/>
        </w:rPr>
      </w:pPr>
      <w:r>
        <w:rPr>
          <w:rFonts w:hint="eastAsia"/>
          <w:bCs w:val="0"/>
        </w:rPr>
        <w:t>3、中心安全事件应急响应等级分为Ⅳ级、Ⅲ级、Ⅱ级、Ⅰ级，分别对应一般、较大、重大和特别重大安全事件。中心安全事件分级原则详见附件一。</w:t>
      </w:r>
    </w:p>
    <w:p w14:paraId="4A1109DF">
      <w:pPr>
        <w:ind w:firstLine="560"/>
        <w:rPr>
          <w:rFonts w:hint="eastAsia"/>
          <w:bCs w:val="0"/>
        </w:rPr>
      </w:pPr>
      <w:r>
        <w:rPr>
          <w:rFonts w:hint="eastAsia"/>
          <w:bCs w:val="0"/>
        </w:rPr>
        <w:t>当：</w:t>
      </w:r>
    </w:p>
    <w:p w14:paraId="6D11004D">
      <w:pPr>
        <w:ind w:firstLine="560"/>
        <w:rPr>
          <w:rFonts w:hint="eastAsia"/>
          <w:bCs w:val="0"/>
        </w:rPr>
      </w:pPr>
      <w:r>
        <w:rPr>
          <w:rFonts w:hint="eastAsia"/>
          <w:bCs w:val="0"/>
        </w:rPr>
        <w:t>a、发生Ⅰ级（特别重大）故障后0.5小时内无法通过电话或远程支持服务排除故障，如采购人要求提供现场支持，服务提供方应2小时内到达用户现场；</w:t>
      </w:r>
    </w:p>
    <w:p w14:paraId="25B1A63C">
      <w:pPr>
        <w:ind w:firstLine="560"/>
        <w:rPr>
          <w:rFonts w:hint="eastAsia"/>
          <w:bCs w:val="0"/>
        </w:rPr>
      </w:pPr>
      <w:r>
        <w:rPr>
          <w:rFonts w:hint="eastAsia"/>
          <w:bCs w:val="0"/>
        </w:rPr>
        <w:t>b、发生Ⅱ级（重大）故障后0.5小时内无法通过电话或远程支持服务排除故障，如采购人要求提供现场支持，服务提供方应3小时内到达用户现场；</w:t>
      </w:r>
    </w:p>
    <w:p w14:paraId="78C87742">
      <w:pPr>
        <w:ind w:firstLine="560"/>
        <w:rPr>
          <w:rFonts w:hint="eastAsia"/>
          <w:bCs w:val="0"/>
        </w:rPr>
      </w:pPr>
      <w:r>
        <w:rPr>
          <w:rFonts w:hint="eastAsia"/>
          <w:bCs w:val="0"/>
        </w:rPr>
        <w:t>c、发生Ⅲ级（较大）故障后1小时内无法通过电话或远程支持服务排除故障，如采购人要求提供现场支持，服务提供方应3小时内到达用户现场；</w:t>
      </w:r>
    </w:p>
    <w:p w14:paraId="1F8F2674">
      <w:pPr>
        <w:ind w:firstLine="560"/>
        <w:rPr>
          <w:rFonts w:hint="eastAsia"/>
          <w:bCs w:val="0"/>
        </w:rPr>
      </w:pPr>
      <w:r>
        <w:rPr>
          <w:rFonts w:hint="eastAsia"/>
          <w:bCs w:val="0"/>
        </w:rPr>
        <w:t>d、发生Ⅳ级（一般）故障后1小时内无法通过电话或远程支持服务排除故障，如采购人要求提供现场支持，服务提供方应4小时内到达用户现场。</w:t>
      </w:r>
    </w:p>
    <w:p w14:paraId="1494B022">
      <w:pPr>
        <w:ind w:firstLine="560"/>
        <w:rPr>
          <w:rFonts w:hint="eastAsia"/>
          <w:bCs w:val="0"/>
        </w:rPr>
      </w:pPr>
      <w:r>
        <w:rPr>
          <w:rFonts w:hint="eastAsia"/>
          <w:bCs w:val="0"/>
        </w:rPr>
        <w:t>4、如发生故障，服务提供方应严格按照制定的应急预案中故障处理流程实施故障排除操作。</w:t>
      </w:r>
    </w:p>
    <w:p w14:paraId="52EE61BE">
      <w:pPr>
        <w:ind w:firstLine="560"/>
        <w:rPr>
          <w:rFonts w:hint="eastAsia"/>
          <w:bCs w:val="0"/>
        </w:rPr>
      </w:pPr>
      <w:r>
        <w:rPr>
          <w:rFonts w:hint="eastAsia"/>
          <w:bCs w:val="0"/>
        </w:rPr>
        <w:t>5、当故障排除操作全部完成后，服务提供方应向采购人提交运维故障报告，经采购单位验证通过后签字确认并归档保存，同时组织更新相关文档。</w:t>
      </w:r>
    </w:p>
    <w:p w14:paraId="09B4CAAA">
      <w:pPr>
        <w:widowControl w:val="0"/>
        <w:ind w:firstLine="560"/>
        <w:rPr>
          <w:rFonts w:hint="eastAsia"/>
          <w:bCs w:val="0"/>
        </w:rPr>
      </w:pPr>
      <w:r>
        <w:rPr>
          <w:rFonts w:hint="eastAsia"/>
          <w:bCs w:val="0"/>
        </w:rPr>
        <w:t>6、如遇有重大事件（包括汛期、节假日、政治军事活动等），服务提供方应科学编制安全保障方案，并根据采购人需要提供现场保障服务。</w:t>
      </w:r>
    </w:p>
    <w:p w14:paraId="1EF1F9E0">
      <w:pPr>
        <w:pStyle w:val="2"/>
        <w:rPr>
          <w:rFonts w:hint="eastAsia"/>
        </w:rPr>
      </w:pPr>
      <w:r>
        <w:rPr>
          <w:rFonts w:hint="eastAsia"/>
        </w:rPr>
        <w:t>服务组织和人员</w:t>
      </w:r>
      <w:bookmarkEnd w:id="4"/>
      <w:r>
        <w:rPr>
          <w:rFonts w:hint="eastAsia"/>
        </w:rPr>
        <w:t>要求</w:t>
      </w:r>
    </w:p>
    <w:p w14:paraId="62B87E13">
      <w:pPr>
        <w:ind w:firstLine="560"/>
        <w:rPr>
          <w:rFonts w:hint="eastAsia"/>
        </w:rPr>
      </w:pPr>
      <w:r>
        <w:rPr>
          <w:rFonts w:hint="eastAsia"/>
        </w:rPr>
        <w:t>供应商具有商用密码产品检测服务相关的ISO9001质量管理认证</w:t>
      </w:r>
      <w:r>
        <w:rPr>
          <w:rFonts w:hint="eastAsia"/>
          <w:lang w:eastAsia="zh-CN"/>
        </w:rPr>
        <w:t>、</w:t>
      </w:r>
      <w:r>
        <w:rPr>
          <w:rFonts w:hint="eastAsia"/>
        </w:rPr>
        <w:t>具有商用密码产品检测服务相关的ISO27001信息安全管理认证</w:t>
      </w:r>
      <w:r>
        <w:rPr>
          <w:rFonts w:hint="eastAsia"/>
          <w:lang w:eastAsia="zh-CN"/>
        </w:rPr>
        <w:t>、</w:t>
      </w:r>
      <w:r>
        <w:rPr>
          <w:rFonts w:hint="eastAsia"/>
        </w:rPr>
        <w:t>具有CNAS检测机构认可证书</w:t>
      </w:r>
      <w:r>
        <w:rPr>
          <w:rFonts w:hint="eastAsia"/>
          <w:lang w:eastAsia="zh-CN"/>
        </w:rPr>
        <w:t>的优先考虑</w:t>
      </w:r>
      <w:r>
        <w:rPr>
          <w:rFonts w:hint="eastAsia"/>
        </w:rPr>
        <w:t>。</w:t>
      </w:r>
    </w:p>
    <w:p w14:paraId="009C16F6">
      <w:pPr>
        <w:ind w:firstLine="560"/>
        <w:rPr>
          <w:rFonts w:hint="eastAsia"/>
        </w:rPr>
      </w:pPr>
      <w:r>
        <w:rPr>
          <w:rFonts w:hint="eastAsia"/>
        </w:rPr>
        <w:t>密码测评服务团队至少配备8名密码测评服务人员，其中专职项目经理1人，测评人员6人，保密和档案管理</w:t>
      </w:r>
      <w:bookmarkStart w:id="12" w:name="_GoBack"/>
      <w:bookmarkEnd w:id="12"/>
      <w:r>
        <w:rPr>
          <w:rFonts w:hint="eastAsia"/>
        </w:rPr>
        <w:t>员1人。具体人员如下：</w:t>
      </w:r>
    </w:p>
    <w:tbl>
      <w:tblPr>
        <w:tblStyle w:val="26"/>
        <w:tblpPr w:leftFromText="180" w:rightFromText="180" w:vertAnchor="text" w:horzAnchor="page" w:tblpXSpec="center" w:tblpY="28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475"/>
        <w:gridCol w:w="812"/>
        <w:gridCol w:w="2975"/>
        <w:gridCol w:w="1397"/>
      </w:tblGrid>
      <w:tr w14:paraId="10BD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10" w:type="pct"/>
            <w:vAlign w:val="center"/>
          </w:tcPr>
          <w:p w14:paraId="359EBB86">
            <w:pPr>
              <w:ind w:firstLine="0" w:firstLineChars="0"/>
              <w:jc w:val="center"/>
              <w:rPr>
                <w:rFonts w:hint="eastAsia"/>
                <w:b/>
              </w:rPr>
            </w:pPr>
            <w:r>
              <w:rPr>
                <w:rFonts w:hint="eastAsia"/>
                <w:b/>
              </w:rPr>
              <w:t>角色</w:t>
            </w:r>
          </w:p>
        </w:tc>
        <w:tc>
          <w:tcPr>
            <w:tcW w:w="1451" w:type="pct"/>
            <w:vAlign w:val="center"/>
          </w:tcPr>
          <w:p w14:paraId="3465DF43">
            <w:pPr>
              <w:ind w:firstLine="0" w:firstLineChars="0"/>
              <w:jc w:val="center"/>
              <w:rPr>
                <w:rFonts w:hint="eastAsia"/>
                <w:b/>
              </w:rPr>
            </w:pPr>
            <w:r>
              <w:rPr>
                <w:rFonts w:hint="eastAsia"/>
                <w:b/>
              </w:rPr>
              <w:t>主要职责</w:t>
            </w:r>
          </w:p>
        </w:tc>
        <w:tc>
          <w:tcPr>
            <w:tcW w:w="476" w:type="pct"/>
            <w:vAlign w:val="center"/>
          </w:tcPr>
          <w:p w14:paraId="34C48297">
            <w:pPr>
              <w:ind w:firstLine="0" w:firstLineChars="0"/>
              <w:jc w:val="center"/>
              <w:rPr>
                <w:rFonts w:hint="eastAsia"/>
                <w:b/>
              </w:rPr>
            </w:pPr>
            <w:r>
              <w:rPr>
                <w:rFonts w:hint="eastAsia"/>
                <w:b/>
              </w:rPr>
              <w:t>人数</w:t>
            </w:r>
          </w:p>
        </w:tc>
        <w:tc>
          <w:tcPr>
            <w:tcW w:w="1744" w:type="pct"/>
            <w:vAlign w:val="center"/>
          </w:tcPr>
          <w:p w14:paraId="47351EC0">
            <w:pPr>
              <w:ind w:firstLine="0" w:firstLineChars="0"/>
              <w:jc w:val="center"/>
              <w:rPr>
                <w:rFonts w:hint="eastAsia"/>
                <w:b/>
              </w:rPr>
            </w:pPr>
            <w:r>
              <w:rPr>
                <w:rFonts w:hint="eastAsia"/>
                <w:b/>
              </w:rPr>
              <w:t>人员要求</w:t>
            </w:r>
          </w:p>
        </w:tc>
        <w:tc>
          <w:tcPr>
            <w:tcW w:w="820" w:type="pct"/>
            <w:vAlign w:val="center"/>
          </w:tcPr>
          <w:p w14:paraId="1D63087C">
            <w:pPr>
              <w:ind w:firstLine="0" w:firstLineChars="0"/>
              <w:jc w:val="center"/>
              <w:rPr>
                <w:rFonts w:hint="eastAsia"/>
                <w:b/>
              </w:rPr>
            </w:pPr>
            <w:r>
              <w:rPr>
                <w:rFonts w:hint="eastAsia"/>
                <w:b/>
              </w:rPr>
              <w:t>驻场要求</w:t>
            </w:r>
          </w:p>
        </w:tc>
      </w:tr>
      <w:tr w14:paraId="1FF1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510" w:type="pct"/>
            <w:vAlign w:val="center"/>
          </w:tcPr>
          <w:p w14:paraId="1C520588">
            <w:pPr>
              <w:ind w:firstLine="0" w:firstLineChars="0"/>
              <w:jc w:val="center"/>
              <w:rPr>
                <w:rFonts w:hint="eastAsia"/>
              </w:rPr>
            </w:pPr>
            <w:r>
              <w:rPr>
                <w:rFonts w:hint="eastAsia"/>
              </w:rPr>
              <w:t>项目经理</w:t>
            </w:r>
          </w:p>
        </w:tc>
        <w:tc>
          <w:tcPr>
            <w:tcW w:w="1451" w:type="pct"/>
            <w:vAlign w:val="center"/>
          </w:tcPr>
          <w:p w14:paraId="03798ADC">
            <w:pPr>
              <w:ind w:firstLine="0" w:firstLineChars="0"/>
              <w:jc w:val="center"/>
              <w:rPr>
                <w:rFonts w:hint="eastAsia"/>
              </w:rPr>
            </w:pPr>
            <w:r>
              <w:rPr>
                <w:rFonts w:hint="eastAsia"/>
              </w:rPr>
              <w:t>负责制定项目计划方案，管控项目实施进度、团队人员日常管理，协调处理项目过程中遇到的各类问题。</w:t>
            </w:r>
          </w:p>
        </w:tc>
        <w:tc>
          <w:tcPr>
            <w:tcW w:w="476" w:type="pct"/>
            <w:vAlign w:val="center"/>
          </w:tcPr>
          <w:p w14:paraId="7DE189B0">
            <w:pPr>
              <w:ind w:firstLine="0" w:firstLineChars="0"/>
              <w:jc w:val="center"/>
              <w:rPr>
                <w:rFonts w:hint="eastAsia"/>
              </w:rPr>
            </w:pPr>
            <w:r>
              <w:rPr>
                <w:rFonts w:hint="eastAsia"/>
              </w:rPr>
              <w:t>1</w:t>
            </w:r>
          </w:p>
        </w:tc>
        <w:tc>
          <w:tcPr>
            <w:tcW w:w="1744" w:type="pct"/>
            <w:vAlign w:val="center"/>
          </w:tcPr>
          <w:p w14:paraId="06545DEC">
            <w:pPr>
              <w:ind w:firstLine="0" w:firstLineChars="0"/>
              <w:jc w:val="left"/>
              <w:rPr>
                <w:rFonts w:hint="eastAsia"/>
              </w:rPr>
            </w:pPr>
            <w:r>
              <w:rPr>
                <w:rFonts w:hint="eastAsia"/>
              </w:rPr>
              <w:t>具备《商用密码应用测评人员测评能力考核》证书；具备5年及以上密码应用安全性评估经验；具有密码技术应用员证书、信息安全高级工程师。</w:t>
            </w:r>
          </w:p>
        </w:tc>
        <w:tc>
          <w:tcPr>
            <w:tcW w:w="820" w:type="pct"/>
            <w:vAlign w:val="center"/>
          </w:tcPr>
          <w:p w14:paraId="5112D277">
            <w:pPr>
              <w:ind w:firstLine="0" w:firstLineChars="0"/>
              <w:jc w:val="center"/>
              <w:rPr>
                <w:rFonts w:hint="eastAsia"/>
              </w:rPr>
            </w:pPr>
            <w:r>
              <w:rPr>
                <w:rFonts w:hint="eastAsia"/>
              </w:rPr>
              <w:t>不驻场</w:t>
            </w:r>
          </w:p>
        </w:tc>
      </w:tr>
      <w:tr w14:paraId="09D5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510" w:type="pct"/>
            <w:vAlign w:val="center"/>
          </w:tcPr>
          <w:p w14:paraId="42C02704">
            <w:pPr>
              <w:ind w:firstLine="0" w:firstLineChars="0"/>
              <w:jc w:val="center"/>
              <w:rPr>
                <w:rFonts w:hint="eastAsia"/>
              </w:rPr>
            </w:pPr>
            <w:r>
              <w:rPr>
                <w:rFonts w:hint="eastAsia"/>
              </w:rPr>
              <w:t>测评</w:t>
            </w:r>
          </w:p>
          <w:p w14:paraId="76B68AC1">
            <w:pPr>
              <w:ind w:firstLine="0" w:firstLineChars="0"/>
              <w:jc w:val="center"/>
              <w:rPr>
                <w:rFonts w:hint="eastAsia"/>
              </w:rPr>
            </w:pPr>
            <w:r>
              <w:rPr>
                <w:rFonts w:hint="eastAsia"/>
              </w:rPr>
              <w:t>人员</w:t>
            </w:r>
          </w:p>
        </w:tc>
        <w:tc>
          <w:tcPr>
            <w:tcW w:w="1451" w:type="pct"/>
            <w:vAlign w:val="center"/>
          </w:tcPr>
          <w:p w14:paraId="023234ED">
            <w:pPr>
              <w:ind w:firstLine="0" w:firstLineChars="0"/>
              <w:jc w:val="center"/>
              <w:rPr>
                <w:rFonts w:hint="eastAsia"/>
              </w:rPr>
            </w:pPr>
            <w:r>
              <w:rPr>
                <w:rFonts w:hint="eastAsia"/>
              </w:rPr>
              <w:t>负责项目实施过程中技术应用的测评工作。</w:t>
            </w:r>
          </w:p>
        </w:tc>
        <w:tc>
          <w:tcPr>
            <w:tcW w:w="476" w:type="pct"/>
            <w:vAlign w:val="center"/>
          </w:tcPr>
          <w:p w14:paraId="1ED819CF">
            <w:pPr>
              <w:ind w:firstLine="0" w:firstLineChars="0"/>
              <w:jc w:val="center"/>
              <w:rPr>
                <w:rFonts w:hint="eastAsia"/>
              </w:rPr>
            </w:pPr>
            <w:r>
              <w:rPr>
                <w:rFonts w:hint="eastAsia"/>
              </w:rPr>
              <w:t>6</w:t>
            </w:r>
          </w:p>
        </w:tc>
        <w:tc>
          <w:tcPr>
            <w:tcW w:w="1744" w:type="pct"/>
            <w:vAlign w:val="center"/>
          </w:tcPr>
          <w:p w14:paraId="3943658C">
            <w:pPr>
              <w:ind w:firstLine="0" w:firstLineChars="0"/>
              <w:jc w:val="left"/>
              <w:rPr>
                <w:rFonts w:hint="eastAsia"/>
              </w:rPr>
            </w:pPr>
            <w:r>
              <w:rPr>
                <w:rFonts w:hint="eastAsia"/>
              </w:rPr>
              <w:t>具备《商用密码应用测评人员测评能力考核》和密码技术应用员证书；具备3年及以上密码应用安全性评估经验。</w:t>
            </w:r>
          </w:p>
        </w:tc>
        <w:tc>
          <w:tcPr>
            <w:tcW w:w="820" w:type="pct"/>
            <w:vAlign w:val="center"/>
          </w:tcPr>
          <w:p w14:paraId="1F381DC2">
            <w:pPr>
              <w:ind w:firstLine="0" w:firstLineChars="0"/>
              <w:jc w:val="center"/>
              <w:rPr>
                <w:rFonts w:hint="eastAsia"/>
              </w:rPr>
            </w:pPr>
            <w:r>
              <w:t>根据实际需求进行</w:t>
            </w:r>
            <w:bookmarkStart w:id="8" w:name="OLE_LINK2"/>
            <w:r>
              <w:t>驻场或者远程服务</w:t>
            </w:r>
            <w:bookmarkEnd w:id="8"/>
          </w:p>
        </w:tc>
      </w:tr>
      <w:tr w14:paraId="5865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10" w:type="pct"/>
            <w:vAlign w:val="center"/>
          </w:tcPr>
          <w:p w14:paraId="093C90B0">
            <w:pPr>
              <w:ind w:firstLine="0" w:firstLineChars="0"/>
              <w:jc w:val="center"/>
              <w:rPr>
                <w:rFonts w:hint="eastAsia"/>
              </w:rPr>
            </w:pPr>
            <w:r>
              <w:rPr>
                <w:rFonts w:hint="eastAsia"/>
              </w:rPr>
              <w:t>档案管理员</w:t>
            </w:r>
          </w:p>
        </w:tc>
        <w:tc>
          <w:tcPr>
            <w:tcW w:w="1451" w:type="pct"/>
            <w:vAlign w:val="center"/>
          </w:tcPr>
          <w:p w14:paraId="46166069">
            <w:pPr>
              <w:ind w:firstLine="0" w:firstLineChars="0"/>
              <w:jc w:val="center"/>
              <w:rPr>
                <w:rFonts w:hint="eastAsia"/>
              </w:rPr>
            </w:pPr>
            <w:r>
              <w:rPr>
                <w:rFonts w:hint="eastAsia"/>
              </w:rPr>
              <w:t>负责对项目档案的接收、分类、编目等资料档案管理工作。</w:t>
            </w:r>
          </w:p>
        </w:tc>
        <w:tc>
          <w:tcPr>
            <w:tcW w:w="476" w:type="pct"/>
            <w:vAlign w:val="center"/>
          </w:tcPr>
          <w:p w14:paraId="1628D399">
            <w:pPr>
              <w:ind w:firstLine="0" w:firstLineChars="0"/>
              <w:jc w:val="center"/>
              <w:rPr>
                <w:rFonts w:hint="eastAsia"/>
              </w:rPr>
            </w:pPr>
            <w:r>
              <w:rPr>
                <w:rFonts w:hint="eastAsia"/>
              </w:rPr>
              <w:t>1</w:t>
            </w:r>
          </w:p>
        </w:tc>
        <w:tc>
          <w:tcPr>
            <w:tcW w:w="1744" w:type="pct"/>
            <w:vAlign w:val="center"/>
          </w:tcPr>
          <w:p w14:paraId="673CF6E0">
            <w:pPr>
              <w:ind w:firstLine="0" w:firstLineChars="0"/>
              <w:jc w:val="left"/>
              <w:rPr>
                <w:rFonts w:hint="eastAsia"/>
              </w:rPr>
            </w:pPr>
            <w:r>
              <w:rPr>
                <w:rFonts w:hint="eastAsia"/>
              </w:rPr>
              <w:t>具备《商用密码应用测评人员测评能力考核》证书。</w:t>
            </w:r>
          </w:p>
        </w:tc>
        <w:tc>
          <w:tcPr>
            <w:tcW w:w="820" w:type="pct"/>
            <w:vAlign w:val="center"/>
          </w:tcPr>
          <w:p w14:paraId="5D9AC6F2">
            <w:pPr>
              <w:ind w:firstLine="0" w:firstLineChars="0"/>
              <w:jc w:val="center"/>
              <w:rPr>
                <w:rFonts w:hint="eastAsia"/>
              </w:rPr>
            </w:pPr>
            <w:r>
              <w:rPr>
                <w:rFonts w:hint="eastAsia"/>
              </w:rPr>
              <w:t>不驻场</w:t>
            </w:r>
          </w:p>
        </w:tc>
      </w:tr>
      <w:bookmarkEnd w:id="5"/>
      <w:bookmarkEnd w:id="6"/>
      <w:bookmarkEnd w:id="7"/>
    </w:tbl>
    <w:p w14:paraId="434D3A9F">
      <w:pPr>
        <w:pStyle w:val="2"/>
        <w:rPr>
          <w:rFonts w:hint="eastAsia"/>
        </w:rPr>
      </w:pPr>
      <w:bookmarkStart w:id="9" w:name="_Toc69194686"/>
      <w:bookmarkStart w:id="10" w:name="_Toc69194690"/>
      <w:r>
        <w:rPr>
          <w:rFonts w:hint="eastAsia"/>
        </w:rPr>
        <w:t>密码测评工具和模拟测评环境要求</w:t>
      </w:r>
    </w:p>
    <w:p w14:paraId="53375381">
      <w:pPr>
        <w:pStyle w:val="3"/>
        <w:rPr>
          <w:rFonts w:hint="eastAsia"/>
        </w:rPr>
      </w:pPr>
      <w:r>
        <w:rPr>
          <w:rFonts w:hint="eastAsia"/>
        </w:rPr>
        <w:t>测评工具要求</w:t>
      </w:r>
    </w:p>
    <w:p w14:paraId="4FC1E02B">
      <w:pPr>
        <w:widowControl w:val="0"/>
        <w:ind w:firstLine="560"/>
        <w:rPr>
          <w:rFonts w:hint="eastAsia"/>
        </w:rPr>
      </w:pPr>
      <w:r>
        <w:rPr>
          <w:rFonts w:hint="eastAsia"/>
        </w:rPr>
        <w:t>本次项目实施过程中所使用到的测评工具，应包括具有自主知识产权或计算机软件著作权的密码检测工具（详细描述所使用工具的型号、功能、使用的方式和对环境和平台的要求以及使用可能对系统造成的风险等），对系统数据进行分析，并以分析结果辅证评估报告。</w:t>
      </w:r>
    </w:p>
    <w:p w14:paraId="2B9CD989">
      <w:pPr>
        <w:ind w:firstLine="560"/>
        <w:rPr>
          <w:rFonts w:hint="eastAsia"/>
        </w:rPr>
      </w:pPr>
      <w:r>
        <w:rPr>
          <w:rFonts w:hint="eastAsia"/>
        </w:rPr>
        <w:t>检测工具包括但不限于以下几类：</w:t>
      </w:r>
    </w:p>
    <w:p w14:paraId="6BB6E253">
      <w:pPr>
        <w:pStyle w:val="33"/>
        <w:numPr>
          <w:ilvl w:val="0"/>
          <w:numId w:val="6"/>
        </w:numPr>
        <w:ind w:firstLine="560"/>
        <w:rPr>
          <w:rFonts w:hint="eastAsia"/>
        </w:rPr>
      </w:pPr>
      <w:r>
        <w:rPr>
          <w:rFonts w:hint="eastAsia"/>
        </w:rPr>
        <w:t>密码算法验证工具，包括国密算法SM2、SM3、SM4，常见的国际通用算法AES、DES、RSA等的验证；</w:t>
      </w:r>
    </w:p>
    <w:p w14:paraId="57C487DB">
      <w:pPr>
        <w:pStyle w:val="33"/>
        <w:numPr>
          <w:ilvl w:val="0"/>
          <w:numId w:val="6"/>
        </w:numPr>
        <w:ind w:firstLine="560"/>
        <w:rPr>
          <w:rFonts w:hint="eastAsia"/>
        </w:rPr>
      </w:pPr>
      <w:r>
        <w:rPr>
          <w:rFonts w:hint="eastAsia"/>
        </w:rPr>
        <w:t>随机数随机性检测工具；</w:t>
      </w:r>
    </w:p>
    <w:p w14:paraId="70ADBADB">
      <w:pPr>
        <w:pStyle w:val="33"/>
        <w:numPr>
          <w:ilvl w:val="0"/>
          <w:numId w:val="6"/>
        </w:numPr>
        <w:ind w:firstLine="560"/>
        <w:rPr>
          <w:rFonts w:hint="eastAsia"/>
        </w:rPr>
      </w:pPr>
      <w:r>
        <w:rPr>
          <w:rFonts w:hint="eastAsia"/>
        </w:rPr>
        <w:t>数字证书检测工具，包括数字证书的格式的合规性验证、数字证书的证书链的检验等；</w:t>
      </w:r>
    </w:p>
    <w:p w14:paraId="51BC645C">
      <w:pPr>
        <w:pStyle w:val="33"/>
        <w:numPr>
          <w:ilvl w:val="0"/>
          <w:numId w:val="6"/>
        </w:numPr>
        <w:ind w:firstLine="560"/>
        <w:rPr>
          <w:rFonts w:hint="eastAsia"/>
        </w:rPr>
      </w:pPr>
      <w:r>
        <w:rPr>
          <w:rFonts w:hint="eastAsia"/>
        </w:rPr>
        <w:t>网络协议分析工具；包括但不限于SSL协议、IPSec 协议；包括主动协议分析工具和被动分析工具。</w:t>
      </w:r>
    </w:p>
    <w:p w14:paraId="39703939">
      <w:pPr>
        <w:pStyle w:val="3"/>
        <w:rPr>
          <w:rFonts w:hint="eastAsia"/>
        </w:rPr>
      </w:pPr>
      <w:r>
        <w:rPr>
          <w:rFonts w:hint="eastAsia"/>
        </w:rPr>
        <w:t>模拟测评环境要求</w:t>
      </w:r>
    </w:p>
    <w:p w14:paraId="37300970">
      <w:pPr>
        <w:ind w:firstLine="560"/>
        <w:rPr>
          <w:rFonts w:hint="eastAsia"/>
        </w:rPr>
      </w:pPr>
      <w:r>
        <w:rPr>
          <w:rFonts w:hint="eastAsia"/>
        </w:rPr>
        <w:t>服务提供方具有密码测评模拟验证环境的能力及相关设备，包括但不限于以下的密码设备：</w:t>
      </w:r>
    </w:p>
    <w:p w14:paraId="10F35BB2">
      <w:pPr>
        <w:pStyle w:val="33"/>
        <w:numPr>
          <w:ilvl w:val="0"/>
          <w:numId w:val="0"/>
        </w:numPr>
        <w:ind w:firstLine="560" w:firstLineChars="200"/>
        <w:rPr>
          <w:rFonts w:hint="eastAsia"/>
        </w:rPr>
      </w:pPr>
      <w:r>
        <w:rPr>
          <w:rFonts w:hint="eastAsia"/>
        </w:rPr>
        <w:t>1、</w:t>
      </w:r>
      <w:r>
        <w:t>SSL VPN：支持国密算法；具有商用密码产品认证证书，用于搭建SSL VPN网络，模拟SSL VPN通信信道的测评。</w:t>
      </w:r>
    </w:p>
    <w:p w14:paraId="10341D36">
      <w:pPr>
        <w:pStyle w:val="33"/>
        <w:numPr>
          <w:ilvl w:val="0"/>
          <w:numId w:val="0"/>
        </w:numPr>
        <w:ind w:firstLine="560" w:firstLineChars="200"/>
        <w:rPr>
          <w:rFonts w:hint="eastAsia"/>
        </w:rPr>
      </w:pPr>
      <w:r>
        <w:t>2、IPSec VPN：支持国密算法；具有商用密码产品认证证书，用于搭建IPSec VPN网络，模拟IPSec VPN通信信道的测评。</w:t>
      </w:r>
    </w:p>
    <w:p w14:paraId="57E66C1F">
      <w:pPr>
        <w:pStyle w:val="33"/>
        <w:numPr>
          <w:ilvl w:val="0"/>
          <w:numId w:val="0"/>
        </w:numPr>
        <w:ind w:firstLine="560" w:firstLineChars="200"/>
        <w:rPr>
          <w:rFonts w:hint="eastAsia"/>
        </w:rPr>
      </w:pPr>
      <w:r>
        <w:t>3、服务器密码机：支持国密算法；具有商用密码产品认证证书，用于实现重要数据的加解密和完整性保护，模拟重要数据加解密和完整性保护的测评。</w:t>
      </w:r>
    </w:p>
    <w:p w14:paraId="0EA3CDE8">
      <w:pPr>
        <w:pStyle w:val="2"/>
        <w:rPr>
          <w:rFonts w:hint="eastAsia"/>
        </w:rPr>
      </w:pPr>
      <w:r>
        <w:rPr>
          <w:rFonts w:hint="eastAsia"/>
        </w:rPr>
        <w:t>密码应用安全性评估服务管理要求</w:t>
      </w:r>
    </w:p>
    <w:p w14:paraId="5CBFFA46">
      <w:pPr>
        <w:pStyle w:val="3"/>
        <w:rPr>
          <w:rFonts w:hint="eastAsia"/>
        </w:rPr>
      </w:pPr>
      <w:r>
        <w:rPr>
          <w:rFonts w:hint="eastAsia"/>
        </w:rPr>
        <w:t>密码应用安全性评估服务原则</w:t>
      </w:r>
    </w:p>
    <w:p w14:paraId="74EFFAEE">
      <w:pPr>
        <w:ind w:firstLine="560"/>
        <w:rPr>
          <w:rFonts w:hint="eastAsia"/>
        </w:rPr>
      </w:pPr>
      <w:r>
        <w:t>本项目商用密码应用安全性测评实施方案设计与具体实施应满足以下原则：</w:t>
      </w:r>
    </w:p>
    <w:p w14:paraId="49961623">
      <w:pPr>
        <w:ind w:firstLine="560"/>
        <w:rPr>
          <w:rFonts w:hint="eastAsia"/>
        </w:rPr>
      </w:pPr>
      <w:r>
        <w:t>1、客观公正原则：测评实施过程中测评人员应保证在最小主观判断情形下，按照测评双方认可的测评方案，基于明确定义的测评方式和解释，实施测评活动。</w:t>
      </w:r>
    </w:p>
    <w:p w14:paraId="142B3993">
      <w:pPr>
        <w:ind w:firstLine="560"/>
        <w:rPr>
          <w:rFonts w:hint="eastAsia"/>
        </w:rPr>
      </w:pPr>
      <w:r>
        <w:t>2、经济性和可重用性原则：测评工作可重用已有测评结果，包括商用密码应用安全性测评结果。 所有重用结果都应以结果适用于待测评系统为前提，并能够客观反映目前系统的安全状态。</w:t>
      </w:r>
    </w:p>
    <w:p w14:paraId="1BE91B4D">
      <w:pPr>
        <w:ind w:firstLine="560"/>
        <w:rPr>
          <w:rFonts w:hint="eastAsia"/>
        </w:rPr>
      </w:pPr>
      <w:r>
        <w:t>3、可重复性和可再现性原则：依照同样的要求，使用同样的测评方法，不同的测评机构对每个测评实施过程的重复执行应得到同样的结果。可再现性和可重复性的区别在于，前者关注不同测评者测评结果的一致性，后者则与同一测评者测评结果的一致性有关。</w:t>
      </w:r>
    </w:p>
    <w:p w14:paraId="1BA1E6FE">
      <w:pPr>
        <w:ind w:firstLine="560"/>
        <w:rPr>
          <w:rFonts w:hint="eastAsia"/>
        </w:rPr>
      </w:pPr>
      <w:r>
        <w:t>4、结果完善性原则：在正确理解《GB/T39786-2021 信息安全技术信息系统密码应用基本要求》各个要求项内容的基础之上，检测所产生的结果应客观反映系统的运行状态。测评过程和结果应服从正确的测评方法，确保其满足要求。</w:t>
      </w:r>
    </w:p>
    <w:p w14:paraId="7FF4E740">
      <w:pPr>
        <w:pStyle w:val="3"/>
        <w:rPr>
          <w:rFonts w:hint="eastAsia"/>
        </w:rPr>
      </w:pPr>
      <w:r>
        <w:rPr>
          <w:rFonts w:hint="eastAsia"/>
        </w:rPr>
        <w:t>密码应用安全性评估服务过程及内容要求</w:t>
      </w:r>
    </w:p>
    <w:p w14:paraId="0938A842">
      <w:pPr>
        <w:ind w:firstLine="560"/>
        <w:rPr>
          <w:rFonts w:hint="eastAsia"/>
        </w:rPr>
      </w:pPr>
      <w:r>
        <w:t>测评服务过程包括四项基本测评活动：测评准备活动、方案编制活动、现场测评活动、分析与报告编制活动。测评方与被测单位之间的沟通与洽谈应贯穿整个测评过程。</w:t>
      </w:r>
    </w:p>
    <w:p w14:paraId="203DEEA9">
      <w:pPr>
        <w:ind w:firstLine="560"/>
        <w:rPr>
          <w:rFonts w:hint="eastAsia"/>
        </w:rPr>
      </w:pPr>
      <w:r>
        <w:t>1、测评准备活动</w:t>
      </w:r>
    </w:p>
    <w:p w14:paraId="2861B9DB">
      <w:pPr>
        <w:ind w:firstLine="560"/>
        <w:rPr>
          <w:rFonts w:hint="eastAsia"/>
        </w:rPr>
      </w:pPr>
      <w:r>
        <w:t>本活动是开展测评工作的前提和基础，主要任务是掌握被测信息系统的详细情况，准备测评工具，为编制商用密码应用安全性评估方案做好准备。</w:t>
      </w:r>
    </w:p>
    <w:p w14:paraId="791D1748">
      <w:pPr>
        <w:ind w:firstLine="560"/>
        <w:rPr>
          <w:rFonts w:hint="eastAsia"/>
        </w:rPr>
      </w:pPr>
      <w:r>
        <w:t>2、方案编制活动</w:t>
      </w:r>
    </w:p>
    <w:p w14:paraId="4978D017">
      <w:pPr>
        <w:ind w:firstLine="560"/>
        <w:rPr>
          <w:rFonts w:hint="eastAsia"/>
        </w:rPr>
      </w:pPr>
      <w:r>
        <w:t>本活动是开展测评工作的关键活动，主要任务是确定与被测信息系统相适应的测评对象、测评指标、测评检查点及测评内容等，形成商用密码应用安全性评估方案，为实施现场测评提供依据。</w:t>
      </w:r>
    </w:p>
    <w:p w14:paraId="0CB6A109">
      <w:pPr>
        <w:ind w:firstLine="560"/>
        <w:rPr>
          <w:rFonts w:hint="eastAsia"/>
        </w:rPr>
      </w:pPr>
      <w:r>
        <w:t>3、现场测评活动</w:t>
      </w:r>
    </w:p>
    <w:p w14:paraId="02FECAC3">
      <w:pPr>
        <w:ind w:firstLine="560"/>
        <w:rPr>
          <w:rFonts w:hint="eastAsia"/>
        </w:rPr>
      </w:pPr>
      <w:r>
        <w:t>本活动是开展测评工作的核心活动，主要任务是根据商用密码应用安全性评估方案分步实施所有测评项目，以了解被测信息系统真实的密码应用现状，获取足够的证据，发现其存在的密码应用安全性问题。</w:t>
      </w:r>
    </w:p>
    <w:p w14:paraId="29D9E9F3">
      <w:pPr>
        <w:ind w:firstLine="560"/>
        <w:rPr>
          <w:rFonts w:hint="eastAsia"/>
        </w:rPr>
      </w:pPr>
      <w:r>
        <w:t>4、分析与报告编制活动</w:t>
      </w:r>
    </w:p>
    <w:p w14:paraId="3480811C">
      <w:pPr>
        <w:ind w:firstLine="560"/>
        <w:rPr>
          <w:rFonts w:hint="eastAsia"/>
        </w:rPr>
      </w:pPr>
      <w:r>
        <w:t>本活动是给出测评工作结果的活动，主要任务是根据GB/T 39786-2021《信息安全技术 信息系统密码应用基本要求》的有关要求，通过单元测评、整体测评、量化评估和风险分析等方法，找出被测信息系统密码应用的安全保护现状与相应等级的保护要求之间的差距，并分析这些差距可能导致的被测信息系统所面临的风险，从而给出各个测评对象的测评结果和被测信息系统的评估结论，形成商用密码应用安全性评估报告。</w:t>
      </w:r>
    </w:p>
    <w:bookmarkEnd w:id="9"/>
    <w:p w14:paraId="6E321F16">
      <w:pPr>
        <w:pStyle w:val="2"/>
        <w:rPr>
          <w:rFonts w:hint="eastAsia"/>
        </w:rPr>
      </w:pPr>
      <w:r>
        <w:t>项目的变更、解除和终止</w:t>
      </w:r>
    </w:p>
    <w:p w14:paraId="1E4B01E9">
      <w:pPr>
        <w:ind w:firstLine="560"/>
        <w:rPr>
          <w:rFonts w:hint="eastAsia"/>
        </w:rPr>
      </w:pPr>
      <w:r>
        <w:t>如果服务提供方丧失履约能力、发生资不抵债或进入破产程序，招标单位可在任何时候以书面形式通知服务提供方终止本项目的执行而不给予服务提供方补偿。该终止本项目将不损害或影响招标单位已经采取或将要采取任何行动或补救措施的权利。</w:t>
      </w:r>
    </w:p>
    <w:p w14:paraId="3445A8DB">
      <w:pPr>
        <w:ind w:firstLine="560"/>
        <w:rPr>
          <w:rFonts w:hint="eastAsia"/>
        </w:rPr>
      </w:pPr>
      <w:r>
        <w:t>如遇国家、行业管理部门等机构的有关标准和规定调整的，导致本项目内容</w:t>
      </w:r>
      <w:r>
        <w:rPr>
          <w:rFonts w:hint="eastAsia"/>
          <w:lang w:eastAsia="zh-CN"/>
        </w:rPr>
        <w:t>需</w:t>
      </w:r>
      <w:r>
        <w:t>做相应调整时，双方应按照公平、合理的原则共同协商修改本项目对应的合同的相关条款。</w:t>
      </w:r>
    </w:p>
    <w:p w14:paraId="107A8E1D">
      <w:pPr>
        <w:pStyle w:val="2"/>
        <w:rPr>
          <w:rFonts w:hint="eastAsia"/>
        </w:rPr>
      </w:pPr>
      <w:r>
        <w:rPr>
          <w:rFonts w:hint="eastAsia"/>
        </w:rPr>
        <w:t>备份与恢复</w:t>
      </w:r>
    </w:p>
    <w:p w14:paraId="0F1FE0DC">
      <w:pPr>
        <w:ind w:firstLine="560" w:firstLineChars="0"/>
        <w:rPr>
          <w:rFonts w:hint="eastAsia"/>
          <w:bCs w:val="0"/>
        </w:rPr>
      </w:pPr>
      <w:r>
        <w:rPr>
          <w:rFonts w:hint="eastAsia"/>
        </w:rPr>
        <w:t>1、服务提供方在开展商用密码应用安全性评估及相关服务前，需告知用户信息系统可能遇到的数据安全风险，提示用户做好数据备份与恢复工作。</w:t>
      </w:r>
    </w:p>
    <w:p w14:paraId="19C40EBE">
      <w:pPr>
        <w:ind w:firstLine="560" w:firstLineChars="0"/>
        <w:rPr>
          <w:rFonts w:hint="eastAsia"/>
          <w:bCs w:val="0"/>
        </w:rPr>
      </w:pPr>
      <w:r>
        <w:rPr>
          <w:rFonts w:hint="eastAsia"/>
          <w:bCs w:val="0"/>
        </w:rPr>
        <w:t>2、服务提供方需配合用户采取应对措施以规避服务过程中可能出现的信息系统数据安全风险。</w:t>
      </w:r>
    </w:p>
    <w:p w14:paraId="136727AA">
      <w:pPr>
        <w:pStyle w:val="2"/>
        <w:rPr>
          <w:rFonts w:hint="eastAsia"/>
        </w:rPr>
      </w:pPr>
      <w:r>
        <w:rPr>
          <w:rFonts w:hint="eastAsia"/>
        </w:rPr>
        <w:t>保密责任</w:t>
      </w:r>
    </w:p>
    <w:p w14:paraId="06CF2240">
      <w:pPr>
        <w:ind w:firstLine="560"/>
        <w:rPr>
          <w:rFonts w:hint="eastAsia"/>
        </w:rPr>
      </w:pPr>
      <w:r>
        <w:t>1、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24AABC18">
      <w:pPr>
        <w:ind w:firstLine="560"/>
        <w:rPr>
          <w:rFonts w:hint="eastAsia"/>
        </w:rPr>
      </w:pPr>
      <w:r>
        <w:t>2、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5AEC51B2">
      <w:pPr>
        <w:ind w:firstLine="560"/>
        <w:rPr>
          <w:rFonts w:hint="eastAsia"/>
        </w:rPr>
      </w:pPr>
      <w:r>
        <w:t>3、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49B395F6">
      <w:pPr>
        <w:ind w:firstLine="560"/>
        <w:rPr>
          <w:rFonts w:hint="eastAsia"/>
        </w:rPr>
      </w:pPr>
      <w:r>
        <w:t>4、以上内容的保密期限自中标人知悉保密信息起始至保密信息被合法公开之日止。</w:t>
      </w:r>
    </w:p>
    <w:p w14:paraId="3E28D5DF">
      <w:pPr>
        <w:ind w:firstLine="560"/>
        <w:rPr>
          <w:rFonts w:hint="eastAsia"/>
        </w:rPr>
      </w:pPr>
      <w:r>
        <w:t>5、中标人对采购人提拱的临时使用账号要保密，不得公开，对组件开发的账号密码需进行加密，避免信息安全的泄露。未经采购人的同意不得利用采购人的网络及平台进行短信、彩信、微信发送,造成的一切后果由中标人负责。</w:t>
      </w:r>
    </w:p>
    <w:p w14:paraId="625FDBAC">
      <w:pPr>
        <w:ind w:firstLine="560"/>
        <w:rPr>
          <w:rFonts w:hint="eastAsia"/>
        </w:rPr>
      </w:pPr>
      <w:r>
        <w:t>运维过程中标人如出现失、窃密事情，参照网络和数据安全事件处罚措施同等处置，具体处罚措施由中心保密管理部门确定。</w:t>
      </w:r>
    </w:p>
    <w:p w14:paraId="4A5F41BB">
      <w:pPr>
        <w:pStyle w:val="2"/>
        <w:rPr>
          <w:rFonts w:hint="eastAsia"/>
        </w:rPr>
      </w:pPr>
      <w:bookmarkStart w:id="11" w:name="_Toc69194689"/>
      <w:r>
        <w:rPr>
          <w:rFonts w:hint="eastAsia"/>
        </w:rPr>
        <w:t>违约责任</w:t>
      </w:r>
      <w:bookmarkEnd w:id="11"/>
    </w:p>
    <w:p w14:paraId="0513E176">
      <w:pPr>
        <w:ind w:firstLine="560"/>
        <w:rPr>
          <w:rFonts w:hint="eastAsia"/>
        </w:rPr>
      </w:pPr>
      <w:r>
        <w:t>1、因服务提供方违反保密义务或知识产权约定的，采购人有权要求服务提供方支付本项目费用总额不超过30%的违约金，违约金不足以弥补采购人损失的，采购人有权要求服务提供方赔偿超过部分。若服务提供方违反保密义务，采购人还有权立即单方解除维护服务合同而不承担任何违约责任。</w:t>
      </w:r>
    </w:p>
    <w:p w14:paraId="35635F0F">
      <w:pPr>
        <w:ind w:firstLine="560"/>
        <w:rPr>
          <w:rFonts w:hint="eastAsia"/>
        </w:rPr>
      </w:pPr>
      <w:r>
        <w:t>2、服务提供方有下列情形之一，采购人有权解除维护服务合同：</w:t>
      </w:r>
    </w:p>
    <w:p w14:paraId="00391B28">
      <w:pPr>
        <w:ind w:firstLine="560"/>
        <w:rPr>
          <w:rFonts w:hint="eastAsia"/>
        </w:rPr>
      </w:pPr>
      <w:r>
        <w:t>（1）服务提供方在服务周期内出现重大网络与信息安全事故；</w:t>
      </w:r>
    </w:p>
    <w:p w14:paraId="5D6AB392">
      <w:pPr>
        <w:ind w:firstLine="560"/>
        <w:rPr>
          <w:rFonts w:hint="eastAsia"/>
        </w:rPr>
      </w:pPr>
      <w:r>
        <w:t>（2）因服务提供方服务质量问题导致采购人无法实现目的；</w:t>
      </w:r>
    </w:p>
    <w:p w14:paraId="29757E5E">
      <w:pPr>
        <w:ind w:firstLine="560"/>
        <w:rPr>
          <w:rFonts w:hint="eastAsia"/>
        </w:rPr>
      </w:pPr>
      <w:r>
        <w:t>（3）擅自转让或者分包其应履行的义务的；</w:t>
      </w:r>
    </w:p>
    <w:p w14:paraId="7239E062">
      <w:pPr>
        <w:ind w:firstLine="560"/>
        <w:rPr>
          <w:rFonts w:hint="eastAsia"/>
        </w:rPr>
      </w:pPr>
      <w:r>
        <w:t>（4）违反或者未履行维护服务合同约定的其他相关义务，且在采购人要求的合理时间内未能纠正的。</w:t>
      </w:r>
    </w:p>
    <w:p w14:paraId="7F42FAE0">
      <w:pPr>
        <w:pStyle w:val="2"/>
        <w:rPr>
          <w:rFonts w:hint="eastAsia"/>
        </w:rPr>
      </w:pPr>
      <w:r>
        <w:rPr>
          <w:rFonts w:hint="eastAsia"/>
        </w:rPr>
        <w:t>关于转让和分包的规定</w:t>
      </w:r>
    </w:p>
    <w:bookmarkEnd w:id="10"/>
    <w:p w14:paraId="118F12D7">
      <w:pPr>
        <w:ind w:firstLine="560"/>
        <w:rPr>
          <w:rFonts w:hint="eastAsia"/>
        </w:rPr>
      </w:pPr>
      <w:r>
        <w:t>本项目</w:t>
      </w:r>
      <w:r>
        <w:rPr>
          <w:rFonts w:hint="eastAsia"/>
        </w:rPr>
        <w:t>不得转让</w:t>
      </w:r>
      <w:r>
        <w:t>不得分包。</w:t>
      </w:r>
    </w:p>
    <w:p w14:paraId="493BDDD9">
      <w:pPr>
        <w:pStyle w:val="2"/>
        <w:numPr>
          <w:ilvl w:val="0"/>
          <w:numId w:val="0"/>
        </w:numPr>
        <w:rPr>
          <w:rFonts w:hint="eastAsia"/>
        </w:rPr>
      </w:pPr>
      <w:r>
        <w:rPr>
          <w:rFonts w:hint="eastAsia"/>
        </w:rPr>
        <w:t>附件一：中心网络和数据安全事件分级原则</w:t>
      </w:r>
    </w:p>
    <w:p w14:paraId="6E3A5F54">
      <w:pPr>
        <w:ind w:firstLine="0" w:firstLineChars="0"/>
        <w:rPr>
          <w:rFonts w:hint="eastAsia"/>
          <w:b/>
          <w:bCs w:val="0"/>
        </w:rPr>
      </w:pPr>
      <w:r>
        <w:rPr>
          <w:rFonts w:hint="eastAsia"/>
          <w:b/>
        </w:rPr>
        <w:t>（一）网络安全事件分级原则</w:t>
      </w:r>
    </w:p>
    <w:p w14:paraId="5B7EC8BE">
      <w:pPr>
        <w:ind w:firstLine="560"/>
        <w:rPr>
          <w:rFonts w:hint="eastAsia"/>
        </w:rPr>
      </w:pPr>
      <w:r>
        <w:rPr>
          <w:rFonts w:hint="eastAsia"/>
        </w:rPr>
        <w:t>网络安全事件分为有害程序事件、网络攻击事件、设备设施故障、灾害性事件和其他网络安全事件等，网络安全事件分为四级：特别重大网络安全事件、重大网络安全事件、较大网络安全事件、一般网络安全事件。</w:t>
      </w:r>
    </w:p>
    <w:p w14:paraId="4FC02781">
      <w:pPr>
        <w:ind w:firstLine="560"/>
        <w:rPr>
          <w:rFonts w:hint="eastAsia"/>
        </w:rPr>
      </w:pPr>
      <w:r>
        <w:rPr>
          <w:rFonts w:hint="eastAsia"/>
        </w:rPr>
        <w:t>1、符合下列情形之一的，为特别重大网络安全事件：</w:t>
      </w:r>
    </w:p>
    <w:p w14:paraId="5DA5AD38">
      <w:pPr>
        <w:ind w:firstLine="560"/>
        <w:rPr>
          <w:rFonts w:hint="eastAsia"/>
        </w:rPr>
      </w:pPr>
      <w:r>
        <w:rPr>
          <w:rFonts w:hint="eastAsia"/>
        </w:rPr>
        <w:t>（1）中心重要信息系统遭受特别严重的系统损失，造成重要业务大面积、长时间（≥60分钟）瘫痪，丧失业务处理能力。</w:t>
      </w:r>
    </w:p>
    <w:p w14:paraId="34F2D8EA">
      <w:pPr>
        <w:ind w:firstLine="560"/>
        <w:rPr>
          <w:rFonts w:hint="eastAsia"/>
        </w:rPr>
      </w:pPr>
      <w:r>
        <w:rPr>
          <w:rFonts w:hint="eastAsia"/>
        </w:rPr>
        <w:t>（2）网站或系统内容遭到篡改，存在以下恶意信息：内容包含但不限于反对宪法所确定的基本原则的；危害国家安全，泄露国家秘密，颠覆国家政权，破坏国家统一的；损害国家荣誉和利益的；煽动民族仇恨、民族歧视，破坏民族团结的；破坏国家宗教政策，宣扬邪教和封建迷信的；散布谣言，扰乱社会秩序，破坏社会稳定的，含有法律、行政法规禁止的其他内容的。</w:t>
      </w:r>
    </w:p>
    <w:p w14:paraId="4D5DF077">
      <w:pPr>
        <w:ind w:firstLine="560"/>
        <w:rPr>
          <w:rFonts w:hint="eastAsia"/>
        </w:rPr>
      </w:pPr>
      <w:r>
        <w:rPr>
          <w:rFonts w:hint="eastAsia"/>
        </w:rPr>
        <w:t>（3）其他对本市国家安全、社会秩序、经济建设和公众利益构成特别严重威胁、造成特别严重影响的网络安全事件。</w:t>
      </w:r>
    </w:p>
    <w:p w14:paraId="4F252529">
      <w:pPr>
        <w:ind w:firstLine="560"/>
        <w:rPr>
          <w:rFonts w:hint="eastAsia"/>
        </w:rPr>
      </w:pPr>
      <w:r>
        <w:rPr>
          <w:rFonts w:hint="eastAsia"/>
        </w:rPr>
        <w:t>2、符合下列情形之一且未达到特别重大网络安全事件的，为重大网络安全事件：</w:t>
      </w:r>
    </w:p>
    <w:p w14:paraId="087A5299">
      <w:pPr>
        <w:ind w:firstLine="560"/>
        <w:rPr>
          <w:rFonts w:hint="eastAsia"/>
        </w:rPr>
      </w:pPr>
      <w:r>
        <w:rPr>
          <w:rFonts w:hint="eastAsia"/>
        </w:rPr>
        <w:t>（1）中心重要信息系统遭受严重的系统损失，造成重要业务大面积、较长时间（≥30分钟）瘫痪，业务处理能力受到极大影响。</w:t>
      </w:r>
    </w:p>
    <w:p w14:paraId="07E2FD5A">
      <w:pPr>
        <w:ind w:firstLine="560"/>
        <w:rPr>
          <w:rFonts w:hint="eastAsia"/>
        </w:rPr>
      </w:pPr>
      <w:r>
        <w:rPr>
          <w:rFonts w:hint="eastAsia"/>
        </w:rPr>
        <w:t>（2）网站或系统内容遭到篡改，存在以下恶意信息：散布淫秽、色情、赌博、暴力、凶杀、恐怖或者教唆犯罪的；侮辱或者诽谤他人，侵害他人合法权益的。</w:t>
      </w:r>
    </w:p>
    <w:p w14:paraId="6A7E789D">
      <w:pPr>
        <w:ind w:firstLine="560"/>
        <w:rPr>
          <w:rFonts w:hint="eastAsia"/>
        </w:rPr>
      </w:pPr>
      <w:r>
        <w:rPr>
          <w:rFonts w:hint="eastAsia"/>
        </w:rPr>
        <w:t>（3）其他对本市国家安全、社会秩序、经济建设和公众利益构成严重威胁、造成严重影响的网络安全事件。</w:t>
      </w:r>
    </w:p>
    <w:p w14:paraId="27F743EB">
      <w:pPr>
        <w:ind w:firstLine="560"/>
        <w:rPr>
          <w:rFonts w:hint="eastAsia"/>
        </w:rPr>
      </w:pPr>
      <w:r>
        <w:rPr>
          <w:rFonts w:hint="eastAsia"/>
        </w:rPr>
        <w:t>3、符合下列情形之一且未达到重大网络安全事件的，为较大网络安全事件：</w:t>
      </w:r>
    </w:p>
    <w:p w14:paraId="5C7EB73E">
      <w:pPr>
        <w:ind w:firstLine="560"/>
        <w:rPr>
          <w:rFonts w:hint="eastAsia"/>
        </w:rPr>
      </w:pPr>
      <w:r>
        <w:rPr>
          <w:rFonts w:hint="eastAsia"/>
        </w:rPr>
        <w:t>（1）中心重要信息系统遭受较大的系统损失，造成重要业务局部、一段时间（≥10分钟）瘫痪，业务处理能力受到影响。</w:t>
      </w:r>
    </w:p>
    <w:p w14:paraId="68EBFF48">
      <w:pPr>
        <w:ind w:firstLine="560"/>
        <w:rPr>
          <w:rFonts w:hint="eastAsia"/>
        </w:rPr>
      </w:pPr>
      <w:r>
        <w:rPr>
          <w:rFonts w:hint="eastAsia"/>
        </w:rPr>
        <w:t>（2）其他对本市国家安全、社会秩序、经济建设和公众利益构成较严重威胁、造成较严重影响的网络安全事件。</w:t>
      </w:r>
    </w:p>
    <w:p w14:paraId="64983FED">
      <w:pPr>
        <w:ind w:firstLine="560"/>
        <w:rPr>
          <w:rFonts w:hint="eastAsia"/>
        </w:rPr>
      </w:pPr>
      <w:r>
        <w:rPr>
          <w:rFonts w:hint="eastAsia"/>
        </w:rPr>
        <w:t>4、除上述情形外，对本市国家安全、社会秩序和公众利益构成一定威胁、造成一定影响的网络安全事件，为一般网络安全事件。</w:t>
      </w:r>
    </w:p>
    <w:p w14:paraId="0ED25AA0">
      <w:pPr>
        <w:ind w:firstLine="0" w:firstLineChars="0"/>
        <w:rPr>
          <w:rFonts w:hint="eastAsia"/>
          <w:b/>
          <w:bCs w:val="0"/>
        </w:rPr>
      </w:pPr>
      <w:r>
        <w:rPr>
          <w:rFonts w:hint="eastAsia"/>
          <w:b/>
        </w:rPr>
        <w:t>（二）数据安全事件分级原则</w:t>
      </w:r>
    </w:p>
    <w:p w14:paraId="4244C3E9">
      <w:pPr>
        <w:ind w:firstLine="560"/>
        <w:rPr>
          <w:rFonts w:hint="eastAsia"/>
        </w:rPr>
      </w:pPr>
      <w:r>
        <w:rPr>
          <w:rFonts w:hint="eastAsia"/>
        </w:rPr>
        <w:t>数据安全事件分为数据篡改事件、数据破坏事件、数据泄露事件、数据非法获取事件、数据非法利用事件和其他数据安全事件等，数据安全事件分为四级：特别重大数据安全事件、重大数据安全事件、较大数据安全事件、一般数据安全事件。</w:t>
      </w:r>
    </w:p>
    <w:p w14:paraId="2AD6273A">
      <w:pPr>
        <w:ind w:firstLine="560"/>
        <w:rPr>
          <w:rFonts w:hint="eastAsia"/>
        </w:rPr>
      </w:pPr>
      <w:r>
        <w:rPr>
          <w:rFonts w:hint="eastAsia"/>
        </w:rPr>
        <w:t>1、符合下列情形之一的，为特别重大数据安全事件：</w:t>
      </w:r>
    </w:p>
    <w:p w14:paraId="0E6C0D11">
      <w:pPr>
        <w:ind w:firstLine="560"/>
        <w:rPr>
          <w:rFonts w:hint="eastAsia"/>
        </w:rPr>
      </w:pPr>
      <w:r>
        <w:rPr>
          <w:rFonts w:hint="eastAsia"/>
        </w:rPr>
        <w:t>（1）国家核心数据、50条及以上本市重要数据、100万条以上个人信息遭泄露和非法利用，对国家安全构成威胁，对社会秩序和公共利益构成特别严重威胁和造成特别严重影响。</w:t>
      </w:r>
    </w:p>
    <w:p w14:paraId="70979B6D">
      <w:pPr>
        <w:ind w:firstLine="560"/>
        <w:rPr>
          <w:rFonts w:hint="eastAsia"/>
        </w:rPr>
      </w:pPr>
      <w:r>
        <w:rPr>
          <w:rFonts w:hint="eastAsia"/>
        </w:rPr>
        <w:t>（2）其他对本市国家安全构成威胁，对社会秩序和公众利益构成特别严重威胁、造成特别严重影响的数据安全事件。</w:t>
      </w:r>
    </w:p>
    <w:p w14:paraId="197DF807">
      <w:pPr>
        <w:ind w:firstLine="560"/>
        <w:rPr>
          <w:rFonts w:hint="eastAsia"/>
        </w:rPr>
      </w:pPr>
      <w:r>
        <w:rPr>
          <w:rFonts w:hint="eastAsia"/>
        </w:rPr>
        <w:t>2、符合下列情形之一且未达到特别重大数据安全事件的，为重大数据安全事件：</w:t>
      </w:r>
    </w:p>
    <w:p w14:paraId="0396F30A">
      <w:pPr>
        <w:ind w:firstLine="560"/>
        <w:rPr>
          <w:rFonts w:hint="eastAsia"/>
        </w:rPr>
      </w:pPr>
      <w:r>
        <w:rPr>
          <w:rFonts w:hint="eastAsia"/>
        </w:rPr>
        <w:t>（1）本市重要数据、50及以上条敏感个人信息、5000及以上条个人信息遭泄露和非法利用，对社会秩序和公共利益构成严重威胁和造成严重影响。</w:t>
      </w:r>
    </w:p>
    <w:p w14:paraId="052B9E5D">
      <w:pPr>
        <w:ind w:firstLine="560"/>
        <w:rPr>
          <w:rFonts w:hint="eastAsia"/>
        </w:rPr>
      </w:pPr>
      <w:r>
        <w:rPr>
          <w:rFonts w:hint="eastAsia"/>
        </w:rPr>
        <w:t>（2）其他对社会秩序和公众利益构成严重威胁和造成严重影响的数据安全事件。</w:t>
      </w:r>
    </w:p>
    <w:p w14:paraId="40AD32A0">
      <w:pPr>
        <w:ind w:firstLine="560"/>
        <w:rPr>
          <w:rFonts w:hint="eastAsia"/>
        </w:rPr>
      </w:pPr>
      <w:r>
        <w:rPr>
          <w:rFonts w:hint="eastAsia"/>
        </w:rPr>
        <w:t>3、符合下列情形之一且未达到重大数据安全事件的，为较大数据安全事件：</w:t>
      </w:r>
    </w:p>
    <w:p w14:paraId="017D4707">
      <w:pPr>
        <w:ind w:firstLine="560"/>
        <w:rPr>
          <w:rFonts w:hint="eastAsia"/>
        </w:rPr>
      </w:pPr>
      <w:r>
        <w:rPr>
          <w:rFonts w:hint="eastAsia"/>
        </w:rPr>
        <w:t>（1）敏感个人信息遭泄露和非法利用，对个人合法利益构成严重威胁和照成严重影响。</w:t>
      </w:r>
    </w:p>
    <w:p w14:paraId="01E65003">
      <w:pPr>
        <w:ind w:firstLine="560"/>
        <w:rPr>
          <w:rFonts w:hint="eastAsia"/>
        </w:rPr>
      </w:pPr>
      <w:r>
        <w:rPr>
          <w:rFonts w:hint="eastAsia"/>
        </w:rPr>
        <w:t>（2）组织关键性商业秘密遭泄露和非法利用，对组织合法利益构成严重威胁和造成严重影响。</w:t>
      </w:r>
    </w:p>
    <w:p w14:paraId="24D79E83">
      <w:pPr>
        <w:ind w:firstLine="560"/>
        <w:rPr>
          <w:rFonts w:hint="eastAsia"/>
        </w:rPr>
      </w:pPr>
      <w:r>
        <w:rPr>
          <w:rFonts w:hint="eastAsia"/>
        </w:rPr>
        <w:t>（3）其他对社会秩序和公众利益构成较大威胁和造成较大影响的数据安全事件。</w:t>
      </w:r>
    </w:p>
    <w:p w14:paraId="66FF67B8">
      <w:pPr>
        <w:ind w:firstLine="560"/>
        <w:rPr>
          <w:rFonts w:hint="eastAsia"/>
        </w:rPr>
      </w:pPr>
      <w:r>
        <w:rPr>
          <w:rFonts w:hint="eastAsia"/>
        </w:rPr>
        <w:t>4、符合下列情形之一的，为一般数据安全事件：</w:t>
      </w:r>
    </w:p>
    <w:p w14:paraId="43E06805">
      <w:pPr>
        <w:ind w:firstLine="560"/>
        <w:rPr>
          <w:rFonts w:hint="eastAsia"/>
        </w:rPr>
      </w:pPr>
      <w:r>
        <w:rPr>
          <w:rFonts w:hint="eastAsia"/>
        </w:rPr>
        <w:t>（1）个人信息遭泄露和非法利用，对个人合法利益构成威胁和照成影响。</w:t>
      </w:r>
    </w:p>
    <w:p w14:paraId="1CA15F66">
      <w:pPr>
        <w:ind w:firstLine="560"/>
        <w:rPr>
          <w:rFonts w:hint="eastAsia"/>
        </w:rPr>
      </w:pPr>
      <w:r>
        <w:rPr>
          <w:rFonts w:hint="eastAsia"/>
        </w:rPr>
        <w:t>（2）组织关键性商业秘密遭泄露和非法利用，对组织合法利益构成威胁和造成影响。</w:t>
      </w:r>
    </w:p>
    <w:p w14:paraId="7C41CE56">
      <w:pPr>
        <w:ind w:firstLine="560"/>
        <w:rPr>
          <w:rFonts w:hint="eastAsia"/>
        </w:rPr>
      </w:pPr>
      <w:r>
        <w:rPr>
          <w:rFonts w:hint="eastAsia"/>
        </w:rPr>
        <w:t>（3）除上述情形外，其他对社会秩序和公众利益构成威胁和造成影响的数据安全事件。</w:t>
      </w:r>
    </w:p>
    <w:p w14:paraId="7AFA0A6F">
      <w:pPr>
        <w:ind w:firstLine="560"/>
        <w:rPr>
          <w:rFonts w:hint="eastAsia"/>
        </w:rPr>
      </w:pPr>
    </w:p>
    <w:sectPr>
      <w:footerReference r:id="rId8" w:type="first"/>
      <w:headerReference r:id="rId5" w:type="default"/>
      <w:footerReference r:id="rId6" w:type="default"/>
      <w:footerReference r:id="rId7" w:type="even"/>
      <w:pgSz w:w="11906" w:h="16838"/>
      <w:pgMar w:top="1440" w:right="1797" w:bottom="1985"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BB1713F">
        <w:pPr>
          <w:pStyle w:val="16"/>
          <w:ind w:firstLine="360"/>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74D72">
    <w:pPr>
      <w:pStyle w:val="16"/>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6CE5C">
    <w:pPr>
      <w:pStyle w:val="16"/>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D54B1">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72E45"/>
    <w:multiLevelType w:val="multilevel"/>
    <w:tmpl w:val="00572E45"/>
    <w:lvl w:ilvl="0" w:tentative="0">
      <w:start w:val="1"/>
      <w:numFmt w:val="decimal"/>
      <w:lvlText w:val="%1"/>
      <w:lvlJc w:val="center"/>
      <w:pPr>
        <w:ind w:left="440" w:hanging="440"/>
      </w:pPr>
      <w:rPr>
        <w:rFonts w:hint="default" w:ascii="Times New Roman" w:hAnsi="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B422F4D"/>
    <w:multiLevelType w:val="singleLevel"/>
    <w:tmpl w:val="3B422F4D"/>
    <w:lvl w:ilvl="0" w:tentative="0">
      <w:start w:val="1"/>
      <w:numFmt w:val="decimal"/>
      <w:pStyle w:val="33"/>
      <w:suff w:val="nothing"/>
      <w:lvlText w:val="%1、"/>
      <w:lvlJc w:val="left"/>
      <w:rPr>
        <w:rFonts w:ascii="仿宋" w:hAnsi="仿宋" w:eastAsia="仿宋" w:cs="仿宋"/>
      </w:rPr>
    </w:lvl>
  </w:abstractNum>
  <w:abstractNum w:abstractNumId="2">
    <w:nsid w:val="5B9C4C2F"/>
    <w:multiLevelType w:val="singleLevel"/>
    <w:tmpl w:val="5B9C4C2F"/>
    <w:lvl w:ilvl="0" w:tentative="0">
      <w:start w:val="1"/>
      <w:numFmt w:val="decimal"/>
      <w:suff w:val="nothing"/>
      <w:lvlText w:val="%1、"/>
      <w:lvlJc w:val="left"/>
      <w:rPr>
        <w:rFonts w:ascii="仿宋" w:hAnsi="仿宋" w:eastAsia="仿宋" w:cs="仿宋"/>
      </w:rPr>
    </w:lvl>
  </w:abstractNum>
  <w:abstractNum w:abstractNumId="3">
    <w:nsid w:val="6BD45F8F"/>
    <w:multiLevelType w:val="multilevel"/>
    <w:tmpl w:val="6BD45F8F"/>
    <w:lvl w:ilvl="0" w:tentative="0">
      <w:start w:val="1"/>
      <w:numFmt w:val="chineseCountingThousand"/>
      <w:suff w:val="space"/>
      <w:lvlText w:val="%1、"/>
      <w:lvlJc w:val="left"/>
      <w:pPr>
        <w:ind w:left="0" w:firstLine="0"/>
      </w:pPr>
      <w:rPr>
        <w:rFonts w:hint="eastAsia" w:ascii="仿宋" w:hAnsi="仿宋" w:eastAsia="仿宋" w:cs="仿宋"/>
        <w:b/>
        <w:i w:val="0"/>
        <w:sz w:val="32"/>
        <w:szCs w:val="32"/>
        <w:lang w:val="en-US"/>
      </w:rPr>
    </w:lvl>
    <w:lvl w:ilvl="1" w:tentative="0">
      <w:start w:val="1"/>
      <w:numFmt w:val="decimal"/>
      <w:isLgl/>
      <w:suff w:val="space"/>
      <w:lvlText w:val="%1.%2 "/>
      <w:lvlJc w:val="left"/>
      <w:pPr>
        <w:ind w:left="0" w:firstLine="0"/>
      </w:pPr>
      <w:rPr>
        <w:rFonts w:hint="default" w:ascii="Times New Roman" w:hAnsi="Times New Roman" w:eastAsia="宋体"/>
        <w:b/>
        <w:i w:val="0"/>
        <w:sz w:val="30"/>
      </w:rPr>
    </w:lvl>
    <w:lvl w:ilvl="2" w:tentative="0">
      <w:start w:val="1"/>
      <w:numFmt w:val="decimal"/>
      <w:pStyle w:val="4"/>
      <w:isLgl/>
      <w:suff w:val="space"/>
      <w:lvlText w:val="%1.%2.%3 "/>
      <w:lvlJc w:val="left"/>
      <w:pPr>
        <w:ind w:left="0" w:firstLine="0"/>
      </w:pPr>
      <w:rPr>
        <w:rFonts w:hint="default" w:ascii="Times New Roman" w:hAnsi="Times New Roman" w:eastAsia="仿宋"/>
        <w:b/>
        <w:i w:val="0"/>
        <w:sz w:val="28"/>
      </w:rPr>
    </w:lvl>
    <w:lvl w:ilvl="3" w:tentative="0">
      <w:start w:val="1"/>
      <w:numFmt w:val="decimal"/>
      <w:pStyle w:val="5"/>
      <w:isLgl/>
      <w:suff w:val="nothing"/>
      <w:lvlText w:val="%1.%2.%3.%4、"/>
      <w:lvlJc w:val="left"/>
      <w:pPr>
        <w:ind w:left="0" w:firstLine="0"/>
      </w:pPr>
      <w:rPr>
        <w:rFonts w:hint="default" w:ascii="Times New Roman" w:hAnsi="Times New Roman" w:eastAsia="宋体"/>
        <w:b/>
        <w:i w:val="0"/>
        <w:sz w:val="24"/>
      </w:rPr>
    </w:lvl>
    <w:lvl w:ilvl="4" w:tentative="0">
      <w:start w:val="1"/>
      <w:numFmt w:val="decimal"/>
      <w:pStyle w:val="6"/>
      <w:isLgl/>
      <w:suff w:val="nothing"/>
      <w:lvlText w:val="%1.%2.%3.%4.%5、"/>
      <w:lvlJc w:val="left"/>
      <w:pPr>
        <w:ind w:left="0" w:firstLine="0"/>
      </w:pPr>
      <w:rPr>
        <w:rFonts w:hint="default" w:ascii="Times New Roman" w:hAnsi="Times New Roman" w:eastAsia="宋体"/>
        <w:b/>
        <w:i w:val="0"/>
        <w:sz w:val="21"/>
      </w:rPr>
    </w:lvl>
    <w:lvl w:ilvl="5" w:tentative="0">
      <w:start w:val="1"/>
      <w:numFmt w:val="decimal"/>
      <w:pStyle w:val="7"/>
      <w:isLgl/>
      <w:suff w:val="nothing"/>
      <w:lvlText w:val="%1.%2.%3.%4.%5.%6、"/>
      <w:lvlJc w:val="left"/>
      <w:pPr>
        <w:ind w:left="0" w:firstLine="0"/>
      </w:pPr>
      <w:rPr>
        <w:rFonts w:hint="default" w:ascii="Times New Roman" w:hAnsi="Times New Roman" w:eastAsia="宋体"/>
        <w:b/>
        <w:i w:val="0"/>
        <w:sz w:val="21"/>
      </w:rPr>
    </w:lvl>
    <w:lvl w:ilvl="6" w:tentative="0">
      <w:start w:val="1"/>
      <w:numFmt w:val="decimal"/>
      <w:pStyle w:val="8"/>
      <w:isLgl/>
      <w:suff w:val="nothing"/>
      <w:lvlText w:val="%1.%2.%3.%4.%5.%6.%7、"/>
      <w:lvlJc w:val="left"/>
      <w:pPr>
        <w:ind w:left="0" w:firstLine="0"/>
      </w:pPr>
      <w:rPr>
        <w:rFonts w:hint="default" w:ascii="Times New Roman" w:hAnsi="Times New Roman" w:eastAsia="宋体"/>
        <w:b/>
        <w:i w:val="0"/>
        <w:sz w:val="21"/>
      </w:rPr>
    </w:lvl>
    <w:lvl w:ilvl="7" w:tentative="0">
      <w:start w:val="1"/>
      <w:numFmt w:val="decimal"/>
      <w:pStyle w:val="9"/>
      <w:isLgl/>
      <w:suff w:val="nothing"/>
      <w:lvlText w:val="%1.%2.%3.%4.%5.%6.%7.%8、"/>
      <w:lvlJc w:val="left"/>
      <w:pPr>
        <w:ind w:left="0" w:firstLine="0"/>
      </w:pPr>
      <w:rPr>
        <w:rFonts w:hint="default" w:ascii="Times New Roman" w:hAnsi="Times New Roman" w:eastAsia="宋体"/>
        <w:b/>
        <w:i w:val="0"/>
        <w:sz w:val="21"/>
      </w:rPr>
    </w:lvl>
    <w:lvl w:ilvl="8" w:tentative="0">
      <w:start w:val="1"/>
      <w:numFmt w:val="decimal"/>
      <w:pStyle w:val="10"/>
      <w:isLgl/>
      <w:suff w:val="nothing"/>
      <w:lvlText w:val="%1.%2.%3.%4.%5.%6.%7.%8.%9、"/>
      <w:lvlJc w:val="left"/>
      <w:pPr>
        <w:ind w:left="0" w:firstLine="0"/>
      </w:pPr>
      <w:rPr>
        <w:rFonts w:hint="default" w:ascii="Times New Roman" w:hAnsi="Times New Roman" w:eastAsia="宋体"/>
        <w:b/>
        <w:i w:val="0"/>
        <w:sz w:val="21"/>
      </w:rPr>
    </w:lvl>
  </w:abstractNum>
  <w:num w:numId="1">
    <w:abstractNumId w:val="3"/>
    <w:lvlOverride w:ilvl="0">
      <w:lvl w:ilvl="0" w:tentative="1">
        <w:start w:val="1"/>
        <w:numFmt w:val="chineseCountingThousand"/>
        <w:pStyle w:val="2"/>
        <w:suff w:val="space"/>
        <w:lvlText w:val="%1、"/>
        <w:lvlJc w:val="left"/>
        <w:pPr>
          <w:ind w:left="0" w:firstLine="0"/>
        </w:pPr>
        <w:rPr>
          <w:rFonts w:hint="eastAsia" w:ascii="仿宋" w:hAnsi="仿宋" w:eastAsia="仿宋" w:cs="仿宋"/>
          <w:b/>
          <w:i w:val="0"/>
          <w:sz w:val="32"/>
          <w:szCs w:val="32"/>
        </w:rPr>
      </w:lvl>
    </w:lvlOverride>
    <w:lvlOverride w:ilvl="1">
      <w:lvl w:ilvl="1" w:tentative="1">
        <w:start w:val="1"/>
        <w:numFmt w:val="decimal"/>
        <w:isLgl/>
        <w:suff w:val="space"/>
        <w:lvlText w:val="%1.%2"/>
        <w:lvlJc w:val="left"/>
        <w:pPr>
          <w:ind w:left="0" w:firstLine="0"/>
        </w:pPr>
        <w:rPr>
          <w:rFonts w:hint="default" w:ascii="Times New Roman" w:hAnsi="Times New Roman" w:eastAsia="宋体"/>
          <w:b/>
          <w:i w:val="0"/>
          <w:sz w:val="30"/>
        </w:rPr>
      </w:lvl>
    </w:lvlOverride>
    <w:lvlOverride w:ilvl="2">
      <w:lvl w:ilvl="2" w:tentative="1">
        <w:start w:val="1"/>
        <w:numFmt w:val="decimal"/>
        <w:isLgl/>
        <w:suff w:val="space"/>
        <w:lvlText w:val="%1.%2.%3"/>
        <w:lvlJc w:val="left"/>
        <w:pPr>
          <w:ind w:left="0" w:firstLine="0"/>
        </w:pPr>
        <w:rPr>
          <w:rFonts w:hint="default" w:ascii="Times New Roman" w:hAnsi="Times New Roman" w:eastAsia="仿宋"/>
          <w:b/>
          <w:i w:val="0"/>
          <w:sz w:val="28"/>
        </w:rPr>
      </w:lvl>
    </w:lvlOverride>
    <w:lvlOverride w:ilvl="3">
      <w:lvl w:ilvl="3" w:tentative="1">
        <w:start w:val="1"/>
        <w:numFmt w:val="decimal"/>
        <w:isLgl/>
        <w:suff w:val="nothing"/>
        <w:lvlText w:val="%1.%2.%3.%4、"/>
        <w:lvlJc w:val="left"/>
        <w:pPr>
          <w:ind w:left="0" w:firstLine="0"/>
        </w:pPr>
        <w:rPr>
          <w:rFonts w:hint="default" w:ascii="Times New Roman" w:hAnsi="Times New Roman" w:eastAsia="宋体"/>
          <w:b/>
          <w:i w:val="0"/>
          <w:sz w:val="24"/>
        </w:rPr>
      </w:lvl>
    </w:lvlOverride>
    <w:lvlOverride w:ilvl="4">
      <w:lvl w:ilvl="4" w:tentative="1">
        <w:start w:val="1"/>
        <w:numFmt w:val="decimal"/>
        <w:isLgl/>
        <w:suff w:val="nothing"/>
        <w:lvlText w:val="%1.%2.%3.%4.%5、"/>
        <w:lvlJc w:val="left"/>
        <w:pPr>
          <w:ind w:left="0" w:firstLine="0"/>
        </w:pPr>
        <w:rPr>
          <w:rFonts w:hint="default" w:ascii="Times New Roman" w:hAnsi="Times New Roman" w:eastAsia="宋体"/>
          <w:b/>
          <w:i w:val="0"/>
          <w:sz w:val="21"/>
        </w:rPr>
      </w:lvl>
    </w:lvlOverride>
    <w:lvlOverride w:ilvl="5">
      <w:lvl w:ilvl="5" w:tentative="1">
        <w:start w:val="1"/>
        <w:numFmt w:val="decimal"/>
        <w:isLgl/>
        <w:suff w:val="nothing"/>
        <w:lvlText w:val="%1.%2.%3.%4.%5.%6、"/>
        <w:lvlJc w:val="left"/>
        <w:pPr>
          <w:ind w:left="0" w:firstLine="0"/>
        </w:pPr>
        <w:rPr>
          <w:rFonts w:hint="default" w:ascii="Times New Roman" w:hAnsi="Times New Roman" w:eastAsia="宋体"/>
          <w:b/>
          <w:i w:val="0"/>
          <w:sz w:val="21"/>
        </w:rPr>
      </w:lvl>
    </w:lvlOverride>
    <w:lvlOverride w:ilvl="6">
      <w:lvl w:ilvl="6" w:tentative="1">
        <w:start w:val="1"/>
        <w:numFmt w:val="decimal"/>
        <w:isLgl/>
        <w:suff w:val="nothing"/>
        <w:lvlText w:val="%1.%2.%3.%4.%5.%6.%7、"/>
        <w:lvlJc w:val="left"/>
        <w:pPr>
          <w:ind w:left="0" w:firstLine="0"/>
        </w:pPr>
        <w:rPr>
          <w:rFonts w:hint="default" w:ascii="Times New Roman" w:hAnsi="Times New Roman" w:eastAsia="宋体"/>
          <w:b/>
          <w:i w:val="0"/>
          <w:sz w:val="21"/>
        </w:rPr>
      </w:lvl>
    </w:lvlOverride>
    <w:lvlOverride w:ilvl="7">
      <w:lvl w:ilvl="7" w:tentative="1">
        <w:start w:val="1"/>
        <w:numFmt w:val="decimal"/>
        <w:isLgl/>
        <w:suff w:val="nothing"/>
        <w:lvlText w:val="%1.%2.%3.%4.%5.%6.%7.%8、"/>
        <w:lvlJc w:val="left"/>
        <w:pPr>
          <w:ind w:left="0" w:firstLine="0"/>
        </w:pPr>
        <w:rPr>
          <w:rFonts w:hint="default" w:ascii="Times New Roman" w:hAnsi="Times New Roman" w:eastAsia="宋体"/>
          <w:b/>
          <w:i w:val="0"/>
          <w:sz w:val="21"/>
        </w:rPr>
      </w:lvl>
    </w:lvlOverride>
    <w:lvlOverride w:ilvl="8">
      <w:lvl w:ilvl="8" w:tentative="1">
        <w:start w:val="1"/>
        <w:numFmt w:val="decimal"/>
        <w:isLgl/>
        <w:suff w:val="nothing"/>
        <w:lvlText w:val="%1.%2.%3.%4.%5.%6.%7.%8.%9、"/>
        <w:lvlJc w:val="left"/>
        <w:pPr>
          <w:ind w:left="0" w:firstLine="0"/>
        </w:pPr>
        <w:rPr>
          <w:rFonts w:hint="default" w:ascii="Times New Roman" w:hAnsi="Times New Roman" w:eastAsia="宋体"/>
          <w:b/>
          <w:i w:val="0"/>
          <w:sz w:val="21"/>
        </w:rPr>
      </w:lvl>
    </w:lvlOverride>
  </w:num>
  <w:num w:numId="2">
    <w:abstractNumId w:val="3"/>
    <w:lvlOverride w:ilvl="0">
      <w:lvl w:ilvl="0" w:tentative="1">
        <w:start w:val="1"/>
        <w:numFmt w:val="chineseCountingThousand"/>
        <w:suff w:val="space"/>
        <w:lvlText w:val="%1、"/>
        <w:lvlJc w:val="left"/>
        <w:pPr>
          <w:ind w:left="0" w:firstLine="0"/>
        </w:pPr>
        <w:rPr>
          <w:rFonts w:hint="eastAsia" w:ascii="仿宋" w:hAnsi="仿宋" w:eastAsia="仿宋" w:cs="仿宋"/>
          <w:b/>
          <w:i w:val="0"/>
          <w:sz w:val="32"/>
          <w:szCs w:val="32"/>
        </w:rPr>
      </w:lvl>
    </w:lvlOverride>
    <w:lvlOverride w:ilvl="1">
      <w:lvl w:ilvl="1" w:tentative="1">
        <w:start w:val="1"/>
        <w:numFmt w:val="decimal"/>
        <w:pStyle w:val="3"/>
        <w:isLgl/>
        <w:suff w:val="space"/>
        <w:lvlText w:val="%1.%2"/>
        <w:lvlJc w:val="left"/>
        <w:pPr>
          <w:ind w:left="425" w:firstLine="0"/>
        </w:pPr>
        <w:rPr>
          <w:rFonts w:hint="default" w:ascii="Times New Roman" w:hAnsi="Times New Roman" w:eastAsia="宋体"/>
          <w:b/>
          <w:i w:val="0"/>
          <w:sz w:val="30"/>
        </w:rPr>
      </w:lvl>
    </w:lvlOverride>
    <w:lvlOverride w:ilvl="2">
      <w:lvl w:ilvl="2" w:tentative="1">
        <w:start w:val="1"/>
        <w:numFmt w:val="decimal"/>
        <w:isLgl/>
        <w:suff w:val="space"/>
        <w:lvlText w:val="%1.%2.%3 "/>
        <w:lvlJc w:val="left"/>
        <w:pPr>
          <w:ind w:left="0" w:firstLine="0"/>
        </w:pPr>
        <w:rPr>
          <w:rFonts w:hint="default" w:ascii="Times New Roman" w:hAnsi="Times New Roman" w:eastAsia="仿宋"/>
          <w:b/>
          <w:i w:val="0"/>
          <w:sz w:val="28"/>
        </w:rPr>
      </w:lvl>
    </w:lvlOverride>
    <w:lvlOverride w:ilvl="3">
      <w:lvl w:ilvl="3" w:tentative="1">
        <w:start w:val="1"/>
        <w:numFmt w:val="decimal"/>
        <w:isLgl/>
        <w:suff w:val="nothing"/>
        <w:lvlText w:val="%1.%2.%3.%4、"/>
        <w:lvlJc w:val="left"/>
        <w:pPr>
          <w:ind w:left="0" w:firstLine="0"/>
        </w:pPr>
        <w:rPr>
          <w:rFonts w:hint="default" w:ascii="Times New Roman" w:hAnsi="Times New Roman" w:eastAsia="宋体"/>
          <w:b/>
          <w:i w:val="0"/>
          <w:sz w:val="24"/>
        </w:rPr>
      </w:lvl>
    </w:lvlOverride>
    <w:lvlOverride w:ilvl="4">
      <w:lvl w:ilvl="4" w:tentative="1">
        <w:start w:val="1"/>
        <w:numFmt w:val="decimal"/>
        <w:isLgl/>
        <w:suff w:val="nothing"/>
        <w:lvlText w:val="%1.%2.%3.%4.%5、"/>
        <w:lvlJc w:val="left"/>
        <w:pPr>
          <w:ind w:left="0" w:firstLine="0"/>
        </w:pPr>
        <w:rPr>
          <w:rFonts w:hint="default" w:ascii="Times New Roman" w:hAnsi="Times New Roman" w:eastAsia="宋体"/>
          <w:b/>
          <w:i w:val="0"/>
          <w:sz w:val="21"/>
        </w:rPr>
      </w:lvl>
    </w:lvlOverride>
    <w:lvlOverride w:ilvl="5">
      <w:lvl w:ilvl="5" w:tentative="1">
        <w:start w:val="1"/>
        <w:numFmt w:val="decimal"/>
        <w:isLgl/>
        <w:suff w:val="nothing"/>
        <w:lvlText w:val="%1.%2.%3.%4.%5.%6、"/>
        <w:lvlJc w:val="left"/>
        <w:pPr>
          <w:ind w:left="0" w:firstLine="0"/>
        </w:pPr>
        <w:rPr>
          <w:rFonts w:hint="default" w:ascii="Times New Roman" w:hAnsi="Times New Roman" w:eastAsia="宋体"/>
          <w:b/>
          <w:i w:val="0"/>
          <w:sz w:val="21"/>
        </w:rPr>
      </w:lvl>
    </w:lvlOverride>
    <w:lvlOverride w:ilvl="6">
      <w:lvl w:ilvl="6" w:tentative="1">
        <w:start w:val="1"/>
        <w:numFmt w:val="decimal"/>
        <w:isLgl/>
        <w:suff w:val="nothing"/>
        <w:lvlText w:val="%1.%2.%3.%4.%5.%6.%7、"/>
        <w:lvlJc w:val="left"/>
        <w:pPr>
          <w:ind w:left="0" w:firstLine="0"/>
        </w:pPr>
        <w:rPr>
          <w:rFonts w:hint="default" w:ascii="Times New Roman" w:hAnsi="Times New Roman" w:eastAsia="宋体"/>
          <w:b/>
          <w:i w:val="0"/>
          <w:sz w:val="21"/>
        </w:rPr>
      </w:lvl>
    </w:lvlOverride>
    <w:lvlOverride w:ilvl="7">
      <w:lvl w:ilvl="7" w:tentative="1">
        <w:start w:val="1"/>
        <w:numFmt w:val="decimal"/>
        <w:isLgl/>
        <w:suff w:val="nothing"/>
        <w:lvlText w:val="%1.%2.%3.%4.%5.%6.%7.%8、"/>
        <w:lvlJc w:val="left"/>
        <w:pPr>
          <w:ind w:left="0" w:firstLine="0"/>
        </w:pPr>
        <w:rPr>
          <w:rFonts w:hint="default" w:ascii="Times New Roman" w:hAnsi="Times New Roman" w:eastAsia="宋体"/>
          <w:b/>
          <w:i w:val="0"/>
          <w:sz w:val="21"/>
        </w:rPr>
      </w:lvl>
    </w:lvlOverride>
    <w:lvlOverride w:ilvl="8">
      <w:lvl w:ilvl="8" w:tentative="1">
        <w:start w:val="1"/>
        <w:numFmt w:val="decimal"/>
        <w:isLgl/>
        <w:suff w:val="nothing"/>
        <w:lvlText w:val="%1.%2.%3.%4.%5.%6.%7.%8.%9、"/>
        <w:lvlJc w:val="left"/>
        <w:pPr>
          <w:ind w:left="0" w:firstLine="0"/>
        </w:pPr>
        <w:rPr>
          <w:rFonts w:hint="default" w:ascii="Times New Roman" w:hAnsi="Times New Roman" w:eastAsia="宋体"/>
          <w:b/>
          <w:i w:val="0"/>
          <w:sz w:val="21"/>
        </w:rPr>
      </w:lvl>
    </w:lvlOverride>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hYmEzMTNhMjdkYThkNDYyOTNhN2M4MTNhMDJiODcifQ=="/>
  </w:docVars>
  <w:rsids>
    <w:rsidRoot w:val="00A65D43"/>
    <w:rsid w:val="00000DE2"/>
    <w:rsid w:val="0000178E"/>
    <w:rsid w:val="000019DB"/>
    <w:rsid w:val="00001BEB"/>
    <w:rsid w:val="00003C92"/>
    <w:rsid w:val="000065B9"/>
    <w:rsid w:val="00006706"/>
    <w:rsid w:val="0000765C"/>
    <w:rsid w:val="00010291"/>
    <w:rsid w:val="0001029A"/>
    <w:rsid w:val="00010372"/>
    <w:rsid w:val="000103BE"/>
    <w:rsid w:val="000118E6"/>
    <w:rsid w:val="00011AF0"/>
    <w:rsid w:val="000123E8"/>
    <w:rsid w:val="0001698A"/>
    <w:rsid w:val="00017F12"/>
    <w:rsid w:val="0002058A"/>
    <w:rsid w:val="00020888"/>
    <w:rsid w:val="00021D9E"/>
    <w:rsid w:val="00022599"/>
    <w:rsid w:val="000237D6"/>
    <w:rsid w:val="00024D1A"/>
    <w:rsid w:val="00024DCE"/>
    <w:rsid w:val="00025A0A"/>
    <w:rsid w:val="00025D33"/>
    <w:rsid w:val="0003004E"/>
    <w:rsid w:val="00031146"/>
    <w:rsid w:val="00031E82"/>
    <w:rsid w:val="00032D8E"/>
    <w:rsid w:val="00033D6B"/>
    <w:rsid w:val="00035589"/>
    <w:rsid w:val="00036BD5"/>
    <w:rsid w:val="00036C7A"/>
    <w:rsid w:val="00036DB5"/>
    <w:rsid w:val="00036F32"/>
    <w:rsid w:val="0003740A"/>
    <w:rsid w:val="00040047"/>
    <w:rsid w:val="00040587"/>
    <w:rsid w:val="00042425"/>
    <w:rsid w:val="00042982"/>
    <w:rsid w:val="00043FE2"/>
    <w:rsid w:val="0004402D"/>
    <w:rsid w:val="000452BC"/>
    <w:rsid w:val="00045902"/>
    <w:rsid w:val="00046764"/>
    <w:rsid w:val="00047235"/>
    <w:rsid w:val="00050F0E"/>
    <w:rsid w:val="00051B87"/>
    <w:rsid w:val="000523B0"/>
    <w:rsid w:val="00052709"/>
    <w:rsid w:val="00053259"/>
    <w:rsid w:val="000562EC"/>
    <w:rsid w:val="000572B7"/>
    <w:rsid w:val="000572F4"/>
    <w:rsid w:val="0006010D"/>
    <w:rsid w:val="00060564"/>
    <w:rsid w:val="00060F02"/>
    <w:rsid w:val="000612C9"/>
    <w:rsid w:val="00061333"/>
    <w:rsid w:val="000614E5"/>
    <w:rsid w:val="00061DB6"/>
    <w:rsid w:val="00063896"/>
    <w:rsid w:val="00063D81"/>
    <w:rsid w:val="00063D86"/>
    <w:rsid w:val="000652D0"/>
    <w:rsid w:val="00065E63"/>
    <w:rsid w:val="0006673A"/>
    <w:rsid w:val="00067BAE"/>
    <w:rsid w:val="00070646"/>
    <w:rsid w:val="00070849"/>
    <w:rsid w:val="00071034"/>
    <w:rsid w:val="000713A9"/>
    <w:rsid w:val="0007178A"/>
    <w:rsid w:val="000720FA"/>
    <w:rsid w:val="0007241E"/>
    <w:rsid w:val="00072DDE"/>
    <w:rsid w:val="00073ED0"/>
    <w:rsid w:val="00074ADF"/>
    <w:rsid w:val="00080220"/>
    <w:rsid w:val="000808E5"/>
    <w:rsid w:val="00081035"/>
    <w:rsid w:val="00084ABD"/>
    <w:rsid w:val="00086BDA"/>
    <w:rsid w:val="00086F1A"/>
    <w:rsid w:val="000912C0"/>
    <w:rsid w:val="00092749"/>
    <w:rsid w:val="00093E3D"/>
    <w:rsid w:val="000940F0"/>
    <w:rsid w:val="000945B3"/>
    <w:rsid w:val="00095CED"/>
    <w:rsid w:val="000977A7"/>
    <w:rsid w:val="000A1FA8"/>
    <w:rsid w:val="000A2479"/>
    <w:rsid w:val="000A267E"/>
    <w:rsid w:val="000A28E9"/>
    <w:rsid w:val="000A292B"/>
    <w:rsid w:val="000A3F4F"/>
    <w:rsid w:val="000A4C0C"/>
    <w:rsid w:val="000A535F"/>
    <w:rsid w:val="000A54B0"/>
    <w:rsid w:val="000A76B3"/>
    <w:rsid w:val="000B0604"/>
    <w:rsid w:val="000B0CDA"/>
    <w:rsid w:val="000B0CDE"/>
    <w:rsid w:val="000B0D3B"/>
    <w:rsid w:val="000B291B"/>
    <w:rsid w:val="000B2F16"/>
    <w:rsid w:val="000B36E1"/>
    <w:rsid w:val="000B429D"/>
    <w:rsid w:val="000B43E3"/>
    <w:rsid w:val="000B497C"/>
    <w:rsid w:val="000B7647"/>
    <w:rsid w:val="000B7BBF"/>
    <w:rsid w:val="000C0E2D"/>
    <w:rsid w:val="000C11CE"/>
    <w:rsid w:val="000C1F8F"/>
    <w:rsid w:val="000C229F"/>
    <w:rsid w:val="000C257D"/>
    <w:rsid w:val="000C33CF"/>
    <w:rsid w:val="000C39D4"/>
    <w:rsid w:val="000C40E3"/>
    <w:rsid w:val="000C531B"/>
    <w:rsid w:val="000C5CFE"/>
    <w:rsid w:val="000C71CB"/>
    <w:rsid w:val="000D1393"/>
    <w:rsid w:val="000D2909"/>
    <w:rsid w:val="000D3CE6"/>
    <w:rsid w:val="000D4EF2"/>
    <w:rsid w:val="000D6775"/>
    <w:rsid w:val="000D6F29"/>
    <w:rsid w:val="000E0768"/>
    <w:rsid w:val="000E0C83"/>
    <w:rsid w:val="000E208A"/>
    <w:rsid w:val="000E2096"/>
    <w:rsid w:val="000E2143"/>
    <w:rsid w:val="000E3E41"/>
    <w:rsid w:val="000E3F53"/>
    <w:rsid w:val="000E4B50"/>
    <w:rsid w:val="000E4DAD"/>
    <w:rsid w:val="000E54D9"/>
    <w:rsid w:val="000E63B0"/>
    <w:rsid w:val="000E6E3D"/>
    <w:rsid w:val="000F0056"/>
    <w:rsid w:val="000F0E01"/>
    <w:rsid w:val="000F0F98"/>
    <w:rsid w:val="000F1139"/>
    <w:rsid w:val="000F125C"/>
    <w:rsid w:val="000F1D58"/>
    <w:rsid w:val="000F2BAC"/>
    <w:rsid w:val="000F31FD"/>
    <w:rsid w:val="000F57AB"/>
    <w:rsid w:val="000F78C1"/>
    <w:rsid w:val="00101191"/>
    <w:rsid w:val="001100FE"/>
    <w:rsid w:val="00110788"/>
    <w:rsid w:val="00110C80"/>
    <w:rsid w:val="00113090"/>
    <w:rsid w:val="001136B4"/>
    <w:rsid w:val="00115FB9"/>
    <w:rsid w:val="00116003"/>
    <w:rsid w:val="0011656A"/>
    <w:rsid w:val="00116FFE"/>
    <w:rsid w:val="00120525"/>
    <w:rsid w:val="001206E0"/>
    <w:rsid w:val="00120E27"/>
    <w:rsid w:val="0012161B"/>
    <w:rsid w:val="0012223B"/>
    <w:rsid w:val="00122896"/>
    <w:rsid w:val="00122B4A"/>
    <w:rsid w:val="001233E6"/>
    <w:rsid w:val="00123704"/>
    <w:rsid w:val="001254A1"/>
    <w:rsid w:val="001254CB"/>
    <w:rsid w:val="001270CE"/>
    <w:rsid w:val="00127623"/>
    <w:rsid w:val="0012793C"/>
    <w:rsid w:val="00130FCC"/>
    <w:rsid w:val="00132BD6"/>
    <w:rsid w:val="001333AA"/>
    <w:rsid w:val="00133AF7"/>
    <w:rsid w:val="00133DD1"/>
    <w:rsid w:val="00134816"/>
    <w:rsid w:val="00134CF5"/>
    <w:rsid w:val="00137BAC"/>
    <w:rsid w:val="0014051C"/>
    <w:rsid w:val="001406EF"/>
    <w:rsid w:val="0014163D"/>
    <w:rsid w:val="00143450"/>
    <w:rsid w:val="00143588"/>
    <w:rsid w:val="00143ED0"/>
    <w:rsid w:val="00144F47"/>
    <w:rsid w:val="00144FD5"/>
    <w:rsid w:val="0014554B"/>
    <w:rsid w:val="00145FFF"/>
    <w:rsid w:val="00146214"/>
    <w:rsid w:val="00153B14"/>
    <w:rsid w:val="00155BEE"/>
    <w:rsid w:val="00156DC5"/>
    <w:rsid w:val="00157B64"/>
    <w:rsid w:val="00160956"/>
    <w:rsid w:val="0016099D"/>
    <w:rsid w:val="00161340"/>
    <w:rsid w:val="00161474"/>
    <w:rsid w:val="00161EA9"/>
    <w:rsid w:val="00162CCB"/>
    <w:rsid w:val="0016607D"/>
    <w:rsid w:val="00166D53"/>
    <w:rsid w:val="00166E6C"/>
    <w:rsid w:val="001672AA"/>
    <w:rsid w:val="001700E3"/>
    <w:rsid w:val="0017051B"/>
    <w:rsid w:val="00170C9C"/>
    <w:rsid w:val="00171011"/>
    <w:rsid w:val="00171789"/>
    <w:rsid w:val="0017186C"/>
    <w:rsid w:val="00171B58"/>
    <w:rsid w:val="00172318"/>
    <w:rsid w:val="00172A39"/>
    <w:rsid w:val="00173676"/>
    <w:rsid w:val="001746C1"/>
    <w:rsid w:val="001750B1"/>
    <w:rsid w:val="00175D08"/>
    <w:rsid w:val="00177156"/>
    <w:rsid w:val="0018025A"/>
    <w:rsid w:val="001804FB"/>
    <w:rsid w:val="00181B00"/>
    <w:rsid w:val="00181CE2"/>
    <w:rsid w:val="0018286B"/>
    <w:rsid w:val="001828C7"/>
    <w:rsid w:val="001838D8"/>
    <w:rsid w:val="0018431F"/>
    <w:rsid w:val="001844EE"/>
    <w:rsid w:val="00184C81"/>
    <w:rsid w:val="00184CA5"/>
    <w:rsid w:val="00186814"/>
    <w:rsid w:val="00187F2F"/>
    <w:rsid w:val="00190408"/>
    <w:rsid w:val="001933FA"/>
    <w:rsid w:val="0019346A"/>
    <w:rsid w:val="00193494"/>
    <w:rsid w:val="00193EBA"/>
    <w:rsid w:val="00194B96"/>
    <w:rsid w:val="00197692"/>
    <w:rsid w:val="00197BEF"/>
    <w:rsid w:val="001A00DB"/>
    <w:rsid w:val="001A072B"/>
    <w:rsid w:val="001A14A2"/>
    <w:rsid w:val="001A177B"/>
    <w:rsid w:val="001A2330"/>
    <w:rsid w:val="001A328B"/>
    <w:rsid w:val="001A3424"/>
    <w:rsid w:val="001A5495"/>
    <w:rsid w:val="001A55FD"/>
    <w:rsid w:val="001A5B63"/>
    <w:rsid w:val="001A6566"/>
    <w:rsid w:val="001A7FBD"/>
    <w:rsid w:val="001B08D1"/>
    <w:rsid w:val="001B1382"/>
    <w:rsid w:val="001B2A4B"/>
    <w:rsid w:val="001B3D72"/>
    <w:rsid w:val="001B410B"/>
    <w:rsid w:val="001B4531"/>
    <w:rsid w:val="001B477C"/>
    <w:rsid w:val="001B52A9"/>
    <w:rsid w:val="001B5D77"/>
    <w:rsid w:val="001B5DF2"/>
    <w:rsid w:val="001B62E4"/>
    <w:rsid w:val="001B651B"/>
    <w:rsid w:val="001B65D2"/>
    <w:rsid w:val="001B6DEA"/>
    <w:rsid w:val="001C0AE6"/>
    <w:rsid w:val="001C0EEB"/>
    <w:rsid w:val="001C3789"/>
    <w:rsid w:val="001C5B97"/>
    <w:rsid w:val="001C7ABF"/>
    <w:rsid w:val="001C7D33"/>
    <w:rsid w:val="001D0931"/>
    <w:rsid w:val="001D2178"/>
    <w:rsid w:val="001D33AA"/>
    <w:rsid w:val="001D3A54"/>
    <w:rsid w:val="001D3CEF"/>
    <w:rsid w:val="001D48D3"/>
    <w:rsid w:val="001D4E54"/>
    <w:rsid w:val="001D7072"/>
    <w:rsid w:val="001D7651"/>
    <w:rsid w:val="001D774F"/>
    <w:rsid w:val="001E120A"/>
    <w:rsid w:val="001E163B"/>
    <w:rsid w:val="001E2CF2"/>
    <w:rsid w:val="001E3F42"/>
    <w:rsid w:val="001E4A8B"/>
    <w:rsid w:val="001E4B02"/>
    <w:rsid w:val="001E4B7D"/>
    <w:rsid w:val="001E67B3"/>
    <w:rsid w:val="001F08A5"/>
    <w:rsid w:val="001F08D8"/>
    <w:rsid w:val="001F0DF5"/>
    <w:rsid w:val="001F2FCF"/>
    <w:rsid w:val="001F36B6"/>
    <w:rsid w:val="001F3EC6"/>
    <w:rsid w:val="001F43A1"/>
    <w:rsid w:val="001F525F"/>
    <w:rsid w:val="001F6254"/>
    <w:rsid w:val="001F6740"/>
    <w:rsid w:val="00202642"/>
    <w:rsid w:val="00202DE2"/>
    <w:rsid w:val="00202F87"/>
    <w:rsid w:val="002036C9"/>
    <w:rsid w:val="00206023"/>
    <w:rsid w:val="002067C1"/>
    <w:rsid w:val="00206A96"/>
    <w:rsid w:val="00206F7D"/>
    <w:rsid w:val="00207781"/>
    <w:rsid w:val="00211E82"/>
    <w:rsid w:val="002125AA"/>
    <w:rsid w:val="00212F21"/>
    <w:rsid w:val="0021349D"/>
    <w:rsid w:val="002142D6"/>
    <w:rsid w:val="0021489A"/>
    <w:rsid w:val="00214F20"/>
    <w:rsid w:val="00215406"/>
    <w:rsid w:val="002162B1"/>
    <w:rsid w:val="00216A67"/>
    <w:rsid w:val="00216D00"/>
    <w:rsid w:val="0022196B"/>
    <w:rsid w:val="00222A1D"/>
    <w:rsid w:val="00222B1E"/>
    <w:rsid w:val="002231D9"/>
    <w:rsid w:val="0022371F"/>
    <w:rsid w:val="00224768"/>
    <w:rsid w:val="00224873"/>
    <w:rsid w:val="00225311"/>
    <w:rsid w:val="00226CD1"/>
    <w:rsid w:val="002270FF"/>
    <w:rsid w:val="00227577"/>
    <w:rsid w:val="002302FD"/>
    <w:rsid w:val="002309BE"/>
    <w:rsid w:val="00230BA1"/>
    <w:rsid w:val="00231537"/>
    <w:rsid w:val="002317F9"/>
    <w:rsid w:val="00231A8F"/>
    <w:rsid w:val="00231DC2"/>
    <w:rsid w:val="00233999"/>
    <w:rsid w:val="002369BE"/>
    <w:rsid w:val="00237626"/>
    <w:rsid w:val="00237BC0"/>
    <w:rsid w:val="00240237"/>
    <w:rsid w:val="002408DF"/>
    <w:rsid w:val="002416FA"/>
    <w:rsid w:val="002417CC"/>
    <w:rsid w:val="0024202D"/>
    <w:rsid w:val="00242255"/>
    <w:rsid w:val="00242311"/>
    <w:rsid w:val="002429E4"/>
    <w:rsid w:val="00242D53"/>
    <w:rsid w:val="002435F7"/>
    <w:rsid w:val="0024445C"/>
    <w:rsid w:val="002449A3"/>
    <w:rsid w:val="00244A8B"/>
    <w:rsid w:val="00246C43"/>
    <w:rsid w:val="00247074"/>
    <w:rsid w:val="00247E41"/>
    <w:rsid w:val="00250616"/>
    <w:rsid w:val="00253D1E"/>
    <w:rsid w:val="00254B25"/>
    <w:rsid w:val="00254E7D"/>
    <w:rsid w:val="002554B5"/>
    <w:rsid w:val="00255B59"/>
    <w:rsid w:val="002563EA"/>
    <w:rsid w:val="00257F10"/>
    <w:rsid w:val="002604D4"/>
    <w:rsid w:val="002616D4"/>
    <w:rsid w:val="002616DD"/>
    <w:rsid w:val="00263235"/>
    <w:rsid w:val="00263AE1"/>
    <w:rsid w:val="00264C70"/>
    <w:rsid w:val="00266B14"/>
    <w:rsid w:val="0027089E"/>
    <w:rsid w:val="00272223"/>
    <w:rsid w:val="00272A5D"/>
    <w:rsid w:val="0027485C"/>
    <w:rsid w:val="00275ED3"/>
    <w:rsid w:val="002761E0"/>
    <w:rsid w:val="002772AF"/>
    <w:rsid w:val="0028106E"/>
    <w:rsid w:val="002813A7"/>
    <w:rsid w:val="00281B1B"/>
    <w:rsid w:val="002822D1"/>
    <w:rsid w:val="00282819"/>
    <w:rsid w:val="00282EEF"/>
    <w:rsid w:val="00283157"/>
    <w:rsid w:val="002833A5"/>
    <w:rsid w:val="0028452A"/>
    <w:rsid w:val="0028739F"/>
    <w:rsid w:val="00287B81"/>
    <w:rsid w:val="00287F60"/>
    <w:rsid w:val="002901BD"/>
    <w:rsid w:val="00290C48"/>
    <w:rsid w:val="00291C07"/>
    <w:rsid w:val="00291F59"/>
    <w:rsid w:val="00292906"/>
    <w:rsid w:val="00292A3F"/>
    <w:rsid w:val="00295ED8"/>
    <w:rsid w:val="002976E0"/>
    <w:rsid w:val="002A0D8E"/>
    <w:rsid w:val="002A1CCC"/>
    <w:rsid w:val="002A2391"/>
    <w:rsid w:val="002A2646"/>
    <w:rsid w:val="002A29DD"/>
    <w:rsid w:val="002A2CA7"/>
    <w:rsid w:val="002A3A62"/>
    <w:rsid w:val="002A4AD8"/>
    <w:rsid w:val="002B025C"/>
    <w:rsid w:val="002B1102"/>
    <w:rsid w:val="002B2037"/>
    <w:rsid w:val="002B221B"/>
    <w:rsid w:val="002B3878"/>
    <w:rsid w:val="002B4EF2"/>
    <w:rsid w:val="002B57CD"/>
    <w:rsid w:val="002B59AC"/>
    <w:rsid w:val="002B70F2"/>
    <w:rsid w:val="002B77A3"/>
    <w:rsid w:val="002C0372"/>
    <w:rsid w:val="002C0AE0"/>
    <w:rsid w:val="002C3405"/>
    <w:rsid w:val="002C3610"/>
    <w:rsid w:val="002C3993"/>
    <w:rsid w:val="002C3C59"/>
    <w:rsid w:val="002C4328"/>
    <w:rsid w:val="002C47DB"/>
    <w:rsid w:val="002C4812"/>
    <w:rsid w:val="002C50D6"/>
    <w:rsid w:val="002C58AD"/>
    <w:rsid w:val="002C695B"/>
    <w:rsid w:val="002C69DE"/>
    <w:rsid w:val="002C7126"/>
    <w:rsid w:val="002C730B"/>
    <w:rsid w:val="002C742B"/>
    <w:rsid w:val="002C7CE9"/>
    <w:rsid w:val="002D1F52"/>
    <w:rsid w:val="002D1F5A"/>
    <w:rsid w:val="002D29D5"/>
    <w:rsid w:val="002D407B"/>
    <w:rsid w:val="002D42BA"/>
    <w:rsid w:val="002D45B4"/>
    <w:rsid w:val="002D4BEE"/>
    <w:rsid w:val="002D4EA8"/>
    <w:rsid w:val="002D4EAC"/>
    <w:rsid w:val="002D5BE2"/>
    <w:rsid w:val="002D67FF"/>
    <w:rsid w:val="002D7016"/>
    <w:rsid w:val="002E05A8"/>
    <w:rsid w:val="002E5367"/>
    <w:rsid w:val="002E57BD"/>
    <w:rsid w:val="002E5DEC"/>
    <w:rsid w:val="002E678B"/>
    <w:rsid w:val="002E7BF2"/>
    <w:rsid w:val="002F1050"/>
    <w:rsid w:val="002F1EA4"/>
    <w:rsid w:val="002F2502"/>
    <w:rsid w:val="002F4806"/>
    <w:rsid w:val="002F69F9"/>
    <w:rsid w:val="002F7659"/>
    <w:rsid w:val="002F7E32"/>
    <w:rsid w:val="00300628"/>
    <w:rsid w:val="00300B40"/>
    <w:rsid w:val="00301099"/>
    <w:rsid w:val="00302277"/>
    <w:rsid w:val="003027C1"/>
    <w:rsid w:val="00303A17"/>
    <w:rsid w:val="003044D9"/>
    <w:rsid w:val="00304DF5"/>
    <w:rsid w:val="00304E24"/>
    <w:rsid w:val="00305438"/>
    <w:rsid w:val="00305535"/>
    <w:rsid w:val="0030677A"/>
    <w:rsid w:val="0030728E"/>
    <w:rsid w:val="00307642"/>
    <w:rsid w:val="00307B4A"/>
    <w:rsid w:val="0031000B"/>
    <w:rsid w:val="003112F9"/>
    <w:rsid w:val="003115AF"/>
    <w:rsid w:val="003128F6"/>
    <w:rsid w:val="00312EF5"/>
    <w:rsid w:val="003135E6"/>
    <w:rsid w:val="00313C24"/>
    <w:rsid w:val="00314389"/>
    <w:rsid w:val="00314ED1"/>
    <w:rsid w:val="0031528D"/>
    <w:rsid w:val="00315DF0"/>
    <w:rsid w:val="0031738C"/>
    <w:rsid w:val="0032113D"/>
    <w:rsid w:val="00321C61"/>
    <w:rsid w:val="00321EF2"/>
    <w:rsid w:val="00322118"/>
    <w:rsid w:val="003228A2"/>
    <w:rsid w:val="00322B40"/>
    <w:rsid w:val="00322D64"/>
    <w:rsid w:val="0032327A"/>
    <w:rsid w:val="003234BF"/>
    <w:rsid w:val="00324A51"/>
    <w:rsid w:val="00325A00"/>
    <w:rsid w:val="003264B7"/>
    <w:rsid w:val="003267D6"/>
    <w:rsid w:val="00326CDD"/>
    <w:rsid w:val="00326F9B"/>
    <w:rsid w:val="00327606"/>
    <w:rsid w:val="00330061"/>
    <w:rsid w:val="00331288"/>
    <w:rsid w:val="0033208E"/>
    <w:rsid w:val="00332802"/>
    <w:rsid w:val="003337BD"/>
    <w:rsid w:val="00334EA6"/>
    <w:rsid w:val="00335362"/>
    <w:rsid w:val="00335D02"/>
    <w:rsid w:val="003367F4"/>
    <w:rsid w:val="00337742"/>
    <w:rsid w:val="003402FF"/>
    <w:rsid w:val="00341E6E"/>
    <w:rsid w:val="003425D4"/>
    <w:rsid w:val="00343950"/>
    <w:rsid w:val="00345CCF"/>
    <w:rsid w:val="0034623D"/>
    <w:rsid w:val="00346CB2"/>
    <w:rsid w:val="00346E3F"/>
    <w:rsid w:val="003473C3"/>
    <w:rsid w:val="0035266E"/>
    <w:rsid w:val="00352E81"/>
    <w:rsid w:val="0035310E"/>
    <w:rsid w:val="0035383F"/>
    <w:rsid w:val="00354770"/>
    <w:rsid w:val="00355D5B"/>
    <w:rsid w:val="003563EF"/>
    <w:rsid w:val="003579BA"/>
    <w:rsid w:val="003608A8"/>
    <w:rsid w:val="00360B66"/>
    <w:rsid w:val="00360C2A"/>
    <w:rsid w:val="00360FF2"/>
    <w:rsid w:val="00361F8B"/>
    <w:rsid w:val="003629DD"/>
    <w:rsid w:val="003665CB"/>
    <w:rsid w:val="00370370"/>
    <w:rsid w:val="003703AC"/>
    <w:rsid w:val="00370FAA"/>
    <w:rsid w:val="003716F7"/>
    <w:rsid w:val="00371D3F"/>
    <w:rsid w:val="0037312F"/>
    <w:rsid w:val="00373266"/>
    <w:rsid w:val="00373286"/>
    <w:rsid w:val="00373FFC"/>
    <w:rsid w:val="00374A9F"/>
    <w:rsid w:val="00376109"/>
    <w:rsid w:val="00376E70"/>
    <w:rsid w:val="00377ED4"/>
    <w:rsid w:val="00377F6C"/>
    <w:rsid w:val="003804CD"/>
    <w:rsid w:val="00381CC0"/>
    <w:rsid w:val="00382966"/>
    <w:rsid w:val="00383AB2"/>
    <w:rsid w:val="0038459E"/>
    <w:rsid w:val="00384AD7"/>
    <w:rsid w:val="0038556C"/>
    <w:rsid w:val="00385A19"/>
    <w:rsid w:val="00387435"/>
    <w:rsid w:val="00390500"/>
    <w:rsid w:val="00390C1A"/>
    <w:rsid w:val="00391089"/>
    <w:rsid w:val="0039162F"/>
    <w:rsid w:val="00392DE0"/>
    <w:rsid w:val="0039370A"/>
    <w:rsid w:val="00394958"/>
    <w:rsid w:val="00394EA5"/>
    <w:rsid w:val="0039572E"/>
    <w:rsid w:val="00396222"/>
    <w:rsid w:val="003963BB"/>
    <w:rsid w:val="003966A6"/>
    <w:rsid w:val="00396860"/>
    <w:rsid w:val="003A1C71"/>
    <w:rsid w:val="003A1ED5"/>
    <w:rsid w:val="003A3664"/>
    <w:rsid w:val="003A5422"/>
    <w:rsid w:val="003A575A"/>
    <w:rsid w:val="003A78DE"/>
    <w:rsid w:val="003A7BE5"/>
    <w:rsid w:val="003B23DD"/>
    <w:rsid w:val="003B2A57"/>
    <w:rsid w:val="003B50AF"/>
    <w:rsid w:val="003B6DC0"/>
    <w:rsid w:val="003B708D"/>
    <w:rsid w:val="003B71CD"/>
    <w:rsid w:val="003C041D"/>
    <w:rsid w:val="003C06D1"/>
    <w:rsid w:val="003C12C6"/>
    <w:rsid w:val="003C161F"/>
    <w:rsid w:val="003C349B"/>
    <w:rsid w:val="003C357B"/>
    <w:rsid w:val="003C3917"/>
    <w:rsid w:val="003C72FF"/>
    <w:rsid w:val="003D05BF"/>
    <w:rsid w:val="003D07A2"/>
    <w:rsid w:val="003D11AB"/>
    <w:rsid w:val="003D71C4"/>
    <w:rsid w:val="003D77C8"/>
    <w:rsid w:val="003E064E"/>
    <w:rsid w:val="003E267F"/>
    <w:rsid w:val="003E4B1F"/>
    <w:rsid w:val="003E6922"/>
    <w:rsid w:val="003E73BC"/>
    <w:rsid w:val="003E7705"/>
    <w:rsid w:val="003F01F8"/>
    <w:rsid w:val="003F0607"/>
    <w:rsid w:val="003F0DA2"/>
    <w:rsid w:val="003F0EAC"/>
    <w:rsid w:val="003F16CD"/>
    <w:rsid w:val="003F18BA"/>
    <w:rsid w:val="003F1C5F"/>
    <w:rsid w:val="003F2367"/>
    <w:rsid w:val="003F27AB"/>
    <w:rsid w:val="003F2DCE"/>
    <w:rsid w:val="003F308F"/>
    <w:rsid w:val="003F54F7"/>
    <w:rsid w:val="003F58D4"/>
    <w:rsid w:val="003F5A09"/>
    <w:rsid w:val="003F5E92"/>
    <w:rsid w:val="003F5F7A"/>
    <w:rsid w:val="004002ED"/>
    <w:rsid w:val="0040034C"/>
    <w:rsid w:val="004008F5"/>
    <w:rsid w:val="00400947"/>
    <w:rsid w:val="0040095A"/>
    <w:rsid w:val="00400EF6"/>
    <w:rsid w:val="00401EED"/>
    <w:rsid w:val="004045E0"/>
    <w:rsid w:val="00405056"/>
    <w:rsid w:val="004058F7"/>
    <w:rsid w:val="00406447"/>
    <w:rsid w:val="0041044A"/>
    <w:rsid w:val="0041192C"/>
    <w:rsid w:val="004133EB"/>
    <w:rsid w:val="00414FD9"/>
    <w:rsid w:val="00415D50"/>
    <w:rsid w:val="004167D8"/>
    <w:rsid w:val="00416AC4"/>
    <w:rsid w:val="00417838"/>
    <w:rsid w:val="00421707"/>
    <w:rsid w:val="004218F4"/>
    <w:rsid w:val="004219A1"/>
    <w:rsid w:val="00422105"/>
    <w:rsid w:val="00423FB6"/>
    <w:rsid w:val="00424BB4"/>
    <w:rsid w:val="00424C3F"/>
    <w:rsid w:val="00426415"/>
    <w:rsid w:val="00427160"/>
    <w:rsid w:val="004311F0"/>
    <w:rsid w:val="00433163"/>
    <w:rsid w:val="00433C77"/>
    <w:rsid w:val="00434C27"/>
    <w:rsid w:val="0043603B"/>
    <w:rsid w:val="004360FA"/>
    <w:rsid w:val="00437979"/>
    <w:rsid w:val="004402AB"/>
    <w:rsid w:val="00440AC8"/>
    <w:rsid w:val="00440AFA"/>
    <w:rsid w:val="00440EC4"/>
    <w:rsid w:val="00441905"/>
    <w:rsid w:val="004424A3"/>
    <w:rsid w:val="00442891"/>
    <w:rsid w:val="00442F27"/>
    <w:rsid w:val="00442FB1"/>
    <w:rsid w:val="0044307F"/>
    <w:rsid w:val="00443DC6"/>
    <w:rsid w:val="00445A23"/>
    <w:rsid w:val="00445E44"/>
    <w:rsid w:val="00446013"/>
    <w:rsid w:val="004461D8"/>
    <w:rsid w:val="0044670C"/>
    <w:rsid w:val="004477F7"/>
    <w:rsid w:val="00450C64"/>
    <w:rsid w:val="00453265"/>
    <w:rsid w:val="00453888"/>
    <w:rsid w:val="00453F0A"/>
    <w:rsid w:val="00456435"/>
    <w:rsid w:val="00456BAF"/>
    <w:rsid w:val="00457B28"/>
    <w:rsid w:val="00460876"/>
    <w:rsid w:val="00460C2E"/>
    <w:rsid w:val="00461275"/>
    <w:rsid w:val="0046190A"/>
    <w:rsid w:val="00462413"/>
    <w:rsid w:val="00462784"/>
    <w:rsid w:val="00462DA0"/>
    <w:rsid w:val="00463238"/>
    <w:rsid w:val="00463657"/>
    <w:rsid w:val="00464593"/>
    <w:rsid w:val="00464D76"/>
    <w:rsid w:val="0046552B"/>
    <w:rsid w:val="00465CEB"/>
    <w:rsid w:val="00467227"/>
    <w:rsid w:val="0047006B"/>
    <w:rsid w:val="00470961"/>
    <w:rsid w:val="00470D50"/>
    <w:rsid w:val="0047241B"/>
    <w:rsid w:val="00474D58"/>
    <w:rsid w:val="00474F1F"/>
    <w:rsid w:val="00475369"/>
    <w:rsid w:val="0047559C"/>
    <w:rsid w:val="0047593A"/>
    <w:rsid w:val="004769AC"/>
    <w:rsid w:val="00477B6D"/>
    <w:rsid w:val="00477F97"/>
    <w:rsid w:val="00481437"/>
    <w:rsid w:val="00481B51"/>
    <w:rsid w:val="00483268"/>
    <w:rsid w:val="004840C8"/>
    <w:rsid w:val="004842F3"/>
    <w:rsid w:val="00484938"/>
    <w:rsid w:val="004853D8"/>
    <w:rsid w:val="00485B2A"/>
    <w:rsid w:val="00486361"/>
    <w:rsid w:val="00490F3E"/>
    <w:rsid w:val="00492544"/>
    <w:rsid w:val="004925CD"/>
    <w:rsid w:val="00492A10"/>
    <w:rsid w:val="00493036"/>
    <w:rsid w:val="00493DB3"/>
    <w:rsid w:val="0049407C"/>
    <w:rsid w:val="00494174"/>
    <w:rsid w:val="004956BE"/>
    <w:rsid w:val="00495D64"/>
    <w:rsid w:val="00495E34"/>
    <w:rsid w:val="00496673"/>
    <w:rsid w:val="00497344"/>
    <w:rsid w:val="004977C2"/>
    <w:rsid w:val="004A01E7"/>
    <w:rsid w:val="004A0358"/>
    <w:rsid w:val="004A03DC"/>
    <w:rsid w:val="004A0B84"/>
    <w:rsid w:val="004A0BFB"/>
    <w:rsid w:val="004A3529"/>
    <w:rsid w:val="004A3D05"/>
    <w:rsid w:val="004A4D01"/>
    <w:rsid w:val="004A501D"/>
    <w:rsid w:val="004A5197"/>
    <w:rsid w:val="004A55D8"/>
    <w:rsid w:val="004A69F6"/>
    <w:rsid w:val="004A7AF4"/>
    <w:rsid w:val="004B1EB2"/>
    <w:rsid w:val="004B1F7F"/>
    <w:rsid w:val="004B2EB2"/>
    <w:rsid w:val="004B4C55"/>
    <w:rsid w:val="004B509E"/>
    <w:rsid w:val="004B7BCA"/>
    <w:rsid w:val="004B7DE3"/>
    <w:rsid w:val="004C04C8"/>
    <w:rsid w:val="004C04DA"/>
    <w:rsid w:val="004C157F"/>
    <w:rsid w:val="004C15CC"/>
    <w:rsid w:val="004C3F2A"/>
    <w:rsid w:val="004C45D9"/>
    <w:rsid w:val="004C5239"/>
    <w:rsid w:val="004C631D"/>
    <w:rsid w:val="004C6629"/>
    <w:rsid w:val="004C66BB"/>
    <w:rsid w:val="004C6C08"/>
    <w:rsid w:val="004C75E0"/>
    <w:rsid w:val="004C7655"/>
    <w:rsid w:val="004C7E7C"/>
    <w:rsid w:val="004D03FF"/>
    <w:rsid w:val="004D2BD8"/>
    <w:rsid w:val="004D2ED5"/>
    <w:rsid w:val="004D2F3C"/>
    <w:rsid w:val="004D3536"/>
    <w:rsid w:val="004D383F"/>
    <w:rsid w:val="004D3A2C"/>
    <w:rsid w:val="004D56A5"/>
    <w:rsid w:val="004D6ED2"/>
    <w:rsid w:val="004D7269"/>
    <w:rsid w:val="004D73B6"/>
    <w:rsid w:val="004D7A67"/>
    <w:rsid w:val="004E0061"/>
    <w:rsid w:val="004E15D4"/>
    <w:rsid w:val="004E22C0"/>
    <w:rsid w:val="004E3A85"/>
    <w:rsid w:val="004E72C3"/>
    <w:rsid w:val="004E7E48"/>
    <w:rsid w:val="004E7E96"/>
    <w:rsid w:val="004E7FB8"/>
    <w:rsid w:val="004F1221"/>
    <w:rsid w:val="004F2386"/>
    <w:rsid w:val="004F2E58"/>
    <w:rsid w:val="004F2F53"/>
    <w:rsid w:val="004F33CD"/>
    <w:rsid w:val="004F4912"/>
    <w:rsid w:val="004F4EF4"/>
    <w:rsid w:val="004F54FD"/>
    <w:rsid w:val="004F62F9"/>
    <w:rsid w:val="004F6B2F"/>
    <w:rsid w:val="004F6EF2"/>
    <w:rsid w:val="005003C1"/>
    <w:rsid w:val="00500B11"/>
    <w:rsid w:val="00500C5D"/>
    <w:rsid w:val="00500E99"/>
    <w:rsid w:val="00502991"/>
    <w:rsid w:val="00502CAF"/>
    <w:rsid w:val="00503AB3"/>
    <w:rsid w:val="00503E91"/>
    <w:rsid w:val="00503EE8"/>
    <w:rsid w:val="00505674"/>
    <w:rsid w:val="00505912"/>
    <w:rsid w:val="00505BF8"/>
    <w:rsid w:val="00506424"/>
    <w:rsid w:val="00507623"/>
    <w:rsid w:val="00507EE7"/>
    <w:rsid w:val="00507FB1"/>
    <w:rsid w:val="00510C8C"/>
    <w:rsid w:val="00511D95"/>
    <w:rsid w:val="00515DB7"/>
    <w:rsid w:val="0051747F"/>
    <w:rsid w:val="00517813"/>
    <w:rsid w:val="00517EB2"/>
    <w:rsid w:val="0052064A"/>
    <w:rsid w:val="00522AE2"/>
    <w:rsid w:val="0052486B"/>
    <w:rsid w:val="00524885"/>
    <w:rsid w:val="00524985"/>
    <w:rsid w:val="005256F3"/>
    <w:rsid w:val="005263FB"/>
    <w:rsid w:val="00527A1F"/>
    <w:rsid w:val="00530ADB"/>
    <w:rsid w:val="00532639"/>
    <w:rsid w:val="005330E9"/>
    <w:rsid w:val="00533EFE"/>
    <w:rsid w:val="005353CA"/>
    <w:rsid w:val="005366EA"/>
    <w:rsid w:val="00540942"/>
    <w:rsid w:val="00540B5F"/>
    <w:rsid w:val="005420CF"/>
    <w:rsid w:val="00543408"/>
    <w:rsid w:val="005441AF"/>
    <w:rsid w:val="00544614"/>
    <w:rsid w:val="00544CB4"/>
    <w:rsid w:val="00550D8B"/>
    <w:rsid w:val="00551059"/>
    <w:rsid w:val="0055263B"/>
    <w:rsid w:val="00552F3F"/>
    <w:rsid w:val="00553A64"/>
    <w:rsid w:val="00553B9E"/>
    <w:rsid w:val="00554327"/>
    <w:rsid w:val="005553BB"/>
    <w:rsid w:val="00555EA2"/>
    <w:rsid w:val="00556CBC"/>
    <w:rsid w:val="005573E6"/>
    <w:rsid w:val="00560538"/>
    <w:rsid w:val="005605B4"/>
    <w:rsid w:val="005613A2"/>
    <w:rsid w:val="005616A0"/>
    <w:rsid w:val="0056361D"/>
    <w:rsid w:val="0056449A"/>
    <w:rsid w:val="0056673A"/>
    <w:rsid w:val="00566FB4"/>
    <w:rsid w:val="005703C4"/>
    <w:rsid w:val="005703FC"/>
    <w:rsid w:val="00571917"/>
    <w:rsid w:val="00573539"/>
    <w:rsid w:val="0057484C"/>
    <w:rsid w:val="00577158"/>
    <w:rsid w:val="00577764"/>
    <w:rsid w:val="00577BA7"/>
    <w:rsid w:val="00580255"/>
    <w:rsid w:val="005808EA"/>
    <w:rsid w:val="00580A5C"/>
    <w:rsid w:val="00581389"/>
    <w:rsid w:val="00581D9F"/>
    <w:rsid w:val="005829EA"/>
    <w:rsid w:val="00582CB9"/>
    <w:rsid w:val="00583153"/>
    <w:rsid w:val="00583158"/>
    <w:rsid w:val="005836E2"/>
    <w:rsid w:val="00583FC2"/>
    <w:rsid w:val="005846CD"/>
    <w:rsid w:val="00585511"/>
    <w:rsid w:val="005860A2"/>
    <w:rsid w:val="0058635C"/>
    <w:rsid w:val="00587550"/>
    <w:rsid w:val="00587A86"/>
    <w:rsid w:val="005908EC"/>
    <w:rsid w:val="00590BCC"/>
    <w:rsid w:val="00594679"/>
    <w:rsid w:val="00595E89"/>
    <w:rsid w:val="00596A51"/>
    <w:rsid w:val="005970FC"/>
    <w:rsid w:val="005973D9"/>
    <w:rsid w:val="005A04B1"/>
    <w:rsid w:val="005A12B5"/>
    <w:rsid w:val="005A1915"/>
    <w:rsid w:val="005A2BE2"/>
    <w:rsid w:val="005A43F1"/>
    <w:rsid w:val="005A52C1"/>
    <w:rsid w:val="005A54B0"/>
    <w:rsid w:val="005A5EDC"/>
    <w:rsid w:val="005B1543"/>
    <w:rsid w:val="005B26E9"/>
    <w:rsid w:val="005B2854"/>
    <w:rsid w:val="005B2C76"/>
    <w:rsid w:val="005B4388"/>
    <w:rsid w:val="005B459D"/>
    <w:rsid w:val="005B4C96"/>
    <w:rsid w:val="005B6815"/>
    <w:rsid w:val="005B6881"/>
    <w:rsid w:val="005B6DD7"/>
    <w:rsid w:val="005B7031"/>
    <w:rsid w:val="005B72D5"/>
    <w:rsid w:val="005C2D69"/>
    <w:rsid w:val="005C4320"/>
    <w:rsid w:val="005C74F1"/>
    <w:rsid w:val="005C75F7"/>
    <w:rsid w:val="005D03A7"/>
    <w:rsid w:val="005D2CB0"/>
    <w:rsid w:val="005D35B5"/>
    <w:rsid w:val="005D4325"/>
    <w:rsid w:val="005D51FC"/>
    <w:rsid w:val="005D5E3C"/>
    <w:rsid w:val="005D6DF6"/>
    <w:rsid w:val="005D7629"/>
    <w:rsid w:val="005E0430"/>
    <w:rsid w:val="005E12C2"/>
    <w:rsid w:val="005E1324"/>
    <w:rsid w:val="005E38D5"/>
    <w:rsid w:val="005E3EF3"/>
    <w:rsid w:val="005E42F2"/>
    <w:rsid w:val="005E4F2C"/>
    <w:rsid w:val="005E72A2"/>
    <w:rsid w:val="005E735A"/>
    <w:rsid w:val="005F25B7"/>
    <w:rsid w:val="005F2F13"/>
    <w:rsid w:val="005F33BF"/>
    <w:rsid w:val="005F546D"/>
    <w:rsid w:val="005F76CC"/>
    <w:rsid w:val="005F78F7"/>
    <w:rsid w:val="0060211E"/>
    <w:rsid w:val="00602172"/>
    <w:rsid w:val="0060253E"/>
    <w:rsid w:val="00603A60"/>
    <w:rsid w:val="00603BD9"/>
    <w:rsid w:val="006053F9"/>
    <w:rsid w:val="00610873"/>
    <w:rsid w:val="00610A30"/>
    <w:rsid w:val="006113D2"/>
    <w:rsid w:val="006119F0"/>
    <w:rsid w:val="006122D6"/>
    <w:rsid w:val="00612B0D"/>
    <w:rsid w:val="00612ECF"/>
    <w:rsid w:val="00613433"/>
    <w:rsid w:val="00613B9A"/>
    <w:rsid w:val="00613F48"/>
    <w:rsid w:val="00614021"/>
    <w:rsid w:val="00614BFA"/>
    <w:rsid w:val="00616540"/>
    <w:rsid w:val="00616893"/>
    <w:rsid w:val="00616E48"/>
    <w:rsid w:val="00617751"/>
    <w:rsid w:val="00620709"/>
    <w:rsid w:val="00622A92"/>
    <w:rsid w:val="00625F30"/>
    <w:rsid w:val="0062784E"/>
    <w:rsid w:val="00627F65"/>
    <w:rsid w:val="0063028F"/>
    <w:rsid w:val="00630599"/>
    <w:rsid w:val="00631D2C"/>
    <w:rsid w:val="00631FD4"/>
    <w:rsid w:val="00632001"/>
    <w:rsid w:val="0063241B"/>
    <w:rsid w:val="006331A2"/>
    <w:rsid w:val="00637421"/>
    <w:rsid w:val="0063774B"/>
    <w:rsid w:val="006377C9"/>
    <w:rsid w:val="00640CC0"/>
    <w:rsid w:val="00641085"/>
    <w:rsid w:val="00641857"/>
    <w:rsid w:val="0064244E"/>
    <w:rsid w:val="00644404"/>
    <w:rsid w:val="00644879"/>
    <w:rsid w:val="00644FDB"/>
    <w:rsid w:val="00646BBC"/>
    <w:rsid w:val="00646CA9"/>
    <w:rsid w:val="00646FC0"/>
    <w:rsid w:val="0064781A"/>
    <w:rsid w:val="0065060C"/>
    <w:rsid w:val="00652C50"/>
    <w:rsid w:val="00654B03"/>
    <w:rsid w:val="006554FA"/>
    <w:rsid w:val="00656AD2"/>
    <w:rsid w:val="00660575"/>
    <w:rsid w:val="0066087F"/>
    <w:rsid w:val="00662448"/>
    <w:rsid w:val="00662ACC"/>
    <w:rsid w:val="00663DDF"/>
    <w:rsid w:val="006640C0"/>
    <w:rsid w:val="0066422E"/>
    <w:rsid w:val="00664BE6"/>
    <w:rsid w:val="00665245"/>
    <w:rsid w:val="006664A1"/>
    <w:rsid w:val="00667272"/>
    <w:rsid w:val="00667993"/>
    <w:rsid w:val="006709F7"/>
    <w:rsid w:val="00673B08"/>
    <w:rsid w:val="006759E0"/>
    <w:rsid w:val="00680338"/>
    <w:rsid w:val="00680343"/>
    <w:rsid w:val="00681AA8"/>
    <w:rsid w:val="00683254"/>
    <w:rsid w:val="00685412"/>
    <w:rsid w:val="00685790"/>
    <w:rsid w:val="00687B63"/>
    <w:rsid w:val="006905CA"/>
    <w:rsid w:val="00690B5E"/>
    <w:rsid w:val="00691436"/>
    <w:rsid w:val="006930A9"/>
    <w:rsid w:val="00694A49"/>
    <w:rsid w:val="00694F80"/>
    <w:rsid w:val="006953D1"/>
    <w:rsid w:val="00695AAA"/>
    <w:rsid w:val="0069674E"/>
    <w:rsid w:val="00697418"/>
    <w:rsid w:val="00697788"/>
    <w:rsid w:val="006A2575"/>
    <w:rsid w:val="006A3018"/>
    <w:rsid w:val="006A3DE8"/>
    <w:rsid w:val="006A54CA"/>
    <w:rsid w:val="006A6288"/>
    <w:rsid w:val="006A7076"/>
    <w:rsid w:val="006A74EB"/>
    <w:rsid w:val="006A7B0E"/>
    <w:rsid w:val="006A7E1C"/>
    <w:rsid w:val="006B0ED4"/>
    <w:rsid w:val="006B0FE8"/>
    <w:rsid w:val="006B2035"/>
    <w:rsid w:val="006B40BB"/>
    <w:rsid w:val="006B5112"/>
    <w:rsid w:val="006B612E"/>
    <w:rsid w:val="006B62A9"/>
    <w:rsid w:val="006B6696"/>
    <w:rsid w:val="006B6AB5"/>
    <w:rsid w:val="006B6EC8"/>
    <w:rsid w:val="006B783F"/>
    <w:rsid w:val="006B7DE9"/>
    <w:rsid w:val="006C1123"/>
    <w:rsid w:val="006C2436"/>
    <w:rsid w:val="006C2A3F"/>
    <w:rsid w:val="006C354B"/>
    <w:rsid w:val="006C364F"/>
    <w:rsid w:val="006C4335"/>
    <w:rsid w:val="006C49DD"/>
    <w:rsid w:val="006C6E24"/>
    <w:rsid w:val="006C6E6C"/>
    <w:rsid w:val="006C7159"/>
    <w:rsid w:val="006D163C"/>
    <w:rsid w:val="006D1C16"/>
    <w:rsid w:val="006D2AE9"/>
    <w:rsid w:val="006D2F2A"/>
    <w:rsid w:val="006D2FF3"/>
    <w:rsid w:val="006D3801"/>
    <w:rsid w:val="006D4E89"/>
    <w:rsid w:val="006D5203"/>
    <w:rsid w:val="006D5473"/>
    <w:rsid w:val="006D61FC"/>
    <w:rsid w:val="006D624F"/>
    <w:rsid w:val="006D6598"/>
    <w:rsid w:val="006E1AEE"/>
    <w:rsid w:val="006E1BF2"/>
    <w:rsid w:val="006E211F"/>
    <w:rsid w:val="006E245E"/>
    <w:rsid w:val="006E2535"/>
    <w:rsid w:val="006E2C0B"/>
    <w:rsid w:val="006E2CC6"/>
    <w:rsid w:val="006E4532"/>
    <w:rsid w:val="006E4AF0"/>
    <w:rsid w:val="006E574A"/>
    <w:rsid w:val="006E77DE"/>
    <w:rsid w:val="006E7AF3"/>
    <w:rsid w:val="006F0F23"/>
    <w:rsid w:val="006F2A35"/>
    <w:rsid w:val="006F540D"/>
    <w:rsid w:val="006F57F6"/>
    <w:rsid w:val="006F6DCA"/>
    <w:rsid w:val="006F6F8B"/>
    <w:rsid w:val="006F741F"/>
    <w:rsid w:val="006F7667"/>
    <w:rsid w:val="006F7EF6"/>
    <w:rsid w:val="00700213"/>
    <w:rsid w:val="00701002"/>
    <w:rsid w:val="007015EC"/>
    <w:rsid w:val="007018A3"/>
    <w:rsid w:val="00702F72"/>
    <w:rsid w:val="007042E4"/>
    <w:rsid w:val="00704C90"/>
    <w:rsid w:val="00706CEE"/>
    <w:rsid w:val="00707F28"/>
    <w:rsid w:val="007115CC"/>
    <w:rsid w:val="00711A92"/>
    <w:rsid w:val="007126DB"/>
    <w:rsid w:val="007138B8"/>
    <w:rsid w:val="00713AB0"/>
    <w:rsid w:val="00714BCA"/>
    <w:rsid w:val="00715610"/>
    <w:rsid w:val="00716670"/>
    <w:rsid w:val="00716A5C"/>
    <w:rsid w:val="00716A9E"/>
    <w:rsid w:val="007211A4"/>
    <w:rsid w:val="0072174A"/>
    <w:rsid w:val="0072250D"/>
    <w:rsid w:val="007237DF"/>
    <w:rsid w:val="00724933"/>
    <w:rsid w:val="00724E50"/>
    <w:rsid w:val="00725ED4"/>
    <w:rsid w:val="007303D3"/>
    <w:rsid w:val="00731A11"/>
    <w:rsid w:val="00731D92"/>
    <w:rsid w:val="007331FD"/>
    <w:rsid w:val="00733CC4"/>
    <w:rsid w:val="00733FFC"/>
    <w:rsid w:val="00734370"/>
    <w:rsid w:val="007358A4"/>
    <w:rsid w:val="00735DA2"/>
    <w:rsid w:val="00736865"/>
    <w:rsid w:val="00740013"/>
    <w:rsid w:val="0074055C"/>
    <w:rsid w:val="007405CE"/>
    <w:rsid w:val="00741457"/>
    <w:rsid w:val="0074166A"/>
    <w:rsid w:val="00745E33"/>
    <w:rsid w:val="00746CDC"/>
    <w:rsid w:val="007473C3"/>
    <w:rsid w:val="0075027C"/>
    <w:rsid w:val="0075037E"/>
    <w:rsid w:val="007512FE"/>
    <w:rsid w:val="00751587"/>
    <w:rsid w:val="00751A08"/>
    <w:rsid w:val="00751C10"/>
    <w:rsid w:val="00753C10"/>
    <w:rsid w:val="00754BD6"/>
    <w:rsid w:val="007550E7"/>
    <w:rsid w:val="007550EF"/>
    <w:rsid w:val="007557B3"/>
    <w:rsid w:val="0076011C"/>
    <w:rsid w:val="00760B45"/>
    <w:rsid w:val="00760C2B"/>
    <w:rsid w:val="0076129F"/>
    <w:rsid w:val="007613F1"/>
    <w:rsid w:val="00762A5F"/>
    <w:rsid w:val="007630F6"/>
    <w:rsid w:val="00763816"/>
    <w:rsid w:val="00763B00"/>
    <w:rsid w:val="007654BA"/>
    <w:rsid w:val="00765592"/>
    <w:rsid w:val="007655E8"/>
    <w:rsid w:val="0076596E"/>
    <w:rsid w:val="00765F7D"/>
    <w:rsid w:val="007665D1"/>
    <w:rsid w:val="00767BDB"/>
    <w:rsid w:val="0077189B"/>
    <w:rsid w:val="0077214E"/>
    <w:rsid w:val="00772316"/>
    <w:rsid w:val="007725C9"/>
    <w:rsid w:val="00772767"/>
    <w:rsid w:val="0077350D"/>
    <w:rsid w:val="00773777"/>
    <w:rsid w:val="00774CF1"/>
    <w:rsid w:val="00776271"/>
    <w:rsid w:val="00776998"/>
    <w:rsid w:val="00781C63"/>
    <w:rsid w:val="00781FC3"/>
    <w:rsid w:val="00783B40"/>
    <w:rsid w:val="00783C08"/>
    <w:rsid w:val="0078411D"/>
    <w:rsid w:val="00784128"/>
    <w:rsid w:val="00785289"/>
    <w:rsid w:val="007854CB"/>
    <w:rsid w:val="0078744D"/>
    <w:rsid w:val="00787E73"/>
    <w:rsid w:val="00790574"/>
    <w:rsid w:val="007912E4"/>
    <w:rsid w:val="00791991"/>
    <w:rsid w:val="00792122"/>
    <w:rsid w:val="00792801"/>
    <w:rsid w:val="00793363"/>
    <w:rsid w:val="00793A5C"/>
    <w:rsid w:val="0079478D"/>
    <w:rsid w:val="00795BB2"/>
    <w:rsid w:val="00797F43"/>
    <w:rsid w:val="007A05F5"/>
    <w:rsid w:val="007A0F2F"/>
    <w:rsid w:val="007A150F"/>
    <w:rsid w:val="007A3E32"/>
    <w:rsid w:val="007A3ED2"/>
    <w:rsid w:val="007A4408"/>
    <w:rsid w:val="007A528A"/>
    <w:rsid w:val="007A5FC4"/>
    <w:rsid w:val="007B043E"/>
    <w:rsid w:val="007B2305"/>
    <w:rsid w:val="007B2C9C"/>
    <w:rsid w:val="007B4238"/>
    <w:rsid w:val="007B4E2E"/>
    <w:rsid w:val="007B604A"/>
    <w:rsid w:val="007B6B93"/>
    <w:rsid w:val="007C0077"/>
    <w:rsid w:val="007C4952"/>
    <w:rsid w:val="007C4A11"/>
    <w:rsid w:val="007C4CBA"/>
    <w:rsid w:val="007C4CF6"/>
    <w:rsid w:val="007C63E1"/>
    <w:rsid w:val="007C6441"/>
    <w:rsid w:val="007C741E"/>
    <w:rsid w:val="007C7E29"/>
    <w:rsid w:val="007D11E8"/>
    <w:rsid w:val="007D352C"/>
    <w:rsid w:val="007D592C"/>
    <w:rsid w:val="007D5DC5"/>
    <w:rsid w:val="007D7F47"/>
    <w:rsid w:val="007E191C"/>
    <w:rsid w:val="007E2298"/>
    <w:rsid w:val="007E2E22"/>
    <w:rsid w:val="007E5798"/>
    <w:rsid w:val="007E6295"/>
    <w:rsid w:val="007E62E2"/>
    <w:rsid w:val="007E6C48"/>
    <w:rsid w:val="007E7A68"/>
    <w:rsid w:val="007F14FD"/>
    <w:rsid w:val="007F2011"/>
    <w:rsid w:val="007F2F89"/>
    <w:rsid w:val="007F33CB"/>
    <w:rsid w:val="007F3656"/>
    <w:rsid w:val="007F36EE"/>
    <w:rsid w:val="007F4004"/>
    <w:rsid w:val="007F4190"/>
    <w:rsid w:val="007F41A9"/>
    <w:rsid w:val="007F4B12"/>
    <w:rsid w:val="007F663D"/>
    <w:rsid w:val="007F6F17"/>
    <w:rsid w:val="007F7B7A"/>
    <w:rsid w:val="008006A5"/>
    <w:rsid w:val="00800E45"/>
    <w:rsid w:val="00801150"/>
    <w:rsid w:val="008016A3"/>
    <w:rsid w:val="008025C7"/>
    <w:rsid w:val="008027CE"/>
    <w:rsid w:val="0080348F"/>
    <w:rsid w:val="00803EDB"/>
    <w:rsid w:val="00804993"/>
    <w:rsid w:val="00805D30"/>
    <w:rsid w:val="0080639C"/>
    <w:rsid w:val="00806745"/>
    <w:rsid w:val="00807D71"/>
    <w:rsid w:val="00810344"/>
    <w:rsid w:val="00810BB4"/>
    <w:rsid w:val="00810D2E"/>
    <w:rsid w:val="00810F4C"/>
    <w:rsid w:val="00814013"/>
    <w:rsid w:val="0081467C"/>
    <w:rsid w:val="008171FA"/>
    <w:rsid w:val="0081779E"/>
    <w:rsid w:val="0082048B"/>
    <w:rsid w:val="00820C8A"/>
    <w:rsid w:val="008212A0"/>
    <w:rsid w:val="008213BF"/>
    <w:rsid w:val="00821CA7"/>
    <w:rsid w:val="008245BC"/>
    <w:rsid w:val="008247EF"/>
    <w:rsid w:val="00825A5D"/>
    <w:rsid w:val="008274AF"/>
    <w:rsid w:val="00830607"/>
    <w:rsid w:val="008307F4"/>
    <w:rsid w:val="00830D89"/>
    <w:rsid w:val="008315FA"/>
    <w:rsid w:val="00832733"/>
    <w:rsid w:val="00832F81"/>
    <w:rsid w:val="00833318"/>
    <w:rsid w:val="00833970"/>
    <w:rsid w:val="008343ED"/>
    <w:rsid w:val="00834AED"/>
    <w:rsid w:val="00834BD9"/>
    <w:rsid w:val="0083610B"/>
    <w:rsid w:val="008369C2"/>
    <w:rsid w:val="00836F09"/>
    <w:rsid w:val="00837430"/>
    <w:rsid w:val="008416DB"/>
    <w:rsid w:val="00841ECB"/>
    <w:rsid w:val="00843D5A"/>
    <w:rsid w:val="00844060"/>
    <w:rsid w:val="008444D8"/>
    <w:rsid w:val="008445FD"/>
    <w:rsid w:val="00844E77"/>
    <w:rsid w:val="00845B79"/>
    <w:rsid w:val="00845FA7"/>
    <w:rsid w:val="0085046F"/>
    <w:rsid w:val="00850E10"/>
    <w:rsid w:val="008510B9"/>
    <w:rsid w:val="008532B9"/>
    <w:rsid w:val="008543CD"/>
    <w:rsid w:val="00854A23"/>
    <w:rsid w:val="00854F97"/>
    <w:rsid w:val="008550A2"/>
    <w:rsid w:val="008560BD"/>
    <w:rsid w:val="0085628F"/>
    <w:rsid w:val="00856447"/>
    <w:rsid w:val="00856FDE"/>
    <w:rsid w:val="00857BDA"/>
    <w:rsid w:val="00860970"/>
    <w:rsid w:val="00863B92"/>
    <w:rsid w:val="00863DCD"/>
    <w:rsid w:val="00864D04"/>
    <w:rsid w:val="00864D71"/>
    <w:rsid w:val="00865925"/>
    <w:rsid w:val="008661B2"/>
    <w:rsid w:val="00866446"/>
    <w:rsid w:val="00866F66"/>
    <w:rsid w:val="0086794E"/>
    <w:rsid w:val="00870334"/>
    <w:rsid w:val="00870CED"/>
    <w:rsid w:val="008710FA"/>
    <w:rsid w:val="008714C3"/>
    <w:rsid w:val="00871C3B"/>
    <w:rsid w:val="008721B1"/>
    <w:rsid w:val="00873DE7"/>
    <w:rsid w:val="0087460A"/>
    <w:rsid w:val="008748B4"/>
    <w:rsid w:val="0087497F"/>
    <w:rsid w:val="00874CBD"/>
    <w:rsid w:val="00875269"/>
    <w:rsid w:val="008763B4"/>
    <w:rsid w:val="0087693E"/>
    <w:rsid w:val="0088020E"/>
    <w:rsid w:val="00880262"/>
    <w:rsid w:val="00881BB2"/>
    <w:rsid w:val="008847ED"/>
    <w:rsid w:val="008855A9"/>
    <w:rsid w:val="00886154"/>
    <w:rsid w:val="00886DB7"/>
    <w:rsid w:val="0089135B"/>
    <w:rsid w:val="00891814"/>
    <w:rsid w:val="00892378"/>
    <w:rsid w:val="00892402"/>
    <w:rsid w:val="00892C69"/>
    <w:rsid w:val="008930E0"/>
    <w:rsid w:val="00895EF8"/>
    <w:rsid w:val="00896426"/>
    <w:rsid w:val="008972D9"/>
    <w:rsid w:val="008A01B4"/>
    <w:rsid w:val="008A09AD"/>
    <w:rsid w:val="008A0CAB"/>
    <w:rsid w:val="008A111F"/>
    <w:rsid w:val="008A1210"/>
    <w:rsid w:val="008A2B19"/>
    <w:rsid w:val="008A2E57"/>
    <w:rsid w:val="008A4601"/>
    <w:rsid w:val="008A49CF"/>
    <w:rsid w:val="008A5363"/>
    <w:rsid w:val="008A54DF"/>
    <w:rsid w:val="008A7C25"/>
    <w:rsid w:val="008A7DEE"/>
    <w:rsid w:val="008B0544"/>
    <w:rsid w:val="008B0B29"/>
    <w:rsid w:val="008B17D9"/>
    <w:rsid w:val="008B1E3D"/>
    <w:rsid w:val="008B26E1"/>
    <w:rsid w:val="008B3309"/>
    <w:rsid w:val="008B3475"/>
    <w:rsid w:val="008B3E15"/>
    <w:rsid w:val="008B495C"/>
    <w:rsid w:val="008B5025"/>
    <w:rsid w:val="008B5675"/>
    <w:rsid w:val="008B5CC0"/>
    <w:rsid w:val="008B671F"/>
    <w:rsid w:val="008B6ADD"/>
    <w:rsid w:val="008B7A27"/>
    <w:rsid w:val="008B7EFF"/>
    <w:rsid w:val="008C0A77"/>
    <w:rsid w:val="008C123F"/>
    <w:rsid w:val="008C3C97"/>
    <w:rsid w:val="008C4254"/>
    <w:rsid w:val="008C4521"/>
    <w:rsid w:val="008C463B"/>
    <w:rsid w:val="008C5A95"/>
    <w:rsid w:val="008C6CEF"/>
    <w:rsid w:val="008D0EE3"/>
    <w:rsid w:val="008D38BD"/>
    <w:rsid w:val="008D3983"/>
    <w:rsid w:val="008D475A"/>
    <w:rsid w:val="008D4805"/>
    <w:rsid w:val="008D4900"/>
    <w:rsid w:val="008D4DC8"/>
    <w:rsid w:val="008D6FEF"/>
    <w:rsid w:val="008E08A9"/>
    <w:rsid w:val="008E199C"/>
    <w:rsid w:val="008E28C4"/>
    <w:rsid w:val="008E2F51"/>
    <w:rsid w:val="008E2FDC"/>
    <w:rsid w:val="008E437C"/>
    <w:rsid w:val="008E51D6"/>
    <w:rsid w:val="008E6A7A"/>
    <w:rsid w:val="008E7A9C"/>
    <w:rsid w:val="008E7AA4"/>
    <w:rsid w:val="008F01BC"/>
    <w:rsid w:val="008F1D7E"/>
    <w:rsid w:val="008F33F4"/>
    <w:rsid w:val="008F4863"/>
    <w:rsid w:val="008F56EB"/>
    <w:rsid w:val="008F5900"/>
    <w:rsid w:val="008F6DE5"/>
    <w:rsid w:val="0090006A"/>
    <w:rsid w:val="00900091"/>
    <w:rsid w:val="009000B6"/>
    <w:rsid w:val="00900238"/>
    <w:rsid w:val="00901765"/>
    <w:rsid w:val="00901BE3"/>
    <w:rsid w:val="0090295A"/>
    <w:rsid w:val="00903798"/>
    <w:rsid w:val="00903DEE"/>
    <w:rsid w:val="00904807"/>
    <w:rsid w:val="00905115"/>
    <w:rsid w:val="00906C6A"/>
    <w:rsid w:val="00906CC4"/>
    <w:rsid w:val="009110E2"/>
    <w:rsid w:val="0091128E"/>
    <w:rsid w:val="00913546"/>
    <w:rsid w:val="009136C7"/>
    <w:rsid w:val="009139F5"/>
    <w:rsid w:val="00913AC8"/>
    <w:rsid w:val="009165AB"/>
    <w:rsid w:val="0091702F"/>
    <w:rsid w:val="00917988"/>
    <w:rsid w:val="00920086"/>
    <w:rsid w:val="00920CFE"/>
    <w:rsid w:val="00920F12"/>
    <w:rsid w:val="00922AA7"/>
    <w:rsid w:val="009242EC"/>
    <w:rsid w:val="009248D9"/>
    <w:rsid w:val="00924CEF"/>
    <w:rsid w:val="0092694B"/>
    <w:rsid w:val="009302CA"/>
    <w:rsid w:val="009307EC"/>
    <w:rsid w:val="00932E98"/>
    <w:rsid w:val="00933201"/>
    <w:rsid w:val="009335A2"/>
    <w:rsid w:val="009347A6"/>
    <w:rsid w:val="00934A0D"/>
    <w:rsid w:val="00940113"/>
    <w:rsid w:val="0094070A"/>
    <w:rsid w:val="00940951"/>
    <w:rsid w:val="00940A7A"/>
    <w:rsid w:val="00940D3F"/>
    <w:rsid w:val="00940D56"/>
    <w:rsid w:val="00940F22"/>
    <w:rsid w:val="00942E4B"/>
    <w:rsid w:val="00943838"/>
    <w:rsid w:val="00943BF2"/>
    <w:rsid w:val="00944385"/>
    <w:rsid w:val="009449CB"/>
    <w:rsid w:val="00944D0C"/>
    <w:rsid w:val="009503EB"/>
    <w:rsid w:val="00951591"/>
    <w:rsid w:val="00952290"/>
    <w:rsid w:val="009533FC"/>
    <w:rsid w:val="009538CF"/>
    <w:rsid w:val="009543B6"/>
    <w:rsid w:val="00954F86"/>
    <w:rsid w:val="00955BB2"/>
    <w:rsid w:val="00956F07"/>
    <w:rsid w:val="00957CB8"/>
    <w:rsid w:val="009614EC"/>
    <w:rsid w:val="00961D1A"/>
    <w:rsid w:val="00962768"/>
    <w:rsid w:val="009628C0"/>
    <w:rsid w:val="00965321"/>
    <w:rsid w:val="00965C03"/>
    <w:rsid w:val="00966DAA"/>
    <w:rsid w:val="009677E7"/>
    <w:rsid w:val="0097073C"/>
    <w:rsid w:val="00972B75"/>
    <w:rsid w:val="009756AE"/>
    <w:rsid w:val="0098041D"/>
    <w:rsid w:val="00980447"/>
    <w:rsid w:val="009812CC"/>
    <w:rsid w:val="00982D0F"/>
    <w:rsid w:val="00984238"/>
    <w:rsid w:val="00984B2D"/>
    <w:rsid w:val="0098532E"/>
    <w:rsid w:val="009864B0"/>
    <w:rsid w:val="00986DB8"/>
    <w:rsid w:val="00986E0E"/>
    <w:rsid w:val="00987049"/>
    <w:rsid w:val="00990D75"/>
    <w:rsid w:val="00991FDB"/>
    <w:rsid w:val="00992101"/>
    <w:rsid w:val="009927D7"/>
    <w:rsid w:val="009933D5"/>
    <w:rsid w:val="00994987"/>
    <w:rsid w:val="00995578"/>
    <w:rsid w:val="00996B5A"/>
    <w:rsid w:val="00997821"/>
    <w:rsid w:val="009978B1"/>
    <w:rsid w:val="009A1C88"/>
    <w:rsid w:val="009A1E77"/>
    <w:rsid w:val="009A2844"/>
    <w:rsid w:val="009A2FF3"/>
    <w:rsid w:val="009A44C2"/>
    <w:rsid w:val="009A53AE"/>
    <w:rsid w:val="009A5620"/>
    <w:rsid w:val="009A57BF"/>
    <w:rsid w:val="009A6BAF"/>
    <w:rsid w:val="009B1698"/>
    <w:rsid w:val="009B2FF5"/>
    <w:rsid w:val="009B4EEE"/>
    <w:rsid w:val="009B5027"/>
    <w:rsid w:val="009B51F2"/>
    <w:rsid w:val="009B713E"/>
    <w:rsid w:val="009C0394"/>
    <w:rsid w:val="009C083F"/>
    <w:rsid w:val="009C1547"/>
    <w:rsid w:val="009C15D2"/>
    <w:rsid w:val="009C2423"/>
    <w:rsid w:val="009C277D"/>
    <w:rsid w:val="009C2A58"/>
    <w:rsid w:val="009C3498"/>
    <w:rsid w:val="009C5ADD"/>
    <w:rsid w:val="009C5D9D"/>
    <w:rsid w:val="009C618C"/>
    <w:rsid w:val="009C7103"/>
    <w:rsid w:val="009C7B1C"/>
    <w:rsid w:val="009D15DD"/>
    <w:rsid w:val="009D1BF1"/>
    <w:rsid w:val="009D2277"/>
    <w:rsid w:val="009D23BD"/>
    <w:rsid w:val="009D3177"/>
    <w:rsid w:val="009D4DA6"/>
    <w:rsid w:val="009D50F0"/>
    <w:rsid w:val="009D65F2"/>
    <w:rsid w:val="009D76A3"/>
    <w:rsid w:val="009D7961"/>
    <w:rsid w:val="009D7E19"/>
    <w:rsid w:val="009E02C8"/>
    <w:rsid w:val="009E17C0"/>
    <w:rsid w:val="009E1A61"/>
    <w:rsid w:val="009E1F9B"/>
    <w:rsid w:val="009E2470"/>
    <w:rsid w:val="009E29C5"/>
    <w:rsid w:val="009E2B63"/>
    <w:rsid w:val="009E2F88"/>
    <w:rsid w:val="009E4786"/>
    <w:rsid w:val="009E5077"/>
    <w:rsid w:val="009E54B5"/>
    <w:rsid w:val="009E5932"/>
    <w:rsid w:val="009E676E"/>
    <w:rsid w:val="009E769F"/>
    <w:rsid w:val="009F0292"/>
    <w:rsid w:val="009F3060"/>
    <w:rsid w:val="009F369D"/>
    <w:rsid w:val="009F3FAC"/>
    <w:rsid w:val="009F41B3"/>
    <w:rsid w:val="009F4C52"/>
    <w:rsid w:val="009F66B3"/>
    <w:rsid w:val="009F78E1"/>
    <w:rsid w:val="009F7B44"/>
    <w:rsid w:val="00A00603"/>
    <w:rsid w:val="00A00F3A"/>
    <w:rsid w:val="00A0139D"/>
    <w:rsid w:val="00A01975"/>
    <w:rsid w:val="00A029B8"/>
    <w:rsid w:val="00A04602"/>
    <w:rsid w:val="00A05F5D"/>
    <w:rsid w:val="00A0737B"/>
    <w:rsid w:val="00A11109"/>
    <w:rsid w:val="00A112BA"/>
    <w:rsid w:val="00A117A0"/>
    <w:rsid w:val="00A129EB"/>
    <w:rsid w:val="00A13EDC"/>
    <w:rsid w:val="00A142AD"/>
    <w:rsid w:val="00A15B60"/>
    <w:rsid w:val="00A16528"/>
    <w:rsid w:val="00A17221"/>
    <w:rsid w:val="00A2366C"/>
    <w:rsid w:val="00A243EF"/>
    <w:rsid w:val="00A26568"/>
    <w:rsid w:val="00A275E8"/>
    <w:rsid w:val="00A276C7"/>
    <w:rsid w:val="00A27C1E"/>
    <w:rsid w:val="00A30027"/>
    <w:rsid w:val="00A3209B"/>
    <w:rsid w:val="00A33625"/>
    <w:rsid w:val="00A33E4D"/>
    <w:rsid w:val="00A34488"/>
    <w:rsid w:val="00A3455F"/>
    <w:rsid w:val="00A3474A"/>
    <w:rsid w:val="00A34BC6"/>
    <w:rsid w:val="00A36024"/>
    <w:rsid w:val="00A3759D"/>
    <w:rsid w:val="00A40E74"/>
    <w:rsid w:val="00A41DC4"/>
    <w:rsid w:val="00A421E1"/>
    <w:rsid w:val="00A43AD1"/>
    <w:rsid w:val="00A43B72"/>
    <w:rsid w:val="00A44104"/>
    <w:rsid w:val="00A4438C"/>
    <w:rsid w:val="00A44AF6"/>
    <w:rsid w:val="00A464C8"/>
    <w:rsid w:val="00A47441"/>
    <w:rsid w:val="00A500C8"/>
    <w:rsid w:val="00A50E5D"/>
    <w:rsid w:val="00A5264B"/>
    <w:rsid w:val="00A53EFE"/>
    <w:rsid w:val="00A543A9"/>
    <w:rsid w:val="00A54429"/>
    <w:rsid w:val="00A5457F"/>
    <w:rsid w:val="00A550A4"/>
    <w:rsid w:val="00A5688D"/>
    <w:rsid w:val="00A60B22"/>
    <w:rsid w:val="00A61026"/>
    <w:rsid w:val="00A61419"/>
    <w:rsid w:val="00A61A99"/>
    <w:rsid w:val="00A61EFB"/>
    <w:rsid w:val="00A62837"/>
    <w:rsid w:val="00A63973"/>
    <w:rsid w:val="00A65CEB"/>
    <w:rsid w:val="00A65D43"/>
    <w:rsid w:val="00A66B9F"/>
    <w:rsid w:val="00A67BE4"/>
    <w:rsid w:val="00A736E2"/>
    <w:rsid w:val="00A74585"/>
    <w:rsid w:val="00A7493F"/>
    <w:rsid w:val="00A75088"/>
    <w:rsid w:val="00A75B04"/>
    <w:rsid w:val="00A7671B"/>
    <w:rsid w:val="00A76910"/>
    <w:rsid w:val="00A778B2"/>
    <w:rsid w:val="00A77AF5"/>
    <w:rsid w:val="00A81623"/>
    <w:rsid w:val="00A81654"/>
    <w:rsid w:val="00A81956"/>
    <w:rsid w:val="00A81BF9"/>
    <w:rsid w:val="00A84EA3"/>
    <w:rsid w:val="00A86CDC"/>
    <w:rsid w:val="00A87FD2"/>
    <w:rsid w:val="00A90785"/>
    <w:rsid w:val="00A91528"/>
    <w:rsid w:val="00A91A81"/>
    <w:rsid w:val="00A91B21"/>
    <w:rsid w:val="00A920BF"/>
    <w:rsid w:val="00A9382A"/>
    <w:rsid w:val="00A959E3"/>
    <w:rsid w:val="00AA0E0A"/>
    <w:rsid w:val="00AA171B"/>
    <w:rsid w:val="00AA1CA8"/>
    <w:rsid w:val="00AA2BA8"/>
    <w:rsid w:val="00AA2E74"/>
    <w:rsid w:val="00AA386E"/>
    <w:rsid w:val="00AA4280"/>
    <w:rsid w:val="00AA4E6D"/>
    <w:rsid w:val="00AA5A21"/>
    <w:rsid w:val="00AA6345"/>
    <w:rsid w:val="00AA6BBC"/>
    <w:rsid w:val="00AA7AB7"/>
    <w:rsid w:val="00AB0643"/>
    <w:rsid w:val="00AB12AF"/>
    <w:rsid w:val="00AB159A"/>
    <w:rsid w:val="00AB1671"/>
    <w:rsid w:val="00AB2369"/>
    <w:rsid w:val="00AB5462"/>
    <w:rsid w:val="00AB7FB5"/>
    <w:rsid w:val="00AC0868"/>
    <w:rsid w:val="00AC201D"/>
    <w:rsid w:val="00AC30C3"/>
    <w:rsid w:val="00AC32FA"/>
    <w:rsid w:val="00AC35A4"/>
    <w:rsid w:val="00AC3707"/>
    <w:rsid w:val="00AC3791"/>
    <w:rsid w:val="00AC3B6D"/>
    <w:rsid w:val="00AC3FC4"/>
    <w:rsid w:val="00AC50D2"/>
    <w:rsid w:val="00AC671C"/>
    <w:rsid w:val="00AD02DC"/>
    <w:rsid w:val="00AD0A34"/>
    <w:rsid w:val="00AD1D26"/>
    <w:rsid w:val="00AD30BE"/>
    <w:rsid w:val="00AD32F3"/>
    <w:rsid w:val="00AD3D31"/>
    <w:rsid w:val="00AD4437"/>
    <w:rsid w:val="00AD5236"/>
    <w:rsid w:val="00AD5D36"/>
    <w:rsid w:val="00AD7B89"/>
    <w:rsid w:val="00AD7C23"/>
    <w:rsid w:val="00AE200A"/>
    <w:rsid w:val="00AE2F47"/>
    <w:rsid w:val="00AE3E48"/>
    <w:rsid w:val="00AE46B4"/>
    <w:rsid w:val="00AE58ED"/>
    <w:rsid w:val="00AE763E"/>
    <w:rsid w:val="00AF124B"/>
    <w:rsid w:val="00AF18B9"/>
    <w:rsid w:val="00AF2BBA"/>
    <w:rsid w:val="00AF31AD"/>
    <w:rsid w:val="00AF3B3F"/>
    <w:rsid w:val="00AF3E47"/>
    <w:rsid w:val="00AF439A"/>
    <w:rsid w:val="00AF43AA"/>
    <w:rsid w:val="00AF55E4"/>
    <w:rsid w:val="00AF6077"/>
    <w:rsid w:val="00AF6FE9"/>
    <w:rsid w:val="00B00F70"/>
    <w:rsid w:val="00B03C2D"/>
    <w:rsid w:val="00B0771C"/>
    <w:rsid w:val="00B10247"/>
    <w:rsid w:val="00B11267"/>
    <w:rsid w:val="00B11307"/>
    <w:rsid w:val="00B12713"/>
    <w:rsid w:val="00B12ADB"/>
    <w:rsid w:val="00B13071"/>
    <w:rsid w:val="00B146A0"/>
    <w:rsid w:val="00B16F12"/>
    <w:rsid w:val="00B22300"/>
    <w:rsid w:val="00B227A6"/>
    <w:rsid w:val="00B238E9"/>
    <w:rsid w:val="00B24BB3"/>
    <w:rsid w:val="00B24CB9"/>
    <w:rsid w:val="00B25F67"/>
    <w:rsid w:val="00B2628C"/>
    <w:rsid w:val="00B262F0"/>
    <w:rsid w:val="00B26581"/>
    <w:rsid w:val="00B27D1C"/>
    <w:rsid w:val="00B30387"/>
    <w:rsid w:val="00B304FC"/>
    <w:rsid w:val="00B31342"/>
    <w:rsid w:val="00B31BE5"/>
    <w:rsid w:val="00B32C36"/>
    <w:rsid w:val="00B36D58"/>
    <w:rsid w:val="00B37BB6"/>
    <w:rsid w:val="00B425B1"/>
    <w:rsid w:val="00B42AFC"/>
    <w:rsid w:val="00B42FAB"/>
    <w:rsid w:val="00B44A5F"/>
    <w:rsid w:val="00B45C68"/>
    <w:rsid w:val="00B46A19"/>
    <w:rsid w:val="00B518E6"/>
    <w:rsid w:val="00B528CF"/>
    <w:rsid w:val="00B5336C"/>
    <w:rsid w:val="00B553CC"/>
    <w:rsid w:val="00B5554C"/>
    <w:rsid w:val="00B5572F"/>
    <w:rsid w:val="00B568C2"/>
    <w:rsid w:val="00B56CAB"/>
    <w:rsid w:val="00B604E3"/>
    <w:rsid w:val="00B6157C"/>
    <w:rsid w:val="00B61C56"/>
    <w:rsid w:val="00B64BF2"/>
    <w:rsid w:val="00B65B3D"/>
    <w:rsid w:val="00B6769F"/>
    <w:rsid w:val="00B67EBF"/>
    <w:rsid w:val="00B70BBA"/>
    <w:rsid w:val="00B71F30"/>
    <w:rsid w:val="00B7258B"/>
    <w:rsid w:val="00B72BEF"/>
    <w:rsid w:val="00B7442B"/>
    <w:rsid w:val="00B76722"/>
    <w:rsid w:val="00B76C56"/>
    <w:rsid w:val="00B77714"/>
    <w:rsid w:val="00B80738"/>
    <w:rsid w:val="00B829E9"/>
    <w:rsid w:val="00B842EF"/>
    <w:rsid w:val="00B84B2B"/>
    <w:rsid w:val="00B853EB"/>
    <w:rsid w:val="00B861C7"/>
    <w:rsid w:val="00B86DE0"/>
    <w:rsid w:val="00B87113"/>
    <w:rsid w:val="00B87609"/>
    <w:rsid w:val="00B90A35"/>
    <w:rsid w:val="00B90CF5"/>
    <w:rsid w:val="00B90D72"/>
    <w:rsid w:val="00B92AC1"/>
    <w:rsid w:val="00B94281"/>
    <w:rsid w:val="00B95536"/>
    <w:rsid w:val="00B95A2E"/>
    <w:rsid w:val="00BA172C"/>
    <w:rsid w:val="00BA218C"/>
    <w:rsid w:val="00BA354D"/>
    <w:rsid w:val="00BA43FF"/>
    <w:rsid w:val="00BA5982"/>
    <w:rsid w:val="00BA7D83"/>
    <w:rsid w:val="00BB09EE"/>
    <w:rsid w:val="00BB1E2F"/>
    <w:rsid w:val="00BB3C4E"/>
    <w:rsid w:val="00BB5C9F"/>
    <w:rsid w:val="00BB5DEC"/>
    <w:rsid w:val="00BB73E2"/>
    <w:rsid w:val="00BB7FDA"/>
    <w:rsid w:val="00BC15A4"/>
    <w:rsid w:val="00BC190E"/>
    <w:rsid w:val="00BC1AE6"/>
    <w:rsid w:val="00BC1B87"/>
    <w:rsid w:val="00BC1C1D"/>
    <w:rsid w:val="00BC361F"/>
    <w:rsid w:val="00BC5363"/>
    <w:rsid w:val="00BC54F0"/>
    <w:rsid w:val="00BC6031"/>
    <w:rsid w:val="00BC6885"/>
    <w:rsid w:val="00BC6C54"/>
    <w:rsid w:val="00BD05EB"/>
    <w:rsid w:val="00BD38C3"/>
    <w:rsid w:val="00BD55F7"/>
    <w:rsid w:val="00BD6E04"/>
    <w:rsid w:val="00BD74A2"/>
    <w:rsid w:val="00BD77B8"/>
    <w:rsid w:val="00BE1B61"/>
    <w:rsid w:val="00BE26FA"/>
    <w:rsid w:val="00BE2DAC"/>
    <w:rsid w:val="00BE42E4"/>
    <w:rsid w:val="00BE438D"/>
    <w:rsid w:val="00BE55E1"/>
    <w:rsid w:val="00BE5AC0"/>
    <w:rsid w:val="00BF1045"/>
    <w:rsid w:val="00BF10A0"/>
    <w:rsid w:val="00BF21A1"/>
    <w:rsid w:val="00BF490B"/>
    <w:rsid w:val="00BF4C46"/>
    <w:rsid w:val="00BF5DF6"/>
    <w:rsid w:val="00BF7CAF"/>
    <w:rsid w:val="00C00020"/>
    <w:rsid w:val="00C00169"/>
    <w:rsid w:val="00C00BCA"/>
    <w:rsid w:val="00C0156F"/>
    <w:rsid w:val="00C0258E"/>
    <w:rsid w:val="00C02FB6"/>
    <w:rsid w:val="00C03EF1"/>
    <w:rsid w:val="00C04907"/>
    <w:rsid w:val="00C04953"/>
    <w:rsid w:val="00C05A61"/>
    <w:rsid w:val="00C10DD4"/>
    <w:rsid w:val="00C10F58"/>
    <w:rsid w:val="00C1169A"/>
    <w:rsid w:val="00C11734"/>
    <w:rsid w:val="00C121A8"/>
    <w:rsid w:val="00C12662"/>
    <w:rsid w:val="00C12667"/>
    <w:rsid w:val="00C12B04"/>
    <w:rsid w:val="00C12D2F"/>
    <w:rsid w:val="00C12FDD"/>
    <w:rsid w:val="00C1459C"/>
    <w:rsid w:val="00C16037"/>
    <w:rsid w:val="00C16B8A"/>
    <w:rsid w:val="00C17C18"/>
    <w:rsid w:val="00C21469"/>
    <w:rsid w:val="00C23C26"/>
    <w:rsid w:val="00C248C4"/>
    <w:rsid w:val="00C2498A"/>
    <w:rsid w:val="00C259E1"/>
    <w:rsid w:val="00C26358"/>
    <w:rsid w:val="00C31FE8"/>
    <w:rsid w:val="00C3257D"/>
    <w:rsid w:val="00C3289C"/>
    <w:rsid w:val="00C32A1D"/>
    <w:rsid w:val="00C339ED"/>
    <w:rsid w:val="00C33D6F"/>
    <w:rsid w:val="00C36CF9"/>
    <w:rsid w:val="00C4338A"/>
    <w:rsid w:val="00C441C3"/>
    <w:rsid w:val="00C45F7E"/>
    <w:rsid w:val="00C460B1"/>
    <w:rsid w:val="00C46434"/>
    <w:rsid w:val="00C466FA"/>
    <w:rsid w:val="00C47F9D"/>
    <w:rsid w:val="00C50C37"/>
    <w:rsid w:val="00C5181E"/>
    <w:rsid w:val="00C51A3E"/>
    <w:rsid w:val="00C529FF"/>
    <w:rsid w:val="00C52DBB"/>
    <w:rsid w:val="00C52EBC"/>
    <w:rsid w:val="00C52F43"/>
    <w:rsid w:val="00C53674"/>
    <w:rsid w:val="00C53C40"/>
    <w:rsid w:val="00C54588"/>
    <w:rsid w:val="00C54BF0"/>
    <w:rsid w:val="00C562D3"/>
    <w:rsid w:val="00C56A55"/>
    <w:rsid w:val="00C56D9A"/>
    <w:rsid w:val="00C57A0E"/>
    <w:rsid w:val="00C605C9"/>
    <w:rsid w:val="00C60767"/>
    <w:rsid w:val="00C60884"/>
    <w:rsid w:val="00C60DBC"/>
    <w:rsid w:val="00C62841"/>
    <w:rsid w:val="00C650AF"/>
    <w:rsid w:val="00C65A09"/>
    <w:rsid w:val="00C65A44"/>
    <w:rsid w:val="00C66DF5"/>
    <w:rsid w:val="00C66E51"/>
    <w:rsid w:val="00C7052E"/>
    <w:rsid w:val="00C7416B"/>
    <w:rsid w:val="00C76C83"/>
    <w:rsid w:val="00C80CF2"/>
    <w:rsid w:val="00C80EEF"/>
    <w:rsid w:val="00C82BE8"/>
    <w:rsid w:val="00C83A65"/>
    <w:rsid w:val="00C83E2E"/>
    <w:rsid w:val="00C85BF8"/>
    <w:rsid w:val="00C85DF8"/>
    <w:rsid w:val="00C8657E"/>
    <w:rsid w:val="00C86993"/>
    <w:rsid w:val="00C86D6C"/>
    <w:rsid w:val="00C870FF"/>
    <w:rsid w:val="00C875A5"/>
    <w:rsid w:val="00C87C2F"/>
    <w:rsid w:val="00C90523"/>
    <w:rsid w:val="00C90F4F"/>
    <w:rsid w:val="00C922CC"/>
    <w:rsid w:val="00C9414B"/>
    <w:rsid w:val="00C97312"/>
    <w:rsid w:val="00C97F60"/>
    <w:rsid w:val="00CA1824"/>
    <w:rsid w:val="00CA1EF7"/>
    <w:rsid w:val="00CA1F23"/>
    <w:rsid w:val="00CA2985"/>
    <w:rsid w:val="00CA3F78"/>
    <w:rsid w:val="00CA468A"/>
    <w:rsid w:val="00CA69EE"/>
    <w:rsid w:val="00CA6FDE"/>
    <w:rsid w:val="00CA73A1"/>
    <w:rsid w:val="00CA7A9E"/>
    <w:rsid w:val="00CB1477"/>
    <w:rsid w:val="00CB2E58"/>
    <w:rsid w:val="00CB308F"/>
    <w:rsid w:val="00CB32FA"/>
    <w:rsid w:val="00CB438A"/>
    <w:rsid w:val="00CB6513"/>
    <w:rsid w:val="00CB694C"/>
    <w:rsid w:val="00CC0219"/>
    <w:rsid w:val="00CC0ED1"/>
    <w:rsid w:val="00CC2D1B"/>
    <w:rsid w:val="00CC30D8"/>
    <w:rsid w:val="00CC3945"/>
    <w:rsid w:val="00CC3A6B"/>
    <w:rsid w:val="00CC4114"/>
    <w:rsid w:val="00CC57D9"/>
    <w:rsid w:val="00CC5B29"/>
    <w:rsid w:val="00CC68C1"/>
    <w:rsid w:val="00CC7050"/>
    <w:rsid w:val="00CD1425"/>
    <w:rsid w:val="00CD2E9F"/>
    <w:rsid w:val="00CD2EDC"/>
    <w:rsid w:val="00CD478A"/>
    <w:rsid w:val="00CD4EEA"/>
    <w:rsid w:val="00CD525F"/>
    <w:rsid w:val="00CD5485"/>
    <w:rsid w:val="00CD562A"/>
    <w:rsid w:val="00CD614F"/>
    <w:rsid w:val="00CD61E1"/>
    <w:rsid w:val="00CD6246"/>
    <w:rsid w:val="00CD653C"/>
    <w:rsid w:val="00CD6B0D"/>
    <w:rsid w:val="00CD7971"/>
    <w:rsid w:val="00CD79BB"/>
    <w:rsid w:val="00CE104C"/>
    <w:rsid w:val="00CE147B"/>
    <w:rsid w:val="00CE1490"/>
    <w:rsid w:val="00CE1825"/>
    <w:rsid w:val="00CE1A71"/>
    <w:rsid w:val="00CE2B26"/>
    <w:rsid w:val="00CE2C51"/>
    <w:rsid w:val="00CE3282"/>
    <w:rsid w:val="00CE35E0"/>
    <w:rsid w:val="00CE5A20"/>
    <w:rsid w:val="00CE5DC2"/>
    <w:rsid w:val="00CE6B66"/>
    <w:rsid w:val="00CE6FF0"/>
    <w:rsid w:val="00CE7C4D"/>
    <w:rsid w:val="00CE7D87"/>
    <w:rsid w:val="00CF0FCF"/>
    <w:rsid w:val="00CF13E7"/>
    <w:rsid w:val="00CF1A74"/>
    <w:rsid w:val="00CF313B"/>
    <w:rsid w:val="00CF3746"/>
    <w:rsid w:val="00CF3CA6"/>
    <w:rsid w:val="00CF42AE"/>
    <w:rsid w:val="00CF5E7B"/>
    <w:rsid w:val="00CF64FD"/>
    <w:rsid w:val="00D00580"/>
    <w:rsid w:val="00D011CB"/>
    <w:rsid w:val="00D01A1E"/>
    <w:rsid w:val="00D0388B"/>
    <w:rsid w:val="00D03CF8"/>
    <w:rsid w:val="00D03EC2"/>
    <w:rsid w:val="00D053F2"/>
    <w:rsid w:val="00D07EA8"/>
    <w:rsid w:val="00D10578"/>
    <w:rsid w:val="00D1080C"/>
    <w:rsid w:val="00D11349"/>
    <w:rsid w:val="00D1270D"/>
    <w:rsid w:val="00D13694"/>
    <w:rsid w:val="00D1416E"/>
    <w:rsid w:val="00D15D57"/>
    <w:rsid w:val="00D15DB9"/>
    <w:rsid w:val="00D16CFE"/>
    <w:rsid w:val="00D1702F"/>
    <w:rsid w:val="00D212F5"/>
    <w:rsid w:val="00D23C0C"/>
    <w:rsid w:val="00D23F5C"/>
    <w:rsid w:val="00D24409"/>
    <w:rsid w:val="00D24559"/>
    <w:rsid w:val="00D2539A"/>
    <w:rsid w:val="00D27DB3"/>
    <w:rsid w:val="00D31D7B"/>
    <w:rsid w:val="00D32561"/>
    <w:rsid w:val="00D33F71"/>
    <w:rsid w:val="00D343F4"/>
    <w:rsid w:val="00D345B8"/>
    <w:rsid w:val="00D34602"/>
    <w:rsid w:val="00D35570"/>
    <w:rsid w:val="00D37740"/>
    <w:rsid w:val="00D41C60"/>
    <w:rsid w:val="00D41E0D"/>
    <w:rsid w:val="00D41E50"/>
    <w:rsid w:val="00D43621"/>
    <w:rsid w:val="00D4432B"/>
    <w:rsid w:val="00D44901"/>
    <w:rsid w:val="00D454CF"/>
    <w:rsid w:val="00D454DB"/>
    <w:rsid w:val="00D45DB6"/>
    <w:rsid w:val="00D517A5"/>
    <w:rsid w:val="00D527CA"/>
    <w:rsid w:val="00D53236"/>
    <w:rsid w:val="00D53659"/>
    <w:rsid w:val="00D5389E"/>
    <w:rsid w:val="00D544E7"/>
    <w:rsid w:val="00D55A74"/>
    <w:rsid w:val="00D55D5F"/>
    <w:rsid w:val="00D5732A"/>
    <w:rsid w:val="00D57F5F"/>
    <w:rsid w:val="00D60716"/>
    <w:rsid w:val="00D60E14"/>
    <w:rsid w:val="00D62749"/>
    <w:rsid w:val="00D62AF7"/>
    <w:rsid w:val="00D638CC"/>
    <w:rsid w:val="00D641F5"/>
    <w:rsid w:val="00D648B7"/>
    <w:rsid w:val="00D66231"/>
    <w:rsid w:val="00D67520"/>
    <w:rsid w:val="00D7300C"/>
    <w:rsid w:val="00D7321F"/>
    <w:rsid w:val="00D7381A"/>
    <w:rsid w:val="00D738EC"/>
    <w:rsid w:val="00D73BED"/>
    <w:rsid w:val="00D75CD3"/>
    <w:rsid w:val="00D76457"/>
    <w:rsid w:val="00D7653E"/>
    <w:rsid w:val="00D76C58"/>
    <w:rsid w:val="00D76EF1"/>
    <w:rsid w:val="00D80D03"/>
    <w:rsid w:val="00D81077"/>
    <w:rsid w:val="00D8124F"/>
    <w:rsid w:val="00D81DB8"/>
    <w:rsid w:val="00D83FD1"/>
    <w:rsid w:val="00D84545"/>
    <w:rsid w:val="00D84DE6"/>
    <w:rsid w:val="00D858C3"/>
    <w:rsid w:val="00D86441"/>
    <w:rsid w:val="00D86539"/>
    <w:rsid w:val="00D9162C"/>
    <w:rsid w:val="00D9258A"/>
    <w:rsid w:val="00D9333E"/>
    <w:rsid w:val="00D93817"/>
    <w:rsid w:val="00D95563"/>
    <w:rsid w:val="00D96394"/>
    <w:rsid w:val="00D9661D"/>
    <w:rsid w:val="00DA0543"/>
    <w:rsid w:val="00DA0E9D"/>
    <w:rsid w:val="00DA157B"/>
    <w:rsid w:val="00DA1E17"/>
    <w:rsid w:val="00DA2146"/>
    <w:rsid w:val="00DA33B9"/>
    <w:rsid w:val="00DA4CBE"/>
    <w:rsid w:val="00DA4D9C"/>
    <w:rsid w:val="00DA5608"/>
    <w:rsid w:val="00DB00F0"/>
    <w:rsid w:val="00DB113D"/>
    <w:rsid w:val="00DB2204"/>
    <w:rsid w:val="00DB2500"/>
    <w:rsid w:val="00DB2C09"/>
    <w:rsid w:val="00DB429A"/>
    <w:rsid w:val="00DB67FF"/>
    <w:rsid w:val="00DB69EF"/>
    <w:rsid w:val="00DB6B52"/>
    <w:rsid w:val="00DC1D1F"/>
    <w:rsid w:val="00DC2D44"/>
    <w:rsid w:val="00DC41A0"/>
    <w:rsid w:val="00DC6012"/>
    <w:rsid w:val="00DC744F"/>
    <w:rsid w:val="00DC76B8"/>
    <w:rsid w:val="00DC7F53"/>
    <w:rsid w:val="00DD0080"/>
    <w:rsid w:val="00DD0704"/>
    <w:rsid w:val="00DD0F7B"/>
    <w:rsid w:val="00DD1FE7"/>
    <w:rsid w:val="00DD563E"/>
    <w:rsid w:val="00DD584D"/>
    <w:rsid w:val="00DD5DB9"/>
    <w:rsid w:val="00DD6E59"/>
    <w:rsid w:val="00DD6ECD"/>
    <w:rsid w:val="00DD7137"/>
    <w:rsid w:val="00DD751E"/>
    <w:rsid w:val="00DD77F8"/>
    <w:rsid w:val="00DE0937"/>
    <w:rsid w:val="00DE0B06"/>
    <w:rsid w:val="00DE1380"/>
    <w:rsid w:val="00DE1E95"/>
    <w:rsid w:val="00DE4535"/>
    <w:rsid w:val="00DE529E"/>
    <w:rsid w:val="00DE732E"/>
    <w:rsid w:val="00DE7D5C"/>
    <w:rsid w:val="00DF0152"/>
    <w:rsid w:val="00DF1746"/>
    <w:rsid w:val="00DF2004"/>
    <w:rsid w:val="00DF2087"/>
    <w:rsid w:val="00DF2A10"/>
    <w:rsid w:val="00DF3899"/>
    <w:rsid w:val="00DF3EDE"/>
    <w:rsid w:val="00DF4006"/>
    <w:rsid w:val="00DF4068"/>
    <w:rsid w:val="00DF4104"/>
    <w:rsid w:val="00DF532F"/>
    <w:rsid w:val="00DF6717"/>
    <w:rsid w:val="00DF6997"/>
    <w:rsid w:val="00DF69CE"/>
    <w:rsid w:val="00DF6B5F"/>
    <w:rsid w:val="00DF7885"/>
    <w:rsid w:val="00DF7F00"/>
    <w:rsid w:val="00E0002D"/>
    <w:rsid w:val="00E00294"/>
    <w:rsid w:val="00E008CF"/>
    <w:rsid w:val="00E011C9"/>
    <w:rsid w:val="00E027BB"/>
    <w:rsid w:val="00E02D49"/>
    <w:rsid w:val="00E03E68"/>
    <w:rsid w:val="00E05067"/>
    <w:rsid w:val="00E0519A"/>
    <w:rsid w:val="00E05252"/>
    <w:rsid w:val="00E05823"/>
    <w:rsid w:val="00E06008"/>
    <w:rsid w:val="00E0671F"/>
    <w:rsid w:val="00E06A6F"/>
    <w:rsid w:val="00E103CA"/>
    <w:rsid w:val="00E118CF"/>
    <w:rsid w:val="00E11E94"/>
    <w:rsid w:val="00E127E7"/>
    <w:rsid w:val="00E13D82"/>
    <w:rsid w:val="00E13FF7"/>
    <w:rsid w:val="00E147BC"/>
    <w:rsid w:val="00E14B6B"/>
    <w:rsid w:val="00E160FC"/>
    <w:rsid w:val="00E162DE"/>
    <w:rsid w:val="00E168BD"/>
    <w:rsid w:val="00E179A4"/>
    <w:rsid w:val="00E201D6"/>
    <w:rsid w:val="00E20BA0"/>
    <w:rsid w:val="00E20C14"/>
    <w:rsid w:val="00E22A3F"/>
    <w:rsid w:val="00E22BCB"/>
    <w:rsid w:val="00E23E9A"/>
    <w:rsid w:val="00E26084"/>
    <w:rsid w:val="00E264D2"/>
    <w:rsid w:val="00E27AAB"/>
    <w:rsid w:val="00E33586"/>
    <w:rsid w:val="00E34B2F"/>
    <w:rsid w:val="00E34F8C"/>
    <w:rsid w:val="00E357DB"/>
    <w:rsid w:val="00E3587D"/>
    <w:rsid w:val="00E361E1"/>
    <w:rsid w:val="00E373FC"/>
    <w:rsid w:val="00E416C1"/>
    <w:rsid w:val="00E4310B"/>
    <w:rsid w:val="00E43A0E"/>
    <w:rsid w:val="00E46E20"/>
    <w:rsid w:val="00E47393"/>
    <w:rsid w:val="00E50316"/>
    <w:rsid w:val="00E50561"/>
    <w:rsid w:val="00E52116"/>
    <w:rsid w:val="00E52A58"/>
    <w:rsid w:val="00E53720"/>
    <w:rsid w:val="00E5392E"/>
    <w:rsid w:val="00E54579"/>
    <w:rsid w:val="00E54CD4"/>
    <w:rsid w:val="00E5540E"/>
    <w:rsid w:val="00E55485"/>
    <w:rsid w:val="00E569D5"/>
    <w:rsid w:val="00E572F3"/>
    <w:rsid w:val="00E57311"/>
    <w:rsid w:val="00E60241"/>
    <w:rsid w:val="00E61B08"/>
    <w:rsid w:val="00E62132"/>
    <w:rsid w:val="00E62E64"/>
    <w:rsid w:val="00E63625"/>
    <w:rsid w:val="00E641C3"/>
    <w:rsid w:val="00E64A88"/>
    <w:rsid w:val="00E65682"/>
    <w:rsid w:val="00E66B7E"/>
    <w:rsid w:val="00E70AED"/>
    <w:rsid w:val="00E70F83"/>
    <w:rsid w:val="00E70FE0"/>
    <w:rsid w:val="00E71BB3"/>
    <w:rsid w:val="00E724FA"/>
    <w:rsid w:val="00E72C06"/>
    <w:rsid w:val="00E74E6A"/>
    <w:rsid w:val="00E75FF2"/>
    <w:rsid w:val="00E76875"/>
    <w:rsid w:val="00E775F4"/>
    <w:rsid w:val="00E80A66"/>
    <w:rsid w:val="00E81638"/>
    <w:rsid w:val="00E82768"/>
    <w:rsid w:val="00E85851"/>
    <w:rsid w:val="00E9093D"/>
    <w:rsid w:val="00E91E5D"/>
    <w:rsid w:val="00E92152"/>
    <w:rsid w:val="00E92A5A"/>
    <w:rsid w:val="00E96E46"/>
    <w:rsid w:val="00EA05B9"/>
    <w:rsid w:val="00EA16CC"/>
    <w:rsid w:val="00EA1755"/>
    <w:rsid w:val="00EA1EDC"/>
    <w:rsid w:val="00EA2F65"/>
    <w:rsid w:val="00EA38A3"/>
    <w:rsid w:val="00EA3B8E"/>
    <w:rsid w:val="00EA5BDF"/>
    <w:rsid w:val="00EA7639"/>
    <w:rsid w:val="00EA79C0"/>
    <w:rsid w:val="00EB0AB5"/>
    <w:rsid w:val="00EB1F4B"/>
    <w:rsid w:val="00EB23E4"/>
    <w:rsid w:val="00EB288B"/>
    <w:rsid w:val="00EB28DD"/>
    <w:rsid w:val="00EB2C06"/>
    <w:rsid w:val="00EB33E5"/>
    <w:rsid w:val="00EB3F5D"/>
    <w:rsid w:val="00EB59BB"/>
    <w:rsid w:val="00EB687E"/>
    <w:rsid w:val="00EB7FC8"/>
    <w:rsid w:val="00EC03D4"/>
    <w:rsid w:val="00EC04E1"/>
    <w:rsid w:val="00EC0C8B"/>
    <w:rsid w:val="00EC1C4D"/>
    <w:rsid w:val="00EC27BD"/>
    <w:rsid w:val="00EC2D7B"/>
    <w:rsid w:val="00EC2E5E"/>
    <w:rsid w:val="00EC3DE4"/>
    <w:rsid w:val="00EC51A7"/>
    <w:rsid w:val="00EC7E35"/>
    <w:rsid w:val="00ED0536"/>
    <w:rsid w:val="00ED0939"/>
    <w:rsid w:val="00ED2FD8"/>
    <w:rsid w:val="00ED49F0"/>
    <w:rsid w:val="00ED5047"/>
    <w:rsid w:val="00ED5518"/>
    <w:rsid w:val="00ED7E5F"/>
    <w:rsid w:val="00EE0CE9"/>
    <w:rsid w:val="00EE1946"/>
    <w:rsid w:val="00EE2473"/>
    <w:rsid w:val="00EE4F10"/>
    <w:rsid w:val="00EE5745"/>
    <w:rsid w:val="00EE5FB5"/>
    <w:rsid w:val="00EE746B"/>
    <w:rsid w:val="00EF1028"/>
    <w:rsid w:val="00EF2458"/>
    <w:rsid w:val="00EF27F0"/>
    <w:rsid w:val="00EF2C65"/>
    <w:rsid w:val="00EF34E3"/>
    <w:rsid w:val="00EF4C4A"/>
    <w:rsid w:val="00F00343"/>
    <w:rsid w:val="00F00587"/>
    <w:rsid w:val="00F00F1B"/>
    <w:rsid w:val="00F01E49"/>
    <w:rsid w:val="00F0274A"/>
    <w:rsid w:val="00F04067"/>
    <w:rsid w:val="00F04147"/>
    <w:rsid w:val="00F04B9F"/>
    <w:rsid w:val="00F04D90"/>
    <w:rsid w:val="00F05A7F"/>
    <w:rsid w:val="00F05B63"/>
    <w:rsid w:val="00F0690F"/>
    <w:rsid w:val="00F06BB0"/>
    <w:rsid w:val="00F06DC8"/>
    <w:rsid w:val="00F06E57"/>
    <w:rsid w:val="00F10071"/>
    <w:rsid w:val="00F10983"/>
    <w:rsid w:val="00F11452"/>
    <w:rsid w:val="00F13538"/>
    <w:rsid w:val="00F1380A"/>
    <w:rsid w:val="00F13F6C"/>
    <w:rsid w:val="00F14449"/>
    <w:rsid w:val="00F144AA"/>
    <w:rsid w:val="00F1492C"/>
    <w:rsid w:val="00F14AF4"/>
    <w:rsid w:val="00F153AF"/>
    <w:rsid w:val="00F164E0"/>
    <w:rsid w:val="00F1695F"/>
    <w:rsid w:val="00F16A9D"/>
    <w:rsid w:val="00F176C6"/>
    <w:rsid w:val="00F17F1F"/>
    <w:rsid w:val="00F21A3D"/>
    <w:rsid w:val="00F23DA9"/>
    <w:rsid w:val="00F2473E"/>
    <w:rsid w:val="00F27917"/>
    <w:rsid w:val="00F279D9"/>
    <w:rsid w:val="00F27A6E"/>
    <w:rsid w:val="00F27DF8"/>
    <w:rsid w:val="00F27F19"/>
    <w:rsid w:val="00F3006E"/>
    <w:rsid w:val="00F30DDD"/>
    <w:rsid w:val="00F3119D"/>
    <w:rsid w:val="00F31645"/>
    <w:rsid w:val="00F3171A"/>
    <w:rsid w:val="00F33025"/>
    <w:rsid w:val="00F331FC"/>
    <w:rsid w:val="00F3366C"/>
    <w:rsid w:val="00F337A5"/>
    <w:rsid w:val="00F339C4"/>
    <w:rsid w:val="00F35C10"/>
    <w:rsid w:val="00F35EB4"/>
    <w:rsid w:val="00F36E0E"/>
    <w:rsid w:val="00F375C5"/>
    <w:rsid w:val="00F3789C"/>
    <w:rsid w:val="00F40821"/>
    <w:rsid w:val="00F40C03"/>
    <w:rsid w:val="00F41689"/>
    <w:rsid w:val="00F44D9D"/>
    <w:rsid w:val="00F4701B"/>
    <w:rsid w:val="00F47391"/>
    <w:rsid w:val="00F4789A"/>
    <w:rsid w:val="00F501F5"/>
    <w:rsid w:val="00F5039F"/>
    <w:rsid w:val="00F509E6"/>
    <w:rsid w:val="00F5243C"/>
    <w:rsid w:val="00F52E31"/>
    <w:rsid w:val="00F53EA1"/>
    <w:rsid w:val="00F54C32"/>
    <w:rsid w:val="00F5504A"/>
    <w:rsid w:val="00F566F5"/>
    <w:rsid w:val="00F568C7"/>
    <w:rsid w:val="00F56B03"/>
    <w:rsid w:val="00F57CF3"/>
    <w:rsid w:val="00F6003E"/>
    <w:rsid w:val="00F61430"/>
    <w:rsid w:val="00F61D41"/>
    <w:rsid w:val="00F624EE"/>
    <w:rsid w:val="00F62921"/>
    <w:rsid w:val="00F63A16"/>
    <w:rsid w:val="00F63DA3"/>
    <w:rsid w:val="00F64DE9"/>
    <w:rsid w:val="00F64E76"/>
    <w:rsid w:val="00F67BEE"/>
    <w:rsid w:val="00F71BE8"/>
    <w:rsid w:val="00F72229"/>
    <w:rsid w:val="00F736F6"/>
    <w:rsid w:val="00F75192"/>
    <w:rsid w:val="00F7583A"/>
    <w:rsid w:val="00F75841"/>
    <w:rsid w:val="00F77529"/>
    <w:rsid w:val="00F77540"/>
    <w:rsid w:val="00F806F3"/>
    <w:rsid w:val="00F80AB9"/>
    <w:rsid w:val="00F81F51"/>
    <w:rsid w:val="00F833D9"/>
    <w:rsid w:val="00F87A20"/>
    <w:rsid w:val="00F903C2"/>
    <w:rsid w:val="00F926AC"/>
    <w:rsid w:val="00F93595"/>
    <w:rsid w:val="00F9380C"/>
    <w:rsid w:val="00F93D91"/>
    <w:rsid w:val="00F94C93"/>
    <w:rsid w:val="00F94E1F"/>
    <w:rsid w:val="00F95779"/>
    <w:rsid w:val="00F96749"/>
    <w:rsid w:val="00F97358"/>
    <w:rsid w:val="00FA33C5"/>
    <w:rsid w:val="00FA35D9"/>
    <w:rsid w:val="00FA4B1A"/>
    <w:rsid w:val="00FA5F25"/>
    <w:rsid w:val="00FA68C3"/>
    <w:rsid w:val="00FA74F2"/>
    <w:rsid w:val="00FB0C1C"/>
    <w:rsid w:val="00FB0E15"/>
    <w:rsid w:val="00FB155C"/>
    <w:rsid w:val="00FB3045"/>
    <w:rsid w:val="00FB5E91"/>
    <w:rsid w:val="00FC025F"/>
    <w:rsid w:val="00FC0AF1"/>
    <w:rsid w:val="00FC0F27"/>
    <w:rsid w:val="00FC0FE8"/>
    <w:rsid w:val="00FC1E6A"/>
    <w:rsid w:val="00FC1F0C"/>
    <w:rsid w:val="00FC26BD"/>
    <w:rsid w:val="00FC32F5"/>
    <w:rsid w:val="00FC35CB"/>
    <w:rsid w:val="00FC36BE"/>
    <w:rsid w:val="00FC4775"/>
    <w:rsid w:val="00FC49DA"/>
    <w:rsid w:val="00FC6B3F"/>
    <w:rsid w:val="00FC7272"/>
    <w:rsid w:val="00FD078B"/>
    <w:rsid w:val="00FD17A7"/>
    <w:rsid w:val="00FD3218"/>
    <w:rsid w:val="00FD32F8"/>
    <w:rsid w:val="00FD3FA9"/>
    <w:rsid w:val="00FD48D9"/>
    <w:rsid w:val="00FD57D3"/>
    <w:rsid w:val="00FD67F5"/>
    <w:rsid w:val="00FD71D5"/>
    <w:rsid w:val="00FD795D"/>
    <w:rsid w:val="00FD7C9E"/>
    <w:rsid w:val="00FE09E7"/>
    <w:rsid w:val="00FE0CB6"/>
    <w:rsid w:val="00FE2F3F"/>
    <w:rsid w:val="00FE30AE"/>
    <w:rsid w:val="00FE38EF"/>
    <w:rsid w:val="00FE50D8"/>
    <w:rsid w:val="00FE5824"/>
    <w:rsid w:val="00FE621F"/>
    <w:rsid w:val="00FE62D1"/>
    <w:rsid w:val="00FE6F61"/>
    <w:rsid w:val="00FE7962"/>
    <w:rsid w:val="00FE7A70"/>
    <w:rsid w:val="00FF0815"/>
    <w:rsid w:val="00FF0AA9"/>
    <w:rsid w:val="00FF0B51"/>
    <w:rsid w:val="00FF27A9"/>
    <w:rsid w:val="00FF2AB3"/>
    <w:rsid w:val="00FF2FE2"/>
    <w:rsid w:val="00FF30D7"/>
    <w:rsid w:val="00FF360B"/>
    <w:rsid w:val="00FF533C"/>
    <w:rsid w:val="00FF6296"/>
    <w:rsid w:val="00FF73CE"/>
    <w:rsid w:val="00FF7BB6"/>
    <w:rsid w:val="012670EA"/>
    <w:rsid w:val="012E59E9"/>
    <w:rsid w:val="019564BC"/>
    <w:rsid w:val="01981E80"/>
    <w:rsid w:val="019B3634"/>
    <w:rsid w:val="01AE3610"/>
    <w:rsid w:val="01BF3FAF"/>
    <w:rsid w:val="028E13EB"/>
    <w:rsid w:val="02C31095"/>
    <w:rsid w:val="02E3629A"/>
    <w:rsid w:val="0361265C"/>
    <w:rsid w:val="03AF34FF"/>
    <w:rsid w:val="04073203"/>
    <w:rsid w:val="04074FB1"/>
    <w:rsid w:val="0449033A"/>
    <w:rsid w:val="0464257C"/>
    <w:rsid w:val="047B14FB"/>
    <w:rsid w:val="047C599F"/>
    <w:rsid w:val="047C774D"/>
    <w:rsid w:val="056401E1"/>
    <w:rsid w:val="058A40EC"/>
    <w:rsid w:val="061B23F1"/>
    <w:rsid w:val="061E3FF0"/>
    <w:rsid w:val="06224324"/>
    <w:rsid w:val="06F35CC1"/>
    <w:rsid w:val="079B3C49"/>
    <w:rsid w:val="07D94EB6"/>
    <w:rsid w:val="082500FC"/>
    <w:rsid w:val="085D1644"/>
    <w:rsid w:val="089963F4"/>
    <w:rsid w:val="08A52FEB"/>
    <w:rsid w:val="08B6781C"/>
    <w:rsid w:val="08D31906"/>
    <w:rsid w:val="08F3114B"/>
    <w:rsid w:val="08F55D20"/>
    <w:rsid w:val="09496E8C"/>
    <w:rsid w:val="09BF5B5A"/>
    <w:rsid w:val="09E5F351"/>
    <w:rsid w:val="09F835F5"/>
    <w:rsid w:val="09FB1114"/>
    <w:rsid w:val="0A0D52EB"/>
    <w:rsid w:val="0A64315D"/>
    <w:rsid w:val="0B024724"/>
    <w:rsid w:val="0B061B89"/>
    <w:rsid w:val="0C886EAB"/>
    <w:rsid w:val="0CD21ED4"/>
    <w:rsid w:val="0D343BD5"/>
    <w:rsid w:val="0D6A0183"/>
    <w:rsid w:val="0DA33F9D"/>
    <w:rsid w:val="0DED6FA4"/>
    <w:rsid w:val="0E242C3B"/>
    <w:rsid w:val="0E2C52E1"/>
    <w:rsid w:val="0E3966AF"/>
    <w:rsid w:val="0E9A3758"/>
    <w:rsid w:val="0EF50AD5"/>
    <w:rsid w:val="0F543FD2"/>
    <w:rsid w:val="0F557C5E"/>
    <w:rsid w:val="0F7921DF"/>
    <w:rsid w:val="0FBB29F1"/>
    <w:rsid w:val="100E76C7"/>
    <w:rsid w:val="1011442E"/>
    <w:rsid w:val="102048C5"/>
    <w:rsid w:val="103709DD"/>
    <w:rsid w:val="11084AF4"/>
    <w:rsid w:val="114C28C5"/>
    <w:rsid w:val="11D24E50"/>
    <w:rsid w:val="11DC2565"/>
    <w:rsid w:val="11FF3C74"/>
    <w:rsid w:val="120B2110"/>
    <w:rsid w:val="12E1397D"/>
    <w:rsid w:val="134052CE"/>
    <w:rsid w:val="13846E49"/>
    <w:rsid w:val="13AE5449"/>
    <w:rsid w:val="13C7650B"/>
    <w:rsid w:val="14BF71E2"/>
    <w:rsid w:val="150E74A8"/>
    <w:rsid w:val="154526F5"/>
    <w:rsid w:val="158050ED"/>
    <w:rsid w:val="158741A4"/>
    <w:rsid w:val="15A72678"/>
    <w:rsid w:val="163065E9"/>
    <w:rsid w:val="166444E5"/>
    <w:rsid w:val="167A5AB7"/>
    <w:rsid w:val="167F2C0C"/>
    <w:rsid w:val="16A5323E"/>
    <w:rsid w:val="17175094"/>
    <w:rsid w:val="172B0B5F"/>
    <w:rsid w:val="17377504"/>
    <w:rsid w:val="174945A7"/>
    <w:rsid w:val="18100480"/>
    <w:rsid w:val="183813D4"/>
    <w:rsid w:val="18D44F6C"/>
    <w:rsid w:val="18E86D07"/>
    <w:rsid w:val="19D21766"/>
    <w:rsid w:val="19D92AF4"/>
    <w:rsid w:val="19EC0A79"/>
    <w:rsid w:val="19F73BC6"/>
    <w:rsid w:val="1A342318"/>
    <w:rsid w:val="1A727968"/>
    <w:rsid w:val="1A78055F"/>
    <w:rsid w:val="1A7D5AF4"/>
    <w:rsid w:val="1AE4332B"/>
    <w:rsid w:val="1B653E15"/>
    <w:rsid w:val="1B7730E6"/>
    <w:rsid w:val="1B8D003A"/>
    <w:rsid w:val="1BBB4BA7"/>
    <w:rsid w:val="1C486913"/>
    <w:rsid w:val="1CF13121"/>
    <w:rsid w:val="1D6F5C49"/>
    <w:rsid w:val="1D7925BC"/>
    <w:rsid w:val="1D7F9251"/>
    <w:rsid w:val="1D9C27B6"/>
    <w:rsid w:val="1DA8115B"/>
    <w:rsid w:val="1DC55869"/>
    <w:rsid w:val="1DCB6BF8"/>
    <w:rsid w:val="1DDC0E05"/>
    <w:rsid w:val="1E0A7720"/>
    <w:rsid w:val="1EB30304"/>
    <w:rsid w:val="1EEFBF77"/>
    <w:rsid w:val="1F574BE7"/>
    <w:rsid w:val="1F59448E"/>
    <w:rsid w:val="1F5E61D5"/>
    <w:rsid w:val="1F817EB6"/>
    <w:rsid w:val="1FD75D28"/>
    <w:rsid w:val="2039253E"/>
    <w:rsid w:val="207672EF"/>
    <w:rsid w:val="20E51442"/>
    <w:rsid w:val="212225C8"/>
    <w:rsid w:val="21362403"/>
    <w:rsid w:val="21464F13"/>
    <w:rsid w:val="219739C1"/>
    <w:rsid w:val="21DA2F6C"/>
    <w:rsid w:val="21E81732"/>
    <w:rsid w:val="22D82734"/>
    <w:rsid w:val="22F664C5"/>
    <w:rsid w:val="231057D9"/>
    <w:rsid w:val="23323CFF"/>
    <w:rsid w:val="23D425FA"/>
    <w:rsid w:val="240D7F6A"/>
    <w:rsid w:val="2455546D"/>
    <w:rsid w:val="246F652F"/>
    <w:rsid w:val="24A84C8A"/>
    <w:rsid w:val="24C87B0D"/>
    <w:rsid w:val="24E42410"/>
    <w:rsid w:val="25186BC6"/>
    <w:rsid w:val="255C47C4"/>
    <w:rsid w:val="258C76E6"/>
    <w:rsid w:val="260F3C81"/>
    <w:rsid w:val="263E265D"/>
    <w:rsid w:val="26404627"/>
    <w:rsid w:val="26445799"/>
    <w:rsid w:val="268F4C66"/>
    <w:rsid w:val="26946F36"/>
    <w:rsid w:val="26AD1590"/>
    <w:rsid w:val="26B314A7"/>
    <w:rsid w:val="26DD1E76"/>
    <w:rsid w:val="270B489F"/>
    <w:rsid w:val="271D6126"/>
    <w:rsid w:val="275B723E"/>
    <w:rsid w:val="276C147E"/>
    <w:rsid w:val="279F0CC2"/>
    <w:rsid w:val="27D54F23"/>
    <w:rsid w:val="27FF406E"/>
    <w:rsid w:val="282A222E"/>
    <w:rsid w:val="28537F15"/>
    <w:rsid w:val="28626E23"/>
    <w:rsid w:val="28CD7CC8"/>
    <w:rsid w:val="28E94429"/>
    <w:rsid w:val="28F96D0F"/>
    <w:rsid w:val="2900009D"/>
    <w:rsid w:val="293D6BFB"/>
    <w:rsid w:val="29984C19"/>
    <w:rsid w:val="29F12AF6"/>
    <w:rsid w:val="2A8940C2"/>
    <w:rsid w:val="2AAD7DB1"/>
    <w:rsid w:val="2AC1560A"/>
    <w:rsid w:val="2AE30230"/>
    <w:rsid w:val="2B294DFD"/>
    <w:rsid w:val="2BCC175C"/>
    <w:rsid w:val="2C251BC9"/>
    <w:rsid w:val="2C29434C"/>
    <w:rsid w:val="2C4000E6"/>
    <w:rsid w:val="2C610E53"/>
    <w:rsid w:val="2C9F7BCD"/>
    <w:rsid w:val="2CE221BD"/>
    <w:rsid w:val="2D79041E"/>
    <w:rsid w:val="2D9E6C62"/>
    <w:rsid w:val="2DA336ED"/>
    <w:rsid w:val="2E31754A"/>
    <w:rsid w:val="2E5F27CF"/>
    <w:rsid w:val="2F013082"/>
    <w:rsid w:val="2F097580"/>
    <w:rsid w:val="2F7872F4"/>
    <w:rsid w:val="2FC10126"/>
    <w:rsid w:val="2FCE12A0"/>
    <w:rsid w:val="30217523"/>
    <w:rsid w:val="30894E1C"/>
    <w:rsid w:val="30F6234C"/>
    <w:rsid w:val="31321010"/>
    <w:rsid w:val="31593625"/>
    <w:rsid w:val="31D60399"/>
    <w:rsid w:val="323668DE"/>
    <w:rsid w:val="32787B12"/>
    <w:rsid w:val="32EB591A"/>
    <w:rsid w:val="33240E2C"/>
    <w:rsid w:val="33352845"/>
    <w:rsid w:val="33353039"/>
    <w:rsid w:val="333C6176"/>
    <w:rsid w:val="338813BB"/>
    <w:rsid w:val="338E5771"/>
    <w:rsid w:val="33D91C17"/>
    <w:rsid w:val="33F3569D"/>
    <w:rsid w:val="3411315F"/>
    <w:rsid w:val="34160775"/>
    <w:rsid w:val="34396275"/>
    <w:rsid w:val="34675474"/>
    <w:rsid w:val="34692F9B"/>
    <w:rsid w:val="348B7BB7"/>
    <w:rsid w:val="34D50630"/>
    <w:rsid w:val="34ED2D82"/>
    <w:rsid w:val="34FC7877"/>
    <w:rsid w:val="35B932E4"/>
    <w:rsid w:val="36335499"/>
    <w:rsid w:val="363667FD"/>
    <w:rsid w:val="363F3667"/>
    <w:rsid w:val="3660217B"/>
    <w:rsid w:val="366E2AEA"/>
    <w:rsid w:val="368A369C"/>
    <w:rsid w:val="369B7657"/>
    <w:rsid w:val="36A302BA"/>
    <w:rsid w:val="3786679F"/>
    <w:rsid w:val="37C077B1"/>
    <w:rsid w:val="37DD4DCA"/>
    <w:rsid w:val="380134EA"/>
    <w:rsid w:val="382D4DB5"/>
    <w:rsid w:val="3881462B"/>
    <w:rsid w:val="38EE7F12"/>
    <w:rsid w:val="39862AB6"/>
    <w:rsid w:val="3991089E"/>
    <w:rsid w:val="39916AF0"/>
    <w:rsid w:val="39F87CA5"/>
    <w:rsid w:val="3A0B68A2"/>
    <w:rsid w:val="3A781E08"/>
    <w:rsid w:val="3A7B57D6"/>
    <w:rsid w:val="3A946897"/>
    <w:rsid w:val="3A9C399E"/>
    <w:rsid w:val="3B07350D"/>
    <w:rsid w:val="3B1479D8"/>
    <w:rsid w:val="3B241DA2"/>
    <w:rsid w:val="3B471B5C"/>
    <w:rsid w:val="3B6E70E8"/>
    <w:rsid w:val="3BB16FD5"/>
    <w:rsid w:val="3BEE647B"/>
    <w:rsid w:val="3C4936B2"/>
    <w:rsid w:val="3C6C7925"/>
    <w:rsid w:val="3C925059"/>
    <w:rsid w:val="3CAA05F4"/>
    <w:rsid w:val="3CAB0A67"/>
    <w:rsid w:val="3CFC0724"/>
    <w:rsid w:val="3D8C5F20"/>
    <w:rsid w:val="3DAC3EF8"/>
    <w:rsid w:val="3DB00446"/>
    <w:rsid w:val="3DC610B4"/>
    <w:rsid w:val="3DED02E5"/>
    <w:rsid w:val="3DEE2762"/>
    <w:rsid w:val="3DF24001"/>
    <w:rsid w:val="3DFB052E"/>
    <w:rsid w:val="3E1300A7"/>
    <w:rsid w:val="3E147B57"/>
    <w:rsid w:val="3E691B63"/>
    <w:rsid w:val="3E747696"/>
    <w:rsid w:val="3EF20030"/>
    <w:rsid w:val="3F5B58C7"/>
    <w:rsid w:val="3F676329"/>
    <w:rsid w:val="3F6D76B7"/>
    <w:rsid w:val="3FA46A0B"/>
    <w:rsid w:val="3FC27A03"/>
    <w:rsid w:val="402A04A0"/>
    <w:rsid w:val="409540A8"/>
    <w:rsid w:val="409E3FCC"/>
    <w:rsid w:val="40AA34F6"/>
    <w:rsid w:val="40D45C40"/>
    <w:rsid w:val="41083B3B"/>
    <w:rsid w:val="41313092"/>
    <w:rsid w:val="41393C70"/>
    <w:rsid w:val="41526B64"/>
    <w:rsid w:val="415E631A"/>
    <w:rsid w:val="418331C2"/>
    <w:rsid w:val="41DA7286"/>
    <w:rsid w:val="423F17DF"/>
    <w:rsid w:val="42725710"/>
    <w:rsid w:val="42906770"/>
    <w:rsid w:val="42A5184A"/>
    <w:rsid w:val="43212C92"/>
    <w:rsid w:val="43913333"/>
    <w:rsid w:val="439A7B23"/>
    <w:rsid w:val="43C006FD"/>
    <w:rsid w:val="44B10046"/>
    <w:rsid w:val="44CA7D94"/>
    <w:rsid w:val="44EF003D"/>
    <w:rsid w:val="451F3201"/>
    <w:rsid w:val="452318E0"/>
    <w:rsid w:val="4594599D"/>
    <w:rsid w:val="45A00517"/>
    <w:rsid w:val="45C02C36"/>
    <w:rsid w:val="464F5C5D"/>
    <w:rsid w:val="46936EA4"/>
    <w:rsid w:val="46A75BA4"/>
    <w:rsid w:val="46C40504"/>
    <w:rsid w:val="473825C5"/>
    <w:rsid w:val="47743CD8"/>
    <w:rsid w:val="47E57D2B"/>
    <w:rsid w:val="48364707"/>
    <w:rsid w:val="48441BB9"/>
    <w:rsid w:val="48A874B9"/>
    <w:rsid w:val="48C77E38"/>
    <w:rsid w:val="48DB3734"/>
    <w:rsid w:val="48E41870"/>
    <w:rsid w:val="48FC3F85"/>
    <w:rsid w:val="49120076"/>
    <w:rsid w:val="49635DB3"/>
    <w:rsid w:val="49975A5C"/>
    <w:rsid w:val="49EF4E60"/>
    <w:rsid w:val="49F9361E"/>
    <w:rsid w:val="4A0550BC"/>
    <w:rsid w:val="4A7A7858"/>
    <w:rsid w:val="4AA05A81"/>
    <w:rsid w:val="4AA80603"/>
    <w:rsid w:val="4ABA7703"/>
    <w:rsid w:val="4AFA2747"/>
    <w:rsid w:val="4B09298A"/>
    <w:rsid w:val="4B0C247A"/>
    <w:rsid w:val="4B756271"/>
    <w:rsid w:val="4B773D97"/>
    <w:rsid w:val="4BEA6D10"/>
    <w:rsid w:val="4C017B05"/>
    <w:rsid w:val="4C115B6E"/>
    <w:rsid w:val="4C205C3D"/>
    <w:rsid w:val="4C5B0FC3"/>
    <w:rsid w:val="4C87000A"/>
    <w:rsid w:val="4C982217"/>
    <w:rsid w:val="4CAF1B3A"/>
    <w:rsid w:val="4CBA3868"/>
    <w:rsid w:val="4CF907DC"/>
    <w:rsid w:val="4D3F2693"/>
    <w:rsid w:val="4D7367E0"/>
    <w:rsid w:val="4D914D59"/>
    <w:rsid w:val="4E3272FE"/>
    <w:rsid w:val="4E9B5FEF"/>
    <w:rsid w:val="4EA330F5"/>
    <w:rsid w:val="4ED4505D"/>
    <w:rsid w:val="4F1F09CE"/>
    <w:rsid w:val="4F2E29BF"/>
    <w:rsid w:val="4F6E3703"/>
    <w:rsid w:val="4F8151E4"/>
    <w:rsid w:val="4F9F38BD"/>
    <w:rsid w:val="4FB559BB"/>
    <w:rsid w:val="4FC652ED"/>
    <w:rsid w:val="4FCD730F"/>
    <w:rsid w:val="5006393C"/>
    <w:rsid w:val="5022048C"/>
    <w:rsid w:val="508E2645"/>
    <w:rsid w:val="50EC2B32"/>
    <w:rsid w:val="510A55DB"/>
    <w:rsid w:val="5167665C"/>
    <w:rsid w:val="51932B8B"/>
    <w:rsid w:val="521943CE"/>
    <w:rsid w:val="526217DC"/>
    <w:rsid w:val="529C2335"/>
    <w:rsid w:val="52D90E94"/>
    <w:rsid w:val="52F42171"/>
    <w:rsid w:val="53185467"/>
    <w:rsid w:val="537C3DD1"/>
    <w:rsid w:val="53F069DD"/>
    <w:rsid w:val="548766B2"/>
    <w:rsid w:val="54B25E40"/>
    <w:rsid w:val="54B971CF"/>
    <w:rsid w:val="54E006EB"/>
    <w:rsid w:val="55006BAB"/>
    <w:rsid w:val="553B4087"/>
    <w:rsid w:val="5568597E"/>
    <w:rsid w:val="55806C15"/>
    <w:rsid w:val="55DD60A2"/>
    <w:rsid w:val="565D002E"/>
    <w:rsid w:val="56F269C8"/>
    <w:rsid w:val="57480C4D"/>
    <w:rsid w:val="575136EE"/>
    <w:rsid w:val="57BC345F"/>
    <w:rsid w:val="57E84801"/>
    <w:rsid w:val="57FA7C88"/>
    <w:rsid w:val="590C382F"/>
    <w:rsid w:val="59BC2881"/>
    <w:rsid w:val="59DA429C"/>
    <w:rsid w:val="59F111B9"/>
    <w:rsid w:val="59F45DB1"/>
    <w:rsid w:val="5A056A12"/>
    <w:rsid w:val="5A2A46CB"/>
    <w:rsid w:val="5A3B0686"/>
    <w:rsid w:val="5A715387"/>
    <w:rsid w:val="5AC4393B"/>
    <w:rsid w:val="5ADF54B5"/>
    <w:rsid w:val="5B3A6B8F"/>
    <w:rsid w:val="5B3F8022"/>
    <w:rsid w:val="5B5C6B06"/>
    <w:rsid w:val="5B6355F0"/>
    <w:rsid w:val="5BA069F2"/>
    <w:rsid w:val="5C433822"/>
    <w:rsid w:val="5C910A31"/>
    <w:rsid w:val="5C984324"/>
    <w:rsid w:val="5CB70498"/>
    <w:rsid w:val="5CE9261B"/>
    <w:rsid w:val="5D0C3E11"/>
    <w:rsid w:val="5D415FB3"/>
    <w:rsid w:val="5D521F6E"/>
    <w:rsid w:val="5E9D36BD"/>
    <w:rsid w:val="5EC21376"/>
    <w:rsid w:val="5ED510A9"/>
    <w:rsid w:val="5ED888DF"/>
    <w:rsid w:val="5EDC7547"/>
    <w:rsid w:val="5F913BAF"/>
    <w:rsid w:val="5FC93D7A"/>
    <w:rsid w:val="5FD72773"/>
    <w:rsid w:val="5FF05A6E"/>
    <w:rsid w:val="60004561"/>
    <w:rsid w:val="60251BBC"/>
    <w:rsid w:val="606A5821"/>
    <w:rsid w:val="60A76A75"/>
    <w:rsid w:val="617F70AA"/>
    <w:rsid w:val="61EA3A9A"/>
    <w:rsid w:val="61F465FC"/>
    <w:rsid w:val="626A1B08"/>
    <w:rsid w:val="62830E1C"/>
    <w:rsid w:val="62FD2BD2"/>
    <w:rsid w:val="632E0D88"/>
    <w:rsid w:val="636C7B02"/>
    <w:rsid w:val="641C32D6"/>
    <w:rsid w:val="64393E88"/>
    <w:rsid w:val="643C5726"/>
    <w:rsid w:val="64715695"/>
    <w:rsid w:val="648E6DDD"/>
    <w:rsid w:val="64AC114E"/>
    <w:rsid w:val="65130235"/>
    <w:rsid w:val="651A7E85"/>
    <w:rsid w:val="652E0D9C"/>
    <w:rsid w:val="65556AA0"/>
    <w:rsid w:val="656F6B4E"/>
    <w:rsid w:val="65D33E68"/>
    <w:rsid w:val="668852C7"/>
    <w:rsid w:val="669963E6"/>
    <w:rsid w:val="66EC29DA"/>
    <w:rsid w:val="6748705A"/>
    <w:rsid w:val="676F7BC1"/>
    <w:rsid w:val="67784CC7"/>
    <w:rsid w:val="67D068B1"/>
    <w:rsid w:val="682B1D3A"/>
    <w:rsid w:val="687F4212"/>
    <w:rsid w:val="68860F60"/>
    <w:rsid w:val="68906041"/>
    <w:rsid w:val="68B83650"/>
    <w:rsid w:val="68BC6E36"/>
    <w:rsid w:val="68D221B5"/>
    <w:rsid w:val="695D6686"/>
    <w:rsid w:val="69605A13"/>
    <w:rsid w:val="69674FF3"/>
    <w:rsid w:val="69C935B8"/>
    <w:rsid w:val="69D871E5"/>
    <w:rsid w:val="69FC398E"/>
    <w:rsid w:val="6A193BEE"/>
    <w:rsid w:val="6A6257BB"/>
    <w:rsid w:val="6AEA5EDC"/>
    <w:rsid w:val="6B637A3C"/>
    <w:rsid w:val="6B861041"/>
    <w:rsid w:val="6C506213"/>
    <w:rsid w:val="6C533E34"/>
    <w:rsid w:val="6CAB51F7"/>
    <w:rsid w:val="6CC62031"/>
    <w:rsid w:val="6DAE1443"/>
    <w:rsid w:val="6DB3271F"/>
    <w:rsid w:val="6DC04CD2"/>
    <w:rsid w:val="6E1A0886"/>
    <w:rsid w:val="6E26203D"/>
    <w:rsid w:val="6E320D27"/>
    <w:rsid w:val="6E361CC3"/>
    <w:rsid w:val="6E7361E8"/>
    <w:rsid w:val="6E8B26A2"/>
    <w:rsid w:val="6EAF0DFA"/>
    <w:rsid w:val="6EDC5B3C"/>
    <w:rsid w:val="6EFF182A"/>
    <w:rsid w:val="6FED5B27"/>
    <w:rsid w:val="70074E3A"/>
    <w:rsid w:val="702700FD"/>
    <w:rsid w:val="702A4240"/>
    <w:rsid w:val="706662F6"/>
    <w:rsid w:val="706C1A83"/>
    <w:rsid w:val="706E7DD8"/>
    <w:rsid w:val="70C96594"/>
    <w:rsid w:val="70D21729"/>
    <w:rsid w:val="70F66006"/>
    <w:rsid w:val="710261B8"/>
    <w:rsid w:val="71297032"/>
    <w:rsid w:val="71DD0CA3"/>
    <w:rsid w:val="721E46BD"/>
    <w:rsid w:val="7237344D"/>
    <w:rsid w:val="72693B8A"/>
    <w:rsid w:val="72930C07"/>
    <w:rsid w:val="729D1A86"/>
    <w:rsid w:val="72B66E73"/>
    <w:rsid w:val="72D80D10"/>
    <w:rsid w:val="72E17BC5"/>
    <w:rsid w:val="72E34E8B"/>
    <w:rsid w:val="73D34432"/>
    <w:rsid w:val="74836A59"/>
    <w:rsid w:val="75180726"/>
    <w:rsid w:val="75B74C0D"/>
    <w:rsid w:val="75DA08FB"/>
    <w:rsid w:val="75F75951"/>
    <w:rsid w:val="761402B1"/>
    <w:rsid w:val="76441450"/>
    <w:rsid w:val="765C57B4"/>
    <w:rsid w:val="76790114"/>
    <w:rsid w:val="76876CD5"/>
    <w:rsid w:val="7689725B"/>
    <w:rsid w:val="771B7B1A"/>
    <w:rsid w:val="77242776"/>
    <w:rsid w:val="776667BC"/>
    <w:rsid w:val="77813724"/>
    <w:rsid w:val="77BA4E88"/>
    <w:rsid w:val="77C33D3D"/>
    <w:rsid w:val="77F0668A"/>
    <w:rsid w:val="78C53AE4"/>
    <w:rsid w:val="78EE4DE9"/>
    <w:rsid w:val="792E168A"/>
    <w:rsid w:val="794B1706"/>
    <w:rsid w:val="79846360"/>
    <w:rsid w:val="79F31E67"/>
    <w:rsid w:val="7B290E64"/>
    <w:rsid w:val="7B454A69"/>
    <w:rsid w:val="7B564EC8"/>
    <w:rsid w:val="7BF85F7F"/>
    <w:rsid w:val="7C2F3AE2"/>
    <w:rsid w:val="7C3149B5"/>
    <w:rsid w:val="7C4A4A2C"/>
    <w:rsid w:val="7C527A26"/>
    <w:rsid w:val="7C8141C6"/>
    <w:rsid w:val="7C962E8B"/>
    <w:rsid w:val="7C9C2DAE"/>
    <w:rsid w:val="7CCA791B"/>
    <w:rsid w:val="7D380218"/>
    <w:rsid w:val="7D5C743D"/>
    <w:rsid w:val="7D9310C9"/>
    <w:rsid w:val="7DAE2D99"/>
    <w:rsid w:val="7DCE6F97"/>
    <w:rsid w:val="7DDB16B4"/>
    <w:rsid w:val="7DE51570"/>
    <w:rsid w:val="7DEA1B45"/>
    <w:rsid w:val="7DF1DA52"/>
    <w:rsid w:val="7E3A462D"/>
    <w:rsid w:val="7EC87E8B"/>
    <w:rsid w:val="7EDD70FB"/>
    <w:rsid w:val="7EF24F07"/>
    <w:rsid w:val="7EFFF527"/>
    <w:rsid w:val="7F0F2366"/>
    <w:rsid w:val="7F4C286A"/>
    <w:rsid w:val="7F4F5EB6"/>
    <w:rsid w:val="7FD12D6F"/>
    <w:rsid w:val="99FEDAAD"/>
    <w:rsid w:val="BF3F1AB6"/>
    <w:rsid w:val="BFD7DF4A"/>
    <w:rsid w:val="DBBA9F65"/>
    <w:rsid w:val="E7BF6AD5"/>
    <w:rsid w:val="EAA741D7"/>
    <w:rsid w:val="FF2BEC26"/>
    <w:rsid w:val="FF5F600A"/>
    <w:rsid w:val="FF99F813"/>
    <w:rsid w:val="FFFECA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562" w:firstLineChars="200"/>
      <w:jc w:val="both"/>
      <w:textAlignment w:val="center"/>
    </w:pPr>
    <w:rPr>
      <w:rFonts w:ascii="仿宋" w:hAnsi="仿宋" w:eastAsia="仿宋" w:cs="仿宋"/>
      <w:bCs/>
      <w:kern w:val="2"/>
      <w:sz w:val="28"/>
      <w:szCs w:val="28"/>
      <w:lang w:val="en-US" w:eastAsia="zh-CN" w:bidi="ar-SA"/>
    </w:rPr>
  </w:style>
  <w:style w:type="paragraph" w:styleId="2">
    <w:name w:val="heading 1"/>
    <w:basedOn w:val="1"/>
    <w:next w:val="1"/>
    <w:link w:val="30"/>
    <w:autoRedefine/>
    <w:qFormat/>
    <w:uiPriority w:val="9"/>
    <w:pPr>
      <w:keepNext/>
      <w:keepLines/>
      <w:numPr>
        <w:ilvl w:val="0"/>
        <w:numId w:val="1"/>
      </w:numPr>
      <w:spacing w:before="340" w:after="330" w:line="578" w:lineRule="auto"/>
      <w:ind w:firstLineChars="0"/>
      <w:outlineLvl w:val="0"/>
    </w:pPr>
    <w:rPr>
      <w:b/>
      <w:kern w:val="44"/>
      <w:sz w:val="32"/>
      <w:szCs w:val="32"/>
    </w:rPr>
  </w:style>
  <w:style w:type="paragraph" w:styleId="3">
    <w:name w:val="heading 2"/>
    <w:basedOn w:val="1"/>
    <w:next w:val="1"/>
    <w:link w:val="34"/>
    <w:autoRedefine/>
    <w:unhideWhenUsed/>
    <w:qFormat/>
    <w:uiPriority w:val="9"/>
    <w:pPr>
      <w:keepNext/>
      <w:keepLines/>
      <w:numPr>
        <w:ilvl w:val="1"/>
        <w:numId w:val="2"/>
      </w:numPr>
      <w:spacing w:before="260" w:after="260"/>
      <w:ind w:left="0" w:firstLineChars="0"/>
      <w:outlineLvl w:val="1"/>
    </w:pPr>
    <w:rPr>
      <w:rFonts w:cstheme="majorBidi"/>
      <w:b/>
      <w:bCs w:val="0"/>
      <w:szCs w:val="32"/>
    </w:rPr>
  </w:style>
  <w:style w:type="paragraph" w:styleId="4">
    <w:name w:val="heading 3"/>
    <w:basedOn w:val="1"/>
    <w:next w:val="1"/>
    <w:link w:val="36"/>
    <w:autoRedefine/>
    <w:unhideWhenUsed/>
    <w:qFormat/>
    <w:uiPriority w:val="9"/>
    <w:pPr>
      <w:keepNext/>
      <w:keepLines/>
      <w:numPr>
        <w:ilvl w:val="2"/>
        <w:numId w:val="3"/>
      </w:numPr>
      <w:spacing w:before="260" w:after="260" w:line="415" w:lineRule="auto"/>
      <w:outlineLvl w:val="2"/>
    </w:pPr>
    <w:rPr>
      <w:rFonts w:cs="宋体"/>
      <w:b/>
      <w:bCs w:val="0"/>
      <w:color w:val="000000" w:themeColor="text1"/>
      <w14:textFill>
        <w14:solidFill>
          <w14:schemeClr w14:val="tx1"/>
        </w14:solidFill>
      </w14:textFill>
    </w:rPr>
  </w:style>
  <w:style w:type="paragraph" w:styleId="5">
    <w:name w:val="heading 4"/>
    <w:basedOn w:val="1"/>
    <w:next w:val="1"/>
    <w:link w:val="37"/>
    <w:autoRedefine/>
    <w:unhideWhenUsed/>
    <w:qFormat/>
    <w:uiPriority w:val="9"/>
    <w:pPr>
      <w:keepNext/>
      <w:keepLines/>
      <w:numPr>
        <w:ilvl w:val="3"/>
        <w:numId w:val="3"/>
      </w:numPr>
      <w:spacing w:before="280" w:after="290" w:line="376" w:lineRule="auto"/>
      <w:outlineLvl w:val="3"/>
    </w:pPr>
    <w:rPr>
      <w:rFonts w:asciiTheme="majorHAnsi" w:hAnsiTheme="majorHAnsi" w:eastAsiaTheme="majorEastAsia" w:cstheme="majorBidi"/>
      <w:b/>
      <w:bCs w:val="0"/>
    </w:rPr>
  </w:style>
  <w:style w:type="paragraph" w:styleId="6">
    <w:name w:val="heading 5"/>
    <w:basedOn w:val="1"/>
    <w:next w:val="1"/>
    <w:link w:val="38"/>
    <w:autoRedefine/>
    <w:unhideWhenUsed/>
    <w:qFormat/>
    <w:uiPriority w:val="9"/>
    <w:pPr>
      <w:keepNext/>
      <w:keepLines/>
      <w:numPr>
        <w:ilvl w:val="4"/>
        <w:numId w:val="3"/>
      </w:numPr>
      <w:spacing w:before="280" w:after="290" w:line="376" w:lineRule="auto"/>
      <w:outlineLvl w:val="4"/>
    </w:pPr>
    <w:rPr>
      <w:b/>
      <w:bCs w:val="0"/>
    </w:rPr>
  </w:style>
  <w:style w:type="paragraph" w:styleId="7">
    <w:name w:val="heading 6"/>
    <w:basedOn w:val="1"/>
    <w:next w:val="1"/>
    <w:link w:val="39"/>
    <w:autoRedefine/>
    <w:semiHidden/>
    <w:unhideWhenUsed/>
    <w:qFormat/>
    <w:uiPriority w:val="9"/>
    <w:pPr>
      <w:keepNext/>
      <w:keepLines/>
      <w:numPr>
        <w:ilvl w:val="5"/>
        <w:numId w:val="3"/>
      </w:numPr>
      <w:spacing w:before="240" w:after="64" w:line="320" w:lineRule="auto"/>
      <w:outlineLvl w:val="5"/>
    </w:pPr>
    <w:rPr>
      <w:rFonts w:asciiTheme="majorHAnsi" w:hAnsiTheme="majorHAnsi" w:eastAsiaTheme="majorEastAsia" w:cstheme="majorBidi"/>
      <w:b/>
      <w:bCs w:val="0"/>
      <w:sz w:val="24"/>
      <w:szCs w:val="24"/>
    </w:rPr>
  </w:style>
  <w:style w:type="paragraph" w:styleId="8">
    <w:name w:val="heading 7"/>
    <w:basedOn w:val="1"/>
    <w:next w:val="1"/>
    <w:link w:val="40"/>
    <w:autoRedefine/>
    <w:unhideWhenUsed/>
    <w:qFormat/>
    <w:uiPriority w:val="9"/>
    <w:pPr>
      <w:keepNext/>
      <w:keepLines/>
      <w:numPr>
        <w:ilvl w:val="6"/>
        <w:numId w:val="3"/>
      </w:numPr>
      <w:spacing w:before="240" w:after="64" w:line="320" w:lineRule="auto"/>
      <w:outlineLvl w:val="6"/>
    </w:pPr>
    <w:rPr>
      <w:b/>
      <w:bCs w:val="0"/>
      <w:sz w:val="24"/>
      <w:szCs w:val="24"/>
    </w:rPr>
  </w:style>
  <w:style w:type="paragraph" w:styleId="9">
    <w:name w:val="heading 8"/>
    <w:basedOn w:val="1"/>
    <w:next w:val="1"/>
    <w:link w:val="41"/>
    <w:autoRedefine/>
    <w:unhideWhenUsed/>
    <w:qFormat/>
    <w:uiPriority w:val="9"/>
    <w:pPr>
      <w:keepNext/>
      <w:keepLines/>
      <w:numPr>
        <w:ilvl w:val="7"/>
        <w:numId w:val="3"/>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2"/>
    <w:autoRedefine/>
    <w:unhideWhenUsed/>
    <w:qFormat/>
    <w:uiPriority w:val="9"/>
    <w:pPr>
      <w:keepNext/>
      <w:keepLines/>
      <w:numPr>
        <w:ilvl w:val="8"/>
        <w:numId w:val="3"/>
      </w:numPr>
      <w:spacing w:before="240" w:after="64" w:line="320" w:lineRule="auto"/>
      <w:outlineLvl w:val="8"/>
    </w:pPr>
    <w:rPr>
      <w:rFonts w:asciiTheme="majorHAnsi" w:hAnsiTheme="majorHAnsi" w:eastAsiaTheme="majorEastAsia" w:cstheme="majorBidi"/>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3"/>
    <w:autoRedefine/>
    <w:unhideWhenUsed/>
    <w:qFormat/>
    <w:uiPriority w:val="99"/>
  </w:style>
  <w:style w:type="paragraph" w:styleId="12">
    <w:name w:val="Body Text"/>
    <w:basedOn w:val="1"/>
    <w:link w:val="51"/>
    <w:autoRedefine/>
    <w:semiHidden/>
    <w:unhideWhenUsed/>
    <w:qFormat/>
    <w:uiPriority w:val="99"/>
    <w:pPr>
      <w:spacing w:after="120"/>
    </w:pPr>
  </w:style>
  <w:style w:type="paragraph" w:styleId="13">
    <w:name w:val="Body Text Indent"/>
    <w:basedOn w:val="1"/>
    <w:link w:val="45"/>
    <w:autoRedefine/>
    <w:semiHidden/>
    <w:unhideWhenUsed/>
    <w:qFormat/>
    <w:uiPriority w:val="99"/>
    <w:pPr>
      <w:spacing w:after="120"/>
      <w:ind w:left="420" w:leftChars="200"/>
    </w:pPr>
  </w:style>
  <w:style w:type="paragraph" w:styleId="14">
    <w:name w:val="toc 3"/>
    <w:basedOn w:val="1"/>
    <w:next w:val="1"/>
    <w:autoRedefine/>
    <w:unhideWhenUsed/>
    <w:qFormat/>
    <w:uiPriority w:val="39"/>
    <w:pPr>
      <w:ind w:left="840" w:leftChars="400"/>
    </w:pPr>
  </w:style>
  <w:style w:type="paragraph" w:styleId="15">
    <w:name w:val="Balloon Text"/>
    <w:basedOn w:val="1"/>
    <w:link w:val="44"/>
    <w:autoRedefine/>
    <w:semiHidden/>
    <w:unhideWhenUsed/>
    <w:qFormat/>
    <w:uiPriority w:val="99"/>
    <w:rPr>
      <w:sz w:val="18"/>
      <w:szCs w:val="18"/>
    </w:rPr>
  </w:style>
  <w:style w:type="paragraph" w:styleId="16">
    <w:name w:val="footer"/>
    <w:basedOn w:val="1"/>
    <w:link w:val="32"/>
    <w:autoRedefine/>
    <w:unhideWhenUsed/>
    <w:qFormat/>
    <w:uiPriority w:val="99"/>
    <w:pPr>
      <w:tabs>
        <w:tab w:val="center" w:pos="4153"/>
        <w:tab w:val="right" w:pos="8306"/>
      </w:tabs>
      <w:snapToGrid w:val="0"/>
      <w:spacing w:after="240"/>
      <w:jc w:val="center"/>
    </w:pPr>
    <w:rPr>
      <w:sz w:val="18"/>
      <w:szCs w:val="18"/>
    </w:rPr>
  </w:style>
  <w:style w:type="paragraph" w:styleId="17">
    <w:name w:val="header"/>
    <w:basedOn w:val="1"/>
    <w:link w:val="31"/>
    <w:autoRedefine/>
    <w:unhideWhenUsed/>
    <w:qFormat/>
    <w:uiPriority w:val="99"/>
    <w:pPr>
      <w:pBdr>
        <w:bottom w:val="single" w:color="auto" w:sz="6" w:space="1"/>
      </w:pBdr>
      <w:tabs>
        <w:tab w:val="center" w:pos="4153"/>
        <w:tab w:val="right" w:pos="8306"/>
      </w:tabs>
      <w:snapToGrid w:val="0"/>
      <w:ind w:firstLine="360"/>
      <w:jc w:val="center"/>
    </w:pPr>
    <w:rPr>
      <w:sz w:val="18"/>
      <w:szCs w:val="18"/>
    </w:rPr>
  </w:style>
  <w:style w:type="paragraph" w:styleId="18">
    <w:name w:val="toc 1"/>
    <w:basedOn w:val="1"/>
    <w:next w:val="1"/>
    <w:autoRedefine/>
    <w:unhideWhenUsed/>
    <w:qFormat/>
    <w:uiPriority w:val="39"/>
  </w:style>
  <w:style w:type="paragraph" w:styleId="19">
    <w:name w:val="toc 2"/>
    <w:basedOn w:val="1"/>
    <w:next w:val="1"/>
    <w:autoRedefine/>
    <w:unhideWhenUsed/>
    <w:qFormat/>
    <w:uiPriority w:val="39"/>
    <w:pPr>
      <w:ind w:left="420" w:leftChars="200"/>
    </w:pPr>
  </w:style>
  <w:style w:type="paragraph" w:styleId="20">
    <w:name w:val="Normal (Web)"/>
    <w:basedOn w:val="1"/>
    <w:autoRedefine/>
    <w:qFormat/>
    <w:uiPriority w:val="99"/>
    <w:pPr>
      <w:spacing w:before="100" w:beforeAutospacing="1" w:after="100" w:afterAutospacing="1"/>
    </w:pPr>
    <w:rPr>
      <w:rFonts w:ascii="宋体" w:hAnsi="宋体" w:eastAsia="宋体" w:cs="Times New Roman"/>
      <w:color w:val="000000"/>
      <w:kern w:val="0"/>
      <w:sz w:val="24"/>
      <w:szCs w:val="24"/>
    </w:rPr>
  </w:style>
  <w:style w:type="paragraph" w:styleId="21">
    <w:name w:val="Title"/>
    <w:basedOn w:val="1"/>
    <w:next w:val="1"/>
    <w:link w:val="68"/>
    <w:qFormat/>
    <w:uiPriority w:val="0"/>
    <w:pPr>
      <w:widowControl w:val="0"/>
      <w:spacing w:before="300" w:after="300"/>
      <w:ind w:firstLine="0" w:firstLineChars="0"/>
      <w:jc w:val="center"/>
      <w:textAlignment w:val="auto"/>
    </w:pPr>
    <w:rPr>
      <w:rFonts w:ascii="Times New Roman" w:hAnsi="Times New Roman" w:eastAsia="方正小标宋简体" w:cstheme="minorBidi"/>
      <w:b/>
      <w:bCs w:val="0"/>
      <w:sz w:val="36"/>
      <w:szCs w:val="24"/>
    </w:rPr>
  </w:style>
  <w:style w:type="paragraph" w:styleId="22">
    <w:name w:val="annotation subject"/>
    <w:basedOn w:val="11"/>
    <w:next w:val="11"/>
    <w:link w:val="54"/>
    <w:autoRedefine/>
    <w:semiHidden/>
    <w:unhideWhenUsed/>
    <w:qFormat/>
    <w:uiPriority w:val="99"/>
    <w:rPr>
      <w:b/>
      <w:bCs w:val="0"/>
    </w:rPr>
  </w:style>
  <w:style w:type="paragraph" w:styleId="23">
    <w:name w:val="Body Text First Indent"/>
    <w:basedOn w:val="12"/>
    <w:link w:val="52"/>
    <w:autoRedefine/>
    <w:unhideWhenUsed/>
    <w:qFormat/>
    <w:uiPriority w:val="99"/>
    <w:pPr>
      <w:ind w:firstLine="100" w:firstLineChars="100"/>
    </w:pPr>
  </w:style>
  <w:style w:type="paragraph" w:styleId="24">
    <w:name w:val="Body Text First Indent 2"/>
    <w:basedOn w:val="13"/>
    <w:link w:val="46"/>
    <w:autoRedefine/>
    <w:qFormat/>
    <w:uiPriority w:val="0"/>
    <w:pPr>
      <w:ind w:left="0" w:leftChars="0"/>
      <w:jc w:val="center"/>
    </w:pPr>
    <w:rPr>
      <w:rFonts w:ascii="Times New Roman" w:hAnsi="Times New Roman" w:eastAsia="宋体" w:cs="Times New Roman"/>
      <w:sz w:val="24"/>
      <w:szCs w:val="24"/>
      <w:lang w:val="zh-CN"/>
    </w:rPr>
  </w:style>
  <w:style w:type="table" w:styleId="26">
    <w:name w:val="Table Grid"/>
    <w:basedOn w:val="2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unhideWhenUsed/>
    <w:qFormat/>
    <w:uiPriority w:val="99"/>
    <w:rPr>
      <w:color w:val="0000FF" w:themeColor="hyperlink"/>
      <w:u w:val="single"/>
      <w14:textFill>
        <w14:solidFill>
          <w14:schemeClr w14:val="hlink"/>
        </w14:solidFill>
      </w14:textFill>
    </w:rPr>
  </w:style>
  <w:style w:type="character" w:styleId="29">
    <w:name w:val="annotation reference"/>
    <w:basedOn w:val="27"/>
    <w:autoRedefine/>
    <w:semiHidden/>
    <w:unhideWhenUsed/>
    <w:qFormat/>
    <w:uiPriority w:val="99"/>
    <w:rPr>
      <w:sz w:val="21"/>
      <w:szCs w:val="21"/>
    </w:rPr>
  </w:style>
  <w:style w:type="character" w:customStyle="1" w:styleId="30">
    <w:name w:val="标题 1 字符"/>
    <w:basedOn w:val="27"/>
    <w:link w:val="2"/>
    <w:autoRedefine/>
    <w:qFormat/>
    <w:uiPriority w:val="9"/>
    <w:rPr>
      <w:rFonts w:ascii="仿宋" w:hAnsi="仿宋" w:eastAsia="仿宋" w:cs="仿宋"/>
      <w:b/>
      <w:bCs/>
      <w:kern w:val="44"/>
      <w:sz w:val="32"/>
      <w:szCs w:val="32"/>
    </w:rPr>
  </w:style>
  <w:style w:type="character" w:customStyle="1" w:styleId="31">
    <w:name w:val="页眉 字符"/>
    <w:basedOn w:val="27"/>
    <w:link w:val="17"/>
    <w:autoRedefine/>
    <w:qFormat/>
    <w:uiPriority w:val="99"/>
    <w:rPr>
      <w:rFonts w:ascii="仿宋" w:hAnsi="仿宋" w:eastAsia="仿宋" w:cs="仿宋"/>
      <w:bCs/>
      <w:kern w:val="2"/>
      <w:sz w:val="18"/>
      <w:szCs w:val="18"/>
    </w:rPr>
  </w:style>
  <w:style w:type="character" w:customStyle="1" w:styleId="32">
    <w:name w:val="页脚 字符"/>
    <w:basedOn w:val="27"/>
    <w:link w:val="16"/>
    <w:autoRedefine/>
    <w:qFormat/>
    <w:uiPriority w:val="99"/>
    <w:rPr>
      <w:kern w:val="2"/>
      <w:sz w:val="18"/>
      <w:szCs w:val="18"/>
    </w:rPr>
  </w:style>
  <w:style w:type="paragraph" w:styleId="33">
    <w:name w:val="List Paragraph"/>
    <w:basedOn w:val="1"/>
    <w:link w:val="47"/>
    <w:autoRedefine/>
    <w:qFormat/>
    <w:uiPriority w:val="34"/>
    <w:pPr>
      <w:numPr>
        <w:ilvl w:val="0"/>
        <w:numId w:val="4"/>
      </w:numPr>
      <w:ind w:firstLine="0" w:firstLineChars="0"/>
    </w:pPr>
  </w:style>
  <w:style w:type="character" w:customStyle="1" w:styleId="34">
    <w:name w:val="标题 2 字符"/>
    <w:basedOn w:val="27"/>
    <w:link w:val="3"/>
    <w:autoRedefine/>
    <w:qFormat/>
    <w:uiPriority w:val="9"/>
    <w:rPr>
      <w:rFonts w:ascii="仿宋" w:hAnsi="仿宋" w:eastAsia="仿宋" w:cstheme="majorBidi"/>
      <w:b/>
      <w:kern w:val="2"/>
      <w:sz w:val="28"/>
      <w:szCs w:val="32"/>
    </w:rPr>
  </w:style>
  <w:style w:type="paragraph" w:customStyle="1" w:styleId="35">
    <w:name w:val="1册标题3"/>
    <w:basedOn w:val="1"/>
    <w:next w:val="1"/>
    <w:autoRedefine/>
    <w:qFormat/>
    <w:uiPriority w:val="0"/>
    <w:pPr>
      <w:spacing w:line="360" w:lineRule="exact"/>
    </w:pPr>
    <w:rPr>
      <w:rFonts w:ascii="宋体" w:hAnsi="宋体" w:eastAsia="宋体" w:cs="Times New Roman"/>
      <w:szCs w:val="21"/>
    </w:rPr>
  </w:style>
  <w:style w:type="character" w:customStyle="1" w:styleId="36">
    <w:name w:val="标题 3 字符"/>
    <w:basedOn w:val="27"/>
    <w:link w:val="4"/>
    <w:autoRedefine/>
    <w:qFormat/>
    <w:uiPriority w:val="9"/>
    <w:rPr>
      <w:rFonts w:ascii="仿宋" w:hAnsi="仿宋" w:eastAsia="仿宋" w:cs="宋体"/>
      <w:b/>
      <w:bCs/>
      <w:color w:val="000000" w:themeColor="text1"/>
      <w:kern w:val="2"/>
      <w:sz w:val="28"/>
      <w:szCs w:val="28"/>
      <w14:textFill>
        <w14:solidFill>
          <w14:schemeClr w14:val="tx1"/>
        </w14:solidFill>
      </w14:textFill>
    </w:rPr>
  </w:style>
  <w:style w:type="character" w:customStyle="1" w:styleId="37">
    <w:name w:val="标题 4 字符"/>
    <w:basedOn w:val="27"/>
    <w:link w:val="5"/>
    <w:autoRedefine/>
    <w:semiHidden/>
    <w:qFormat/>
    <w:uiPriority w:val="9"/>
    <w:rPr>
      <w:rFonts w:asciiTheme="majorHAnsi" w:hAnsiTheme="majorHAnsi" w:eastAsiaTheme="majorEastAsia" w:cstheme="majorBidi"/>
      <w:b/>
      <w:bCs/>
      <w:sz w:val="28"/>
      <w:szCs w:val="28"/>
    </w:rPr>
  </w:style>
  <w:style w:type="character" w:customStyle="1" w:styleId="38">
    <w:name w:val="标题 5 字符"/>
    <w:basedOn w:val="27"/>
    <w:link w:val="6"/>
    <w:autoRedefine/>
    <w:semiHidden/>
    <w:qFormat/>
    <w:uiPriority w:val="9"/>
    <w:rPr>
      <w:b/>
      <w:bCs/>
      <w:sz w:val="28"/>
      <w:szCs w:val="28"/>
    </w:rPr>
  </w:style>
  <w:style w:type="character" w:customStyle="1" w:styleId="39">
    <w:name w:val="标题 6 字符"/>
    <w:basedOn w:val="27"/>
    <w:link w:val="7"/>
    <w:autoRedefine/>
    <w:semiHidden/>
    <w:qFormat/>
    <w:uiPriority w:val="9"/>
    <w:rPr>
      <w:rFonts w:asciiTheme="majorHAnsi" w:hAnsiTheme="majorHAnsi" w:eastAsiaTheme="majorEastAsia" w:cstheme="majorBidi"/>
      <w:b/>
      <w:bCs/>
      <w:sz w:val="24"/>
      <w:szCs w:val="24"/>
    </w:rPr>
  </w:style>
  <w:style w:type="character" w:customStyle="1" w:styleId="40">
    <w:name w:val="标题 7 字符"/>
    <w:basedOn w:val="27"/>
    <w:link w:val="8"/>
    <w:autoRedefine/>
    <w:semiHidden/>
    <w:qFormat/>
    <w:uiPriority w:val="9"/>
    <w:rPr>
      <w:b/>
      <w:bCs/>
      <w:sz w:val="24"/>
      <w:szCs w:val="24"/>
    </w:rPr>
  </w:style>
  <w:style w:type="character" w:customStyle="1" w:styleId="41">
    <w:name w:val="标题 8 字符"/>
    <w:basedOn w:val="27"/>
    <w:link w:val="9"/>
    <w:autoRedefine/>
    <w:semiHidden/>
    <w:qFormat/>
    <w:uiPriority w:val="9"/>
    <w:rPr>
      <w:rFonts w:asciiTheme="majorHAnsi" w:hAnsiTheme="majorHAnsi" w:eastAsiaTheme="majorEastAsia" w:cstheme="majorBidi"/>
      <w:sz w:val="24"/>
      <w:szCs w:val="24"/>
    </w:rPr>
  </w:style>
  <w:style w:type="character" w:customStyle="1" w:styleId="42">
    <w:name w:val="标题 9 字符"/>
    <w:basedOn w:val="27"/>
    <w:link w:val="10"/>
    <w:autoRedefine/>
    <w:semiHidden/>
    <w:qFormat/>
    <w:uiPriority w:val="9"/>
    <w:rPr>
      <w:rFonts w:asciiTheme="majorHAnsi" w:hAnsiTheme="majorHAnsi" w:eastAsiaTheme="majorEastAsia" w:cstheme="majorBidi"/>
      <w:szCs w:val="21"/>
    </w:rPr>
  </w:style>
  <w:style w:type="paragraph" w:customStyle="1" w:styleId="43">
    <w:name w:val="TOC 标题1"/>
    <w:basedOn w:val="2"/>
    <w:next w:val="1"/>
    <w:autoRedefine/>
    <w:semiHidden/>
    <w:unhideWhenUsed/>
    <w:qFormat/>
    <w:uiPriority w:val="39"/>
    <w:pPr>
      <w:numPr>
        <w:numId w:val="0"/>
      </w:numPr>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44">
    <w:name w:val="批注框文本 字符"/>
    <w:basedOn w:val="27"/>
    <w:link w:val="15"/>
    <w:autoRedefine/>
    <w:semiHidden/>
    <w:qFormat/>
    <w:uiPriority w:val="99"/>
    <w:rPr>
      <w:sz w:val="18"/>
      <w:szCs w:val="18"/>
    </w:rPr>
  </w:style>
  <w:style w:type="character" w:customStyle="1" w:styleId="45">
    <w:name w:val="正文文本缩进 字符"/>
    <w:basedOn w:val="27"/>
    <w:link w:val="13"/>
    <w:autoRedefine/>
    <w:semiHidden/>
    <w:qFormat/>
    <w:uiPriority w:val="99"/>
  </w:style>
  <w:style w:type="character" w:customStyle="1" w:styleId="46">
    <w:name w:val="正文文本首行缩进 2 字符"/>
    <w:basedOn w:val="45"/>
    <w:link w:val="24"/>
    <w:autoRedefine/>
    <w:qFormat/>
    <w:uiPriority w:val="0"/>
    <w:rPr>
      <w:kern w:val="2"/>
      <w:sz w:val="24"/>
      <w:szCs w:val="24"/>
      <w:lang w:val="zh-CN"/>
    </w:rPr>
  </w:style>
  <w:style w:type="character" w:customStyle="1" w:styleId="47">
    <w:name w:val="列表段落 字符"/>
    <w:link w:val="33"/>
    <w:autoRedefine/>
    <w:qFormat/>
    <w:uiPriority w:val="34"/>
    <w:rPr>
      <w:rFonts w:asciiTheme="minorHAnsi" w:hAnsiTheme="minorHAnsi" w:eastAsiaTheme="minorEastAsia" w:cstheme="minorBidi"/>
      <w:kern w:val="2"/>
      <w:sz w:val="21"/>
      <w:szCs w:val="22"/>
    </w:rPr>
  </w:style>
  <w:style w:type="paragraph" w:customStyle="1" w:styleId="4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9">
    <w:name w:val="*正文 Char"/>
    <w:link w:val="50"/>
    <w:autoRedefine/>
    <w:qFormat/>
    <w:uiPriority w:val="0"/>
    <w:rPr>
      <w:rFonts w:ascii="time" w:hAnsi="time"/>
      <w:sz w:val="24"/>
      <w:szCs w:val="24"/>
      <w:lang w:bidi="en-US"/>
    </w:rPr>
  </w:style>
  <w:style w:type="paragraph" w:customStyle="1" w:styleId="50">
    <w:name w:val="*正文"/>
    <w:basedOn w:val="1"/>
    <w:link w:val="49"/>
    <w:autoRedefine/>
    <w:qFormat/>
    <w:uiPriority w:val="0"/>
    <w:pPr>
      <w:ind w:firstLine="200"/>
      <w:contextualSpacing/>
    </w:pPr>
    <w:rPr>
      <w:rFonts w:ascii="time" w:hAnsi="time"/>
      <w:sz w:val="24"/>
      <w:szCs w:val="24"/>
      <w:lang w:bidi="en-US"/>
    </w:rPr>
  </w:style>
  <w:style w:type="character" w:customStyle="1" w:styleId="51">
    <w:name w:val="正文文本 字符"/>
    <w:basedOn w:val="27"/>
    <w:link w:val="12"/>
    <w:autoRedefine/>
    <w:semiHidden/>
    <w:qFormat/>
    <w:uiPriority w:val="99"/>
  </w:style>
  <w:style w:type="character" w:customStyle="1" w:styleId="52">
    <w:name w:val="正文文本首行缩进 字符"/>
    <w:basedOn w:val="51"/>
    <w:link w:val="23"/>
    <w:autoRedefine/>
    <w:qFormat/>
    <w:uiPriority w:val="99"/>
  </w:style>
  <w:style w:type="character" w:customStyle="1" w:styleId="53">
    <w:name w:val="批注文字 字符"/>
    <w:basedOn w:val="27"/>
    <w:link w:val="11"/>
    <w:autoRedefine/>
    <w:qFormat/>
    <w:uiPriority w:val="99"/>
  </w:style>
  <w:style w:type="character" w:customStyle="1" w:styleId="54">
    <w:name w:val="批注主题 字符"/>
    <w:basedOn w:val="53"/>
    <w:link w:val="22"/>
    <w:autoRedefine/>
    <w:semiHidden/>
    <w:qFormat/>
    <w:uiPriority w:val="99"/>
    <w:rPr>
      <w:b/>
      <w:bCs/>
    </w:rPr>
  </w:style>
  <w:style w:type="paragraph" w:customStyle="1" w:styleId="55">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6">
    <w:name w:val="修订3"/>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7">
    <w:name w:val="列表段落2"/>
    <w:basedOn w:val="1"/>
    <w:autoRedefine/>
    <w:qFormat/>
    <w:uiPriority w:val="34"/>
    <w:rPr>
      <w:rFonts w:ascii="等线" w:hAnsi="等线" w:eastAsia="等线" w:cs="宋体"/>
    </w:rPr>
  </w:style>
  <w:style w:type="character" w:customStyle="1" w:styleId="58">
    <w:name w:val="缩进_小四号_1.5行距 Char"/>
    <w:link w:val="59"/>
    <w:autoRedefine/>
    <w:qFormat/>
    <w:uiPriority w:val="0"/>
    <w:rPr>
      <w:rFonts w:ascii="Calibri" w:hAnsi="Calibri" w:cs="宋体"/>
      <w:kern w:val="2"/>
      <w:sz w:val="24"/>
    </w:rPr>
  </w:style>
  <w:style w:type="paragraph" w:customStyle="1" w:styleId="59">
    <w:name w:val="缩进_小四号_1.5行距"/>
    <w:basedOn w:val="1"/>
    <w:link w:val="58"/>
    <w:autoRedefine/>
    <w:qFormat/>
    <w:uiPriority w:val="0"/>
    <w:pPr>
      <w:ind w:firstLine="480"/>
    </w:pPr>
    <w:rPr>
      <w:rFonts w:ascii="Calibri" w:hAnsi="Calibri" w:cs="宋体"/>
      <w:sz w:val="24"/>
      <w:szCs w:val="20"/>
    </w:rPr>
  </w:style>
  <w:style w:type="paragraph" w:customStyle="1" w:styleId="60">
    <w:name w:val="缩进_五号_1.5行距"/>
    <w:basedOn w:val="1"/>
    <w:autoRedefine/>
    <w:qFormat/>
    <w:uiPriority w:val="0"/>
    <w:rPr>
      <w:rFonts w:ascii="Calibri" w:hAnsi="Calibri" w:eastAsia="宋体" w:cs="宋体"/>
      <w:szCs w:val="20"/>
    </w:rPr>
  </w:style>
  <w:style w:type="paragraph" w:customStyle="1" w:styleId="61">
    <w:name w:val="制度正文"/>
    <w:basedOn w:val="1"/>
    <w:link w:val="62"/>
    <w:autoRedefine/>
    <w:qFormat/>
    <w:uiPriority w:val="0"/>
    <w:pPr>
      <w:ind w:firstLine="200"/>
    </w:pPr>
    <w:rPr>
      <w:rFonts w:ascii="宋体" w:hAnsi="宋体" w:eastAsia="宋体"/>
    </w:rPr>
  </w:style>
  <w:style w:type="character" w:customStyle="1" w:styleId="62">
    <w:name w:val="制度正文 字符"/>
    <w:basedOn w:val="27"/>
    <w:link w:val="61"/>
    <w:autoRedefine/>
    <w:qFormat/>
    <w:locked/>
    <w:uiPriority w:val="0"/>
    <w:rPr>
      <w:rFonts w:ascii="宋体" w:hAnsi="宋体" w:eastAsia="宋体"/>
      <w:kern w:val="2"/>
      <w:sz w:val="21"/>
      <w:szCs w:val="22"/>
    </w:rPr>
  </w:style>
  <w:style w:type="character" w:customStyle="1" w:styleId="63">
    <w:name w:val="font21"/>
    <w:basedOn w:val="27"/>
    <w:autoRedefine/>
    <w:qFormat/>
    <w:uiPriority w:val="0"/>
    <w:rPr>
      <w:rFonts w:hint="default" w:ascii="仿宋_GB2312" w:eastAsia="仿宋_GB2312" w:cs="仿宋_GB2312"/>
      <w:color w:val="000000"/>
      <w:sz w:val="24"/>
      <w:szCs w:val="24"/>
      <w:u w:val="none"/>
    </w:rPr>
  </w:style>
  <w:style w:type="character" w:customStyle="1" w:styleId="64">
    <w:name w:val="font31"/>
    <w:basedOn w:val="27"/>
    <w:autoRedefine/>
    <w:qFormat/>
    <w:uiPriority w:val="0"/>
    <w:rPr>
      <w:rFonts w:hint="eastAsia" w:ascii="等线" w:hAnsi="等线" w:eastAsia="等线" w:cs="等线"/>
      <w:color w:val="000000"/>
      <w:sz w:val="24"/>
      <w:szCs w:val="24"/>
      <w:u w:val="none"/>
    </w:rPr>
  </w:style>
  <w:style w:type="character" w:customStyle="1" w:styleId="65">
    <w:name w:val="font11"/>
    <w:basedOn w:val="27"/>
    <w:autoRedefine/>
    <w:qFormat/>
    <w:uiPriority w:val="0"/>
    <w:rPr>
      <w:rFonts w:hint="eastAsia" w:ascii="仿宋" w:hAnsi="仿宋" w:eastAsia="仿宋" w:cs="仿宋"/>
      <w:b/>
      <w:bCs/>
      <w:color w:val="000000"/>
      <w:sz w:val="22"/>
      <w:szCs w:val="22"/>
      <w:u w:val="none"/>
    </w:rPr>
  </w:style>
  <w:style w:type="character" w:customStyle="1" w:styleId="66">
    <w:name w:val="font41"/>
    <w:basedOn w:val="27"/>
    <w:autoRedefine/>
    <w:qFormat/>
    <w:uiPriority w:val="0"/>
    <w:rPr>
      <w:rFonts w:ascii="等线" w:hAnsi="等线" w:eastAsia="等线" w:cs="等线"/>
      <w:color w:val="000000"/>
      <w:sz w:val="24"/>
      <w:szCs w:val="24"/>
      <w:u w:val="none"/>
    </w:rPr>
  </w:style>
  <w:style w:type="paragraph" w:customStyle="1" w:styleId="67">
    <w:name w:val="修订4"/>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8">
    <w:name w:val="标题 字符"/>
    <w:basedOn w:val="27"/>
    <w:link w:val="21"/>
    <w:qFormat/>
    <w:uiPriority w:val="0"/>
    <w:rPr>
      <w:rFonts w:eastAsia="方正小标宋简体" w:cstheme="minorBidi"/>
      <w:b/>
      <w:kern w:val="2"/>
      <w:sz w:val="36"/>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298EC36-C3E3-403A-8B71-202C003BF938}">
  <ds:schemaRefs/>
</ds:datastoreItem>
</file>

<file path=docProps/app.xml><?xml version="1.0" encoding="utf-8"?>
<Properties xmlns="http://schemas.openxmlformats.org/officeDocument/2006/extended-properties" xmlns:vt="http://schemas.openxmlformats.org/officeDocument/2006/docPropsVTypes">
  <Template>Normal</Template>
  <Pages>25</Pages>
  <Words>1520</Words>
  <Characters>1554</Characters>
  <Lines>79</Lines>
  <Paragraphs>22</Paragraphs>
  <TotalTime>1168</TotalTime>
  <ScaleCrop>false</ScaleCrop>
  <LinksUpToDate>false</LinksUpToDate>
  <CharactersWithSpaces>1554</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2025-01-24T09:35:00Z</dcterms:created>
  <dc:creator>weiguo shi</dc:creator>
  <cp:lastModifiedBy>user</cp:lastModifiedBy>
  <cp:lastPrinted>2024-01-26T19:00:00Z</cp:lastPrinted>
  <dcterms:modified xsi:type="dcterms:W3CDTF">2025-03-24T14:09:42Z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9BFD354E66F36B48D2F6E0678DA921C0_43</vt:lpwstr>
  </property>
  <property fmtid="{D5CDD505-2E9C-101B-9397-08002B2CF9AE}" pid="4" name="KSOTemplateDocerSaveRecord">
    <vt:lpwstr>eyJoZGlkIjoiMzU4NDBjMjhjYjgyMzYyMjExZDY1YWU0ZTIxNTk1YWYiLCJ1c2VySWQiOiI2OTU2OTI4MTUifQ==</vt:lpwstr>
  </property>
</Properties>
</file>