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D01B8">
      <w:pPr>
        <w:pStyle w:val="3"/>
        <w:numPr>
          <w:ilvl w:val="0"/>
          <w:numId w:val="0"/>
        </w:numPr>
        <w:jc w:val="center"/>
      </w:pPr>
      <w:bookmarkStart w:id="0" w:name="_Toc63785461"/>
      <w:r>
        <w:rPr>
          <w:rFonts w:hint="eastAsia"/>
        </w:rPr>
        <w:t>上海市农业有害生物预警子系统建设项目采购需求</w:t>
      </w:r>
    </w:p>
    <w:p w14:paraId="57CEBC03">
      <w:pPr>
        <w:pStyle w:val="3"/>
        <w:ind w:firstLine="480" w:firstLineChars="150"/>
      </w:pPr>
      <w:r>
        <w:rPr>
          <w:rFonts w:hint="eastAsia"/>
        </w:rPr>
        <w:t>项目概况</w:t>
      </w:r>
      <w:bookmarkEnd w:id="0"/>
    </w:p>
    <w:p w14:paraId="251994B3">
      <w:pPr>
        <w:spacing w:line="360" w:lineRule="auto"/>
        <w:ind w:firstLine="480" w:firstLineChars="200"/>
      </w:pPr>
      <w:r>
        <w:rPr>
          <w:rFonts w:hint="eastAsia"/>
        </w:rPr>
        <w:t>为加快现代植保体系建设，适应现代农业发展需求的植保防灾减灾体系，增强植保体系的数据监控、预报预警、灾害诊断评估和应急会商等综合业务能力及服务能力，《全国农作物病虫测报信息化建设技术指导意见》 提出：“到2020年，初步构架起全国农作物病虫害监控与调度指挥框架体系，实现系统互联和信息资源共享。到2025年，建成国家、省、市县、监测站点四级上下贯通、左右相连、信息共享的全国农作物病虫害监控与调度指挥系统平台4.0。实现农作物病虫害数据采集自动化、监控预警智能化、预报服务多元化、测报管理规范化、决策指挥信息化，显著提升我国农作物病虫害监控指挥能力和病虫测报信息化水平。</w:t>
      </w:r>
    </w:p>
    <w:p w14:paraId="42F0669A">
      <w:pPr>
        <w:spacing w:line="360" w:lineRule="auto"/>
        <w:ind w:firstLine="480" w:firstLineChars="200"/>
      </w:pPr>
      <w:r>
        <w:rPr>
          <w:rFonts w:hint="eastAsia"/>
        </w:rPr>
        <w:t>为适应现代农业植保防灾减灾工作需要，国家农业农村部提出了病虫害监测预警数字化建设目标。农业农村部种植业司和全国农业技术推广服务中心将此作为重点工作之一，在加强国家级病虫害监测预警数字化平台建设的同时，要求各直辖市、省、自治区高度重视、尽快建设本地农作物病虫疫情监测信息调度管理平台。为此根据全国植物保护能力提升工程的要求和上海市植物保护工作的实际需要，特启动上海市农业有害生物预警子系统建设项目。</w:t>
      </w:r>
    </w:p>
    <w:p w14:paraId="04A0AB41">
      <w:pPr>
        <w:spacing w:line="360" w:lineRule="auto"/>
        <w:ind w:firstLine="480" w:firstLineChars="200"/>
      </w:pPr>
      <w:r>
        <w:rPr>
          <w:rFonts w:hint="eastAsia"/>
        </w:rPr>
        <w:t>根据《全国动植物保护能力提升工程建设规划（2017-2025 年）》、 2017 年《全国农作物病虫测报信息化建设技术指导意见》等相关文件要求，以及当前支持此部分工作的老系统已运行10余年，系统架构严重老化、受限于当年的技术水平可提供的功能十分单一，加之十年来相关业务开展内容不断变更，随着农作物病虫害连年变化，调查方法、数据汇总、统计分析、展示管理等工作都要按需调整。因此，原业务系统既不满足信创要求，且已无法适应现有业务需要。上海市农业技术推广服务中心迫切需要完成市农业有害生物预警子系统建设，以保障市农业有害生物监测预警业务顺利开展。</w:t>
      </w:r>
    </w:p>
    <w:p w14:paraId="0FF2CF72">
      <w:pPr>
        <w:spacing w:line="360" w:lineRule="auto"/>
        <w:ind w:firstLine="480" w:firstLineChars="200"/>
      </w:pPr>
      <w:r>
        <w:rPr>
          <w:rFonts w:hint="eastAsia"/>
        </w:rPr>
        <w:t>项目将通过物联数据采集、智能预警预测、可视化辅助决策等创新技术，结合实际业务需求进行流程再造，助力农业生产和农技服务数字化转型。同时，将通过与本市田间病虫害物联网监测设备，以及与国家病虫测报、防控、药械管理等系统的对接，实现向下整合监测数据、向上全国互联互通，实现对辖区内重大病虫疫情发生信息进行实时调度和管理，形成现代农业病虫疫情监测预警体系。</w:t>
      </w:r>
    </w:p>
    <w:p w14:paraId="0EF70384">
      <w:pPr>
        <w:spacing w:line="360" w:lineRule="auto"/>
        <w:ind w:firstLine="480" w:firstLineChars="200"/>
      </w:pPr>
      <w:r>
        <w:t>是否按信创要求建设：是</w:t>
      </w:r>
    </w:p>
    <w:p w14:paraId="61DEB34E">
      <w:pPr>
        <w:pStyle w:val="3"/>
        <w:ind w:firstLine="480" w:firstLineChars="150"/>
      </w:pPr>
      <w:bookmarkStart w:id="1" w:name="_Toc47532891"/>
      <w:bookmarkEnd w:id="1"/>
      <w:bookmarkStart w:id="2" w:name="_Toc47533256"/>
      <w:bookmarkEnd w:id="2"/>
      <w:bookmarkStart w:id="3" w:name="_Toc47532255"/>
      <w:bookmarkEnd w:id="3"/>
      <w:bookmarkStart w:id="4" w:name="_Toc47536272"/>
      <w:bookmarkEnd w:id="4"/>
      <w:bookmarkStart w:id="5" w:name="_Toc47531634"/>
      <w:bookmarkEnd w:id="5"/>
      <w:bookmarkStart w:id="6" w:name="_Toc47537134"/>
      <w:bookmarkEnd w:id="6"/>
      <w:bookmarkStart w:id="7" w:name="_Toc47536644"/>
      <w:bookmarkEnd w:id="7"/>
      <w:bookmarkStart w:id="8" w:name="_Toc47539070"/>
      <w:bookmarkEnd w:id="8"/>
      <w:bookmarkStart w:id="9" w:name="_Toc48223882"/>
      <w:bookmarkStart w:id="10" w:name="_Toc63785463"/>
      <w:r>
        <w:rPr>
          <w:rFonts w:hint="eastAsia"/>
        </w:rPr>
        <w:t>建设目标</w:t>
      </w:r>
      <w:bookmarkEnd w:id="9"/>
      <w:bookmarkEnd w:id="10"/>
    </w:p>
    <w:p w14:paraId="14E71DA7">
      <w:pPr>
        <w:spacing w:line="360" w:lineRule="auto"/>
        <w:ind w:firstLine="480" w:firstLineChars="200"/>
      </w:pPr>
      <w:r>
        <w:rPr>
          <w:rFonts w:hint="eastAsia"/>
        </w:rPr>
        <w:t>1、构建以自动化、智能化田间监测站点为基础，病虫疫情信息化处理系统为支撑，对接国家级监控信息平台，形成上下相通、横向互联，与发展现代农业相适应的上海市现代化病虫疫情监测预警体系，解决老系统功能少、架构不能满足当前技术快速迭代与扩展需求，无法支撑植保业务正常开展等问题。</w:t>
      </w:r>
    </w:p>
    <w:p w14:paraId="755B1064">
      <w:pPr>
        <w:spacing w:line="360" w:lineRule="auto"/>
        <w:ind w:firstLine="480" w:firstLineChars="200"/>
      </w:pPr>
      <w:r>
        <w:rPr>
          <w:rFonts w:hint="eastAsia"/>
        </w:rPr>
        <w:t>2、完善全市农作物病虫疫情监测预警体系，实现各重要作物的病虫害监测监控的全市覆盖，进一步推进全市农作物病虫疫情监测网络体系建设。</w:t>
      </w:r>
    </w:p>
    <w:p w14:paraId="1C7040C3">
      <w:pPr>
        <w:spacing w:line="360" w:lineRule="auto"/>
        <w:ind w:firstLine="480" w:firstLineChars="200"/>
      </w:pPr>
      <w:r>
        <w:rPr>
          <w:rFonts w:hint="eastAsia"/>
        </w:rPr>
        <w:t>3、监测数据信息收集传输全数字化，田间监测数字化程度大幅度提升，在一定程度上降低田间人工调查强度，解决当前人工测报信息化程度低、工作量大等痛点问题。</w:t>
      </w:r>
    </w:p>
    <w:p w14:paraId="108A98E1">
      <w:pPr>
        <w:spacing w:line="360" w:lineRule="auto"/>
        <w:ind w:firstLine="480" w:firstLineChars="200"/>
      </w:pPr>
      <w:r>
        <w:rPr>
          <w:rFonts w:hint="eastAsia"/>
        </w:rPr>
        <w:t>4、按照国产化替代要求，申请非涉密基础软硬件平台资源，包含安全可靠服务器，国产数据库、中间件、GIS等基础软件，非涉密办公终端以及相应办公外设，安全系统软件。依托现有安全保障平台，建设基于国产化平台的安全保密体系，并通过安全测评，实现国产密码应用并通过密测。</w:t>
      </w:r>
    </w:p>
    <w:p w14:paraId="5431D5F6">
      <w:pPr>
        <w:pStyle w:val="3"/>
        <w:ind w:firstLine="480" w:firstLineChars="150"/>
      </w:pPr>
      <w:r>
        <w:rPr>
          <w:rFonts w:hint="eastAsia"/>
        </w:rPr>
        <w:t>项目建设内容</w:t>
      </w:r>
    </w:p>
    <w:p w14:paraId="4B97B581">
      <w:pPr>
        <w:spacing w:line="360" w:lineRule="auto"/>
        <w:ind w:firstLine="480" w:firstLineChars="200"/>
      </w:pPr>
      <w:r>
        <w:rPr>
          <w:rFonts w:hint="eastAsia"/>
        </w:rPr>
        <w:t>基于国产化相关要求，项目围绕市农业技术推广服务中心植保相关业务工作需要，建设上海市农业有害生物预警子系统，包括重大植物疫情防控阻截子系统、农作物病虫害监测预警与分析子系统、有害生物预警决策分析一张图、病虫监测点管理与展示子系统（区级）、市级移动端（微信小程序），涉及市级系统与国家系统、区级系统以及物联网监测设备对接接口内容。确保向下整合区级和监测点数据、向上与国家级信息平台互通互联、深度融合，实现辖区内重大病虫疫情发生信息网络化实时调度和管理，形成与发展现代农业相适应的病虫疫情监测预警体系。依托现有安全保障平台建设基于国产化平台的安全保密体系，满足安全的相关要求，并通过安全测评，实现国产密码应用及通过相关测评。</w:t>
      </w:r>
    </w:p>
    <w:p w14:paraId="710233CE">
      <w:pPr>
        <w:spacing w:line="360" w:lineRule="auto"/>
        <w:ind w:firstLine="480" w:firstLineChars="200"/>
      </w:pPr>
      <w:r>
        <w:rPr>
          <w:rFonts w:hint="eastAsia"/>
        </w:rPr>
        <w:t>1、重大植物疫情防控阻截子系统</w:t>
      </w:r>
    </w:p>
    <w:p w14:paraId="46169F3F">
      <w:pPr>
        <w:spacing w:line="360" w:lineRule="auto"/>
        <w:ind w:firstLine="480" w:firstLineChars="200"/>
      </w:pPr>
      <w:r>
        <w:rPr>
          <w:rFonts w:hint="eastAsia"/>
        </w:rPr>
        <w:t>实现与国家业务纵向系统等对接，实现入侵有害生物风险分析、入侵有害生物调查监测、疫情电子档案管理、有害生物数据库等功能。</w:t>
      </w:r>
    </w:p>
    <w:p w14:paraId="5CBC601F">
      <w:pPr>
        <w:spacing w:line="360" w:lineRule="auto"/>
        <w:ind w:firstLine="480" w:firstLineChars="200"/>
      </w:pPr>
      <w:r>
        <w:rPr>
          <w:rFonts w:hint="eastAsia"/>
        </w:rPr>
        <w:t>2、农作物病虫害监测预警与分析子系统</w:t>
      </w:r>
    </w:p>
    <w:p w14:paraId="7F934AD3">
      <w:pPr>
        <w:spacing w:line="360" w:lineRule="auto"/>
        <w:ind w:firstLine="480" w:firstLineChars="200"/>
      </w:pPr>
      <w:r>
        <w:rPr>
          <w:rFonts w:hint="eastAsia"/>
        </w:rPr>
        <w:t>实现监测任务管理、数据填报、物联网管理、数据分析与展示、病虫害模型预警与辅助决策等；建设电子标本库管理工具，整合植保站、科研院所等电子标本资源提供方的水稻、蔬菜等病虫害电子标本信息资源，主要涵盖标本采集、标本管理、智能检索等内容；针对迁飞性害虫（稻飞虱、稻纵卷叶螟、草地贪夜蛾）发生规律做专题分析，包含迁飞性害虫数据源管理、迁飞性害虫发生规律分析、迁飞性害虫发生趋势预测、智能图表与报告生成以及系统配置等功能，实现对人工调查数据、物联网设备采集数据和模型预测数据等进行专题图形化分析。</w:t>
      </w:r>
    </w:p>
    <w:p w14:paraId="38D8CE5E">
      <w:pPr>
        <w:spacing w:line="360" w:lineRule="auto"/>
        <w:ind w:firstLine="480" w:firstLineChars="200"/>
      </w:pPr>
      <w:r>
        <w:rPr>
          <w:rFonts w:hint="eastAsia"/>
        </w:rPr>
        <w:t>3、形成有害生物预警决策分析一张图</w:t>
      </w:r>
    </w:p>
    <w:p w14:paraId="4721CF3D">
      <w:pPr>
        <w:spacing w:line="360" w:lineRule="auto"/>
        <w:ind w:firstLine="480" w:firstLineChars="200"/>
        <w:rPr>
          <w:rFonts w:hint="eastAsia"/>
        </w:rPr>
      </w:pPr>
      <w:r>
        <w:rPr>
          <w:rFonts w:hint="eastAsia"/>
        </w:rPr>
        <w:t>基于上海市统一GIS底图资源，从时间、空间、数量等维度出发对不同病虫害的发生情况进行深入的挖掘，构建重大植物疫情防控阻截一张图、病虫害监测数据的管理和专业分析一张图、病虫害专题分析一张图。</w:t>
      </w:r>
    </w:p>
    <w:p w14:paraId="0AA032DE">
      <w:pPr>
        <w:numPr>
          <w:ilvl w:val="0"/>
          <w:numId w:val="2"/>
        </w:numPr>
        <w:spacing w:line="360" w:lineRule="auto"/>
        <w:ind w:firstLine="480" w:firstLineChars="200"/>
        <w:rPr>
          <w:rFonts w:hint="eastAsia"/>
          <w:lang w:val="en-US" w:eastAsia="zh-CN"/>
        </w:rPr>
      </w:pPr>
      <w:r>
        <w:rPr>
          <w:rFonts w:hint="eastAsia"/>
          <w:lang w:val="en-US" w:eastAsia="zh-CN"/>
        </w:rPr>
        <w:t>系统管理</w:t>
      </w:r>
    </w:p>
    <w:p w14:paraId="27E82C83">
      <w:pPr>
        <w:numPr>
          <w:ilvl w:val="0"/>
          <w:numId w:val="0"/>
        </w:numPr>
        <w:spacing w:line="360" w:lineRule="auto"/>
        <w:ind w:firstLine="480" w:firstLineChars="200"/>
      </w:pPr>
      <w:r>
        <w:rPr>
          <w:rFonts w:hint="eastAsia"/>
          <w:lang w:val="en-US" w:eastAsia="zh-CN"/>
        </w:rPr>
        <w:t>实现组织机构、用户、权限、功能菜单、日志的系统管理功能，用户可以对站点、角色信息、菜单进行增加、修改、启用（停用）等操作，记录用户登录操作、上报同步的日志。</w:t>
      </w:r>
    </w:p>
    <w:p w14:paraId="2A21A8B6">
      <w:pPr>
        <w:spacing w:line="360" w:lineRule="auto"/>
        <w:ind w:firstLine="480" w:firstLineChars="200"/>
      </w:pPr>
      <w:r>
        <w:rPr>
          <w:rFonts w:hint="eastAsia"/>
          <w:lang w:val="en-US" w:eastAsia="zh-CN"/>
        </w:rPr>
        <w:t>5</w:t>
      </w:r>
      <w:r>
        <w:rPr>
          <w:rFonts w:hint="eastAsia"/>
        </w:rPr>
        <w:t>、市级移动端微信小程序</w:t>
      </w:r>
    </w:p>
    <w:p w14:paraId="63F90FA9">
      <w:pPr>
        <w:spacing w:line="360" w:lineRule="auto"/>
        <w:ind w:firstLine="480" w:firstLineChars="200"/>
      </w:pPr>
      <w:r>
        <w:rPr>
          <w:rFonts w:hint="eastAsia"/>
        </w:rPr>
        <w:t>为用户提供便捷工具，实现植保资讯、移动端数据采集、物联网设备监控、物联网数据查看，以及电子标本库移动端功能。</w:t>
      </w:r>
    </w:p>
    <w:p w14:paraId="3099BFD7">
      <w:pPr>
        <w:spacing w:line="360" w:lineRule="auto"/>
        <w:ind w:firstLine="480" w:firstLineChars="200"/>
      </w:pPr>
      <w:r>
        <w:rPr>
          <w:rFonts w:hint="eastAsia"/>
          <w:lang w:val="en-US" w:eastAsia="zh-CN"/>
        </w:rPr>
        <w:t>6</w:t>
      </w:r>
      <w:r>
        <w:rPr>
          <w:rFonts w:hint="eastAsia"/>
        </w:rPr>
        <w:t>、系统对接接口</w:t>
      </w:r>
    </w:p>
    <w:p w14:paraId="0CC95FA2">
      <w:pPr>
        <w:spacing w:line="360" w:lineRule="auto"/>
        <w:ind w:firstLine="480" w:firstLineChars="200"/>
      </w:pPr>
      <w:r>
        <w:rPr>
          <w:rFonts w:hint="eastAsia"/>
        </w:rPr>
        <w:t>实现与农业农村部植保植检系统管理系统中病虫害监测管理模块、农药械信息管理模块、重大病虫防控管理模块、植物检疫信息管理模块、植保专业统计模块的对接，与全国植保体系信息化管理平台的对接、与物联网监测设备对接，以及市级与病虫害监测点管理与展示子系统（区级）对接。</w:t>
      </w:r>
    </w:p>
    <w:p w14:paraId="509C799A">
      <w:pPr>
        <w:spacing w:line="360" w:lineRule="auto"/>
        <w:ind w:firstLine="480" w:firstLineChars="200"/>
      </w:pPr>
      <w:r>
        <w:rPr>
          <w:rFonts w:hint="eastAsia"/>
          <w:lang w:val="en-US" w:eastAsia="zh-CN"/>
        </w:rPr>
        <w:t>7</w:t>
      </w:r>
      <w:r>
        <w:rPr>
          <w:rFonts w:hint="eastAsia"/>
        </w:rPr>
        <w:t>、现有系统数据迁移</w:t>
      </w:r>
    </w:p>
    <w:p w14:paraId="42D056B4">
      <w:pPr>
        <w:spacing w:line="360" w:lineRule="auto"/>
        <w:ind w:firstLine="480" w:firstLineChars="200"/>
        <w:rPr>
          <w:rFonts w:hint="eastAsia"/>
        </w:rPr>
      </w:pPr>
      <w:r>
        <w:rPr>
          <w:rFonts w:hint="eastAsia"/>
        </w:rPr>
        <w:t>包括系统数据分析、现有系统数据清理、现有系统数据试迁移、现有系统数据迁移试验证。</w:t>
      </w:r>
    </w:p>
    <w:p w14:paraId="2E4A6848">
      <w:pPr>
        <w:numPr>
          <w:ilvl w:val="0"/>
          <w:numId w:val="3"/>
        </w:numPr>
        <w:spacing w:line="360" w:lineRule="auto"/>
        <w:ind w:firstLine="480" w:firstLineChars="200"/>
        <w:rPr>
          <w:rFonts w:hint="eastAsia"/>
          <w:lang w:val="en-US" w:eastAsia="zh-CN"/>
        </w:rPr>
      </w:pPr>
      <w:r>
        <w:rPr>
          <w:rFonts w:hint="eastAsia"/>
          <w:lang w:val="en-US" w:eastAsia="zh-CN"/>
        </w:rPr>
        <w:t>密码应用功能开发</w:t>
      </w:r>
    </w:p>
    <w:p w14:paraId="18A084EE">
      <w:pPr>
        <w:numPr>
          <w:ilvl w:val="0"/>
          <w:numId w:val="0"/>
        </w:numPr>
        <w:spacing w:line="360" w:lineRule="auto"/>
        <w:ind w:firstLine="480" w:firstLineChars="200"/>
      </w:pPr>
      <w:r>
        <w:rPr>
          <w:rFonts w:hint="eastAsia"/>
          <w:lang w:val="en-US" w:eastAsia="zh-CN"/>
        </w:rPr>
        <w:t>开发密码应用模块，认证用户身份，安全传输业务重要数据，保障服务器虚拟机设备日志/访问控制信息完整性，检验签名（重要可执行程序签名、用户访问控制信息签名、应用系统重要数据签名），加密解密重要数据。</w:t>
      </w:r>
    </w:p>
    <w:p w14:paraId="2869B57A">
      <w:pPr>
        <w:ind w:firstLine="480" w:firstLineChars="200"/>
        <w:rPr>
          <w:b/>
          <w:bCs/>
        </w:rPr>
      </w:pPr>
      <w:r>
        <w:rPr>
          <w:rFonts w:hint="eastAsia"/>
          <w:b/>
          <w:bCs/>
        </w:rPr>
        <w:t>软件开发清单：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673"/>
        <w:gridCol w:w="5919"/>
      </w:tblGrid>
      <w:tr w14:paraId="7DF8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dxa"/>
            <w:shd w:val="clear" w:color="auto" w:fill="auto"/>
          </w:tcPr>
          <w:p w14:paraId="0E9237F6">
            <w:pPr>
              <w:widowControl w:val="0"/>
              <w:jc w:val="center"/>
              <w:rPr>
                <w:b/>
                <w:bCs/>
              </w:rPr>
            </w:pPr>
            <w:r>
              <w:rPr>
                <w:rFonts w:hint="eastAsia"/>
                <w:b/>
                <w:bCs/>
              </w:rPr>
              <w:t>序号</w:t>
            </w:r>
          </w:p>
        </w:tc>
        <w:tc>
          <w:tcPr>
            <w:tcW w:w="1673" w:type="dxa"/>
            <w:shd w:val="clear" w:color="auto" w:fill="auto"/>
          </w:tcPr>
          <w:p w14:paraId="711FB55A">
            <w:pPr>
              <w:widowControl w:val="0"/>
              <w:jc w:val="center"/>
              <w:rPr>
                <w:b/>
                <w:bCs/>
              </w:rPr>
            </w:pPr>
            <w:r>
              <w:rPr>
                <w:rFonts w:hint="eastAsia"/>
                <w:b/>
                <w:bCs/>
              </w:rPr>
              <w:t>建设内容</w:t>
            </w:r>
          </w:p>
        </w:tc>
        <w:tc>
          <w:tcPr>
            <w:tcW w:w="5919" w:type="dxa"/>
            <w:shd w:val="clear" w:color="auto" w:fill="auto"/>
          </w:tcPr>
          <w:p w14:paraId="61B1AB51">
            <w:pPr>
              <w:widowControl w:val="0"/>
              <w:jc w:val="center"/>
              <w:rPr>
                <w:b/>
                <w:bCs/>
              </w:rPr>
            </w:pPr>
            <w:r>
              <w:rPr>
                <w:rFonts w:hint="eastAsia"/>
                <w:b/>
                <w:bCs/>
              </w:rPr>
              <w:t>主要技术参数功能</w:t>
            </w:r>
          </w:p>
        </w:tc>
      </w:tr>
      <w:tr w14:paraId="7B7C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F2F2F2"/>
            <w:vAlign w:val="center"/>
          </w:tcPr>
          <w:p w14:paraId="415A0E04">
            <w:pPr>
              <w:widowControl w:val="0"/>
              <w:jc w:val="both"/>
              <w:rPr>
                <w:b/>
                <w:bCs/>
              </w:rPr>
            </w:pPr>
            <w:r>
              <w:rPr>
                <w:rFonts w:hint="eastAsia"/>
                <w:b/>
                <w:bCs/>
              </w:rPr>
              <w:t>一</w:t>
            </w:r>
          </w:p>
        </w:tc>
        <w:tc>
          <w:tcPr>
            <w:tcW w:w="7592" w:type="dxa"/>
            <w:gridSpan w:val="2"/>
            <w:shd w:val="clear" w:color="auto" w:fill="F2F2F2"/>
            <w:vAlign w:val="center"/>
          </w:tcPr>
          <w:p w14:paraId="3F3F47E9">
            <w:pPr>
              <w:widowControl w:val="0"/>
              <w:jc w:val="both"/>
              <w:rPr>
                <w:b/>
                <w:bCs/>
              </w:rPr>
            </w:pPr>
            <w:r>
              <w:rPr>
                <w:rFonts w:hint="eastAsia"/>
                <w:b/>
                <w:bCs/>
              </w:rPr>
              <w:t>重大植物疫情防控阻截子系统</w:t>
            </w:r>
          </w:p>
        </w:tc>
      </w:tr>
      <w:tr w14:paraId="7892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0196B5E3">
            <w:pPr>
              <w:widowControl w:val="0"/>
              <w:jc w:val="both"/>
            </w:pPr>
            <w:r>
              <w:rPr>
                <w:rFonts w:hint="eastAsia"/>
              </w:rPr>
              <w:t>1.1</w:t>
            </w:r>
          </w:p>
        </w:tc>
        <w:tc>
          <w:tcPr>
            <w:tcW w:w="1673" w:type="dxa"/>
            <w:shd w:val="clear" w:color="auto" w:fill="auto"/>
            <w:vAlign w:val="center"/>
          </w:tcPr>
          <w:p w14:paraId="6416908F">
            <w:pPr>
              <w:widowControl w:val="0"/>
              <w:jc w:val="both"/>
            </w:pPr>
            <w:r>
              <w:rPr>
                <w:rFonts w:hint="eastAsia"/>
              </w:rPr>
              <w:t>入侵有害生物风险分析</w:t>
            </w:r>
          </w:p>
        </w:tc>
        <w:tc>
          <w:tcPr>
            <w:tcW w:w="5919" w:type="dxa"/>
            <w:shd w:val="clear" w:color="auto" w:fill="auto"/>
            <w:vAlign w:val="center"/>
          </w:tcPr>
          <w:p w14:paraId="22CF0A30">
            <w:pPr>
              <w:widowControl w:val="0"/>
              <w:jc w:val="both"/>
              <w:rPr>
                <w:rFonts w:ascii="仿宋_GB2312" w:hAnsi="仿宋_GB2312"/>
              </w:rPr>
            </w:pPr>
            <w:r>
              <w:rPr>
                <w:rFonts w:hint="eastAsia"/>
              </w:rPr>
              <w:t>支持通过风险分析验证模型计算风险分析结果，并以饼图、曲线图、直方图进行展示。</w:t>
            </w:r>
          </w:p>
        </w:tc>
      </w:tr>
      <w:tr w14:paraId="7136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742B42A3">
            <w:pPr>
              <w:widowControl w:val="0"/>
              <w:jc w:val="both"/>
            </w:pPr>
            <w:r>
              <w:rPr>
                <w:rFonts w:hint="eastAsia"/>
              </w:rPr>
              <w:t>1.2</w:t>
            </w:r>
          </w:p>
        </w:tc>
        <w:tc>
          <w:tcPr>
            <w:tcW w:w="1673" w:type="dxa"/>
            <w:shd w:val="clear" w:color="auto" w:fill="auto"/>
            <w:vAlign w:val="center"/>
          </w:tcPr>
          <w:p w14:paraId="20385A43">
            <w:pPr>
              <w:widowControl w:val="0"/>
              <w:jc w:val="both"/>
            </w:pPr>
            <w:r>
              <w:rPr>
                <w:rFonts w:hint="eastAsia"/>
              </w:rPr>
              <w:t>入侵有害生物调查监测</w:t>
            </w:r>
          </w:p>
        </w:tc>
        <w:tc>
          <w:tcPr>
            <w:tcW w:w="5919" w:type="dxa"/>
            <w:shd w:val="clear" w:color="auto" w:fill="auto"/>
            <w:vAlign w:val="center"/>
          </w:tcPr>
          <w:p w14:paraId="105EDB79">
            <w:pPr>
              <w:widowControl w:val="0"/>
              <w:jc w:val="both"/>
            </w:pPr>
            <w:r>
              <w:rPr>
                <w:rFonts w:hint="eastAsia"/>
                <w:kern w:val="0"/>
              </w:rPr>
              <w:t>以任务报表形式对入侵有害生物风险评估需要采集的监测数据进行管理，支持</w:t>
            </w:r>
            <w:r>
              <w:rPr>
                <w:rFonts w:hint="eastAsia"/>
              </w:rPr>
              <w:t>对监测点信息进行查询、统计、审核，并以GIS地图形式展示监测点分布。</w:t>
            </w:r>
          </w:p>
        </w:tc>
      </w:tr>
      <w:tr w14:paraId="1C66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68E8B611">
            <w:pPr>
              <w:widowControl w:val="0"/>
              <w:jc w:val="both"/>
            </w:pPr>
            <w:r>
              <w:rPr>
                <w:rFonts w:hint="eastAsia"/>
              </w:rPr>
              <w:t>1.3</w:t>
            </w:r>
          </w:p>
        </w:tc>
        <w:tc>
          <w:tcPr>
            <w:tcW w:w="1673" w:type="dxa"/>
            <w:shd w:val="clear" w:color="auto" w:fill="auto"/>
            <w:vAlign w:val="center"/>
          </w:tcPr>
          <w:p w14:paraId="275C03EA">
            <w:pPr>
              <w:widowControl w:val="0"/>
              <w:jc w:val="both"/>
            </w:pPr>
            <w:r>
              <w:rPr>
                <w:rFonts w:hint="eastAsia"/>
              </w:rPr>
              <w:t>疫情电子档案</w:t>
            </w:r>
          </w:p>
        </w:tc>
        <w:tc>
          <w:tcPr>
            <w:tcW w:w="5919" w:type="dxa"/>
            <w:shd w:val="clear" w:color="auto" w:fill="auto"/>
            <w:vAlign w:val="center"/>
          </w:tcPr>
          <w:p w14:paraId="759D8305">
            <w:pPr>
              <w:widowControl w:val="0"/>
              <w:jc w:val="both"/>
            </w:pPr>
            <w:r>
              <w:rPr>
                <w:rFonts w:hint="eastAsia"/>
                <w:kern w:val="0"/>
              </w:rPr>
              <w:t>按照疫情发生的全流程建立完整的疫情电子档案，支持</w:t>
            </w:r>
            <w:r>
              <w:rPr>
                <w:rFonts w:hint="eastAsia"/>
              </w:rPr>
              <w:t>对采样鉴定数据、疫情除治数据通过选择有害生物、区县、汇总方式、汇总字段、起止日期和汇总类别条件进行汇总统计，以柱状图、折线图和表格多种形式展示。</w:t>
            </w:r>
          </w:p>
        </w:tc>
      </w:tr>
      <w:tr w14:paraId="344B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7F58D890">
            <w:pPr>
              <w:widowControl w:val="0"/>
              <w:jc w:val="both"/>
            </w:pPr>
            <w:r>
              <w:rPr>
                <w:rFonts w:hint="eastAsia"/>
              </w:rPr>
              <w:t>1.4</w:t>
            </w:r>
          </w:p>
        </w:tc>
        <w:tc>
          <w:tcPr>
            <w:tcW w:w="1673" w:type="dxa"/>
            <w:shd w:val="clear" w:color="auto" w:fill="auto"/>
            <w:vAlign w:val="center"/>
          </w:tcPr>
          <w:p w14:paraId="36BECA89">
            <w:pPr>
              <w:widowControl w:val="0"/>
              <w:jc w:val="both"/>
            </w:pPr>
            <w:r>
              <w:rPr>
                <w:rFonts w:hint="eastAsia"/>
              </w:rPr>
              <w:t>有害生物数据库管理</w:t>
            </w:r>
          </w:p>
        </w:tc>
        <w:tc>
          <w:tcPr>
            <w:tcW w:w="5919" w:type="dxa"/>
            <w:shd w:val="clear" w:color="auto" w:fill="auto"/>
            <w:vAlign w:val="center"/>
          </w:tcPr>
          <w:p w14:paraId="671B018F">
            <w:pPr>
              <w:widowControl w:val="0"/>
              <w:jc w:val="both"/>
            </w:pPr>
            <w:r>
              <w:rPr>
                <w:rFonts w:hint="eastAsia"/>
              </w:rPr>
              <w:t>对检疫类有害生物进行分类，支持资料数据的增删改查功能。</w:t>
            </w:r>
          </w:p>
        </w:tc>
      </w:tr>
      <w:tr w14:paraId="7C1B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F2F2F2"/>
            <w:vAlign w:val="center"/>
          </w:tcPr>
          <w:p w14:paraId="5D56D3B4">
            <w:pPr>
              <w:widowControl w:val="0"/>
              <w:jc w:val="both"/>
              <w:rPr>
                <w:b/>
                <w:bCs/>
              </w:rPr>
            </w:pPr>
            <w:r>
              <w:rPr>
                <w:rFonts w:hint="eastAsia"/>
                <w:b/>
                <w:bCs/>
              </w:rPr>
              <w:t>二</w:t>
            </w:r>
          </w:p>
        </w:tc>
        <w:tc>
          <w:tcPr>
            <w:tcW w:w="7592" w:type="dxa"/>
            <w:gridSpan w:val="2"/>
            <w:shd w:val="clear" w:color="auto" w:fill="F2F2F2"/>
            <w:vAlign w:val="center"/>
          </w:tcPr>
          <w:p w14:paraId="3857D957">
            <w:pPr>
              <w:widowControl w:val="0"/>
              <w:jc w:val="both"/>
              <w:rPr>
                <w:b/>
                <w:bCs/>
              </w:rPr>
            </w:pPr>
            <w:r>
              <w:rPr>
                <w:rFonts w:hint="eastAsia"/>
                <w:b/>
                <w:bCs/>
              </w:rPr>
              <w:t>农作物病虫害监测预警与分析子系统</w:t>
            </w:r>
          </w:p>
        </w:tc>
      </w:tr>
      <w:tr w14:paraId="6BC0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47418BB6">
            <w:pPr>
              <w:widowControl w:val="0"/>
              <w:jc w:val="both"/>
              <w:rPr>
                <w:b/>
                <w:bCs/>
              </w:rPr>
            </w:pPr>
            <w:r>
              <w:rPr>
                <w:rFonts w:hint="eastAsia"/>
                <w:b/>
                <w:bCs/>
              </w:rPr>
              <w:t>2.1</w:t>
            </w:r>
          </w:p>
        </w:tc>
        <w:tc>
          <w:tcPr>
            <w:tcW w:w="7592" w:type="dxa"/>
            <w:gridSpan w:val="2"/>
            <w:shd w:val="clear" w:color="auto" w:fill="F2F2F2"/>
            <w:vAlign w:val="center"/>
          </w:tcPr>
          <w:p w14:paraId="4DFD83E2">
            <w:pPr>
              <w:widowControl w:val="0"/>
              <w:jc w:val="both"/>
              <w:rPr>
                <w:b/>
                <w:bCs/>
              </w:rPr>
            </w:pPr>
            <w:r>
              <w:rPr>
                <w:rFonts w:hint="eastAsia"/>
                <w:b/>
                <w:bCs/>
              </w:rPr>
              <w:t>农作物病虫害监测预警模块</w:t>
            </w:r>
          </w:p>
        </w:tc>
      </w:tr>
      <w:tr w14:paraId="6A97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5A27D76">
            <w:pPr>
              <w:widowControl w:val="0"/>
              <w:jc w:val="both"/>
            </w:pPr>
            <w:r>
              <w:rPr>
                <w:rFonts w:hint="eastAsia"/>
              </w:rPr>
              <w:t>2.1.1</w:t>
            </w:r>
          </w:p>
        </w:tc>
        <w:tc>
          <w:tcPr>
            <w:tcW w:w="1673" w:type="dxa"/>
            <w:shd w:val="clear" w:color="auto" w:fill="auto"/>
            <w:vAlign w:val="center"/>
          </w:tcPr>
          <w:p w14:paraId="3C698CFC">
            <w:pPr>
              <w:widowControl w:val="0"/>
              <w:jc w:val="both"/>
            </w:pPr>
            <w:r>
              <w:rPr>
                <w:rFonts w:hint="eastAsia"/>
              </w:rPr>
              <w:t>农作物病虫害监测预警-任务管理</w:t>
            </w:r>
          </w:p>
        </w:tc>
        <w:tc>
          <w:tcPr>
            <w:tcW w:w="5919" w:type="dxa"/>
            <w:shd w:val="clear" w:color="auto" w:fill="auto"/>
            <w:vAlign w:val="center"/>
          </w:tcPr>
          <w:p w14:paraId="02CA2974">
            <w:pPr>
              <w:widowControl w:val="0"/>
              <w:jc w:val="both"/>
            </w:pPr>
            <w:r>
              <w:rPr>
                <w:rFonts w:hint="eastAsia"/>
              </w:rPr>
              <w:t>同步国家《农业农村部植保植检管理系统病虫害监测管理模块》设置的任务。支持定制针对本市特色作物的任务表格，实现任务编制和任务下发到下级。</w:t>
            </w:r>
          </w:p>
        </w:tc>
      </w:tr>
      <w:tr w14:paraId="1409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C03958D">
            <w:pPr>
              <w:widowControl w:val="0"/>
              <w:jc w:val="both"/>
            </w:pPr>
            <w:r>
              <w:rPr>
                <w:rFonts w:hint="eastAsia"/>
              </w:rPr>
              <w:t>2.1.2</w:t>
            </w:r>
          </w:p>
        </w:tc>
        <w:tc>
          <w:tcPr>
            <w:tcW w:w="1673" w:type="dxa"/>
            <w:shd w:val="clear" w:color="auto" w:fill="auto"/>
            <w:vAlign w:val="center"/>
          </w:tcPr>
          <w:p w14:paraId="090B51F5">
            <w:pPr>
              <w:widowControl w:val="0"/>
              <w:jc w:val="both"/>
            </w:pPr>
            <w:r>
              <w:rPr>
                <w:rFonts w:hint="eastAsia"/>
              </w:rPr>
              <w:t>农作物病虫害监测预警-数据填报管理</w:t>
            </w:r>
          </w:p>
        </w:tc>
        <w:tc>
          <w:tcPr>
            <w:tcW w:w="5919" w:type="dxa"/>
            <w:shd w:val="clear" w:color="auto" w:fill="auto"/>
            <w:vAlign w:val="center"/>
          </w:tcPr>
          <w:p w14:paraId="2CED639F">
            <w:pPr>
              <w:widowControl w:val="0"/>
              <w:jc w:val="both"/>
            </w:pPr>
            <w:r>
              <w:rPr>
                <w:rFonts w:hint="eastAsia"/>
              </w:rPr>
              <w:t>支持承担的国家报表、本市特色报表的填报。可以对上报数据按组织层级逐层汇总、展示和查询。支持对“已上报”状态的数据进行查询、审核退回、查看和简单汇总。支持查看截至当前日期还未报送业务数据的测报单位信息，支持催报信息查询。</w:t>
            </w:r>
          </w:p>
          <w:p w14:paraId="76F6FB45">
            <w:pPr>
              <w:widowControl w:val="0"/>
              <w:jc w:val="both"/>
            </w:pPr>
            <w:r>
              <w:rPr>
                <w:rFonts w:hint="eastAsia"/>
              </w:rPr>
              <w:t>支持对报送的数据进行评价。对数据填报各功能进行查询及展示。</w:t>
            </w:r>
          </w:p>
        </w:tc>
      </w:tr>
      <w:tr w14:paraId="25B2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3723765">
            <w:pPr>
              <w:widowControl w:val="0"/>
              <w:jc w:val="both"/>
            </w:pPr>
            <w:r>
              <w:rPr>
                <w:rFonts w:hint="eastAsia"/>
              </w:rPr>
              <w:t>2.1.3</w:t>
            </w:r>
          </w:p>
        </w:tc>
        <w:tc>
          <w:tcPr>
            <w:tcW w:w="1673" w:type="dxa"/>
            <w:shd w:val="clear" w:color="auto" w:fill="auto"/>
            <w:vAlign w:val="center"/>
          </w:tcPr>
          <w:p w14:paraId="5B5BAF79">
            <w:pPr>
              <w:widowControl w:val="0"/>
              <w:jc w:val="both"/>
            </w:pPr>
            <w:r>
              <w:rPr>
                <w:rFonts w:hint="eastAsia"/>
              </w:rPr>
              <w:t>农作物病虫害监测预警-物联网管理</w:t>
            </w:r>
          </w:p>
        </w:tc>
        <w:tc>
          <w:tcPr>
            <w:tcW w:w="5919" w:type="dxa"/>
            <w:shd w:val="clear" w:color="auto" w:fill="auto"/>
            <w:vAlign w:val="center"/>
          </w:tcPr>
          <w:p w14:paraId="111A13A4">
            <w:pPr>
              <w:widowControl w:val="0"/>
              <w:jc w:val="both"/>
            </w:pPr>
            <w:r>
              <w:rPr>
                <w:rFonts w:hint="eastAsia"/>
              </w:rPr>
              <w:t>支持与多个物联网设备进行对接，实现物联网设备的数据采集、设备状态的监控等。支持以GIS地图方式看到全市的物联网数据统计，支持物联网设备数据的原始数据查看，实现多指标叠加、多维度展示分析，数据列表支持Excel导出。</w:t>
            </w:r>
          </w:p>
        </w:tc>
      </w:tr>
      <w:tr w14:paraId="1930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5BF2687">
            <w:pPr>
              <w:widowControl w:val="0"/>
              <w:jc w:val="both"/>
            </w:pPr>
            <w:r>
              <w:rPr>
                <w:rFonts w:hint="eastAsia"/>
              </w:rPr>
              <w:t>2.1.4</w:t>
            </w:r>
          </w:p>
        </w:tc>
        <w:tc>
          <w:tcPr>
            <w:tcW w:w="1673" w:type="dxa"/>
            <w:shd w:val="clear" w:color="auto" w:fill="auto"/>
            <w:vAlign w:val="center"/>
          </w:tcPr>
          <w:p w14:paraId="3BA22DA5">
            <w:pPr>
              <w:widowControl w:val="0"/>
              <w:jc w:val="both"/>
            </w:pPr>
            <w:r>
              <w:rPr>
                <w:rFonts w:hint="eastAsia"/>
              </w:rPr>
              <w:t>农作物病虫害监测预警-数据分析与展示</w:t>
            </w:r>
          </w:p>
        </w:tc>
        <w:tc>
          <w:tcPr>
            <w:tcW w:w="5919" w:type="dxa"/>
            <w:shd w:val="clear" w:color="auto" w:fill="auto"/>
            <w:vAlign w:val="center"/>
          </w:tcPr>
          <w:p w14:paraId="71EAF674">
            <w:pPr>
              <w:widowControl w:val="0"/>
              <w:jc w:val="both"/>
            </w:pPr>
            <w:r>
              <w:rPr>
                <w:rFonts w:hint="eastAsia"/>
              </w:rPr>
              <w:t>支持对填报的业务数据进行多维度分析。实现对全市的病虫害监测数据进行指定年限加权平均值对比统计。基于多种分析方式展示病虫害的发生情况，展示病虫害发生分布及防控情况。</w:t>
            </w:r>
          </w:p>
        </w:tc>
      </w:tr>
      <w:tr w14:paraId="6F08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34E0E2F">
            <w:pPr>
              <w:widowControl w:val="0"/>
              <w:jc w:val="both"/>
            </w:pPr>
            <w:r>
              <w:rPr>
                <w:rFonts w:hint="eastAsia"/>
              </w:rPr>
              <w:t>2.1.5</w:t>
            </w:r>
          </w:p>
        </w:tc>
        <w:tc>
          <w:tcPr>
            <w:tcW w:w="1673" w:type="dxa"/>
            <w:shd w:val="clear" w:color="auto" w:fill="auto"/>
            <w:vAlign w:val="center"/>
          </w:tcPr>
          <w:p w14:paraId="3EC81360">
            <w:pPr>
              <w:widowControl w:val="0"/>
              <w:jc w:val="both"/>
            </w:pPr>
            <w:r>
              <w:rPr>
                <w:rFonts w:hint="eastAsia"/>
              </w:rPr>
              <w:t>农作物病虫害监测预警-模型预警与辅助决策</w:t>
            </w:r>
          </w:p>
        </w:tc>
        <w:tc>
          <w:tcPr>
            <w:tcW w:w="5919" w:type="dxa"/>
            <w:shd w:val="clear" w:color="auto" w:fill="auto"/>
            <w:vAlign w:val="center"/>
          </w:tcPr>
          <w:p w14:paraId="6F8BE20C">
            <w:pPr>
              <w:widowControl w:val="0"/>
              <w:jc w:val="both"/>
            </w:pPr>
            <w:r>
              <w:rPr>
                <w:rFonts w:hint="eastAsia"/>
              </w:rPr>
              <w:t>根据所在地区、不同作物品种、生长周期、不同病虫病害暴发条件，结合气象数据、填报数据、物联网数据，设置不同病虫害监测预警模型，结果支持以表格、图形、GIS地图等形式展示。</w:t>
            </w:r>
          </w:p>
        </w:tc>
      </w:tr>
      <w:tr w14:paraId="296E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6BA96BEE">
            <w:pPr>
              <w:widowControl w:val="0"/>
              <w:jc w:val="both"/>
              <w:rPr>
                <w:b/>
                <w:bCs/>
              </w:rPr>
            </w:pPr>
            <w:r>
              <w:rPr>
                <w:rFonts w:hint="eastAsia"/>
                <w:b/>
                <w:bCs/>
              </w:rPr>
              <w:t>2.2</w:t>
            </w:r>
          </w:p>
        </w:tc>
        <w:tc>
          <w:tcPr>
            <w:tcW w:w="7592" w:type="dxa"/>
            <w:gridSpan w:val="2"/>
            <w:shd w:val="clear" w:color="auto" w:fill="F2F2F2"/>
            <w:vAlign w:val="center"/>
          </w:tcPr>
          <w:p w14:paraId="150E2C64">
            <w:pPr>
              <w:widowControl w:val="0"/>
              <w:jc w:val="both"/>
              <w:rPr>
                <w:b/>
                <w:bCs/>
              </w:rPr>
            </w:pPr>
            <w:r>
              <w:rPr>
                <w:rFonts w:hint="eastAsia"/>
                <w:b/>
                <w:bCs/>
              </w:rPr>
              <w:t>农作物病虫害电子标本库管理模块</w:t>
            </w:r>
          </w:p>
        </w:tc>
      </w:tr>
      <w:tr w14:paraId="2514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DD3E4CB">
            <w:pPr>
              <w:widowControl w:val="0"/>
              <w:jc w:val="both"/>
            </w:pPr>
            <w:r>
              <w:rPr>
                <w:rFonts w:hint="eastAsia"/>
              </w:rPr>
              <w:t>2.2.1</w:t>
            </w:r>
          </w:p>
        </w:tc>
        <w:tc>
          <w:tcPr>
            <w:tcW w:w="1673" w:type="dxa"/>
            <w:shd w:val="clear" w:color="auto" w:fill="auto"/>
            <w:vAlign w:val="center"/>
          </w:tcPr>
          <w:p w14:paraId="6334F558">
            <w:pPr>
              <w:widowControl w:val="0"/>
              <w:jc w:val="both"/>
            </w:pPr>
            <w:r>
              <w:rPr>
                <w:rFonts w:hint="eastAsia"/>
              </w:rPr>
              <w:t>病虫害电子标本建库</w:t>
            </w:r>
          </w:p>
        </w:tc>
        <w:tc>
          <w:tcPr>
            <w:tcW w:w="5919" w:type="dxa"/>
            <w:shd w:val="clear" w:color="auto" w:fill="auto"/>
            <w:vAlign w:val="center"/>
          </w:tcPr>
          <w:p w14:paraId="08AA4B2D">
            <w:pPr>
              <w:widowControl w:val="0"/>
              <w:jc w:val="both"/>
            </w:pPr>
            <w:r>
              <w:rPr>
                <w:rFonts w:hint="eastAsia"/>
              </w:rPr>
              <w:t>建设病虫害电子标本库，支持新增作物病虫害子库和病虫害标本类型，支持对标本图片、视频、百科进行增删改查操作。</w:t>
            </w:r>
          </w:p>
        </w:tc>
      </w:tr>
      <w:tr w14:paraId="07E7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vAlign w:val="center"/>
          </w:tcPr>
          <w:p w14:paraId="0EB33386">
            <w:pPr>
              <w:widowControl w:val="0"/>
              <w:jc w:val="both"/>
            </w:pPr>
            <w:r>
              <w:rPr>
                <w:rFonts w:hint="eastAsia"/>
              </w:rPr>
              <w:t>2.2.2</w:t>
            </w:r>
          </w:p>
        </w:tc>
        <w:tc>
          <w:tcPr>
            <w:tcW w:w="1673" w:type="dxa"/>
            <w:shd w:val="clear" w:color="auto" w:fill="auto"/>
            <w:vAlign w:val="center"/>
          </w:tcPr>
          <w:p w14:paraId="40309E90">
            <w:pPr>
              <w:widowControl w:val="0"/>
              <w:jc w:val="both"/>
            </w:pPr>
            <w:r>
              <w:rPr>
                <w:rFonts w:hint="eastAsia"/>
              </w:rPr>
              <w:t>病虫害电子标本数据采集</w:t>
            </w:r>
          </w:p>
        </w:tc>
        <w:tc>
          <w:tcPr>
            <w:tcW w:w="5919" w:type="dxa"/>
            <w:shd w:val="clear" w:color="auto" w:fill="auto"/>
            <w:vAlign w:val="center"/>
          </w:tcPr>
          <w:p w14:paraId="0F3E38F3">
            <w:pPr>
              <w:widowControl w:val="0"/>
              <w:jc w:val="both"/>
            </w:pPr>
            <w:r>
              <w:rPr>
                <w:rFonts w:hint="eastAsia"/>
              </w:rPr>
              <w:t>支持标书基本信息、标本标准图片、标本视频和标本图库等内容进行上传。支持标本数据批量导入。</w:t>
            </w:r>
          </w:p>
        </w:tc>
      </w:tr>
      <w:tr w14:paraId="4330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E68EEBD">
            <w:pPr>
              <w:widowControl w:val="0"/>
              <w:jc w:val="both"/>
            </w:pPr>
            <w:r>
              <w:rPr>
                <w:rFonts w:hint="eastAsia"/>
              </w:rPr>
              <w:t>2.2.3</w:t>
            </w:r>
          </w:p>
        </w:tc>
        <w:tc>
          <w:tcPr>
            <w:tcW w:w="1673" w:type="dxa"/>
            <w:shd w:val="clear" w:color="auto" w:fill="auto"/>
            <w:vAlign w:val="center"/>
          </w:tcPr>
          <w:p w14:paraId="5FFA110A">
            <w:pPr>
              <w:widowControl w:val="0"/>
              <w:jc w:val="both"/>
            </w:pPr>
            <w:r>
              <w:rPr>
                <w:rFonts w:hint="eastAsia"/>
              </w:rPr>
              <w:t>病虫害电子标本数据管理</w:t>
            </w:r>
          </w:p>
        </w:tc>
        <w:tc>
          <w:tcPr>
            <w:tcW w:w="5919" w:type="dxa"/>
            <w:shd w:val="clear" w:color="auto" w:fill="auto"/>
            <w:vAlign w:val="center"/>
          </w:tcPr>
          <w:p w14:paraId="05D17A5E">
            <w:pPr>
              <w:widowControl w:val="0"/>
              <w:jc w:val="both"/>
            </w:pPr>
            <w:r>
              <w:rPr>
                <w:rFonts w:hint="eastAsia"/>
              </w:rPr>
              <w:t>支持对上传的标本信息进行审核，分为通过、不通过和暂不确定等操作。审核通过后的标本内容标准化入库。</w:t>
            </w:r>
          </w:p>
        </w:tc>
      </w:tr>
      <w:tr w14:paraId="337B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22C7402">
            <w:pPr>
              <w:widowControl w:val="0"/>
              <w:jc w:val="both"/>
            </w:pPr>
            <w:r>
              <w:rPr>
                <w:rFonts w:hint="eastAsia"/>
              </w:rPr>
              <w:t>2.2.4</w:t>
            </w:r>
          </w:p>
        </w:tc>
        <w:tc>
          <w:tcPr>
            <w:tcW w:w="1673" w:type="dxa"/>
            <w:shd w:val="clear" w:color="auto" w:fill="auto"/>
            <w:vAlign w:val="center"/>
          </w:tcPr>
          <w:p w14:paraId="21115621">
            <w:pPr>
              <w:widowControl w:val="0"/>
              <w:jc w:val="both"/>
            </w:pPr>
            <w:r>
              <w:rPr>
                <w:rFonts w:hint="eastAsia"/>
              </w:rPr>
              <w:t>病虫害电子标本数据智能检索</w:t>
            </w:r>
          </w:p>
        </w:tc>
        <w:tc>
          <w:tcPr>
            <w:tcW w:w="5919" w:type="dxa"/>
            <w:shd w:val="clear" w:color="auto" w:fill="auto"/>
            <w:vAlign w:val="center"/>
          </w:tcPr>
          <w:p w14:paraId="7B41AC02">
            <w:pPr>
              <w:widowControl w:val="0"/>
              <w:jc w:val="both"/>
            </w:pPr>
            <w:r>
              <w:rPr>
                <w:rFonts w:hint="eastAsia"/>
              </w:rPr>
              <w:t>支持根据检索条件进行搜索，并展示病虫害情况。</w:t>
            </w:r>
          </w:p>
        </w:tc>
      </w:tr>
      <w:tr w14:paraId="011A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311A15B">
            <w:pPr>
              <w:widowControl w:val="0"/>
              <w:jc w:val="both"/>
            </w:pPr>
            <w:r>
              <w:rPr>
                <w:rFonts w:hint="eastAsia"/>
              </w:rPr>
              <w:t>2.2.5</w:t>
            </w:r>
          </w:p>
        </w:tc>
        <w:tc>
          <w:tcPr>
            <w:tcW w:w="1673" w:type="dxa"/>
            <w:shd w:val="clear" w:color="auto" w:fill="auto"/>
            <w:vAlign w:val="center"/>
          </w:tcPr>
          <w:p w14:paraId="2D78EC5D">
            <w:pPr>
              <w:widowControl w:val="0"/>
              <w:jc w:val="both"/>
            </w:pPr>
            <w:r>
              <w:rPr>
                <w:rFonts w:hint="eastAsia"/>
              </w:rPr>
              <w:t>病虫害专家管理</w:t>
            </w:r>
          </w:p>
        </w:tc>
        <w:tc>
          <w:tcPr>
            <w:tcW w:w="5919" w:type="dxa"/>
            <w:shd w:val="clear" w:color="auto" w:fill="auto"/>
            <w:vAlign w:val="center"/>
          </w:tcPr>
          <w:p w14:paraId="57DDD696">
            <w:pPr>
              <w:widowControl w:val="0"/>
              <w:jc w:val="both"/>
            </w:pPr>
            <w:r>
              <w:rPr>
                <w:rFonts w:hint="eastAsia"/>
              </w:rPr>
              <w:t>支持对专家信息进行增删改查操作，支持查看专家的详情信息。</w:t>
            </w:r>
          </w:p>
        </w:tc>
      </w:tr>
      <w:tr w14:paraId="5278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04FA058A">
            <w:pPr>
              <w:widowControl w:val="0"/>
              <w:jc w:val="both"/>
              <w:rPr>
                <w:b/>
                <w:bCs/>
              </w:rPr>
            </w:pPr>
            <w:r>
              <w:rPr>
                <w:rFonts w:hint="eastAsia"/>
                <w:b/>
                <w:bCs/>
              </w:rPr>
              <w:t>2.3</w:t>
            </w:r>
          </w:p>
        </w:tc>
        <w:tc>
          <w:tcPr>
            <w:tcW w:w="7592" w:type="dxa"/>
            <w:gridSpan w:val="2"/>
            <w:shd w:val="clear" w:color="auto" w:fill="F2F2F2"/>
            <w:vAlign w:val="center"/>
          </w:tcPr>
          <w:p w14:paraId="4E4BB5F6">
            <w:pPr>
              <w:widowControl w:val="0"/>
              <w:jc w:val="both"/>
              <w:rPr>
                <w:b/>
                <w:bCs/>
              </w:rPr>
            </w:pPr>
            <w:r>
              <w:rPr>
                <w:rFonts w:hint="eastAsia"/>
                <w:b/>
                <w:bCs/>
              </w:rPr>
              <w:t>病虫害信息管理模块</w:t>
            </w:r>
          </w:p>
        </w:tc>
      </w:tr>
      <w:tr w14:paraId="0AD8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3D553FE">
            <w:pPr>
              <w:widowControl w:val="0"/>
              <w:jc w:val="both"/>
              <w:rPr>
                <w:rFonts w:eastAsia="仿宋_GB2312"/>
              </w:rPr>
            </w:pPr>
            <w:r>
              <w:rPr>
                <w:rFonts w:hint="eastAsia"/>
              </w:rPr>
              <w:t>2.3.1</w:t>
            </w:r>
          </w:p>
        </w:tc>
        <w:tc>
          <w:tcPr>
            <w:tcW w:w="1673" w:type="dxa"/>
            <w:shd w:val="clear" w:color="auto" w:fill="auto"/>
            <w:vAlign w:val="center"/>
          </w:tcPr>
          <w:p w14:paraId="1EAD7667">
            <w:pPr>
              <w:widowControl w:val="0"/>
              <w:jc w:val="both"/>
            </w:pPr>
            <w:r>
              <w:rPr>
                <w:rFonts w:hint="eastAsia"/>
              </w:rPr>
              <w:t>通知公告</w:t>
            </w:r>
          </w:p>
        </w:tc>
        <w:tc>
          <w:tcPr>
            <w:tcW w:w="5919" w:type="dxa"/>
            <w:shd w:val="clear" w:color="auto" w:fill="auto"/>
            <w:vAlign w:val="center"/>
          </w:tcPr>
          <w:p w14:paraId="6363A3A4">
            <w:pPr>
              <w:widowControl w:val="0"/>
              <w:jc w:val="both"/>
            </w:pPr>
            <w:r>
              <w:rPr>
                <w:rFonts w:hint="eastAsia"/>
              </w:rPr>
              <w:t>建立市、区通知公告收发体系，实现各级之间文件交流，附件传送等功能。</w:t>
            </w:r>
          </w:p>
        </w:tc>
      </w:tr>
      <w:tr w14:paraId="5FC1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5098949">
            <w:pPr>
              <w:widowControl w:val="0"/>
              <w:jc w:val="both"/>
            </w:pPr>
            <w:r>
              <w:rPr>
                <w:rFonts w:hint="eastAsia"/>
              </w:rPr>
              <w:t>2.3.2</w:t>
            </w:r>
          </w:p>
        </w:tc>
        <w:tc>
          <w:tcPr>
            <w:tcW w:w="1673" w:type="dxa"/>
            <w:shd w:val="clear" w:color="auto" w:fill="auto"/>
            <w:vAlign w:val="center"/>
          </w:tcPr>
          <w:p w14:paraId="06F558D1">
            <w:pPr>
              <w:widowControl w:val="0"/>
              <w:jc w:val="both"/>
            </w:pPr>
            <w:r>
              <w:rPr>
                <w:rFonts w:hint="eastAsia"/>
              </w:rPr>
              <w:t>病虫害情报库管理</w:t>
            </w:r>
          </w:p>
        </w:tc>
        <w:tc>
          <w:tcPr>
            <w:tcW w:w="5919" w:type="dxa"/>
            <w:shd w:val="clear" w:color="auto" w:fill="auto"/>
            <w:vAlign w:val="center"/>
          </w:tcPr>
          <w:p w14:paraId="0E81DBAE">
            <w:pPr>
              <w:widowControl w:val="0"/>
              <w:jc w:val="both"/>
            </w:pPr>
            <w:r>
              <w:rPr>
                <w:rFonts w:hint="eastAsia"/>
              </w:rPr>
              <w:t>建立农作物病虫害情报库，制定情报编写标准。综合汇集全市、县区域站的病虫情报信息，统一建立编写、审核发布和浏览功能。</w:t>
            </w:r>
          </w:p>
        </w:tc>
      </w:tr>
      <w:tr w14:paraId="788B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9EC4650">
            <w:pPr>
              <w:widowControl w:val="0"/>
              <w:jc w:val="both"/>
            </w:pPr>
            <w:r>
              <w:rPr>
                <w:rFonts w:hint="eastAsia"/>
              </w:rPr>
              <w:t>2.3.3</w:t>
            </w:r>
          </w:p>
        </w:tc>
        <w:tc>
          <w:tcPr>
            <w:tcW w:w="1673" w:type="dxa"/>
            <w:shd w:val="clear" w:color="auto" w:fill="auto"/>
            <w:vAlign w:val="center"/>
          </w:tcPr>
          <w:p w14:paraId="7F672A60">
            <w:pPr>
              <w:widowControl w:val="0"/>
              <w:jc w:val="both"/>
            </w:pPr>
            <w:r>
              <w:rPr>
                <w:rFonts w:hint="eastAsia"/>
              </w:rPr>
              <w:t>病虫报告模板工具</w:t>
            </w:r>
          </w:p>
        </w:tc>
        <w:tc>
          <w:tcPr>
            <w:tcW w:w="5919" w:type="dxa"/>
            <w:shd w:val="clear" w:color="auto" w:fill="auto"/>
            <w:vAlign w:val="center"/>
          </w:tcPr>
          <w:p w14:paraId="1340A461">
            <w:pPr>
              <w:widowControl w:val="0"/>
              <w:jc w:val="both"/>
            </w:pPr>
            <w:r>
              <w:rPr>
                <w:rFonts w:hint="eastAsia"/>
              </w:rPr>
              <w:t>支持图表、文字、图片混排和任意拖拽布局，支持在模板中调用插入平台生成的各类病虫数据统计图表。</w:t>
            </w:r>
          </w:p>
        </w:tc>
      </w:tr>
      <w:tr w14:paraId="22FB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3D3662E">
            <w:pPr>
              <w:widowControl w:val="0"/>
              <w:jc w:val="both"/>
            </w:pPr>
            <w:r>
              <w:rPr>
                <w:rFonts w:hint="eastAsia"/>
              </w:rPr>
              <w:t>2.3.4</w:t>
            </w:r>
          </w:p>
        </w:tc>
        <w:tc>
          <w:tcPr>
            <w:tcW w:w="1673" w:type="dxa"/>
            <w:shd w:val="clear" w:color="auto" w:fill="auto"/>
            <w:vAlign w:val="center"/>
          </w:tcPr>
          <w:p w14:paraId="4D6B6E7C">
            <w:pPr>
              <w:widowControl w:val="0"/>
              <w:jc w:val="both"/>
            </w:pPr>
            <w:r>
              <w:rPr>
                <w:rFonts w:hint="eastAsia"/>
              </w:rPr>
              <w:t>植保新闻</w:t>
            </w:r>
          </w:p>
        </w:tc>
        <w:tc>
          <w:tcPr>
            <w:tcW w:w="5919" w:type="dxa"/>
            <w:shd w:val="clear" w:color="auto" w:fill="auto"/>
            <w:vAlign w:val="center"/>
          </w:tcPr>
          <w:p w14:paraId="2F2E8243">
            <w:pPr>
              <w:widowControl w:val="0"/>
              <w:jc w:val="both"/>
            </w:pPr>
            <w:r>
              <w:rPr>
                <w:rFonts w:hint="eastAsia"/>
              </w:rPr>
              <w:t>建立植保新闻体系，汇集全市新闻动态，实现对植保新闻的浏览、查看、维护功能。支持在微信小程序上查看植保新闻。</w:t>
            </w:r>
          </w:p>
        </w:tc>
      </w:tr>
      <w:tr w14:paraId="6DF9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63367983">
            <w:pPr>
              <w:widowControl w:val="0"/>
              <w:jc w:val="both"/>
              <w:rPr>
                <w:b/>
                <w:bCs/>
              </w:rPr>
            </w:pPr>
            <w:r>
              <w:rPr>
                <w:rFonts w:hint="eastAsia"/>
                <w:b/>
                <w:bCs/>
              </w:rPr>
              <w:t>2.4</w:t>
            </w:r>
          </w:p>
        </w:tc>
        <w:tc>
          <w:tcPr>
            <w:tcW w:w="7592" w:type="dxa"/>
            <w:gridSpan w:val="2"/>
            <w:shd w:val="clear" w:color="auto" w:fill="F2F2F2"/>
            <w:vAlign w:val="center"/>
          </w:tcPr>
          <w:p w14:paraId="355DF017">
            <w:pPr>
              <w:widowControl w:val="0"/>
              <w:jc w:val="both"/>
              <w:rPr>
                <w:b/>
                <w:bCs/>
              </w:rPr>
            </w:pPr>
            <w:r>
              <w:rPr>
                <w:rFonts w:hint="eastAsia"/>
                <w:b/>
                <w:bCs/>
              </w:rPr>
              <w:t>迁飞性害虫发生规律专题分析模块</w:t>
            </w:r>
          </w:p>
        </w:tc>
      </w:tr>
      <w:tr w14:paraId="0111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92DA7F0">
            <w:pPr>
              <w:widowControl w:val="0"/>
              <w:jc w:val="both"/>
            </w:pPr>
            <w:r>
              <w:rPr>
                <w:rFonts w:hint="eastAsia"/>
              </w:rPr>
              <w:t>2.4.1</w:t>
            </w:r>
          </w:p>
        </w:tc>
        <w:tc>
          <w:tcPr>
            <w:tcW w:w="1673" w:type="dxa"/>
            <w:shd w:val="clear" w:color="auto" w:fill="auto"/>
            <w:vAlign w:val="center"/>
          </w:tcPr>
          <w:p w14:paraId="36022903">
            <w:pPr>
              <w:widowControl w:val="0"/>
              <w:jc w:val="both"/>
            </w:pPr>
            <w:r>
              <w:rPr>
                <w:rFonts w:hint="eastAsia"/>
              </w:rPr>
              <w:t>迁飞性害虫数据准备</w:t>
            </w:r>
          </w:p>
        </w:tc>
        <w:tc>
          <w:tcPr>
            <w:tcW w:w="5919" w:type="dxa"/>
            <w:shd w:val="clear" w:color="auto" w:fill="auto"/>
            <w:vAlign w:val="center"/>
          </w:tcPr>
          <w:p w14:paraId="004E081D">
            <w:pPr>
              <w:widowControl w:val="0"/>
              <w:jc w:val="both"/>
            </w:pPr>
            <w:r>
              <w:rPr>
                <w:rFonts w:hint="eastAsia"/>
              </w:rPr>
              <w:t>物联网设备监测数据，气象历史数据、报表数据、植保统计数据、药械数据、本市老系统以及国家系统中的迁飞性害虫相关历史数据的整合采集、查询和分析。</w:t>
            </w:r>
          </w:p>
          <w:p w14:paraId="3E9B0517">
            <w:pPr>
              <w:widowControl w:val="0"/>
              <w:jc w:val="both"/>
            </w:pPr>
          </w:p>
        </w:tc>
      </w:tr>
      <w:tr w14:paraId="1680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3650A2C">
            <w:pPr>
              <w:widowControl w:val="0"/>
              <w:jc w:val="both"/>
            </w:pPr>
            <w:r>
              <w:rPr>
                <w:rFonts w:hint="eastAsia"/>
              </w:rPr>
              <w:t>2.4.2</w:t>
            </w:r>
          </w:p>
        </w:tc>
        <w:tc>
          <w:tcPr>
            <w:tcW w:w="1673" w:type="dxa"/>
            <w:shd w:val="clear" w:color="auto" w:fill="auto"/>
            <w:vAlign w:val="center"/>
          </w:tcPr>
          <w:p w14:paraId="490B42C5">
            <w:pPr>
              <w:widowControl w:val="0"/>
              <w:jc w:val="both"/>
            </w:pPr>
            <w:r>
              <w:rPr>
                <w:rFonts w:hint="eastAsia"/>
              </w:rPr>
              <w:t>迁飞性害虫数据标准化</w:t>
            </w:r>
          </w:p>
        </w:tc>
        <w:tc>
          <w:tcPr>
            <w:tcW w:w="5919" w:type="dxa"/>
            <w:shd w:val="clear" w:color="auto" w:fill="auto"/>
            <w:vAlign w:val="center"/>
          </w:tcPr>
          <w:p w14:paraId="0C9164C1">
            <w:pPr>
              <w:widowControl w:val="0"/>
              <w:jc w:val="both"/>
            </w:pPr>
            <w:r>
              <w:rPr>
                <w:rFonts w:hint="eastAsia"/>
              </w:rPr>
              <w:t>对迁飞性害虫各类数据进行整合，对数据格式、结构、命名规范进行统一。</w:t>
            </w:r>
          </w:p>
          <w:p w14:paraId="7DB283CD">
            <w:pPr>
              <w:widowControl w:val="0"/>
              <w:jc w:val="both"/>
            </w:pPr>
          </w:p>
        </w:tc>
      </w:tr>
      <w:tr w14:paraId="5BA0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6110B1A">
            <w:pPr>
              <w:widowControl w:val="0"/>
              <w:jc w:val="both"/>
            </w:pPr>
            <w:r>
              <w:rPr>
                <w:rFonts w:hint="eastAsia"/>
              </w:rPr>
              <w:t>2.4.3</w:t>
            </w:r>
          </w:p>
        </w:tc>
        <w:tc>
          <w:tcPr>
            <w:tcW w:w="1673" w:type="dxa"/>
            <w:shd w:val="clear" w:color="auto" w:fill="auto"/>
            <w:vAlign w:val="center"/>
          </w:tcPr>
          <w:p w14:paraId="4C9E42D9">
            <w:pPr>
              <w:widowControl w:val="0"/>
              <w:jc w:val="both"/>
            </w:pPr>
            <w:r>
              <w:rPr>
                <w:rFonts w:hint="eastAsia"/>
              </w:rPr>
              <w:t>迁飞性害虫数据资源整合建库</w:t>
            </w:r>
          </w:p>
        </w:tc>
        <w:tc>
          <w:tcPr>
            <w:tcW w:w="5919" w:type="dxa"/>
            <w:shd w:val="clear" w:color="auto" w:fill="auto"/>
            <w:vAlign w:val="center"/>
          </w:tcPr>
          <w:p w14:paraId="1505C0EE">
            <w:pPr>
              <w:widowControl w:val="0"/>
              <w:jc w:val="both"/>
            </w:pPr>
            <w:r>
              <w:rPr>
                <w:rFonts w:hint="eastAsia"/>
              </w:rPr>
              <w:t>构建迁飞性害虫专题分析所需的基础库、专题库、模型库、代码库。</w:t>
            </w:r>
          </w:p>
          <w:p w14:paraId="08148AB8">
            <w:pPr>
              <w:widowControl w:val="0"/>
              <w:jc w:val="both"/>
            </w:pPr>
          </w:p>
        </w:tc>
      </w:tr>
      <w:tr w14:paraId="4EF0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432BFDC">
            <w:pPr>
              <w:widowControl w:val="0"/>
              <w:jc w:val="both"/>
            </w:pPr>
            <w:r>
              <w:rPr>
                <w:rFonts w:hint="eastAsia"/>
              </w:rPr>
              <w:t>2.4.4</w:t>
            </w:r>
          </w:p>
        </w:tc>
        <w:tc>
          <w:tcPr>
            <w:tcW w:w="1673" w:type="dxa"/>
            <w:shd w:val="clear" w:color="auto" w:fill="auto"/>
            <w:vAlign w:val="center"/>
          </w:tcPr>
          <w:p w14:paraId="6C64F58A">
            <w:pPr>
              <w:widowControl w:val="0"/>
              <w:jc w:val="both"/>
            </w:pPr>
            <w:r>
              <w:rPr>
                <w:rFonts w:hint="eastAsia"/>
              </w:rPr>
              <w:t>当前形势分析（稻纵卷叶螟、稻飞虱、草地贪夜蛾）</w:t>
            </w:r>
          </w:p>
        </w:tc>
        <w:tc>
          <w:tcPr>
            <w:tcW w:w="5919" w:type="dxa"/>
            <w:shd w:val="clear" w:color="auto" w:fill="auto"/>
            <w:vAlign w:val="center"/>
          </w:tcPr>
          <w:p w14:paraId="356DE838">
            <w:pPr>
              <w:widowControl w:val="0"/>
              <w:jc w:val="both"/>
            </w:pPr>
            <w:r>
              <w:rPr>
                <w:rFonts w:hint="eastAsia"/>
              </w:rPr>
              <w:t>支持通过插值、区块等地图形式分析展示稻飞虱、稻纵卷叶螟、草地贪夜蛾的当前数据。</w:t>
            </w:r>
          </w:p>
          <w:p w14:paraId="03C77BA8">
            <w:pPr>
              <w:widowControl w:val="0"/>
              <w:jc w:val="both"/>
            </w:pPr>
          </w:p>
        </w:tc>
      </w:tr>
      <w:tr w14:paraId="1737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C7580C9">
            <w:pPr>
              <w:widowControl w:val="0"/>
              <w:jc w:val="both"/>
              <w:rPr>
                <w:rFonts w:eastAsia="仿宋_GB2312"/>
              </w:rPr>
            </w:pPr>
            <w:r>
              <w:rPr>
                <w:rFonts w:hint="eastAsia"/>
              </w:rPr>
              <w:t>2.4.5</w:t>
            </w:r>
          </w:p>
        </w:tc>
        <w:tc>
          <w:tcPr>
            <w:tcW w:w="1673" w:type="dxa"/>
            <w:shd w:val="clear" w:color="auto" w:fill="auto"/>
            <w:vAlign w:val="center"/>
          </w:tcPr>
          <w:p w14:paraId="0B54D514">
            <w:pPr>
              <w:widowControl w:val="0"/>
              <w:jc w:val="both"/>
            </w:pPr>
            <w:r>
              <w:rPr>
                <w:rFonts w:hint="eastAsia"/>
              </w:rPr>
              <w:t>规律探索分析（稻纵卷叶螟、稻飞虱、草地贪夜蛾）</w:t>
            </w:r>
          </w:p>
        </w:tc>
        <w:tc>
          <w:tcPr>
            <w:tcW w:w="5919" w:type="dxa"/>
            <w:shd w:val="clear" w:color="auto" w:fill="auto"/>
            <w:vAlign w:val="center"/>
          </w:tcPr>
          <w:p w14:paraId="5F3DDF73">
            <w:pPr>
              <w:widowControl w:val="0"/>
              <w:jc w:val="both"/>
              <w:rPr>
                <w:rFonts w:eastAsia="仿宋_GB2312"/>
              </w:rPr>
            </w:pPr>
            <w:r>
              <w:rPr>
                <w:rFonts w:hint="eastAsia"/>
              </w:rPr>
              <w:t>支持对稻飞虱、稻纵卷叶螟、草地贪夜蛾历史数据进行年度或多年的统计分析，支持关联气象数据进行分析。</w:t>
            </w:r>
          </w:p>
        </w:tc>
      </w:tr>
      <w:tr w14:paraId="6D10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61836F2">
            <w:pPr>
              <w:widowControl w:val="0"/>
              <w:jc w:val="both"/>
              <w:rPr>
                <w:rFonts w:eastAsia="仿宋_GB2312"/>
              </w:rPr>
            </w:pPr>
            <w:r>
              <w:rPr>
                <w:rFonts w:hint="eastAsia"/>
              </w:rPr>
              <w:t>2.4.6</w:t>
            </w:r>
          </w:p>
        </w:tc>
        <w:tc>
          <w:tcPr>
            <w:tcW w:w="1673" w:type="dxa"/>
            <w:shd w:val="clear" w:color="auto" w:fill="auto"/>
            <w:vAlign w:val="center"/>
          </w:tcPr>
          <w:p w14:paraId="288068D9">
            <w:pPr>
              <w:widowControl w:val="0"/>
              <w:jc w:val="both"/>
              <w:rPr>
                <w:rFonts w:eastAsia="仿宋_GB2312"/>
              </w:rPr>
            </w:pPr>
            <w:r>
              <w:rPr>
                <w:rFonts w:hint="eastAsia"/>
              </w:rPr>
              <w:t>历年数据分析（稻纵卷叶螟、稻飞虱、草地贪夜蛾）</w:t>
            </w:r>
          </w:p>
        </w:tc>
        <w:tc>
          <w:tcPr>
            <w:tcW w:w="5919" w:type="dxa"/>
            <w:shd w:val="clear" w:color="auto" w:fill="auto"/>
            <w:vAlign w:val="center"/>
          </w:tcPr>
          <w:p w14:paraId="1D579A39">
            <w:pPr>
              <w:widowControl w:val="0"/>
              <w:jc w:val="both"/>
            </w:pPr>
            <w:r>
              <w:rPr>
                <w:rFonts w:hint="eastAsia"/>
              </w:rPr>
              <w:t>支持对三种迁飞性害虫的近五年为害情况分析，支持对虫害进行代次划分，结合发生情况与防治情况进行分析。</w:t>
            </w:r>
          </w:p>
        </w:tc>
      </w:tr>
      <w:tr w14:paraId="097C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23EDCE3">
            <w:pPr>
              <w:widowControl w:val="0"/>
              <w:jc w:val="both"/>
            </w:pPr>
            <w:r>
              <w:rPr>
                <w:rFonts w:hint="eastAsia"/>
              </w:rPr>
              <w:t>2.4.7</w:t>
            </w:r>
          </w:p>
        </w:tc>
        <w:tc>
          <w:tcPr>
            <w:tcW w:w="1673" w:type="dxa"/>
            <w:shd w:val="clear" w:color="auto" w:fill="auto"/>
            <w:vAlign w:val="center"/>
          </w:tcPr>
          <w:p w14:paraId="0BDB8825">
            <w:pPr>
              <w:widowControl w:val="0"/>
              <w:jc w:val="both"/>
            </w:pPr>
            <w:r>
              <w:rPr>
                <w:rFonts w:hint="eastAsia"/>
              </w:rPr>
              <w:t>年度数据对比分析（稻纵卷叶螟、稻飞虱、草地贪夜蛾）</w:t>
            </w:r>
          </w:p>
        </w:tc>
        <w:tc>
          <w:tcPr>
            <w:tcW w:w="5919" w:type="dxa"/>
            <w:shd w:val="clear" w:color="auto" w:fill="auto"/>
            <w:vAlign w:val="center"/>
          </w:tcPr>
          <w:p w14:paraId="00149149">
            <w:pPr>
              <w:widowControl w:val="0"/>
              <w:jc w:val="both"/>
            </w:pPr>
            <w:r>
              <w:rPr>
                <w:rFonts w:hint="eastAsia"/>
              </w:rPr>
              <w:t>支持迁飞性害虫发生情况任意两个年度之间的数据对。建立相似度对比模型，支持通过气象等关键因素进行分析，输出虫害发生相似的年度。</w:t>
            </w:r>
          </w:p>
        </w:tc>
      </w:tr>
      <w:tr w14:paraId="5DE7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36183D0">
            <w:pPr>
              <w:widowControl w:val="0"/>
              <w:jc w:val="both"/>
            </w:pPr>
            <w:r>
              <w:rPr>
                <w:rFonts w:hint="eastAsia"/>
              </w:rPr>
              <w:t>2.4.8</w:t>
            </w:r>
          </w:p>
        </w:tc>
        <w:tc>
          <w:tcPr>
            <w:tcW w:w="1673" w:type="dxa"/>
            <w:shd w:val="clear" w:color="auto" w:fill="auto"/>
            <w:vAlign w:val="center"/>
          </w:tcPr>
          <w:p w14:paraId="1E55E07D">
            <w:pPr>
              <w:widowControl w:val="0"/>
              <w:jc w:val="both"/>
            </w:pPr>
            <w:r>
              <w:rPr>
                <w:rFonts w:hint="eastAsia"/>
              </w:rPr>
              <w:t>防治模拟（稻纵卷叶螟、稻飞虱、草地贪夜蛾）</w:t>
            </w:r>
          </w:p>
        </w:tc>
        <w:tc>
          <w:tcPr>
            <w:tcW w:w="5919" w:type="dxa"/>
            <w:shd w:val="clear" w:color="auto" w:fill="auto"/>
            <w:vAlign w:val="center"/>
          </w:tcPr>
          <w:p w14:paraId="7C7F7409">
            <w:pPr>
              <w:widowControl w:val="0"/>
              <w:jc w:val="both"/>
            </w:pPr>
            <w:r>
              <w:rPr>
                <w:rFonts w:hint="eastAsia"/>
              </w:rPr>
              <w:t>通过气象因子、防治数据等相关指标，支持进行不同防治策略的模拟操作，支持基于地方GIS地图动态展示防治效果以及进行系统田和普查田虫害发生情况对比。</w:t>
            </w:r>
          </w:p>
        </w:tc>
      </w:tr>
      <w:tr w14:paraId="7B47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6F56841">
            <w:pPr>
              <w:widowControl w:val="0"/>
              <w:jc w:val="both"/>
            </w:pPr>
            <w:r>
              <w:rPr>
                <w:rFonts w:hint="eastAsia"/>
              </w:rPr>
              <w:t>2.4.9</w:t>
            </w:r>
          </w:p>
        </w:tc>
        <w:tc>
          <w:tcPr>
            <w:tcW w:w="1673" w:type="dxa"/>
            <w:shd w:val="clear" w:color="auto" w:fill="auto"/>
            <w:vAlign w:val="center"/>
          </w:tcPr>
          <w:p w14:paraId="33E68F2B">
            <w:pPr>
              <w:widowControl w:val="0"/>
              <w:jc w:val="both"/>
            </w:pPr>
            <w:r>
              <w:rPr>
                <w:rFonts w:hint="eastAsia"/>
              </w:rPr>
              <w:t>迁飞性害虫数据综合查询</w:t>
            </w:r>
          </w:p>
        </w:tc>
        <w:tc>
          <w:tcPr>
            <w:tcW w:w="5919" w:type="dxa"/>
            <w:shd w:val="clear" w:color="auto" w:fill="auto"/>
            <w:vAlign w:val="center"/>
          </w:tcPr>
          <w:p w14:paraId="18F28FC9">
            <w:pPr>
              <w:widowControl w:val="0"/>
              <w:jc w:val="both"/>
            </w:pPr>
            <w:r>
              <w:rPr>
                <w:rFonts w:hint="eastAsia"/>
              </w:rPr>
              <w:t>支持通过设定地区、时间、指标等条件，</w:t>
            </w:r>
            <w:r>
              <w:rPr>
                <w:rFonts w:hint="eastAsia"/>
                <w:kern w:val="0"/>
              </w:rPr>
              <w:t>以多种图表形式展示迁飞性虫害历史发生情况</w:t>
            </w:r>
            <w:r>
              <w:rPr>
                <w:rFonts w:hint="eastAsia"/>
              </w:rPr>
              <w:t>。</w:t>
            </w:r>
          </w:p>
        </w:tc>
      </w:tr>
      <w:tr w14:paraId="08BA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AD70E5E">
            <w:pPr>
              <w:widowControl w:val="0"/>
              <w:jc w:val="both"/>
            </w:pPr>
            <w:r>
              <w:rPr>
                <w:rFonts w:hint="eastAsia"/>
              </w:rPr>
              <w:t>2.4.10</w:t>
            </w:r>
          </w:p>
        </w:tc>
        <w:tc>
          <w:tcPr>
            <w:tcW w:w="1673" w:type="dxa"/>
            <w:shd w:val="clear" w:color="auto" w:fill="auto"/>
            <w:vAlign w:val="center"/>
          </w:tcPr>
          <w:p w14:paraId="33FCEDF7">
            <w:pPr>
              <w:widowControl w:val="0"/>
              <w:jc w:val="both"/>
            </w:pPr>
            <w:r>
              <w:rPr>
                <w:rFonts w:hint="eastAsia"/>
              </w:rPr>
              <w:t>迁飞性害虫发生趋势预测</w:t>
            </w:r>
          </w:p>
        </w:tc>
        <w:tc>
          <w:tcPr>
            <w:tcW w:w="5919" w:type="dxa"/>
            <w:shd w:val="clear" w:color="auto" w:fill="auto"/>
            <w:vAlign w:val="center"/>
          </w:tcPr>
          <w:p w14:paraId="4A3E5BAA">
            <w:pPr>
              <w:widowControl w:val="0"/>
              <w:jc w:val="both"/>
              <w:rPr>
                <w:rFonts w:ascii="仿宋_GB2312" w:hAnsi="仿宋_GB2312"/>
              </w:rPr>
            </w:pPr>
            <w:r>
              <w:rPr>
                <w:rFonts w:hint="eastAsia"/>
                <w:kern w:val="0"/>
              </w:rPr>
              <w:t>支持</w:t>
            </w:r>
            <w:r>
              <w:t>通过物联网设备监测数据、人工测报数据对当前发生的虫害情况进行发生程度预测。</w:t>
            </w:r>
            <w:r>
              <w:rPr>
                <w:rFonts w:hint="eastAsia"/>
                <w:kern w:val="0"/>
              </w:rPr>
              <w:t>整合所有预测结果，对当地全境的迁飞性害虫发生情况做出短、中、长期预测。</w:t>
            </w:r>
          </w:p>
        </w:tc>
      </w:tr>
      <w:tr w14:paraId="0238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A6F0B21">
            <w:pPr>
              <w:widowControl w:val="0"/>
              <w:jc w:val="both"/>
            </w:pPr>
            <w:r>
              <w:rPr>
                <w:rFonts w:hint="eastAsia"/>
              </w:rPr>
              <w:t>2.4.11</w:t>
            </w:r>
          </w:p>
        </w:tc>
        <w:tc>
          <w:tcPr>
            <w:tcW w:w="1673" w:type="dxa"/>
            <w:shd w:val="clear" w:color="auto" w:fill="auto"/>
            <w:vAlign w:val="center"/>
          </w:tcPr>
          <w:p w14:paraId="250C7339">
            <w:pPr>
              <w:widowControl w:val="0"/>
              <w:jc w:val="both"/>
            </w:pPr>
            <w:r>
              <w:rPr>
                <w:rFonts w:hint="eastAsia"/>
              </w:rPr>
              <w:t>智能图表与报告生成</w:t>
            </w:r>
          </w:p>
        </w:tc>
        <w:tc>
          <w:tcPr>
            <w:tcW w:w="5919" w:type="dxa"/>
            <w:shd w:val="clear" w:color="auto" w:fill="auto"/>
            <w:vAlign w:val="center"/>
          </w:tcPr>
          <w:p w14:paraId="76C162D6">
            <w:pPr>
              <w:widowControl w:val="0"/>
              <w:jc w:val="both"/>
            </w:pPr>
          </w:p>
          <w:p w14:paraId="50331595">
            <w:pPr>
              <w:widowControl w:val="0"/>
              <w:jc w:val="both"/>
              <w:rPr>
                <w:b/>
                <w:bCs/>
              </w:rPr>
            </w:pPr>
            <w:r>
              <w:rPr>
                <w:rFonts w:hint="eastAsia"/>
              </w:rPr>
              <w:t>实现通过数据填写或数据导入，生成为可视化趋势分析图，并支持多种形式展示。</w:t>
            </w:r>
          </w:p>
          <w:p w14:paraId="31F6DAE9">
            <w:pPr>
              <w:widowControl w:val="0"/>
              <w:jc w:val="both"/>
            </w:pPr>
          </w:p>
        </w:tc>
      </w:tr>
      <w:tr w14:paraId="7DEE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633587D6">
            <w:pPr>
              <w:widowControl w:val="0"/>
              <w:jc w:val="both"/>
              <w:rPr>
                <w:b/>
                <w:bCs/>
              </w:rPr>
            </w:pPr>
            <w:r>
              <w:rPr>
                <w:rFonts w:hint="eastAsia"/>
                <w:b/>
                <w:bCs/>
              </w:rPr>
              <w:t>三</w:t>
            </w:r>
          </w:p>
        </w:tc>
        <w:tc>
          <w:tcPr>
            <w:tcW w:w="7592" w:type="dxa"/>
            <w:gridSpan w:val="2"/>
            <w:shd w:val="clear" w:color="auto" w:fill="F2F2F2"/>
            <w:vAlign w:val="center"/>
          </w:tcPr>
          <w:p w14:paraId="17C140C3">
            <w:pPr>
              <w:widowControl w:val="0"/>
              <w:jc w:val="both"/>
              <w:rPr>
                <w:b/>
                <w:bCs/>
              </w:rPr>
            </w:pPr>
            <w:r>
              <w:rPr>
                <w:rFonts w:hint="eastAsia"/>
                <w:b/>
                <w:bCs/>
              </w:rPr>
              <w:t>有害生物预警决策分析一张图</w:t>
            </w:r>
          </w:p>
        </w:tc>
      </w:tr>
      <w:tr w14:paraId="1CEE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4A9D7B0">
            <w:pPr>
              <w:widowControl w:val="0"/>
              <w:jc w:val="both"/>
            </w:pPr>
            <w:r>
              <w:rPr>
                <w:rFonts w:hint="eastAsia"/>
              </w:rPr>
              <w:t>3.1</w:t>
            </w:r>
          </w:p>
        </w:tc>
        <w:tc>
          <w:tcPr>
            <w:tcW w:w="1673" w:type="dxa"/>
            <w:shd w:val="clear" w:color="auto" w:fill="auto"/>
            <w:vAlign w:val="center"/>
          </w:tcPr>
          <w:p w14:paraId="2849DFC3">
            <w:pPr>
              <w:widowControl w:val="0"/>
              <w:jc w:val="both"/>
            </w:pPr>
            <w:r>
              <w:rPr>
                <w:rFonts w:hint="eastAsia"/>
              </w:rPr>
              <w:t>重大植物疫情防控阻截一张图</w:t>
            </w:r>
          </w:p>
        </w:tc>
        <w:tc>
          <w:tcPr>
            <w:tcW w:w="5919" w:type="dxa"/>
            <w:shd w:val="clear" w:color="auto" w:fill="auto"/>
            <w:vAlign w:val="center"/>
          </w:tcPr>
          <w:p w14:paraId="61FAC5A6">
            <w:pPr>
              <w:widowControl w:val="0"/>
              <w:jc w:val="both"/>
            </w:pPr>
            <w:r>
              <w:rPr>
                <w:rFonts w:hint="eastAsia"/>
              </w:rPr>
              <w:t>在GIS地图上按照全市范围，针对不同的有害生物种类进行渲染和展示。并支持监测点基本信息、监测点有害生物监测数据实时上传、查询与可视化分析。</w:t>
            </w:r>
          </w:p>
        </w:tc>
      </w:tr>
      <w:tr w14:paraId="382F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A01B4D6">
            <w:pPr>
              <w:widowControl w:val="0"/>
              <w:jc w:val="both"/>
            </w:pPr>
            <w:r>
              <w:rPr>
                <w:rFonts w:hint="eastAsia"/>
              </w:rPr>
              <w:t>3.2</w:t>
            </w:r>
          </w:p>
        </w:tc>
        <w:tc>
          <w:tcPr>
            <w:tcW w:w="1673" w:type="dxa"/>
            <w:shd w:val="clear" w:color="auto" w:fill="auto"/>
            <w:vAlign w:val="center"/>
          </w:tcPr>
          <w:p w14:paraId="59222060">
            <w:pPr>
              <w:widowControl w:val="0"/>
              <w:jc w:val="both"/>
            </w:pPr>
            <w:r>
              <w:rPr>
                <w:rFonts w:hint="eastAsia"/>
              </w:rPr>
              <w:t>病虫害监测一张图</w:t>
            </w:r>
          </w:p>
        </w:tc>
        <w:tc>
          <w:tcPr>
            <w:tcW w:w="5919" w:type="dxa"/>
            <w:shd w:val="clear" w:color="auto" w:fill="auto"/>
            <w:vAlign w:val="center"/>
          </w:tcPr>
          <w:p w14:paraId="512F88EA">
            <w:pPr>
              <w:widowControl w:val="0"/>
              <w:jc w:val="both"/>
            </w:pPr>
            <w:r>
              <w:rPr>
                <w:rFonts w:hint="eastAsia"/>
              </w:rPr>
              <w:t>实现支持对监测数据进行多维度分析，并支持多种图形化的方式展示。</w:t>
            </w:r>
          </w:p>
        </w:tc>
      </w:tr>
      <w:tr w14:paraId="2F59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7B84F59">
            <w:pPr>
              <w:widowControl w:val="0"/>
              <w:jc w:val="both"/>
            </w:pPr>
            <w:r>
              <w:rPr>
                <w:rFonts w:hint="eastAsia"/>
              </w:rPr>
              <w:t>3.3</w:t>
            </w:r>
          </w:p>
        </w:tc>
        <w:tc>
          <w:tcPr>
            <w:tcW w:w="1673" w:type="dxa"/>
            <w:shd w:val="clear" w:color="auto" w:fill="auto"/>
            <w:vAlign w:val="center"/>
          </w:tcPr>
          <w:p w14:paraId="41F44284">
            <w:pPr>
              <w:widowControl w:val="0"/>
              <w:jc w:val="both"/>
            </w:pPr>
            <w:r>
              <w:rPr>
                <w:rFonts w:hint="eastAsia"/>
              </w:rPr>
              <w:t>迁飞性害虫专题分析一张图</w:t>
            </w:r>
          </w:p>
        </w:tc>
        <w:tc>
          <w:tcPr>
            <w:tcW w:w="5919" w:type="dxa"/>
            <w:shd w:val="clear" w:color="auto" w:fill="auto"/>
            <w:vAlign w:val="center"/>
          </w:tcPr>
          <w:p w14:paraId="5351FB71">
            <w:pPr>
              <w:widowControl w:val="0"/>
              <w:jc w:val="both"/>
            </w:pPr>
            <w:r>
              <w:rPr>
                <w:rFonts w:hint="eastAsia"/>
              </w:rPr>
              <w:t>支持对稻纵卷叶螟、稻飞虱、草地贪夜蛾的发生情况进行时间维度、空间维度、数量维度等方面的深入挖掘，并以可视化的形式直观展示，包括历年数据分析、同期数据对比、相似年份分析等内容。</w:t>
            </w:r>
          </w:p>
        </w:tc>
      </w:tr>
      <w:tr w14:paraId="453F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4F46B81F">
            <w:pPr>
              <w:widowControl w:val="0"/>
              <w:jc w:val="both"/>
              <w:rPr>
                <w:b/>
                <w:bCs/>
              </w:rPr>
            </w:pPr>
            <w:r>
              <w:rPr>
                <w:rFonts w:hint="eastAsia"/>
                <w:b/>
                <w:bCs/>
              </w:rPr>
              <w:t>四</w:t>
            </w:r>
          </w:p>
        </w:tc>
        <w:tc>
          <w:tcPr>
            <w:tcW w:w="7592" w:type="dxa"/>
            <w:gridSpan w:val="2"/>
            <w:shd w:val="clear" w:color="auto" w:fill="F2F2F2"/>
            <w:vAlign w:val="center"/>
          </w:tcPr>
          <w:p w14:paraId="453E6453">
            <w:pPr>
              <w:widowControl w:val="0"/>
              <w:jc w:val="both"/>
              <w:rPr>
                <w:b/>
                <w:bCs/>
              </w:rPr>
            </w:pPr>
            <w:r>
              <w:rPr>
                <w:rFonts w:hint="eastAsia"/>
                <w:b/>
                <w:bCs/>
              </w:rPr>
              <w:t>系统管理</w:t>
            </w:r>
          </w:p>
        </w:tc>
      </w:tr>
      <w:tr w14:paraId="5FD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2BCE16E">
            <w:pPr>
              <w:widowControl w:val="0"/>
              <w:jc w:val="both"/>
            </w:pPr>
            <w:r>
              <w:rPr>
                <w:rFonts w:hint="eastAsia"/>
              </w:rPr>
              <w:t>4.1</w:t>
            </w:r>
          </w:p>
        </w:tc>
        <w:tc>
          <w:tcPr>
            <w:tcW w:w="1673" w:type="dxa"/>
            <w:shd w:val="clear" w:color="auto" w:fill="auto"/>
            <w:vAlign w:val="center"/>
          </w:tcPr>
          <w:p w14:paraId="50268D54">
            <w:pPr>
              <w:widowControl w:val="0"/>
              <w:jc w:val="both"/>
            </w:pPr>
            <w:r>
              <w:rPr>
                <w:rFonts w:hint="eastAsia"/>
              </w:rPr>
              <w:t>组织机构管理</w:t>
            </w:r>
          </w:p>
        </w:tc>
        <w:tc>
          <w:tcPr>
            <w:tcW w:w="5919" w:type="dxa"/>
            <w:shd w:val="clear" w:color="auto" w:fill="auto"/>
            <w:vAlign w:val="center"/>
          </w:tcPr>
          <w:p w14:paraId="3C677852">
            <w:pPr>
              <w:widowControl w:val="0"/>
              <w:jc w:val="both"/>
            </w:pPr>
            <w:r>
              <w:rPr>
                <w:rFonts w:hint="eastAsia"/>
              </w:rPr>
              <w:t>实现对系统中的机构进行管理，当前用户可以对本站点及其以下站点进行增加、修改、启用（停用）等操作。</w:t>
            </w:r>
          </w:p>
        </w:tc>
      </w:tr>
      <w:tr w14:paraId="2759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37348AA">
            <w:pPr>
              <w:widowControl w:val="0"/>
              <w:jc w:val="both"/>
            </w:pPr>
            <w:r>
              <w:rPr>
                <w:rFonts w:hint="eastAsia"/>
              </w:rPr>
              <w:t>4.2</w:t>
            </w:r>
          </w:p>
        </w:tc>
        <w:tc>
          <w:tcPr>
            <w:tcW w:w="1673" w:type="dxa"/>
            <w:shd w:val="clear" w:color="auto" w:fill="auto"/>
            <w:vAlign w:val="center"/>
          </w:tcPr>
          <w:p w14:paraId="27B7EB27">
            <w:pPr>
              <w:widowControl w:val="0"/>
              <w:jc w:val="both"/>
            </w:pPr>
            <w:r>
              <w:rPr>
                <w:rFonts w:hint="eastAsia"/>
              </w:rPr>
              <w:t>用户管理</w:t>
            </w:r>
          </w:p>
        </w:tc>
        <w:tc>
          <w:tcPr>
            <w:tcW w:w="5919" w:type="dxa"/>
            <w:shd w:val="clear" w:color="auto" w:fill="auto"/>
            <w:vAlign w:val="center"/>
          </w:tcPr>
          <w:p w14:paraId="2A36E2A9">
            <w:pPr>
              <w:widowControl w:val="0"/>
              <w:jc w:val="both"/>
            </w:pPr>
            <w:r>
              <w:rPr>
                <w:rFonts w:hint="eastAsia"/>
              </w:rPr>
              <w:t>实现各类用户进行管理。实现根据用户角色开放相对应的菜单权限，支持根据用户名称模糊搜索。</w:t>
            </w:r>
          </w:p>
        </w:tc>
      </w:tr>
      <w:tr w14:paraId="2BF0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1223890">
            <w:pPr>
              <w:widowControl w:val="0"/>
              <w:jc w:val="both"/>
            </w:pPr>
            <w:r>
              <w:rPr>
                <w:rFonts w:hint="eastAsia"/>
              </w:rPr>
              <w:t>4.3</w:t>
            </w:r>
          </w:p>
        </w:tc>
        <w:tc>
          <w:tcPr>
            <w:tcW w:w="1673" w:type="dxa"/>
            <w:shd w:val="clear" w:color="auto" w:fill="auto"/>
            <w:vAlign w:val="center"/>
          </w:tcPr>
          <w:p w14:paraId="01EBAB59">
            <w:pPr>
              <w:widowControl w:val="0"/>
              <w:jc w:val="both"/>
            </w:pPr>
            <w:r>
              <w:rPr>
                <w:rFonts w:hint="eastAsia"/>
              </w:rPr>
              <w:t>权限管理</w:t>
            </w:r>
          </w:p>
        </w:tc>
        <w:tc>
          <w:tcPr>
            <w:tcW w:w="5919" w:type="dxa"/>
            <w:shd w:val="clear" w:color="auto" w:fill="auto"/>
            <w:vAlign w:val="center"/>
          </w:tcPr>
          <w:p w14:paraId="352B08C8">
            <w:pPr>
              <w:widowControl w:val="0"/>
              <w:jc w:val="both"/>
            </w:pPr>
            <w:r>
              <w:rPr>
                <w:rFonts w:hint="eastAsia"/>
              </w:rPr>
              <w:t>实现对角色信息的新增、修改、启用/停用、删除等操作，支持通过对角色信息的修改功能调整角色所能操作的菜单，实现对菜单权限的管理，可以针对不同角色设定菜单内容。</w:t>
            </w:r>
          </w:p>
        </w:tc>
      </w:tr>
      <w:tr w14:paraId="37CB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70E5A7F">
            <w:pPr>
              <w:widowControl w:val="0"/>
              <w:jc w:val="both"/>
            </w:pPr>
            <w:r>
              <w:rPr>
                <w:rFonts w:hint="eastAsia"/>
              </w:rPr>
              <w:t xml:space="preserve">4.4 </w:t>
            </w:r>
          </w:p>
        </w:tc>
        <w:tc>
          <w:tcPr>
            <w:tcW w:w="1673" w:type="dxa"/>
            <w:shd w:val="clear" w:color="auto" w:fill="auto"/>
            <w:vAlign w:val="center"/>
          </w:tcPr>
          <w:p w14:paraId="529316E9">
            <w:pPr>
              <w:widowControl w:val="0"/>
              <w:jc w:val="both"/>
            </w:pPr>
            <w:r>
              <w:rPr>
                <w:rFonts w:hint="eastAsia"/>
              </w:rPr>
              <w:t>功能菜单管理</w:t>
            </w:r>
          </w:p>
        </w:tc>
        <w:tc>
          <w:tcPr>
            <w:tcW w:w="5919" w:type="dxa"/>
            <w:shd w:val="clear" w:color="auto" w:fill="auto"/>
            <w:vAlign w:val="center"/>
          </w:tcPr>
          <w:p w14:paraId="026DBE51">
            <w:pPr>
              <w:widowControl w:val="0"/>
              <w:jc w:val="both"/>
            </w:pPr>
            <w:r>
              <w:rPr>
                <w:rFonts w:hint="eastAsia"/>
              </w:rPr>
              <w:t>实现对菜单的停用/启用、删除、修改以及数据库与模块的关联关系。</w:t>
            </w:r>
          </w:p>
        </w:tc>
      </w:tr>
      <w:tr w14:paraId="03A6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E9B3B53">
            <w:pPr>
              <w:widowControl w:val="0"/>
              <w:jc w:val="both"/>
            </w:pPr>
            <w:r>
              <w:rPr>
                <w:rFonts w:hint="eastAsia"/>
              </w:rPr>
              <w:t xml:space="preserve">4.5 </w:t>
            </w:r>
          </w:p>
        </w:tc>
        <w:tc>
          <w:tcPr>
            <w:tcW w:w="1673" w:type="dxa"/>
            <w:shd w:val="clear" w:color="auto" w:fill="auto"/>
            <w:vAlign w:val="center"/>
          </w:tcPr>
          <w:p w14:paraId="2B2BA4B2">
            <w:pPr>
              <w:widowControl w:val="0"/>
              <w:jc w:val="both"/>
            </w:pPr>
            <w:r>
              <w:rPr>
                <w:rFonts w:hint="eastAsia"/>
              </w:rPr>
              <w:t>日志管理</w:t>
            </w:r>
          </w:p>
        </w:tc>
        <w:tc>
          <w:tcPr>
            <w:tcW w:w="5919" w:type="dxa"/>
            <w:shd w:val="clear" w:color="auto" w:fill="auto"/>
            <w:vAlign w:val="center"/>
          </w:tcPr>
          <w:p w14:paraId="569E6663">
            <w:pPr>
              <w:widowControl w:val="0"/>
              <w:jc w:val="both"/>
            </w:pPr>
            <w:r>
              <w:rPr>
                <w:rFonts w:hint="eastAsia"/>
              </w:rPr>
              <w:t>支持对用户登录、系统主要功能操作、报表上报、从国家同步数据进行日志记录。</w:t>
            </w:r>
          </w:p>
        </w:tc>
      </w:tr>
      <w:tr w14:paraId="28BA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11FD3BE3">
            <w:pPr>
              <w:widowControl w:val="0"/>
              <w:jc w:val="both"/>
              <w:rPr>
                <w:b/>
                <w:bCs/>
              </w:rPr>
            </w:pPr>
            <w:r>
              <w:rPr>
                <w:rFonts w:hint="eastAsia"/>
                <w:b/>
                <w:bCs/>
              </w:rPr>
              <w:t>五</w:t>
            </w:r>
          </w:p>
        </w:tc>
        <w:tc>
          <w:tcPr>
            <w:tcW w:w="7592" w:type="dxa"/>
            <w:gridSpan w:val="2"/>
            <w:shd w:val="clear" w:color="auto" w:fill="F2F2F2"/>
            <w:vAlign w:val="center"/>
          </w:tcPr>
          <w:p w14:paraId="6EDC22BC">
            <w:pPr>
              <w:widowControl w:val="0"/>
              <w:jc w:val="both"/>
              <w:rPr>
                <w:b/>
                <w:bCs/>
              </w:rPr>
            </w:pPr>
            <w:r>
              <w:rPr>
                <w:rFonts w:hint="eastAsia"/>
                <w:b/>
                <w:bCs/>
              </w:rPr>
              <w:t>市级移动端（微信小程序）</w:t>
            </w:r>
          </w:p>
        </w:tc>
      </w:tr>
      <w:tr w14:paraId="4BB4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019B539">
            <w:pPr>
              <w:widowControl w:val="0"/>
              <w:jc w:val="both"/>
            </w:pPr>
            <w:r>
              <w:rPr>
                <w:rFonts w:hint="eastAsia"/>
              </w:rPr>
              <w:t>5.1</w:t>
            </w:r>
          </w:p>
        </w:tc>
        <w:tc>
          <w:tcPr>
            <w:tcW w:w="1673" w:type="dxa"/>
            <w:shd w:val="clear" w:color="auto" w:fill="auto"/>
            <w:vAlign w:val="center"/>
          </w:tcPr>
          <w:p w14:paraId="2C96BBDA">
            <w:pPr>
              <w:widowControl w:val="0"/>
              <w:jc w:val="both"/>
            </w:pPr>
            <w:r>
              <w:rPr>
                <w:rFonts w:hint="eastAsia"/>
              </w:rPr>
              <w:t>植保资讯</w:t>
            </w:r>
          </w:p>
        </w:tc>
        <w:tc>
          <w:tcPr>
            <w:tcW w:w="5919" w:type="dxa"/>
            <w:shd w:val="clear" w:color="auto" w:fill="auto"/>
            <w:vAlign w:val="center"/>
          </w:tcPr>
          <w:p w14:paraId="75DE89C8">
            <w:pPr>
              <w:widowControl w:val="0"/>
              <w:jc w:val="both"/>
            </w:pPr>
            <w:r>
              <w:rPr>
                <w:rFonts w:hint="eastAsia"/>
              </w:rPr>
              <w:t>支持通过微信小程序可以检索、浏览最新的植保资讯。</w:t>
            </w:r>
          </w:p>
        </w:tc>
      </w:tr>
      <w:tr w14:paraId="0E38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410CAB4">
            <w:pPr>
              <w:widowControl w:val="0"/>
              <w:jc w:val="both"/>
            </w:pPr>
            <w:r>
              <w:rPr>
                <w:rFonts w:hint="eastAsia"/>
              </w:rPr>
              <w:t>5.2</w:t>
            </w:r>
          </w:p>
        </w:tc>
        <w:tc>
          <w:tcPr>
            <w:tcW w:w="1673" w:type="dxa"/>
            <w:shd w:val="clear" w:color="auto" w:fill="auto"/>
            <w:vAlign w:val="center"/>
          </w:tcPr>
          <w:p w14:paraId="394C2C2F">
            <w:pPr>
              <w:widowControl w:val="0"/>
              <w:jc w:val="both"/>
            </w:pPr>
            <w:r>
              <w:rPr>
                <w:rFonts w:hint="eastAsia"/>
              </w:rPr>
              <w:t>移动端数据采集</w:t>
            </w:r>
          </w:p>
        </w:tc>
        <w:tc>
          <w:tcPr>
            <w:tcW w:w="5919" w:type="dxa"/>
            <w:shd w:val="clear" w:color="auto" w:fill="auto"/>
            <w:vAlign w:val="center"/>
          </w:tcPr>
          <w:p w14:paraId="267FADFA">
            <w:pPr>
              <w:widowControl w:val="0"/>
              <w:jc w:val="both"/>
            </w:pPr>
            <w:r>
              <w:rPr>
                <w:rFonts w:hint="eastAsia"/>
              </w:rPr>
              <w:t>支持通过微信小程序采集入侵有害生物相关数据，并接受、提交数据采集填报任务，提醒未完成的数据采集任务。</w:t>
            </w:r>
          </w:p>
        </w:tc>
      </w:tr>
      <w:tr w14:paraId="10AC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8210142">
            <w:pPr>
              <w:widowControl w:val="0"/>
              <w:jc w:val="both"/>
            </w:pPr>
            <w:r>
              <w:rPr>
                <w:rFonts w:hint="eastAsia"/>
              </w:rPr>
              <w:t>5.3</w:t>
            </w:r>
          </w:p>
        </w:tc>
        <w:tc>
          <w:tcPr>
            <w:tcW w:w="1673" w:type="dxa"/>
            <w:shd w:val="clear" w:color="auto" w:fill="auto"/>
            <w:vAlign w:val="center"/>
          </w:tcPr>
          <w:p w14:paraId="45A5A4A8">
            <w:pPr>
              <w:widowControl w:val="0"/>
              <w:jc w:val="both"/>
            </w:pPr>
            <w:r>
              <w:rPr>
                <w:rFonts w:hint="eastAsia"/>
              </w:rPr>
              <w:t>物联网设备监控</w:t>
            </w:r>
          </w:p>
        </w:tc>
        <w:tc>
          <w:tcPr>
            <w:tcW w:w="5919" w:type="dxa"/>
            <w:shd w:val="clear" w:color="auto" w:fill="auto"/>
            <w:vAlign w:val="center"/>
          </w:tcPr>
          <w:p w14:paraId="3729D4BE">
            <w:pPr>
              <w:widowControl w:val="0"/>
              <w:jc w:val="both"/>
            </w:pPr>
            <w:r>
              <w:rPr>
                <w:rFonts w:hint="eastAsia"/>
              </w:rPr>
              <w:t>支持查看附近监测点、物联网设备信息。通过视频监控，实时监测物联网设备现场。</w:t>
            </w:r>
          </w:p>
        </w:tc>
      </w:tr>
      <w:tr w14:paraId="3264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AE24126">
            <w:pPr>
              <w:widowControl w:val="0"/>
              <w:jc w:val="both"/>
            </w:pPr>
            <w:r>
              <w:rPr>
                <w:rFonts w:hint="eastAsia"/>
              </w:rPr>
              <w:t>5.4</w:t>
            </w:r>
          </w:p>
        </w:tc>
        <w:tc>
          <w:tcPr>
            <w:tcW w:w="1673" w:type="dxa"/>
            <w:shd w:val="clear" w:color="auto" w:fill="auto"/>
            <w:vAlign w:val="center"/>
          </w:tcPr>
          <w:p w14:paraId="7DBDC226">
            <w:pPr>
              <w:widowControl w:val="0"/>
              <w:jc w:val="both"/>
            </w:pPr>
            <w:r>
              <w:rPr>
                <w:rFonts w:hint="eastAsia"/>
              </w:rPr>
              <w:t>物联网数据查看</w:t>
            </w:r>
          </w:p>
        </w:tc>
        <w:tc>
          <w:tcPr>
            <w:tcW w:w="5919" w:type="dxa"/>
            <w:shd w:val="clear" w:color="auto" w:fill="auto"/>
            <w:vAlign w:val="center"/>
          </w:tcPr>
          <w:p w14:paraId="64A19F64">
            <w:pPr>
              <w:widowControl w:val="0"/>
              <w:jc w:val="both"/>
            </w:pPr>
            <w:r>
              <w:rPr>
                <w:rFonts w:hint="eastAsia"/>
              </w:rPr>
              <w:t>支持查看物联网数据的查看，支持按日期查看历史数据，包括图片、视频。</w:t>
            </w:r>
          </w:p>
        </w:tc>
      </w:tr>
      <w:tr w14:paraId="38DB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9EE3CDA">
            <w:pPr>
              <w:widowControl w:val="0"/>
              <w:jc w:val="both"/>
            </w:pPr>
            <w:r>
              <w:rPr>
                <w:rFonts w:hint="eastAsia"/>
              </w:rPr>
              <w:t>5.5</w:t>
            </w:r>
          </w:p>
        </w:tc>
        <w:tc>
          <w:tcPr>
            <w:tcW w:w="1673" w:type="dxa"/>
            <w:shd w:val="clear" w:color="auto" w:fill="auto"/>
            <w:vAlign w:val="center"/>
          </w:tcPr>
          <w:p w14:paraId="71832736">
            <w:pPr>
              <w:widowControl w:val="0"/>
              <w:jc w:val="both"/>
            </w:pPr>
            <w:r>
              <w:rPr>
                <w:rFonts w:hint="eastAsia"/>
              </w:rPr>
              <w:t>知识库（含电子标本库）</w:t>
            </w:r>
          </w:p>
        </w:tc>
        <w:tc>
          <w:tcPr>
            <w:tcW w:w="5919" w:type="dxa"/>
            <w:shd w:val="clear" w:color="auto" w:fill="auto"/>
            <w:vAlign w:val="center"/>
          </w:tcPr>
          <w:p w14:paraId="5AC78A25">
            <w:pPr>
              <w:widowControl w:val="0"/>
              <w:jc w:val="both"/>
            </w:pPr>
            <w:r>
              <w:rPr>
                <w:rFonts w:hint="eastAsia"/>
              </w:rPr>
              <w:t>支持知识库的数据采集上报和查看。</w:t>
            </w:r>
          </w:p>
        </w:tc>
      </w:tr>
      <w:tr w14:paraId="4A24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72141A92">
            <w:pPr>
              <w:widowControl w:val="0"/>
              <w:jc w:val="both"/>
              <w:rPr>
                <w:b/>
                <w:bCs/>
              </w:rPr>
            </w:pPr>
            <w:r>
              <w:rPr>
                <w:rFonts w:hint="eastAsia"/>
                <w:b/>
                <w:bCs/>
              </w:rPr>
              <w:t>六</w:t>
            </w:r>
          </w:p>
        </w:tc>
        <w:tc>
          <w:tcPr>
            <w:tcW w:w="7592" w:type="dxa"/>
            <w:gridSpan w:val="2"/>
            <w:shd w:val="clear" w:color="auto" w:fill="F2F2F2"/>
            <w:vAlign w:val="center"/>
          </w:tcPr>
          <w:p w14:paraId="18C58BA9">
            <w:pPr>
              <w:widowControl w:val="0"/>
              <w:jc w:val="both"/>
              <w:rPr>
                <w:b/>
                <w:bCs/>
              </w:rPr>
            </w:pPr>
            <w:r>
              <w:rPr>
                <w:rFonts w:hint="eastAsia"/>
                <w:b/>
                <w:bCs/>
              </w:rPr>
              <w:t>系统对接接口</w:t>
            </w:r>
          </w:p>
        </w:tc>
      </w:tr>
      <w:tr w14:paraId="20A9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B48F433">
            <w:pPr>
              <w:widowControl w:val="0"/>
              <w:jc w:val="both"/>
            </w:pPr>
            <w:r>
              <w:rPr>
                <w:rFonts w:hint="eastAsia"/>
              </w:rPr>
              <w:t>6.1</w:t>
            </w:r>
          </w:p>
        </w:tc>
        <w:tc>
          <w:tcPr>
            <w:tcW w:w="1673" w:type="dxa"/>
            <w:shd w:val="clear" w:color="auto" w:fill="auto"/>
            <w:vAlign w:val="center"/>
          </w:tcPr>
          <w:p w14:paraId="1339D75D">
            <w:pPr>
              <w:widowControl w:val="0"/>
              <w:jc w:val="both"/>
            </w:pPr>
            <w:r>
              <w:rPr>
                <w:rFonts w:hint="eastAsia"/>
              </w:rPr>
              <w:t>市级系统与农业农村部植保植检管理系统病虫害监测管理模块接口</w:t>
            </w:r>
          </w:p>
        </w:tc>
        <w:tc>
          <w:tcPr>
            <w:tcW w:w="5919" w:type="dxa"/>
            <w:shd w:val="clear" w:color="auto" w:fill="auto"/>
            <w:vAlign w:val="center"/>
          </w:tcPr>
          <w:p w14:paraId="72B62E31">
            <w:pPr>
              <w:widowControl w:val="0"/>
              <w:jc w:val="both"/>
            </w:pPr>
            <w:r>
              <w:rPr>
                <w:rFonts w:hint="eastAsia"/>
              </w:rPr>
              <w:t>实现市级系统与农业农村部植保植检管理系统病虫害监测管理模块接口对接。支持国家与市级的任务同步、报表同步、数据上报、数据退回和数据同步。实现市级系统数据与国家系统数据的一致性。</w:t>
            </w:r>
          </w:p>
        </w:tc>
      </w:tr>
      <w:tr w14:paraId="352F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8AC8330">
            <w:pPr>
              <w:widowControl w:val="0"/>
              <w:jc w:val="both"/>
            </w:pPr>
            <w:r>
              <w:rPr>
                <w:rFonts w:hint="eastAsia"/>
              </w:rPr>
              <w:t>6.2</w:t>
            </w:r>
          </w:p>
        </w:tc>
        <w:tc>
          <w:tcPr>
            <w:tcW w:w="1673" w:type="dxa"/>
            <w:shd w:val="clear" w:color="auto" w:fill="auto"/>
            <w:vAlign w:val="center"/>
          </w:tcPr>
          <w:p w14:paraId="3D338BF2">
            <w:pPr>
              <w:widowControl w:val="0"/>
              <w:jc w:val="both"/>
            </w:pPr>
            <w:r>
              <w:rPr>
                <w:rFonts w:hint="eastAsia"/>
              </w:rPr>
              <w:t>市级系统与病虫疫情监测点管理系统接口</w:t>
            </w:r>
          </w:p>
        </w:tc>
        <w:tc>
          <w:tcPr>
            <w:tcW w:w="5919" w:type="dxa"/>
            <w:shd w:val="clear" w:color="auto" w:fill="auto"/>
            <w:vAlign w:val="center"/>
          </w:tcPr>
          <w:p w14:paraId="2DFFCC20">
            <w:pPr>
              <w:widowControl w:val="0"/>
              <w:jc w:val="both"/>
              <w:rPr>
                <w:highlight w:val="yellow"/>
              </w:rPr>
            </w:pPr>
            <w:r>
              <w:rPr>
                <w:rFonts w:hint="eastAsia"/>
              </w:rPr>
              <w:t>实现区级系统与市级系统接口对接。支持市级与区级的任务同步、报表同步、数据上报、数据退回和数据同步。实现市级系统数据与国家系统数据的一致性。</w:t>
            </w:r>
          </w:p>
        </w:tc>
      </w:tr>
      <w:tr w14:paraId="3E6F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1FFD1F0">
            <w:pPr>
              <w:widowControl w:val="0"/>
              <w:jc w:val="both"/>
            </w:pPr>
            <w:r>
              <w:rPr>
                <w:rFonts w:hint="eastAsia"/>
              </w:rPr>
              <w:t>6.3</w:t>
            </w:r>
          </w:p>
        </w:tc>
        <w:tc>
          <w:tcPr>
            <w:tcW w:w="1673" w:type="dxa"/>
            <w:shd w:val="clear" w:color="auto" w:fill="auto"/>
            <w:vAlign w:val="center"/>
          </w:tcPr>
          <w:p w14:paraId="37392DF2">
            <w:pPr>
              <w:widowControl w:val="0"/>
              <w:jc w:val="both"/>
            </w:pPr>
            <w:r>
              <w:rPr>
                <w:rFonts w:hint="eastAsia"/>
              </w:rPr>
              <w:t>市级系统与农业农村部植保植检管理系统农药械信息管理模块接口</w:t>
            </w:r>
          </w:p>
        </w:tc>
        <w:tc>
          <w:tcPr>
            <w:tcW w:w="5919" w:type="dxa"/>
            <w:shd w:val="clear" w:color="auto" w:fill="auto"/>
            <w:vAlign w:val="center"/>
          </w:tcPr>
          <w:p w14:paraId="521DABD1">
            <w:pPr>
              <w:widowControl w:val="0"/>
              <w:jc w:val="both"/>
            </w:pPr>
            <w:r>
              <w:rPr>
                <w:rFonts w:hint="eastAsia"/>
              </w:rPr>
              <w:t>与农业农村部植保植检管理系统农药械信息管理模块接口对接，实现本市农药械相关业务数据与国家系统互通。</w:t>
            </w:r>
          </w:p>
        </w:tc>
      </w:tr>
      <w:tr w14:paraId="754D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237B704">
            <w:pPr>
              <w:widowControl w:val="0"/>
              <w:jc w:val="both"/>
            </w:pPr>
            <w:r>
              <w:rPr>
                <w:rFonts w:hint="eastAsia"/>
              </w:rPr>
              <w:t>6.4</w:t>
            </w:r>
          </w:p>
        </w:tc>
        <w:tc>
          <w:tcPr>
            <w:tcW w:w="1673" w:type="dxa"/>
            <w:shd w:val="clear" w:color="auto" w:fill="auto"/>
            <w:vAlign w:val="center"/>
          </w:tcPr>
          <w:p w14:paraId="64C11EBA">
            <w:pPr>
              <w:widowControl w:val="0"/>
              <w:jc w:val="both"/>
            </w:pPr>
            <w:r>
              <w:rPr>
                <w:rFonts w:hint="eastAsia"/>
              </w:rPr>
              <w:t>市级系统与农业农村部植保植检管理系统重大病虫防控管理模块接口</w:t>
            </w:r>
          </w:p>
        </w:tc>
        <w:tc>
          <w:tcPr>
            <w:tcW w:w="5919" w:type="dxa"/>
            <w:shd w:val="clear" w:color="auto" w:fill="auto"/>
            <w:vAlign w:val="center"/>
          </w:tcPr>
          <w:p w14:paraId="23ACF74A">
            <w:pPr>
              <w:widowControl w:val="0"/>
              <w:jc w:val="both"/>
            </w:pPr>
            <w:r>
              <w:rPr>
                <w:rFonts w:hint="eastAsia"/>
              </w:rPr>
              <w:t>与农业农村部植保植检管理系统重大病虫防控管理模块接口对接，实现本市重大病虫防控相关业务数据与国家系统互通。</w:t>
            </w:r>
          </w:p>
        </w:tc>
      </w:tr>
      <w:tr w14:paraId="5E9F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4D2EA2F">
            <w:pPr>
              <w:widowControl w:val="0"/>
              <w:jc w:val="both"/>
            </w:pPr>
            <w:r>
              <w:rPr>
                <w:rFonts w:hint="eastAsia"/>
              </w:rPr>
              <w:t>6.5</w:t>
            </w:r>
          </w:p>
        </w:tc>
        <w:tc>
          <w:tcPr>
            <w:tcW w:w="1673" w:type="dxa"/>
            <w:shd w:val="clear" w:color="auto" w:fill="auto"/>
            <w:vAlign w:val="center"/>
          </w:tcPr>
          <w:p w14:paraId="24E9657F">
            <w:pPr>
              <w:widowControl w:val="0"/>
              <w:jc w:val="both"/>
            </w:pPr>
            <w:r>
              <w:rPr>
                <w:rFonts w:hint="eastAsia"/>
              </w:rPr>
              <w:t>市级系统与农业农村部植保植检管理系统植物检疫信息管理模块接口</w:t>
            </w:r>
          </w:p>
        </w:tc>
        <w:tc>
          <w:tcPr>
            <w:tcW w:w="5919" w:type="dxa"/>
            <w:shd w:val="clear" w:color="auto" w:fill="auto"/>
            <w:vAlign w:val="center"/>
          </w:tcPr>
          <w:p w14:paraId="792ACCF4">
            <w:pPr>
              <w:widowControl w:val="0"/>
              <w:jc w:val="both"/>
            </w:pPr>
            <w:r>
              <w:rPr>
                <w:rFonts w:hint="eastAsia"/>
              </w:rPr>
              <w:t>与农业农村部植保植检管理系统植物检疫信息管理模块接口对接，实现本市植物检疫相关业务数据与国家系统互通。</w:t>
            </w:r>
          </w:p>
        </w:tc>
      </w:tr>
      <w:tr w14:paraId="07B6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AC22DAD">
            <w:pPr>
              <w:widowControl w:val="0"/>
              <w:jc w:val="both"/>
            </w:pPr>
            <w:r>
              <w:rPr>
                <w:rFonts w:hint="eastAsia"/>
              </w:rPr>
              <w:t>6.6</w:t>
            </w:r>
          </w:p>
        </w:tc>
        <w:tc>
          <w:tcPr>
            <w:tcW w:w="1673" w:type="dxa"/>
            <w:shd w:val="clear" w:color="auto" w:fill="auto"/>
            <w:vAlign w:val="center"/>
          </w:tcPr>
          <w:p w14:paraId="68130C72">
            <w:pPr>
              <w:widowControl w:val="0"/>
              <w:jc w:val="both"/>
            </w:pPr>
            <w:r>
              <w:rPr>
                <w:rFonts w:hint="eastAsia"/>
              </w:rPr>
              <w:t>市级系统与农业农村部植保植检管理系统植保专业统计模块接口</w:t>
            </w:r>
          </w:p>
        </w:tc>
        <w:tc>
          <w:tcPr>
            <w:tcW w:w="5919" w:type="dxa"/>
            <w:shd w:val="clear" w:color="auto" w:fill="auto"/>
            <w:vAlign w:val="center"/>
          </w:tcPr>
          <w:p w14:paraId="629D7342">
            <w:pPr>
              <w:widowControl w:val="0"/>
              <w:jc w:val="both"/>
            </w:pPr>
            <w:r>
              <w:rPr>
                <w:rFonts w:hint="eastAsia"/>
              </w:rPr>
              <w:t>与农业农村部植保植检管理系统植保专业统计模块接口对接，实现本市植保专业统计数据与国家系统互通。</w:t>
            </w:r>
          </w:p>
        </w:tc>
      </w:tr>
      <w:tr w14:paraId="34D6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8455C76">
            <w:pPr>
              <w:widowControl w:val="0"/>
              <w:jc w:val="both"/>
            </w:pPr>
            <w:r>
              <w:rPr>
                <w:rFonts w:hint="eastAsia"/>
              </w:rPr>
              <w:t>6.7</w:t>
            </w:r>
          </w:p>
        </w:tc>
        <w:tc>
          <w:tcPr>
            <w:tcW w:w="1673" w:type="dxa"/>
            <w:shd w:val="clear" w:color="auto" w:fill="auto"/>
            <w:vAlign w:val="center"/>
          </w:tcPr>
          <w:p w14:paraId="46D40328">
            <w:pPr>
              <w:widowControl w:val="0"/>
              <w:jc w:val="both"/>
            </w:pPr>
            <w:r>
              <w:rPr>
                <w:rFonts w:hint="eastAsia"/>
              </w:rPr>
              <w:t>市级系统与全国植保体系信息化管理平台接口</w:t>
            </w:r>
          </w:p>
        </w:tc>
        <w:tc>
          <w:tcPr>
            <w:tcW w:w="5919" w:type="dxa"/>
            <w:shd w:val="clear" w:color="auto" w:fill="auto"/>
            <w:vAlign w:val="center"/>
          </w:tcPr>
          <w:p w14:paraId="3B1861CB">
            <w:pPr>
              <w:widowControl w:val="0"/>
              <w:jc w:val="both"/>
            </w:pPr>
            <w:r>
              <w:rPr>
                <w:rFonts w:hint="eastAsia"/>
              </w:rPr>
              <w:t>与全国植保体系信息化管理平台接口对接，实现本市植保体系数据与国家系统互通。</w:t>
            </w:r>
          </w:p>
        </w:tc>
      </w:tr>
      <w:tr w14:paraId="6591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2F2F2"/>
            <w:vAlign w:val="center"/>
          </w:tcPr>
          <w:p w14:paraId="6F1BFF92">
            <w:pPr>
              <w:widowControl w:val="0"/>
              <w:jc w:val="both"/>
              <w:rPr>
                <w:b/>
                <w:bCs/>
              </w:rPr>
            </w:pPr>
            <w:r>
              <w:rPr>
                <w:rFonts w:hint="eastAsia"/>
                <w:b/>
                <w:bCs/>
              </w:rPr>
              <w:t>七</w:t>
            </w:r>
          </w:p>
        </w:tc>
        <w:tc>
          <w:tcPr>
            <w:tcW w:w="7592" w:type="dxa"/>
            <w:gridSpan w:val="2"/>
            <w:shd w:val="clear" w:color="auto" w:fill="F2F2F2"/>
            <w:vAlign w:val="center"/>
          </w:tcPr>
          <w:p w14:paraId="1C94C46B">
            <w:pPr>
              <w:widowControl w:val="0"/>
              <w:jc w:val="both"/>
              <w:rPr>
                <w:b/>
                <w:bCs/>
              </w:rPr>
            </w:pPr>
            <w:r>
              <w:rPr>
                <w:rFonts w:hint="eastAsia"/>
                <w:b/>
                <w:bCs/>
              </w:rPr>
              <w:t>现有系统数据迁移</w:t>
            </w:r>
          </w:p>
        </w:tc>
      </w:tr>
      <w:tr w14:paraId="2EDB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505B606">
            <w:pPr>
              <w:widowControl w:val="0"/>
              <w:jc w:val="both"/>
            </w:pPr>
            <w:r>
              <w:rPr>
                <w:rFonts w:hint="eastAsia"/>
              </w:rPr>
              <w:t>7.1</w:t>
            </w:r>
          </w:p>
        </w:tc>
        <w:tc>
          <w:tcPr>
            <w:tcW w:w="1673" w:type="dxa"/>
            <w:shd w:val="clear" w:color="auto" w:fill="auto"/>
            <w:vAlign w:val="center"/>
          </w:tcPr>
          <w:p w14:paraId="73706B27">
            <w:pPr>
              <w:widowControl w:val="0"/>
              <w:jc w:val="both"/>
            </w:pPr>
            <w:r>
              <w:rPr>
                <w:rFonts w:hint="eastAsia"/>
              </w:rPr>
              <w:t>系统数据分析</w:t>
            </w:r>
          </w:p>
        </w:tc>
        <w:tc>
          <w:tcPr>
            <w:tcW w:w="5919" w:type="dxa"/>
            <w:shd w:val="clear" w:color="auto" w:fill="auto"/>
            <w:vAlign w:val="center"/>
          </w:tcPr>
          <w:p w14:paraId="32B9F765">
            <w:pPr>
              <w:widowControl w:val="0"/>
              <w:jc w:val="both"/>
            </w:pPr>
            <w:r>
              <w:rPr>
                <w:rFonts w:hint="eastAsia"/>
              </w:rPr>
              <w:t>原有系统数据调研，并对现有系统的历史数据进行质量分析，对新现有系统的数据结构进行差异分析以及对新现有系统代码数据的差异分析。</w:t>
            </w:r>
          </w:p>
        </w:tc>
      </w:tr>
      <w:tr w14:paraId="0C57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7302ADE">
            <w:pPr>
              <w:widowControl w:val="0"/>
              <w:jc w:val="both"/>
            </w:pPr>
            <w:r>
              <w:rPr>
                <w:rFonts w:hint="eastAsia"/>
              </w:rPr>
              <w:t>7.2</w:t>
            </w:r>
          </w:p>
        </w:tc>
        <w:tc>
          <w:tcPr>
            <w:tcW w:w="1673" w:type="dxa"/>
            <w:shd w:val="clear" w:color="auto" w:fill="auto"/>
            <w:vAlign w:val="center"/>
          </w:tcPr>
          <w:p w14:paraId="381591C7">
            <w:pPr>
              <w:widowControl w:val="0"/>
              <w:jc w:val="both"/>
            </w:pPr>
            <w:r>
              <w:rPr>
                <w:rFonts w:hint="eastAsia"/>
              </w:rPr>
              <w:t>现有系统数据清理</w:t>
            </w:r>
          </w:p>
        </w:tc>
        <w:tc>
          <w:tcPr>
            <w:tcW w:w="5919" w:type="dxa"/>
            <w:shd w:val="clear" w:color="auto" w:fill="auto"/>
            <w:vAlign w:val="center"/>
          </w:tcPr>
          <w:p w14:paraId="75E1BCB3">
            <w:pPr>
              <w:widowControl w:val="0"/>
              <w:jc w:val="both"/>
            </w:pPr>
            <w:r>
              <w:rPr>
                <w:rFonts w:hint="eastAsia"/>
              </w:rPr>
              <w:t>对愿系统中，违反规范性或合法性的数据，根据实际情况进行相应的清洗操作。数据格式与数据长度检查。区间范围、空值、默认值与完整性检查。</w:t>
            </w:r>
          </w:p>
        </w:tc>
      </w:tr>
      <w:tr w14:paraId="6029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EEBC778">
            <w:pPr>
              <w:widowControl w:val="0"/>
              <w:jc w:val="both"/>
            </w:pPr>
            <w:r>
              <w:rPr>
                <w:rFonts w:hint="eastAsia"/>
              </w:rPr>
              <w:t>7.3</w:t>
            </w:r>
          </w:p>
        </w:tc>
        <w:tc>
          <w:tcPr>
            <w:tcW w:w="1673" w:type="dxa"/>
            <w:shd w:val="clear" w:color="auto" w:fill="auto"/>
            <w:vAlign w:val="center"/>
          </w:tcPr>
          <w:p w14:paraId="346F2253">
            <w:pPr>
              <w:widowControl w:val="0"/>
              <w:jc w:val="both"/>
            </w:pPr>
            <w:r>
              <w:rPr>
                <w:rFonts w:hint="eastAsia"/>
              </w:rPr>
              <w:t>现有系统数据试迁移</w:t>
            </w:r>
          </w:p>
        </w:tc>
        <w:tc>
          <w:tcPr>
            <w:tcW w:w="5919" w:type="dxa"/>
            <w:shd w:val="clear" w:color="auto" w:fill="auto"/>
            <w:vAlign w:val="center"/>
          </w:tcPr>
          <w:p w14:paraId="620E06DE">
            <w:pPr>
              <w:widowControl w:val="0"/>
              <w:jc w:val="both"/>
            </w:pPr>
            <w:r>
              <w:rPr>
                <w:rFonts w:hint="eastAsia"/>
              </w:rPr>
              <w:t>使用数据迁移工具将原有系统中的部分数据迁移到数据验证测试环境中，对迁移过程和方法进行测试，验证迁移程序的稳定性、容错性和正确性。</w:t>
            </w:r>
          </w:p>
        </w:tc>
      </w:tr>
      <w:tr w14:paraId="7809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D8DBFF7">
            <w:pPr>
              <w:widowControl w:val="0"/>
              <w:jc w:val="both"/>
            </w:pPr>
            <w:r>
              <w:rPr>
                <w:rFonts w:hint="eastAsia"/>
              </w:rPr>
              <w:t>7.4</w:t>
            </w:r>
          </w:p>
        </w:tc>
        <w:tc>
          <w:tcPr>
            <w:tcW w:w="1673" w:type="dxa"/>
            <w:shd w:val="clear" w:color="auto" w:fill="auto"/>
            <w:vAlign w:val="center"/>
          </w:tcPr>
          <w:p w14:paraId="39488B45">
            <w:pPr>
              <w:widowControl w:val="0"/>
              <w:jc w:val="both"/>
            </w:pPr>
            <w:r>
              <w:rPr>
                <w:rFonts w:hint="eastAsia"/>
              </w:rPr>
              <w:t>现有系统数据迁移验证</w:t>
            </w:r>
          </w:p>
        </w:tc>
        <w:tc>
          <w:tcPr>
            <w:tcW w:w="5919" w:type="dxa"/>
            <w:shd w:val="clear" w:color="auto" w:fill="auto"/>
            <w:vAlign w:val="center"/>
          </w:tcPr>
          <w:p w14:paraId="02CB5B3D">
            <w:pPr>
              <w:widowControl w:val="0"/>
              <w:jc w:val="both"/>
            </w:pPr>
            <w:r>
              <w:rPr>
                <w:rFonts w:hint="eastAsia"/>
              </w:rPr>
              <w:t>对迁移的数据与元数据进行对比，经过反复测试和调试达到原定的质量要求。</w:t>
            </w:r>
          </w:p>
        </w:tc>
      </w:tr>
      <w:tr w14:paraId="3BAB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F2F2F2"/>
            <w:vAlign w:val="center"/>
          </w:tcPr>
          <w:p w14:paraId="27D499D2">
            <w:pPr>
              <w:widowControl w:val="0"/>
              <w:jc w:val="both"/>
              <w:rPr>
                <w:b/>
                <w:bCs/>
              </w:rPr>
            </w:pPr>
            <w:r>
              <w:rPr>
                <w:rFonts w:hint="eastAsia"/>
                <w:b/>
                <w:bCs/>
              </w:rPr>
              <w:t>八</w:t>
            </w:r>
          </w:p>
        </w:tc>
        <w:tc>
          <w:tcPr>
            <w:tcW w:w="7592" w:type="dxa"/>
            <w:gridSpan w:val="2"/>
            <w:shd w:val="clear" w:color="auto" w:fill="F2F2F2"/>
            <w:vAlign w:val="center"/>
          </w:tcPr>
          <w:p w14:paraId="5AD48A95">
            <w:pPr>
              <w:widowControl w:val="0"/>
              <w:jc w:val="both"/>
              <w:rPr>
                <w:b/>
                <w:bCs/>
              </w:rPr>
            </w:pPr>
            <w:r>
              <w:rPr>
                <w:rFonts w:hint="eastAsia"/>
                <w:b/>
                <w:bCs/>
              </w:rPr>
              <w:t>密码应用功能开发</w:t>
            </w:r>
          </w:p>
        </w:tc>
      </w:tr>
      <w:tr w14:paraId="21DD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F45C1E3">
            <w:pPr>
              <w:widowControl w:val="0"/>
              <w:jc w:val="both"/>
            </w:pPr>
            <w:r>
              <w:rPr>
                <w:rFonts w:hint="eastAsia"/>
              </w:rPr>
              <w:t>8.1</w:t>
            </w:r>
          </w:p>
        </w:tc>
        <w:tc>
          <w:tcPr>
            <w:tcW w:w="1673" w:type="dxa"/>
            <w:shd w:val="clear" w:color="auto" w:fill="auto"/>
            <w:vAlign w:val="center"/>
          </w:tcPr>
          <w:p w14:paraId="101247C1">
            <w:pPr>
              <w:widowControl w:val="0"/>
              <w:jc w:val="both"/>
              <w:rPr>
                <w:rFonts w:ascii="仿宋_GB2312" w:hAnsi="仿宋_GB2312" w:cs="仿宋_GB2312"/>
                <w:color w:val="000000"/>
                <w:kern w:val="0"/>
              </w:rPr>
            </w:pPr>
            <w:r>
              <w:rPr>
                <w:rFonts w:hint="eastAsia"/>
              </w:rPr>
              <w:t>用户身份认证机制模块</w:t>
            </w:r>
          </w:p>
        </w:tc>
        <w:tc>
          <w:tcPr>
            <w:tcW w:w="5919" w:type="dxa"/>
            <w:shd w:val="clear" w:color="auto" w:fill="auto"/>
            <w:vAlign w:val="center"/>
          </w:tcPr>
          <w:p w14:paraId="19AC52AF">
            <w:pPr>
              <w:widowControl w:val="0"/>
              <w:jc w:val="both"/>
              <w:rPr>
                <w:rFonts w:ascii="仿宋_GB2312" w:hAnsi="仿宋_GB2312" w:cs="仿宋_GB2312"/>
                <w:kern w:val="0"/>
              </w:rPr>
            </w:pPr>
            <w:r>
              <w:rPr>
                <w:rFonts w:hint="eastAsia"/>
              </w:rPr>
              <w:t>用于</w:t>
            </w:r>
            <w:r>
              <w:t>用户身份认证</w:t>
            </w:r>
            <w:r>
              <w:rPr>
                <w:rFonts w:hint="eastAsia"/>
              </w:rPr>
              <w:t>。</w:t>
            </w:r>
          </w:p>
        </w:tc>
      </w:tr>
      <w:tr w14:paraId="7B6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8ADC5FB">
            <w:pPr>
              <w:widowControl w:val="0"/>
              <w:jc w:val="both"/>
            </w:pPr>
            <w:r>
              <w:rPr>
                <w:rFonts w:hint="eastAsia"/>
              </w:rPr>
              <w:t>8.2</w:t>
            </w:r>
          </w:p>
        </w:tc>
        <w:tc>
          <w:tcPr>
            <w:tcW w:w="1673" w:type="dxa"/>
            <w:shd w:val="clear" w:color="auto" w:fill="auto"/>
            <w:vAlign w:val="center"/>
          </w:tcPr>
          <w:p w14:paraId="00723123">
            <w:pPr>
              <w:widowControl w:val="0"/>
              <w:jc w:val="both"/>
            </w:pPr>
            <w:r>
              <w:rPr>
                <w:rFonts w:hint="eastAsia"/>
              </w:rPr>
              <w:t>业务重要数据安全传输模块</w:t>
            </w:r>
          </w:p>
        </w:tc>
        <w:tc>
          <w:tcPr>
            <w:tcW w:w="5919" w:type="dxa"/>
            <w:shd w:val="clear" w:color="auto" w:fill="auto"/>
            <w:vAlign w:val="center"/>
          </w:tcPr>
          <w:p w14:paraId="0F72C404">
            <w:pPr>
              <w:widowControl w:val="0"/>
              <w:jc w:val="both"/>
            </w:pPr>
            <w:r>
              <w:rPr>
                <w:rFonts w:hint="eastAsia"/>
              </w:rPr>
              <w:t>用于业务重要数据安全传输。</w:t>
            </w:r>
          </w:p>
        </w:tc>
      </w:tr>
      <w:tr w14:paraId="4E73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43B0300">
            <w:pPr>
              <w:widowControl w:val="0"/>
              <w:jc w:val="both"/>
            </w:pPr>
            <w:r>
              <w:rPr>
                <w:rFonts w:hint="eastAsia"/>
              </w:rPr>
              <w:t>8.3</w:t>
            </w:r>
          </w:p>
        </w:tc>
        <w:tc>
          <w:tcPr>
            <w:tcW w:w="1673" w:type="dxa"/>
            <w:shd w:val="clear" w:color="auto" w:fill="auto"/>
            <w:vAlign w:val="center"/>
          </w:tcPr>
          <w:p w14:paraId="702BE102">
            <w:pPr>
              <w:widowControl w:val="0"/>
              <w:jc w:val="both"/>
            </w:pPr>
            <w:r>
              <w:rPr>
                <w:rFonts w:hint="eastAsia"/>
              </w:rPr>
              <w:t>服务器虚拟机设备日志/访问控制信息完整性模块</w:t>
            </w:r>
          </w:p>
        </w:tc>
        <w:tc>
          <w:tcPr>
            <w:tcW w:w="5919" w:type="dxa"/>
            <w:shd w:val="clear" w:color="auto" w:fill="auto"/>
            <w:vAlign w:val="center"/>
          </w:tcPr>
          <w:p w14:paraId="24B16C86">
            <w:pPr>
              <w:widowControl w:val="0"/>
              <w:jc w:val="both"/>
            </w:pPr>
            <w:r>
              <w:rPr>
                <w:rFonts w:hint="eastAsia"/>
              </w:rPr>
              <w:t>用于服务器虚拟机设备日志/访问控制信息完整性。</w:t>
            </w:r>
          </w:p>
        </w:tc>
      </w:tr>
      <w:tr w14:paraId="69CC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10E2350">
            <w:pPr>
              <w:widowControl w:val="0"/>
              <w:jc w:val="both"/>
            </w:pPr>
            <w:r>
              <w:rPr>
                <w:rFonts w:hint="eastAsia"/>
              </w:rPr>
              <w:t>8.4</w:t>
            </w:r>
          </w:p>
        </w:tc>
        <w:tc>
          <w:tcPr>
            <w:tcW w:w="1673" w:type="dxa"/>
            <w:shd w:val="clear" w:color="auto" w:fill="auto"/>
            <w:vAlign w:val="center"/>
          </w:tcPr>
          <w:p w14:paraId="32458289">
            <w:pPr>
              <w:widowControl w:val="0"/>
              <w:jc w:val="both"/>
            </w:pPr>
            <w:r>
              <w:rPr>
                <w:rFonts w:hint="eastAsia"/>
              </w:rPr>
              <w:t>重要可执行程序签名验签模块</w:t>
            </w:r>
          </w:p>
        </w:tc>
        <w:tc>
          <w:tcPr>
            <w:tcW w:w="5919" w:type="dxa"/>
            <w:shd w:val="clear" w:color="auto" w:fill="auto"/>
            <w:vAlign w:val="center"/>
          </w:tcPr>
          <w:p w14:paraId="18105E0B">
            <w:pPr>
              <w:widowControl w:val="0"/>
              <w:jc w:val="both"/>
            </w:pPr>
            <w:r>
              <w:rPr>
                <w:rFonts w:hint="eastAsia"/>
              </w:rPr>
              <w:t>用于重要可执行程序签名验签。</w:t>
            </w:r>
          </w:p>
        </w:tc>
      </w:tr>
      <w:tr w14:paraId="2C47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9BC6F2E">
            <w:pPr>
              <w:widowControl w:val="0"/>
              <w:jc w:val="both"/>
            </w:pPr>
            <w:r>
              <w:rPr>
                <w:rFonts w:hint="eastAsia"/>
              </w:rPr>
              <w:t>8.5</w:t>
            </w:r>
          </w:p>
        </w:tc>
        <w:tc>
          <w:tcPr>
            <w:tcW w:w="1673" w:type="dxa"/>
            <w:shd w:val="clear" w:color="auto" w:fill="auto"/>
            <w:vAlign w:val="center"/>
          </w:tcPr>
          <w:p w14:paraId="5606BE06">
            <w:pPr>
              <w:widowControl w:val="0"/>
              <w:jc w:val="both"/>
            </w:pPr>
            <w:r>
              <w:rPr>
                <w:rFonts w:hint="eastAsia"/>
              </w:rPr>
              <w:t>用户访问控制信息签名验签模块</w:t>
            </w:r>
          </w:p>
        </w:tc>
        <w:tc>
          <w:tcPr>
            <w:tcW w:w="5919" w:type="dxa"/>
            <w:shd w:val="clear" w:color="auto" w:fill="auto"/>
            <w:vAlign w:val="center"/>
          </w:tcPr>
          <w:p w14:paraId="4E3DD01B">
            <w:pPr>
              <w:widowControl w:val="0"/>
              <w:jc w:val="both"/>
            </w:pPr>
            <w:r>
              <w:rPr>
                <w:rFonts w:hint="eastAsia"/>
              </w:rPr>
              <w:t>用于用户访问控制信息签名验签。</w:t>
            </w:r>
          </w:p>
        </w:tc>
      </w:tr>
      <w:tr w14:paraId="7EAB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0913893">
            <w:pPr>
              <w:widowControl w:val="0"/>
              <w:jc w:val="both"/>
            </w:pPr>
            <w:r>
              <w:rPr>
                <w:rFonts w:hint="eastAsia"/>
              </w:rPr>
              <w:t>8.6</w:t>
            </w:r>
          </w:p>
        </w:tc>
        <w:tc>
          <w:tcPr>
            <w:tcW w:w="1673" w:type="dxa"/>
            <w:shd w:val="clear" w:color="auto" w:fill="auto"/>
            <w:vAlign w:val="center"/>
          </w:tcPr>
          <w:p w14:paraId="6F8403F8">
            <w:pPr>
              <w:widowControl w:val="0"/>
              <w:jc w:val="both"/>
            </w:pPr>
            <w:r>
              <w:rPr>
                <w:rFonts w:hint="eastAsia"/>
              </w:rPr>
              <w:t>应用系统重要数据加解密模块</w:t>
            </w:r>
          </w:p>
        </w:tc>
        <w:tc>
          <w:tcPr>
            <w:tcW w:w="5919" w:type="dxa"/>
            <w:shd w:val="clear" w:color="auto" w:fill="auto"/>
            <w:vAlign w:val="center"/>
          </w:tcPr>
          <w:p w14:paraId="69591873">
            <w:pPr>
              <w:widowControl w:val="0"/>
              <w:jc w:val="both"/>
            </w:pPr>
            <w:r>
              <w:rPr>
                <w:rFonts w:hint="eastAsia"/>
              </w:rPr>
              <w:t>用于应用系统重要数据加解密。</w:t>
            </w:r>
          </w:p>
        </w:tc>
      </w:tr>
      <w:tr w14:paraId="3066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33CA80D">
            <w:pPr>
              <w:widowControl w:val="0"/>
              <w:jc w:val="both"/>
            </w:pPr>
            <w:r>
              <w:rPr>
                <w:rFonts w:hint="eastAsia"/>
              </w:rPr>
              <w:t>8.7</w:t>
            </w:r>
          </w:p>
        </w:tc>
        <w:tc>
          <w:tcPr>
            <w:tcW w:w="1673" w:type="dxa"/>
            <w:shd w:val="clear" w:color="auto" w:fill="auto"/>
            <w:vAlign w:val="center"/>
          </w:tcPr>
          <w:p w14:paraId="735209A1">
            <w:pPr>
              <w:widowControl w:val="0"/>
              <w:jc w:val="both"/>
            </w:pPr>
            <w:r>
              <w:rPr>
                <w:rFonts w:hint="eastAsia"/>
              </w:rPr>
              <w:t>应用系统重要数据签名验签模块</w:t>
            </w:r>
          </w:p>
        </w:tc>
        <w:tc>
          <w:tcPr>
            <w:tcW w:w="5919" w:type="dxa"/>
            <w:shd w:val="clear" w:color="auto" w:fill="auto"/>
            <w:vAlign w:val="center"/>
          </w:tcPr>
          <w:p w14:paraId="50EB3965">
            <w:pPr>
              <w:widowControl w:val="0"/>
              <w:jc w:val="both"/>
            </w:pPr>
            <w:r>
              <w:rPr>
                <w:rFonts w:hint="eastAsia"/>
              </w:rPr>
              <w:t>用于应用系统重要数据签名验签。</w:t>
            </w:r>
          </w:p>
        </w:tc>
      </w:tr>
    </w:tbl>
    <w:p w14:paraId="7C390AE6"/>
    <w:p w14:paraId="3FEA09E8">
      <w:pPr>
        <w:ind w:firstLine="482"/>
        <w:rPr>
          <w:b/>
        </w:rPr>
      </w:pPr>
      <w:r>
        <w:rPr>
          <w:rFonts w:hint="eastAsia"/>
          <w:b/>
        </w:rPr>
        <w:t>2、硬件购置清单：</w:t>
      </w:r>
    </w:p>
    <w:p w14:paraId="564580D1">
      <w:pPr>
        <w:spacing w:line="360" w:lineRule="auto"/>
        <w:ind w:firstLine="482"/>
        <w:rPr>
          <w:bCs/>
        </w:rPr>
      </w:pPr>
      <w:r>
        <w:rPr>
          <w:rFonts w:hint="eastAsia"/>
          <w:bCs/>
        </w:rPr>
        <w:t>无。</w:t>
      </w:r>
    </w:p>
    <w:p w14:paraId="0BD69142"/>
    <w:p w14:paraId="3AACA08F">
      <w:pPr>
        <w:ind w:firstLine="482"/>
        <w:rPr>
          <w:b/>
        </w:rPr>
      </w:pPr>
      <w:r>
        <w:rPr>
          <w:rFonts w:hint="eastAsia"/>
          <w:b/>
        </w:rPr>
        <w:t>3、产品软件购置清单：</w:t>
      </w:r>
    </w:p>
    <w:p w14:paraId="75914748">
      <w:pPr>
        <w:spacing w:line="360" w:lineRule="auto"/>
        <w:ind w:firstLine="482"/>
        <w:rPr>
          <w:bCs/>
        </w:rPr>
      </w:pPr>
      <w:r>
        <w:rPr>
          <w:rFonts w:hint="eastAsia"/>
          <w:bCs/>
        </w:rPr>
        <w:t>无。</w:t>
      </w:r>
    </w:p>
    <w:p w14:paraId="0C27DF8B">
      <w:pPr>
        <w:ind w:firstLine="482"/>
        <w:rPr>
          <w:b/>
          <w:highlight w:val="yellow"/>
        </w:rPr>
      </w:pPr>
    </w:p>
    <w:p w14:paraId="2A8EE43E">
      <w:pPr>
        <w:ind w:firstLine="482"/>
        <w:rPr>
          <w:b/>
        </w:rPr>
      </w:pPr>
      <w:r>
        <w:rPr>
          <w:rFonts w:hint="eastAsia"/>
          <w:b/>
        </w:rPr>
        <w:t>4、安全产品购置清单：</w:t>
      </w:r>
    </w:p>
    <w:p w14:paraId="6062BB2A">
      <w:pPr>
        <w:spacing w:line="360" w:lineRule="auto"/>
        <w:ind w:firstLine="482"/>
      </w:pPr>
      <w:r>
        <w:rPr>
          <w:rFonts w:hint="eastAsia"/>
          <w:bCs/>
        </w:rPr>
        <w:t>无。</w:t>
      </w:r>
    </w:p>
    <w:p w14:paraId="486088A7">
      <w:pPr>
        <w:pStyle w:val="3"/>
        <w:ind w:firstLine="480" w:firstLineChars="150"/>
      </w:pPr>
      <w:bookmarkStart w:id="11" w:name="_Toc63785502"/>
      <w:r>
        <w:rPr>
          <w:rFonts w:hint="eastAsia"/>
        </w:rPr>
        <w:t>电子政务云资源需求</w:t>
      </w:r>
      <w:bookmarkEnd w:id="11"/>
    </w:p>
    <w:p w14:paraId="3495032B">
      <w:pPr>
        <w:spacing w:line="360" w:lineRule="auto"/>
        <w:ind w:firstLine="480" w:firstLineChars="200"/>
      </w:pPr>
      <w:r>
        <w:rPr>
          <w:rFonts w:hint="eastAsia"/>
        </w:rPr>
        <w:t>1、应用系统部署在政务云，基础环境应提供包括防火墙、交换机等基础网络设备，以及防病毒、防攻击、DNS 域名解析服务等基础的服务，主机资源配置如下：</w:t>
      </w:r>
    </w:p>
    <w:tbl>
      <w:tblPr>
        <w:tblStyle w:val="9"/>
        <w:tblW w:w="4998" w:type="pct"/>
        <w:tblInd w:w="0" w:type="dxa"/>
        <w:tblLayout w:type="fixed"/>
        <w:tblCellMar>
          <w:top w:w="0" w:type="dxa"/>
          <w:left w:w="108" w:type="dxa"/>
          <w:bottom w:w="0" w:type="dxa"/>
          <w:right w:w="108" w:type="dxa"/>
        </w:tblCellMar>
      </w:tblPr>
      <w:tblGrid>
        <w:gridCol w:w="1179"/>
        <w:gridCol w:w="1696"/>
        <w:gridCol w:w="1584"/>
        <w:gridCol w:w="955"/>
        <w:gridCol w:w="1025"/>
        <w:gridCol w:w="1043"/>
        <w:gridCol w:w="1043"/>
      </w:tblGrid>
      <w:tr w14:paraId="5A86EDD4">
        <w:tblPrEx>
          <w:tblCellMar>
            <w:top w:w="0" w:type="dxa"/>
            <w:left w:w="108" w:type="dxa"/>
            <w:bottom w:w="0" w:type="dxa"/>
            <w:right w:w="108" w:type="dxa"/>
          </w:tblCellMar>
        </w:tblPrEx>
        <w:trPr>
          <w:trHeight w:val="666" w:hRule="atLeast"/>
        </w:trPr>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5D70">
            <w:pPr>
              <w:jc w:val="center"/>
              <w:rPr>
                <w:b/>
                <w:bCs/>
              </w:rPr>
            </w:pPr>
            <w:r>
              <w:rPr>
                <w:b/>
                <w:bCs/>
              </w:rPr>
              <w:t>资源类型</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970D3">
            <w:pPr>
              <w:jc w:val="center"/>
              <w:rPr>
                <w:b/>
                <w:bCs/>
              </w:rPr>
            </w:pPr>
            <w:r>
              <w:rPr>
                <w:b/>
                <w:bCs/>
              </w:rPr>
              <w:t>资源名称</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8775">
            <w:pPr>
              <w:jc w:val="center"/>
              <w:rPr>
                <w:b/>
                <w:bCs/>
              </w:rPr>
            </w:pPr>
            <w:r>
              <w:rPr>
                <w:b/>
                <w:bCs/>
              </w:rPr>
              <w:t>资源</w:t>
            </w:r>
          </w:p>
          <w:p w14:paraId="4C370AB8">
            <w:pPr>
              <w:jc w:val="center"/>
              <w:rPr>
                <w:b/>
                <w:bCs/>
              </w:rPr>
            </w:pPr>
            <w:r>
              <w:rPr>
                <w:b/>
                <w:bCs/>
              </w:rPr>
              <w:t>说明</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88EEE">
            <w:pPr>
              <w:jc w:val="center"/>
              <w:rPr>
                <w:b/>
                <w:bCs/>
              </w:rPr>
            </w:pPr>
            <w:r>
              <w:rPr>
                <w:b/>
                <w:bCs/>
              </w:rPr>
              <w:t>资源核心（核）</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7E5AE">
            <w:pPr>
              <w:jc w:val="center"/>
              <w:rPr>
                <w:b/>
                <w:bCs/>
              </w:rPr>
            </w:pPr>
            <w:r>
              <w:rPr>
                <w:b/>
                <w:bCs/>
              </w:rPr>
              <w:t>资源内存(GB)</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2579">
            <w:pPr>
              <w:jc w:val="center"/>
              <w:rPr>
                <w:b/>
                <w:bCs/>
              </w:rPr>
            </w:pPr>
            <w:r>
              <w:rPr>
                <w:b/>
                <w:bCs/>
              </w:rPr>
              <w:t>存储数量(GB)</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4117">
            <w:pPr>
              <w:jc w:val="center"/>
              <w:rPr>
                <w:b/>
                <w:bCs/>
              </w:rPr>
            </w:pPr>
            <w:r>
              <w:rPr>
                <w:b/>
                <w:bCs/>
              </w:rPr>
              <w:t>资源数量(台)</w:t>
            </w:r>
          </w:p>
        </w:tc>
      </w:tr>
      <w:tr w14:paraId="72315398">
        <w:tblPrEx>
          <w:tblCellMar>
            <w:top w:w="0" w:type="dxa"/>
            <w:left w:w="108" w:type="dxa"/>
            <w:bottom w:w="0" w:type="dxa"/>
            <w:right w:w="108" w:type="dxa"/>
          </w:tblCellMar>
        </w:tblPrEx>
        <w:trPr>
          <w:trHeight w:val="90" w:hRule="atLeast"/>
        </w:trPr>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24776">
            <w:pPr>
              <w:jc w:val="center"/>
            </w:pPr>
            <w:r>
              <w:t>虚拟机</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BE07">
            <w:pPr>
              <w:jc w:val="center"/>
            </w:pPr>
            <w:r>
              <w:t>应用服务器</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5878E">
            <w:pPr>
              <w:jc w:val="center"/>
            </w:pPr>
            <w:r>
              <w:t>国产服务器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921B">
            <w:pPr>
              <w:jc w:val="center"/>
            </w:pPr>
            <w:r>
              <w:rPr>
                <w:rFonts w:hint="eastAsia"/>
              </w:rPr>
              <w:t>8</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1ADF9">
            <w:pPr>
              <w:jc w:val="center"/>
            </w:pPr>
            <w:r>
              <w:rPr>
                <w:rFonts w:hint="eastAsia"/>
              </w:rPr>
              <w:t>64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1459">
            <w:pPr>
              <w:jc w:val="center"/>
            </w:pPr>
            <w:r>
              <w:rPr>
                <w:rFonts w:hint="eastAsia"/>
              </w:rPr>
              <w:t>600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1013D">
            <w:pPr>
              <w:jc w:val="center"/>
            </w:pPr>
            <w:r>
              <w:rPr>
                <w:rFonts w:hint="eastAsia"/>
              </w:rPr>
              <w:t>4</w:t>
            </w:r>
          </w:p>
        </w:tc>
      </w:tr>
      <w:tr w14:paraId="543D9EC6">
        <w:tblPrEx>
          <w:tblCellMar>
            <w:top w:w="0" w:type="dxa"/>
            <w:left w:w="108" w:type="dxa"/>
            <w:bottom w:w="0" w:type="dxa"/>
            <w:right w:w="108" w:type="dxa"/>
          </w:tblCellMar>
        </w:tblPrEx>
        <w:trPr>
          <w:trHeight w:val="90" w:hRule="atLeast"/>
        </w:trPr>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A049">
            <w:pPr>
              <w:jc w:val="center"/>
            </w:pPr>
            <w:r>
              <w:rPr>
                <w:rFonts w:hint="eastAsia"/>
              </w:rPr>
              <w:t>虚拟机</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AC2AC">
            <w:pPr>
              <w:jc w:val="center"/>
            </w:pPr>
            <w:r>
              <w:rPr>
                <w:rFonts w:hint="eastAsia"/>
              </w:rPr>
              <w:t>文件服务器</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AE2E1">
            <w:pPr>
              <w:jc w:val="center"/>
            </w:pPr>
            <w:r>
              <w:rPr>
                <w:rFonts w:hint="eastAsia"/>
              </w:rPr>
              <w:t>国产服务器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EBE5E">
            <w:pPr>
              <w:jc w:val="center"/>
            </w:pPr>
            <w:r>
              <w:rPr>
                <w:rFonts w:hint="eastAsia"/>
              </w:rPr>
              <w:t>8</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8304">
            <w:pPr>
              <w:jc w:val="center"/>
            </w:pPr>
            <w:r>
              <w:rPr>
                <w:rFonts w:hint="eastAsia"/>
              </w:rPr>
              <w:t>64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EC60">
            <w:pPr>
              <w:jc w:val="center"/>
            </w:pPr>
            <w:r>
              <w:rPr>
                <w:rFonts w:hint="eastAsia"/>
              </w:rPr>
              <w:t>12000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7DF34">
            <w:pPr>
              <w:jc w:val="center"/>
            </w:pPr>
            <w:r>
              <w:rPr>
                <w:rFonts w:hint="eastAsia"/>
              </w:rPr>
              <w:t>1</w:t>
            </w:r>
          </w:p>
        </w:tc>
      </w:tr>
      <w:tr w14:paraId="43654384">
        <w:tblPrEx>
          <w:tblCellMar>
            <w:top w:w="0" w:type="dxa"/>
            <w:left w:w="108" w:type="dxa"/>
            <w:bottom w:w="0" w:type="dxa"/>
            <w:right w:w="108" w:type="dxa"/>
          </w:tblCellMar>
        </w:tblPrEx>
        <w:trPr>
          <w:trHeight w:val="380" w:hRule="atLeast"/>
        </w:trPr>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E3A3">
            <w:pPr>
              <w:jc w:val="center"/>
            </w:pPr>
            <w:r>
              <w:t>虚拟机</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C42F">
            <w:pPr>
              <w:jc w:val="center"/>
            </w:pPr>
            <w:r>
              <w:t>数据库服务器</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E91C">
            <w:pPr>
              <w:jc w:val="center"/>
            </w:pPr>
            <w:r>
              <w:t>国产服务器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2037B">
            <w:pPr>
              <w:jc w:val="center"/>
            </w:pPr>
            <w:r>
              <w:rPr>
                <w:rFonts w:hint="eastAsia"/>
              </w:rPr>
              <w:t>16</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506A7">
            <w:pPr>
              <w:jc w:val="center"/>
            </w:pPr>
            <w:r>
              <w:rPr>
                <w:rFonts w:hint="eastAsia"/>
              </w:rPr>
              <w:t>64</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1713F">
            <w:pPr>
              <w:jc w:val="center"/>
            </w:pPr>
            <w:r>
              <w:rPr>
                <w:rFonts w:hint="eastAsia"/>
              </w:rPr>
              <w:t>5000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58B7A">
            <w:pPr>
              <w:jc w:val="center"/>
            </w:pPr>
            <w:r>
              <w:rPr>
                <w:rFonts w:hint="eastAsia"/>
              </w:rPr>
              <w:t>2</w:t>
            </w:r>
          </w:p>
        </w:tc>
      </w:tr>
      <w:tr w14:paraId="4230697D">
        <w:tblPrEx>
          <w:tblCellMar>
            <w:top w:w="0" w:type="dxa"/>
            <w:left w:w="108" w:type="dxa"/>
            <w:bottom w:w="0" w:type="dxa"/>
            <w:right w:w="108" w:type="dxa"/>
          </w:tblCellMar>
        </w:tblPrEx>
        <w:trPr>
          <w:trHeight w:val="372" w:hRule="atLeast"/>
        </w:trPr>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ADB2">
            <w:pPr>
              <w:jc w:val="center"/>
            </w:pPr>
            <w:r>
              <w:rPr>
                <w:rFonts w:hint="eastAsia"/>
              </w:rPr>
              <w:t>虚拟机</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2B7E">
            <w:pPr>
              <w:jc w:val="center"/>
            </w:pPr>
            <w:r>
              <w:rPr>
                <w:rFonts w:hint="eastAsia"/>
              </w:rPr>
              <w:t>备份服务器</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EF451">
            <w:pPr>
              <w:jc w:val="center"/>
            </w:pPr>
            <w:r>
              <w:rPr>
                <w:rFonts w:hint="eastAsia"/>
              </w:rPr>
              <w:t>国产服务器</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8DF8">
            <w:pPr>
              <w:jc w:val="center"/>
            </w:pPr>
            <w:r>
              <w:rPr>
                <w:rFonts w:hint="eastAsia"/>
              </w:rPr>
              <w:t>4</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D08FF">
            <w:pPr>
              <w:jc w:val="center"/>
            </w:pPr>
            <w:r>
              <w:rPr>
                <w:rFonts w:hint="eastAsia"/>
              </w:rPr>
              <w:t>32</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D6C71">
            <w:pPr>
              <w:jc w:val="center"/>
            </w:pPr>
            <w:r>
              <w:rPr>
                <w:rFonts w:hint="eastAsia"/>
              </w:rPr>
              <w:t>20000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5D963">
            <w:pPr>
              <w:jc w:val="center"/>
            </w:pPr>
            <w:r>
              <w:rPr>
                <w:rFonts w:hint="eastAsia"/>
              </w:rPr>
              <w:t>1</w:t>
            </w:r>
          </w:p>
        </w:tc>
      </w:tr>
    </w:tbl>
    <w:p w14:paraId="1F0F672B">
      <w:pPr>
        <w:spacing w:line="360" w:lineRule="auto"/>
        <w:ind w:firstLine="480" w:firstLineChars="200"/>
      </w:pPr>
    </w:p>
    <w:p w14:paraId="39F96295">
      <w:pPr>
        <w:spacing w:line="360" w:lineRule="auto"/>
        <w:ind w:firstLine="480" w:firstLineChars="200"/>
      </w:pPr>
      <w:r>
        <w:rPr>
          <w:rFonts w:hint="eastAsia"/>
        </w:rPr>
        <w:t>2、本期项目规划市级系统、区级系统统一部署，部署主要环境包括4台应用服务器、1台文件服务器、2台数据库服务器、1台备份服务器。</w:t>
      </w:r>
    </w:p>
    <w:p w14:paraId="18956781">
      <w:pPr>
        <w:spacing w:line="360" w:lineRule="auto"/>
        <w:ind w:firstLine="480" w:firstLineChars="200"/>
      </w:pPr>
      <w:r>
        <w:rPr>
          <w:rFonts w:hint="eastAsia"/>
        </w:rPr>
        <w:t>3、结合上海市农业有害生物预警子系统实际业务需求及存储业务量，需配备38TB存储空间。支持存储系统与备份容灾软件整合，即一个界面即可对备份、存储、容灾等功能进行统一管理维护；在网络中的各类服务器中安装对应操作系统的备份软件客户端，分别从各类服务器中备份数据到备份一体机。</w:t>
      </w:r>
    </w:p>
    <w:p w14:paraId="1641CF65">
      <w:pPr>
        <w:pStyle w:val="3"/>
        <w:ind w:firstLine="480" w:firstLineChars="150"/>
      </w:pPr>
      <w:bookmarkStart w:id="12" w:name="_Toc63785503"/>
      <w:r>
        <w:rPr>
          <w:rFonts w:hint="eastAsia"/>
        </w:rPr>
        <w:t>其他工作要求</w:t>
      </w:r>
      <w:bookmarkEnd w:id="12"/>
    </w:p>
    <w:p w14:paraId="514E8FA6">
      <w:pPr>
        <w:spacing w:line="360" w:lineRule="auto"/>
        <w:ind w:firstLine="480" w:firstLineChars="200"/>
      </w:pPr>
      <w:r>
        <w:rPr>
          <w:rFonts w:hint="eastAsia"/>
        </w:rPr>
        <w:t>其他工作要求包含：售后服务、应急响应、培训、验收、进度控制、项目团队及人员要求、等级保护要求、技术文件要求等其他要求。其中，售后服务要求需明确本项目质保期和免维期，以及在质保期内供应商的运行维护服务内容；应急响应要求需明确发生各类系统故障时的处置方式；培训要求需明确培训的内容和方式；进度控制要求需明确项目建设周期和试运行阶段；项目团队及驻场人员要求需明确角色、主要职责、人数和人员要求，若本项目有驻场需求，还需明确驻场人员相关要求；等级保护要求需明确本项目是否按照等保2.0第三级进行建设；技术文件要求需明确投标人在建设和后续质保期内应提供的技术文件。</w:t>
      </w:r>
    </w:p>
    <w:p w14:paraId="0608C243">
      <w:pPr>
        <w:spacing w:line="360" w:lineRule="auto"/>
        <w:ind w:firstLine="480" w:firstLineChars="200"/>
      </w:pPr>
      <w:r>
        <w:rPr>
          <w:rFonts w:hint="eastAsia"/>
        </w:rPr>
        <w:t>上述服务要求若有必要，需明确相关时限和频次上的要求。</w:t>
      </w:r>
    </w:p>
    <w:p w14:paraId="4319E8B0">
      <w:pPr>
        <w:pStyle w:val="4"/>
        <w:ind w:firstLine="602"/>
      </w:pPr>
      <w:bookmarkStart w:id="13" w:name="_Toc63785505"/>
      <w:r>
        <w:rPr>
          <w:rFonts w:hint="eastAsia"/>
        </w:rPr>
        <w:t>售后服务要求</w:t>
      </w:r>
      <w:bookmarkEnd w:id="13"/>
    </w:p>
    <w:p w14:paraId="30BB57BB">
      <w:pPr>
        <w:pStyle w:val="13"/>
        <w:spacing w:line="360" w:lineRule="auto"/>
        <w:ind w:firstLine="480"/>
        <w:rPr>
          <w:rFonts w:ascii="宋体" w:hAnsi="宋体"/>
          <w:sz w:val="24"/>
          <w:szCs w:val="24"/>
        </w:rPr>
      </w:pPr>
      <w:r>
        <w:rPr>
          <w:rFonts w:hint="eastAsia" w:ascii="宋体" w:hAnsi="宋体"/>
          <w:sz w:val="24"/>
          <w:szCs w:val="24"/>
        </w:rPr>
        <w:t>质保期：1年。</w:t>
      </w:r>
    </w:p>
    <w:p w14:paraId="0C2065D3">
      <w:pPr>
        <w:pStyle w:val="13"/>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74500947">
      <w:pPr>
        <w:pStyle w:val="13"/>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1224D9D0">
      <w:pPr>
        <w:pStyle w:val="13"/>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在质量保证期内，供应商负责信息系统的运行维护工作，确保信息系统安全、稳定、可靠地运行。本项目涉及的运行维护工作范围为：上海市农业有害生物预警子系统功能。</w:t>
      </w:r>
    </w:p>
    <w:p w14:paraId="2F60AC18"/>
    <w:p w14:paraId="0A1FEF90">
      <w:pPr>
        <w:pStyle w:val="4"/>
        <w:ind w:firstLine="602"/>
      </w:pPr>
      <w:bookmarkStart w:id="14" w:name="_Toc63785506"/>
      <w:r>
        <w:rPr>
          <w:rFonts w:hint="eastAsia"/>
        </w:rPr>
        <w:t>应急响应要求</w:t>
      </w:r>
      <w:bookmarkEnd w:id="14"/>
    </w:p>
    <w:p w14:paraId="51776A48">
      <w:pPr>
        <w:pStyle w:val="13"/>
        <w:spacing w:line="360" w:lineRule="auto"/>
        <w:ind w:firstLine="480"/>
        <w:rPr>
          <w:rFonts w:ascii="宋体" w:hAnsi="宋体"/>
          <w:sz w:val="24"/>
          <w:szCs w:val="24"/>
        </w:rPr>
      </w:pPr>
      <w:bookmarkStart w:id="15" w:name="_Toc63785507"/>
      <w:r>
        <w:rPr>
          <w:rFonts w:hint="eastAsia" w:ascii="宋体" w:hAnsi="宋体"/>
          <w:sz w:val="24"/>
          <w:szCs w:val="24"/>
        </w:rPr>
        <w:t>供应商对系统故障应能够实时响应，若系统发生故障，接到通知后</w:t>
      </w:r>
      <w:r>
        <w:rPr>
          <w:rFonts w:ascii="宋体" w:hAnsi="宋体"/>
          <w:sz w:val="24"/>
          <w:szCs w:val="24"/>
        </w:rPr>
        <w:t>30分钟之内响应</w:t>
      </w:r>
      <w:r>
        <w:rPr>
          <w:rFonts w:hint="eastAsia" w:ascii="宋体" w:hAnsi="宋体" w:cs="宋体"/>
          <w:sz w:val="24"/>
          <w:szCs w:val="24"/>
        </w:rPr>
        <w:t>，一般情况16小时内解决故障，紧急情况24小时内到达故障现场处置</w:t>
      </w:r>
      <w:r>
        <w:rPr>
          <w:rFonts w:hint="eastAsia" w:ascii="宋体" w:hAnsi="宋体"/>
          <w:sz w:val="24"/>
          <w:szCs w:val="24"/>
        </w:rPr>
        <w:t>。特殊故障与客户沟通协商后，按照协商的方式制定解决方案并进行处理。</w:t>
      </w:r>
    </w:p>
    <w:p w14:paraId="5BE7DC1C">
      <w:pPr>
        <w:pStyle w:val="13"/>
        <w:spacing w:line="360" w:lineRule="auto"/>
        <w:ind w:firstLine="480"/>
        <w:rPr>
          <w:rFonts w:ascii="宋体" w:hAnsi="宋体"/>
          <w:sz w:val="24"/>
          <w:szCs w:val="24"/>
        </w:rPr>
      </w:pPr>
      <w:r>
        <w:rPr>
          <w:rFonts w:hint="eastAsia" w:ascii="宋体" w:hAnsi="宋体"/>
          <w:sz w:val="24"/>
          <w:szCs w:val="24"/>
        </w:rPr>
        <w:t>具体故障级别及对应的应急响应要求如下：</w:t>
      </w:r>
    </w:p>
    <w:p w14:paraId="3E943384">
      <w:pPr>
        <w:pStyle w:val="13"/>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w:t>
      </w:r>
      <w:r>
        <w:rPr>
          <w:rFonts w:hint="eastAsia" w:ascii="宋体" w:hAnsi="宋体"/>
          <w:sz w:val="24"/>
          <w:szCs w:val="24"/>
        </w:rPr>
        <w:t>4</w:t>
      </w:r>
      <w:r>
        <w:rPr>
          <w:rFonts w:ascii="宋体" w:hAnsi="宋体"/>
          <w:sz w:val="24"/>
          <w:szCs w:val="24"/>
        </w:rPr>
        <w:t>小时。</w:t>
      </w:r>
    </w:p>
    <w:p w14:paraId="46BE04AD">
      <w:pPr>
        <w:pStyle w:val="13"/>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2小时内确诊，总故障解决时间不超过</w:t>
      </w:r>
      <w:r>
        <w:rPr>
          <w:rFonts w:hint="eastAsia" w:ascii="宋体" w:hAnsi="宋体"/>
          <w:sz w:val="24"/>
          <w:szCs w:val="24"/>
        </w:rPr>
        <w:t>8</w:t>
      </w:r>
      <w:r>
        <w:rPr>
          <w:rFonts w:ascii="宋体" w:hAnsi="宋体"/>
          <w:sz w:val="24"/>
          <w:szCs w:val="24"/>
        </w:rPr>
        <w:t>小时；</w:t>
      </w:r>
    </w:p>
    <w:p w14:paraId="4C4736EA">
      <w:pPr>
        <w:pStyle w:val="13"/>
        <w:spacing w:line="360" w:lineRule="auto"/>
        <w:ind w:firstLine="480"/>
        <w:rPr>
          <w:rFonts w:ascii="宋体" w:hAnsi="宋体"/>
          <w:sz w:val="24"/>
          <w:szCs w:val="24"/>
        </w:rPr>
      </w:pPr>
      <w:r>
        <w:rPr>
          <w:rFonts w:hint="eastAsia" w:ascii="宋体" w:hAnsi="宋体"/>
          <w:sz w:val="24"/>
          <w:szCs w:val="24"/>
        </w:rPr>
        <w:t>三、四级故障：在4小时内确诊故障，总故障解决时间不超过16小时。</w:t>
      </w:r>
    </w:p>
    <w:p w14:paraId="31380F4B">
      <w:pPr>
        <w:pStyle w:val="4"/>
        <w:ind w:firstLine="602"/>
      </w:pPr>
      <w:r>
        <w:rPr>
          <w:rFonts w:hint="eastAsia"/>
        </w:rPr>
        <w:t>培训要求</w:t>
      </w:r>
      <w:bookmarkEnd w:id="15"/>
    </w:p>
    <w:p w14:paraId="6C55F157">
      <w:pPr>
        <w:pStyle w:val="13"/>
        <w:spacing w:line="360" w:lineRule="auto"/>
        <w:ind w:firstLine="480"/>
        <w:rPr>
          <w:rFonts w:ascii="宋体" w:hAnsi="宋体"/>
          <w:sz w:val="24"/>
          <w:szCs w:val="24"/>
        </w:rPr>
      </w:pPr>
      <w:r>
        <w:rPr>
          <w:rFonts w:hint="eastAsia" w:ascii="宋体" w:hAnsi="宋体"/>
          <w:sz w:val="24"/>
          <w:szCs w:val="24"/>
        </w:rPr>
        <w:t>投标人负责对采购人相关部门及指定的用户进行培训。投标人须根据项目实施的进度及时安排培训和授课。培训的主要内容应侧重于对系统的使用及系统的基本维护、常见问题及解决办法等方面，并提供实践性的操作，使受训者熟悉系统设计的思路，掌握系统的操作和维护等。投标人须制定详细的培训计划，明确培训目标、培训方式、参训人员、课程内容、时间、场地等相关安排。</w:t>
      </w:r>
    </w:p>
    <w:p w14:paraId="0824930A">
      <w:pPr>
        <w:pStyle w:val="4"/>
        <w:ind w:firstLine="602"/>
      </w:pPr>
      <w:bookmarkStart w:id="16" w:name="_Toc63785509"/>
      <w:r>
        <w:rPr>
          <w:rFonts w:hint="eastAsia"/>
        </w:rPr>
        <w:t>进度要求</w:t>
      </w:r>
      <w:bookmarkEnd w:id="16"/>
    </w:p>
    <w:p w14:paraId="1DC2FE27">
      <w:pPr>
        <w:pStyle w:val="13"/>
        <w:spacing w:line="360" w:lineRule="auto"/>
        <w:ind w:firstLine="480"/>
        <w:rPr>
          <w:rFonts w:hint="eastAsia" w:ascii="宋体" w:hAnsi="宋体"/>
          <w:sz w:val="24"/>
          <w:szCs w:val="24"/>
        </w:rPr>
      </w:pPr>
      <w:r>
        <w:rPr>
          <w:rFonts w:hint="eastAsia" w:ascii="宋体" w:hAnsi="宋体"/>
          <w:sz w:val="24"/>
          <w:szCs w:val="24"/>
        </w:rPr>
        <w:t>投标人应根据建设内容，分阶段制定合理的时间进度，并且应根据招标方要求进行调整和细化。</w:t>
      </w:r>
    </w:p>
    <w:p w14:paraId="0FC0A969">
      <w:pPr>
        <w:pStyle w:val="13"/>
        <w:spacing w:line="360" w:lineRule="auto"/>
        <w:ind w:firstLine="480"/>
        <w:rPr>
          <w:rFonts w:hint="eastAsia" w:ascii="宋体" w:hAnsi="宋体"/>
          <w:sz w:val="24"/>
          <w:szCs w:val="24"/>
        </w:rPr>
      </w:pPr>
      <w:r>
        <w:rPr>
          <w:rFonts w:hint="eastAsia" w:ascii="宋体" w:hAnsi="宋体"/>
          <w:sz w:val="24"/>
          <w:szCs w:val="24"/>
        </w:rPr>
        <w:t>合同签订后，于2025年10月31日前完成应用软件开发并经验收合格。</w:t>
      </w:r>
      <w:bookmarkStart w:id="21" w:name="_GoBack"/>
      <w:bookmarkEnd w:id="21"/>
    </w:p>
    <w:p w14:paraId="139E57DB"/>
    <w:p w14:paraId="2965CB7F">
      <w:pPr>
        <w:pStyle w:val="4"/>
        <w:ind w:firstLine="602"/>
      </w:pPr>
      <w:bookmarkStart w:id="17" w:name="_Toc63785510"/>
      <w:r>
        <w:rPr>
          <w:rFonts w:hint="eastAsia"/>
        </w:rPr>
        <w:t>项目团队及驻场人员要求</w:t>
      </w:r>
      <w:bookmarkEnd w:id="17"/>
    </w:p>
    <w:p w14:paraId="6F211B50">
      <w:pPr>
        <w:pStyle w:val="13"/>
        <w:spacing w:line="360" w:lineRule="auto"/>
        <w:ind w:firstLine="480"/>
        <w:rPr>
          <w:rFonts w:ascii="宋体" w:hAnsi="宋体"/>
          <w:sz w:val="24"/>
          <w:szCs w:val="24"/>
        </w:rPr>
      </w:pPr>
      <w:r>
        <w:rPr>
          <w:rFonts w:hint="eastAsia" w:ascii="宋体" w:hAnsi="宋体"/>
          <w:sz w:val="24"/>
          <w:szCs w:val="24"/>
        </w:rPr>
        <w:t>1）投标人须具有稳定的在职技术保障力量，能够提供及时的技术支援或服务，投标人拟投入本项目的项目组负责人具有信息系统项目管理师（高级）证书的</w:t>
      </w:r>
      <w:r>
        <w:rPr>
          <w:rFonts w:hint="eastAsia" w:ascii="宋体" w:hAnsi="宋体"/>
          <w:sz w:val="24"/>
          <w:szCs w:val="24"/>
          <w:lang w:eastAsia="zh-CN"/>
        </w:rPr>
        <w:t>；</w:t>
      </w:r>
      <w:r>
        <w:rPr>
          <w:rFonts w:hint="eastAsia" w:ascii="宋体" w:hAnsi="宋体"/>
          <w:sz w:val="24"/>
          <w:szCs w:val="24"/>
        </w:rPr>
        <w:t>项目团队（含项目经理）不少于8人，且其中不少于1人具有计算机技术与软件专业技术资格（水平）考试高级（即软考高级）证书。</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931"/>
        <w:gridCol w:w="1235"/>
        <w:gridCol w:w="1766"/>
        <w:gridCol w:w="1180"/>
      </w:tblGrid>
      <w:tr w14:paraId="6C61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EB3B72E">
            <w:pPr>
              <w:jc w:val="center"/>
              <w:rPr>
                <w:b/>
                <w:bCs/>
              </w:rPr>
            </w:pPr>
            <w:r>
              <w:rPr>
                <w:rFonts w:hint="eastAsia"/>
                <w:b/>
                <w:bCs/>
              </w:rPr>
              <w:t>角色</w:t>
            </w:r>
          </w:p>
        </w:tc>
        <w:tc>
          <w:tcPr>
            <w:tcW w:w="2931" w:type="dxa"/>
            <w:shd w:val="clear" w:color="auto" w:fill="auto"/>
            <w:noWrap/>
            <w:vAlign w:val="center"/>
          </w:tcPr>
          <w:p w14:paraId="610AD0CB">
            <w:pPr>
              <w:jc w:val="center"/>
              <w:rPr>
                <w:b/>
                <w:bCs/>
              </w:rPr>
            </w:pPr>
            <w:r>
              <w:rPr>
                <w:rFonts w:hint="eastAsia"/>
                <w:b/>
                <w:bCs/>
              </w:rPr>
              <w:t>主要职责</w:t>
            </w:r>
          </w:p>
        </w:tc>
        <w:tc>
          <w:tcPr>
            <w:tcW w:w="1235" w:type="dxa"/>
            <w:shd w:val="clear" w:color="auto" w:fill="auto"/>
            <w:noWrap/>
            <w:vAlign w:val="center"/>
          </w:tcPr>
          <w:p w14:paraId="227523C3">
            <w:pPr>
              <w:jc w:val="center"/>
              <w:rPr>
                <w:b/>
                <w:bCs/>
              </w:rPr>
            </w:pPr>
            <w:r>
              <w:rPr>
                <w:rFonts w:hint="eastAsia"/>
                <w:b/>
                <w:bCs/>
              </w:rPr>
              <w:t>人员数量</w:t>
            </w:r>
          </w:p>
        </w:tc>
        <w:tc>
          <w:tcPr>
            <w:tcW w:w="0" w:type="auto"/>
            <w:vAlign w:val="center"/>
          </w:tcPr>
          <w:p w14:paraId="461DF0D8">
            <w:pPr>
              <w:jc w:val="center"/>
              <w:rPr>
                <w:b/>
                <w:bCs/>
              </w:rPr>
            </w:pPr>
            <w:r>
              <w:rPr>
                <w:rFonts w:hint="eastAsia"/>
                <w:b/>
                <w:bCs/>
              </w:rPr>
              <w:t>人员要求</w:t>
            </w:r>
          </w:p>
        </w:tc>
        <w:tc>
          <w:tcPr>
            <w:tcW w:w="0" w:type="auto"/>
            <w:shd w:val="clear" w:color="auto" w:fill="auto"/>
            <w:noWrap/>
            <w:vAlign w:val="center"/>
          </w:tcPr>
          <w:p w14:paraId="710C9049">
            <w:pPr>
              <w:jc w:val="center"/>
              <w:rPr>
                <w:b/>
                <w:bCs/>
              </w:rPr>
            </w:pPr>
            <w:r>
              <w:rPr>
                <w:rFonts w:hint="eastAsia"/>
                <w:b/>
                <w:bCs/>
              </w:rPr>
              <w:t>驻场要求</w:t>
            </w:r>
          </w:p>
        </w:tc>
      </w:tr>
      <w:tr w14:paraId="28B1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5281885">
            <w:pPr>
              <w:jc w:val="center"/>
            </w:pPr>
            <w:r>
              <w:rPr>
                <w:rFonts w:hint="eastAsia"/>
              </w:rPr>
              <w:t>项目经理</w:t>
            </w:r>
          </w:p>
        </w:tc>
        <w:tc>
          <w:tcPr>
            <w:tcW w:w="2931" w:type="dxa"/>
            <w:shd w:val="clear" w:color="auto" w:fill="auto"/>
            <w:vAlign w:val="center"/>
          </w:tcPr>
          <w:p w14:paraId="1FEC1B15">
            <w:pPr>
              <w:jc w:val="center"/>
            </w:pPr>
            <w:r>
              <w:rPr>
                <w:rFonts w:hint="eastAsia"/>
              </w:rPr>
              <w:t>负责项目质量和进度控制</w:t>
            </w:r>
          </w:p>
        </w:tc>
        <w:tc>
          <w:tcPr>
            <w:tcW w:w="1235" w:type="dxa"/>
            <w:shd w:val="clear" w:color="auto" w:fill="auto"/>
            <w:noWrap/>
            <w:vAlign w:val="center"/>
          </w:tcPr>
          <w:p w14:paraId="31D0E43B">
            <w:pPr>
              <w:jc w:val="center"/>
            </w:pPr>
            <w:r>
              <w:rPr>
                <w:rFonts w:hint="eastAsia"/>
              </w:rPr>
              <w:t>1人</w:t>
            </w:r>
          </w:p>
        </w:tc>
        <w:tc>
          <w:tcPr>
            <w:tcW w:w="0" w:type="auto"/>
            <w:vAlign w:val="center"/>
          </w:tcPr>
          <w:p w14:paraId="3B8082F5">
            <w:pPr>
              <w:jc w:val="center"/>
            </w:pPr>
            <w:r>
              <w:rPr>
                <w:rFonts w:hint="eastAsia" w:asciiTheme="minorEastAsia" w:hAnsiTheme="minorEastAsia"/>
              </w:rPr>
              <w:t>具备信息系统项目管理师（高级）证书</w:t>
            </w:r>
          </w:p>
        </w:tc>
        <w:tc>
          <w:tcPr>
            <w:tcW w:w="0" w:type="auto"/>
            <w:shd w:val="clear" w:color="auto" w:fill="auto"/>
            <w:noWrap/>
            <w:vAlign w:val="center"/>
          </w:tcPr>
          <w:p w14:paraId="7A65D192">
            <w:pPr>
              <w:jc w:val="center"/>
            </w:pPr>
            <w:r>
              <w:rPr>
                <w:rFonts w:hint="eastAsia"/>
              </w:rPr>
              <w:t>不驻场</w:t>
            </w:r>
          </w:p>
        </w:tc>
      </w:tr>
      <w:tr w14:paraId="4EE8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4F0395F">
            <w:pPr>
              <w:jc w:val="center"/>
            </w:pPr>
            <w:r>
              <w:rPr>
                <w:rFonts w:hint="eastAsia"/>
              </w:rPr>
              <w:t>产品经理</w:t>
            </w:r>
          </w:p>
        </w:tc>
        <w:tc>
          <w:tcPr>
            <w:tcW w:w="2931" w:type="dxa"/>
            <w:shd w:val="clear" w:color="auto" w:fill="auto"/>
            <w:vAlign w:val="center"/>
          </w:tcPr>
          <w:p w14:paraId="70079A8E">
            <w:pPr>
              <w:jc w:val="center"/>
            </w:pPr>
            <w:r>
              <w:rPr>
                <w:rFonts w:hint="eastAsia"/>
              </w:rPr>
              <w:t>负责项目需求评估与产品设计</w:t>
            </w:r>
          </w:p>
        </w:tc>
        <w:tc>
          <w:tcPr>
            <w:tcW w:w="1235" w:type="dxa"/>
            <w:shd w:val="clear" w:color="auto" w:fill="auto"/>
            <w:noWrap/>
            <w:vAlign w:val="center"/>
          </w:tcPr>
          <w:p w14:paraId="430D8915">
            <w:pPr>
              <w:jc w:val="center"/>
            </w:pPr>
            <w:r>
              <w:rPr>
                <w:rFonts w:hint="eastAsia"/>
              </w:rPr>
              <w:t>1人</w:t>
            </w:r>
          </w:p>
        </w:tc>
        <w:tc>
          <w:tcPr>
            <w:tcW w:w="0" w:type="auto"/>
            <w:shd w:val="clear" w:color="auto" w:fill="auto"/>
            <w:vAlign w:val="center"/>
          </w:tcPr>
          <w:p w14:paraId="7647E2A6">
            <w:pPr>
              <w:jc w:val="center"/>
            </w:pPr>
          </w:p>
        </w:tc>
        <w:tc>
          <w:tcPr>
            <w:tcW w:w="0" w:type="auto"/>
            <w:shd w:val="clear" w:color="auto" w:fill="auto"/>
            <w:noWrap/>
            <w:vAlign w:val="center"/>
          </w:tcPr>
          <w:p w14:paraId="635A1985">
            <w:pPr>
              <w:jc w:val="center"/>
            </w:pPr>
            <w:r>
              <w:rPr>
                <w:rFonts w:hint="eastAsia"/>
              </w:rPr>
              <w:t>不驻场</w:t>
            </w:r>
          </w:p>
        </w:tc>
      </w:tr>
      <w:tr w14:paraId="6C47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19C91EB">
            <w:pPr>
              <w:jc w:val="center"/>
            </w:pPr>
            <w:r>
              <w:rPr>
                <w:rFonts w:hint="eastAsia"/>
              </w:rPr>
              <w:t>技术负责人</w:t>
            </w:r>
          </w:p>
        </w:tc>
        <w:tc>
          <w:tcPr>
            <w:tcW w:w="2931" w:type="dxa"/>
            <w:shd w:val="clear" w:color="auto" w:fill="auto"/>
            <w:vAlign w:val="center"/>
          </w:tcPr>
          <w:p w14:paraId="1F1ECE08">
            <w:pPr>
              <w:jc w:val="center"/>
            </w:pPr>
            <w:r>
              <w:rPr>
                <w:rFonts w:hint="eastAsia"/>
              </w:rPr>
              <w:t>负责项目系统技术架构设计与选型</w:t>
            </w:r>
          </w:p>
        </w:tc>
        <w:tc>
          <w:tcPr>
            <w:tcW w:w="1235" w:type="dxa"/>
            <w:shd w:val="clear" w:color="auto" w:fill="auto"/>
            <w:noWrap/>
            <w:vAlign w:val="center"/>
          </w:tcPr>
          <w:p w14:paraId="26E5CCFD">
            <w:pPr>
              <w:jc w:val="center"/>
            </w:pPr>
            <w:r>
              <w:rPr>
                <w:rFonts w:hint="eastAsia"/>
              </w:rPr>
              <w:t>1人</w:t>
            </w:r>
          </w:p>
        </w:tc>
        <w:tc>
          <w:tcPr>
            <w:tcW w:w="0" w:type="auto"/>
            <w:shd w:val="clear" w:color="auto" w:fill="auto"/>
            <w:vAlign w:val="center"/>
          </w:tcPr>
          <w:p w14:paraId="249E9105">
            <w:pPr>
              <w:jc w:val="center"/>
            </w:pPr>
          </w:p>
        </w:tc>
        <w:tc>
          <w:tcPr>
            <w:tcW w:w="0" w:type="auto"/>
            <w:shd w:val="clear" w:color="auto" w:fill="auto"/>
            <w:noWrap/>
            <w:vAlign w:val="center"/>
          </w:tcPr>
          <w:p w14:paraId="7E6B5259">
            <w:pPr>
              <w:jc w:val="center"/>
            </w:pPr>
            <w:r>
              <w:rPr>
                <w:rFonts w:hint="eastAsia"/>
              </w:rPr>
              <w:t>不驻场</w:t>
            </w:r>
          </w:p>
        </w:tc>
      </w:tr>
      <w:tr w14:paraId="5601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69F7E3B">
            <w:pPr>
              <w:jc w:val="center"/>
            </w:pPr>
            <w:r>
              <w:rPr>
                <w:rFonts w:hint="eastAsia"/>
              </w:rPr>
              <w:t>研发</w:t>
            </w:r>
          </w:p>
        </w:tc>
        <w:tc>
          <w:tcPr>
            <w:tcW w:w="2931" w:type="dxa"/>
            <w:shd w:val="clear" w:color="auto" w:fill="auto"/>
            <w:noWrap/>
            <w:vAlign w:val="center"/>
          </w:tcPr>
          <w:p w14:paraId="189A37AB">
            <w:pPr>
              <w:jc w:val="center"/>
            </w:pPr>
            <w:r>
              <w:rPr>
                <w:rFonts w:hint="eastAsia"/>
              </w:rPr>
              <w:t>负责项目具体开发与实施</w:t>
            </w:r>
          </w:p>
        </w:tc>
        <w:tc>
          <w:tcPr>
            <w:tcW w:w="1235" w:type="dxa"/>
            <w:shd w:val="clear" w:color="auto" w:fill="auto"/>
            <w:noWrap/>
            <w:vAlign w:val="center"/>
          </w:tcPr>
          <w:p w14:paraId="45DD7B59">
            <w:pPr>
              <w:jc w:val="center"/>
            </w:pPr>
            <w:r>
              <w:rPr>
                <w:rFonts w:hint="eastAsia"/>
              </w:rPr>
              <w:t>5人</w:t>
            </w:r>
          </w:p>
        </w:tc>
        <w:tc>
          <w:tcPr>
            <w:tcW w:w="0" w:type="auto"/>
            <w:vAlign w:val="center"/>
          </w:tcPr>
          <w:p w14:paraId="3DCA05DC">
            <w:pPr>
              <w:jc w:val="center"/>
            </w:pPr>
          </w:p>
        </w:tc>
        <w:tc>
          <w:tcPr>
            <w:tcW w:w="0" w:type="auto"/>
            <w:shd w:val="clear" w:color="auto" w:fill="auto"/>
            <w:noWrap/>
            <w:vAlign w:val="center"/>
          </w:tcPr>
          <w:p w14:paraId="4CC62D79">
            <w:pPr>
              <w:jc w:val="center"/>
            </w:pPr>
            <w:r>
              <w:rPr>
                <w:rFonts w:hint="eastAsia"/>
              </w:rPr>
              <w:t>不驻场</w:t>
            </w:r>
          </w:p>
        </w:tc>
      </w:tr>
    </w:tbl>
    <w:p w14:paraId="1F9F8C7D">
      <w:pPr>
        <w:pStyle w:val="13"/>
        <w:spacing w:line="360" w:lineRule="auto"/>
        <w:ind w:firstLine="480"/>
        <w:rPr>
          <w:rFonts w:ascii="宋体" w:hAnsi="宋体"/>
          <w:sz w:val="24"/>
          <w:szCs w:val="24"/>
        </w:rPr>
      </w:pPr>
    </w:p>
    <w:p w14:paraId="577E2FC4">
      <w:pPr>
        <w:pStyle w:val="13"/>
        <w:spacing w:line="360" w:lineRule="auto"/>
        <w:ind w:firstLine="480"/>
        <w:rPr>
          <w:rFonts w:ascii="宋体" w:hAnsi="宋体"/>
          <w:sz w:val="24"/>
          <w:szCs w:val="24"/>
        </w:rPr>
      </w:pPr>
      <w:r>
        <w:rPr>
          <w:rFonts w:hint="eastAsia" w:ascii="宋体" w:hAnsi="宋体"/>
          <w:sz w:val="24"/>
          <w:szCs w:val="24"/>
        </w:rPr>
        <w:t>2）投标人应针对本项目提供不少于3人的质保期间支撑团队（其中项目经理1人，产品经理1人，技术工程师不少于1人）；投标人的相关服务人员需具备相应的服务能力，需提供相关证明（最近一个季度依法缴纳社保费的证明）。</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918"/>
        <w:gridCol w:w="1234"/>
        <w:gridCol w:w="1784"/>
        <w:gridCol w:w="1176"/>
      </w:tblGrid>
      <w:tr w14:paraId="153D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16" w:type="dxa"/>
            <w:shd w:val="clear" w:color="auto" w:fill="auto"/>
            <w:noWrap/>
            <w:vAlign w:val="center"/>
          </w:tcPr>
          <w:p w14:paraId="3AC479A0">
            <w:pPr>
              <w:jc w:val="center"/>
              <w:rPr>
                <w:b/>
                <w:bCs/>
              </w:rPr>
            </w:pPr>
            <w:r>
              <w:rPr>
                <w:rFonts w:hint="eastAsia"/>
                <w:b/>
                <w:bCs/>
              </w:rPr>
              <w:t>角色</w:t>
            </w:r>
          </w:p>
        </w:tc>
        <w:tc>
          <w:tcPr>
            <w:tcW w:w="2918" w:type="dxa"/>
            <w:shd w:val="clear" w:color="auto" w:fill="auto"/>
            <w:noWrap/>
            <w:vAlign w:val="center"/>
          </w:tcPr>
          <w:p w14:paraId="01218BCC">
            <w:pPr>
              <w:jc w:val="center"/>
              <w:rPr>
                <w:b/>
                <w:bCs/>
              </w:rPr>
            </w:pPr>
            <w:r>
              <w:rPr>
                <w:rFonts w:hint="eastAsia"/>
                <w:b/>
                <w:bCs/>
              </w:rPr>
              <w:t>主要职责</w:t>
            </w:r>
          </w:p>
        </w:tc>
        <w:tc>
          <w:tcPr>
            <w:tcW w:w="1234" w:type="dxa"/>
            <w:shd w:val="clear" w:color="auto" w:fill="auto"/>
            <w:noWrap/>
            <w:vAlign w:val="center"/>
          </w:tcPr>
          <w:p w14:paraId="26B086A8">
            <w:pPr>
              <w:jc w:val="center"/>
              <w:rPr>
                <w:b/>
                <w:bCs/>
              </w:rPr>
            </w:pPr>
            <w:r>
              <w:rPr>
                <w:rFonts w:hint="eastAsia"/>
                <w:b/>
                <w:bCs/>
              </w:rPr>
              <w:t>人员数量</w:t>
            </w:r>
          </w:p>
        </w:tc>
        <w:tc>
          <w:tcPr>
            <w:tcW w:w="1784" w:type="dxa"/>
            <w:vAlign w:val="center"/>
          </w:tcPr>
          <w:p w14:paraId="142B933C">
            <w:pPr>
              <w:jc w:val="center"/>
              <w:rPr>
                <w:b/>
                <w:bCs/>
              </w:rPr>
            </w:pPr>
            <w:r>
              <w:rPr>
                <w:rFonts w:hint="eastAsia"/>
                <w:b/>
                <w:bCs/>
              </w:rPr>
              <w:t>人员要求</w:t>
            </w:r>
          </w:p>
        </w:tc>
        <w:tc>
          <w:tcPr>
            <w:tcW w:w="1176" w:type="dxa"/>
            <w:shd w:val="clear" w:color="auto" w:fill="auto"/>
            <w:noWrap/>
            <w:vAlign w:val="center"/>
          </w:tcPr>
          <w:p w14:paraId="3B7CA6F6">
            <w:pPr>
              <w:jc w:val="center"/>
              <w:rPr>
                <w:b/>
                <w:bCs/>
              </w:rPr>
            </w:pPr>
            <w:r>
              <w:rPr>
                <w:rFonts w:hint="eastAsia"/>
                <w:b/>
                <w:bCs/>
              </w:rPr>
              <w:t>驻场要求</w:t>
            </w:r>
          </w:p>
        </w:tc>
      </w:tr>
      <w:tr w14:paraId="00F0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73251924">
            <w:pPr>
              <w:jc w:val="center"/>
            </w:pPr>
            <w:r>
              <w:rPr>
                <w:rFonts w:hint="eastAsia"/>
              </w:rPr>
              <w:t>项目经理</w:t>
            </w:r>
          </w:p>
        </w:tc>
        <w:tc>
          <w:tcPr>
            <w:tcW w:w="2918" w:type="dxa"/>
            <w:shd w:val="clear" w:color="auto" w:fill="auto"/>
            <w:vAlign w:val="center"/>
          </w:tcPr>
          <w:p w14:paraId="23C4B6E0">
            <w:pPr>
              <w:jc w:val="center"/>
            </w:pPr>
            <w:r>
              <w:rPr>
                <w:rFonts w:hint="eastAsia"/>
              </w:rPr>
              <w:t>负责项目质量和进度控制</w:t>
            </w:r>
          </w:p>
        </w:tc>
        <w:tc>
          <w:tcPr>
            <w:tcW w:w="1234" w:type="dxa"/>
            <w:shd w:val="clear" w:color="auto" w:fill="auto"/>
            <w:noWrap/>
            <w:vAlign w:val="center"/>
          </w:tcPr>
          <w:p w14:paraId="1F001681">
            <w:pPr>
              <w:jc w:val="center"/>
            </w:pPr>
            <w:r>
              <w:rPr>
                <w:rFonts w:hint="eastAsia"/>
              </w:rPr>
              <w:t>1人</w:t>
            </w:r>
          </w:p>
        </w:tc>
        <w:tc>
          <w:tcPr>
            <w:tcW w:w="1784" w:type="dxa"/>
            <w:vAlign w:val="center"/>
          </w:tcPr>
          <w:p w14:paraId="00570337">
            <w:pPr>
              <w:jc w:val="center"/>
            </w:pPr>
            <w:r>
              <w:rPr>
                <w:rFonts w:hint="eastAsia" w:asciiTheme="minorEastAsia" w:hAnsiTheme="minorEastAsia"/>
              </w:rPr>
              <w:t>具备信息系统项目管理师（高级）证书</w:t>
            </w:r>
          </w:p>
        </w:tc>
        <w:tc>
          <w:tcPr>
            <w:tcW w:w="1176" w:type="dxa"/>
            <w:shd w:val="clear" w:color="auto" w:fill="auto"/>
            <w:noWrap/>
            <w:vAlign w:val="center"/>
          </w:tcPr>
          <w:p w14:paraId="284B426D">
            <w:pPr>
              <w:jc w:val="center"/>
            </w:pPr>
            <w:r>
              <w:rPr>
                <w:rFonts w:hint="eastAsia"/>
              </w:rPr>
              <w:t>不驻场</w:t>
            </w:r>
          </w:p>
        </w:tc>
      </w:tr>
      <w:tr w14:paraId="0784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16" w:type="dxa"/>
            <w:shd w:val="clear" w:color="auto" w:fill="auto"/>
            <w:noWrap/>
            <w:vAlign w:val="center"/>
          </w:tcPr>
          <w:p w14:paraId="59B3CD0A">
            <w:pPr>
              <w:jc w:val="center"/>
            </w:pPr>
            <w:r>
              <w:rPr>
                <w:rFonts w:hint="eastAsia"/>
              </w:rPr>
              <w:t>产品经理</w:t>
            </w:r>
          </w:p>
        </w:tc>
        <w:tc>
          <w:tcPr>
            <w:tcW w:w="2918" w:type="dxa"/>
            <w:shd w:val="clear" w:color="auto" w:fill="auto"/>
            <w:vAlign w:val="center"/>
          </w:tcPr>
          <w:p w14:paraId="0552DA14">
            <w:pPr>
              <w:jc w:val="center"/>
            </w:pPr>
            <w:r>
              <w:rPr>
                <w:rFonts w:hint="eastAsia"/>
              </w:rPr>
              <w:t>负责项目需求评估与产品设计</w:t>
            </w:r>
          </w:p>
        </w:tc>
        <w:tc>
          <w:tcPr>
            <w:tcW w:w="1234" w:type="dxa"/>
            <w:shd w:val="clear" w:color="auto" w:fill="auto"/>
            <w:noWrap/>
            <w:vAlign w:val="center"/>
          </w:tcPr>
          <w:p w14:paraId="3D32FE21">
            <w:pPr>
              <w:jc w:val="center"/>
            </w:pPr>
            <w:r>
              <w:rPr>
                <w:rFonts w:hint="eastAsia"/>
              </w:rPr>
              <w:t>1人</w:t>
            </w:r>
          </w:p>
        </w:tc>
        <w:tc>
          <w:tcPr>
            <w:tcW w:w="1784" w:type="dxa"/>
            <w:vAlign w:val="center"/>
          </w:tcPr>
          <w:p w14:paraId="70FF6529">
            <w:pPr>
              <w:jc w:val="center"/>
            </w:pPr>
          </w:p>
        </w:tc>
        <w:tc>
          <w:tcPr>
            <w:tcW w:w="1176" w:type="dxa"/>
            <w:shd w:val="clear" w:color="auto" w:fill="auto"/>
            <w:noWrap/>
            <w:vAlign w:val="center"/>
          </w:tcPr>
          <w:p w14:paraId="130809DD">
            <w:pPr>
              <w:jc w:val="center"/>
            </w:pPr>
            <w:r>
              <w:rPr>
                <w:rFonts w:hint="eastAsia"/>
              </w:rPr>
              <w:t>不驻场</w:t>
            </w:r>
          </w:p>
        </w:tc>
      </w:tr>
      <w:tr w14:paraId="17D9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2128939A">
            <w:pPr>
              <w:jc w:val="center"/>
            </w:pPr>
            <w:r>
              <w:rPr>
                <w:rFonts w:hint="eastAsia"/>
              </w:rPr>
              <w:t>技术工程师</w:t>
            </w:r>
          </w:p>
        </w:tc>
        <w:tc>
          <w:tcPr>
            <w:tcW w:w="2918" w:type="dxa"/>
            <w:shd w:val="clear" w:color="auto" w:fill="auto"/>
            <w:noWrap/>
            <w:vAlign w:val="center"/>
          </w:tcPr>
          <w:p w14:paraId="0EEC0120">
            <w:pPr>
              <w:jc w:val="center"/>
            </w:pPr>
            <w:r>
              <w:rPr>
                <w:rFonts w:hint="eastAsia"/>
              </w:rPr>
              <w:t>负责项目运行维护</w:t>
            </w:r>
          </w:p>
        </w:tc>
        <w:tc>
          <w:tcPr>
            <w:tcW w:w="1234" w:type="dxa"/>
            <w:shd w:val="clear" w:color="auto" w:fill="auto"/>
            <w:noWrap/>
            <w:vAlign w:val="center"/>
          </w:tcPr>
          <w:p w14:paraId="5D7628DF">
            <w:pPr>
              <w:jc w:val="center"/>
            </w:pPr>
            <w:r>
              <w:rPr>
                <w:rFonts w:hint="eastAsia"/>
              </w:rPr>
              <w:t>1人</w:t>
            </w:r>
          </w:p>
        </w:tc>
        <w:tc>
          <w:tcPr>
            <w:tcW w:w="1784" w:type="dxa"/>
            <w:vAlign w:val="center"/>
          </w:tcPr>
          <w:p w14:paraId="2BBD3273">
            <w:pPr>
              <w:jc w:val="center"/>
            </w:pPr>
          </w:p>
        </w:tc>
        <w:tc>
          <w:tcPr>
            <w:tcW w:w="1176" w:type="dxa"/>
            <w:shd w:val="clear" w:color="auto" w:fill="auto"/>
            <w:noWrap/>
            <w:vAlign w:val="center"/>
          </w:tcPr>
          <w:p w14:paraId="59BDEE0B">
            <w:pPr>
              <w:jc w:val="center"/>
            </w:pPr>
            <w:r>
              <w:rPr>
                <w:rFonts w:hint="eastAsia"/>
              </w:rPr>
              <w:t>不驻场</w:t>
            </w:r>
          </w:p>
        </w:tc>
      </w:tr>
    </w:tbl>
    <w:p w14:paraId="06B74642">
      <w:pPr>
        <w:pStyle w:val="4"/>
        <w:numPr>
          <w:ilvl w:val="1"/>
          <w:numId w:val="0"/>
        </w:numPr>
        <w:ind w:left="0" w:leftChars="0" w:firstLine="480" w:firstLineChars="200"/>
        <w:rPr>
          <w:rFonts w:hint="eastAsia" w:ascii="宋体" w:hAnsi="宋体" w:eastAsia="宋体" w:cs="Times New Roman"/>
          <w:b w:val="0"/>
          <w:bCs w:val="0"/>
          <w:kern w:val="2"/>
          <w:sz w:val="24"/>
          <w:szCs w:val="24"/>
          <w:lang w:val="en-US" w:eastAsia="zh-CN" w:bidi="ar-SA"/>
        </w:rPr>
      </w:pPr>
      <w:bookmarkStart w:id="18" w:name="_Toc63785511"/>
      <w:r>
        <w:rPr>
          <w:rFonts w:hint="eastAsia" w:ascii="宋体" w:hAnsi="宋体" w:eastAsia="宋体" w:cs="Times New Roman"/>
          <w:b w:val="0"/>
          <w:bCs w:val="0"/>
          <w:kern w:val="2"/>
          <w:sz w:val="24"/>
          <w:szCs w:val="24"/>
          <w:lang w:val="en-US" w:eastAsia="zh-CN" w:bidi="ar-SA"/>
        </w:rPr>
        <w:t>投标人</w:t>
      </w:r>
      <w:r>
        <w:rPr>
          <w:rFonts w:hint="eastAsia" w:cs="Times New Roman"/>
          <w:b w:val="0"/>
          <w:bCs w:val="0"/>
          <w:kern w:val="2"/>
          <w:sz w:val="24"/>
          <w:szCs w:val="24"/>
          <w:lang w:val="en-US" w:eastAsia="zh-CN" w:bidi="ar-SA"/>
        </w:rPr>
        <w:t>需</w:t>
      </w:r>
      <w:r>
        <w:rPr>
          <w:rFonts w:hint="eastAsia" w:ascii="宋体" w:hAnsi="宋体" w:eastAsia="宋体" w:cs="Times New Roman"/>
          <w:b w:val="0"/>
          <w:bCs w:val="0"/>
          <w:kern w:val="2"/>
          <w:sz w:val="24"/>
          <w:szCs w:val="24"/>
          <w:lang w:val="en-US" w:eastAsia="zh-CN" w:bidi="ar-SA"/>
        </w:rPr>
        <w:t>具有有效期内ITSS信息技术服务运行维护标准符合性证书</w:t>
      </w:r>
      <w:r>
        <w:rPr>
          <w:rFonts w:hint="eastAsia" w:cs="Times New Roman"/>
          <w:b w:val="0"/>
          <w:bCs w:val="0"/>
          <w:kern w:val="2"/>
          <w:sz w:val="24"/>
          <w:szCs w:val="24"/>
          <w:lang w:val="en-US" w:eastAsia="zh-CN" w:bidi="ar-SA"/>
        </w:rPr>
        <w:t>；</w:t>
      </w:r>
      <w:r>
        <w:rPr>
          <w:rFonts w:hint="eastAsia" w:ascii="宋体" w:hAnsi="宋体" w:eastAsia="宋体" w:cs="Times New Roman"/>
          <w:b w:val="0"/>
          <w:bCs w:val="0"/>
          <w:kern w:val="2"/>
          <w:sz w:val="24"/>
          <w:szCs w:val="24"/>
          <w:lang w:val="en-US" w:eastAsia="zh-CN" w:bidi="ar-SA"/>
        </w:rPr>
        <w:t>投标人具有有效期内CCRC（信息安全服务资质认证证书）软件安全开发证书</w:t>
      </w:r>
      <w:r>
        <w:rPr>
          <w:rFonts w:hint="eastAsia" w:cs="Times New Roman"/>
          <w:b w:val="0"/>
          <w:bCs w:val="0"/>
          <w:kern w:val="2"/>
          <w:sz w:val="24"/>
          <w:szCs w:val="24"/>
          <w:lang w:val="en-US" w:eastAsia="zh-CN" w:bidi="ar-SA"/>
        </w:rPr>
        <w:t>。</w:t>
      </w:r>
    </w:p>
    <w:p w14:paraId="3F6AC4A4">
      <w:pPr>
        <w:pStyle w:val="4"/>
        <w:ind w:firstLine="602"/>
      </w:pPr>
      <w:r>
        <w:rPr>
          <w:rFonts w:hint="eastAsia"/>
        </w:rPr>
        <w:t>等级保护要求</w:t>
      </w:r>
      <w:bookmarkEnd w:id="18"/>
    </w:p>
    <w:p w14:paraId="47145711">
      <w:pPr>
        <w:pStyle w:val="13"/>
        <w:spacing w:line="360" w:lineRule="auto"/>
        <w:ind w:firstLine="480"/>
        <w:rPr>
          <w:rFonts w:ascii="宋体" w:hAnsi="宋体"/>
          <w:sz w:val="24"/>
          <w:szCs w:val="24"/>
        </w:rPr>
      </w:pPr>
      <w:r>
        <w:rPr>
          <w:rFonts w:hint="eastAsia" w:ascii="宋体" w:hAnsi="宋体"/>
          <w:sz w:val="24"/>
          <w:szCs w:val="24"/>
        </w:rPr>
        <w:t>本项目等级保护要求： 二级。</w:t>
      </w:r>
    </w:p>
    <w:p w14:paraId="2BF41A4F"/>
    <w:p w14:paraId="7DF0D74A">
      <w:pPr>
        <w:pStyle w:val="4"/>
        <w:ind w:firstLine="602"/>
      </w:pPr>
      <w:r>
        <w:rPr>
          <w:rFonts w:hint="eastAsia"/>
        </w:rPr>
        <w:t>商业密码应用需求</w:t>
      </w:r>
    </w:p>
    <w:p w14:paraId="3B821A89">
      <w:pPr>
        <w:pStyle w:val="13"/>
        <w:spacing w:line="360" w:lineRule="auto"/>
        <w:ind w:firstLine="480"/>
        <w:rPr>
          <w:rFonts w:ascii="宋体" w:hAnsi="宋体"/>
          <w:sz w:val="24"/>
          <w:szCs w:val="24"/>
        </w:rPr>
      </w:pPr>
      <w:r>
        <w:rPr>
          <w:rFonts w:hint="eastAsia" w:ascii="宋体" w:hAnsi="宋体"/>
          <w:sz w:val="24"/>
          <w:szCs w:val="24"/>
        </w:rPr>
        <w:t>按照国产化替代要求，申请非涉密基础软硬件平台资源，包含安全可靠服务器，国产数据库、中间件、GIS等基础软件，非涉密办公终端以及相应办公外设，安全系统软件。依托现有安全保障平台，建设基于国产化平台的安全保密体系，并通过安全测评，实现国产密码应用并通过密测。</w:t>
      </w:r>
    </w:p>
    <w:p w14:paraId="69A18223">
      <w:pPr>
        <w:pStyle w:val="13"/>
        <w:spacing w:line="360" w:lineRule="auto"/>
        <w:ind w:firstLine="480"/>
        <w:rPr>
          <w:rFonts w:ascii="宋体" w:hAnsi="宋体"/>
          <w:sz w:val="24"/>
          <w:szCs w:val="24"/>
        </w:rPr>
      </w:pPr>
      <w:r>
        <w:rPr>
          <w:rFonts w:hint="eastAsia" w:ascii="宋体" w:hAnsi="宋体"/>
          <w:sz w:val="24"/>
          <w:szCs w:val="24"/>
        </w:rPr>
        <w:t>具体需申请的密码资源/服务配置如下表：</w:t>
      </w:r>
    </w:p>
    <w:p w14:paraId="111DBA6D">
      <w:pPr>
        <w:jc w:val="center"/>
        <w:rPr>
          <w:rFonts w:cs="仿宋"/>
          <w:szCs w:val="28"/>
        </w:rPr>
      </w:pPr>
      <w:r>
        <w:rPr>
          <w:rFonts w:hint="eastAsia" w:cs="仿宋"/>
          <w:szCs w:val="28"/>
        </w:rPr>
        <w:t>云密码资源/密码服务配置表</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815"/>
        <w:gridCol w:w="1516"/>
        <w:gridCol w:w="1879"/>
      </w:tblGrid>
      <w:tr w14:paraId="00D6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771" w:type="pct"/>
            <w:vAlign w:val="center"/>
          </w:tcPr>
          <w:p w14:paraId="60C2714A">
            <w:pPr>
              <w:jc w:val="center"/>
              <w:rPr>
                <w:rFonts w:cs="宋体"/>
                <w:b/>
                <w:bCs/>
                <w:color w:val="000000"/>
                <w:kern w:val="0"/>
              </w:rPr>
            </w:pPr>
            <w:r>
              <w:rPr>
                <w:rFonts w:hint="eastAsia" w:cs="宋体"/>
                <w:b/>
                <w:bCs/>
                <w:color w:val="000000"/>
                <w:kern w:val="0"/>
              </w:rPr>
              <w:t>序号</w:t>
            </w:r>
          </w:p>
        </w:tc>
        <w:tc>
          <w:tcPr>
            <w:tcW w:w="2237" w:type="pct"/>
            <w:vAlign w:val="center"/>
          </w:tcPr>
          <w:p w14:paraId="51B94B8D">
            <w:pPr>
              <w:jc w:val="center"/>
              <w:rPr>
                <w:rFonts w:cs="宋体"/>
                <w:b/>
                <w:bCs/>
                <w:color w:val="000000"/>
                <w:kern w:val="0"/>
              </w:rPr>
            </w:pPr>
            <w:r>
              <w:rPr>
                <w:rFonts w:hint="eastAsia" w:cs="宋体"/>
                <w:b/>
                <w:bCs/>
                <w:color w:val="000000"/>
                <w:kern w:val="0"/>
              </w:rPr>
              <w:t>名称</w:t>
            </w:r>
          </w:p>
        </w:tc>
        <w:tc>
          <w:tcPr>
            <w:tcW w:w="889" w:type="pct"/>
            <w:vAlign w:val="center"/>
          </w:tcPr>
          <w:p w14:paraId="6187F286">
            <w:pPr>
              <w:jc w:val="center"/>
              <w:rPr>
                <w:rFonts w:cs="宋体"/>
                <w:b/>
                <w:bCs/>
                <w:color w:val="000000"/>
                <w:kern w:val="0"/>
              </w:rPr>
            </w:pPr>
            <w:r>
              <w:rPr>
                <w:rFonts w:hint="eastAsia" w:cs="宋体"/>
                <w:b/>
                <w:bCs/>
                <w:color w:val="000000"/>
                <w:kern w:val="0"/>
              </w:rPr>
              <w:t>数量</w:t>
            </w:r>
          </w:p>
        </w:tc>
        <w:tc>
          <w:tcPr>
            <w:tcW w:w="1102" w:type="pct"/>
            <w:vAlign w:val="center"/>
          </w:tcPr>
          <w:p w14:paraId="4BA30B46">
            <w:pPr>
              <w:jc w:val="center"/>
              <w:rPr>
                <w:rFonts w:cs="宋体"/>
                <w:b/>
                <w:bCs/>
                <w:color w:val="000000"/>
                <w:kern w:val="0"/>
              </w:rPr>
            </w:pPr>
            <w:r>
              <w:rPr>
                <w:rFonts w:hint="eastAsia" w:cs="宋体"/>
                <w:b/>
                <w:bCs/>
                <w:color w:val="000000"/>
                <w:kern w:val="0"/>
              </w:rPr>
              <w:t>单位</w:t>
            </w:r>
          </w:p>
        </w:tc>
      </w:tr>
      <w:tr w14:paraId="60FF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3AF87B39">
            <w:pPr>
              <w:jc w:val="center"/>
              <w:rPr>
                <w:color w:val="000000"/>
              </w:rPr>
            </w:pPr>
            <w:r>
              <w:rPr>
                <w:rFonts w:hint="eastAsia"/>
                <w:color w:val="000000"/>
              </w:rPr>
              <w:t>1</w:t>
            </w:r>
          </w:p>
        </w:tc>
        <w:tc>
          <w:tcPr>
            <w:tcW w:w="2237" w:type="pct"/>
            <w:vAlign w:val="center"/>
          </w:tcPr>
          <w:p w14:paraId="2E09CD87">
            <w:pPr>
              <w:rPr>
                <w:color w:val="000000"/>
              </w:rPr>
            </w:pPr>
            <w:r>
              <w:rPr>
                <w:rFonts w:hint="eastAsia" w:cs="仿宋"/>
              </w:rPr>
              <w:t>SSL VPN</w:t>
            </w:r>
          </w:p>
        </w:tc>
        <w:tc>
          <w:tcPr>
            <w:tcW w:w="889" w:type="pct"/>
            <w:vAlign w:val="center"/>
          </w:tcPr>
          <w:p w14:paraId="7DC26DB9">
            <w:pPr>
              <w:jc w:val="center"/>
              <w:rPr>
                <w:color w:val="000000"/>
              </w:rPr>
            </w:pPr>
            <w:r>
              <w:rPr>
                <w:rFonts w:hint="eastAsia"/>
                <w:color w:val="000000"/>
              </w:rPr>
              <w:t>1</w:t>
            </w:r>
          </w:p>
        </w:tc>
        <w:tc>
          <w:tcPr>
            <w:tcW w:w="1102" w:type="pct"/>
            <w:vAlign w:val="center"/>
          </w:tcPr>
          <w:p w14:paraId="6C14FBE6">
            <w:pPr>
              <w:jc w:val="center"/>
              <w:rPr>
                <w:color w:val="000000"/>
              </w:rPr>
            </w:pPr>
            <w:r>
              <w:rPr>
                <w:rFonts w:hint="eastAsia"/>
                <w:color w:val="000000"/>
              </w:rPr>
              <w:t>套</w:t>
            </w:r>
          </w:p>
        </w:tc>
      </w:tr>
      <w:tr w14:paraId="2319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2F3F9058">
            <w:pPr>
              <w:jc w:val="center"/>
              <w:rPr>
                <w:color w:val="000000"/>
              </w:rPr>
            </w:pPr>
            <w:r>
              <w:rPr>
                <w:rFonts w:hint="eastAsia"/>
                <w:color w:val="000000"/>
              </w:rPr>
              <w:t>2</w:t>
            </w:r>
          </w:p>
        </w:tc>
        <w:tc>
          <w:tcPr>
            <w:tcW w:w="2237" w:type="pct"/>
            <w:vAlign w:val="center"/>
          </w:tcPr>
          <w:p w14:paraId="273A2237">
            <w:pPr>
              <w:rPr>
                <w:color w:val="000000"/>
              </w:rPr>
            </w:pPr>
            <w:r>
              <w:rPr>
                <w:rFonts w:hint="eastAsia"/>
                <w:color w:val="000000"/>
              </w:rPr>
              <w:t>签名验签服务（含虚拟密码机）</w:t>
            </w:r>
          </w:p>
        </w:tc>
        <w:tc>
          <w:tcPr>
            <w:tcW w:w="889" w:type="pct"/>
            <w:vAlign w:val="center"/>
          </w:tcPr>
          <w:p w14:paraId="35649662">
            <w:pPr>
              <w:jc w:val="center"/>
              <w:rPr>
                <w:color w:val="000000"/>
              </w:rPr>
            </w:pPr>
            <w:r>
              <w:rPr>
                <w:rFonts w:hint="eastAsia"/>
                <w:color w:val="000000"/>
              </w:rPr>
              <w:t>1</w:t>
            </w:r>
          </w:p>
        </w:tc>
        <w:tc>
          <w:tcPr>
            <w:tcW w:w="1102" w:type="pct"/>
            <w:vAlign w:val="center"/>
          </w:tcPr>
          <w:p w14:paraId="2B3F0CAA">
            <w:pPr>
              <w:jc w:val="center"/>
              <w:rPr>
                <w:color w:val="000000"/>
              </w:rPr>
            </w:pPr>
            <w:r>
              <w:rPr>
                <w:rFonts w:hint="eastAsia"/>
                <w:color w:val="000000"/>
              </w:rPr>
              <w:t>套</w:t>
            </w:r>
          </w:p>
        </w:tc>
      </w:tr>
      <w:tr w14:paraId="13F4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1ED262EE">
            <w:pPr>
              <w:jc w:val="center"/>
              <w:rPr>
                <w:color w:val="000000"/>
              </w:rPr>
            </w:pPr>
            <w:r>
              <w:rPr>
                <w:rFonts w:hint="eastAsia"/>
                <w:color w:val="000000"/>
              </w:rPr>
              <w:t>3</w:t>
            </w:r>
          </w:p>
        </w:tc>
        <w:tc>
          <w:tcPr>
            <w:tcW w:w="2237" w:type="pct"/>
            <w:vAlign w:val="center"/>
          </w:tcPr>
          <w:p w14:paraId="07DD9506">
            <w:pPr>
              <w:rPr>
                <w:color w:val="000000"/>
              </w:rPr>
            </w:pPr>
            <w:r>
              <w:rPr>
                <w:rFonts w:hint="eastAsia"/>
                <w:color w:val="000000"/>
              </w:rPr>
              <w:t>数据库加密服务（含虚拟密码机）</w:t>
            </w:r>
          </w:p>
        </w:tc>
        <w:tc>
          <w:tcPr>
            <w:tcW w:w="889" w:type="pct"/>
            <w:vAlign w:val="center"/>
          </w:tcPr>
          <w:p w14:paraId="55246CE5">
            <w:pPr>
              <w:jc w:val="center"/>
              <w:rPr>
                <w:color w:val="000000"/>
              </w:rPr>
            </w:pPr>
            <w:r>
              <w:rPr>
                <w:rFonts w:hint="eastAsia"/>
                <w:color w:val="000000"/>
              </w:rPr>
              <w:t>1</w:t>
            </w:r>
          </w:p>
        </w:tc>
        <w:tc>
          <w:tcPr>
            <w:tcW w:w="1102" w:type="pct"/>
            <w:vAlign w:val="center"/>
          </w:tcPr>
          <w:p w14:paraId="42B7685F">
            <w:pPr>
              <w:jc w:val="center"/>
              <w:rPr>
                <w:color w:val="000000"/>
              </w:rPr>
            </w:pPr>
            <w:r>
              <w:rPr>
                <w:rFonts w:hint="eastAsia"/>
                <w:color w:val="000000"/>
              </w:rPr>
              <w:t>套</w:t>
            </w:r>
          </w:p>
        </w:tc>
      </w:tr>
      <w:tr w14:paraId="162C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0B7A0140">
            <w:pPr>
              <w:jc w:val="center"/>
              <w:rPr>
                <w:color w:val="000000"/>
              </w:rPr>
            </w:pPr>
            <w:r>
              <w:rPr>
                <w:rFonts w:hint="eastAsia"/>
                <w:color w:val="000000"/>
              </w:rPr>
              <w:t>4</w:t>
            </w:r>
          </w:p>
        </w:tc>
        <w:tc>
          <w:tcPr>
            <w:tcW w:w="2237" w:type="pct"/>
            <w:vAlign w:val="center"/>
          </w:tcPr>
          <w:p w14:paraId="70EBE5A1">
            <w:pPr>
              <w:rPr>
                <w:rFonts w:cs="仿宋"/>
              </w:rPr>
            </w:pPr>
            <w:r>
              <w:rPr>
                <w:rFonts w:hint="eastAsia" w:cs="仿宋"/>
              </w:rPr>
              <w:t>加密存储服务</w:t>
            </w:r>
          </w:p>
        </w:tc>
        <w:tc>
          <w:tcPr>
            <w:tcW w:w="889" w:type="pct"/>
            <w:vAlign w:val="center"/>
          </w:tcPr>
          <w:p w14:paraId="07E6B869">
            <w:pPr>
              <w:jc w:val="center"/>
              <w:rPr>
                <w:color w:val="000000"/>
              </w:rPr>
            </w:pPr>
            <w:r>
              <w:rPr>
                <w:rFonts w:hint="eastAsia"/>
                <w:color w:val="000000"/>
              </w:rPr>
              <w:t>5</w:t>
            </w:r>
          </w:p>
        </w:tc>
        <w:tc>
          <w:tcPr>
            <w:tcW w:w="1102" w:type="pct"/>
            <w:vAlign w:val="center"/>
          </w:tcPr>
          <w:p w14:paraId="4B28768B">
            <w:pPr>
              <w:jc w:val="center"/>
              <w:rPr>
                <w:color w:val="000000"/>
              </w:rPr>
            </w:pPr>
            <w:r>
              <w:rPr>
                <w:rFonts w:hint="eastAsia"/>
                <w:color w:val="000000"/>
              </w:rPr>
              <w:t>TB</w:t>
            </w:r>
          </w:p>
        </w:tc>
      </w:tr>
      <w:tr w14:paraId="4CF6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4DBB729F">
            <w:pPr>
              <w:jc w:val="center"/>
              <w:rPr>
                <w:color w:val="000000"/>
              </w:rPr>
            </w:pPr>
            <w:r>
              <w:rPr>
                <w:rFonts w:hint="eastAsia"/>
                <w:color w:val="000000"/>
              </w:rPr>
              <w:t>5</w:t>
            </w:r>
          </w:p>
        </w:tc>
        <w:tc>
          <w:tcPr>
            <w:tcW w:w="2237" w:type="pct"/>
            <w:vAlign w:val="center"/>
          </w:tcPr>
          <w:p w14:paraId="34FF292F">
            <w:pPr>
              <w:rPr>
                <w:rFonts w:cs="仿宋"/>
              </w:rPr>
            </w:pPr>
            <w:r>
              <w:rPr>
                <w:rFonts w:hint="eastAsia" w:cs="仿宋"/>
              </w:rPr>
              <w:t>SSL服务器证书</w:t>
            </w:r>
          </w:p>
        </w:tc>
        <w:tc>
          <w:tcPr>
            <w:tcW w:w="889" w:type="pct"/>
            <w:vAlign w:val="center"/>
          </w:tcPr>
          <w:p w14:paraId="55FE3613">
            <w:pPr>
              <w:jc w:val="center"/>
              <w:rPr>
                <w:color w:val="000000"/>
              </w:rPr>
            </w:pPr>
            <w:r>
              <w:rPr>
                <w:rFonts w:hint="eastAsia"/>
                <w:color w:val="000000"/>
              </w:rPr>
              <w:t>1</w:t>
            </w:r>
          </w:p>
        </w:tc>
        <w:tc>
          <w:tcPr>
            <w:tcW w:w="1102" w:type="pct"/>
            <w:vAlign w:val="center"/>
          </w:tcPr>
          <w:p w14:paraId="6ABEA017">
            <w:pPr>
              <w:jc w:val="center"/>
              <w:rPr>
                <w:color w:val="000000"/>
              </w:rPr>
            </w:pPr>
            <w:r>
              <w:rPr>
                <w:rFonts w:hint="eastAsia"/>
                <w:color w:val="000000"/>
              </w:rPr>
              <w:t>个</w:t>
            </w:r>
          </w:p>
        </w:tc>
      </w:tr>
      <w:tr w14:paraId="6CBE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5DC70DC6">
            <w:pPr>
              <w:jc w:val="center"/>
              <w:rPr>
                <w:color w:val="000000"/>
              </w:rPr>
            </w:pPr>
            <w:r>
              <w:rPr>
                <w:rFonts w:hint="eastAsia"/>
                <w:color w:val="000000"/>
              </w:rPr>
              <w:t>6</w:t>
            </w:r>
          </w:p>
        </w:tc>
        <w:tc>
          <w:tcPr>
            <w:tcW w:w="2237" w:type="pct"/>
            <w:vAlign w:val="center"/>
          </w:tcPr>
          <w:p w14:paraId="0F5313AB">
            <w:pPr>
              <w:rPr>
                <w:rFonts w:cs="仿宋"/>
              </w:rPr>
            </w:pPr>
            <w:r>
              <w:rPr>
                <w:rFonts w:hint="eastAsia" w:cs="仿宋"/>
              </w:rPr>
              <w:t>数字证书服务（含智能密码钥匙）</w:t>
            </w:r>
          </w:p>
        </w:tc>
        <w:tc>
          <w:tcPr>
            <w:tcW w:w="889" w:type="pct"/>
            <w:vAlign w:val="center"/>
          </w:tcPr>
          <w:p w14:paraId="7984C646">
            <w:pPr>
              <w:jc w:val="center"/>
              <w:rPr>
                <w:color w:val="000000"/>
              </w:rPr>
            </w:pPr>
            <w:r>
              <w:rPr>
                <w:rFonts w:hint="eastAsia"/>
                <w:color w:val="000000"/>
              </w:rPr>
              <w:t>500</w:t>
            </w:r>
          </w:p>
        </w:tc>
        <w:tc>
          <w:tcPr>
            <w:tcW w:w="1102" w:type="pct"/>
            <w:vAlign w:val="center"/>
          </w:tcPr>
          <w:p w14:paraId="48C1C4F9">
            <w:pPr>
              <w:jc w:val="center"/>
              <w:rPr>
                <w:color w:val="000000"/>
              </w:rPr>
            </w:pPr>
            <w:r>
              <w:rPr>
                <w:rFonts w:hint="eastAsia"/>
                <w:color w:val="000000"/>
              </w:rPr>
              <w:t>个</w:t>
            </w:r>
          </w:p>
        </w:tc>
      </w:tr>
      <w:tr w14:paraId="31E3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pct"/>
            <w:vAlign w:val="center"/>
          </w:tcPr>
          <w:p w14:paraId="37DA2F9A">
            <w:pPr>
              <w:jc w:val="center"/>
              <w:rPr>
                <w:rFonts w:eastAsia="仿宋_GB2312"/>
                <w:color w:val="000000"/>
              </w:rPr>
            </w:pPr>
            <w:r>
              <w:rPr>
                <w:rFonts w:hint="eastAsia"/>
                <w:color w:val="000000"/>
              </w:rPr>
              <w:t>7</w:t>
            </w:r>
          </w:p>
        </w:tc>
        <w:tc>
          <w:tcPr>
            <w:tcW w:w="2237" w:type="pct"/>
            <w:vAlign w:val="center"/>
          </w:tcPr>
          <w:p w14:paraId="36BE1325">
            <w:pPr>
              <w:rPr>
                <w:rFonts w:eastAsia="仿宋_GB2312" w:cs="仿宋"/>
              </w:rPr>
            </w:pPr>
            <w:r>
              <w:rPr>
                <w:rFonts w:hint="eastAsia" w:cs="仿宋"/>
              </w:rPr>
              <w:t>安全认证网关（含虚拟密码机）</w:t>
            </w:r>
          </w:p>
        </w:tc>
        <w:tc>
          <w:tcPr>
            <w:tcW w:w="889" w:type="pct"/>
            <w:vAlign w:val="center"/>
          </w:tcPr>
          <w:p w14:paraId="2B251F47">
            <w:pPr>
              <w:jc w:val="center"/>
              <w:rPr>
                <w:rFonts w:eastAsia="仿宋_GB2312"/>
                <w:color w:val="000000"/>
              </w:rPr>
            </w:pPr>
            <w:r>
              <w:rPr>
                <w:rFonts w:hint="eastAsia"/>
                <w:color w:val="000000"/>
              </w:rPr>
              <w:t>1</w:t>
            </w:r>
          </w:p>
        </w:tc>
        <w:tc>
          <w:tcPr>
            <w:tcW w:w="1102" w:type="pct"/>
            <w:vAlign w:val="center"/>
          </w:tcPr>
          <w:p w14:paraId="67403221">
            <w:pPr>
              <w:jc w:val="center"/>
              <w:rPr>
                <w:rFonts w:eastAsia="仿宋_GB2312"/>
                <w:color w:val="000000"/>
              </w:rPr>
            </w:pPr>
            <w:r>
              <w:rPr>
                <w:rFonts w:hint="eastAsia"/>
                <w:color w:val="000000"/>
              </w:rPr>
              <w:t>套</w:t>
            </w:r>
          </w:p>
        </w:tc>
      </w:tr>
    </w:tbl>
    <w:p w14:paraId="6FA7E016">
      <w:pPr>
        <w:pStyle w:val="13"/>
        <w:spacing w:line="360" w:lineRule="auto"/>
        <w:ind w:firstLine="480"/>
        <w:rPr>
          <w:rFonts w:ascii="宋体" w:hAnsi="宋体"/>
          <w:sz w:val="24"/>
          <w:szCs w:val="24"/>
        </w:rPr>
      </w:pPr>
    </w:p>
    <w:p w14:paraId="142D3E65">
      <w:pPr>
        <w:pStyle w:val="4"/>
        <w:ind w:firstLine="602"/>
      </w:pPr>
      <w:bookmarkStart w:id="19" w:name="_Toc63785512"/>
      <w:r>
        <w:rPr>
          <w:rFonts w:hint="eastAsia"/>
        </w:rPr>
        <w:t>技术文件要求</w:t>
      </w:r>
    </w:p>
    <w:p w14:paraId="3DEA4F3A">
      <w:pPr>
        <w:pStyle w:val="13"/>
        <w:spacing w:line="360" w:lineRule="auto"/>
        <w:ind w:firstLine="480"/>
        <w:rPr>
          <w:rFonts w:ascii="宋体" w:hAnsi="宋体"/>
          <w:sz w:val="24"/>
          <w:szCs w:val="24"/>
        </w:rPr>
      </w:pPr>
      <w:r>
        <w:rPr>
          <w:rFonts w:hint="eastAsia" w:ascii="宋体" w:hAnsi="宋体"/>
          <w:sz w:val="24"/>
          <w:szCs w:val="24"/>
        </w:rPr>
        <w:t>投标人根据采购需求，制定总体设计方案，根据采购需求及实际情况响应技术参数。投标人根据需求编制实施方案。提供技术文件电子版1份。</w:t>
      </w:r>
      <w:bookmarkEnd w:id="19"/>
    </w:p>
    <w:p w14:paraId="4A59F331">
      <w:pPr>
        <w:pStyle w:val="13"/>
        <w:spacing w:line="360" w:lineRule="auto"/>
        <w:ind w:firstLine="480"/>
        <w:rPr>
          <w:rFonts w:ascii="宋体" w:hAnsi="宋体"/>
          <w:sz w:val="24"/>
          <w:szCs w:val="24"/>
        </w:rPr>
      </w:pPr>
    </w:p>
    <w:p w14:paraId="605B7B31">
      <w:pPr>
        <w:pStyle w:val="3"/>
        <w:ind w:firstLine="480" w:firstLineChars="150"/>
      </w:pPr>
      <w:bookmarkStart w:id="20" w:name="_Toc68798863"/>
      <w:r>
        <w:rPr>
          <w:rFonts w:hint="eastAsia"/>
        </w:rPr>
        <w:t>附录</w:t>
      </w:r>
      <w:bookmarkEnd w:id="20"/>
    </w:p>
    <w:p w14:paraId="4EFCA515">
      <w:pPr>
        <w:pStyle w:val="13"/>
        <w:spacing w:line="360" w:lineRule="auto"/>
        <w:ind w:firstLine="480"/>
        <w:rPr>
          <w:rFonts w:ascii="宋体" w:hAnsi="宋体"/>
          <w:sz w:val="24"/>
          <w:szCs w:val="24"/>
        </w:rPr>
      </w:pPr>
      <w:r>
        <w:rPr>
          <w:rFonts w:hint="eastAsia" w:ascii="宋体" w:hAnsi="宋体"/>
          <w:sz w:val="24"/>
          <w:szCs w:val="24"/>
        </w:rPr>
        <w:t>若项目建设过程中需符合相关技术标准或规范文件的要求，请将相关文件作为附件列出。</w:t>
      </w:r>
    </w:p>
    <w:p w14:paraId="4FCB4529">
      <w:pPr>
        <w:pStyle w:val="13"/>
        <w:spacing w:line="360" w:lineRule="auto"/>
        <w:ind w:firstLine="480"/>
        <w:rPr>
          <w:rFonts w:ascii="宋体" w:hAnsi="宋体"/>
          <w:sz w:val="24"/>
          <w:szCs w:val="24"/>
        </w:rPr>
      </w:pPr>
      <w:r>
        <w:rPr>
          <w:rFonts w:hint="eastAsia" w:ascii="宋体" w:hAnsi="宋体"/>
          <w:sz w:val="24"/>
          <w:szCs w:val="24"/>
        </w:rPr>
        <w:t>1、《政务网络安全监测平台总体技术要求》</w:t>
      </w:r>
    </w:p>
    <w:p w14:paraId="4A377300">
      <w:pPr>
        <w:pStyle w:val="13"/>
        <w:spacing w:line="360" w:lineRule="auto"/>
        <w:ind w:firstLine="480"/>
        <w:rPr>
          <w:rFonts w:ascii="宋体" w:hAnsi="宋体"/>
          <w:sz w:val="24"/>
          <w:szCs w:val="24"/>
        </w:rPr>
      </w:pPr>
      <w:r>
        <w:rPr>
          <w:rFonts w:hint="eastAsia" w:ascii="宋体" w:hAnsi="宋体"/>
          <w:sz w:val="24"/>
          <w:szCs w:val="24"/>
        </w:rPr>
        <w:object>
          <v:shape id="_x0000_i1025" o:spt="75" type="#_x0000_t75" style="height:54.75pt;width:76.5pt;" o:ole="t" filled="f" o:preferrelative="t" stroked="f" coordsize="21600,21600">
            <v:path/>
            <v:fill on="f" focussize="0,0"/>
            <v:stroke on="f" joinstyle="miter"/>
            <v:imagedata r:id="rId6" o:title=""/>
            <o:lock v:ext="edit" aspectratio="t"/>
            <w10:wrap type="none"/>
            <w10:anchorlock/>
          </v:shape>
          <o:OLEObject Type="Embed" ProgID="Package" ShapeID="_x0000_i1025" DrawAspect="Icon" ObjectID="_1468075725" r:id="rId5">
            <o:LockedField>false</o:LockedField>
          </o:OLEObject>
        </w:object>
      </w:r>
    </w:p>
    <w:p w14:paraId="408D40FC">
      <w:pPr>
        <w:pStyle w:val="13"/>
        <w:spacing w:line="360" w:lineRule="auto"/>
        <w:ind w:firstLine="480"/>
        <w:rPr>
          <w:rFonts w:ascii="宋体" w:hAnsi="宋体"/>
          <w:sz w:val="24"/>
          <w:szCs w:val="24"/>
        </w:rPr>
      </w:pPr>
    </w:p>
    <w:p w14:paraId="1F04E8AF">
      <w:pPr>
        <w:pStyle w:val="13"/>
        <w:spacing w:line="360" w:lineRule="auto"/>
        <w:ind w:firstLine="480"/>
        <w:rPr>
          <w:rFonts w:ascii="宋体" w:hAnsi="宋体"/>
          <w:sz w:val="24"/>
          <w:szCs w:val="24"/>
        </w:rPr>
      </w:pPr>
      <w:r>
        <w:rPr>
          <w:rFonts w:hint="eastAsia" w:ascii="宋体" w:hAnsi="宋体"/>
          <w:sz w:val="24"/>
          <w:szCs w:val="24"/>
        </w:rPr>
        <w:t>2、《上海市电子政务外网建设和运行管理指南（试行）》</w:t>
      </w:r>
    </w:p>
    <w:p w14:paraId="493D0EF9">
      <w:pPr>
        <w:pStyle w:val="13"/>
        <w:spacing w:line="360" w:lineRule="auto"/>
        <w:ind w:firstLine="480"/>
        <w:rPr>
          <w:rFonts w:ascii="宋体" w:hAnsi="宋体"/>
          <w:sz w:val="24"/>
          <w:szCs w:val="24"/>
        </w:rPr>
      </w:pPr>
      <w:r>
        <w:rPr>
          <w:rFonts w:hint="eastAsia" w:ascii="宋体" w:hAnsi="宋体"/>
          <w:sz w:val="24"/>
          <w:szCs w:val="24"/>
        </w:rPr>
        <w:object>
          <v:shape id="_x0000_i1026" o:spt="75" type="#_x0000_t75" style="height:54.75pt;width:76.5pt;" o:ole="t" filled="f" o:preferrelative="t" stroked="f" coordsize="21600,21600">
            <v:path/>
            <v:fill on="f" focussize="0,0"/>
            <v:stroke on="f" joinstyle="miter"/>
            <v:imagedata r:id="rId8" o:title=""/>
            <o:lock v:ext="edit" aspectratio="t"/>
            <w10:wrap type="none"/>
            <w10:anchorlock/>
          </v:shape>
          <o:OLEObject Type="Embed" ProgID="Package" ShapeID="_x0000_i1026" DrawAspect="Icon" ObjectID="_1468075726" r:id="rId7">
            <o:LockedField>false</o:LockedField>
          </o:OLEObject>
        </w:object>
      </w:r>
    </w:p>
    <w:p w14:paraId="742AA485">
      <w:pPr>
        <w:pStyle w:val="13"/>
        <w:numPr>
          <w:ilvl w:val="0"/>
          <w:numId w:val="4"/>
        </w:numPr>
        <w:spacing w:line="360" w:lineRule="auto"/>
        <w:ind w:firstLine="480"/>
        <w:rPr>
          <w:rFonts w:ascii="宋体" w:hAnsi="宋体"/>
          <w:sz w:val="24"/>
          <w:szCs w:val="24"/>
        </w:rPr>
      </w:pPr>
      <w:r>
        <w:rPr>
          <w:rFonts w:hint="eastAsia" w:ascii="宋体" w:hAnsi="宋体"/>
          <w:sz w:val="24"/>
          <w:szCs w:val="24"/>
        </w:rPr>
        <w:t>其他标准</w:t>
      </w:r>
    </w:p>
    <w:p w14:paraId="4D0824C0">
      <w:pPr>
        <w:pStyle w:val="13"/>
        <w:spacing w:line="360" w:lineRule="auto"/>
        <w:ind w:firstLine="480"/>
        <w:rPr>
          <w:rFonts w:ascii="宋体" w:hAnsi="宋体"/>
          <w:sz w:val="24"/>
          <w:szCs w:val="24"/>
        </w:rPr>
      </w:pPr>
    </w:p>
    <w:sectPr>
      <w:footerReference r:id="rId3" w:type="first"/>
      <w:pgSz w:w="11906" w:h="16838"/>
      <w:pgMar w:top="1134" w:right="1797" w:bottom="1135" w:left="1797" w:header="340" w:footer="7" w:gutter="0"/>
      <w:pgNumType w:start="1"/>
      <w:cols w:space="720" w:num="1"/>
      <w:titlePg/>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2DA2F"/>
  <w:p w14:paraId="71146C2F"/>
  <w:p w14:paraId="47620645"/>
  <w:p w14:paraId="75EDBDFD"/>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4D45A"/>
    <w:multiLevelType w:val="singleLevel"/>
    <w:tmpl w:val="5884D45A"/>
    <w:lvl w:ilvl="0" w:tentative="0">
      <w:start w:val="4"/>
      <w:numFmt w:val="decimal"/>
      <w:suff w:val="nothing"/>
      <w:lvlText w:val="%1、"/>
      <w:lvlJc w:val="left"/>
    </w:lvl>
  </w:abstractNum>
  <w:abstractNum w:abstractNumId="1">
    <w:nsid w:val="6A2F4AB3"/>
    <w:multiLevelType w:val="multilevel"/>
    <w:tmpl w:val="6A2F4AB3"/>
    <w:lvl w:ilvl="0" w:tentative="0">
      <w:start w:val="1"/>
      <w:numFmt w:val="chineseCountingThousand"/>
      <w:pStyle w:val="3"/>
      <w:suff w:val="nothing"/>
      <w:lvlText w:val="%1、"/>
      <w:lvlJc w:val="left"/>
      <w:pPr>
        <w:ind w:left="840" w:hanging="425"/>
      </w:pPr>
      <w:rPr>
        <w:rFonts w:hint="eastAsia"/>
        <w:sz w:val="32"/>
        <w:szCs w:val="32"/>
      </w:rPr>
    </w:lvl>
    <w:lvl w:ilvl="1" w:tentative="0">
      <w:start w:val="1"/>
      <w:numFmt w:val="decimal"/>
      <w:pStyle w:val="4"/>
      <w:isLgl/>
      <w:suff w:val="nothing"/>
      <w:lvlText w:val="%1.%2、"/>
      <w:lvlJc w:val="left"/>
      <w:pPr>
        <w:ind w:left="1550" w:hanging="567"/>
      </w:pPr>
    </w:lvl>
    <w:lvl w:ilvl="2" w:tentative="0">
      <w:start w:val="1"/>
      <w:numFmt w:val="decimal"/>
      <w:isLgl/>
      <w:suff w:val="nothing"/>
      <w:lvlText w:val="%1.%2.%3、"/>
      <w:lvlJc w:val="left"/>
      <w:pPr>
        <w:ind w:left="1484" w:hanging="1069"/>
      </w:pPr>
      <w:rPr>
        <w:rFonts w:hint="default" w:ascii="宋体" w:hAnsi="宋体" w:eastAsia="宋体" w:cs="Arial"/>
      </w:rPr>
    </w:lvl>
    <w:lvl w:ilvl="3" w:tentative="0">
      <w:start w:val="1"/>
      <w:numFmt w:val="decimal"/>
      <w:isLgl/>
      <w:suff w:val="nothing"/>
      <w:lvlText w:val="%1.%2.%3.%4、"/>
      <w:lvlJc w:val="left"/>
      <w:pPr>
        <w:ind w:left="3818" w:hanging="851"/>
      </w:pPr>
    </w:lvl>
    <w:lvl w:ilvl="4" w:tentative="0">
      <w:start w:val="1"/>
      <w:numFmt w:val="decimal"/>
      <w:isLgl/>
      <w:suff w:val="nothing"/>
      <w:lvlText w:val="%1.%2.%3.%4.%5、"/>
      <w:lvlJc w:val="left"/>
      <w:pPr>
        <w:ind w:left="3959" w:hanging="992"/>
      </w:pPr>
      <w:rPr>
        <w:rFonts w:hint="eastAsia"/>
      </w:rPr>
    </w:lvl>
    <w:lvl w:ilvl="5" w:tentative="0">
      <w:start w:val="1"/>
      <w:numFmt w:val="decimal"/>
      <w:isLgl/>
      <w:suff w:val="nothing"/>
      <w:lvlText w:val="%1.%2.%3.%4.%5.%6、"/>
      <w:lvlJc w:val="left"/>
      <w:pPr>
        <w:ind w:left="1549" w:hanging="1134"/>
      </w:pPr>
      <w:rPr>
        <w:rFonts w:hint="eastAsia"/>
      </w:rPr>
    </w:lvl>
    <w:lvl w:ilvl="6" w:tentative="0">
      <w:start w:val="1"/>
      <w:numFmt w:val="decimal"/>
      <w:isLgl/>
      <w:lvlText w:val="%1.%2.%3.%4.%5.%6.%7"/>
      <w:lvlJc w:val="left"/>
      <w:pPr>
        <w:tabs>
          <w:tab w:val="left" w:pos="2215"/>
        </w:tabs>
        <w:ind w:left="1691" w:hanging="1276"/>
      </w:pPr>
      <w:rPr>
        <w:rFonts w:hint="eastAsia"/>
      </w:rPr>
    </w:lvl>
    <w:lvl w:ilvl="7" w:tentative="0">
      <w:start w:val="1"/>
      <w:numFmt w:val="decimal"/>
      <w:isLgl/>
      <w:lvlText w:val="%1.%2.%3.%4.%5.%6.%7.%8"/>
      <w:lvlJc w:val="left"/>
      <w:pPr>
        <w:tabs>
          <w:tab w:val="left" w:pos="2215"/>
        </w:tabs>
        <w:ind w:left="1833" w:hanging="1418"/>
      </w:pPr>
      <w:rPr>
        <w:rFonts w:hint="eastAsia"/>
      </w:rPr>
    </w:lvl>
    <w:lvl w:ilvl="8" w:tentative="0">
      <w:start w:val="1"/>
      <w:numFmt w:val="decimal"/>
      <w:isLgl/>
      <w:lvlText w:val="%1.%2.%3.%4.%5.%6.%7.%8.%9"/>
      <w:lvlJc w:val="left"/>
      <w:pPr>
        <w:tabs>
          <w:tab w:val="left" w:pos="2575"/>
        </w:tabs>
        <w:ind w:left="1974" w:hanging="1559"/>
      </w:pPr>
      <w:rPr>
        <w:rFonts w:hint="eastAsia"/>
      </w:rPr>
    </w:lvl>
  </w:abstractNum>
  <w:abstractNum w:abstractNumId="2">
    <w:nsid w:val="7D8F5BDB"/>
    <w:multiLevelType w:val="singleLevel"/>
    <w:tmpl w:val="7D8F5BDB"/>
    <w:lvl w:ilvl="0" w:tentative="0">
      <w:start w:val="8"/>
      <w:numFmt w:val="decimal"/>
      <w:suff w:val="nothing"/>
      <w:lvlText w:val="%1、"/>
      <w:lvlJc w:val="left"/>
    </w:lvl>
  </w:abstractNum>
  <w:abstractNum w:abstractNumId="3">
    <w:nsid w:val="7F7EFFD3"/>
    <w:multiLevelType w:val="singleLevel"/>
    <w:tmpl w:val="7F7EFFD3"/>
    <w:lvl w:ilvl="0" w:tentative="0">
      <w:start w:val="3"/>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M1OTMyYmVkNDBiZGZjOTJjNzg0ZTljMGM2NGM1NWEifQ=="/>
  </w:docVars>
  <w:rsids>
    <w:rsidRoot w:val="00C33848"/>
    <w:rsid w:val="00134344"/>
    <w:rsid w:val="00140CEE"/>
    <w:rsid w:val="004522DD"/>
    <w:rsid w:val="00682C8B"/>
    <w:rsid w:val="0072153A"/>
    <w:rsid w:val="007D37F2"/>
    <w:rsid w:val="00867E40"/>
    <w:rsid w:val="00880F8E"/>
    <w:rsid w:val="009362FE"/>
    <w:rsid w:val="009577E6"/>
    <w:rsid w:val="00A337CF"/>
    <w:rsid w:val="00A611E2"/>
    <w:rsid w:val="00C33848"/>
    <w:rsid w:val="00D623B5"/>
    <w:rsid w:val="00DA3C3B"/>
    <w:rsid w:val="00E60090"/>
    <w:rsid w:val="00F612E6"/>
    <w:rsid w:val="00F87D4D"/>
    <w:rsid w:val="1F6F324C"/>
    <w:rsid w:val="3AFE4E9D"/>
    <w:rsid w:val="3D7C4132"/>
    <w:rsid w:val="562F2911"/>
    <w:rsid w:val="5B6874A0"/>
    <w:rsid w:val="5CBB9F0A"/>
    <w:rsid w:val="645D785C"/>
    <w:rsid w:val="6546354D"/>
    <w:rsid w:val="6EB900FB"/>
    <w:rsid w:val="70D66044"/>
    <w:rsid w:val="757FCC00"/>
    <w:rsid w:val="75CFB69A"/>
    <w:rsid w:val="7BE3F123"/>
    <w:rsid w:val="7F75529F"/>
    <w:rsid w:val="A5EBB466"/>
    <w:rsid w:val="B6EC90B6"/>
    <w:rsid w:val="ED1ED1CC"/>
    <w:rsid w:val="F5FDDFDA"/>
    <w:rsid w:val="FEFB8B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textAlignment w:val="center"/>
    </w:pPr>
    <w:rPr>
      <w:rFonts w:ascii="宋体" w:hAnsi="宋体"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before="120" w:after="120" w:line="360" w:lineRule="auto"/>
      <w:ind w:left="0" w:firstLine="640" w:firstLineChars="200"/>
      <w:outlineLvl w:val="0"/>
    </w:pPr>
    <w:rPr>
      <w:rFonts w:eastAsia="黑体"/>
      <w:b/>
      <w:bCs/>
      <w:kern w:val="44"/>
      <w:sz w:val="32"/>
      <w:szCs w:val="28"/>
    </w:rPr>
  </w:style>
  <w:style w:type="paragraph" w:styleId="4">
    <w:name w:val="heading 2"/>
    <w:basedOn w:val="1"/>
    <w:next w:val="1"/>
    <w:qFormat/>
    <w:uiPriority w:val="9"/>
    <w:pPr>
      <w:keepNext/>
      <w:keepLines/>
      <w:numPr>
        <w:ilvl w:val="1"/>
        <w:numId w:val="1"/>
      </w:numPr>
      <w:spacing w:before="120" w:after="120" w:line="360" w:lineRule="auto"/>
      <w:ind w:left="0" w:firstLine="640" w:firstLineChars="200"/>
      <w:outlineLvl w:val="1"/>
    </w:pPr>
    <w:rPr>
      <w:b/>
      <w:bCs/>
      <w:sz w:val="30"/>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rPr>
      <w:rFonts w:ascii="Calibri" w:hAnsi="Calibri"/>
    </w:rPr>
  </w:style>
  <w:style w:type="paragraph" w:styleId="5">
    <w:name w:val="annotation text"/>
    <w:basedOn w:val="1"/>
    <w:link w:val="16"/>
    <w:qFormat/>
    <w:uiPriority w:val="0"/>
  </w:style>
  <w:style w:type="paragraph" w:styleId="6">
    <w:name w:val="footer"/>
    <w:basedOn w:val="1"/>
    <w:link w:val="18"/>
    <w:qFormat/>
    <w:uiPriority w:val="0"/>
    <w:pPr>
      <w:tabs>
        <w:tab w:val="center" w:pos="4153"/>
        <w:tab w:val="right" w:pos="8306"/>
      </w:tabs>
    </w:pPr>
    <w:rPr>
      <w:sz w:val="18"/>
      <w:szCs w:val="18"/>
    </w:rPr>
  </w:style>
  <w:style w:type="paragraph" w:styleId="7">
    <w:name w:val="header"/>
    <w:basedOn w:val="1"/>
    <w:qFormat/>
    <w:uiPriority w:val="99"/>
    <w:pPr>
      <w:pBdr>
        <w:bottom w:val="single" w:color="auto" w:sz="4" w:space="0"/>
      </w:pBdr>
      <w:tabs>
        <w:tab w:val="center" w:pos="4153"/>
        <w:tab w:val="right" w:pos="8306"/>
      </w:tabs>
      <w:jc w:val="center"/>
    </w:pPr>
    <w:rPr>
      <w:rFonts w:ascii="Times New Roman" w:hAnsi="Times New Roman"/>
      <w:sz w:val="18"/>
      <w:szCs w:val="18"/>
    </w:rPr>
  </w:style>
  <w:style w:type="paragraph" w:styleId="8">
    <w:name w:val="annotation subject"/>
    <w:basedOn w:val="5"/>
    <w:next w:val="5"/>
    <w:link w:val="17"/>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qFormat/>
    <w:uiPriority w:val="0"/>
    <w:rPr>
      <w:sz w:val="21"/>
      <w:szCs w:val="21"/>
    </w:rPr>
  </w:style>
  <w:style w:type="paragraph" w:customStyle="1" w:styleId="13">
    <w:name w:val="正文缩进1"/>
    <w:basedOn w:val="1"/>
    <w:autoRedefine/>
    <w:qFormat/>
    <w:uiPriority w:val="0"/>
    <w:pPr>
      <w:ind w:firstLine="420"/>
    </w:pPr>
    <w:rPr>
      <w:rFonts w:ascii="Times New Roman" w:hAnsi="Times New Roman"/>
      <w:sz w:val="21"/>
      <w:szCs w:val="20"/>
    </w:rPr>
  </w:style>
  <w:style w:type="paragraph" w:customStyle="1" w:styleId="14">
    <w:name w:val="正文正文2"/>
    <w:basedOn w:val="1"/>
    <w:autoRedefine/>
    <w:qFormat/>
    <w:uiPriority w:val="0"/>
    <w:pPr>
      <w:ind w:firstLine="460"/>
    </w:pPr>
    <w:rPr>
      <w:sz w:val="21"/>
      <w:szCs w:val="21"/>
    </w:rPr>
  </w:style>
  <w:style w:type="paragraph" w:styleId="15">
    <w:name w:val="List Paragraph"/>
    <w:basedOn w:val="1"/>
    <w:unhideWhenUsed/>
    <w:qFormat/>
    <w:uiPriority w:val="99"/>
    <w:pPr>
      <w:ind w:firstLine="420"/>
    </w:pPr>
  </w:style>
  <w:style w:type="character" w:customStyle="1" w:styleId="16">
    <w:name w:val="批注文字 Char"/>
    <w:basedOn w:val="11"/>
    <w:link w:val="5"/>
    <w:qFormat/>
    <w:uiPriority w:val="0"/>
    <w:rPr>
      <w:rFonts w:ascii="宋体" w:hAnsi="宋体" w:eastAsia="宋体" w:cs="Times New Roman"/>
      <w:kern w:val="2"/>
      <w:sz w:val="24"/>
      <w:szCs w:val="24"/>
    </w:rPr>
  </w:style>
  <w:style w:type="character" w:customStyle="1" w:styleId="17">
    <w:name w:val="批注主题 Char"/>
    <w:basedOn w:val="16"/>
    <w:link w:val="8"/>
    <w:qFormat/>
    <w:uiPriority w:val="0"/>
    <w:rPr>
      <w:rFonts w:ascii="宋体" w:hAnsi="宋体" w:eastAsia="宋体" w:cs="Times New Roman"/>
      <w:b/>
      <w:bCs/>
      <w:kern w:val="2"/>
      <w:sz w:val="24"/>
      <w:szCs w:val="24"/>
    </w:rPr>
  </w:style>
  <w:style w:type="character" w:customStyle="1" w:styleId="18">
    <w:name w:val="页脚 Char"/>
    <w:basedOn w:val="11"/>
    <w:link w:val="6"/>
    <w:qFormat/>
    <w:uiPriority w:val="0"/>
    <w:rPr>
      <w:rFonts w:ascii="宋体" w:hAnsi="宋体"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CFA89-19A3-4FBF-AFDA-AC3FF2F8B52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2622</Words>
  <Characters>2648</Characters>
  <Lines>66</Lines>
  <Paragraphs>18</Paragraphs>
  <TotalTime>4</TotalTime>
  <ScaleCrop>false</ScaleCrop>
  <LinksUpToDate>false</LinksUpToDate>
  <CharactersWithSpaces>2652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2025-03-26T14:17:00Z</dcterms:created>
  <dc:creator>user</dc:creator>
  <cp:lastModifiedBy>晋一民</cp:lastModifiedBy>
  <dcterms:modified xsi:type="dcterms:W3CDTF">2025-04-23T08:15:25Z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F7BD8ACAF78E4E66810E33D52E48E691_13</vt:lpwstr>
  </property>
  <property fmtid="{D5CDD505-2E9C-101B-9397-08002B2CF9AE}" pid="4" name="KSOTemplateDocerSaveRecord">
    <vt:lpwstr>eyJoZGlkIjoiNGM3MmY0OTNjM2FiYjM2YjE2NGRhZTljZmIyMTQyNWMiLCJ1c2VySWQiOiIxNjQzMTc3ODEwIn0=</vt:lpwstr>
  </property>
</Properties>
</file>