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32"/>
          <w:szCs w:val="32"/>
        </w:rPr>
      </w:pPr>
      <w:r>
        <w:rPr>
          <w:rFonts w:hint="eastAsia"/>
          <w:b/>
          <w:bCs/>
          <w:sz w:val="32"/>
          <w:szCs w:val="32"/>
        </w:rPr>
        <w:t>闵行法院音视频管理系统（升级改造）采购需求</w:t>
      </w:r>
    </w:p>
    <w:p>
      <w:pPr>
        <w:pStyle w:val="3"/>
        <w:rPr>
          <w:rFonts w:hint="eastAsia"/>
          <w:lang w:val="en-US" w:eastAsia="zh-CN"/>
        </w:rPr>
      </w:pPr>
      <w:r>
        <w:rPr>
          <w:rFonts w:hint="eastAsia"/>
          <w:lang w:val="en-US" w:eastAsia="zh-CN"/>
        </w:rPr>
        <w:t>项目背景</w:t>
      </w:r>
    </w:p>
    <w:p>
      <w:pPr>
        <w:rPr>
          <w:rFonts w:hint="eastAsia"/>
        </w:rPr>
      </w:pPr>
      <w:r>
        <w:rPr>
          <w:rFonts w:hint="eastAsia"/>
        </w:rPr>
        <w:t>2014年最高人民法院又下发了《人民法院科技审判法庭系统建设规范》，对于地方各级人民法院新建、扩建、改建的审判法庭做出了进一步的规范要求。2015年3月上海高院《上海法院高清审判法庭庭审系统建设规范》，对原有标清科技法院进行升级改造。</w:t>
      </w:r>
    </w:p>
    <w:p>
      <w:pPr>
        <w:rPr>
          <w:rFonts w:hint="eastAsia"/>
        </w:rPr>
      </w:pPr>
      <w:r>
        <w:rPr>
          <w:rFonts w:hint="eastAsia"/>
        </w:rPr>
        <w:t>2021年5月底，最高人民法院下发《科技法庭信息化建设规范》，对法庭建设进一步进行全方位指导完善，提出了科技法庭对视频支持的要求。</w:t>
      </w:r>
    </w:p>
    <w:p>
      <w:pPr>
        <w:rPr>
          <w:rFonts w:hint="eastAsia"/>
        </w:rPr>
      </w:pPr>
      <w:r>
        <w:rPr>
          <w:rFonts w:hint="eastAsia"/>
        </w:rPr>
        <w:t>2021年最高人民法院下发《人民法院信息化建设五年发展规划（2021-2025）》其中重点任务（39）以标准化主线推进重要业务场所的智慧化升级。</w:t>
      </w:r>
    </w:p>
    <w:p>
      <w:pPr>
        <w:rPr>
          <w:rFonts w:hint="eastAsia"/>
        </w:rPr>
      </w:pPr>
      <w:r>
        <w:rPr>
          <w:rFonts w:hint="eastAsia"/>
        </w:rPr>
        <w:t>2023年2月，国务院发布《数字中国建设整体布局规划》，引起讨论热潮。数字中国建设的目标是以信息化、智能化、网络化等手段，推动各行业的数字化转型，其中，构建数字经济体系和数字社会体系是政策措施的重点内容。</w:t>
      </w:r>
    </w:p>
    <w:p>
      <w:pPr>
        <w:rPr>
          <w:rFonts w:hint="default"/>
          <w:lang w:val="en-US" w:eastAsia="zh-CN"/>
        </w:rPr>
      </w:pPr>
      <w:r>
        <w:rPr>
          <w:rFonts w:hint="eastAsia"/>
        </w:rPr>
        <w:t>当前“十四五”时期是我国全面建设社会主义现代化国家新征程、向第二个百年奋斗目标进军的第一个五年。人民群众日益增长的司法需求对智慧法院建设工作提出了多元化需求，最高人民法院也确定了人民法院4.0版和智慧法院五个新形态的新任务。为了更好地统筹和指导全省智慧法院建设，全面落实《国家信息化发展战略纲要》《最高人民法院关于深化人民法院司法体制综合配套改革的意见—人民法院第五个五年改革纲要（2019－2023）》对智慧法院建设的总体要求，确保完成《人民法院信息化建设五年发展规划（2021-2025）》的建设任务，以信息化促进审判体系和审判能力现代化，努力让人民群众在每一个司法案件中感受到公平正义。</w:t>
      </w:r>
    </w:p>
    <w:p>
      <w:pPr>
        <w:pStyle w:val="3"/>
        <w:rPr>
          <w:rFonts w:hint="default" w:eastAsia="宋体"/>
          <w:lang w:val="en-US" w:eastAsia="zh-CN"/>
        </w:rPr>
      </w:pPr>
      <w:r>
        <w:rPr>
          <w:rFonts w:hint="eastAsia"/>
          <w:lang w:val="en-US" w:eastAsia="zh-CN"/>
        </w:rPr>
        <w:t>建设方案</w:t>
      </w:r>
    </w:p>
    <w:p>
      <w:pPr>
        <w:pStyle w:val="4"/>
        <w:rPr>
          <w:rFonts w:hint="default" w:eastAsia="宋体"/>
          <w:lang w:val="en-US" w:eastAsia="zh-CN"/>
        </w:rPr>
      </w:pPr>
      <w:r>
        <w:rPr>
          <w:rFonts w:hint="eastAsia"/>
          <w:lang w:val="en-US" w:eastAsia="zh-CN"/>
        </w:rPr>
        <w:t>建设目标</w:t>
      </w:r>
    </w:p>
    <w:p>
      <w:pPr>
        <w:ind w:firstLine="480"/>
        <w:rPr>
          <w:rFonts w:hint="eastAsia"/>
        </w:rPr>
      </w:pPr>
      <w:r>
        <w:rPr>
          <w:rFonts w:hint="eastAsia"/>
        </w:rPr>
        <w:t>本项目建设目标通过利用本院智慧法院建设成果，建设和推广高清庭审工作，满足最高法院《科技法庭信息化建设规范》统一高清庭审标准化建设要求。</w:t>
      </w:r>
    </w:p>
    <w:p>
      <w:pPr>
        <w:ind w:firstLine="480"/>
        <w:rPr>
          <w:rFonts w:hint="eastAsia"/>
        </w:rPr>
      </w:pPr>
      <w:r>
        <w:rPr>
          <w:rFonts w:hint="eastAsia"/>
        </w:rPr>
        <w:t>通过利用多媒体技术、通信技术、数字视频技术和计算机网络技术，为法官、书记员和当事人等提供高清视频辅助支持，实现法官、当事人以及辩护律师等多方参与人参与诉讼过程体验提升，同时详实地记录庭审全过程。</w:t>
      </w:r>
    </w:p>
    <w:p>
      <w:pPr>
        <w:ind w:firstLine="480"/>
        <w:rPr>
          <w:rFonts w:hint="eastAsia"/>
        </w:rPr>
      </w:pPr>
      <w:r>
        <w:rPr>
          <w:rFonts w:hint="eastAsia"/>
        </w:rPr>
        <w:t>本项目以最高院和上海市法院相关技术规范为依据，结合自身的实际情况和具体需求，建设符合要求同时具备自身技术特点的庭审系统。。</w:t>
      </w:r>
    </w:p>
    <w:p>
      <w:pPr>
        <w:pStyle w:val="4"/>
      </w:pPr>
      <w:r>
        <w:rPr>
          <w:rFonts w:hint="eastAsia"/>
        </w:rPr>
        <w:t>建设内容</w:t>
      </w:r>
    </w:p>
    <w:p>
      <w:pPr>
        <w:ind w:firstLine="480"/>
        <w:rPr>
          <w:rFonts w:hint="eastAsia"/>
        </w:rPr>
      </w:pPr>
      <w:r>
        <w:rPr>
          <w:rFonts w:hint="eastAsia"/>
        </w:rPr>
        <w:t>根据最高院《科技法庭信息化建设规范》和上海高院《上海法院高清审判法庭庭审系统建设规范》等指导文件及技术要求为依据，结合业务的实际情况和项目具体需求，在闵行法院建设</w:t>
      </w:r>
      <w:r>
        <w:rPr>
          <w:rFonts w:hint="eastAsia"/>
          <w:lang w:val="en-US" w:eastAsia="zh-CN"/>
        </w:rPr>
        <w:t>6</w:t>
      </w:r>
      <w:r>
        <w:rPr>
          <w:rFonts w:hint="eastAsia"/>
        </w:rPr>
        <w:t>个融合科技法庭，部署相关庭审信息化设备及布线系统。包括视频采集处理系统、</w:t>
      </w:r>
      <w:r>
        <w:rPr>
          <w:rFonts w:hint="eastAsia"/>
          <w:lang w:val="en-US" w:eastAsia="zh-CN"/>
        </w:rPr>
        <w:t>庭审发言及</w:t>
      </w:r>
      <w:r>
        <w:rPr>
          <w:rFonts w:hint="eastAsia"/>
        </w:rPr>
        <w:t>扩声系统、</w:t>
      </w:r>
      <w:r>
        <w:rPr>
          <w:rFonts w:hint="eastAsia"/>
          <w:lang w:val="en-US" w:eastAsia="zh-CN"/>
        </w:rPr>
        <w:t>庭审智能</w:t>
      </w:r>
      <w:r>
        <w:rPr>
          <w:rFonts w:hint="eastAsia"/>
        </w:rPr>
        <w:t>辅助系统、融合庭审系统、</w:t>
      </w:r>
      <w:r>
        <w:rPr>
          <w:rFonts w:hint="eastAsia"/>
          <w:lang w:val="en-US" w:eastAsia="zh-CN"/>
        </w:rPr>
        <w:t>布线</w:t>
      </w:r>
      <w:r>
        <w:rPr>
          <w:rFonts w:hint="eastAsia"/>
        </w:rPr>
        <w:t>系统及其他配套设施。</w:t>
      </w:r>
    </w:p>
    <w:p>
      <w:pPr>
        <w:ind w:firstLine="480"/>
        <w:rPr>
          <w:rFonts w:hint="eastAsia"/>
        </w:rPr>
      </w:pPr>
    </w:p>
    <w:p>
      <w:pPr>
        <w:pStyle w:val="4"/>
        <w:rPr>
          <w:rFonts w:hint="eastAsia"/>
          <w:lang w:val="en-US" w:eastAsia="zh-CN"/>
        </w:rPr>
      </w:pPr>
      <w:r>
        <w:rPr>
          <w:rFonts w:hint="eastAsia"/>
          <w:lang w:val="en-US" w:eastAsia="zh-CN"/>
        </w:rPr>
        <w:t>整体架构</w:t>
      </w:r>
    </w:p>
    <w:p>
      <w:pPr>
        <w:ind w:firstLine="0" w:firstLineChars="0"/>
        <w:rPr>
          <w:rFonts w:hint="default"/>
          <w:lang w:val="en-US" w:eastAsia="zh-CN"/>
        </w:rPr>
      </w:pPr>
      <w:r>
        <w:drawing>
          <wp:inline distT="0" distB="0" distL="114300" distR="114300">
            <wp:extent cx="5267325" cy="3168650"/>
            <wp:effectExtent l="0" t="0" r="952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67325" cy="3168650"/>
                    </a:xfrm>
                    <a:prstGeom prst="rect">
                      <a:avLst/>
                    </a:prstGeom>
                    <a:noFill/>
                    <a:ln>
                      <a:noFill/>
                    </a:ln>
                  </pic:spPr>
                </pic:pic>
              </a:graphicData>
            </a:graphic>
          </wp:inline>
        </w:drawing>
      </w:r>
    </w:p>
    <w:p>
      <w:pPr>
        <w:pStyle w:val="4"/>
        <w:rPr>
          <w:rFonts w:hint="default" w:eastAsia="宋体"/>
          <w:lang w:val="en-US" w:eastAsia="zh-CN"/>
        </w:rPr>
      </w:pPr>
      <w:r>
        <w:rPr>
          <w:rFonts w:hint="eastAsia"/>
          <w:lang w:val="en-US" w:eastAsia="zh-CN"/>
        </w:rPr>
        <w:t>技术要求</w:t>
      </w:r>
    </w:p>
    <w:p>
      <w:pPr>
        <w:ind w:firstLine="480"/>
        <w:rPr>
          <w:rFonts w:hint="eastAsia"/>
        </w:rPr>
      </w:pPr>
      <w:r>
        <w:rPr>
          <w:rFonts w:hint="eastAsia"/>
        </w:rPr>
        <w:t>融合庭审系统提供本地、远程、互联网多种场景的混合庭审模式，支持审判人员在法庭中，当事人、证人、诉讼代理人可本地参与庭审，也可以通过互联网参与庭审；刑事案件时，刑事被告、嫌疑人、证人可通过专网远程端参与庭审（看守所、监狱、质证室），以上参与庭审的方式可以混合使用，满足不同的参与庭审的诉求。本次</w:t>
      </w:r>
      <w:r>
        <w:rPr>
          <w:rFonts w:hint="eastAsia"/>
          <w:lang w:val="en-US" w:eastAsia="zh-CN"/>
        </w:rPr>
        <w:t>项目</w:t>
      </w:r>
      <w:r>
        <w:rPr>
          <w:rFonts w:hint="eastAsia"/>
        </w:rPr>
        <w:t>支持现有庭审线下庭审、互联网功能，实现跨网庭审服务。</w:t>
      </w:r>
    </w:p>
    <w:p>
      <w:pPr>
        <w:ind w:firstLine="480"/>
        <w:rPr>
          <w:rFonts w:hint="eastAsia"/>
        </w:rPr>
      </w:pPr>
      <w:r>
        <w:rPr>
          <w:rFonts w:hint="eastAsia"/>
          <w:lang w:val="en-US" w:eastAsia="zh-CN"/>
        </w:rPr>
        <w:t>本次融合</w:t>
      </w:r>
      <w:r>
        <w:rPr>
          <w:rFonts w:hint="eastAsia"/>
        </w:rPr>
        <w:t>法庭</w:t>
      </w:r>
      <w:r>
        <w:rPr>
          <w:rFonts w:hint="eastAsia"/>
          <w:lang w:val="en-US" w:eastAsia="zh-CN"/>
        </w:rPr>
        <w:t>建设</w:t>
      </w:r>
      <w:r>
        <w:rPr>
          <w:rFonts w:hint="eastAsia"/>
        </w:rPr>
        <w:t>包括视频采集处理系统、庭审发言扩声系统、庭审智能辅助系统、</w:t>
      </w:r>
      <w:r>
        <w:rPr>
          <w:rFonts w:hint="eastAsia"/>
          <w:lang w:val="en-US" w:eastAsia="zh-CN"/>
        </w:rPr>
        <w:t>融合庭审</w:t>
      </w:r>
      <w:r>
        <w:rPr>
          <w:rFonts w:hint="eastAsia"/>
        </w:rPr>
        <w:t>系统、布线系统及其他六部分组成。</w:t>
      </w:r>
    </w:p>
    <w:p>
      <w:pPr>
        <w:ind w:firstLine="480"/>
        <w:rPr>
          <w:rFonts w:hint="eastAsia"/>
        </w:rPr>
      </w:pPr>
      <w:r>
        <w:rPr>
          <w:rFonts w:hint="eastAsia"/>
        </w:rPr>
        <w:t>1.视频采集处理系统</w:t>
      </w:r>
    </w:p>
    <w:p>
      <w:pPr>
        <w:ind w:firstLine="480"/>
        <w:rPr>
          <w:rFonts w:hint="eastAsia"/>
        </w:rPr>
      </w:pPr>
      <w:r>
        <w:rPr>
          <w:rFonts w:hint="eastAsia"/>
          <w:lang w:val="en-US" w:eastAsia="zh-CN"/>
        </w:rPr>
        <w:t>部署庭审主机和庭审摄像机，</w:t>
      </w:r>
      <w:r>
        <w:rPr>
          <w:rFonts w:hint="eastAsia"/>
        </w:rPr>
        <w:t>分别对应法官席、原告席、被告席和全景，满足对法庭区域视频全覆盖、无死角的要求，并分别采集、独立编码。</w:t>
      </w:r>
    </w:p>
    <w:p>
      <w:pPr>
        <w:ind w:firstLine="480"/>
        <w:rPr>
          <w:rFonts w:hint="eastAsia"/>
        </w:rPr>
      </w:pPr>
      <w:r>
        <w:rPr>
          <w:rFonts w:hint="eastAsia"/>
        </w:rPr>
        <w:t>视频采集输出分辨率：不小于1920×1080；</w:t>
      </w:r>
    </w:p>
    <w:p>
      <w:pPr>
        <w:ind w:firstLine="480"/>
        <w:rPr>
          <w:rFonts w:hint="eastAsia"/>
        </w:rPr>
      </w:pPr>
      <w:r>
        <w:rPr>
          <w:rFonts w:hint="eastAsia"/>
        </w:rPr>
        <w:t>视频画质要求：画面水平清晰度不低于1080P，图像流畅，无明显停顿、马赛克现象,合成画面任意两幅画面之间的同步时间差不超过50ms；</w:t>
      </w:r>
    </w:p>
    <w:p>
      <w:pPr>
        <w:ind w:firstLine="480"/>
        <w:rPr>
          <w:rFonts w:hint="eastAsia"/>
        </w:rPr>
      </w:pPr>
      <w:r>
        <w:rPr>
          <w:rFonts w:hint="eastAsia"/>
        </w:rPr>
        <w:t>2.庭审发言及扩声系统</w:t>
      </w:r>
    </w:p>
    <w:p>
      <w:pPr>
        <w:ind w:firstLine="480"/>
        <w:rPr>
          <w:rFonts w:hint="default"/>
          <w:lang w:val="en-US"/>
        </w:rPr>
      </w:pPr>
      <w:r>
        <w:rPr>
          <w:rFonts w:hint="eastAsia"/>
          <w:lang w:val="en-US" w:eastAsia="zh-CN"/>
        </w:rPr>
        <w:t>部署</w:t>
      </w:r>
      <w:r>
        <w:rPr>
          <w:rFonts w:hint="eastAsia"/>
        </w:rPr>
        <w:t>法庭庭审发言及扩声系统</w:t>
      </w:r>
      <w:r>
        <w:rPr>
          <w:rFonts w:hint="eastAsia"/>
          <w:lang w:eastAsia="zh-CN"/>
        </w:rPr>
        <w:t>，</w:t>
      </w:r>
      <w:r>
        <w:rPr>
          <w:rFonts w:hint="eastAsia"/>
        </w:rPr>
        <w:t>全面覆盖法庭所有相关席位。</w:t>
      </w:r>
      <w:r>
        <w:rPr>
          <w:rFonts w:hint="eastAsia"/>
          <w:lang w:val="en-US" w:eastAsia="zh-CN"/>
        </w:rPr>
        <w:t>包括桌面话筒、音响功放、音响、电源时序器和音频处理设备等。</w:t>
      </w:r>
    </w:p>
    <w:p>
      <w:pPr>
        <w:ind w:firstLine="480"/>
        <w:rPr>
          <w:rFonts w:hint="eastAsia"/>
        </w:rPr>
      </w:pPr>
      <w:r>
        <w:rPr>
          <w:rFonts w:hint="eastAsia"/>
        </w:rPr>
        <w:t>3.庭审智能辅助系统</w:t>
      </w:r>
    </w:p>
    <w:p>
      <w:pPr>
        <w:ind w:firstLine="480"/>
        <w:rPr>
          <w:rFonts w:hint="default" w:eastAsia="宋体"/>
          <w:lang w:val="en-US" w:eastAsia="zh-CN"/>
        </w:rPr>
      </w:pPr>
      <w:r>
        <w:rPr>
          <w:rFonts w:hint="eastAsia"/>
        </w:rPr>
        <w:t>法官可通过庭审法官辅助终端实时查看书记员笔录，通过部署高院统一下发的庭审智能辅助系统，可实现庭审笔录、笔录查看、庭审直播视频查看、庭审交流、资料调阅、内部通讯录查看等功能，以提高法官和书记员的庭审效率。</w:t>
      </w:r>
      <w:r>
        <w:rPr>
          <w:rFonts w:hint="eastAsia"/>
          <w:lang w:val="en-US" w:eastAsia="zh-CN"/>
        </w:rPr>
        <w:t>主要包括庭审法官、书记员及当事人终端电脑等设备。</w:t>
      </w:r>
    </w:p>
    <w:p>
      <w:pPr>
        <w:ind w:firstLine="480"/>
        <w:rPr>
          <w:rFonts w:hint="eastAsia"/>
        </w:rPr>
      </w:pPr>
      <w:r>
        <w:rPr>
          <w:rFonts w:hint="eastAsia"/>
          <w:lang w:val="en-US" w:eastAsia="zh-CN"/>
        </w:rPr>
        <w:t>4</w:t>
      </w:r>
      <w:r>
        <w:rPr>
          <w:rFonts w:hint="eastAsia"/>
        </w:rPr>
        <w:t>.</w:t>
      </w:r>
      <w:r>
        <w:rPr>
          <w:rFonts w:hint="eastAsia"/>
          <w:lang w:val="en-US" w:eastAsia="zh-CN"/>
        </w:rPr>
        <w:t>融合</w:t>
      </w:r>
      <w:r>
        <w:rPr>
          <w:rFonts w:hint="eastAsia"/>
        </w:rPr>
        <w:t>庭审系统</w:t>
      </w:r>
    </w:p>
    <w:p>
      <w:pPr>
        <w:ind w:firstLine="480"/>
        <w:rPr>
          <w:rFonts w:hint="default" w:eastAsia="宋体"/>
          <w:lang w:val="en-US" w:eastAsia="zh-CN"/>
        </w:rPr>
      </w:pPr>
      <w:r>
        <w:rPr>
          <w:rFonts w:hint="eastAsia"/>
        </w:rPr>
        <w:t>建设</w:t>
      </w:r>
      <w:r>
        <w:rPr>
          <w:rFonts w:hint="eastAsia"/>
          <w:lang w:val="en-US" w:eastAsia="zh-CN"/>
        </w:rPr>
        <w:t>跨网融合</w:t>
      </w:r>
      <w:r>
        <w:rPr>
          <w:rFonts w:hint="eastAsia"/>
        </w:rPr>
        <w:t>庭审系统，将法庭打造成具备线上线下</w:t>
      </w:r>
      <w:r>
        <w:rPr>
          <w:rFonts w:hint="eastAsia"/>
          <w:lang w:val="en-US" w:eastAsia="zh-CN"/>
        </w:rPr>
        <w:t>和跨网</w:t>
      </w:r>
      <w:r>
        <w:rPr>
          <w:rFonts w:hint="eastAsia"/>
        </w:rPr>
        <w:t>庭审的多功能科技法庭，使得法官在任意一间科技法庭内都可以进行</w:t>
      </w:r>
      <w:r>
        <w:rPr>
          <w:rFonts w:hint="eastAsia"/>
          <w:lang w:val="en-US" w:eastAsia="zh-CN"/>
        </w:rPr>
        <w:t>融合</w:t>
      </w:r>
      <w:r>
        <w:rPr>
          <w:rFonts w:hint="eastAsia"/>
        </w:rPr>
        <w:t>庭审。</w:t>
      </w:r>
      <w:r>
        <w:rPr>
          <w:rFonts w:hint="eastAsia"/>
          <w:lang w:val="en-US" w:eastAsia="zh-CN"/>
        </w:rPr>
        <w:t>包括HDMI视频传输通道、网上庭审展示终端等设备。</w:t>
      </w:r>
    </w:p>
    <w:p>
      <w:pPr>
        <w:ind w:firstLine="480"/>
        <w:rPr>
          <w:rFonts w:hint="eastAsia"/>
        </w:rPr>
      </w:pPr>
      <w:r>
        <w:rPr>
          <w:rFonts w:hint="eastAsia"/>
        </w:rPr>
        <w:t>5.布线系统</w:t>
      </w:r>
    </w:p>
    <w:p>
      <w:pPr>
        <w:ind w:firstLine="480"/>
        <w:rPr>
          <w:rFonts w:hint="eastAsia"/>
        </w:rPr>
      </w:pPr>
      <w:r>
        <w:rPr>
          <w:rFonts w:hint="eastAsia"/>
        </w:rPr>
        <w:t>配置接入交换机用于庭审主机接入控制网，以及其它网络音频及控制系统的接入；各个子系统的弱电布线工作。</w:t>
      </w:r>
    </w:p>
    <w:p>
      <w:pPr>
        <w:ind w:firstLine="480"/>
        <w:rPr>
          <w:rFonts w:hint="eastAsia"/>
        </w:rPr>
      </w:pPr>
      <w:r>
        <w:rPr>
          <w:rFonts w:hint="eastAsia"/>
        </w:rPr>
        <w:t>6.其他</w:t>
      </w:r>
    </w:p>
    <w:p>
      <w:pPr>
        <w:ind w:firstLine="480"/>
        <w:rPr>
          <w:rFonts w:hint="eastAsia"/>
        </w:rPr>
      </w:pPr>
      <w:r>
        <w:rPr>
          <w:rFonts w:hint="eastAsia"/>
        </w:rPr>
        <w:t>配置庭审公告一体化屏、电子签名</w:t>
      </w:r>
      <w:r>
        <w:rPr>
          <w:rFonts w:hint="eastAsia"/>
          <w:lang w:val="en-US" w:eastAsia="zh-CN"/>
        </w:rPr>
        <w:t>板等</w:t>
      </w:r>
      <w:r>
        <w:rPr>
          <w:rFonts w:hint="eastAsia"/>
        </w:rPr>
        <w:t>。需部署上海法院</w:t>
      </w:r>
      <w:r>
        <w:rPr>
          <w:rFonts w:hint="eastAsia"/>
          <w:lang w:val="en-US" w:eastAsia="zh-CN"/>
        </w:rPr>
        <w:t>融合庭审系统</w:t>
      </w:r>
      <w:r>
        <w:rPr>
          <w:rFonts w:hint="eastAsia"/>
        </w:rPr>
        <w:t>等实现庭审系统对接功能。</w:t>
      </w:r>
    </w:p>
    <w:p>
      <w:pPr>
        <w:pStyle w:val="3"/>
      </w:pPr>
      <w:r>
        <w:rPr>
          <w:rFonts w:hint="eastAsia"/>
        </w:rPr>
        <w:t>工程范围</w:t>
      </w:r>
    </w:p>
    <w:p>
      <w:pPr>
        <w:ind w:firstLine="480"/>
      </w:pPr>
      <w:r>
        <w:rPr>
          <w:rFonts w:hint="eastAsia"/>
        </w:rPr>
        <w:t>本项目中标单位需要负责项目范围内各系统的深化设计、材料设备采购、试验、加工制作、保管、运输、安装、测试、清洁、产品保护、系统集成、配合验收、保修、培训、售后服务等工作，具体包括以下内容：</w:t>
      </w:r>
    </w:p>
    <w:p>
      <w:pPr>
        <w:ind w:firstLine="480"/>
      </w:pPr>
      <w:r>
        <w:t>负责本次招标范围内各子系统的采购、安装、系统调试等所有内容；</w:t>
      </w:r>
    </w:p>
    <w:p>
      <w:pPr>
        <w:ind w:firstLine="480"/>
      </w:pPr>
      <w:r>
        <w:t>负责系统的实施和工程协调管理；</w:t>
      </w:r>
    </w:p>
    <w:p>
      <w:pPr>
        <w:ind w:firstLine="480"/>
      </w:pPr>
      <w:r>
        <w:t>负责系统的调试、试运行、竣工验收，并根据建设单位的要求完成本项目所需的整体联动调试等；</w:t>
      </w:r>
    </w:p>
    <w:p>
      <w:pPr>
        <w:ind w:firstLine="480"/>
      </w:pPr>
      <w:r>
        <w:t>负责系统的竣工资料的收集、编制和管理，提交各个子系统以及与相关专用软件系统的联动测试和调试报告、系统操作规程、系统维修或保养手册、用户操作手册等；</w:t>
      </w:r>
    </w:p>
    <w:p>
      <w:pPr>
        <w:ind w:firstLine="480"/>
      </w:pPr>
      <w:r>
        <w:t>根据国家相关规定、技术规范等提供院方系统设备的使用人员培训及后续维修保养服务；</w:t>
      </w:r>
    </w:p>
    <w:p>
      <w:pPr>
        <w:ind w:firstLine="480"/>
      </w:pPr>
      <w:r>
        <w:t>满足所有设计与工程规范要求；</w:t>
      </w:r>
    </w:p>
    <w:p>
      <w:pPr>
        <w:ind w:firstLine="480"/>
      </w:pPr>
      <w:r>
        <w:t>实施期间，接受建设单位及监理单位的监管；</w:t>
      </w:r>
    </w:p>
    <w:p>
      <w:pPr>
        <w:ind w:firstLine="480"/>
      </w:pPr>
      <w:r>
        <w:t>在实施期间，服从建设单位通过工作指令单、设计变更单下达的其它相关工作内容；</w:t>
      </w:r>
    </w:p>
    <w:p>
      <w:pPr>
        <w:ind w:firstLine="480"/>
      </w:pPr>
      <w:r>
        <w:t>质保期对系统的运维保障。</w:t>
      </w:r>
    </w:p>
    <w:p>
      <w:pPr>
        <w:pStyle w:val="3"/>
      </w:pPr>
      <w:r>
        <w:rPr>
          <w:rFonts w:hint="eastAsia"/>
        </w:rPr>
        <w:t>系统建设清单</w:t>
      </w:r>
    </w:p>
    <w:tbl>
      <w:tblPr>
        <w:tblStyle w:val="14"/>
        <w:tblW w:w="5000" w:type="pct"/>
        <w:tblInd w:w="0" w:type="dxa"/>
        <w:tblLayout w:type="fixed"/>
        <w:tblCellMar>
          <w:top w:w="0" w:type="dxa"/>
          <w:left w:w="108" w:type="dxa"/>
          <w:bottom w:w="0" w:type="dxa"/>
          <w:right w:w="108" w:type="dxa"/>
        </w:tblCellMar>
      </w:tblPr>
      <w:tblGrid>
        <w:gridCol w:w="724"/>
        <w:gridCol w:w="1164"/>
        <w:gridCol w:w="5244"/>
        <w:gridCol w:w="729"/>
        <w:gridCol w:w="661"/>
      </w:tblGrid>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序号</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名称</w:t>
            </w:r>
          </w:p>
        </w:tc>
        <w:tc>
          <w:tcPr>
            <w:tcW w:w="307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sz w:val="21"/>
              </w:rPr>
            </w:pPr>
            <w:r>
              <w:rPr>
                <w:rFonts w:hint="eastAsia"/>
                <w:sz w:val="21"/>
              </w:rPr>
              <w:t>技术指标要求</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数量</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单位</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法官终端电脑</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产品性能指标不低于以下参数：法官终端电脑CPU：八8核,主频2.7GHz ；内存：8GB；硬盘：256GSSD；显卡：1G独显，23.8英寸显示器，光驱，配操作系统，流式/版式软件，杀毒软件；</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当事人终端电脑</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产品性能指标不低于以下参数：当事人终端电脑CPU：八8核,主频2.7GHz；内存：8GB；硬盘：256GSSD；显卡：1G独显，23.8英寸显示器，光驱，配操作系统，流式/版式软件，杀毒软件；</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28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话筒</w:t>
            </w:r>
          </w:p>
        </w:tc>
        <w:tc>
          <w:tcPr>
            <w:tcW w:w="307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sz w:val="21"/>
              </w:rPr>
            </w:pPr>
            <w:r>
              <w:rPr>
                <w:rFonts w:hint="eastAsia"/>
                <w:sz w:val="21"/>
              </w:rPr>
              <w:t>产品性能指标不低于以下参数：音体：电容式</w:t>
            </w:r>
            <w:r>
              <w:rPr>
                <w:rFonts w:hint="eastAsia"/>
                <w:sz w:val="21"/>
              </w:rPr>
              <w:br w:type="textWrapping"/>
            </w:r>
            <w:r>
              <w:rPr>
                <w:rFonts w:hint="eastAsia"/>
                <w:sz w:val="21"/>
              </w:rPr>
              <w:t>指向：心型单向指向性</w:t>
            </w:r>
            <w:r>
              <w:rPr>
                <w:rFonts w:hint="eastAsia"/>
                <w:sz w:val="21"/>
              </w:rPr>
              <w:br w:type="textWrapping"/>
            </w:r>
            <w:r>
              <w:rPr>
                <w:rFonts w:hint="eastAsia"/>
                <w:sz w:val="21"/>
              </w:rPr>
              <w:t>频率响应：85Hz-10KHz</w:t>
            </w:r>
            <w:r>
              <w:rPr>
                <w:rFonts w:hint="eastAsia"/>
                <w:sz w:val="21"/>
              </w:rPr>
              <w:br w:type="textWrapping"/>
            </w:r>
            <w:r>
              <w:rPr>
                <w:rFonts w:hint="eastAsia"/>
                <w:sz w:val="21"/>
              </w:rPr>
              <w:t>开通灵敏度：-38dB</w:t>
            </w:r>
            <w:r>
              <w:rPr>
                <w:rFonts w:hint="eastAsia"/>
                <w:sz w:val="21"/>
              </w:rPr>
              <w:br w:type="textWrapping"/>
            </w:r>
            <w:r>
              <w:rPr>
                <w:rFonts w:hint="eastAsia"/>
                <w:sz w:val="21"/>
              </w:rPr>
              <w:t>信燥比：≥70dB（KHz,1Pa）</w:t>
            </w:r>
            <w:r>
              <w:rPr>
                <w:rFonts w:hint="eastAsia"/>
                <w:sz w:val="21"/>
              </w:rPr>
              <w:br w:type="textWrapping"/>
            </w:r>
            <w:r>
              <w:rPr>
                <w:rFonts w:hint="eastAsia"/>
                <w:sz w:val="21"/>
              </w:rPr>
              <w:t>幻象供电：Dc48V或两节AA1.5V电池</w:t>
            </w:r>
            <w:r>
              <w:rPr>
                <w:rFonts w:hint="eastAsia"/>
                <w:sz w:val="21"/>
              </w:rPr>
              <w:br w:type="textWrapping"/>
            </w:r>
            <w:r>
              <w:rPr>
                <w:rFonts w:hint="eastAsia"/>
                <w:sz w:val="21"/>
              </w:rPr>
              <w:t>指示灯：红色</w:t>
            </w:r>
            <w:r>
              <w:rPr>
                <w:rFonts w:hint="eastAsia"/>
                <w:sz w:val="21"/>
              </w:rPr>
              <w:br w:type="textWrapping"/>
            </w:r>
            <w:r>
              <w:rPr>
                <w:rFonts w:hint="eastAsia"/>
                <w:sz w:val="21"/>
              </w:rPr>
              <w:t>尺寸：450mm</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54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支</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音频处理设备</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产品性能指标不低于以下参数：音频处理设备-音频输入通道：</w:t>
            </w:r>
            <w:r>
              <w:rPr>
                <w:rFonts w:hint="eastAsia"/>
                <w:sz w:val="21"/>
              </w:rPr>
              <w:br w:type="textWrapping"/>
            </w:r>
            <w:r>
              <w:rPr>
                <w:rFonts w:hint="eastAsia"/>
                <w:sz w:val="21"/>
              </w:rPr>
              <w:t>支持12路独立卡侬头接口的音频输入。满足同时采集12路麦克风的音频数据。支持12路独立电位器旋钮，增益范围：0dB ~ 53dB 。可独立调节各音频采集通道的增益大小。频率响应范围：22Hz to 22kHz(+/-0.1dB)。动态范围：100dB；信噪比：-100dB；输入阻抗：1.8K 欧；输入电平：平衡 +4dBu / 非平衡 -10dBV；</w:t>
            </w:r>
            <w:r>
              <w:rPr>
                <w:rFonts w:hint="eastAsia"/>
                <w:sz w:val="21"/>
              </w:rPr>
              <w:br w:type="textWrapping"/>
            </w:r>
            <w:r>
              <w:rPr>
                <w:rFonts w:hint="eastAsia"/>
                <w:sz w:val="21"/>
              </w:rPr>
              <w:t>音频输出通道：</w:t>
            </w:r>
            <w:r>
              <w:rPr>
                <w:rFonts w:hint="eastAsia"/>
                <w:sz w:val="21"/>
              </w:rPr>
              <w:br w:type="textWrapping"/>
            </w:r>
            <w:r>
              <w:rPr>
                <w:rFonts w:hint="eastAsia"/>
                <w:sz w:val="21"/>
              </w:rPr>
              <w:t>支持12路大三芯接口音频平衡输出，可连接耳机、音箱、调音台等使用。支持1路混音输出。满足12路到任意1路的混音，用于非平衡混音输出。带有音量控制旋钮，调节混音输出大小。带屏蔽层的RJ45网口，抗干扰性强，支持数字音频输出。网络接入后台，并实现与科技法庭的音频设备无缝对接。频率响应范围：22Hz to 22kHz(+/-0.1dB)；动态范围：100dB；信噪比：-100dB；输出阻抗：100 欧；</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电子签名板</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产品性能指标不低于以下参数：支持手写电子签名，支持xc操作系统。</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个</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视频光端机</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产品性能指标不低于以下参数：HDMI视频传输信道 3路</w:t>
            </w:r>
            <w:r>
              <w:rPr>
                <w:rFonts w:hint="eastAsia"/>
                <w:sz w:val="21"/>
              </w:rPr>
              <w:br w:type="textWrapping"/>
            </w:r>
            <w:r>
              <w:rPr>
                <w:rFonts w:hint="eastAsia"/>
                <w:sz w:val="21"/>
              </w:rPr>
              <w:t>光纤 输入光中心波长 多模（850nm）;单模（1310nm，1550nm）</w:t>
            </w:r>
            <w:r>
              <w:rPr>
                <w:rFonts w:hint="eastAsia"/>
                <w:sz w:val="21"/>
              </w:rPr>
              <w:br w:type="textWrapping"/>
            </w:r>
            <w:r>
              <w:rPr>
                <w:rFonts w:hint="eastAsia"/>
                <w:sz w:val="21"/>
              </w:rPr>
              <w:t xml:space="preserve"> 发射功率 －9.5～－3dBm平均光功率@850nm</w:t>
            </w:r>
            <w:r>
              <w:rPr>
                <w:rFonts w:hint="eastAsia"/>
                <w:sz w:val="21"/>
              </w:rPr>
              <w:br w:type="textWrapping"/>
            </w:r>
            <w:r>
              <w:rPr>
                <w:rFonts w:hint="eastAsia"/>
                <w:sz w:val="21"/>
              </w:rPr>
              <w:t xml:space="preserve"> 光接收灵敏度 －15dBm平均光功率@850nm</w:t>
            </w:r>
            <w:r>
              <w:rPr>
                <w:rFonts w:hint="eastAsia"/>
                <w:sz w:val="21"/>
              </w:rPr>
              <w:br w:type="textWrapping"/>
            </w:r>
            <w:r>
              <w:rPr>
                <w:rFonts w:hint="eastAsia"/>
                <w:sz w:val="21"/>
              </w:rPr>
              <w:t xml:space="preserve"> 传输码速率 3G Hz</w:t>
            </w:r>
            <w:r>
              <w:rPr>
                <w:rFonts w:hint="eastAsia"/>
                <w:sz w:val="21"/>
              </w:rPr>
              <w:br w:type="textWrapping"/>
            </w:r>
            <w:r>
              <w:rPr>
                <w:rFonts w:hint="eastAsia"/>
                <w:sz w:val="21"/>
              </w:rPr>
              <w:t xml:space="preserve"> 传输距离 1米～2000米多模光纤</w:t>
            </w:r>
            <w:r>
              <w:rPr>
                <w:rFonts w:hint="eastAsia"/>
                <w:sz w:val="21"/>
              </w:rPr>
              <w:br w:type="textWrapping"/>
            </w:r>
            <w:r>
              <w:rPr>
                <w:rFonts w:hint="eastAsia"/>
                <w:sz w:val="21"/>
              </w:rPr>
              <w:t>1米～10公里单模光纤</w:t>
            </w:r>
            <w:r>
              <w:rPr>
                <w:rFonts w:hint="eastAsia"/>
                <w:sz w:val="21"/>
              </w:rPr>
              <w:br w:type="textWrapping"/>
            </w:r>
            <w:r>
              <w:rPr>
                <w:rFonts w:hint="eastAsia"/>
                <w:sz w:val="21"/>
              </w:rPr>
              <w:t>电源部分 供电方式 内置电源</w:t>
            </w:r>
            <w:r>
              <w:rPr>
                <w:rFonts w:hint="eastAsia"/>
                <w:sz w:val="21"/>
              </w:rPr>
              <w:br w:type="textWrapping"/>
            </w:r>
            <w:r>
              <w:rPr>
                <w:rFonts w:hint="eastAsia"/>
                <w:sz w:val="21"/>
              </w:rPr>
              <w:t xml:space="preserve"> 适应电压范围 AC220V</w:t>
            </w:r>
            <w:r>
              <w:rPr>
                <w:rFonts w:hint="eastAsia"/>
                <w:sz w:val="21"/>
              </w:rPr>
              <w:br w:type="textWrapping"/>
            </w:r>
            <w:r>
              <w:rPr>
                <w:rFonts w:hint="eastAsia"/>
                <w:sz w:val="21"/>
              </w:rPr>
              <w:t xml:space="preserve"> 功耗 &lt;10W</w:t>
            </w:r>
            <w:r>
              <w:rPr>
                <w:rFonts w:hint="eastAsia"/>
                <w:sz w:val="21"/>
              </w:rPr>
              <w:br w:type="textWrapping"/>
            </w:r>
            <w:r>
              <w:rPr>
                <w:rFonts w:hint="eastAsia"/>
                <w:sz w:val="21"/>
              </w:rPr>
              <w:t xml:space="preserve"> 光纤接口 单模单纤FC光纤接口</w:t>
            </w:r>
            <w:r>
              <w:rPr>
                <w:rFonts w:hint="eastAsia"/>
                <w:sz w:val="21"/>
              </w:rPr>
              <w:br w:type="textWrapping"/>
            </w:r>
            <w:r>
              <w:rPr>
                <w:rFonts w:hint="eastAsia"/>
                <w:sz w:val="21"/>
              </w:rPr>
              <w:t>操作环境 工作温度 0～55℃</w:t>
            </w:r>
            <w:r>
              <w:rPr>
                <w:rFonts w:hint="eastAsia"/>
                <w:sz w:val="21"/>
              </w:rPr>
              <w:br w:type="textWrapping"/>
            </w:r>
            <w:r>
              <w:rPr>
                <w:rFonts w:hint="eastAsia"/>
                <w:sz w:val="21"/>
              </w:rPr>
              <w:t xml:space="preserve"> 存储温度 -20～70℃</w:t>
            </w:r>
            <w:r>
              <w:rPr>
                <w:rFonts w:hint="eastAsia"/>
                <w:sz w:val="21"/>
              </w:rPr>
              <w:br w:type="textWrapping"/>
            </w:r>
            <w:r>
              <w:rPr>
                <w:rFonts w:hint="eastAsia"/>
                <w:sz w:val="21"/>
              </w:rPr>
              <w:t xml:space="preserve"> 湿度(无凝结) 0～95%</w:t>
            </w:r>
            <w:r>
              <w:rPr>
                <w:rFonts w:hint="eastAsia"/>
                <w:sz w:val="21"/>
              </w:rPr>
              <w:br w:type="textWrapping"/>
            </w:r>
            <w:r>
              <w:rPr>
                <w:rFonts w:hint="eastAsia"/>
                <w:sz w:val="21"/>
              </w:rPr>
              <w:t>机体属性 尺寸(长×宽×高) 19英寸宽，1U高</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7</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庭审主机</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详见“重要产品技术指标要求”</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庭审摄像机</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详见“重要产品技术指标要求”</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24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个</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摄像头支架</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产品性能指标不低于以下参数：摄像头支架</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24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个</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10</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音响功放</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产品性能指标不低于以下参数：音响功放：</w:t>
            </w:r>
            <w:r>
              <w:rPr>
                <w:rFonts w:hint="eastAsia"/>
                <w:sz w:val="21"/>
              </w:rPr>
              <w:br w:type="textWrapping"/>
            </w:r>
            <w:r>
              <w:rPr>
                <w:rFonts w:hint="eastAsia"/>
                <w:sz w:val="21"/>
              </w:rPr>
              <w:t>1.额定输出功率：2x350W@4R；2x180W@8R</w:t>
            </w:r>
            <w:r>
              <w:rPr>
                <w:rFonts w:hint="eastAsia"/>
                <w:sz w:val="21"/>
              </w:rPr>
              <w:br w:type="textWrapping"/>
            </w:r>
            <w:r>
              <w:rPr>
                <w:rFonts w:hint="eastAsia"/>
                <w:sz w:val="21"/>
              </w:rPr>
              <w:t>2.保护：过载、短路、过压、欠压保护</w:t>
            </w:r>
            <w:r>
              <w:rPr>
                <w:rFonts w:hint="eastAsia"/>
                <w:sz w:val="21"/>
              </w:rPr>
              <w:br w:type="textWrapping"/>
            </w:r>
            <w:r>
              <w:rPr>
                <w:rFonts w:hint="eastAsia"/>
                <w:sz w:val="21"/>
              </w:rPr>
              <w:t>3.供电电压：220V 50Hz</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音响</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产品性能指标不低于以下参数：音响：</w:t>
            </w:r>
            <w:r>
              <w:rPr>
                <w:rFonts w:hint="eastAsia"/>
                <w:sz w:val="21"/>
              </w:rPr>
              <w:br w:type="textWrapping"/>
            </w:r>
            <w:r>
              <w:rPr>
                <w:rFonts w:hint="eastAsia"/>
                <w:sz w:val="21"/>
              </w:rPr>
              <w:t>1.阻抗：8Ω</w:t>
            </w:r>
            <w:r>
              <w:rPr>
                <w:rFonts w:hint="eastAsia"/>
                <w:sz w:val="21"/>
              </w:rPr>
              <w:br w:type="textWrapping"/>
            </w:r>
            <w:r>
              <w:rPr>
                <w:rFonts w:hint="eastAsia"/>
                <w:sz w:val="21"/>
              </w:rPr>
              <w:t>2.额定功率：≥120W</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个</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电源时序器</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产品性能指标不低于以下参数：电源时序器-控制数量及容量：后面8路10A可控，前面1路直通</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交换机</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产品性能指标不低于以下参数：上行端口速率：千兆</w:t>
            </w:r>
            <w:r>
              <w:rPr>
                <w:rFonts w:hint="eastAsia"/>
                <w:sz w:val="21"/>
              </w:rPr>
              <w:br w:type="textWrapping"/>
            </w:r>
            <w:r>
              <w:rPr>
                <w:rFonts w:hint="eastAsia"/>
                <w:sz w:val="21"/>
              </w:rPr>
              <w:t>下行端口速率：千兆</w:t>
            </w:r>
            <w:r>
              <w:rPr>
                <w:rFonts w:hint="eastAsia"/>
                <w:sz w:val="21"/>
              </w:rPr>
              <w:br w:type="textWrapping"/>
            </w:r>
            <w:r>
              <w:rPr>
                <w:rFonts w:hint="eastAsia"/>
                <w:sz w:val="21"/>
              </w:rPr>
              <w:t>端口数量：≥16口</w:t>
            </w:r>
            <w:r>
              <w:rPr>
                <w:rFonts w:hint="eastAsia"/>
                <w:sz w:val="21"/>
              </w:rPr>
              <w:br w:type="textWrapping"/>
            </w:r>
            <w:r>
              <w:rPr>
                <w:rFonts w:hint="eastAsia"/>
                <w:sz w:val="21"/>
              </w:rPr>
              <w:t>端口类型：电口</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HDMI长距离传输器</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产品性能指标不低于以下参数：HDMI长距离传输器：连接线：HDMI</w:t>
            </w:r>
            <w:r>
              <w:rPr>
                <w:rFonts w:hint="eastAsia"/>
                <w:sz w:val="21"/>
              </w:rPr>
              <w:br w:type="textWrapping"/>
            </w:r>
            <w:r>
              <w:rPr>
                <w:rFonts w:hint="eastAsia"/>
                <w:sz w:val="21"/>
              </w:rPr>
              <w:t>转换线：HDMI转RJ45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套</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网上庭审展示终端</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产品性能指标不低于以下参数：网上庭审展示终端-分辨率：4K（3840*2160）</w:t>
            </w:r>
            <w:r>
              <w:rPr>
                <w:rFonts w:hint="eastAsia"/>
                <w:sz w:val="21"/>
              </w:rPr>
              <w:br w:type="textWrapping"/>
            </w:r>
            <w:r>
              <w:rPr>
                <w:rFonts w:hint="eastAsia"/>
                <w:sz w:val="21"/>
              </w:rPr>
              <w:t>55英寸 4K 智能电视 HDMI接口，支持电源加电自动唤醒</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电视支架</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产品性能指标不低于以下参数：电视支架，国产定制，壁挂，摇臂</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套</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17</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机柜</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产品性能指标不低于以下参数：机柜600*600标准机柜≥18U</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书记员终端电脑</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产品性能指标不低于以下参数：书记员终端电脑CPU：八8核,主频2.7GHz；内存：8GB；硬盘：256GSSD；显卡：1G独显，23.8英寸显示器，光驱，配操作系统，流式/版式软件，</w:t>
            </w:r>
            <w:r>
              <w:rPr>
                <w:sz w:val="21"/>
              </w:rPr>
              <w:t>wps/</w:t>
            </w:r>
            <w:r>
              <w:rPr>
                <w:rFonts w:hint="eastAsia"/>
                <w:sz w:val="21"/>
              </w:rPr>
              <w:t>杀毒软件；</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台</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19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HDMI长距离传输器</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产品性能指标不低于以下参数：HDMI长距离传输器：连接线：HDMI</w:t>
            </w:r>
            <w:r>
              <w:rPr>
                <w:rFonts w:hint="eastAsia"/>
                <w:sz w:val="21"/>
              </w:rPr>
              <w:br w:type="textWrapping"/>
            </w:r>
            <w:r>
              <w:rPr>
                <w:rFonts w:hint="eastAsia"/>
                <w:sz w:val="21"/>
              </w:rPr>
              <w:t>转换线：HDMI转RJ45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套</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20</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庭审公告一体化屏</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产品性能指标不低于以下参数：庭审公告一体化屏-21.5吋高清屏,LED背光；显示分辨率：1920*1080；250cd/m2；单机版本；包含公告屏软件部署对接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块</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21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线材辅材</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线材辅材-包括音视频、VGA、控制、电源等线缆，以及接头、管槽、辅材等</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批</w:t>
            </w:r>
          </w:p>
        </w:tc>
      </w:tr>
      <w:tr>
        <w:tblPrEx>
          <w:tblCellMar>
            <w:top w:w="0" w:type="dxa"/>
            <w:left w:w="108" w:type="dxa"/>
            <w:bottom w:w="0" w:type="dxa"/>
            <w:right w:w="108" w:type="dxa"/>
          </w:tblCellMar>
        </w:tblPrEx>
        <w:trPr>
          <w:trHeight w:val="28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22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融合法庭部署</w:t>
            </w:r>
          </w:p>
        </w:tc>
        <w:tc>
          <w:tcPr>
            <w:tcW w:w="30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lang w:val="en-US" w:eastAsia="zh-CN"/>
              </w:rPr>
              <w:t>上海法院统一</w:t>
            </w:r>
            <w:r>
              <w:rPr>
                <w:rFonts w:hint="eastAsia"/>
                <w:sz w:val="21"/>
              </w:rPr>
              <w:t>融合</w:t>
            </w:r>
            <w:r>
              <w:rPr>
                <w:rFonts w:hint="eastAsia"/>
                <w:sz w:val="21"/>
                <w:lang w:val="en-US" w:eastAsia="zh-CN"/>
              </w:rPr>
              <w:t>庭审系统</w:t>
            </w:r>
            <w:r>
              <w:rPr>
                <w:rFonts w:hint="eastAsia"/>
                <w:sz w:val="21"/>
              </w:rPr>
              <w:t>部署</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6</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rPr>
                <w:sz w:val="21"/>
              </w:rPr>
            </w:pPr>
            <w:r>
              <w:rPr>
                <w:rFonts w:hint="eastAsia"/>
                <w:sz w:val="21"/>
              </w:rPr>
              <w:t>项</w:t>
            </w:r>
          </w:p>
        </w:tc>
      </w:tr>
    </w:tbl>
    <w:p>
      <w:pPr>
        <w:pStyle w:val="3"/>
      </w:pPr>
      <w:r>
        <w:rPr>
          <w:rFonts w:hint="eastAsia"/>
        </w:rPr>
        <w:t>主要设备技术参数</w:t>
      </w:r>
    </w:p>
    <w:p>
      <w:pPr>
        <w:pStyle w:val="4"/>
      </w:pPr>
      <w:r>
        <w:rPr>
          <w:rFonts w:hint="eastAsia"/>
        </w:rPr>
        <w:t>庭审主机</w:t>
      </w:r>
    </w:p>
    <w:p>
      <w:pPr>
        <w:ind w:firstLine="480"/>
      </w:pPr>
      <w:r>
        <w:rPr>
          <w:rFonts w:hint="eastAsia"/>
        </w:rPr>
        <w:t>▲具备≥</w:t>
      </w:r>
      <w:r>
        <w:t>8寸液晶触控屏；</w:t>
      </w:r>
      <w:r>
        <w:rPr>
          <w:rFonts w:hint="eastAsia"/>
        </w:rPr>
        <w:t>（需提供产品界面截图、产品彩页、产品说明书、产品白皮书或第三方CMA认证的检测机构出具的检测报告等证明材料）</w:t>
      </w:r>
    </w:p>
    <w:p>
      <w:pPr>
        <w:ind w:firstLine="480"/>
      </w:pPr>
      <w:r>
        <w:rPr>
          <w:rFonts w:hint="eastAsia"/>
        </w:rPr>
        <w:t>▲≥</w:t>
      </w:r>
      <w:r>
        <w:t>6路3G-SDI数字高清摄像机接入，≥4路DVI可兼容VGA/HDMI/DVI/信号接入;≥6路HDMI接口；支持最大1080P信号输入</w:t>
      </w:r>
      <w:r>
        <w:rPr>
          <w:rFonts w:hint="eastAsia"/>
        </w:rPr>
        <w:t>（需提供产品界面截图、产品彩页、产品说明书、产品白皮书或第三方CMA认证的检测机构出具的检测报告等证明材料）</w:t>
      </w:r>
    </w:p>
    <w:p>
      <w:pPr>
        <w:ind w:firstLine="480"/>
      </w:pPr>
      <w:r>
        <w:rPr>
          <w:rFonts w:hint="eastAsia"/>
        </w:rPr>
        <w:t>支持≥</w:t>
      </w:r>
      <w:r>
        <w:t>6路数字高清视频信号DVI接口输出，并可兼容HDMI、DVI、VGA信号输出;支持≥3路HDMI数字高清视频信号输出（HDMI输出分辨率最大4K30）。</w:t>
      </w:r>
    </w:p>
    <w:p>
      <w:pPr>
        <w:ind w:firstLine="480"/>
      </w:pPr>
      <w:r>
        <w:rPr>
          <w:rFonts w:hint="eastAsia"/>
        </w:rPr>
        <w:t>具备内置矩阵，支持多路信号的同步切换，</w:t>
      </w:r>
      <w:r>
        <w:t>SDI支持1080P60高清视频信号，HDMI支持4K30高清视频信号</w:t>
      </w:r>
    </w:p>
    <w:p>
      <w:pPr>
        <w:ind w:firstLine="480"/>
      </w:pPr>
      <w:r>
        <w:rPr>
          <w:rFonts w:hint="eastAsia"/>
        </w:rPr>
        <w:t>≥</w:t>
      </w:r>
      <w:r>
        <w:t>12路麦克风接入端口，提供48V幻象电源；</w:t>
      </w:r>
    </w:p>
    <w:p>
      <w:pPr>
        <w:ind w:firstLine="480"/>
      </w:pPr>
      <w:r>
        <w:rPr>
          <w:rFonts w:hint="eastAsia"/>
        </w:rPr>
        <w:t>支持语音激励功能，自动将对准发言人的摄像机画面切换到画面分割模式中的主画面窗口；</w:t>
      </w:r>
    </w:p>
    <w:p>
      <w:pPr>
        <w:ind w:firstLine="480"/>
      </w:pPr>
      <w:r>
        <w:rPr>
          <w:rFonts w:hint="eastAsia"/>
        </w:rPr>
        <w:t>≥</w:t>
      </w:r>
      <w:r>
        <w:t>4路线性音频输入接口，用于音频输入；</w:t>
      </w:r>
    </w:p>
    <w:p>
      <w:pPr>
        <w:ind w:firstLine="480"/>
      </w:pPr>
      <w:r>
        <w:rPr>
          <w:rFonts w:hint="eastAsia"/>
        </w:rPr>
        <w:t>≥</w:t>
      </w:r>
      <w:r>
        <w:t>3路线性音频输出端口；每路输出都带有音量、音调调节等功能；</w:t>
      </w:r>
    </w:p>
    <w:p>
      <w:pPr>
        <w:ind w:firstLine="480"/>
      </w:pPr>
      <w:r>
        <w:rPr>
          <w:rFonts w:hint="eastAsia"/>
        </w:rPr>
        <w:t>▲支持调节合成画面尺寸，支持</w:t>
      </w:r>
      <w:r>
        <w:t>4K、2K、1080P、720P、D1分辨率编码，合成画面帧率支持30fps、45fps和60fps可设置；</w:t>
      </w:r>
      <w:r>
        <w:rPr>
          <w:rFonts w:hint="eastAsia"/>
        </w:rPr>
        <w:t>（需提供产品界面截图、产品彩页、产品说明书、产品白皮书或第三方CMA认证的检测机构出具的检测报告等证明材料）</w:t>
      </w:r>
    </w:p>
    <w:p>
      <w:pPr>
        <w:ind w:firstLine="480"/>
      </w:pPr>
      <w:r>
        <w:rPr>
          <w:rFonts w:hint="eastAsia"/>
        </w:rPr>
        <w:t>具有人声变音处理功能</w:t>
      </w:r>
    </w:p>
    <w:p>
      <w:pPr>
        <w:ind w:firstLine="480"/>
      </w:pPr>
      <w:r>
        <w:rPr>
          <w:rFonts w:hint="eastAsia"/>
        </w:rPr>
        <w:t>内置数字音频处理器，支持反馈消除</w:t>
      </w:r>
      <w:r>
        <w:t>AFC、回声消除AEC、背景自动降噪ANC等功能，提供专业级音频效果；</w:t>
      </w:r>
    </w:p>
    <w:p>
      <w:pPr>
        <w:ind w:firstLine="480"/>
      </w:pPr>
      <w:r>
        <w:rPr>
          <w:rFonts w:hint="eastAsia"/>
        </w:rPr>
        <w:t>具备硬件高清图像合成器，可提供</w:t>
      </w:r>
      <w:r>
        <w:t>2/4/6/8/9等多种合成画面格式，合成画面分辨率支持1080P与4K；</w:t>
      </w:r>
    </w:p>
    <w:p>
      <w:pPr>
        <w:ind w:firstLine="480"/>
      </w:pPr>
      <w:r>
        <w:rPr>
          <w:rFonts w:hint="eastAsia"/>
        </w:rPr>
        <w:t>支持两路不同图像输出；</w:t>
      </w:r>
    </w:p>
    <w:p>
      <w:pPr>
        <w:ind w:firstLine="480"/>
      </w:pPr>
      <w:r>
        <w:rPr>
          <w:rFonts w:hint="eastAsia"/>
        </w:rPr>
        <w:t>支持≥</w:t>
      </w:r>
      <w:r>
        <w:t>4路远程1080P格式解码能力，可用于远程提讯、远程三方庭审（嫌疑人、公诉人均在远端）；</w:t>
      </w:r>
    </w:p>
    <w:p>
      <w:pPr>
        <w:ind w:firstLine="480"/>
      </w:pPr>
      <w:r>
        <w:rPr>
          <w:rFonts w:hint="eastAsia"/>
        </w:rPr>
        <w:t>▲支持</w:t>
      </w:r>
      <w:r>
        <w:t xml:space="preserve">H.323协议，可以与视频会议系统互联互通。满足不同类型远程开庭、远程提讯的应用； </w:t>
      </w:r>
      <w:r>
        <w:rPr>
          <w:rFonts w:hint="eastAsia"/>
        </w:rPr>
        <w:t>（需提供产品界面截图、产品彩页、产品说明书、产品白皮书或第三方CMA认证的检测机构出具的检测报告等证明材料）</w:t>
      </w:r>
    </w:p>
    <w:p>
      <w:pPr>
        <w:ind w:firstLine="480"/>
      </w:pPr>
      <w:r>
        <w:rPr>
          <w:rFonts w:hint="eastAsia"/>
        </w:rPr>
        <w:t>▲支持对多种视频智能分析（证人保护、庭纪监督、区域看防、视频诊断、异常行为检测、姿态检测）的算法进行详细的参数配置，支持视频窗口绘制待检测区域；（需提供产品界面截图、产品彩页、产品说明书、产品白皮书或第三方CMA认证的检测机构出具的检测报告等证明材料）</w:t>
      </w:r>
    </w:p>
    <w:p>
      <w:pPr>
        <w:ind w:firstLine="480"/>
      </w:pPr>
      <w:r>
        <w:rPr>
          <w:rFonts w:hint="eastAsia"/>
        </w:rPr>
        <w:t>视频输出格式：支持</w:t>
      </w:r>
      <w:r>
        <w:t xml:space="preserve">H.264和H.265编码，支持MPEG4文件存放格式； </w:t>
      </w:r>
    </w:p>
    <w:p>
      <w:pPr>
        <w:ind w:firstLine="480"/>
      </w:pPr>
      <w:r>
        <w:rPr>
          <w:rFonts w:hint="eastAsia"/>
        </w:rPr>
        <w:t>音频输出格式：支持</w:t>
      </w:r>
      <w:r>
        <w:t>AAC文件存放格式；</w:t>
      </w:r>
    </w:p>
    <w:p>
      <w:pPr>
        <w:ind w:firstLine="480"/>
      </w:pPr>
      <w:r>
        <w:rPr>
          <w:rFonts w:hint="eastAsia"/>
        </w:rPr>
        <w:t>可通过网络采用浏览器以</w:t>
      </w:r>
      <w:r>
        <w:t>WEB页面方式对主机进行远程控制、管理、系统升级；</w:t>
      </w:r>
    </w:p>
    <w:p>
      <w:pPr>
        <w:ind w:firstLine="480"/>
      </w:pPr>
      <w:r>
        <w:rPr>
          <w:rFonts w:hint="eastAsia"/>
        </w:rPr>
        <w:t>具备双网口；</w:t>
      </w:r>
    </w:p>
    <w:p>
      <w:pPr>
        <w:ind w:firstLine="480"/>
      </w:pPr>
      <w:r>
        <w:rPr>
          <w:rFonts w:hint="eastAsia"/>
        </w:rPr>
        <w:t>内置硬盘，提供主机庭审数据备份功能；</w:t>
      </w:r>
    </w:p>
    <w:p>
      <w:pPr>
        <w:pStyle w:val="4"/>
      </w:pPr>
      <w:r>
        <w:rPr>
          <w:rFonts w:hint="eastAsia"/>
        </w:rPr>
        <w:t>庭审摄像机</w:t>
      </w:r>
    </w:p>
    <w:p>
      <w:pPr>
        <w:ind w:firstLine="480"/>
      </w:pPr>
      <w:r>
        <w:rPr>
          <w:rFonts w:hint="eastAsia"/>
        </w:rPr>
        <w:t>▲</w:t>
      </w:r>
      <w:r>
        <w:t>1080P高清摄像机，采用1/1.8英寸200万像素高性能传感器</w:t>
      </w:r>
      <w:r>
        <w:rPr>
          <w:rFonts w:hint="eastAsia"/>
        </w:rPr>
        <w:t>（需提供产品界面截图、产品彩页、产品说明书、产品白皮书或第三方CMA认证的检测机构出具的检测报告等证明材料）</w:t>
      </w:r>
    </w:p>
    <w:p>
      <w:pPr>
        <w:ind w:firstLine="480"/>
      </w:pPr>
      <w:r>
        <w:t>支持高清分辨率输出；</w:t>
      </w:r>
    </w:p>
    <w:p>
      <w:pPr>
        <w:ind w:firstLine="480"/>
      </w:pPr>
      <w:r>
        <w:rPr>
          <w:rFonts w:hint="eastAsia"/>
        </w:rPr>
        <w:t>▲</w:t>
      </w:r>
      <w:r>
        <w:t>支持不低于12倍光学变倍，支持3D数字降噪，信噪比≥55dB</w:t>
      </w:r>
      <w:r>
        <w:rPr>
          <w:rFonts w:hint="eastAsia"/>
        </w:rPr>
        <w:t>（需提供产品界面截图、产品彩页、产品说明书、产品白皮书或第三方CMA认证的检测机构出具的检测报告等证明材料）</w:t>
      </w:r>
    </w:p>
    <w:p>
      <w:pPr>
        <w:ind w:firstLine="480"/>
      </w:pPr>
      <w:r>
        <w:t>支持强光抑制，支持SDI和网络接口音视频输出。</w:t>
      </w:r>
    </w:p>
    <w:p>
      <w:pPr>
        <w:ind w:firstLine="480"/>
      </w:pPr>
      <w:r>
        <w:t>水平视场角93.5°(w)~34°(t)</w:t>
      </w:r>
    </w:p>
    <w:p>
      <w:pPr>
        <w:ind w:firstLine="480"/>
      </w:pPr>
      <w:r>
        <w:t>水平转动范围0-360°，垂直转动范围0 ~ 90°</w:t>
      </w:r>
    </w:p>
    <w:p>
      <w:pPr>
        <w:ind w:firstLine="480"/>
      </w:pPr>
      <w:r>
        <w:rPr>
          <w:rFonts w:hint="eastAsia"/>
        </w:rPr>
        <w:t>▲</w:t>
      </w:r>
      <w:r>
        <w:t>预置位数量最大支持512，支持水平垂直翻转</w:t>
      </w:r>
      <w:r>
        <w:rPr>
          <w:rFonts w:hint="eastAsia"/>
        </w:rPr>
        <w:t>（需提供产品界面截图、产品彩页、产品说明书、产品白皮书或第三方CMA认证的检测机构出具的检测报告等证明材料）</w:t>
      </w:r>
    </w:p>
    <w:p>
      <w:pPr>
        <w:ind w:firstLine="480"/>
      </w:pPr>
      <w:r>
        <w:t>支持1路音频输入，1路音频输出，支持音量调节，支持哑音、静音、混音设置</w:t>
      </w:r>
    </w:p>
    <w:p>
      <w:pPr>
        <w:ind w:firstLine="480"/>
      </w:pPr>
      <w:r>
        <w:t>支持H.264/H.265视频编码</w:t>
      </w:r>
    </w:p>
    <w:p>
      <w:pPr>
        <w:ind w:firstLine="480"/>
      </w:pPr>
      <w:r>
        <w:t>支持SDI高清输出</w:t>
      </w:r>
    </w:p>
    <w:p>
      <w:pPr>
        <w:pStyle w:val="3"/>
      </w:pPr>
      <w:r>
        <w:rPr>
          <w:rFonts w:hint="eastAsia"/>
        </w:rPr>
        <w:t>系统建设要求</w:t>
      </w:r>
    </w:p>
    <w:p>
      <w:pPr>
        <w:ind w:firstLine="480"/>
      </w:pPr>
      <w:r>
        <w:rPr>
          <w:rFonts w:hint="eastAsia"/>
        </w:rPr>
        <w:t>本次采购项目需</w:t>
      </w:r>
      <w:bookmarkStart w:id="0" w:name="_GoBack"/>
      <w:r>
        <w:rPr>
          <w:rFonts w:hint="eastAsia"/>
        </w:rPr>
        <w:t>适配上海法院统一使用的融合庭审系统，纳入上海法院融合庭审系统进行统一管理，满足融合庭审的相关使用要求</w:t>
      </w:r>
      <w:bookmarkEnd w:id="0"/>
      <w:r>
        <w:rPr>
          <w:rFonts w:hint="eastAsia"/>
        </w:rPr>
        <w:t>。</w:t>
      </w:r>
    </w:p>
    <w:p>
      <w:pPr>
        <w:pStyle w:val="3"/>
      </w:pPr>
      <w:r>
        <w:rPr>
          <w:rFonts w:hint="eastAsia"/>
        </w:rPr>
        <w:t>建设周期</w:t>
      </w:r>
    </w:p>
    <w:p>
      <w:pPr>
        <w:ind w:firstLine="480"/>
      </w:pPr>
      <w:r>
        <w:rPr>
          <w:rFonts w:hint="eastAsia"/>
        </w:rPr>
        <w:t>自合同签订之日起3</w:t>
      </w:r>
      <w:r>
        <w:t>个月内完成项目建设并通过验收，其中包括1个月的试运行。</w:t>
      </w:r>
    </w:p>
    <w:p>
      <w:pPr>
        <w:pStyle w:val="3"/>
      </w:pPr>
      <w:r>
        <w:t>实施人员要求</w:t>
      </w:r>
    </w:p>
    <w:p>
      <w:pPr>
        <w:ind w:firstLine="480"/>
      </w:pPr>
      <w:r>
        <w:rPr>
          <w:rFonts w:hint="eastAsia"/>
        </w:rPr>
        <w:t>本项目技术环境复杂，且涉及多单位部门的协调，因此要求项目组成员具有</w:t>
      </w:r>
      <w:r>
        <w:rPr>
          <w:rFonts w:hint="eastAsia"/>
          <w:lang w:eastAsia="zh-CN"/>
        </w:rPr>
        <w:t>较</w:t>
      </w:r>
      <w:r>
        <w:rPr>
          <w:rFonts w:hint="eastAsia"/>
        </w:rPr>
        <w:t>强的组织协调能力，应重复考虑本项目的复杂程度及实施要求，合理配置项目实施团队，具体要求如下：</w:t>
      </w:r>
    </w:p>
    <w:p>
      <w:pPr>
        <w:ind w:firstLine="480"/>
      </w:pPr>
      <w:r>
        <w:t>1.要求明确实施团队的组织架构及各成员的分工职责；</w:t>
      </w:r>
    </w:p>
    <w:p>
      <w:pPr>
        <w:ind w:firstLine="480"/>
      </w:pPr>
      <w:r>
        <w:t>2.要求项目经理、项目组成员，需要是与</w:t>
      </w:r>
      <w:r>
        <w:rPr>
          <w:rFonts w:hint="eastAsia"/>
        </w:rPr>
        <w:t>投标供应商</w:t>
      </w:r>
      <w:r>
        <w:t>签订正式劳动关系的员工，需提供项目人员最近一季度任意一个月的社保缴费证明。</w:t>
      </w:r>
    </w:p>
    <w:p>
      <w:pPr>
        <w:ind w:firstLine="480"/>
      </w:pPr>
      <w:r>
        <w:t>3.项目经理要求：</w:t>
      </w:r>
      <w:r>
        <w:rPr>
          <w:rFonts w:hint="eastAsia"/>
        </w:rPr>
        <w:t>投标供应商</w:t>
      </w:r>
      <w:r>
        <w:t>应优先选派具备以下能力的人员作为项目经理，要求包括且不限于：具有本科及以上学位；具有高级工程师证书；具有10年以上</w:t>
      </w:r>
      <w:r>
        <w:rPr>
          <w:rFonts w:hint="eastAsia"/>
        </w:rPr>
        <w:t>信息化</w:t>
      </w:r>
      <w:r>
        <w:t>从业经历；至少担任过一个类似本项目的项目经理</w:t>
      </w:r>
      <w:r>
        <w:rPr>
          <w:rFonts w:hint="eastAsia"/>
        </w:rPr>
        <w:t>管理经验</w:t>
      </w:r>
      <w:r>
        <w:t>。</w:t>
      </w:r>
    </w:p>
    <w:p>
      <w:pPr>
        <w:ind w:firstLine="480"/>
      </w:pPr>
      <w:r>
        <w:t>4.项目组成员要求：为保证项目顺利实施，</w:t>
      </w:r>
      <w:r>
        <w:rPr>
          <w:rFonts w:hint="eastAsia"/>
        </w:rPr>
        <w:t>投标供应商</w:t>
      </w:r>
      <w:r>
        <w:t>应配备合理数量及丰富业绩的专业技术管理人员及项目组成员。</w:t>
      </w:r>
    </w:p>
    <w:p>
      <w:pPr>
        <w:pStyle w:val="3"/>
      </w:pPr>
      <w:r>
        <w:t>售后服务要求</w:t>
      </w:r>
    </w:p>
    <w:p>
      <w:pPr>
        <w:ind w:firstLine="480"/>
      </w:pPr>
      <w:r>
        <w:rPr>
          <w:rFonts w:hint="eastAsia"/>
        </w:rPr>
        <w:t>系统提供</w:t>
      </w:r>
      <w:r>
        <w:t>3年免费的保修服务，保修日期从系统验收之日起开始计算。</w:t>
      </w:r>
    </w:p>
    <w:p>
      <w:pPr>
        <w:ind w:firstLine="480"/>
      </w:pPr>
      <w:r>
        <w:rPr>
          <w:rFonts w:hint="eastAsia"/>
        </w:rPr>
        <w:t>系统建设完毕后，提供技术支持和保障服务；工作时间半小时响应，如有紧急或重大情况发生，需增派工程师提供现场服务；非工作时间</w:t>
      </w:r>
      <w:r>
        <w:t>2小时响应（上门服务），供应商应合理配备备件库，应具备一定数量的备品备件，以保证出现系统故障时能及时到达并于48小时内修复或提供备品备件保障系统正常运行。</w:t>
      </w:r>
    </w:p>
    <w:p>
      <w:pPr>
        <w:ind w:firstLine="480"/>
      </w:pPr>
      <w:r>
        <w:rPr>
          <w:rFonts w:hint="eastAsia"/>
        </w:rPr>
        <w:t>提供系统的技术培训、系统扩充、升级方面的技术支持服务。</w:t>
      </w:r>
    </w:p>
    <w:p>
      <w:pPr>
        <w:pStyle w:val="3"/>
      </w:pPr>
      <w:r>
        <w:t>其他要求</w:t>
      </w:r>
    </w:p>
    <w:p>
      <w:pPr>
        <w:ind w:firstLine="720" w:firstLineChars="300"/>
      </w:pPr>
      <w:r>
        <w:t>供应商具有质量管理体系认证、信息技术服务管理体系认证、信息安全管理体系认证的优先考虑</w:t>
      </w:r>
      <w:r>
        <w:rPr>
          <w:rFonts w:hint="eastAsia"/>
        </w:rPr>
        <w:t>。</w:t>
      </w:r>
    </w:p>
    <w:p>
      <w:pPr>
        <w:ind w:firstLine="240" w:firstLineChars="100"/>
      </w:pPr>
    </w:p>
    <w:p>
      <w:pPr>
        <w:ind w:firstLine="240" w:firstLineChars="10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等线">
    <w:altName w:val="仿宋_GB2312"/>
    <w:panose1 w:val="00000000000000000000"/>
    <w:charset w:val="00"/>
    <w:family w:val="auto"/>
    <w:pitch w:val="default"/>
    <w:sig w:usb0="00000000" w:usb1="00000000" w:usb2="00000000" w:usb3="00000000" w:csb0="00000000" w:csb1="00000000"/>
  </w:font>
  <w:font w:name="等线 Light">
    <w:altName w:val="仿宋_GB2312"/>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44BD3"/>
    <w:multiLevelType w:val="multilevel"/>
    <w:tmpl w:val="7A044BD3"/>
    <w:lvl w:ilvl="0" w:tentative="0">
      <w:start w:val="1"/>
      <w:numFmt w:val="decimal"/>
      <w:pStyle w:val="2"/>
      <w:suff w:val="space"/>
      <w:lvlText w:val="第%1章"/>
      <w:lvlJc w:val="center"/>
      <w:pPr>
        <w:ind w:left="0" w:firstLine="0"/>
      </w:pPr>
      <w:rPr>
        <w:rFonts w:hint="eastAsia" w:eastAsia="宋体"/>
      </w:rPr>
    </w:lvl>
    <w:lvl w:ilvl="1" w:tentative="0">
      <w:start w:val="1"/>
      <w:numFmt w:val="decimal"/>
      <w:pStyle w:val="3"/>
      <w:suff w:val="space"/>
      <w:lvlText w:val="%1.%2"/>
      <w:lvlJc w:val="left"/>
      <w:pPr>
        <w:ind w:left="0" w:firstLine="0"/>
      </w:pPr>
      <w:rPr>
        <w:rFonts w:hint="eastAsia" w:eastAsia="宋体"/>
      </w:rPr>
    </w:lvl>
    <w:lvl w:ilvl="2" w:tentative="0">
      <w:start w:val="1"/>
      <w:numFmt w:val="decimal"/>
      <w:pStyle w:val="4"/>
      <w:suff w:val="space"/>
      <w:lvlText w:val="%1.%2.%3"/>
      <w:lvlJc w:val="left"/>
      <w:pPr>
        <w:ind w:left="0" w:firstLine="0"/>
      </w:pPr>
      <w:rPr>
        <w:rFonts w:hint="default" w:eastAsia="宋体" w:asciiTheme="majorHAnsi" w:hAnsiTheme="majorHAnsi"/>
      </w:rPr>
    </w:lvl>
    <w:lvl w:ilvl="3" w:tentative="0">
      <w:start w:val="1"/>
      <w:numFmt w:val="decimal"/>
      <w:pStyle w:val="5"/>
      <w:suff w:val="space"/>
      <w:lvlText w:val="%1.%2.%3.%4"/>
      <w:lvlJc w:val="left"/>
      <w:pPr>
        <w:ind w:left="0" w:firstLine="0"/>
      </w:pPr>
      <w:rPr>
        <w:rFonts w:hint="eastAsia" w:eastAsia="宋体"/>
      </w:rPr>
    </w:lvl>
    <w:lvl w:ilvl="4" w:tentative="0">
      <w:start w:val="1"/>
      <w:numFmt w:val="decimal"/>
      <w:pStyle w:val="6"/>
      <w:suff w:val="space"/>
      <w:lvlText w:val="%1.%2.%3.%4.%5"/>
      <w:lvlJc w:val="left"/>
      <w:pPr>
        <w:ind w:left="568" w:firstLine="0"/>
      </w:pPr>
      <w:rPr>
        <w:rFonts w:hint="default" w:eastAsia="宋体" w:asciiTheme="majorHAnsi" w:hAnsiTheme="majorHAnsi"/>
      </w:rPr>
    </w:lvl>
    <w:lvl w:ilvl="5" w:tentative="0">
      <w:start w:val="1"/>
      <w:numFmt w:val="decimal"/>
      <w:pStyle w:val="7"/>
      <w:suff w:val="space"/>
      <w:lvlText w:val="%1.%2.%3.%4.%5.%6"/>
      <w:lvlJc w:val="left"/>
      <w:pPr>
        <w:ind w:left="567" w:firstLine="0"/>
      </w:pPr>
      <w:rPr>
        <w:rFonts w:hint="eastAsia" w:eastAsia="宋体"/>
      </w:rPr>
    </w:lvl>
    <w:lvl w:ilvl="6" w:tentative="0">
      <w:start w:val="1"/>
      <w:numFmt w:val="decimal"/>
      <w:pStyle w:val="8"/>
      <w:suff w:val="space"/>
      <w:lvlText w:val="%1.%2.%3.%4.%5.%6.%7"/>
      <w:lvlJc w:val="left"/>
      <w:pPr>
        <w:ind w:left="567" w:firstLine="0"/>
      </w:pPr>
      <w:rPr>
        <w:rFonts w:hint="eastAsia" w:eastAsia="宋体"/>
      </w:rPr>
    </w:lvl>
    <w:lvl w:ilvl="7" w:tentative="0">
      <w:start w:val="1"/>
      <w:numFmt w:val="decimal"/>
      <w:pStyle w:val="9"/>
      <w:suff w:val="space"/>
      <w:lvlText w:val="%1.%2.%3.%4.%5.%6.%7.%8"/>
      <w:lvlJc w:val="left"/>
      <w:pPr>
        <w:ind w:left="567" w:firstLine="0"/>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56B4D"/>
    <w:rsid w:val="0009224B"/>
    <w:rsid w:val="00127C14"/>
    <w:rsid w:val="001A2A45"/>
    <w:rsid w:val="003E51C6"/>
    <w:rsid w:val="004131D0"/>
    <w:rsid w:val="005B5E4F"/>
    <w:rsid w:val="00624821"/>
    <w:rsid w:val="00706810"/>
    <w:rsid w:val="007A48AD"/>
    <w:rsid w:val="007E009E"/>
    <w:rsid w:val="0080650B"/>
    <w:rsid w:val="008B1B35"/>
    <w:rsid w:val="00967E60"/>
    <w:rsid w:val="009A045C"/>
    <w:rsid w:val="00A3144F"/>
    <w:rsid w:val="00A8595F"/>
    <w:rsid w:val="00AD4B83"/>
    <w:rsid w:val="00B20164"/>
    <w:rsid w:val="00F04B1D"/>
    <w:rsid w:val="00F37B7B"/>
    <w:rsid w:val="00F56B4D"/>
    <w:rsid w:val="00F754EC"/>
    <w:rsid w:val="08757090"/>
    <w:rsid w:val="0AFA5870"/>
    <w:rsid w:val="186831A9"/>
    <w:rsid w:val="1C701E38"/>
    <w:rsid w:val="1EF67CA4"/>
    <w:rsid w:val="31702F8A"/>
    <w:rsid w:val="3BF78C84"/>
    <w:rsid w:val="49024538"/>
    <w:rsid w:val="4CD314A1"/>
    <w:rsid w:val="4F3A75B6"/>
    <w:rsid w:val="56781A69"/>
    <w:rsid w:val="58426B70"/>
    <w:rsid w:val="650C334B"/>
    <w:rsid w:val="6B8B11BC"/>
    <w:rsid w:val="79B152C3"/>
    <w:rsid w:val="7CA342FA"/>
    <w:rsid w:val="7EF7B26A"/>
    <w:rsid w:val="7FDF8F54"/>
    <w:rsid w:val="B72FA81D"/>
    <w:rsid w:val="BF2DDDB2"/>
    <w:rsid w:val="EDEFB9F8"/>
    <w:rsid w:val="EFEBE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1"/>
      <w:lang w:val="en-US" w:eastAsia="zh-CN" w:bidi="ar-SA"/>
    </w:rPr>
  </w:style>
  <w:style w:type="paragraph" w:styleId="2">
    <w:name w:val="heading 1"/>
    <w:basedOn w:val="1"/>
    <w:next w:val="1"/>
    <w:link w:val="17"/>
    <w:qFormat/>
    <w:uiPriority w:val="9"/>
    <w:pPr>
      <w:keepNext/>
      <w:keepLines/>
      <w:numPr>
        <w:ilvl w:val="0"/>
        <w:numId w:val="1"/>
      </w:numPr>
      <w:ind w:firstLineChars="0"/>
      <w:jc w:val="center"/>
      <w:outlineLvl w:val="0"/>
    </w:pPr>
    <w:rPr>
      <w:b/>
      <w:bCs/>
      <w:kern w:val="44"/>
      <w:sz w:val="36"/>
      <w:szCs w:val="44"/>
    </w:rPr>
  </w:style>
  <w:style w:type="paragraph" w:styleId="3">
    <w:name w:val="heading 2"/>
    <w:basedOn w:val="1"/>
    <w:next w:val="1"/>
    <w:link w:val="18"/>
    <w:unhideWhenUsed/>
    <w:qFormat/>
    <w:uiPriority w:val="9"/>
    <w:pPr>
      <w:keepNext/>
      <w:keepLines/>
      <w:numPr>
        <w:ilvl w:val="1"/>
        <w:numId w:val="1"/>
      </w:numPr>
      <w:ind w:firstLineChars="0"/>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numPr>
        <w:ilvl w:val="2"/>
        <w:numId w:val="1"/>
      </w:numPr>
      <w:ind w:firstLineChars="0"/>
      <w:outlineLvl w:val="2"/>
    </w:pPr>
    <w:rPr>
      <w:b/>
      <w:bCs/>
      <w:sz w:val="30"/>
      <w:szCs w:val="32"/>
    </w:rPr>
  </w:style>
  <w:style w:type="paragraph" w:styleId="5">
    <w:name w:val="heading 4"/>
    <w:basedOn w:val="1"/>
    <w:next w:val="1"/>
    <w:link w:val="20"/>
    <w:unhideWhenUsed/>
    <w:qFormat/>
    <w:uiPriority w:val="9"/>
    <w:pPr>
      <w:keepNext/>
      <w:keepLines/>
      <w:numPr>
        <w:ilvl w:val="3"/>
        <w:numId w:val="1"/>
      </w:numPr>
      <w:ind w:firstLineChars="0"/>
      <w:outlineLvl w:val="3"/>
    </w:pPr>
    <w:rPr>
      <w:rFonts w:asciiTheme="majorHAnsi" w:hAnsiTheme="majorHAnsi" w:eastAsiaTheme="majorEastAsia" w:cstheme="majorBidi"/>
      <w:b/>
      <w:bCs/>
      <w:sz w:val="28"/>
      <w:szCs w:val="28"/>
    </w:rPr>
  </w:style>
  <w:style w:type="paragraph" w:styleId="6">
    <w:name w:val="heading 5"/>
    <w:basedOn w:val="1"/>
    <w:next w:val="1"/>
    <w:link w:val="21"/>
    <w:unhideWhenUsed/>
    <w:qFormat/>
    <w:uiPriority w:val="9"/>
    <w:pPr>
      <w:keepNext/>
      <w:keepLines/>
      <w:numPr>
        <w:ilvl w:val="4"/>
        <w:numId w:val="1"/>
      </w:numPr>
      <w:ind w:firstLineChars="0"/>
      <w:outlineLvl w:val="4"/>
    </w:pPr>
    <w:rPr>
      <w:b/>
      <w:bCs/>
      <w:szCs w:val="28"/>
    </w:rPr>
  </w:style>
  <w:style w:type="paragraph" w:styleId="7">
    <w:name w:val="heading 6"/>
    <w:basedOn w:val="1"/>
    <w:next w:val="1"/>
    <w:link w:val="22"/>
    <w:unhideWhenUsed/>
    <w:qFormat/>
    <w:uiPriority w:val="9"/>
    <w:pPr>
      <w:keepNext/>
      <w:keepLines/>
      <w:numPr>
        <w:ilvl w:val="5"/>
        <w:numId w:val="1"/>
      </w:numPr>
      <w:ind w:firstLineChars="0"/>
      <w:outlineLvl w:val="5"/>
    </w:pPr>
    <w:rPr>
      <w:rFonts w:asciiTheme="majorHAnsi" w:hAnsiTheme="majorHAnsi" w:eastAsiaTheme="majorEastAsia" w:cstheme="majorBidi"/>
      <w:b/>
      <w:bCs/>
    </w:rPr>
  </w:style>
  <w:style w:type="paragraph" w:styleId="8">
    <w:name w:val="heading 7"/>
    <w:basedOn w:val="1"/>
    <w:next w:val="1"/>
    <w:link w:val="23"/>
    <w:unhideWhenUsed/>
    <w:qFormat/>
    <w:uiPriority w:val="9"/>
    <w:pPr>
      <w:keepNext/>
      <w:keepLines/>
      <w:numPr>
        <w:ilvl w:val="6"/>
        <w:numId w:val="1"/>
      </w:numPr>
      <w:spacing w:before="240" w:after="64" w:line="320" w:lineRule="auto"/>
      <w:ind w:firstLineChars="0"/>
      <w:outlineLvl w:val="6"/>
    </w:pPr>
    <w:rPr>
      <w:b/>
      <w:bCs/>
      <w:szCs w:val="24"/>
    </w:rPr>
  </w:style>
  <w:style w:type="paragraph" w:styleId="9">
    <w:name w:val="heading 8"/>
    <w:basedOn w:val="1"/>
    <w:next w:val="1"/>
    <w:link w:val="24"/>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7"/>
    <w:semiHidden/>
    <w:unhideWhenUsed/>
    <w:qFormat/>
    <w:uiPriority w:val="99"/>
    <w:pPr>
      <w:spacing w:line="240" w:lineRule="auto"/>
    </w:pPr>
    <w:rPr>
      <w:sz w:val="18"/>
      <w:szCs w:val="18"/>
    </w:rPr>
  </w:style>
  <w:style w:type="paragraph" w:styleId="11">
    <w:name w:val="footer"/>
    <w:basedOn w:val="1"/>
    <w:link w:val="26"/>
    <w:semiHidden/>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5"/>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itle"/>
    <w:basedOn w:val="1"/>
    <w:next w:val="1"/>
    <w:link w:val="16"/>
    <w:qFormat/>
    <w:uiPriority w:val="10"/>
    <w:pPr>
      <w:spacing w:before="240" w:after="60"/>
      <w:jc w:val="center"/>
      <w:outlineLvl w:val="0"/>
    </w:pPr>
    <w:rPr>
      <w:rFonts w:asciiTheme="majorHAnsi" w:hAnsiTheme="majorHAnsi" w:cstheme="majorBidi"/>
      <w:b/>
      <w:bCs/>
      <w:sz w:val="32"/>
      <w:szCs w:val="32"/>
    </w:rPr>
  </w:style>
  <w:style w:type="character" w:customStyle="1" w:styleId="16">
    <w:name w:val="标题 Char"/>
    <w:basedOn w:val="15"/>
    <w:link w:val="13"/>
    <w:qFormat/>
    <w:uiPriority w:val="10"/>
    <w:rPr>
      <w:rFonts w:eastAsia="宋体" w:asciiTheme="majorHAnsi" w:hAnsiTheme="majorHAnsi" w:cstheme="majorBidi"/>
      <w:b/>
      <w:bCs/>
      <w:sz w:val="32"/>
      <w:szCs w:val="32"/>
    </w:rPr>
  </w:style>
  <w:style w:type="character" w:customStyle="1" w:styleId="17">
    <w:name w:val="标题 1 Char"/>
    <w:basedOn w:val="15"/>
    <w:link w:val="2"/>
    <w:qFormat/>
    <w:uiPriority w:val="9"/>
    <w:rPr>
      <w:rFonts w:eastAsia="宋体"/>
      <w:b/>
      <w:bCs/>
      <w:kern w:val="44"/>
      <w:sz w:val="36"/>
      <w:szCs w:val="44"/>
    </w:rPr>
  </w:style>
  <w:style w:type="character" w:customStyle="1" w:styleId="18">
    <w:name w:val="标题 2 Char"/>
    <w:basedOn w:val="15"/>
    <w:link w:val="3"/>
    <w:qFormat/>
    <w:uiPriority w:val="9"/>
    <w:rPr>
      <w:rFonts w:asciiTheme="majorHAnsi" w:hAnsiTheme="majorHAnsi" w:eastAsiaTheme="majorEastAsia" w:cstheme="majorBidi"/>
      <w:b/>
      <w:bCs/>
      <w:sz w:val="32"/>
      <w:szCs w:val="32"/>
    </w:rPr>
  </w:style>
  <w:style w:type="character" w:customStyle="1" w:styleId="19">
    <w:name w:val="标题 3 Char"/>
    <w:basedOn w:val="15"/>
    <w:link w:val="4"/>
    <w:qFormat/>
    <w:uiPriority w:val="9"/>
    <w:rPr>
      <w:rFonts w:eastAsia="宋体"/>
      <w:b/>
      <w:bCs/>
      <w:sz w:val="30"/>
      <w:szCs w:val="32"/>
    </w:rPr>
  </w:style>
  <w:style w:type="character" w:customStyle="1" w:styleId="20">
    <w:name w:val="标题 4 Char"/>
    <w:basedOn w:val="15"/>
    <w:link w:val="5"/>
    <w:qFormat/>
    <w:uiPriority w:val="9"/>
    <w:rPr>
      <w:rFonts w:asciiTheme="majorHAnsi" w:hAnsiTheme="majorHAnsi" w:eastAsiaTheme="majorEastAsia" w:cstheme="majorBidi"/>
      <w:b/>
      <w:bCs/>
      <w:sz w:val="28"/>
      <w:szCs w:val="28"/>
    </w:rPr>
  </w:style>
  <w:style w:type="character" w:customStyle="1" w:styleId="21">
    <w:name w:val="标题 5 Char"/>
    <w:basedOn w:val="15"/>
    <w:link w:val="6"/>
    <w:qFormat/>
    <w:uiPriority w:val="9"/>
    <w:rPr>
      <w:rFonts w:eastAsia="宋体"/>
      <w:b/>
      <w:bCs/>
      <w:sz w:val="24"/>
      <w:szCs w:val="28"/>
    </w:rPr>
  </w:style>
  <w:style w:type="character" w:customStyle="1" w:styleId="22">
    <w:name w:val="标题 6 Char"/>
    <w:basedOn w:val="15"/>
    <w:link w:val="7"/>
    <w:qFormat/>
    <w:uiPriority w:val="9"/>
    <w:rPr>
      <w:rFonts w:asciiTheme="majorHAnsi" w:hAnsiTheme="majorHAnsi" w:eastAsiaTheme="majorEastAsia" w:cstheme="majorBidi"/>
      <w:b/>
      <w:bCs/>
      <w:sz w:val="24"/>
      <w:szCs w:val="21"/>
    </w:rPr>
  </w:style>
  <w:style w:type="character" w:customStyle="1" w:styleId="23">
    <w:name w:val="标题 7 Char"/>
    <w:basedOn w:val="15"/>
    <w:link w:val="8"/>
    <w:qFormat/>
    <w:uiPriority w:val="9"/>
    <w:rPr>
      <w:rFonts w:eastAsia="宋体"/>
      <w:b/>
      <w:bCs/>
      <w:sz w:val="24"/>
    </w:rPr>
  </w:style>
  <w:style w:type="character" w:customStyle="1" w:styleId="24">
    <w:name w:val="标题 8 Char"/>
    <w:basedOn w:val="15"/>
    <w:link w:val="9"/>
    <w:qFormat/>
    <w:uiPriority w:val="9"/>
    <w:rPr>
      <w:rFonts w:asciiTheme="majorHAnsi" w:hAnsiTheme="majorHAnsi" w:eastAsiaTheme="majorEastAsia" w:cstheme="majorBidi"/>
      <w:sz w:val="24"/>
    </w:rPr>
  </w:style>
  <w:style w:type="character" w:customStyle="1" w:styleId="25">
    <w:name w:val="页眉 Char"/>
    <w:basedOn w:val="15"/>
    <w:link w:val="12"/>
    <w:semiHidden/>
    <w:qFormat/>
    <w:uiPriority w:val="99"/>
    <w:rPr>
      <w:rFonts w:eastAsia="宋体"/>
      <w:kern w:val="2"/>
      <w:sz w:val="18"/>
      <w:szCs w:val="18"/>
    </w:rPr>
  </w:style>
  <w:style w:type="character" w:customStyle="1" w:styleId="26">
    <w:name w:val="页脚 Char"/>
    <w:basedOn w:val="15"/>
    <w:link w:val="11"/>
    <w:semiHidden/>
    <w:qFormat/>
    <w:uiPriority w:val="99"/>
    <w:rPr>
      <w:rFonts w:eastAsia="宋体"/>
      <w:kern w:val="2"/>
      <w:sz w:val="18"/>
      <w:szCs w:val="18"/>
    </w:rPr>
  </w:style>
  <w:style w:type="character" w:customStyle="1" w:styleId="27">
    <w:name w:val="批注框文本 Char"/>
    <w:basedOn w:val="15"/>
    <w:link w:val="10"/>
    <w:semiHidden/>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8300</Words>
  <Characters>9071</Characters>
  <Lines>52</Lines>
  <Paragraphs>14</Paragraphs>
  <TotalTime>339</TotalTime>
  <ScaleCrop>false</ScaleCrop>
  <LinksUpToDate>false</LinksUpToDate>
  <CharactersWithSpaces>9125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2025-05-09T05:21:00Z</dcterms:created>
  <dc:creator>唐 唐</dc:creator>
  <cp:lastModifiedBy>user</cp:lastModifiedBy>
  <dcterms:modified xsi:type="dcterms:W3CDTF">2025-06-24T10:42:33Z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1831B7FF7F39401696A430301F1912A2_13</vt:lpwstr>
  </property>
  <property fmtid="{D5CDD505-2E9C-101B-9397-08002B2CF9AE}" pid="4" name="KSOTemplateDocerSaveRecord">
    <vt:lpwstr>eyJoZGlkIjoiMDljYzUzMWQ4OWI0YzBkYjYzMDRhZTY5ZjZkYmFmYTgiLCJ1c2VySWQiOiI0ODIyNDA4MzAifQ==</vt:lpwstr>
  </property>
</Properties>
</file>