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E3137E">
      <w:pPr>
        <w:ind w:firstLine="0" w:firstLineChars="0"/>
        <w:jc w:val="center"/>
        <w:rPr>
          <w:rFonts w:hint="eastAsia" w:ascii="黑体" w:hAnsi="黑体" w:eastAsia="黑体"/>
          <w:sz w:val="48"/>
          <w:szCs w:val="48"/>
        </w:rPr>
      </w:pPr>
    </w:p>
    <w:p w14:paraId="696FCD3F">
      <w:pPr>
        <w:ind w:firstLine="0" w:firstLineChars="0"/>
        <w:jc w:val="center"/>
        <w:rPr>
          <w:rFonts w:hint="eastAsia" w:ascii="黑体" w:hAnsi="黑体" w:eastAsia="黑体"/>
          <w:sz w:val="48"/>
          <w:szCs w:val="48"/>
        </w:rPr>
      </w:pPr>
    </w:p>
    <w:p w14:paraId="24039A2B">
      <w:pPr>
        <w:ind w:firstLine="0" w:firstLineChars="0"/>
        <w:jc w:val="center"/>
        <w:rPr>
          <w:rFonts w:hint="eastAsia" w:ascii="黑体" w:hAnsi="黑体" w:eastAsia="黑体"/>
          <w:sz w:val="48"/>
          <w:szCs w:val="48"/>
        </w:rPr>
      </w:pPr>
    </w:p>
    <w:p w14:paraId="211108D7">
      <w:pPr>
        <w:ind w:firstLine="0" w:firstLineChars="0"/>
        <w:jc w:val="center"/>
        <w:rPr>
          <w:rFonts w:hint="eastAsia" w:ascii="黑体" w:hAnsi="黑体" w:eastAsia="黑体"/>
          <w:sz w:val="48"/>
          <w:szCs w:val="48"/>
        </w:rPr>
      </w:pPr>
    </w:p>
    <w:p w14:paraId="18E3CBCF">
      <w:pPr>
        <w:ind w:firstLine="0" w:firstLineChars="0"/>
        <w:jc w:val="center"/>
        <w:rPr>
          <w:rFonts w:hint="eastAsia" w:ascii="黑体" w:hAnsi="黑体" w:eastAsia="黑体"/>
          <w:sz w:val="52"/>
          <w:szCs w:val="52"/>
        </w:rPr>
      </w:pPr>
      <w:r>
        <w:rPr>
          <w:rFonts w:hint="eastAsia" w:ascii="黑体" w:hAnsi="黑体" w:eastAsia="黑体"/>
          <w:sz w:val="52"/>
          <w:szCs w:val="52"/>
        </w:rPr>
        <w:t>上海交通领域碳排放监测子系统</w:t>
      </w:r>
    </w:p>
    <w:p w14:paraId="0121C920">
      <w:pPr>
        <w:ind w:firstLine="0" w:firstLineChars="0"/>
        <w:jc w:val="center"/>
        <w:rPr>
          <w:rFonts w:hint="eastAsia" w:ascii="黑体" w:hAnsi="黑体" w:eastAsia="黑体"/>
          <w:sz w:val="52"/>
          <w:szCs w:val="52"/>
        </w:rPr>
      </w:pPr>
      <w:r>
        <w:rPr>
          <w:rFonts w:hint="eastAsia" w:ascii="黑体" w:hAnsi="黑体" w:eastAsia="黑体"/>
          <w:sz w:val="52"/>
          <w:szCs w:val="52"/>
        </w:rPr>
        <w:t>建设项目</w:t>
      </w:r>
    </w:p>
    <w:p w14:paraId="082D7EEF">
      <w:pPr>
        <w:ind w:firstLine="0" w:firstLineChars="0"/>
        <w:jc w:val="center"/>
        <w:rPr>
          <w:rFonts w:hint="eastAsia" w:ascii="黑体" w:hAnsi="黑体" w:eastAsia="黑体"/>
          <w:sz w:val="52"/>
          <w:szCs w:val="52"/>
        </w:rPr>
      </w:pPr>
      <w:r>
        <w:rPr>
          <w:rFonts w:hint="eastAsia" w:ascii="黑体" w:hAnsi="黑体" w:eastAsia="黑体"/>
          <w:sz w:val="52"/>
          <w:szCs w:val="52"/>
        </w:rPr>
        <w:t>采购需求</w:t>
      </w:r>
    </w:p>
    <w:p w14:paraId="546B540A">
      <w:pPr>
        <w:ind w:firstLine="0" w:firstLineChars="0"/>
        <w:jc w:val="center"/>
        <w:rPr>
          <w:rFonts w:hint="eastAsia" w:ascii="黑体" w:hAnsi="黑体" w:eastAsia="黑体"/>
          <w:sz w:val="72"/>
          <w:szCs w:val="72"/>
        </w:rPr>
      </w:pPr>
    </w:p>
    <w:p w14:paraId="3483F856">
      <w:pPr>
        <w:ind w:firstLine="0" w:firstLineChars="0"/>
        <w:jc w:val="center"/>
        <w:rPr>
          <w:rFonts w:hint="eastAsia" w:ascii="黑体" w:hAnsi="黑体" w:eastAsia="黑体"/>
          <w:sz w:val="48"/>
          <w:szCs w:val="48"/>
        </w:rPr>
      </w:pPr>
    </w:p>
    <w:p w14:paraId="45DABE3A">
      <w:pPr>
        <w:ind w:firstLine="0" w:firstLineChars="0"/>
        <w:jc w:val="center"/>
        <w:rPr>
          <w:rFonts w:hint="eastAsia" w:ascii="黑体" w:hAnsi="黑体" w:eastAsia="黑体"/>
          <w:sz w:val="52"/>
          <w:szCs w:val="52"/>
        </w:rPr>
      </w:pPr>
    </w:p>
    <w:p w14:paraId="73C09FBE">
      <w:pPr>
        <w:ind w:firstLine="1040"/>
        <w:rPr>
          <w:rFonts w:hint="eastAsia" w:ascii="黑体" w:hAnsi="黑体" w:eastAsia="黑体"/>
          <w:sz w:val="52"/>
          <w:szCs w:val="52"/>
        </w:rPr>
      </w:pPr>
    </w:p>
    <w:p w14:paraId="3FBD32B6">
      <w:pPr>
        <w:rPr>
          <w:rFonts w:hint="eastAsia"/>
        </w:rPr>
      </w:pPr>
    </w:p>
    <w:p w14:paraId="584F3F2A">
      <w:pPr>
        <w:rPr>
          <w:rFonts w:hint="eastAsia"/>
        </w:rPr>
      </w:pPr>
    </w:p>
    <w:p w14:paraId="7337204C">
      <w:pPr>
        <w:rPr>
          <w:rFonts w:hint="eastAsia"/>
        </w:rPr>
      </w:pPr>
    </w:p>
    <w:p w14:paraId="24DEEEFC">
      <w:pPr>
        <w:rPr>
          <w:rFonts w:hint="eastAsia"/>
        </w:rPr>
      </w:pPr>
    </w:p>
    <w:p w14:paraId="1782F844">
      <w:pPr>
        <w:rPr>
          <w:rFonts w:hint="eastAsia"/>
        </w:rPr>
      </w:pPr>
    </w:p>
    <w:p w14:paraId="167AFD75">
      <w:pPr>
        <w:ind w:firstLine="1040"/>
        <w:rPr>
          <w:rFonts w:hint="eastAsia" w:ascii="黑体" w:hAnsi="黑体" w:eastAsia="黑体"/>
          <w:sz w:val="52"/>
          <w:szCs w:val="52"/>
        </w:rPr>
      </w:pPr>
    </w:p>
    <w:p w14:paraId="3379C2FB">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27918B22">
      <w:pPr>
        <w:pStyle w:val="2"/>
        <w:rPr>
          <w:rFonts w:hint="eastAsia"/>
        </w:rPr>
      </w:pPr>
      <w:bookmarkStart w:id="0" w:name="_Toc63785461"/>
      <w:r>
        <w:rPr>
          <w:rFonts w:hint="eastAsia"/>
        </w:rPr>
        <w:t>项目概况</w:t>
      </w:r>
      <w:bookmarkEnd w:id="0"/>
    </w:p>
    <w:p w14:paraId="5F9C6CB0">
      <w:pPr>
        <w:spacing w:line="560" w:lineRule="exact"/>
        <w:rPr>
          <w:rFonts w:hint="eastAsia"/>
        </w:rPr>
      </w:pPr>
      <w:r>
        <w:rPr>
          <w:rFonts w:hint="eastAsia"/>
        </w:rPr>
        <w:t>项目背景&amp;现状：</w:t>
      </w:r>
    </w:p>
    <w:p w14:paraId="6277A500">
      <w:pPr>
        <w:spacing w:line="560" w:lineRule="exact"/>
        <w:rPr>
          <w:rFonts w:hint="eastAsia"/>
        </w:rPr>
      </w:pPr>
      <w:r>
        <w:rPr>
          <w:rFonts w:hint="eastAsia"/>
        </w:rPr>
        <w:t>根据《上海市碳达峰碳中和标准计量体系建设实施方案》要求开展能源、工业产业、交通运输、城乡建设等重点领域温室气体排放监测技术研究，加强重点领域碳排放监测能力及有关监测平台建设。鼓励行业依据自身特点建立健全能耗统计监测和碳排放计量体系，强化重点行业领域计量数据的采集、监测、分析和应用，为碳交易、碳捕捉、碳足迹、碳标签、碳普惠等提供计量数据支撑。</w:t>
      </w:r>
    </w:p>
    <w:p w14:paraId="2301CB5E">
      <w:pPr>
        <w:spacing w:line="560" w:lineRule="exact"/>
        <w:rPr>
          <w:rFonts w:hint="eastAsia"/>
        </w:rPr>
      </w:pPr>
      <w:r>
        <w:rPr>
          <w:rFonts w:hint="eastAsia"/>
        </w:rPr>
        <w:t>建设期限：自合同签订之日起至2025年11月30日</w:t>
      </w:r>
    </w:p>
    <w:p w14:paraId="16E38AE0">
      <w:pPr>
        <w:spacing w:line="560" w:lineRule="exact"/>
        <w:rPr>
          <w:rFonts w:hint="eastAsia"/>
        </w:rPr>
      </w:pPr>
      <w:r>
        <w:rPr>
          <w:rFonts w:hint="eastAsia"/>
        </w:rPr>
        <w:t>建设地点：上海市交通委</w:t>
      </w:r>
    </w:p>
    <w:p w14:paraId="32536FEB">
      <w:pPr>
        <w:spacing w:line="560" w:lineRule="exact"/>
        <w:rPr>
          <w:rFonts w:hint="eastAsia"/>
        </w:rPr>
      </w:pPr>
      <w:r>
        <w:rPr>
          <w:rFonts w:hint="eastAsia"/>
        </w:rPr>
        <w:t>预算金额：3,345,000元</w:t>
      </w:r>
    </w:p>
    <w:p w14:paraId="45F95B38">
      <w:pPr>
        <w:spacing w:line="560" w:lineRule="exact"/>
        <w:rPr>
          <w:rFonts w:hint="eastAsia"/>
        </w:rPr>
      </w:pPr>
      <w:r>
        <w:rPr>
          <w:rFonts w:hint="eastAsia"/>
        </w:rPr>
        <w:t>采购金额（最高限价）：3,345,000元</w:t>
      </w:r>
    </w:p>
    <w:p w14:paraId="0A2D4CD0">
      <w:pPr>
        <w:spacing w:line="560" w:lineRule="exact"/>
        <w:rPr>
          <w:rFonts w:hint="eastAsia"/>
        </w:rPr>
      </w:pPr>
      <w:r>
        <w:rPr>
          <w:rFonts w:hint="eastAsia"/>
        </w:rPr>
        <w:t>组织形式：集中采购</w:t>
      </w:r>
    </w:p>
    <w:p w14:paraId="06E87666">
      <w:pPr>
        <w:spacing w:line="560" w:lineRule="exact"/>
        <w:rPr>
          <w:rFonts w:hint="eastAsia"/>
        </w:rPr>
      </w:pPr>
      <w:r>
        <w:rPr>
          <w:rFonts w:hint="eastAsia"/>
        </w:rPr>
        <w:t>采购方式：竞争性磋商</w:t>
      </w:r>
    </w:p>
    <w:p w14:paraId="1F12C853">
      <w:pPr>
        <w:spacing w:line="560" w:lineRule="exact"/>
        <w:rPr>
          <w:rFonts w:hint="eastAsia"/>
        </w:rPr>
      </w:pPr>
      <w:r>
        <w:rPr>
          <w:rFonts w:hint="eastAsia"/>
        </w:rPr>
        <w:t>是否接受联合体投标：否</w:t>
      </w:r>
    </w:p>
    <w:p w14:paraId="2D9A063A">
      <w:pPr>
        <w:spacing w:line="560" w:lineRule="exact"/>
        <w:rPr>
          <w:rFonts w:hint="eastAsia"/>
        </w:rPr>
      </w:pPr>
      <w:r>
        <w:t>是否按信创要求建设：是</w:t>
      </w:r>
    </w:p>
    <w:p w14:paraId="315F132B">
      <w:pPr>
        <w:rPr>
          <w:rFonts w:hint="eastAsia"/>
        </w:rPr>
      </w:pPr>
      <w:r>
        <w:rPr>
          <w:rFonts w:hint="eastAsia"/>
        </w:rPr>
        <w:t>运维后所属大系统：交通行业监管服务系统</w:t>
      </w:r>
    </w:p>
    <w:p w14:paraId="1E3019E8">
      <w:pPr>
        <w:spacing w:line="560" w:lineRule="exact"/>
        <w:rPr>
          <w:rFonts w:hint="eastAsia"/>
        </w:rPr>
      </w:pPr>
    </w:p>
    <w:p w14:paraId="08ED9EFD">
      <w:pPr>
        <w:pStyle w:val="2"/>
        <w:rPr>
          <w:rFonts w:hint="eastAsia"/>
        </w:rPr>
      </w:pPr>
      <w:bookmarkStart w:id="1" w:name="_Toc47537134"/>
      <w:bookmarkEnd w:id="1"/>
      <w:bookmarkStart w:id="2" w:name="_Toc47533256"/>
      <w:bookmarkEnd w:id="2"/>
      <w:bookmarkStart w:id="3" w:name="_Toc47536272"/>
      <w:bookmarkEnd w:id="3"/>
      <w:bookmarkStart w:id="4" w:name="_Toc47539070"/>
      <w:bookmarkEnd w:id="4"/>
      <w:bookmarkStart w:id="5" w:name="_Toc47531634"/>
      <w:bookmarkEnd w:id="5"/>
      <w:bookmarkStart w:id="6" w:name="_Toc47536644"/>
      <w:bookmarkEnd w:id="6"/>
      <w:bookmarkStart w:id="7" w:name="_Toc47532891"/>
      <w:bookmarkEnd w:id="7"/>
      <w:bookmarkStart w:id="8" w:name="_Toc47532255"/>
      <w:bookmarkEnd w:id="8"/>
      <w:bookmarkStart w:id="9" w:name="_Toc63785463"/>
      <w:bookmarkStart w:id="10" w:name="_Toc48223882"/>
      <w:r>
        <w:rPr>
          <w:rFonts w:hint="eastAsia"/>
        </w:rPr>
        <w:t>建设目标</w:t>
      </w:r>
      <w:bookmarkEnd w:id="9"/>
      <w:bookmarkEnd w:id="10"/>
    </w:p>
    <w:p w14:paraId="5DACE600">
      <w:pPr>
        <w:rPr>
          <w:rFonts w:hint="eastAsia"/>
        </w:rPr>
      </w:pPr>
      <w:r>
        <w:rPr>
          <w:rFonts w:hint="eastAsia"/>
        </w:rPr>
        <w:t>本项目基于能耗和碳排放信息化建设现状，建设上海交通领域碳排放监测平台，建立交通领域碳排放MRV机制（可测量、可报告、可验证）的数据底座，实现交通全行业、全设施设备和全生命周期的碳排放总量和强度的全面掌控、发展趋势的动态预判以及碳排放国际国内服务的全面支撑，建成“能耗、碳排放可分析可追溯、可分解可考核、可预测可预警”和“高精度、高频度、高分辨率”核算分析的智能化监测体系，强化交通碳排放管理考核评估能力建设，确保碳排放相关气候行动的透明度和可信度，促进国家及本市双碳战略的落实推进。</w:t>
      </w:r>
    </w:p>
    <w:p w14:paraId="179AC567">
      <w:pPr>
        <w:rPr>
          <w:rFonts w:hint="eastAsia"/>
        </w:rPr>
      </w:pPr>
      <w:r>
        <w:rPr>
          <w:rFonts w:hint="eastAsia"/>
        </w:rPr>
        <w:t>主要绩效指标要求：</w:t>
      </w:r>
    </w:p>
    <w:p w14:paraId="2793B34C">
      <w:pPr>
        <w:pStyle w:val="61"/>
        <w:numPr>
          <w:ilvl w:val="0"/>
          <w:numId w:val="3"/>
        </w:numPr>
        <w:ind w:firstLineChars="0"/>
      </w:pPr>
      <w:r>
        <w:rPr>
          <w:rFonts w:hint="eastAsia"/>
        </w:rPr>
        <w:t>软件功能开发完成率100%，通过第三方软件测试</w:t>
      </w:r>
    </w:p>
    <w:p w14:paraId="68522AE5">
      <w:pPr>
        <w:pStyle w:val="61"/>
        <w:numPr>
          <w:ilvl w:val="0"/>
          <w:numId w:val="3"/>
        </w:numPr>
        <w:ind w:firstLineChars="0"/>
      </w:pPr>
      <w:r>
        <w:rPr>
          <w:rFonts w:hint="eastAsia"/>
        </w:rPr>
        <w:t>通过第三方安全测评（参照网络安全等级保护第三级要求，分数&gt;80分）</w:t>
      </w:r>
    </w:p>
    <w:p w14:paraId="33448D8D">
      <w:pPr>
        <w:pStyle w:val="61"/>
        <w:numPr>
          <w:ilvl w:val="0"/>
          <w:numId w:val="3"/>
        </w:numPr>
        <w:ind w:firstLineChars="0"/>
      </w:pPr>
      <w:r>
        <w:rPr>
          <w:rFonts w:hint="eastAsia"/>
        </w:rPr>
        <w:t>通过第三方密码测评（参照网络安全等级保护第三级要求，分数&gt;75分）</w:t>
      </w:r>
    </w:p>
    <w:p w14:paraId="2EADEFF4">
      <w:pPr>
        <w:pStyle w:val="61"/>
        <w:numPr>
          <w:ilvl w:val="0"/>
          <w:numId w:val="3"/>
        </w:numPr>
        <w:ind w:firstLineChars="0"/>
      </w:pPr>
      <w:r>
        <w:rPr>
          <w:rFonts w:hint="eastAsia"/>
        </w:rPr>
        <w:t>航空行业在沪注册飞机数覆盖700架</w:t>
      </w:r>
    </w:p>
    <w:p w14:paraId="61DB3217">
      <w:pPr>
        <w:pStyle w:val="61"/>
        <w:numPr>
          <w:ilvl w:val="0"/>
          <w:numId w:val="3"/>
        </w:numPr>
        <w:ind w:firstLineChars="0"/>
      </w:pPr>
      <w:r>
        <w:rPr>
          <w:rFonts w:hint="eastAsia"/>
        </w:rPr>
        <w:t>机场行业机场数量覆盖2家</w:t>
      </w:r>
    </w:p>
    <w:p w14:paraId="311D7D04">
      <w:pPr>
        <w:pStyle w:val="61"/>
        <w:numPr>
          <w:ilvl w:val="0"/>
          <w:numId w:val="3"/>
        </w:numPr>
        <w:ind w:firstLineChars="0"/>
      </w:pPr>
      <w:r>
        <w:rPr>
          <w:rFonts w:hint="eastAsia"/>
        </w:rPr>
        <w:t>轨道行业运营线路数量覆盖20条</w:t>
      </w:r>
    </w:p>
    <w:p w14:paraId="5351C211">
      <w:pPr>
        <w:pStyle w:val="61"/>
        <w:numPr>
          <w:ilvl w:val="0"/>
          <w:numId w:val="3"/>
        </w:numPr>
        <w:ind w:firstLineChars="0"/>
      </w:pPr>
      <w:r>
        <w:rPr>
          <w:rFonts w:hint="eastAsia"/>
        </w:rPr>
        <w:t>轨道行业车站数量覆盖508座</w:t>
      </w:r>
    </w:p>
    <w:p w14:paraId="028EE830">
      <w:pPr>
        <w:pStyle w:val="61"/>
        <w:numPr>
          <w:ilvl w:val="0"/>
          <w:numId w:val="3"/>
        </w:numPr>
        <w:ind w:firstLineChars="0"/>
      </w:pPr>
      <w:r>
        <w:rPr>
          <w:rFonts w:hint="eastAsia"/>
        </w:rPr>
        <w:t>铁路行业重点用能单位覆盖1家</w:t>
      </w:r>
    </w:p>
    <w:p w14:paraId="3F6E1D07">
      <w:pPr>
        <w:pStyle w:val="61"/>
        <w:numPr>
          <w:ilvl w:val="0"/>
          <w:numId w:val="3"/>
        </w:numPr>
        <w:ind w:firstLineChars="0"/>
      </w:pPr>
      <w:r>
        <w:rPr>
          <w:rFonts w:hint="eastAsia"/>
        </w:rPr>
        <w:t>港口行业重点用能单位覆盖9家</w:t>
      </w:r>
    </w:p>
    <w:p w14:paraId="7E5C7A18">
      <w:pPr>
        <w:pStyle w:val="61"/>
        <w:numPr>
          <w:ilvl w:val="0"/>
          <w:numId w:val="3"/>
        </w:numPr>
        <w:ind w:firstLineChars="0"/>
      </w:pPr>
      <w:r>
        <w:rPr>
          <w:rFonts w:hint="eastAsia"/>
        </w:rPr>
        <w:t>航运行业重点用能单位覆盖55家</w:t>
      </w:r>
    </w:p>
    <w:p w14:paraId="3CC4F8C9">
      <w:pPr>
        <w:pStyle w:val="61"/>
        <w:numPr>
          <w:ilvl w:val="0"/>
          <w:numId w:val="3"/>
        </w:numPr>
        <w:ind w:firstLineChars="0"/>
      </w:pPr>
      <w:r>
        <w:rPr>
          <w:rFonts w:hint="eastAsia"/>
        </w:rPr>
        <w:t>公路客运行业覆盖车辆覆盖12000辆</w:t>
      </w:r>
    </w:p>
    <w:p w14:paraId="6B88F97B">
      <w:pPr>
        <w:pStyle w:val="61"/>
        <w:numPr>
          <w:ilvl w:val="0"/>
          <w:numId w:val="3"/>
        </w:numPr>
        <w:ind w:firstLineChars="0"/>
      </w:pPr>
      <w:r>
        <w:rPr>
          <w:rFonts w:hint="eastAsia"/>
        </w:rPr>
        <w:t>城市客运行业重点用能单位覆盖15家</w:t>
      </w:r>
    </w:p>
    <w:p w14:paraId="738B05E8">
      <w:pPr>
        <w:pStyle w:val="61"/>
        <w:numPr>
          <w:ilvl w:val="0"/>
          <w:numId w:val="3"/>
        </w:numPr>
        <w:ind w:firstLineChars="0"/>
      </w:pPr>
      <w:r>
        <w:rPr>
          <w:rFonts w:hint="eastAsia"/>
        </w:rPr>
        <w:t>道路货运行业覆盖车辆覆盖140000辆</w:t>
      </w:r>
    </w:p>
    <w:p w14:paraId="27449DF0">
      <w:pPr>
        <w:rPr>
          <w:rFonts w:hint="eastAsia"/>
        </w:rPr>
      </w:pPr>
    </w:p>
    <w:p w14:paraId="51AAA2A5">
      <w:pPr>
        <w:pStyle w:val="2"/>
        <w:rPr>
          <w:rFonts w:hint="eastAsia"/>
        </w:rPr>
      </w:pPr>
      <w:bookmarkStart w:id="11" w:name="_Toc47539102"/>
      <w:bookmarkEnd w:id="11"/>
      <w:bookmarkStart w:id="12" w:name="_Toc47537166"/>
      <w:bookmarkEnd w:id="12"/>
      <w:bookmarkStart w:id="13" w:name="_Toc47532923"/>
      <w:bookmarkEnd w:id="13"/>
      <w:bookmarkStart w:id="14" w:name="_Toc47533288"/>
      <w:bookmarkEnd w:id="14"/>
      <w:bookmarkStart w:id="15" w:name="_Toc47536304"/>
      <w:bookmarkEnd w:id="15"/>
      <w:bookmarkStart w:id="16" w:name="_Toc47536676"/>
      <w:bookmarkEnd w:id="16"/>
      <w:r>
        <w:rPr>
          <w:rFonts w:hint="eastAsia"/>
        </w:rPr>
        <w:t>项目建设内容</w:t>
      </w:r>
    </w:p>
    <w:p w14:paraId="71754319">
      <w:pPr>
        <w:pStyle w:val="3"/>
        <w:rPr>
          <w:rFonts w:hint="eastAsia"/>
        </w:rPr>
      </w:pPr>
      <w:r>
        <w:rPr>
          <w:rFonts w:hint="eastAsia"/>
        </w:rPr>
        <w:t>主要建设内容</w:t>
      </w:r>
    </w:p>
    <w:p w14:paraId="7CF429B2">
      <w:pPr>
        <w:rPr>
          <w:rFonts w:hint="eastAsia"/>
        </w:rPr>
      </w:pPr>
      <w:r>
        <w:rPr>
          <w:rFonts w:hint="eastAsia"/>
        </w:rPr>
        <w:t>1、交通能耗和碳排放信息汇集和共享的需求</w:t>
      </w:r>
    </w:p>
    <w:p w14:paraId="3DF08581">
      <w:pPr>
        <w:rPr>
          <w:rFonts w:hint="eastAsia"/>
        </w:rPr>
      </w:pPr>
      <w:r>
        <w:rPr>
          <w:rFonts w:hint="eastAsia"/>
        </w:rPr>
        <w:t>汇聚各类交通行业企业设施设备及其对应的运行特征、能耗和碳排放数据；搭建碳排放监测平台框架、碳排放模型库，对采集的静态和动态数据进行存储分析。实现数据共享，满足政府部门、企业全能耗品种和各类交通业务场景碳排放总量和强度的统计分析和共享需求。</w:t>
      </w:r>
    </w:p>
    <w:p w14:paraId="4F3E78CF">
      <w:pPr>
        <w:rPr>
          <w:rFonts w:hint="eastAsia"/>
        </w:rPr>
      </w:pPr>
      <w:r>
        <w:rPr>
          <w:rFonts w:hint="eastAsia"/>
        </w:rPr>
        <w:t>2、 交通能耗和碳排放数据动态分析与监测的需求</w:t>
      </w:r>
    </w:p>
    <w:p w14:paraId="2AAD79F6">
      <w:pPr>
        <w:rPr>
          <w:rFonts w:hint="eastAsia"/>
        </w:rPr>
      </w:pPr>
      <w:r>
        <w:rPr>
          <w:rFonts w:hint="eastAsia"/>
        </w:rPr>
        <w:t>建立交通领域全行业不同设施设备、运行特征、能耗特征和碳排放特征的数据链，构建多层次交通排放综合评价模型体系和排放因子模型库，生成可视化图表和报告，评估能耗水平、碳排放水平和发展趋势。根据设定的阈值和规则，实时监测能耗和碳排放数据，发现异常情况时提供主动预警。</w:t>
      </w:r>
    </w:p>
    <w:p w14:paraId="5C2CA742">
      <w:pPr>
        <w:rPr>
          <w:rFonts w:hint="eastAsia"/>
        </w:rPr>
      </w:pPr>
      <w:r>
        <w:rPr>
          <w:rFonts w:hint="eastAsia"/>
        </w:rPr>
        <w:t>3、低碳交通运行分析与决策支持的需求</w:t>
      </w:r>
    </w:p>
    <w:p w14:paraId="091181A0">
      <w:pPr>
        <w:rPr>
          <w:rFonts w:hint="eastAsia"/>
        </w:rPr>
      </w:pPr>
      <w:r>
        <w:rPr>
          <w:rFonts w:hint="eastAsia"/>
        </w:rPr>
        <w:t>汇集全市交通行业各类碳排放信息数据，经过规范化处理、存储、归档、分析、交换，向交通管理部门、交通行业企业提供交通业务及其对应的碳排放特征数据，支撑量化分析各类交通业务场景的碳排放降低技术管理路径和降碳空间，支撑交通行业降碳方案的协同管理和政府决策支持。</w:t>
      </w:r>
    </w:p>
    <w:p w14:paraId="27B147BE">
      <w:pPr>
        <w:pStyle w:val="3"/>
        <w:rPr>
          <w:rFonts w:hint="eastAsia"/>
        </w:rPr>
      </w:pPr>
      <w:r>
        <w:rPr>
          <w:rFonts w:hint="eastAsia"/>
        </w:rPr>
        <w:t>系统整体架构</w:t>
      </w:r>
    </w:p>
    <w:p w14:paraId="7276276C">
      <w:pPr>
        <w:rPr>
          <w:rFonts w:hint="eastAsia"/>
        </w:rPr>
      </w:pPr>
      <w:r>
        <w:rPr>
          <w:rFonts w:hint="eastAsia"/>
        </w:rPr>
        <w:t>本项目在搭建平台架构时，基于分层建设理念，采用分布式架构方式，搭建由数据整合层、标准层、分析建模层、管理后台、数据管理层、前端应用层共6层大数据平台架构，同时兼顾数据规范管理体系与平台安全保障体系。</w:t>
      </w:r>
    </w:p>
    <w:p w14:paraId="39D34708">
      <w:pPr>
        <w:pStyle w:val="135"/>
        <w:ind w:firstLine="0" w:firstLineChars="0"/>
        <w:jc w:val="center"/>
        <w:rPr>
          <w:rFonts w:hint="eastAsia"/>
          <w:szCs w:val="32"/>
        </w:rPr>
      </w:pPr>
      <w:r>
        <w:rPr>
          <w:rFonts w:ascii="Times New Roman" w:hAnsi="Times New Roman" w:cs="Times New Roman"/>
        </w:rPr>
        <w:drawing>
          <wp:inline distT="0" distB="0" distL="114300" distR="114300">
            <wp:extent cx="5013325" cy="5311140"/>
            <wp:effectExtent l="0" t="0" r="3175" b="10160"/>
            <wp:docPr id="2" name="图片 2" descr="碳排放监测平台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碳排放监测平台架构图"/>
                    <pic:cNvPicPr>
                      <a:picLocks noChangeAspect="1"/>
                    </pic:cNvPicPr>
                  </pic:nvPicPr>
                  <pic:blipFill>
                    <a:blip r:embed="rId13"/>
                    <a:stretch>
                      <a:fillRect/>
                    </a:stretch>
                  </pic:blipFill>
                  <pic:spPr>
                    <a:xfrm>
                      <a:off x="0" y="0"/>
                      <a:ext cx="5013325" cy="5311140"/>
                    </a:xfrm>
                    <a:prstGeom prst="rect">
                      <a:avLst/>
                    </a:prstGeom>
                  </pic:spPr>
                </pic:pic>
              </a:graphicData>
            </a:graphic>
          </wp:inline>
        </w:drawing>
      </w:r>
    </w:p>
    <w:p w14:paraId="01B338C6">
      <w:pPr>
        <w:pStyle w:val="3"/>
        <w:numPr>
          <w:ilvl w:val="1"/>
          <w:numId w:val="4"/>
        </w:numPr>
        <w:rPr>
          <w:rFonts w:hint="eastAsia"/>
        </w:rPr>
      </w:pPr>
      <w:r>
        <w:rPr>
          <w:rFonts w:hint="eastAsia"/>
        </w:rPr>
        <w:t>技术路线</w:t>
      </w:r>
    </w:p>
    <w:p w14:paraId="5395BA07">
      <w:pPr>
        <w:rPr>
          <w:rFonts w:hint="eastAsia"/>
        </w:rPr>
      </w:pPr>
      <w:r>
        <w:rPr>
          <w:rFonts w:hint="eastAsia"/>
        </w:rPr>
        <w:t>本项目系统部署在市电子政务云上。</w:t>
      </w:r>
      <w:r>
        <w:rPr>
          <w:rFonts w:hint="eastAsia"/>
          <w:lang w:eastAsia="zh-CN"/>
        </w:rPr>
        <w:t>供应商</w:t>
      </w:r>
      <w:r>
        <w:rPr>
          <w:rFonts w:hint="eastAsia"/>
        </w:rPr>
        <w:t>需针对电子政务云资源需求，制定适合本项目的集成方案，系统架构设计，能够满足系统的完备性和可扩展性要求，完成应用软件部署、配置和联调，并负责应用系统的售后维护工作。</w:t>
      </w:r>
    </w:p>
    <w:p w14:paraId="320E7DEE">
      <w:pPr>
        <w:rPr>
          <w:rFonts w:hint="eastAsia"/>
        </w:rPr>
      </w:pPr>
      <w:r>
        <w:rPr>
          <w:rFonts w:hint="eastAsia"/>
        </w:rPr>
        <w:t>本项目应满足对于信创环境支持的基本要求。信创环境支持包括：国产数据库、国产操作系统、国产服务器、国产计算机、国产办公软件、国产外设设备以及相关国产化中间件软件、浏览器、插件等。本系统建成后，部署在上海市电子政务云环境上，并完全适配安全可靠终端的使用。</w:t>
      </w:r>
    </w:p>
    <w:p w14:paraId="6BCDB6AF">
      <w:pPr>
        <w:rPr>
          <w:rFonts w:hint="eastAsia"/>
        </w:rPr>
      </w:pPr>
    </w:p>
    <w:p w14:paraId="47C1B1FB">
      <w:pPr>
        <w:pStyle w:val="3"/>
        <w:rPr>
          <w:rFonts w:hint="eastAsia"/>
        </w:rPr>
      </w:pPr>
      <w:r>
        <w:rPr>
          <w:rFonts w:hint="eastAsia"/>
        </w:rPr>
        <w:t>软件开发清单</w:t>
      </w:r>
    </w:p>
    <w:tbl>
      <w:tblPr>
        <w:tblStyle w:val="35"/>
        <w:tblW w:w="5000" w:type="pct"/>
        <w:tblInd w:w="0" w:type="dxa"/>
        <w:tblLayout w:type="autofit"/>
        <w:tblCellMar>
          <w:top w:w="0" w:type="dxa"/>
          <w:left w:w="108" w:type="dxa"/>
          <w:bottom w:w="0" w:type="dxa"/>
          <w:right w:w="108" w:type="dxa"/>
        </w:tblCellMar>
      </w:tblPr>
      <w:tblGrid>
        <w:gridCol w:w="772"/>
        <w:gridCol w:w="1426"/>
        <w:gridCol w:w="3002"/>
        <w:gridCol w:w="3328"/>
      </w:tblGrid>
      <w:tr w14:paraId="38C07105">
        <w:tblPrEx>
          <w:tblCellMar>
            <w:top w:w="0" w:type="dxa"/>
            <w:left w:w="108" w:type="dxa"/>
            <w:bottom w:w="0" w:type="dxa"/>
            <w:right w:w="108" w:type="dxa"/>
          </w:tblCellMar>
        </w:tblPrEx>
        <w:trPr>
          <w:trHeight w:val="280" w:hRule="atLeast"/>
        </w:trPr>
        <w:tc>
          <w:tcPr>
            <w:tcW w:w="453" w:type="pct"/>
            <w:tcBorders>
              <w:top w:val="single" w:color="auto" w:sz="4" w:space="0"/>
              <w:left w:val="single" w:color="auto" w:sz="4" w:space="0"/>
              <w:bottom w:val="single" w:color="auto" w:sz="4" w:space="0"/>
              <w:right w:val="single" w:color="auto" w:sz="4" w:space="0"/>
            </w:tcBorders>
            <w:shd w:val="clear" w:color="000000" w:fill="F3F8FC"/>
            <w:vAlign w:val="center"/>
          </w:tcPr>
          <w:p w14:paraId="7BADA2C4">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序号</w:t>
            </w:r>
          </w:p>
        </w:tc>
        <w:tc>
          <w:tcPr>
            <w:tcW w:w="836" w:type="pct"/>
            <w:tcBorders>
              <w:top w:val="single" w:color="auto" w:sz="4" w:space="0"/>
              <w:left w:val="nil"/>
              <w:bottom w:val="single" w:color="auto" w:sz="4" w:space="0"/>
              <w:right w:val="single" w:color="auto" w:sz="4" w:space="0"/>
            </w:tcBorders>
            <w:shd w:val="clear" w:color="000000" w:fill="F3F8FC"/>
            <w:vAlign w:val="center"/>
          </w:tcPr>
          <w:p w14:paraId="4F4A265F">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应用系统名称</w:t>
            </w:r>
          </w:p>
        </w:tc>
        <w:tc>
          <w:tcPr>
            <w:tcW w:w="1760" w:type="pct"/>
            <w:tcBorders>
              <w:top w:val="single" w:color="auto" w:sz="4" w:space="0"/>
              <w:left w:val="nil"/>
              <w:bottom w:val="single" w:color="auto" w:sz="4" w:space="0"/>
              <w:right w:val="single" w:color="auto" w:sz="4" w:space="0"/>
            </w:tcBorders>
            <w:shd w:val="clear" w:color="000000" w:fill="F3F8FC"/>
            <w:vAlign w:val="center"/>
          </w:tcPr>
          <w:p w14:paraId="6AAEFD60">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模块名称</w:t>
            </w:r>
          </w:p>
        </w:tc>
        <w:tc>
          <w:tcPr>
            <w:tcW w:w="1951" w:type="pct"/>
            <w:tcBorders>
              <w:top w:val="single" w:color="auto" w:sz="4" w:space="0"/>
              <w:left w:val="nil"/>
              <w:bottom w:val="single" w:color="auto" w:sz="4" w:space="0"/>
              <w:right w:val="single" w:color="auto" w:sz="4" w:space="0"/>
            </w:tcBorders>
            <w:shd w:val="clear" w:color="000000" w:fill="F3F8FC"/>
            <w:vAlign w:val="center"/>
          </w:tcPr>
          <w:p w14:paraId="563B372C">
            <w:pPr>
              <w:widowControl/>
              <w:spacing w:line="240" w:lineRule="auto"/>
              <w:ind w:firstLine="0" w:firstLineChars="0"/>
              <w:jc w:val="center"/>
              <w:rPr>
                <w:rFonts w:hint="eastAsia" w:cs="宋体"/>
                <w:b/>
                <w:bCs/>
                <w:color w:val="000000"/>
                <w:kern w:val="0"/>
                <w:sz w:val="22"/>
                <w:szCs w:val="22"/>
              </w:rPr>
            </w:pPr>
            <w:r>
              <w:rPr>
                <w:rFonts w:hint="eastAsia" w:cs="宋体"/>
                <w:b/>
                <w:bCs/>
                <w:color w:val="000000"/>
                <w:kern w:val="0"/>
                <w:sz w:val="22"/>
                <w:szCs w:val="22"/>
              </w:rPr>
              <w:t>模块描述</w:t>
            </w:r>
          </w:p>
        </w:tc>
      </w:tr>
      <w:tr w14:paraId="18344B1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9BCA51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836" w:type="pct"/>
            <w:vMerge w:val="restart"/>
            <w:tcBorders>
              <w:top w:val="nil"/>
              <w:left w:val="single" w:color="auto" w:sz="4" w:space="0"/>
              <w:bottom w:val="single" w:color="000000" w:sz="4" w:space="0"/>
              <w:right w:val="single" w:color="auto" w:sz="4" w:space="0"/>
            </w:tcBorders>
            <w:shd w:val="clear" w:color="auto" w:fill="auto"/>
            <w:vAlign w:val="center"/>
          </w:tcPr>
          <w:p w14:paraId="6515EF6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交通能耗和碳排放信息汇集和共享</w:t>
            </w:r>
          </w:p>
        </w:tc>
        <w:tc>
          <w:tcPr>
            <w:tcW w:w="1760" w:type="pct"/>
            <w:tcBorders>
              <w:top w:val="nil"/>
              <w:left w:val="nil"/>
              <w:bottom w:val="single" w:color="auto" w:sz="4" w:space="0"/>
              <w:right w:val="single" w:color="auto" w:sz="4" w:space="0"/>
            </w:tcBorders>
            <w:shd w:val="clear" w:color="auto" w:fill="auto"/>
            <w:vAlign w:val="center"/>
          </w:tcPr>
          <w:p w14:paraId="158EBF1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交通能耗和碳排放数据采集-上海市重点单位能源利用状况和温室气体排放报送平台</w:t>
            </w:r>
          </w:p>
        </w:tc>
        <w:tc>
          <w:tcPr>
            <w:tcW w:w="1951" w:type="pct"/>
            <w:tcBorders>
              <w:top w:val="nil"/>
              <w:left w:val="nil"/>
              <w:bottom w:val="single" w:color="auto" w:sz="4" w:space="0"/>
              <w:right w:val="single" w:color="auto" w:sz="4" w:space="0"/>
            </w:tcBorders>
            <w:shd w:val="clear" w:color="auto" w:fill="auto"/>
            <w:vAlign w:val="center"/>
          </w:tcPr>
          <w:p w14:paraId="204528A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通过此平台，获取交通行业重点用能单位能耗数据、温室气体排放数据</w:t>
            </w:r>
          </w:p>
        </w:tc>
      </w:tr>
      <w:tr w14:paraId="505FC5BA">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932218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w:t>
            </w:r>
          </w:p>
        </w:tc>
        <w:tc>
          <w:tcPr>
            <w:tcW w:w="836" w:type="pct"/>
            <w:vMerge w:val="continue"/>
            <w:tcBorders>
              <w:top w:val="nil"/>
              <w:left w:val="single" w:color="auto" w:sz="4" w:space="0"/>
              <w:bottom w:val="single" w:color="000000" w:sz="4" w:space="0"/>
              <w:right w:val="single" w:color="auto" w:sz="4" w:space="0"/>
            </w:tcBorders>
            <w:vAlign w:val="center"/>
          </w:tcPr>
          <w:p w14:paraId="033C0B6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18E81C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交通能耗和碳排放数据采集-上海市重点用能单位能耗在线监测系统</w:t>
            </w:r>
          </w:p>
        </w:tc>
        <w:tc>
          <w:tcPr>
            <w:tcW w:w="1951" w:type="pct"/>
            <w:tcBorders>
              <w:top w:val="nil"/>
              <w:left w:val="nil"/>
              <w:bottom w:val="single" w:color="auto" w:sz="4" w:space="0"/>
              <w:right w:val="single" w:color="auto" w:sz="4" w:space="0"/>
            </w:tcBorders>
            <w:shd w:val="clear" w:color="auto" w:fill="auto"/>
            <w:vAlign w:val="center"/>
          </w:tcPr>
          <w:p w14:paraId="43167A5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获取交通领域，全市141家交通重点用能单位中，59家企业的部分计量器具得线实时采集数据</w:t>
            </w:r>
          </w:p>
        </w:tc>
      </w:tr>
      <w:tr w14:paraId="07917A0B">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53148E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w:t>
            </w:r>
          </w:p>
        </w:tc>
        <w:tc>
          <w:tcPr>
            <w:tcW w:w="836" w:type="pct"/>
            <w:vMerge w:val="continue"/>
            <w:tcBorders>
              <w:top w:val="nil"/>
              <w:left w:val="single" w:color="auto" w:sz="4" w:space="0"/>
              <w:bottom w:val="single" w:color="000000" w:sz="4" w:space="0"/>
              <w:right w:val="single" w:color="auto" w:sz="4" w:space="0"/>
            </w:tcBorders>
            <w:vAlign w:val="center"/>
          </w:tcPr>
          <w:p w14:paraId="4EC6F26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14E388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交通能耗和碳排放数据采集-中国籍国际航行船舶能耗数据和碳强度管理系统</w:t>
            </w:r>
          </w:p>
        </w:tc>
        <w:tc>
          <w:tcPr>
            <w:tcW w:w="1951" w:type="pct"/>
            <w:tcBorders>
              <w:top w:val="nil"/>
              <w:left w:val="nil"/>
              <w:bottom w:val="single" w:color="auto" w:sz="4" w:space="0"/>
              <w:right w:val="single" w:color="auto" w:sz="4" w:space="0"/>
            </w:tcBorders>
            <w:shd w:val="clear" w:color="auto" w:fill="auto"/>
            <w:vAlign w:val="center"/>
          </w:tcPr>
          <w:p w14:paraId="70DA739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获取中国籍国际航行船舶和沿海航行船舶每航次报告、内河船舶每年报告相关能耗数据和航行数据</w:t>
            </w:r>
          </w:p>
        </w:tc>
      </w:tr>
      <w:tr w14:paraId="73A59375">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303BA2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w:t>
            </w:r>
          </w:p>
        </w:tc>
        <w:tc>
          <w:tcPr>
            <w:tcW w:w="836" w:type="pct"/>
            <w:vMerge w:val="continue"/>
            <w:tcBorders>
              <w:top w:val="nil"/>
              <w:left w:val="single" w:color="auto" w:sz="4" w:space="0"/>
              <w:bottom w:val="single" w:color="000000" w:sz="4" w:space="0"/>
              <w:right w:val="single" w:color="auto" w:sz="4" w:space="0"/>
            </w:tcBorders>
            <w:vAlign w:val="center"/>
          </w:tcPr>
          <w:p w14:paraId="7109794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37E969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交通能耗和碳排放数据采集-上海市大气污染物实时总量核算平台</w:t>
            </w:r>
          </w:p>
        </w:tc>
        <w:tc>
          <w:tcPr>
            <w:tcW w:w="1951" w:type="pct"/>
            <w:tcBorders>
              <w:top w:val="nil"/>
              <w:left w:val="nil"/>
              <w:bottom w:val="single" w:color="auto" w:sz="4" w:space="0"/>
              <w:right w:val="single" w:color="auto" w:sz="4" w:space="0"/>
            </w:tcBorders>
            <w:shd w:val="clear" w:color="auto" w:fill="auto"/>
            <w:vAlign w:val="center"/>
          </w:tcPr>
          <w:p w14:paraId="7A64448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主要获取机动车、飞机和船舶等，大气污染物排放数据，更新频率为30分钟/次</w:t>
            </w:r>
          </w:p>
        </w:tc>
      </w:tr>
      <w:tr w14:paraId="04B68CF5">
        <w:tblPrEx>
          <w:tblCellMar>
            <w:top w:w="0" w:type="dxa"/>
            <w:left w:w="108" w:type="dxa"/>
            <w:bottom w:w="0" w:type="dxa"/>
            <w:right w:w="108" w:type="dxa"/>
          </w:tblCellMar>
        </w:tblPrEx>
        <w:trPr>
          <w:trHeight w:val="22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216D42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w:t>
            </w:r>
          </w:p>
        </w:tc>
        <w:tc>
          <w:tcPr>
            <w:tcW w:w="836" w:type="pct"/>
            <w:vMerge w:val="continue"/>
            <w:tcBorders>
              <w:top w:val="nil"/>
              <w:left w:val="single" w:color="auto" w:sz="4" w:space="0"/>
              <w:bottom w:val="single" w:color="000000" w:sz="4" w:space="0"/>
              <w:right w:val="single" w:color="auto" w:sz="4" w:space="0"/>
            </w:tcBorders>
            <w:vAlign w:val="center"/>
          </w:tcPr>
          <w:p w14:paraId="30D4F418">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4A50B1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交通能耗和碳排放数据采集-航空行业重点用能单位</w:t>
            </w:r>
          </w:p>
        </w:tc>
        <w:tc>
          <w:tcPr>
            <w:tcW w:w="1951" w:type="pct"/>
            <w:tcBorders>
              <w:top w:val="nil"/>
              <w:left w:val="nil"/>
              <w:bottom w:val="single" w:color="auto" w:sz="4" w:space="0"/>
              <w:right w:val="single" w:color="auto" w:sz="4" w:space="0"/>
            </w:tcBorders>
            <w:shd w:val="clear" w:color="auto" w:fill="auto"/>
            <w:vAlign w:val="center"/>
          </w:tcPr>
          <w:p w14:paraId="7AA7716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采集月度报送的能源利用状况和温室气体排放数据；航班信息数据（包括航班日期、航班号、运营人代码、机型、机号、撤轮档时刻、起飞时刻、降落时刻、上轮档时刻，起飞机场、降落机场）、航空器数据（机型、座位数、载重量、载客量、发动机类型和性能参数等）、航空燃料数据（燃油类型、能量含量、碳含量等相关信息）等</w:t>
            </w:r>
          </w:p>
        </w:tc>
      </w:tr>
      <w:tr w14:paraId="7E99E92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A4A555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w:t>
            </w:r>
          </w:p>
        </w:tc>
        <w:tc>
          <w:tcPr>
            <w:tcW w:w="836" w:type="pct"/>
            <w:vMerge w:val="continue"/>
            <w:tcBorders>
              <w:top w:val="nil"/>
              <w:left w:val="single" w:color="auto" w:sz="4" w:space="0"/>
              <w:bottom w:val="single" w:color="000000" w:sz="4" w:space="0"/>
              <w:right w:val="single" w:color="auto" w:sz="4" w:space="0"/>
            </w:tcBorders>
            <w:vAlign w:val="center"/>
          </w:tcPr>
          <w:p w14:paraId="40B7D4C0">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76998C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交通能耗和碳排放数据采集-机场行业重点用能单位</w:t>
            </w:r>
          </w:p>
        </w:tc>
        <w:tc>
          <w:tcPr>
            <w:tcW w:w="1951" w:type="pct"/>
            <w:tcBorders>
              <w:top w:val="nil"/>
              <w:left w:val="nil"/>
              <w:bottom w:val="single" w:color="auto" w:sz="4" w:space="0"/>
              <w:right w:val="single" w:color="auto" w:sz="4" w:space="0"/>
            </w:tcBorders>
            <w:shd w:val="clear" w:color="auto" w:fill="auto"/>
            <w:vAlign w:val="center"/>
          </w:tcPr>
          <w:p w14:paraId="5917BC2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主要采集的数据包括电力、天然气、汽油、柴油、外购热力的能耗和碳排放数据，水、电、冷、热4类能源数据的实时监测数据</w:t>
            </w:r>
          </w:p>
        </w:tc>
      </w:tr>
      <w:tr w14:paraId="1F0B56E9">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193485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w:t>
            </w:r>
          </w:p>
        </w:tc>
        <w:tc>
          <w:tcPr>
            <w:tcW w:w="836" w:type="pct"/>
            <w:vMerge w:val="continue"/>
            <w:tcBorders>
              <w:top w:val="nil"/>
              <w:left w:val="single" w:color="auto" w:sz="4" w:space="0"/>
              <w:bottom w:val="single" w:color="000000" w:sz="4" w:space="0"/>
              <w:right w:val="single" w:color="auto" w:sz="4" w:space="0"/>
            </w:tcBorders>
            <w:vAlign w:val="center"/>
          </w:tcPr>
          <w:p w14:paraId="3A4B78D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C67A95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交通能耗和碳排放数据采集-轨道（磁浮）重点用能单位</w:t>
            </w:r>
          </w:p>
        </w:tc>
        <w:tc>
          <w:tcPr>
            <w:tcW w:w="1951" w:type="pct"/>
            <w:tcBorders>
              <w:top w:val="nil"/>
              <w:left w:val="nil"/>
              <w:bottom w:val="single" w:color="auto" w:sz="4" w:space="0"/>
              <w:right w:val="single" w:color="auto" w:sz="4" w:space="0"/>
            </w:tcBorders>
            <w:shd w:val="clear" w:color="auto" w:fill="auto"/>
            <w:vAlign w:val="center"/>
          </w:tcPr>
          <w:p w14:paraId="2FD87B9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主要采集月度报送的能源利用状况和温室气体排放数据</w:t>
            </w:r>
          </w:p>
        </w:tc>
      </w:tr>
      <w:tr w14:paraId="7F31EAAF">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111DB7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w:t>
            </w:r>
          </w:p>
        </w:tc>
        <w:tc>
          <w:tcPr>
            <w:tcW w:w="836" w:type="pct"/>
            <w:vMerge w:val="continue"/>
            <w:tcBorders>
              <w:top w:val="nil"/>
              <w:left w:val="single" w:color="auto" w:sz="4" w:space="0"/>
              <w:bottom w:val="single" w:color="000000" w:sz="4" w:space="0"/>
              <w:right w:val="single" w:color="auto" w:sz="4" w:space="0"/>
            </w:tcBorders>
            <w:vAlign w:val="center"/>
          </w:tcPr>
          <w:p w14:paraId="751C8418">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2048B3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交通能耗和碳排放数据采集-铁路行业重点用能单位</w:t>
            </w:r>
          </w:p>
        </w:tc>
        <w:tc>
          <w:tcPr>
            <w:tcW w:w="1951" w:type="pct"/>
            <w:tcBorders>
              <w:top w:val="nil"/>
              <w:left w:val="nil"/>
              <w:bottom w:val="single" w:color="auto" w:sz="4" w:space="0"/>
              <w:right w:val="single" w:color="auto" w:sz="4" w:space="0"/>
            </w:tcBorders>
            <w:shd w:val="clear" w:color="auto" w:fill="auto"/>
            <w:vAlign w:val="center"/>
          </w:tcPr>
          <w:p w14:paraId="635CEE6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主要采集月度报送的能源利用状况和温室气体排放数据，包含货运机车、客运机车、生产、生活等领域的各类能源消耗，以及列车排班计划表和车型信息等</w:t>
            </w:r>
          </w:p>
        </w:tc>
      </w:tr>
      <w:tr w14:paraId="52B057BC">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905278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w:t>
            </w:r>
          </w:p>
        </w:tc>
        <w:tc>
          <w:tcPr>
            <w:tcW w:w="836" w:type="pct"/>
            <w:vMerge w:val="continue"/>
            <w:tcBorders>
              <w:top w:val="nil"/>
              <w:left w:val="single" w:color="auto" w:sz="4" w:space="0"/>
              <w:bottom w:val="single" w:color="000000" w:sz="4" w:space="0"/>
              <w:right w:val="single" w:color="auto" w:sz="4" w:space="0"/>
            </w:tcBorders>
            <w:vAlign w:val="center"/>
          </w:tcPr>
          <w:p w14:paraId="15CAF5F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64A988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交通能耗和碳排放数据采集-港口行业重点用能单位</w:t>
            </w:r>
          </w:p>
        </w:tc>
        <w:tc>
          <w:tcPr>
            <w:tcW w:w="1951" w:type="pct"/>
            <w:tcBorders>
              <w:top w:val="nil"/>
              <w:left w:val="nil"/>
              <w:bottom w:val="single" w:color="auto" w:sz="4" w:space="0"/>
              <w:right w:val="single" w:color="auto" w:sz="4" w:space="0"/>
            </w:tcBorders>
            <w:shd w:val="clear" w:color="auto" w:fill="auto"/>
            <w:vAlign w:val="center"/>
          </w:tcPr>
          <w:p w14:paraId="16C9B1A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通过系统平台数据自动对接或定期报送的方式获取能耗数据</w:t>
            </w:r>
          </w:p>
        </w:tc>
      </w:tr>
      <w:tr w14:paraId="1D82EA49">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222B6D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w:t>
            </w:r>
          </w:p>
        </w:tc>
        <w:tc>
          <w:tcPr>
            <w:tcW w:w="836" w:type="pct"/>
            <w:vMerge w:val="continue"/>
            <w:tcBorders>
              <w:top w:val="nil"/>
              <w:left w:val="single" w:color="auto" w:sz="4" w:space="0"/>
              <w:bottom w:val="single" w:color="000000" w:sz="4" w:space="0"/>
              <w:right w:val="single" w:color="auto" w:sz="4" w:space="0"/>
            </w:tcBorders>
            <w:vAlign w:val="center"/>
          </w:tcPr>
          <w:p w14:paraId="18CE27E3">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7DCDCA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交通能耗和碳排放数据采集-航运行业重点用能单位</w:t>
            </w:r>
          </w:p>
        </w:tc>
        <w:tc>
          <w:tcPr>
            <w:tcW w:w="1951" w:type="pct"/>
            <w:tcBorders>
              <w:top w:val="nil"/>
              <w:left w:val="nil"/>
              <w:bottom w:val="single" w:color="auto" w:sz="4" w:space="0"/>
              <w:right w:val="single" w:color="auto" w:sz="4" w:space="0"/>
            </w:tcBorders>
            <w:shd w:val="clear" w:color="auto" w:fill="auto"/>
            <w:vAlign w:val="center"/>
          </w:tcPr>
          <w:p w14:paraId="2F09941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通过系统平台数据自动对接或定期报送的方式获取数据</w:t>
            </w:r>
          </w:p>
        </w:tc>
      </w:tr>
      <w:tr w14:paraId="09726CB7">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262A14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w:t>
            </w:r>
          </w:p>
        </w:tc>
        <w:tc>
          <w:tcPr>
            <w:tcW w:w="836" w:type="pct"/>
            <w:vMerge w:val="continue"/>
            <w:tcBorders>
              <w:top w:val="nil"/>
              <w:left w:val="single" w:color="auto" w:sz="4" w:space="0"/>
              <w:bottom w:val="single" w:color="000000" w:sz="4" w:space="0"/>
              <w:right w:val="single" w:color="auto" w:sz="4" w:space="0"/>
            </w:tcBorders>
            <w:vAlign w:val="center"/>
          </w:tcPr>
          <w:p w14:paraId="5CD1E174">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AC315F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交通能耗和碳排放数据采集-公路客运重点用能单位</w:t>
            </w:r>
          </w:p>
        </w:tc>
        <w:tc>
          <w:tcPr>
            <w:tcW w:w="1951" w:type="pct"/>
            <w:tcBorders>
              <w:top w:val="nil"/>
              <w:left w:val="nil"/>
              <w:bottom w:val="single" w:color="auto" w:sz="4" w:space="0"/>
              <w:right w:val="single" w:color="auto" w:sz="4" w:space="0"/>
            </w:tcBorders>
            <w:shd w:val="clear" w:color="auto" w:fill="auto"/>
            <w:vAlign w:val="center"/>
          </w:tcPr>
          <w:p w14:paraId="292EF4C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要采集企业各类能源品种的每月能源消耗量和二氧化碳排放量</w:t>
            </w:r>
          </w:p>
        </w:tc>
      </w:tr>
      <w:tr w14:paraId="085CBB26">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5C14ED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w:t>
            </w:r>
          </w:p>
        </w:tc>
        <w:tc>
          <w:tcPr>
            <w:tcW w:w="836" w:type="pct"/>
            <w:vMerge w:val="continue"/>
            <w:tcBorders>
              <w:top w:val="nil"/>
              <w:left w:val="single" w:color="auto" w:sz="4" w:space="0"/>
              <w:bottom w:val="single" w:color="000000" w:sz="4" w:space="0"/>
              <w:right w:val="single" w:color="auto" w:sz="4" w:space="0"/>
            </w:tcBorders>
            <w:vAlign w:val="center"/>
          </w:tcPr>
          <w:p w14:paraId="63FA8E4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E323E6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交通能耗和碳排放数据采集-城市客运重点用能单位</w:t>
            </w:r>
          </w:p>
        </w:tc>
        <w:tc>
          <w:tcPr>
            <w:tcW w:w="1951" w:type="pct"/>
            <w:tcBorders>
              <w:top w:val="nil"/>
              <w:left w:val="nil"/>
              <w:bottom w:val="single" w:color="auto" w:sz="4" w:space="0"/>
              <w:right w:val="single" w:color="auto" w:sz="4" w:space="0"/>
            </w:tcBorders>
            <w:shd w:val="clear" w:color="auto" w:fill="auto"/>
            <w:vAlign w:val="center"/>
          </w:tcPr>
          <w:p w14:paraId="088F9BE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过系统平台数据自动对接或定期报送的方式获取数据，主要采集企业各类能源品种的每月能源消耗量和二氧化碳排放量</w:t>
            </w:r>
          </w:p>
        </w:tc>
      </w:tr>
      <w:tr w14:paraId="4127EC1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884463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w:t>
            </w:r>
          </w:p>
        </w:tc>
        <w:tc>
          <w:tcPr>
            <w:tcW w:w="836" w:type="pct"/>
            <w:vMerge w:val="continue"/>
            <w:tcBorders>
              <w:top w:val="nil"/>
              <w:left w:val="single" w:color="auto" w:sz="4" w:space="0"/>
              <w:bottom w:val="single" w:color="000000" w:sz="4" w:space="0"/>
              <w:right w:val="single" w:color="auto" w:sz="4" w:space="0"/>
            </w:tcBorders>
            <w:vAlign w:val="center"/>
          </w:tcPr>
          <w:p w14:paraId="3585B824">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5F61DF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交通能耗和碳排放数据采集-道路货运重点用能单位</w:t>
            </w:r>
          </w:p>
        </w:tc>
        <w:tc>
          <w:tcPr>
            <w:tcW w:w="1951" w:type="pct"/>
            <w:tcBorders>
              <w:top w:val="nil"/>
              <w:left w:val="nil"/>
              <w:bottom w:val="single" w:color="auto" w:sz="4" w:space="0"/>
              <w:right w:val="single" w:color="auto" w:sz="4" w:space="0"/>
            </w:tcBorders>
            <w:shd w:val="clear" w:color="auto" w:fill="auto"/>
            <w:vAlign w:val="center"/>
          </w:tcPr>
          <w:p w14:paraId="2DE83AE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通过系统平台数据自动对接或定期报送的方式获取数据，主要采集企业各类能源品种的每月能源消耗量和二氧化碳排放量</w:t>
            </w:r>
          </w:p>
        </w:tc>
      </w:tr>
      <w:tr w14:paraId="50741274">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399B94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w:t>
            </w:r>
          </w:p>
        </w:tc>
        <w:tc>
          <w:tcPr>
            <w:tcW w:w="836" w:type="pct"/>
            <w:vMerge w:val="continue"/>
            <w:tcBorders>
              <w:top w:val="nil"/>
              <w:left w:val="single" w:color="auto" w:sz="4" w:space="0"/>
              <w:bottom w:val="single" w:color="000000" w:sz="4" w:space="0"/>
              <w:right w:val="single" w:color="auto" w:sz="4" w:space="0"/>
            </w:tcBorders>
            <w:vAlign w:val="center"/>
          </w:tcPr>
          <w:p w14:paraId="2B64A63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F4A51C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碳排放专题库-航空数据专题库</w:t>
            </w:r>
          </w:p>
        </w:tc>
        <w:tc>
          <w:tcPr>
            <w:tcW w:w="1951" w:type="pct"/>
            <w:tcBorders>
              <w:top w:val="nil"/>
              <w:left w:val="nil"/>
              <w:bottom w:val="single" w:color="auto" w:sz="4" w:space="0"/>
              <w:right w:val="single" w:color="auto" w:sz="4" w:space="0"/>
            </w:tcBorders>
            <w:shd w:val="clear" w:color="auto" w:fill="auto"/>
            <w:vAlign w:val="center"/>
          </w:tcPr>
          <w:p w14:paraId="712FC3B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航空子行业的数据专题库主要接入以下类型的基础数据、统计数据、动态数据和运营数据</w:t>
            </w:r>
          </w:p>
        </w:tc>
      </w:tr>
      <w:tr w14:paraId="69751B38">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FF4D75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w:t>
            </w:r>
          </w:p>
        </w:tc>
        <w:tc>
          <w:tcPr>
            <w:tcW w:w="836" w:type="pct"/>
            <w:vMerge w:val="continue"/>
            <w:tcBorders>
              <w:top w:val="nil"/>
              <w:left w:val="single" w:color="auto" w:sz="4" w:space="0"/>
              <w:bottom w:val="single" w:color="000000" w:sz="4" w:space="0"/>
              <w:right w:val="single" w:color="auto" w:sz="4" w:space="0"/>
            </w:tcBorders>
            <w:vAlign w:val="center"/>
          </w:tcPr>
          <w:p w14:paraId="3EF6E1D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043449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碳排放专题库-机场数据专题库</w:t>
            </w:r>
          </w:p>
        </w:tc>
        <w:tc>
          <w:tcPr>
            <w:tcW w:w="1951" w:type="pct"/>
            <w:tcBorders>
              <w:top w:val="nil"/>
              <w:left w:val="nil"/>
              <w:bottom w:val="single" w:color="auto" w:sz="4" w:space="0"/>
              <w:right w:val="single" w:color="auto" w:sz="4" w:space="0"/>
            </w:tcBorders>
            <w:shd w:val="clear" w:color="auto" w:fill="auto"/>
            <w:vAlign w:val="center"/>
          </w:tcPr>
          <w:p w14:paraId="4FAAE08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机场子行业的数据专题库主要接入以下类型的基础数据、统计数据、动态数据和运营数据</w:t>
            </w:r>
          </w:p>
        </w:tc>
      </w:tr>
      <w:tr w14:paraId="2E6A5688">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CA234A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w:t>
            </w:r>
          </w:p>
        </w:tc>
        <w:tc>
          <w:tcPr>
            <w:tcW w:w="836" w:type="pct"/>
            <w:vMerge w:val="continue"/>
            <w:tcBorders>
              <w:top w:val="nil"/>
              <w:left w:val="single" w:color="auto" w:sz="4" w:space="0"/>
              <w:bottom w:val="single" w:color="000000" w:sz="4" w:space="0"/>
              <w:right w:val="single" w:color="auto" w:sz="4" w:space="0"/>
            </w:tcBorders>
            <w:vAlign w:val="center"/>
          </w:tcPr>
          <w:p w14:paraId="05CB7198">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8D1962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碳排放专题库-铁路数据专题库</w:t>
            </w:r>
          </w:p>
        </w:tc>
        <w:tc>
          <w:tcPr>
            <w:tcW w:w="1951" w:type="pct"/>
            <w:tcBorders>
              <w:top w:val="nil"/>
              <w:left w:val="nil"/>
              <w:bottom w:val="single" w:color="auto" w:sz="4" w:space="0"/>
              <w:right w:val="single" w:color="auto" w:sz="4" w:space="0"/>
            </w:tcBorders>
            <w:shd w:val="clear" w:color="auto" w:fill="auto"/>
            <w:vAlign w:val="center"/>
          </w:tcPr>
          <w:p w14:paraId="4B7A506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轨道子行业的数据专题库主要接入以下类型的基础数据、统计数据、动态数据和运营数据</w:t>
            </w:r>
          </w:p>
        </w:tc>
      </w:tr>
      <w:tr w14:paraId="0DD47B0A">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086693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w:t>
            </w:r>
          </w:p>
        </w:tc>
        <w:tc>
          <w:tcPr>
            <w:tcW w:w="836" w:type="pct"/>
            <w:vMerge w:val="continue"/>
            <w:tcBorders>
              <w:top w:val="nil"/>
              <w:left w:val="single" w:color="auto" w:sz="4" w:space="0"/>
              <w:bottom w:val="single" w:color="000000" w:sz="4" w:space="0"/>
              <w:right w:val="single" w:color="auto" w:sz="4" w:space="0"/>
            </w:tcBorders>
            <w:vAlign w:val="center"/>
          </w:tcPr>
          <w:p w14:paraId="7F7F133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911BDB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碳排放专题库-轨道（磁浮）数据专题库</w:t>
            </w:r>
          </w:p>
        </w:tc>
        <w:tc>
          <w:tcPr>
            <w:tcW w:w="1951" w:type="pct"/>
            <w:tcBorders>
              <w:top w:val="nil"/>
              <w:left w:val="nil"/>
              <w:bottom w:val="single" w:color="auto" w:sz="4" w:space="0"/>
              <w:right w:val="single" w:color="auto" w:sz="4" w:space="0"/>
            </w:tcBorders>
            <w:shd w:val="clear" w:color="auto" w:fill="auto"/>
            <w:vAlign w:val="center"/>
          </w:tcPr>
          <w:p w14:paraId="48A8C68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铁路子行业的数据专题库主要接入以下类型的基础数据、统计数据、动态数据和运营数据</w:t>
            </w:r>
          </w:p>
        </w:tc>
      </w:tr>
      <w:tr w14:paraId="3511C2DB">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B80F43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w:t>
            </w:r>
          </w:p>
        </w:tc>
        <w:tc>
          <w:tcPr>
            <w:tcW w:w="836" w:type="pct"/>
            <w:vMerge w:val="continue"/>
            <w:tcBorders>
              <w:top w:val="nil"/>
              <w:left w:val="single" w:color="auto" w:sz="4" w:space="0"/>
              <w:bottom w:val="single" w:color="000000" w:sz="4" w:space="0"/>
              <w:right w:val="single" w:color="auto" w:sz="4" w:space="0"/>
            </w:tcBorders>
            <w:vAlign w:val="center"/>
          </w:tcPr>
          <w:p w14:paraId="0D26BE8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268DA6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碳排放专题库-港口数据专题库</w:t>
            </w:r>
          </w:p>
        </w:tc>
        <w:tc>
          <w:tcPr>
            <w:tcW w:w="1951" w:type="pct"/>
            <w:tcBorders>
              <w:top w:val="nil"/>
              <w:left w:val="nil"/>
              <w:bottom w:val="single" w:color="auto" w:sz="4" w:space="0"/>
              <w:right w:val="single" w:color="auto" w:sz="4" w:space="0"/>
            </w:tcBorders>
            <w:shd w:val="clear" w:color="auto" w:fill="auto"/>
            <w:vAlign w:val="center"/>
          </w:tcPr>
          <w:p w14:paraId="2B8F573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港口子行业的数据专题库主要接入以下类型的基础数据、统计数据、动态数据和运营数据</w:t>
            </w:r>
          </w:p>
        </w:tc>
      </w:tr>
      <w:tr w14:paraId="6048A765">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56D184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w:t>
            </w:r>
          </w:p>
        </w:tc>
        <w:tc>
          <w:tcPr>
            <w:tcW w:w="836" w:type="pct"/>
            <w:vMerge w:val="continue"/>
            <w:tcBorders>
              <w:top w:val="nil"/>
              <w:left w:val="single" w:color="auto" w:sz="4" w:space="0"/>
              <w:bottom w:val="single" w:color="000000" w:sz="4" w:space="0"/>
              <w:right w:val="single" w:color="auto" w:sz="4" w:space="0"/>
            </w:tcBorders>
            <w:vAlign w:val="center"/>
          </w:tcPr>
          <w:p w14:paraId="4549825C">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01AD51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碳排放专题库-航运数据专题库</w:t>
            </w:r>
          </w:p>
        </w:tc>
        <w:tc>
          <w:tcPr>
            <w:tcW w:w="1951" w:type="pct"/>
            <w:tcBorders>
              <w:top w:val="nil"/>
              <w:left w:val="nil"/>
              <w:bottom w:val="single" w:color="auto" w:sz="4" w:space="0"/>
              <w:right w:val="single" w:color="auto" w:sz="4" w:space="0"/>
            </w:tcBorders>
            <w:shd w:val="clear" w:color="auto" w:fill="auto"/>
            <w:vAlign w:val="center"/>
          </w:tcPr>
          <w:p w14:paraId="106DD31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航运子行业的数据专题库主要接入以下类型的基础数据、统计数据、动态数据和运营数据</w:t>
            </w:r>
          </w:p>
        </w:tc>
      </w:tr>
      <w:tr w14:paraId="7D424027">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E4ABFC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w:t>
            </w:r>
          </w:p>
        </w:tc>
        <w:tc>
          <w:tcPr>
            <w:tcW w:w="836" w:type="pct"/>
            <w:vMerge w:val="continue"/>
            <w:tcBorders>
              <w:top w:val="nil"/>
              <w:left w:val="single" w:color="auto" w:sz="4" w:space="0"/>
              <w:bottom w:val="single" w:color="000000" w:sz="4" w:space="0"/>
              <w:right w:val="single" w:color="auto" w:sz="4" w:space="0"/>
            </w:tcBorders>
            <w:vAlign w:val="center"/>
          </w:tcPr>
          <w:p w14:paraId="74AD342C">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3B7833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碳排放专题库-公路客运数据专题库</w:t>
            </w:r>
          </w:p>
        </w:tc>
        <w:tc>
          <w:tcPr>
            <w:tcW w:w="1951" w:type="pct"/>
            <w:tcBorders>
              <w:top w:val="nil"/>
              <w:left w:val="nil"/>
              <w:bottom w:val="single" w:color="auto" w:sz="4" w:space="0"/>
              <w:right w:val="single" w:color="auto" w:sz="4" w:space="0"/>
            </w:tcBorders>
            <w:shd w:val="clear" w:color="auto" w:fill="auto"/>
            <w:vAlign w:val="center"/>
          </w:tcPr>
          <w:p w14:paraId="2232430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公路客运子行业的数据专题库主要接入以下类型的基础数据、统计数据、动态数据和运营数据</w:t>
            </w:r>
          </w:p>
        </w:tc>
      </w:tr>
      <w:tr w14:paraId="7BB9265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1A4057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w:t>
            </w:r>
          </w:p>
        </w:tc>
        <w:tc>
          <w:tcPr>
            <w:tcW w:w="836" w:type="pct"/>
            <w:vMerge w:val="continue"/>
            <w:tcBorders>
              <w:top w:val="nil"/>
              <w:left w:val="single" w:color="auto" w:sz="4" w:space="0"/>
              <w:bottom w:val="single" w:color="000000" w:sz="4" w:space="0"/>
              <w:right w:val="single" w:color="auto" w:sz="4" w:space="0"/>
            </w:tcBorders>
            <w:vAlign w:val="center"/>
          </w:tcPr>
          <w:p w14:paraId="3C7366D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23D75F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碳排放专题库-城市客运数据专题库</w:t>
            </w:r>
          </w:p>
        </w:tc>
        <w:tc>
          <w:tcPr>
            <w:tcW w:w="1951" w:type="pct"/>
            <w:tcBorders>
              <w:top w:val="nil"/>
              <w:left w:val="nil"/>
              <w:bottom w:val="single" w:color="auto" w:sz="4" w:space="0"/>
              <w:right w:val="single" w:color="auto" w:sz="4" w:space="0"/>
            </w:tcBorders>
            <w:shd w:val="clear" w:color="auto" w:fill="auto"/>
            <w:vAlign w:val="center"/>
          </w:tcPr>
          <w:p w14:paraId="7AE3441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城市客运子行业的数据专题库主要接入以下类型的基础数据、统计数据、动态数据和运营数据</w:t>
            </w:r>
          </w:p>
        </w:tc>
      </w:tr>
      <w:tr w14:paraId="3508158E">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901942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w:t>
            </w:r>
          </w:p>
        </w:tc>
        <w:tc>
          <w:tcPr>
            <w:tcW w:w="836" w:type="pct"/>
            <w:vMerge w:val="continue"/>
            <w:tcBorders>
              <w:top w:val="nil"/>
              <w:left w:val="single" w:color="auto" w:sz="4" w:space="0"/>
              <w:bottom w:val="single" w:color="000000" w:sz="4" w:space="0"/>
              <w:right w:val="single" w:color="auto" w:sz="4" w:space="0"/>
            </w:tcBorders>
            <w:vAlign w:val="center"/>
          </w:tcPr>
          <w:p w14:paraId="1C9E6CD3">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4C1926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碳排放专题库-道路货运数据专题库</w:t>
            </w:r>
          </w:p>
        </w:tc>
        <w:tc>
          <w:tcPr>
            <w:tcW w:w="1951" w:type="pct"/>
            <w:tcBorders>
              <w:top w:val="nil"/>
              <w:left w:val="nil"/>
              <w:bottom w:val="single" w:color="auto" w:sz="4" w:space="0"/>
              <w:right w:val="single" w:color="auto" w:sz="4" w:space="0"/>
            </w:tcBorders>
            <w:shd w:val="clear" w:color="auto" w:fill="auto"/>
            <w:vAlign w:val="center"/>
          </w:tcPr>
          <w:p w14:paraId="111A324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道路货运子行业的数据专题库主要接入以下类型的基础数据、统计数据、动态数据和运营数据</w:t>
            </w:r>
          </w:p>
        </w:tc>
      </w:tr>
      <w:tr w14:paraId="08AA85B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22FA5C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w:t>
            </w:r>
          </w:p>
        </w:tc>
        <w:tc>
          <w:tcPr>
            <w:tcW w:w="836" w:type="pct"/>
            <w:vMerge w:val="restart"/>
            <w:tcBorders>
              <w:top w:val="nil"/>
              <w:left w:val="single" w:color="auto" w:sz="4" w:space="0"/>
              <w:bottom w:val="single" w:color="000000" w:sz="4" w:space="0"/>
              <w:right w:val="single" w:color="auto" w:sz="4" w:space="0"/>
            </w:tcBorders>
            <w:shd w:val="clear" w:color="auto" w:fill="auto"/>
            <w:vAlign w:val="center"/>
          </w:tcPr>
          <w:p w14:paraId="48F892A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交通能耗和碳排放数据动态分析与监测</w:t>
            </w:r>
          </w:p>
        </w:tc>
        <w:tc>
          <w:tcPr>
            <w:tcW w:w="1760" w:type="pct"/>
            <w:tcBorders>
              <w:top w:val="nil"/>
              <w:left w:val="nil"/>
              <w:bottom w:val="single" w:color="auto" w:sz="4" w:space="0"/>
              <w:right w:val="single" w:color="auto" w:sz="4" w:space="0"/>
            </w:tcBorders>
            <w:shd w:val="clear" w:color="auto" w:fill="auto"/>
            <w:vAlign w:val="center"/>
          </w:tcPr>
          <w:p w14:paraId="031FAB3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交通碳排放数据可视化中心-交通行业可视化监测中心-全行业能耗概览</w:t>
            </w:r>
          </w:p>
        </w:tc>
        <w:tc>
          <w:tcPr>
            <w:tcW w:w="1951" w:type="pct"/>
            <w:tcBorders>
              <w:top w:val="nil"/>
              <w:left w:val="nil"/>
              <w:bottom w:val="single" w:color="auto" w:sz="4" w:space="0"/>
              <w:right w:val="single" w:color="auto" w:sz="4" w:space="0"/>
            </w:tcBorders>
            <w:shd w:val="clear" w:color="auto" w:fill="auto"/>
            <w:vAlign w:val="center"/>
          </w:tcPr>
          <w:p w14:paraId="70F8824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通过汇总、监测和可视化交通各子行业的能耗数据，提供实时而全面的行业能耗概览</w:t>
            </w:r>
          </w:p>
        </w:tc>
      </w:tr>
      <w:tr w14:paraId="4D3A0485">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0D940A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w:t>
            </w:r>
          </w:p>
        </w:tc>
        <w:tc>
          <w:tcPr>
            <w:tcW w:w="836" w:type="pct"/>
            <w:vMerge w:val="continue"/>
            <w:tcBorders>
              <w:top w:val="nil"/>
              <w:left w:val="single" w:color="auto" w:sz="4" w:space="0"/>
              <w:bottom w:val="single" w:color="000000" w:sz="4" w:space="0"/>
              <w:right w:val="single" w:color="auto" w:sz="4" w:space="0"/>
            </w:tcBorders>
            <w:vAlign w:val="center"/>
          </w:tcPr>
          <w:p w14:paraId="7992522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D67B72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交通碳排放数据可视化中心-交通行业可视化监测中心-全行业碳排放概览</w:t>
            </w:r>
          </w:p>
        </w:tc>
        <w:tc>
          <w:tcPr>
            <w:tcW w:w="1951" w:type="pct"/>
            <w:tcBorders>
              <w:top w:val="nil"/>
              <w:left w:val="nil"/>
              <w:bottom w:val="single" w:color="auto" w:sz="4" w:space="0"/>
              <w:right w:val="single" w:color="auto" w:sz="4" w:space="0"/>
            </w:tcBorders>
            <w:shd w:val="clear" w:color="auto" w:fill="auto"/>
            <w:vAlign w:val="center"/>
          </w:tcPr>
          <w:p w14:paraId="0EEA4A8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通过汇总、监测和可视化交通各子行业的碳排放数据，提供实时而全面的行业碳排放概览</w:t>
            </w:r>
          </w:p>
        </w:tc>
      </w:tr>
      <w:tr w14:paraId="15A30D35">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5CC363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w:t>
            </w:r>
          </w:p>
        </w:tc>
        <w:tc>
          <w:tcPr>
            <w:tcW w:w="836" w:type="pct"/>
            <w:vMerge w:val="continue"/>
            <w:tcBorders>
              <w:top w:val="nil"/>
              <w:left w:val="single" w:color="auto" w:sz="4" w:space="0"/>
              <w:bottom w:val="single" w:color="000000" w:sz="4" w:space="0"/>
              <w:right w:val="single" w:color="auto" w:sz="4" w:space="0"/>
            </w:tcBorders>
            <w:vAlign w:val="center"/>
          </w:tcPr>
          <w:p w14:paraId="4649866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DB6A2E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交通碳排放数据可视化中心-交通行业可视化监测中心-全行业重点用能单位碳排放概览</w:t>
            </w:r>
          </w:p>
        </w:tc>
        <w:tc>
          <w:tcPr>
            <w:tcW w:w="1951" w:type="pct"/>
            <w:tcBorders>
              <w:top w:val="nil"/>
              <w:left w:val="nil"/>
              <w:bottom w:val="single" w:color="auto" w:sz="4" w:space="0"/>
              <w:right w:val="single" w:color="auto" w:sz="4" w:space="0"/>
            </w:tcBorders>
            <w:shd w:val="clear" w:color="auto" w:fill="auto"/>
            <w:vAlign w:val="center"/>
          </w:tcPr>
          <w:p w14:paraId="3294E85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通过汇总、监测和可视化这些重点用能单位的碳排放数据，用户可以实时了解其碳排放情况、趋势，并进行对比分析</w:t>
            </w:r>
          </w:p>
        </w:tc>
      </w:tr>
      <w:tr w14:paraId="11735AA7">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B3E606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w:t>
            </w:r>
          </w:p>
        </w:tc>
        <w:tc>
          <w:tcPr>
            <w:tcW w:w="836" w:type="pct"/>
            <w:vMerge w:val="continue"/>
            <w:tcBorders>
              <w:top w:val="nil"/>
              <w:left w:val="single" w:color="auto" w:sz="4" w:space="0"/>
              <w:bottom w:val="single" w:color="000000" w:sz="4" w:space="0"/>
              <w:right w:val="single" w:color="auto" w:sz="4" w:space="0"/>
            </w:tcBorders>
            <w:vAlign w:val="center"/>
          </w:tcPr>
          <w:p w14:paraId="13061BF4">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C6B17C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交通碳排放数据可视化中心-交通行业可视化监测中心-全行业碳排放强度概览</w:t>
            </w:r>
          </w:p>
        </w:tc>
        <w:tc>
          <w:tcPr>
            <w:tcW w:w="1951" w:type="pct"/>
            <w:tcBorders>
              <w:top w:val="nil"/>
              <w:left w:val="nil"/>
              <w:bottom w:val="single" w:color="auto" w:sz="4" w:space="0"/>
              <w:right w:val="single" w:color="auto" w:sz="4" w:space="0"/>
            </w:tcBorders>
            <w:shd w:val="clear" w:color="auto" w:fill="auto"/>
            <w:vAlign w:val="center"/>
          </w:tcPr>
          <w:p w14:paraId="637B6F8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通过整合、监测和可视化交通行业的碳排放和能源消耗数据，帮助用户全面了解行业的碳排放强度情况，并提供数据对比、分析和可持续发展建议</w:t>
            </w:r>
          </w:p>
        </w:tc>
      </w:tr>
      <w:tr w14:paraId="546AE219">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16977C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w:t>
            </w:r>
          </w:p>
        </w:tc>
        <w:tc>
          <w:tcPr>
            <w:tcW w:w="836" w:type="pct"/>
            <w:vMerge w:val="continue"/>
            <w:tcBorders>
              <w:top w:val="nil"/>
              <w:left w:val="single" w:color="auto" w:sz="4" w:space="0"/>
              <w:bottom w:val="single" w:color="000000" w:sz="4" w:space="0"/>
              <w:right w:val="single" w:color="auto" w:sz="4" w:space="0"/>
            </w:tcBorders>
            <w:vAlign w:val="center"/>
          </w:tcPr>
          <w:p w14:paraId="1624251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3AEE3F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交通碳排放数据可视化中心-交通行业可视化监测中心-全行业能耗强度概览</w:t>
            </w:r>
          </w:p>
        </w:tc>
        <w:tc>
          <w:tcPr>
            <w:tcW w:w="1951" w:type="pct"/>
            <w:tcBorders>
              <w:top w:val="nil"/>
              <w:left w:val="nil"/>
              <w:bottom w:val="single" w:color="auto" w:sz="4" w:space="0"/>
              <w:right w:val="single" w:color="auto" w:sz="4" w:space="0"/>
            </w:tcBorders>
            <w:shd w:val="clear" w:color="auto" w:fill="auto"/>
            <w:vAlign w:val="center"/>
          </w:tcPr>
          <w:p w14:paraId="676CCFC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汇总和监测各交通领域（包括道路、航空、铁路、航运等）的能源消耗数据</w:t>
            </w:r>
          </w:p>
        </w:tc>
      </w:tr>
      <w:tr w14:paraId="7B39E86D">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370C1C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w:t>
            </w:r>
          </w:p>
        </w:tc>
        <w:tc>
          <w:tcPr>
            <w:tcW w:w="836" w:type="pct"/>
            <w:vMerge w:val="continue"/>
            <w:tcBorders>
              <w:top w:val="nil"/>
              <w:left w:val="single" w:color="auto" w:sz="4" w:space="0"/>
              <w:bottom w:val="single" w:color="000000" w:sz="4" w:space="0"/>
              <w:right w:val="single" w:color="auto" w:sz="4" w:space="0"/>
            </w:tcBorders>
            <w:vAlign w:val="center"/>
          </w:tcPr>
          <w:p w14:paraId="37C5FFC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1F32A8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交通碳排放数据可视化中心-交通行业可视化监测中心-全行业碳排放趋势概览</w:t>
            </w:r>
          </w:p>
        </w:tc>
        <w:tc>
          <w:tcPr>
            <w:tcW w:w="1951" w:type="pct"/>
            <w:tcBorders>
              <w:top w:val="nil"/>
              <w:left w:val="nil"/>
              <w:bottom w:val="single" w:color="auto" w:sz="4" w:space="0"/>
              <w:right w:val="single" w:color="auto" w:sz="4" w:space="0"/>
            </w:tcBorders>
            <w:shd w:val="clear" w:color="auto" w:fill="auto"/>
            <w:vAlign w:val="center"/>
          </w:tcPr>
          <w:p w14:paraId="28B3225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通过监测和分析交通行业中的碳排放数据，提供全行业碳排放趋势的可视化展示和分析</w:t>
            </w:r>
          </w:p>
        </w:tc>
      </w:tr>
      <w:tr w14:paraId="7DCC61EE">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796A8F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w:t>
            </w:r>
          </w:p>
        </w:tc>
        <w:tc>
          <w:tcPr>
            <w:tcW w:w="836" w:type="pct"/>
            <w:vMerge w:val="continue"/>
            <w:tcBorders>
              <w:top w:val="nil"/>
              <w:left w:val="single" w:color="auto" w:sz="4" w:space="0"/>
              <w:bottom w:val="single" w:color="000000" w:sz="4" w:space="0"/>
              <w:right w:val="single" w:color="auto" w:sz="4" w:space="0"/>
            </w:tcBorders>
            <w:vAlign w:val="center"/>
          </w:tcPr>
          <w:p w14:paraId="69DCDFD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9856D9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交通碳排放数据可视化中心-交通行业可视化监测中心-全行业能耗结构概览</w:t>
            </w:r>
          </w:p>
        </w:tc>
        <w:tc>
          <w:tcPr>
            <w:tcW w:w="1951" w:type="pct"/>
            <w:tcBorders>
              <w:top w:val="nil"/>
              <w:left w:val="nil"/>
              <w:bottom w:val="single" w:color="auto" w:sz="4" w:space="0"/>
              <w:right w:val="single" w:color="auto" w:sz="4" w:space="0"/>
            </w:tcBorders>
            <w:shd w:val="clear" w:color="auto" w:fill="auto"/>
            <w:vAlign w:val="center"/>
          </w:tcPr>
          <w:p w14:paraId="6ECB06A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收集和整合各个交通领域（道路、航空、铁路、航运等）的能源消耗数据，并将其按照能源类型（如汽油、柴油、电力等）进行分类和分析</w:t>
            </w:r>
          </w:p>
        </w:tc>
      </w:tr>
      <w:tr w14:paraId="7AD4F11A">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4D5D92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w:t>
            </w:r>
          </w:p>
        </w:tc>
        <w:tc>
          <w:tcPr>
            <w:tcW w:w="836" w:type="pct"/>
            <w:vMerge w:val="continue"/>
            <w:tcBorders>
              <w:top w:val="nil"/>
              <w:left w:val="single" w:color="auto" w:sz="4" w:space="0"/>
              <w:bottom w:val="single" w:color="000000" w:sz="4" w:space="0"/>
              <w:right w:val="single" w:color="auto" w:sz="4" w:space="0"/>
            </w:tcBorders>
            <w:vAlign w:val="center"/>
          </w:tcPr>
          <w:p w14:paraId="3AF78F98">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64C946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交通碳排放数据可视化中心-航空可视化监测中心-航空行业运营概况</w:t>
            </w:r>
          </w:p>
        </w:tc>
        <w:tc>
          <w:tcPr>
            <w:tcW w:w="1951" w:type="pct"/>
            <w:tcBorders>
              <w:top w:val="nil"/>
              <w:left w:val="nil"/>
              <w:bottom w:val="single" w:color="auto" w:sz="4" w:space="0"/>
              <w:right w:val="single" w:color="auto" w:sz="4" w:space="0"/>
            </w:tcBorders>
            <w:shd w:val="clear" w:color="auto" w:fill="auto"/>
            <w:vAlign w:val="center"/>
          </w:tcPr>
          <w:p w14:paraId="02E7347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收集整合上海8家重点用能单位的航空行业数据，包括但不限于旅客吞吐量、航班起降架次等关键性能指标</w:t>
            </w:r>
          </w:p>
        </w:tc>
      </w:tr>
      <w:tr w14:paraId="1A3B8281">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63268E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w:t>
            </w:r>
          </w:p>
        </w:tc>
        <w:tc>
          <w:tcPr>
            <w:tcW w:w="836" w:type="pct"/>
            <w:vMerge w:val="continue"/>
            <w:tcBorders>
              <w:top w:val="nil"/>
              <w:left w:val="single" w:color="auto" w:sz="4" w:space="0"/>
              <w:bottom w:val="single" w:color="000000" w:sz="4" w:space="0"/>
              <w:right w:val="single" w:color="auto" w:sz="4" w:space="0"/>
            </w:tcBorders>
            <w:vAlign w:val="center"/>
          </w:tcPr>
          <w:p w14:paraId="66EF83C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D9FD1B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交通碳排放数据可视化中心-航空可视化监测中心-航空行业碳排放概览</w:t>
            </w:r>
          </w:p>
        </w:tc>
        <w:tc>
          <w:tcPr>
            <w:tcW w:w="1951" w:type="pct"/>
            <w:tcBorders>
              <w:top w:val="nil"/>
              <w:left w:val="nil"/>
              <w:bottom w:val="single" w:color="auto" w:sz="4" w:space="0"/>
              <w:right w:val="single" w:color="auto" w:sz="4" w:space="0"/>
            </w:tcBorders>
            <w:shd w:val="clear" w:color="auto" w:fill="auto"/>
            <w:vAlign w:val="center"/>
          </w:tcPr>
          <w:p w14:paraId="473D6AE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逐日数据反映每日航班起降次数与碳排放量的关系</w:t>
            </w:r>
          </w:p>
        </w:tc>
      </w:tr>
      <w:tr w14:paraId="76CB71A4">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80A4D2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w:t>
            </w:r>
          </w:p>
        </w:tc>
        <w:tc>
          <w:tcPr>
            <w:tcW w:w="836" w:type="pct"/>
            <w:vMerge w:val="continue"/>
            <w:tcBorders>
              <w:top w:val="nil"/>
              <w:left w:val="single" w:color="auto" w:sz="4" w:space="0"/>
              <w:bottom w:val="single" w:color="000000" w:sz="4" w:space="0"/>
              <w:right w:val="single" w:color="auto" w:sz="4" w:space="0"/>
            </w:tcBorders>
            <w:vAlign w:val="center"/>
          </w:tcPr>
          <w:p w14:paraId="3E3DC2A8">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2616E9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交通碳排放数据可视化中心-航空可视化监测中心-航空行业能源占比情况概览</w:t>
            </w:r>
          </w:p>
        </w:tc>
        <w:tc>
          <w:tcPr>
            <w:tcW w:w="1951" w:type="pct"/>
            <w:tcBorders>
              <w:top w:val="nil"/>
              <w:left w:val="nil"/>
              <w:bottom w:val="single" w:color="auto" w:sz="4" w:space="0"/>
              <w:right w:val="single" w:color="auto" w:sz="4" w:space="0"/>
            </w:tcBorders>
            <w:shd w:val="clear" w:color="auto" w:fill="auto"/>
            <w:vAlign w:val="center"/>
          </w:tcPr>
          <w:p w14:paraId="4EDC5C3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不同类型能源使用比例图，包括航空煤油，电力，天然气，柴油，外购热力等</w:t>
            </w:r>
          </w:p>
        </w:tc>
      </w:tr>
      <w:tr w14:paraId="0C8A295B">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5D3867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w:t>
            </w:r>
          </w:p>
        </w:tc>
        <w:tc>
          <w:tcPr>
            <w:tcW w:w="836" w:type="pct"/>
            <w:vMerge w:val="continue"/>
            <w:tcBorders>
              <w:top w:val="nil"/>
              <w:left w:val="single" w:color="auto" w:sz="4" w:space="0"/>
              <w:bottom w:val="single" w:color="000000" w:sz="4" w:space="0"/>
              <w:right w:val="single" w:color="auto" w:sz="4" w:space="0"/>
            </w:tcBorders>
            <w:vAlign w:val="center"/>
          </w:tcPr>
          <w:p w14:paraId="4EDAF7B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15E425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交通碳排放数据可视化中心-航空可视化监测中心-航空行业碳排放趋势</w:t>
            </w:r>
          </w:p>
        </w:tc>
        <w:tc>
          <w:tcPr>
            <w:tcW w:w="1951" w:type="pct"/>
            <w:tcBorders>
              <w:top w:val="nil"/>
              <w:left w:val="nil"/>
              <w:bottom w:val="single" w:color="auto" w:sz="4" w:space="0"/>
              <w:right w:val="single" w:color="auto" w:sz="4" w:space="0"/>
            </w:tcBorders>
            <w:shd w:val="clear" w:color="auto" w:fill="auto"/>
            <w:vAlign w:val="center"/>
          </w:tcPr>
          <w:p w14:paraId="5824883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年度和月度碳排放趋势分析</w:t>
            </w:r>
          </w:p>
        </w:tc>
      </w:tr>
      <w:tr w14:paraId="0534E864">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B61423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w:t>
            </w:r>
          </w:p>
        </w:tc>
        <w:tc>
          <w:tcPr>
            <w:tcW w:w="836" w:type="pct"/>
            <w:vMerge w:val="continue"/>
            <w:tcBorders>
              <w:top w:val="nil"/>
              <w:left w:val="single" w:color="auto" w:sz="4" w:space="0"/>
              <w:bottom w:val="single" w:color="000000" w:sz="4" w:space="0"/>
              <w:right w:val="single" w:color="auto" w:sz="4" w:space="0"/>
            </w:tcBorders>
            <w:vAlign w:val="center"/>
          </w:tcPr>
          <w:p w14:paraId="4D359CE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CD240B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交通碳排放数据可视化中心-航空可视化监测中心-航空行业企业碳排放排名情况</w:t>
            </w:r>
          </w:p>
        </w:tc>
        <w:tc>
          <w:tcPr>
            <w:tcW w:w="1951" w:type="pct"/>
            <w:tcBorders>
              <w:top w:val="nil"/>
              <w:left w:val="nil"/>
              <w:bottom w:val="single" w:color="auto" w:sz="4" w:space="0"/>
              <w:right w:val="single" w:color="auto" w:sz="4" w:space="0"/>
            </w:tcBorders>
            <w:shd w:val="clear" w:color="auto" w:fill="auto"/>
            <w:vAlign w:val="center"/>
          </w:tcPr>
          <w:p w14:paraId="49094F5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上海市8家主要航空公司的碳排放量排名，按年度或季度进行比较，反映各企业在碳排放方面的表现</w:t>
            </w:r>
          </w:p>
        </w:tc>
      </w:tr>
      <w:tr w14:paraId="45FED4E2">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9C3F18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w:t>
            </w:r>
          </w:p>
        </w:tc>
        <w:tc>
          <w:tcPr>
            <w:tcW w:w="836" w:type="pct"/>
            <w:vMerge w:val="continue"/>
            <w:tcBorders>
              <w:top w:val="nil"/>
              <w:left w:val="single" w:color="auto" w:sz="4" w:space="0"/>
              <w:bottom w:val="single" w:color="000000" w:sz="4" w:space="0"/>
              <w:right w:val="single" w:color="auto" w:sz="4" w:space="0"/>
            </w:tcBorders>
            <w:vAlign w:val="center"/>
          </w:tcPr>
          <w:p w14:paraId="4D14F65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83C74C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交通碳排放数据可视化中心-航空可视化监测中心-航空空间排放流动流行情况</w:t>
            </w:r>
          </w:p>
        </w:tc>
        <w:tc>
          <w:tcPr>
            <w:tcW w:w="1951" w:type="pct"/>
            <w:tcBorders>
              <w:top w:val="nil"/>
              <w:left w:val="nil"/>
              <w:bottom w:val="single" w:color="auto" w:sz="4" w:space="0"/>
              <w:right w:val="single" w:color="auto" w:sz="4" w:space="0"/>
            </w:tcBorders>
            <w:shd w:val="clear" w:color="auto" w:fill="auto"/>
            <w:vAlign w:val="center"/>
          </w:tcPr>
          <w:p w14:paraId="0259B19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以地图的方式展示航空行业空中运输过程中的碳排放流动流向路径</w:t>
            </w:r>
          </w:p>
        </w:tc>
      </w:tr>
      <w:tr w14:paraId="6CAFBAB9">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C39B29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w:t>
            </w:r>
          </w:p>
        </w:tc>
        <w:tc>
          <w:tcPr>
            <w:tcW w:w="836" w:type="pct"/>
            <w:vMerge w:val="continue"/>
            <w:tcBorders>
              <w:top w:val="nil"/>
              <w:left w:val="single" w:color="auto" w:sz="4" w:space="0"/>
              <w:bottom w:val="single" w:color="000000" w:sz="4" w:space="0"/>
              <w:right w:val="single" w:color="auto" w:sz="4" w:space="0"/>
            </w:tcBorders>
            <w:vAlign w:val="center"/>
          </w:tcPr>
          <w:p w14:paraId="2C84A565">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7C9CE0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交通碳排放数据可视化中心-航空可视化监测中心-航空行业碳排放趋势分析预测</w:t>
            </w:r>
          </w:p>
        </w:tc>
        <w:tc>
          <w:tcPr>
            <w:tcW w:w="1951" w:type="pct"/>
            <w:tcBorders>
              <w:top w:val="nil"/>
              <w:left w:val="nil"/>
              <w:bottom w:val="single" w:color="auto" w:sz="4" w:space="0"/>
              <w:right w:val="single" w:color="auto" w:sz="4" w:space="0"/>
            </w:tcBorders>
            <w:shd w:val="clear" w:color="auto" w:fill="auto"/>
            <w:vAlign w:val="center"/>
          </w:tcPr>
          <w:p w14:paraId="13F3026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通过综合分析经济增长、旅游需求、技术进步和环保政策，预测未来市场规模和碳排放变化</w:t>
            </w:r>
          </w:p>
        </w:tc>
      </w:tr>
      <w:tr w14:paraId="7B7B1413">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C9B49D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w:t>
            </w:r>
          </w:p>
        </w:tc>
        <w:tc>
          <w:tcPr>
            <w:tcW w:w="836" w:type="pct"/>
            <w:vMerge w:val="continue"/>
            <w:tcBorders>
              <w:top w:val="nil"/>
              <w:left w:val="single" w:color="auto" w:sz="4" w:space="0"/>
              <w:bottom w:val="single" w:color="000000" w:sz="4" w:space="0"/>
              <w:right w:val="single" w:color="auto" w:sz="4" w:space="0"/>
            </w:tcBorders>
            <w:vAlign w:val="center"/>
          </w:tcPr>
          <w:p w14:paraId="5C6C6FA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705575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交通碳排放数据可视化中心-机场可视化监测中心-机场整体碳排放概览</w:t>
            </w:r>
          </w:p>
        </w:tc>
        <w:tc>
          <w:tcPr>
            <w:tcW w:w="1951" w:type="pct"/>
            <w:tcBorders>
              <w:top w:val="nil"/>
              <w:left w:val="nil"/>
              <w:bottom w:val="single" w:color="auto" w:sz="4" w:space="0"/>
              <w:right w:val="single" w:color="auto" w:sz="4" w:space="0"/>
            </w:tcBorders>
            <w:shd w:val="clear" w:color="auto" w:fill="auto"/>
            <w:vAlign w:val="center"/>
          </w:tcPr>
          <w:p w14:paraId="32F4FC2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全面展示机场运营过程中各环节的碳排放情况</w:t>
            </w:r>
          </w:p>
        </w:tc>
      </w:tr>
      <w:tr w14:paraId="1AF9D4C3">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BBE12E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w:t>
            </w:r>
          </w:p>
        </w:tc>
        <w:tc>
          <w:tcPr>
            <w:tcW w:w="836" w:type="pct"/>
            <w:vMerge w:val="continue"/>
            <w:tcBorders>
              <w:top w:val="nil"/>
              <w:left w:val="single" w:color="auto" w:sz="4" w:space="0"/>
              <w:bottom w:val="single" w:color="000000" w:sz="4" w:space="0"/>
              <w:right w:val="single" w:color="auto" w:sz="4" w:space="0"/>
            </w:tcBorders>
            <w:vAlign w:val="center"/>
          </w:tcPr>
          <w:p w14:paraId="05E8782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255F4D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交通碳排放数据可视化中心-机场可视化监测中心-分机场碳排放概览</w:t>
            </w:r>
          </w:p>
        </w:tc>
        <w:tc>
          <w:tcPr>
            <w:tcW w:w="1951" w:type="pct"/>
            <w:tcBorders>
              <w:top w:val="nil"/>
              <w:left w:val="nil"/>
              <w:bottom w:val="single" w:color="auto" w:sz="4" w:space="0"/>
              <w:right w:val="single" w:color="auto" w:sz="4" w:space="0"/>
            </w:tcBorders>
            <w:shd w:val="clear" w:color="auto" w:fill="auto"/>
            <w:vAlign w:val="center"/>
          </w:tcPr>
          <w:p w14:paraId="769DB37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详细展示上海市两机场的碳排放情况，包括浦东国际机场和虹桥国际机场</w:t>
            </w:r>
          </w:p>
        </w:tc>
      </w:tr>
      <w:tr w14:paraId="3AC8B73F">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D64071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w:t>
            </w:r>
          </w:p>
        </w:tc>
        <w:tc>
          <w:tcPr>
            <w:tcW w:w="836" w:type="pct"/>
            <w:vMerge w:val="continue"/>
            <w:tcBorders>
              <w:top w:val="nil"/>
              <w:left w:val="single" w:color="auto" w:sz="4" w:space="0"/>
              <w:bottom w:val="single" w:color="000000" w:sz="4" w:space="0"/>
              <w:right w:val="single" w:color="auto" w:sz="4" w:space="0"/>
            </w:tcBorders>
            <w:vAlign w:val="center"/>
          </w:tcPr>
          <w:p w14:paraId="0170FDC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6C4C86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交通碳排放数据可视化中心-机场可视化监测中心-机场分系统碳排放概览</w:t>
            </w:r>
          </w:p>
        </w:tc>
        <w:tc>
          <w:tcPr>
            <w:tcW w:w="1951" w:type="pct"/>
            <w:tcBorders>
              <w:top w:val="nil"/>
              <w:left w:val="nil"/>
              <w:bottom w:val="single" w:color="auto" w:sz="4" w:space="0"/>
              <w:right w:val="single" w:color="auto" w:sz="4" w:space="0"/>
            </w:tcBorders>
            <w:shd w:val="clear" w:color="auto" w:fill="auto"/>
            <w:vAlign w:val="center"/>
          </w:tcPr>
          <w:p w14:paraId="2648329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展示上海市机场各关键系统在碳排放方面的情况</w:t>
            </w:r>
          </w:p>
        </w:tc>
      </w:tr>
      <w:tr w14:paraId="4815EB48">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12ACC2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w:t>
            </w:r>
          </w:p>
        </w:tc>
        <w:tc>
          <w:tcPr>
            <w:tcW w:w="836" w:type="pct"/>
            <w:vMerge w:val="continue"/>
            <w:tcBorders>
              <w:top w:val="nil"/>
              <w:left w:val="single" w:color="auto" w:sz="4" w:space="0"/>
              <w:bottom w:val="single" w:color="000000" w:sz="4" w:space="0"/>
              <w:right w:val="single" w:color="auto" w:sz="4" w:space="0"/>
            </w:tcBorders>
            <w:vAlign w:val="center"/>
          </w:tcPr>
          <w:p w14:paraId="21E7771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7D1B08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交通碳排放数据可视化中心-机场可视化监测中心-机场碳排放、能耗趋势概览</w:t>
            </w:r>
          </w:p>
        </w:tc>
        <w:tc>
          <w:tcPr>
            <w:tcW w:w="1951" w:type="pct"/>
            <w:tcBorders>
              <w:top w:val="nil"/>
              <w:left w:val="nil"/>
              <w:bottom w:val="single" w:color="auto" w:sz="4" w:space="0"/>
              <w:right w:val="single" w:color="auto" w:sz="4" w:space="0"/>
            </w:tcBorders>
            <w:shd w:val="clear" w:color="auto" w:fill="auto"/>
            <w:vAlign w:val="center"/>
          </w:tcPr>
          <w:p w14:paraId="526D59A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全面分析上海市机场的碳排放和能耗情况，展示它们的变化趋势及相关因素</w:t>
            </w:r>
          </w:p>
        </w:tc>
      </w:tr>
      <w:tr w14:paraId="25BC0162">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BF0142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w:t>
            </w:r>
          </w:p>
        </w:tc>
        <w:tc>
          <w:tcPr>
            <w:tcW w:w="836" w:type="pct"/>
            <w:vMerge w:val="continue"/>
            <w:tcBorders>
              <w:top w:val="nil"/>
              <w:left w:val="single" w:color="auto" w:sz="4" w:space="0"/>
              <w:bottom w:val="single" w:color="000000" w:sz="4" w:space="0"/>
              <w:right w:val="single" w:color="auto" w:sz="4" w:space="0"/>
            </w:tcBorders>
            <w:vAlign w:val="center"/>
          </w:tcPr>
          <w:p w14:paraId="144204B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3BAE30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交通碳排放数据可视化中心-机场可视化监测中心-机场碳排放分项分析概览</w:t>
            </w:r>
          </w:p>
        </w:tc>
        <w:tc>
          <w:tcPr>
            <w:tcW w:w="1951" w:type="pct"/>
            <w:tcBorders>
              <w:top w:val="nil"/>
              <w:left w:val="nil"/>
              <w:bottom w:val="single" w:color="auto" w:sz="4" w:space="0"/>
              <w:right w:val="single" w:color="auto" w:sz="4" w:space="0"/>
            </w:tcBorders>
            <w:shd w:val="clear" w:color="auto" w:fill="auto"/>
            <w:vAlign w:val="center"/>
          </w:tcPr>
          <w:p w14:paraId="73A5410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展示上海市机场各关键系统的碳排放情况</w:t>
            </w:r>
          </w:p>
        </w:tc>
      </w:tr>
      <w:tr w14:paraId="3EEA1C0F">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88DD8A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w:t>
            </w:r>
          </w:p>
        </w:tc>
        <w:tc>
          <w:tcPr>
            <w:tcW w:w="836" w:type="pct"/>
            <w:vMerge w:val="continue"/>
            <w:tcBorders>
              <w:top w:val="nil"/>
              <w:left w:val="single" w:color="auto" w:sz="4" w:space="0"/>
              <w:bottom w:val="single" w:color="000000" w:sz="4" w:space="0"/>
              <w:right w:val="single" w:color="auto" w:sz="4" w:space="0"/>
            </w:tcBorders>
            <w:vAlign w:val="center"/>
          </w:tcPr>
          <w:p w14:paraId="34BD6685">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112CCB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交通碳排放数据可视化中心-铁路可视化监测中心-铁路整体碳排放概览</w:t>
            </w:r>
          </w:p>
        </w:tc>
        <w:tc>
          <w:tcPr>
            <w:tcW w:w="1951" w:type="pct"/>
            <w:tcBorders>
              <w:top w:val="nil"/>
              <w:left w:val="nil"/>
              <w:bottom w:val="single" w:color="auto" w:sz="4" w:space="0"/>
              <w:right w:val="single" w:color="auto" w:sz="4" w:space="0"/>
            </w:tcBorders>
            <w:shd w:val="clear" w:color="auto" w:fill="auto"/>
            <w:vAlign w:val="center"/>
          </w:tcPr>
          <w:p w14:paraId="29445E8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收集、整理和可视化铁路行业的碳排放数据</w:t>
            </w:r>
          </w:p>
        </w:tc>
      </w:tr>
      <w:tr w14:paraId="2ADAFA61">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64330D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w:t>
            </w:r>
          </w:p>
        </w:tc>
        <w:tc>
          <w:tcPr>
            <w:tcW w:w="836" w:type="pct"/>
            <w:vMerge w:val="continue"/>
            <w:tcBorders>
              <w:top w:val="nil"/>
              <w:left w:val="single" w:color="auto" w:sz="4" w:space="0"/>
              <w:bottom w:val="single" w:color="000000" w:sz="4" w:space="0"/>
              <w:right w:val="single" w:color="auto" w:sz="4" w:space="0"/>
            </w:tcBorders>
            <w:vAlign w:val="center"/>
          </w:tcPr>
          <w:p w14:paraId="4AB53CDC">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5ECA9D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交通碳排放数据可视化中心-铁路可视化监测中心-铁路能源分类概览</w:t>
            </w:r>
          </w:p>
        </w:tc>
        <w:tc>
          <w:tcPr>
            <w:tcW w:w="1951" w:type="pct"/>
            <w:tcBorders>
              <w:top w:val="nil"/>
              <w:left w:val="nil"/>
              <w:bottom w:val="single" w:color="auto" w:sz="4" w:space="0"/>
              <w:right w:val="single" w:color="auto" w:sz="4" w:space="0"/>
            </w:tcBorders>
            <w:shd w:val="clear" w:color="auto" w:fill="auto"/>
            <w:vAlign w:val="center"/>
          </w:tcPr>
          <w:p w14:paraId="033BDEB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对铁路行业能源使用情况的分类概览</w:t>
            </w:r>
          </w:p>
        </w:tc>
      </w:tr>
      <w:tr w14:paraId="40E83A45">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DC4190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w:t>
            </w:r>
          </w:p>
        </w:tc>
        <w:tc>
          <w:tcPr>
            <w:tcW w:w="836" w:type="pct"/>
            <w:vMerge w:val="continue"/>
            <w:tcBorders>
              <w:top w:val="nil"/>
              <w:left w:val="single" w:color="auto" w:sz="4" w:space="0"/>
              <w:bottom w:val="single" w:color="000000" w:sz="4" w:space="0"/>
              <w:right w:val="single" w:color="auto" w:sz="4" w:space="0"/>
            </w:tcBorders>
            <w:vAlign w:val="center"/>
          </w:tcPr>
          <w:p w14:paraId="5702194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691C2C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交通碳排放数据可视化中心-铁路可视化监测中心-铁路碳排放分项分析情况</w:t>
            </w:r>
          </w:p>
        </w:tc>
        <w:tc>
          <w:tcPr>
            <w:tcW w:w="1951" w:type="pct"/>
            <w:tcBorders>
              <w:top w:val="nil"/>
              <w:left w:val="nil"/>
              <w:bottom w:val="single" w:color="auto" w:sz="4" w:space="0"/>
              <w:right w:val="single" w:color="auto" w:sz="4" w:space="0"/>
            </w:tcBorders>
            <w:shd w:val="clear" w:color="auto" w:fill="auto"/>
            <w:vAlign w:val="center"/>
          </w:tcPr>
          <w:p w14:paraId="20E9B59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对铁路行业碳排放的不同分项情况的概览</w:t>
            </w:r>
          </w:p>
        </w:tc>
      </w:tr>
      <w:tr w14:paraId="6596F992">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8104FC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w:t>
            </w:r>
          </w:p>
        </w:tc>
        <w:tc>
          <w:tcPr>
            <w:tcW w:w="836" w:type="pct"/>
            <w:vMerge w:val="continue"/>
            <w:tcBorders>
              <w:top w:val="nil"/>
              <w:left w:val="single" w:color="auto" w:sz="4" w:space="0"/>
              <w:bottom w:val="single" w:color="000000" w:sz="4" w:space="0"/>
              <w:right w:val="single" w:color="auto" w:sz="4" w:space="0"/>
            </w:tcBorders>
            <w:vAlign w:val="center"/>
          </w:tcPr>
          <w:p w14:paraId="14D1F9B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665823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交通碳排放数据可视化中心-铁路可视化监测中心-铁路碳排放趋势概览</w:t>
            </w:r>
          </w:p>
        </w:tc>
        <w:tc>
          <w:tcPr>
            <w:tcW w:w="1951" w:type="pct"/>
            <w:tcBorders>
              <w:top w:val="nil"/>
              <w:left w:val="nil"/>
              <w:bottom w:val="single" w:color="auto" w:sz="4" w:space="0"/>
              <w:right w:val="single" w:color="auto" w:sz="4" w:space="0"/>
            </w:tcBorders>
            <w:shd w:val="clear" w:color="auto" w:fill="auto"/>
            <w:vAlign w:val="center"/>
          </w:tcPr>
          <w:p w14:paraId="0F41AD0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对铁路行业碳排放的变化趋势进行监测和分析</w:t>
            </w:r>
          </w:p>
        </w:tc>
      </w:tr>
      <w:tr w14:paraId="21B48B9F">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BF139B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w:t>
            </w:r>
          </w:p>
        </w:tc>
        <w:tc>
          <w:tcPr>
            <w:tcW w:w="836" w:type="pct"/>
            <w:vMerge w:val="continue"/>
            <w:tcBorders>
              <w:top w:val="nil"/>
              <w:left w:val="single" w:color="auto" w:sz="4" w:space="0"/>
              <w:bottom w:val="single" w:color="000000" w:sz="4" w:space="0"/>
              <w:right w:val="single" w:color="auto" w:sz="4" w:space="0"/>
            </w:tcBorders>
            <w:vAlign w:val="center"/>
          </w:tcPr>
          <w:p w14:paraId="203F2B7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273714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交通碳排放数据可视化中心-铁路可视化监测中心-铁路站点碳排放概览</w:t>
            </w:r>
          </w:p>
        </w:tc>
        <w:tc>
          <w:tcPr>
            <w:tcW w:w="1951" w:type="pct"/>
            <w:tcBorders>
              <w:top w:val="nil"/>
              <w:left w:val="nil"/>
              <w:bottom w:val="single" w:color="auto" w:sz="4" w:space="0"/>
              <w:right w:val="single" w:color="auto" w:sz="4" w:space="0"/>
            </w:tcBorders>
            <w:shd w:val="clear" w:color="auto" w:fill="auto"/>
            <w:vAlign w:val="center"/>
          </w:tcPr>
          <w:p w14:paraId="11CDDD6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对铁路站点的碳排放情况进行综合概览和分析</w:t>
            </w:r>
          </w:p>
        </w:tc>
      </w:tr>
      <w:tr w14:paraId="4C449CBE">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65D114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w:t>
            </w:r>
          </w:p>
        </w:tc>
        <w:tc>
          <w:tcPr>
            <w:tcW w:w="836" w:type="pct"/>
            <w:vMerge w:val="continue"/>
            <w:tcBorders>
              <w:top w:val="nil"/>
              <w:left w:val="single" w:color="auto" w:sz="4" w:space="0"/>
              <w:bottom w:val="single" w:color="000000" w:sz="4" w:space="0"/>
              <w:right w:val="single" w:color="auto" w:sz="4" w:space="0"/>
            </w:tcBorders>
            <w:vAlign w:val="center"/>
          </w:tcPr>
          <w:p w14:paraId="5B6BB0D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D6B49B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交通碳排放数据可视化中心-铁路可视化监测中心-铁路线路碳排放概览</w:t>
            </w:r>
          </w:p>
        </w:tc>
        <w:tc>
          <w:tcPr>
            <w:tcW w:w="1951" w:type="pct"/>
            <w:tcBorders>
              <w:top w:val="nil"/>
              <w:left w:val="nil"/>
              <w:bottom w:val="single" w:color="auto" w:sz="4" w:space="0"/>
              <w:right w:val="single" w:color="auto" w:sz="4" w:space="0"/>
            </w:tcBorders>
            <w:shd w:val="clear" w:color="auto" w:fill="auto"/>
            <w:vAlign w:val="center"/>
          </w:tcPr>
          <w:p w14:paraId="27F7109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对铁路线路的碳排放情况进行综合概览和分析</w:t>
            </w:r>
          </w:p>
        </w:tc>
      </w:tr>
      <w:tr w14:paraId="43D40259">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F3DF2B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48</w:t>
            </w:r>
          </w:p>
        </w:tc>
        <w:tc>
          <w:tcPr>
            <w:tcW w:w="836" w:type="pct"/>
            <w:vMerge w:val="continue"/>
            <w:tcBorders>
              <w:top w:val="nil"/>
              <w:left w:val="single" w:color="auto" w:sz="4" w:space="0"/>
              <w:bottom w:val="single" w:color="000000" w:sz="4" w:space="0"/>
              <w:right w:val="single" w:color="auto" w:sz="4" w:space="0"/>
            </w:tcBorders>
            <w:vAlign w:val="center"/>
          </w:tcPr>
          <w:p w14:paraId="06958AE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1FECF1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交通碳排放数据可视化中心-铁路可视化监测中心-铁路线路排放流动流向情况</w:t>
            </w:r>
          </w:p>
        </w:tc>
        <w:tc>
          <w:tcPr>
            <w:tcW w:w="1951" w:type="pct"/>
            <w:tcBorders>
              <w:top w:val="nil"/>
              <w:left w:val="nil"/>
              <w:bottom w:val="single" w:color="auto" w:sz="4" w:space="0"/>
              <w:right w:val="single" w:color="auto" w:sz="4" w:space="0"/>
            </w:tcBorders>
            <w:shd w:val="clear" w:color="auto" w:fill="auto"/>
            <w:vAlign w:val="center"/>
          </w:tcPr>
          <w:p w14:paraId="175C1D1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对铁路线路流动流向的碳排放情况进行综合概览和分析</w:t>
            </w:r>
          </w:p>
        </w:tc>
      </w:tr>
      <w:tr w14:paraId="3BDE9992">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76ADCC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49</w:t>
            </w:r>
          </w:p>
        </w:tc>
        <w:tc>
          <w:tcPr>
            <w:tcW w:w="836" w:type="pct"/>
            <w:vMerge w:val="continue"/>
            <w:tcBorders>
              <w:top w:val="nil"/>
              <w:left w:val="single" w:color="auto" w:sz="4" w:space="0"/>
              <w:bottom w:val="single" w:color="000000" w:sz="4" w:space="0"/>
              <w:right w:val="single" w:color="auto" w:sz="4" w:space="0"/>
            </w:tcBorders>
            <w:vAlign w:val="center"/>
          </w:tcPr>
          <w:p w14:paraId="19A3E2C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F40DAF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交通碳排放数据可视化中心-轨道（磁浮）可视化监测中心-轨道整体碳排放概览</w:t>
            </w:r>
          </w:p>
        </w:tc>
        <w:tc>
          <w:tcPr>
            <w:tcW w:w="1951" w:type="pct"/>
            <w:tcBorders>
              <w:top w:val="nil"/>
              <w:left w:val="nil"/>
              <w:bottom w:val="single" w:color="auto" w:sz="4" w:space="0"/>
              <w:right w:val="single" w:color="auto" w:sz="4" w:space="0"/>
            </w:tcBorders>
            <w:shd w:val="clear" w:color="auto" w:fill="auto"/>
            <w:vAlign w:val="center"/>
          </w:tcPr>
          <w:p w14:paraId="361E1A2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汇总、整合全市范围内轨道（磁浮）子行业相关信息，集合轨道（磁浮）子行业交通能耗及碳排放的所有关联数据</w:t>
            </w:r>
          </w:p>
        </w:tc>
      </w:tr>
      <w:tr w14:paraId="2290D310">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5B6477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50</w:t>
            </w:r>
          </w:p>
        </w:tc>
        <w:tc>
          <w:tcPr>
            <w:tcW w:w="836" w:type="pct"/>
            <w:vMerge w:val="continue"/>
            <w:tcBorders>
              <w:top w:val="nil"/>
              <w:left w:val="single" w:color="auto" w:sz="4" w:space="0"/>
              <w:bottom w:val="single" w:color="000000" w:sz="4" w:space="0"/>
              <w:right w:val="single" w:color="auto" w:sz="4" w:space="0"/>
            </w:tcBorders>
            <w:vAlign w:val="center"/>
          </w:tcPr>
          <w:p w14:paraId="1CE14AE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A030DC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交通碳排放数据可视化中心-轨道（磁浮）可视化监测中心-轨道能源分类概览</w:t>
            </w:r>
          </w:p>
        </w:tc>
        <w:tc>
          <w:tcPr>
            <w:tcW w:w="1951" w:type="pct"/>
            <w:tcBorders>
              <w:top w:val="nil"/>
              <w:left w:val="nil"/>
              <w:bottom w:val="single" w:color="auto" w:sz="4" w:space="0"/>
              <w:right w:val="single" w:color="auto" w:sz="4" w:space="0"/>
            </w:tcBorders>
            <w:shd w:val="clear" w:color="auto" w:fill="auto"/>
            <w:vAlign w:val="center"/>
          </w:tcPr>
          <w:p w14:paraId="32347C4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基于电力、天然气、汽油、柴油、外购热力等能源类型，对轨道（磁浮）子行业的交通能耗和碳排放情况进行汇总、整合</w:t>
            </w:r>
          </w:p>
        </w:tc>
      </w:tr>
      <w:tr w14:paraId="57D2784B">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8FDDEC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51</w:t>
            </w:r>
          </w:p>
        </w:tc>
        <w:tc>
          <w:tcPr>
            <w:tcW w:w="836" w:type="pct"/>
            <w:vMerge w:val="continue"/>
            <w:tcBorders>
              <w:top w:val="nil"/>
              <w:left w:val="single" w:color="auto" w:sz="4" w:space="0"/>
              <w:bottom w:val="single" w:color="000000" w:sz="4" w:space="0"/>
              <w:right w:val="single" w:color="auto" w:sz="4" w:space="0"/>
            </w:tcBorders>
            <w:vAlign w:val="center"/>
          </w:tcPr>
          <w:p w14:paraId="2E5893EC">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72F827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交通碳排放数据可视化中心-轨道（磁浮）可视化监测中心-轨道碳排放分项分析情况</w:t>
            </w:r>
          </w:p>
        </w:tc>
        <w:tc>
          <w:tcPr>
            <w:tcW w:w="1951" w:type="pct"/>
            <w:tcBorders>
              <w:top w:val="nil"/>
              <w:left w:val="nil"/>
              <w:bottom w:val="single" w:color="auto" w:sz="4" w:space="0"/>
              <w:right w:val="single" w:color="auto" w:sz="4" w:space="0"/>
            </w:tcBorders>
            <w:shd w:val="clear" w:color="auto" w:fill="auto"/>
            <w:vAlign w:val="center"/>
          </w:tcPr>
          <w:p w14:paraId="14AD4F9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基于能耗指标、轨道线路、轨交站点和运营公司等维度，对轨道（磁浮）子行业的交通能耗和碳排放情况展开进一步分析</w:t>
            </w:r>
          </w:p>
        </w:tc>
      </w:tr>
      <w:tr w14:paraId="53513E4D">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05DB06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52</w:t>
            </w:r>
          </w:p>
        </w:tc>
        <w:tc>
          <w:tcPr>
            <w:tcW w:w="836" w:type="pct"/>
            <w:vMerge w:val="continue"/>
            <w:tcBorders>
              <w:top w:val="nil"/>
              <w:left w:val="single" w:color="auto" w:sz="4" w:space="0"/>
              <w:bottom w:val="single" w:color="000000" w:sz="4" w:space="0"/>
              <w:right w:val="single" w:color="auto" w:sz="4" w:space="0"/>
            </w:tcBorders>
            <w:vAlign w:val="center"/>
          </w:tcPr>
          <w:p w14:paraId="65466E5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A03B52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交通碳排放数据可视化中心-轨道（磁浮）可视化监测中心-轨道碳排放趋势概览</w:t>
            </w:r>
          </w:p>
        </w:tc>
        <w:tc>
          <w:tcPr>
            <w:tcW w:w="1951" w:type="pct"/>
            <w:tcBorders>
              <w:top w:val="nil"/>
              <w:left w:val="nil"/>
              <w:bottom w:val="single" w:color="auto" w:sz="4" w:space="0"/>
              <w:right w:val="single" w:color="auto" w:sz="4" w:space="0"/>
            </w:tcBorders>
            <w:shd w:val="clear" w:color="auto" w:fill="auto"/>
            <w:vAlign w:val="center"/>
          </w:tcPr>
          <w:p w14:paraId="5B4A7AA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对轨道（磁浮）子行业的交通能耗和碳排放情况进行汇总、整合</w:t>
            </w:r>
          </w:p>
        </w:tc>
      </w:tr>
      <w:tr w14:paraId="6BFEACDD">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ECFE8A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53</w:t>
            </w:r>
          </w:p>
        </w:tc>
        <w:tc>
          <w:tcPr>
            <w:tcW w:w="836" w:type="pct"/>
            <w:vMerge w:val="continue"/>
            <w:tcBorders>
              <w:top w:val="nil"/>
              <w:left w:val="single" w:color="auto" w:sz="4" w:space="0"/>
              <w:bottom w:val="single" w:color="000000" w:sz="4" w:space="0"/>
              <w:right w:val="single" w:color="auto" w:sz="4" w:space="0"/>
            </w:tcBorders>
            <w:vAlign w:val="center"/>
          </w:tcPr>
          <w:p w14:paraId="391E842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2C17CE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交通碳排放数据可视化中心-轨道（磁浮）可视化监测中心-轨道国际指标对比</w:t>
            </w:r>
          </w:p>
        </w:tc>
        <w:tc>
          <w:tcPr>
            <w:tcW w:w="1951" w:type="pct"/>
            <w:tcBorders>
              <w:top w:val="nil"/>
              <w:left w:val="nil"/>
              <w:bottom w:val="single" w:color="auto" w:sz="4" w:space="0"/>
              <w:right w:val="single" w:color="auto" w:sz="4" w:space="0"/>
            </w:tcBorders>
            <w:shd w:val="clear" w:color="auto" w:fill="auto"/>
            <w:vAlign w:val="center"/>
          </w:tcPr>
          <w:p w14:paraId="33E1797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围绕轨道（磁浮）子行业交通能耗及碳排放各项指标展开进一步分析</w:t>
            </w:r>
          </w:p>
        </w:tc>
      </w:tr>
      <w:tr w14:paraId="259B70C6">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43A8F2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54</w:t>
            </w:r>
          </w:p>
        </w:tc>
        <w:tc>
          <w:tcPr>
            <w:tcW w:w="836" w:type="pct"/>
            <w:vMerge w:val="continue"/>
            <w:tcBorders>
              <w:top w:val="nil"/>
              <w:left w:val="single" w:color="auto" w:sz="4" w:space="0"/>
              <w:bottom w:val="single" w:color="000000" w:sz="4" w:space="0"/>
              <w:right w:val="single" w:color="auto" w:sz="4" w:space="0"/>
            </w:tcBorders>
            <w:vAlign w:val="center"/>
          </w:tcPr>
          <w:p w14:paraId="7593729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4A0AC8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交通碳排放数据可视化中心-轨道（磁浮）可视化监测中心-轨道线路碳排放概览</w:t>
            </w:r>
          </w:p>
        </w:tc>
        <w:tc>
          <w:tcPr>
            <w:tcW w:w="1951" w:type="pct"/>
            <w:tcBorders>
              <w:top w:val="nil"/>
              <w:left w:val="nil"/>
              <w:bottom w:val="single" w:color="auto" w:sz="4" w:space="0"/>
              <w:right w:val="single" w:color="auto" w:sz="4" w:space="0"/>
            </w:tcBorders>
            <w:shd w:val="clear" w:color="auto" w:fill="auto"/>
            <w:vAlign w:val="center"/>
          </w:tcPr>
          <w:p w14:paraId="1307999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基于轨道线路，对轨道（磁浮）子行业交通能耗及碳排放展开进一步分析</w:t>
            </w:r>
          </w:p>
        </w:tc>
      </w:tr>
      <w:tr w14:paraId="5018E062">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74223A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55</w:t>
            </w:r>
          </w:p>
        </w:tc>
        <w:tc>
          <w:tcPr>
            <w:tcW w:w="836" w:type="pct"/>
            <w:vMerge w:val="continue"/>
            <w:tcBorders>
              <w:top w:val="nil"/>
              <w:left w:val="single" w:color="auto" w:sz="4" w:space="0"/>
              <w:bottom w:val="single" w:color="000000" w:sz="4" w:space="0"/>
              <w:right w:val="single" w:color="auto" w:sz="4" w:space="0"/>
            </w:tcBorders>
            <w:vAlign w:val="center"/>
          </w:tcPr>
          <w:p w14:paraId="1F5DF78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2EE1C0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交通碳排放数据可视化中心-轨道（磁浮）可视化监测中心-轨道线路排放流动流向情况</w:t>
            </w:r>
          </w:p>
        </w:tc>
        <w:tc>
          <w:tcPr>
            <w:tcW w:w="1951" w:type="pct"/>
            <w:tcBorders>
              <w:top w:val="nil"/>
              <w:left w:val="nil"/>
              <w:bottom w:val="single" w:color="auto" w:sz="4" w:space="0"/>
              <w:right w:val="single" w:color="auto" w:sz="4" w:space="0"/>
            </w:tcBorders>
            <w:shd w:val="clear" w:color="auto" w:fill="auto"/>
            <w:vAlign w:val="center"/>
          </w:tcPr>
          <w:p w14:paraId="33B55F6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于黄浦、静安、徐汇、普陀、和浦东等不同行政辖区，对轨道（磁浮）子行业的交通能耗及碳排放情况进行汇总、整合</w:t>
            </w:r>
          </w:p>
        </w:tc>
      </w:tr>
      <w:tr w14:paraId="449BC8B5">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564E8C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56</w:t>
            </w:r>
          </w:p>
        </w:tc>
        <w:tc>
          <w:tcPr>
            <w:tcW w:w="836" w:type="pct"/>
            <w:vMerge w:val="continue"/>
            <w:tcBorders>
              <w:top w:val="nil"/>
              <w:left w:val="single" w:color="auto" w:sz="4" w:space="0"/>
              <w:bottom w:val="single" w:color="000000" w:sz="4" w:space="0"/>
              <w:right w:val="single" w:color="auto" w:sz="4" w:space="0"/>
            </w:tcBorders>
            <w:vAlign w:val="center"/>
          </w:tcPr>
          <w:p w14:paraId="6B4286E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23D8A9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交通碳排放数据可视化中心-轨道（磁浮）可视化监测中心-轨道碳排放能耗预测分析</w:t>
            </w:r>
          </w:p>
        </w:tc>
        <w:tc>
          <w:tcPr>
            <w:tcW w:w="1951" w:type="pct"/>
            <w:tcBorders>
              <w:top w:val="nil"/>
              <w:left w:val="nil"/>
              <w:bottom w:val="single" w:color="auto" w:sz="4" w:space="0"/>
              <w:right w:val="single" w:color="auto" w:sz="4" w:space="0"/>
            </w:tcBorders>
            <w:shd w:val="clear" w:color="auto" w:fill="auto"/>
            <w:vAlign w:val="center"/>
          </w:tcPr>
          <w:p w14:paraId="3DFA40F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基于轨道（磁浮）可视化监测中心模块的轨道整体碳排放、轨道碳排放趋势概览和轨道线路碳排放概览等功能模块的数据分析基础</w:t>
            </w:r>
          </w:p>
        </w:tc>
      </w:tr>
      <w:tr w14:paraId="66467B7A">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76F945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57</w:t>
            </w:r>
          </w:p>
        </w:tc>
        <w:tc>
          <w:tcPr>
            <w:tcW w:w="836" w:type="pct"/>
            <w:vMerge w:val="continue"/>
            <w:tcBorders>
              <w:top w:val="nil"/>
              <w:left w:val="single" w:color="auto" w:sz="4" w:space="0"/>
              <w:bottom w:val="single" w:color="000000" w:sz="4" w:space="0"/>
              <w:right w:val="single" w:color="auto" w:sz="4" w:space="0"/>
            </w:tcBorders>
            <w:vAlign w:val="center"/>
          </w:tcPr>
          <w:p w14:paraId="7E9A4CC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0806E9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交通碳排放数据可视化中心-港口可视化监测中心-港口综合情况概览</w:t>
            </w:r>
          </w:p>
        </w:tc>
        <w:tc>
          <w:tcPr>
            <w:tcW w:w="1951" w:type="pct"/>
            <w:tcBorders>
              <w:top w:val="nil"/>
              <w:left w:val="nil"/>
              <w:bottom w:val="single" w:color="auto" w:sz="4" w:space="0"/>
              <w:right w:val="single" w:color="auto" w:sz="4" w:space="0"/>
            </w:tcBorders>
            <w:shd w:val="clear" w:color="auto" w:fill="auto"/>
            <w:vAlign w:val="center"/>
          </w:tcPr>
          <w:p w14:paraId="5A1EAFA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港口分货类吞吐量、集装箱吞吐量分航线进出港旅客人数、岸电设施建设使用情况，年度分能源品种的装卸生产能源消耗量、辅助生产能源消耗量、万吨吞吐量能耗量等</w:t>
            </w:r>
          </w:p>
        </w:tc>
      </w:tr>
      <w:tr w14:paraId="5E42D334">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8FBF7C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58</w:t>
            </w:r>
          </w:p>
        </w:tc>
        <w:tc>
          <w:tcPr>
            <w:tcW w:w="836" w:type="pct"/>
            <w:vMerge w:val="continue"/>
            <w:tcBorders>
              <w:top w:val="nil"/>
              <w:left w:val="single" w:color="auto" w:sz="4" w:space="0"/>
              <w:bottom w:val="single" w:color="000000" w:sz="4" w:space="0"/>
              <w:right w:val="single" w:color="auto" w:sz="4" w:space="0"/>
            </w:tcBorders>
            <w:vAlign w:val="center"/>
          </w:tcPr>
          <w:p w14:paraId="355C40F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F3510C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交通碳排放数据可视化中心-港口可视化监测中心-港口能耗情况概览</w:t>
            </w:r>
          </w:p>
        </w:tc>
        <w:tc>
          <w:tcPr>
            <w:tcW w:w="1951" w:type="pct"/>
            <w:tcBorders>
              <w:top w:val="nil"/>
              <w:left w:val="nil"/>
              <w:bottom w:val="single" w:color="auto" w:sz="4" w:space="0"/>
              <w:right w:val="single" w:color="auto" w:sz="4" w:space="0"/>
            </w:tcBorders>
            <w:shd w:val="clear" w:color="auto" w:fill="auto"/>
            <w:vAlign w:val="center"/>
          </w:tcPr>
          <w:p w14:paraId="21D0B1D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展示港口在各运营阶段的能源消耗情况</w:t>
            </w:r>
          </w:p>
        </w:tc>
      </w:tr>
      <w:tr w14:paraId="24F32689">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4AD4CC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59</w:t>
            </w:r>
          </w:p>
        </w:tc>
        <w:tc>
          <w:tcPr>
            <w:tcW w:w="836" w:type="pct"/>
            <w:vMerge w:val="continue"/>
            <w:tcBorders>
              <w:top w:val="nil"/>
              <w:left w:val="single" w:color="auto" w:sz="4" w:space="0"/>
              <w:bottom w:val="single" w:color="000000" w:sz="4" w:space="0"/>
              <w:right w:val="single" w:color="auto" w:sz="4" w:space="0"/>
            </w:tcBorders>
            <w:vAlign w:val="center"/>
          </w:tcPr>
          <w:p w14:paraId="476754C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22CDC2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交通碳排放数据可视化中心-港口可视化监测中心-港口主营业务碳排放情况</w:t>
            </w:r>
          </w:p>
        </w:tc>
        <w:tc>
          <w:tcPr>
            <w:tcW w:w="1951" w:type="pct"/>
            <w:tcBorders>
              <w:top w:val="nil"/>
              <w:left w:val="nil"/>
              <w:bottom w:val="single" w:color="auto" w:sz="4" w:space="0"/>
              <w:right w:val="single" w:color="auto" w:sz="4" w:space="0"/>
            </w:tcBorders>
            <w:shd w:val="clear" w:color="auto" w:fill="auto"/>
            <w:vAlign w:val="center"/>
          </w:tcPr>
          <w:p w14:paraId="6E07311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建立主营业务活动量、能耗和碳排放的数据模型</w:t>
            </w:r>
          </w:p>
        </w:tc>
      </w:tr>
      <w:tr w14:paraId="48A25D02">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F1A0DE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60</w:t>
            </w:r>
          </w:p>
        </w:tc>
        <w:tc>
          <w:tcPr>
            <w:tcW w:w="836" w:type="pct"/>
            <w:vMerge w:val="continue"/>
            <w:tcBorders>
              <w:top w:val="nil"/>
              <w:left w:val="single" w:color="auto" w:sz="4" w:space="0"/>
              <w:bottom w:val="single" w:color="000000" w:sz="4" w:space="0"/>
              <w:right w:val="single" w:color="auto" w:sz="4" w:space="0"/>
            </w:tcBorders>
            <w:vAlign w:val="center"/>
          </w:tcPr>
          <w:p w14:paraId="4593BF8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027F78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交通碳排放数据可视化中心-港口可视化监测中心-港口碳排放排名及趋势分析</w:t>
            </w:r>
          </w:p>
        </w:tc>
        <w:tc>
          <w:tcPr>
            <w:tcW w:w="1951" w:type="pct"/>
            <w:tcBorders>
              <w:top w:val="nil"/>
              <w:left w:val="nil"/>
              <w:bottom w:val="single" w:color="auto" w:sz="4" w:space="0"/>
              <w:right w:val="single" w:color="auto" w:sz="4" w:space="0"/>
            </w:tcBorders>
            <w:shd w:val="clear" w:color="auto" w:fill="auto"/>
            <w:vAlign w:val="center"/>
          </w:tcPr>
          <w:p w14:paraId="28510E6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对各主要港口碳排放量的比较和排名，涵盖年度和月度数据</w:t>
            </w:r>
          </w:p>
        </w:tc>
      </w:tr>
      <w:tr w14:paraId="5E82C5E9">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7D6FC8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61</w:t>
            </w:r>
          </w:p>
        </w:tc>
        <w:tc>
          <w:tcPr>
            <w:tcW w:w="836" w:type="pct"/>
            <w:vMerge w:val="continue"/>
            <w:tcBorders>
              <w:top w:val="nil"/>
              <w:left w:val="single" w:color="auto" w:sz="4" w:space="0"/>
              <w:bottom w:val="single" w:color="000000" w:sz="4" w:space="0"/>
              <w:right w:val="single" w:color="auto" w:sz="4" w:space="0"/>
            </w:tcBorders>
            <w:vAlign w:val="center"/>
          </w:tcPr>
          <w:p w14:paraId="2DA2A8F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43941C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交通碳排放数据可视化中心-港口可视化监测中心-港口企业碳排放排名情况</w:t>
            </w:r>
          </w:p>
        </w:tc>
        <w:tc>
          <w:tcPr>
            <w:tcW w:w="1951" w:type="pct"/>
            <w:tcBorders>
              <w:top w:val="nil"/>
              <w:left w:val="nil"/>
              <w:bottom w:val="single" w:color="auto" w:sz="4" w:space="0"/>
              <w:right w:val="single" w:color="auto" w:sz="4" w:space="0"/>
            </w:tcBorders>
            <w:shd w:val="clear" w:color="auto" w:fill="auto"/>
            <w:vAlign w:val="center"/>
          </w:tcPr>
          <w:p w14:paraId="339E648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主要港口企业的碳排放量及其排名</w:t>
            </w:r>
          </w:p>
        </w:tc>
      </w:tr>
      <w:tr w14:paraId="6CD394B8">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9EF710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62</w:t>
            </w:r>
          </w:p>
        </w:tc>
        <w:tc>
          <w:tcPr>
            <w:tcW w:w="836" w:type="pct"/>
            <w:vMerge w:val="continue"/>
            <w:tcBorders>
              <w:top w:val="nil"/>
              <w:left w:val="single" w:color="auto" w:sz="4" w:space="0"/>
              <w:bottom w:val="single" w:color="000000" w:sz="4" w:space="0"/>
              <w:right w:val="single" w:color="auto" w:sz="4" w:space="0"/>
            </w:tcBorders>
            <w:vAlign w:val="center"/>
          </w:tcPr>
          <w:p w14:paraId="51D11820">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D976EF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交通碳排放数据可视化中心-港口可视化监测中心-港口吞吐量监测</w:t>
            </w:r>
          </w:p>
        </w:tc>
        <w:tc>
          <w:tcPr>
            <w:tcW w:w="1951" w:type="pct"/>
            <w:tcBorders>
              <w:top w:val="nil"/>
              <w:left w:val="nil"/>
              <w:bottom w:val="single" w:color="auto" w:sz="4" w:space="0"/>
              <w:right w:val="single" w:color="auto" w:sz="4" w:space="0"/>
            </w:tcBorders>
            <w:shd w:val="clear" w:color="auto" w:fill="auto"/>
            <w:vAlign w:val="center"/>
          </w:tcPr>
          <w:p w14:paraId="158A11A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展示各港口的不同统计范围的货物吞吐量</w:t>
            </w:r>
          </w:p>
        </w:tc>
      </w:tr>
      <w:tr w14:paraId="2A9F4195">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BFD566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63</w:t>
            </w:r>
          </w:p>
        </w:tc>
        <w:tc>
          <w:tcPr>
            <w:tcW w:w="836" w:type="pct"/>
            <w:vMerge w:val="continue"/>
            <w:tcBorders>
              <w:top w:val="nil"/>
              <w:left w:val="single" w:color="auto" w:sz="4" w:space="0"/>
              <w:bottom w:val="single" w:color="000000" w:sz="4" w:space="0"/>
              <w:right w:val="single" w:color="auto" w:sz="4" w:space="0"/>
            </w:tcBorders>
            <w:vAlign w:val="center"/>
          </w:tcPr>
          <w:p w14:paraId="10E75A5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681C80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交通碳排放数据可视化中心-港口可视化监测中心-港口碳排放趋势分析</w:t>
            </w:r>
          </w:p>
        </w:tc>
        <w:tc>
          <w:tcPr>
            <w:tcW w:w="1951" w:type="pct"/>
            <w:tcBorders>
              <w:top w:val="nil"/>
              <w:left w:val="nil"/>
              <w:bottom w:val="single" w:color="auto" w:sz="4" w:space="0"/>
              <w:right w:val="single" w:color="auto" w:sz="4" w:space="0"/>
            </w:tcBorders>
            <w:shd w:val="clear" w:color="auto" w:fill="auto"/>
            <w:vAlign w:val="center"/>
          </w:tcPr>
          <w:p w14:paraId="0BE350C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评估港口碳排放的来源和变化趋势，并探讨碳排放与吞吐量之间的关系</w:t>
            </w:r>
          </w:p>
        </w:tc>
      </w:tr>
      <w:tr w14:paraId="150490DB">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AA3AFB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64</w:t>
            </w:r>
          </w:p>
        </w:tc>
        <w:tc>
          <w:tcPr>
            <w:tcW w:w="836" w:type="pct"/>
            <w:vMerge w:val="continue"/>
            <w:tcBorders>
              <w:top w:val="nil"/>
              <w:left w:val="single" w:color="auto" w:sz="4" w:space="0"/>
              <w:bottom w:val="single" w:color="000000" w:sz="4" w:space="0"/>
              <w:right w:val="single" w:color="auto" w:sz="4" w:space="0"/>
            </w:tcBorders>
            <w:vAlign w:val="center"/>
          </w:tcPr>
          <w:p w14:paraId="34980CD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831716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交通碳排放数据可视化中心-港口可视化监测中心-港口直接与间接排放分析统计</w:t>
            </w:r>
          </w:p>
        </w:tc>
        <w:tc>
          <w:tcPr>
            <w:tcW w:w="1951" w:type="pct"/>
            <w:tcBorders>
              <w:top w:val="nil"/>
              <w:left w:val="nil"/>
              <w:bottom w:val="single" w:color="auto" w:sz="4" w:space="0"/>
              <w:right w:val="single" w:color="auto" w:sz="4" w:space="0"/>
            </w:tcBorders>
            <w:shd w:val="clear" w:color="auto" w:fill="auto"/>
            <w:vAlign w:val="center"/>
          </w:tcPr>
          <w:p w14:paraId="2BD7E8A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统计港口直接排放与间接排放的排放量，用图形化方式展示两类排放的逐月排放趋势</w:t>
            </w:r>
          </w:p>
        </w:tc>
      </w:tr>
      <w:tr w14:paraId="2D035C9D">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B35DAA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65</w:t>
            </w:r>
          </w:p>
        </w:tc>
        <w:tc>
          <w:tcPr>
            <w:tcW w:w="836" w:type="pct"/>
            <w:vMerge w:val="continue"/>
            <w:tcBorders>
              <w:top w:val="nil"/>
              <w:left w:val="single" w:color="auto" w:sz="4" w:space="0"/>
              <w:bottom w:val="single" w:color="000000" w:sz="4" w:space="0"/>
              <w:right w:val="single" w:color="auto" w:sz="4" w:space="0"/>
            </w:tcBorders>
            <w:vAlign w:val="center"/>
          </w:tcPr>
          <w:p w14:paraId="0C12223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EB87BD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交通碳排放数据可视化中心-港口可视化监测中心-港口碳排放预测与趋势分析</w:t>
            </w:r>
          </w:p>
        </w:tc>
        <w:tc>
          <w:tcPr>
            <w:tcW w:w="1951" w:type="pct"/>
            <w:tcBorders>
              <w:top w:val="nil"/>
              <w:left w:val="nil"/>
              <w:bottom w:val="single" w:color="auto" w:sz="4" w:space="0"/>
              <w:right w:val="single" w:color="auto" w:sz="4" w:space="0"/>
            </w:tcBorders>
            <w:shd w:val="clear" w:color="auto" w:fill="auto"/>
            <w:vAlign w:val="center"/>
          </w:tcPr>
          <w:p w14:paraId="7672CBD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构建港口碳排放预测分析模型，预测未来港口碳排放量的变化趋势，展示预测期间的年度和月度排放趋势</w:t>
            </w:r>
          </w:p>
        </w:tc>
      </w:tr>
      <w:tr w14:paraId="1CA9F1F4">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504B49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66</w:t>
            </w:r>
          </w:p>
        </w:tc>
        <w:tc>
          <w:tcPr>
            <w:tcW w:w="836" w:type="pct"/>
            <w:vMerge w:val="continue"/>
            <w:tcBorders>
              <w:top w:val="nil"/>
              <w:left w:val="single" w:color="auto" w:sz="4" w:space="0"/>
              <w:bottom w:val="single" w:color="000000" w:sz="4" w:space="0"/>
              <w:right w:val="single" w:color="auto" w:sz="4" w:space="0"/>
            </w:tcBorders>
            <w:vAlign w:val="center"/>
          </w:tcPr>
          <w:p w14:paraId="509128F3">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BDCC45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交通碳排放数据可视化中心-航运可视化监测中心-航运能耗情况概览</w:t>
            </w:r>
          </w:p>
        </w:tc>
        <w:tc>
          <w:tcPr>
            <w:tcW w:w="1951" w:type="pct"/>
            <w:tcBorders>
              <w:top w:val="nil"/>
              <w:left w:val="nil"/>
              <w:bottom w:val="single" w:color="auto" w:sz="4" w:space="0"/>
              <w:right w:val="single" w:color="auto" w:sz="4" w:space="0"/>
            </w:tcBorders>
            <w:shd w:val="clear" w:color="auto" w:fill="auto"/>
            <w:vAlign w:val="center"/>
          </w:tcPr>
          <w:p w14:paraId="0F647A0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展示船舶在运营过程中不同类型能源的消耗情况</w:t>
            </w:r>
          </w:p>
        </w:tc>
      </w:tr>
      <w:tr w14:paraId="457873AD">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EB3D2D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67</w:t>
            </w:r>
          </w:p>
        </w:tc>
        <w:tc>
          <w:tcPr>
            <w:tcW w:w="836" w:type="pct"/>
            <w:vMerge w:val="continue"/>
            <w:tcBorders>
              <w:top w:val="nil"/>
              <w:left w:val="single" w:color="auto" w:sz="4" w:space="0"/>
              <w:bottom w:val="single" w:color="000000" w:sz="4" w:space="0"/>
              <w:right w:val="single" w:color="auto" w:sz="4" w:space="0"/>
            </w:tcBorders>
            <w:vAlign w:val="center"/>
          </w:tcPr>
          <w:p w14:paraId="13AC5A9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61C66E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交通碳排放数据可视化中心-航运可视化监测中心-航运碳排放情况概览</w:t>
            </w:r>
          </w:p>
        </w:tc>
        <w:tc>
          <w:tcPr>
            <w:tcW w:w="1951" w:type="pct"/>
            <w:tcBorders>
              <w:top w:val="nil"/>
              <w:left w:val="nil"/>
              <w:bottom w:val="single" w:color="auto" w:sz="4" w:space="0"/>
              <w:right w:val="single" w:color="auto" w:sz="4" w:space="0"/>
            </w:tcBorders>
            <w:shd w:val="clear" w:color="auto" w:fill="auto"/>
            <w:vAlign w:val="center"/>
          </w:tcPr>
          <w:p w14:paraId="1AA4F5D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船舶在不同工作阶段的碳排放情况</w:t>
            </w:r>
          </w:p>
        </w:tc>
      </w:tr>
      <w:tr w14:paraId="499EAAC3">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8FA98A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68</w:t>
            </w:r>
          </w:p>
        </w:tc>
        <w:tc>
          <w:tcPr>
            <w:tcW w:w="836" w:type="pct"/>
            <w:vMerge w:val="continue"/>
            <w:tcBorders>
              <w:top w:val="nil"/>
              <w:left w:val="single" w:color="auto" w:sz="4" w:space="0"/>
              <w:bottom w:val="single" w:color="000000" w:sz="4" w:space="0"/>
              <w:right w:val="single" w:color="auto" w:sz="4" w:space="0"/>
            </w:tcBorders>
            <w:vAlign w:val="center"/>
          </w:tcPr>
          <w:p w14:paraId="00BE17B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7A1201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交通碳排放数据可视化中心-航运可视化监测中心-航运实时空间分布概览</w:t>
            </w:r>
          </w:p>
        </w:tc>
        <w:tc>
          <w:tcPr>
            <w:tcW w:w="1951" w:type="pct"/>
            <w:tcBorders>
              <w:top w:val="nil"/>
              <w:left w:val="nil"/>
              <w:bottom w:val="single" w:color="auto" w:sz="4" w:space="0"/>
              <w:right w:val="single" w:color="auto" w:sz="4" w:space="0"/>
            </w:tcBorders>
            <w:shd w:val="clear" w:color="auto" w:fill="auto"/>
            <w:vAlign w:val="center"/>
          </w:tcPr>
          <w:p w14:paraId="1B593DA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用可视化地图展示船舶在上海及周边区域的实时分布情况</w:t>
            </w:r>
          </w:p>
        </w:tc>
      </w:tr>
      <w:tr w14:paraId="6A2E76EE">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709C56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69</w:t>
            </w:r>
          </w:p>
        </w:tc>
        <w:tc>
          <w:tcPr>
            <w:tcW w:w="836" w:type="pct"/>
            <w:vMerge w:val="continue"/>
            <w:tcBorders>
              <w:top w:val="nil"/>
              <w:left w:val="single" w:color="auto" w:sz="4" w:space="0"/>
              <w:bottom w:val="single" w:color="000000" w:sz="4" w:space="0"/>
              <w:right w:val="single" w:color="auto" w:sz="4" w:space="0"/>
            </w:tcBorders>
            <w:vAlign w:val="center"/>
          </w:tcPr>
          <w:p w14:paraId="7CE7F32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96862C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交通碳排放数据可视化中心-航运可视化监测中心-航运碳轨迹分析及回放</w:t>
            </w:r>
          </w:p>
        </w:tc>
        <w:tc>
          <w:tcPr>
            <w:tcW w:w="1951" w:type="pct"/>
            <w:tcBorders>
              <w:top w:val="nil"/>
              <w:left w:val="nil"/>
              <w:bottom w:val="single" w:color="auto" w:sz="4" w:space="0"/>
              <w:right w:val="single" w:color="auto" w:sz="4" w:space="0"/>
            </w:tcBorders>
            <w:shd w:val="clear" w:color="auto" w:fill="auto"/>
            <w:vAlign w:val="center"/>
          </w:tcPr>
          <w:p w14:paraId="64A35CD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可视化展示船舶在航行过程中的碳排放轨迹</w:t>
            </w:r>
          </w:p>
        </w:tc>
      </w:tr>
      <w:tr w14:paraId="65D9C025">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39570D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70</w:t>
            </w:r>
          </w:p>
        </w:tc>
        <w:tc>
          <w:tcPr>
            <w:tcW w:w="836" w:type="pct"/>
            <w:vMerge w:val="continue"/>
            <w:tcBorders>
              <w:top w:val="nil"/>
              <w:left w:val="single" w:color="auto" w:sz="4" w:space="0"/>
              <w:bottom w:val="single" w:color="000000" w:sz="4" w:space="0"/>
              <w:right w:val="single" w:color="auto" w:sz="4" w:space="0"/>
            </w:tcBorders>
            <w:vAlign w:val="center"/>
          </w:tcPr>
          <w:p w14:paraId="67169C8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980D31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交通碳排放数据可视化中心-航运可视化监测中心-船舶排放概览</w:t>
            </w:r>
          </w:p>
        </w:tc>
        <w:tc>
          <w:tcPr>
            <w:tcW w:w="1951" w:type="pct"/>
            <w:tcBorders>
              <w:top w:val="nil"/>
              <w:left w:val="nil"/>
              <w:bottom w:val="single" w:color="auto" w:sz="4" w:space="0"/>
              <w:right w:val="single" w:color="auto" w:sz="4" w:space="0"/>
            </w:tcBorders>
            <w:shd w:val="clear" w:color="auto" w:fill="auto"/>
            <w:vAlign w:val="center"/>
          </w:tcPr>
          <w:p w14:paraId="0E30167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记录和分析不同类型船舶的碳排放数据，提供各船舶类型在航行、靠泊、停泊等不同阶段的排放量和占比情况</w:t>
            </w:r>
          </w:p>
        </w:tc>
      </w:tr>
      <w:tr w14:paraId="23536A8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DAD362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71</w:t>
            </w:r>
          </w:p>
        </w:tc>
        <w:tc>
          <w:tcPr>
            <w:tcW w:w="836" w:type="pct"/>
            <w:vMerge w:val="continue"/>
            <w:tcBorders>
              <w:top w:val="nil"/>
              <w:left w:val="single" w:color="auto" w:sz="4" w:space="0"/>
              <w:bottom w:val="single" w:color="000000" w:sz="4" w:space="0"/>
              <w:right w:val="single" w:color="auto" w:sz="4" w:space="0"/>
            </w:tcBorders>
            <w:vAlign w:val="center"/>
          </w:tcPr>
          <w:p w14:paraId="2902CFB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BE80BE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交通碳排放数据可视化中心-航运可视化监测中心-资源节碳趋势分布分析</w:t>
            </w:r>
          </w:p>
        </w:tc>
        <w:tc>
          <w:tcPr>
            <w:tcW w:w="1951" w:type="pct"/>
            <w:tcBorders>
              <w:top w:val="nil"/>
              <w:left w:val="nil"/>
              <w:bottom w:val="single" w:color="auto" w:sz="4" w:space="0"/>
              <w:right w:val="single" w:color="auto" w:sz="4" w:space="0"/>
            </w:tcBorders>
            <w:shd w:val="clear" w:color="auto" w:fill="auto"/>
            <w:vAlign w:val="center"/>
          </w:tcPr>
          <w:p w14:paraId="401C938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分析和展示液化天然气（LNG）、压缩天然气（CNG）、生物燃料和氢燃料等替代燃料在船舶运营中的使用比例及其碳减排效果</w:t>
            </w:r>
          </w:p>
        </w:tc>
      </w:tr>
      <w:tr w14:paraId="01EF328A">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22B368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72</w:t>
            </w:r>
          </w:p>
        </w:tc>
        <w:tc>
          <w:tcPr>
            <w:tcW w:w="836" w:type="pct"/>
            <w:vMerge w:val="continue"/>
            <w:tcBorders>
              <w:top w:val="nil"/>
              <w:left w:val="single" w:color="auto" w:sz="4" w:space="0"/>
              <w:bottom w:val="single" w:color="000000" w:sz="4" w:space="0"/>
              <w:right w:val="single" w:color="auto" w:sz="4" w:space="0"/>
            </w:tcBorders>
            <w:vAlign w:val="center"/>
          </w:tcPr>
          <w:p w14:paraId="5ED8BA2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B6B535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交通碳排放数据可视化中心-航运可视化监测中心-能耗趋势分析</w:t>
            </w:r>
          </w:p>
        </w:tc>
        <w:tc>
          <w:tcPr>
            <w:tcW w:w="1951" w:type="pct"/>
            <w:tcBorders>
              <w:top w:val="nil"/>
              <w:left w:val="nil"/>
              <w:bottom w:val="single" w:color="auto" w:sz="4" w:space="0"/>
              <w:right w:val="single" w:color="auto" w:sz="4" w:space="0"/>
            </w:tcBorders>
            <w:shd w:val="clear" w:color="auto" w:fill="auto"/>
            <w:vAlign w:val="center"/>
          </w:tcPr>
          <w:p w14:paraId="1F685E1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通过对历史数据和实时监测数据的综合分析，展示港口和船舶在不同时间段的能源消耗变化情况</w:t>
            </w:r>
          </w:p>
        </w:tc>
      </w:tr>
      <w:tr w14:paraId="4ACE468F">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0728DD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73</w:t>
            </w:r>
          </w:p>
        </w:tc>
        <w:tc>
          <w:tcPr>
            <w:tcW w:w="836" w:type="pct"/>
            <w:vMerge w:val="continue"/>
            <w:tcBorders>
              <w:top w:val="nil"/>
              <w:left w:val="single" w:color="auto" w:sz="4" w:space="0"/>
              <w:bottom w:val="single" w:color="000000" w:sz="4" w:space="0"/>
              <w:right w:val="single" w:color="auto" w:sz="4" w:space="0"/>
            </w:tcBorders>
            <w:vAlign w:val="center"/>
          </w:tcPr>
          <w:p w14:paraId="55B8ED7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27AD61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交通碳排放数据可视化中心-航运可视化监测中心-船运企业碳排放量排名</w:t>
            </w:r>
          </w:p>
        </w:tc>
        <w:tc>
          <w:tcPr>
            <w:tcW w:w="1951" w:type="pct"/>
            <w:tcBorders>
              <w:top w:val="nil"/>
              <w:left w:val="nil"/>
              <w:bottom w:val="single" w:color="auto" w:sz="4" w:space="0"/>
              <w:right w:val="single" w:color="auto" w:sz="4" w:space="0"/>
            </w:tcBorders>
            <w:shd w:val="clear" w:color="auto" w:fill="auto"/>
            <w:vAlign w:val="center"/>
          </w:tcPr>
          <w:p w14:paraId="2D73B40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图表化展示各大船运企业的碳排放数据及其排名情况</w:t>
            </w:r>
          </w:p>
        </w:tc>
      </w:tr>
      <w:tr w14:paraId="21337581">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675C9D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74</w:t>
            </w:r>
          </w:p>
        </w:tc>
        <w:tc>
          <w:tcPr>
            <w:tcW w:w="836" w:type="pct"/>
            <w:vMerge w:val="continue"/>
            <w:tcBorders>
              <w:top w:val="nil"/>
              <w:left w:val="single" w:color="auto" w:sz="4" w:space="0"/>
              <w:bottom w:val="single" w:color="000000" w:sz="4" w:space="0"/>
              <w:right w:val="single" w:color="auto" w:sz="4" w:space="0"/>
            </w:tcBorders>
            <w:vAlign w:val="center"/>
          </w:tcPr>
          <w:p w14:paraId="4FCE3565">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4E3452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交通碳排放数据可视化中心-公路客运可视化监测中心-公路客运整体碳排放概览</w:t>
            </w:r>
          </w:p>
        </w:tc>
        <w:tc>
          <w:tcPr>
            <w:tcW w:w="1951" w:type="pct"/>
            <w:tcBorders>
              <w:top w:val="nil"/>
              <w:left w:val="nil"/>
              <w:bottom w:val="single" w:color="auto" w:sz="4" w:space="0"/>
              <w:right w:val="single" w:color="auto" w:sz="4" w:space="0"/>
            </w:tcBorders>
            <w:shd w:val="clear" w:color="auto" w:fill="auto"/>
            <w:vAlign w:val="center"/>
          </w:tcPr>
          <w:p w14:paraId="0DE18EE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提供了公路客运整体的碳排放量概况</w:t>
            </w:r>
          </w:p>
        </w:tc>
      </w:tr>
      <w:tr w14:paraId="44D017B8">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E2FA3F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75</w:t>
            </w:r>
          </w:p>
        </w:tc>
        <w:tc>
          <w:tcPr>
            <w:tcW w:w="836" w:type="pct"/>
            <w:vMerge w:val="continue"/>
            <w:tcBorders>
              <w:top w:val="nil"/>
              <w:left w:val="single" w:color="auto" w:sz="4" w:space="0"/>
              <w:bottom w:val="single" w:color="000000" w:sz="4" w:space="0"/>
              <w:right w:val="single" w:color="auto" w:sz="4" w:space="0"/>
            </w:tcBorders>
            <w:vAlign w:val="center"/>
          </w:tcPr>
          <w:p w14:paraId="14B1125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81A745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交通碳排放数据可视化中心-公路客运可视化监测中心-公路客运碳排放分类分析情况</w:t>
            </w:r>
          </w:p>
        </w:tc>
        <w:tc>
          <w:tcPr>
            <w:tcW w:w="1951" w:type="pct"/>
            <w:tcBorders>
              <w:top w:val="nil"/>
              <w:left w:val="nil"/>
              <w:bottom w:val="single" w:color="auto" w:sz="4" w:space="0"/>
              <w:right w:val="single" w:color="auto" w:sz="4" w:space="0"/>
            </w:tcBorders>
            <w:shd w:val="clear" w:color="auto" w:fill="auto"/>
            <w:vAlign w:val="center"/>
          </w:tcPr>
          <w:p w14:paraId="59EF1A4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对公路客运行业的碳排放数据进行分类和分析</w:t>
            </w:r>
          </w:p>
        </w:tc>
      </w:tr>
      <w:tr w14:paraId="15A998EE">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E2AC65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76</w:t>
            </w:r>
          </w:p>
        </w:tc>
        <w:tc>
          <w:tcPr>
            <w:tcW w:w="836" w:type="pct"/>
            <w:vMerge w:val="continue"/>
            <w:tcBorders>
              <w:top w:val="nil"/>
              <w:left w:val="single" w:color="auto" w:sz="4" w:space="0"/>
              <w:bottom w:val="single" w:color="000000" w:sz="4" w:space="0"/>
              <w:right w:val="single" w:color="auto" w:sz="4" w:space="0"/>
            </w:tcBorders>
            <w:vAlign w:val="center"/>
          </w:tcPr>
          <w:p w14:paraId="4A079893">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075163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交通碳排放数据可视化中心-公路客运可视化监测中心-公路客运碳排放趋势概览</w:t>
            </w:r>
          </w:p>
        </w:tc>
        <w:tc>
          <w:tcPr>
            <w:tcW w:w="1951" w:type="pct"/>
            <w:tcBorders>
              <w:top w:val="nil"/>
              <w:left w:val="nil"/>
              <w:bottom w:val="single" w:color="auto" w:sz="4" w:space="0"/>
              <w:right w:val="single" w:color="auto" w:sz="4" w:space="0"/>
            </w:tcBorders>
            <w:shd w:val="clear" w:color="auto" w:fill="auto"/>
            <w:vAlign w:val="center"/>
          </w:tcPr>
          <w:p w14:paraId="46E3365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提供公路客运行业碳排放量的趋势分析</w:t>
            </w:r>
          </w:p>
        </w:tc>
      </w:tr>
      <w:tr w14:paraId="78E25CA4">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65CA1B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77</w:t>
            </w:r>
          </w:p>
        </w:tc>
        <w:tc>
          <w:tcPr>
            <w:tcW w:w="836" w:type="pct"/>
            <w:vMerge w:val="continue"/>
            <w:tcBorders>
              <w:top w:val="nil"/>
              <w:left w:val="single" w:color="auto" w:sz="4" w:space="0"/>
              <w:bottom w:val="single" w:color="000000" w:sz="4" w:space="0"/>
              <w:right w:val="single" w:color="auto" w:sz="4" w:space="0"/>
            </w:tcBorders>
            <w:vAlign w:val="center"/>
          </w:tcPr>
          <w:p w14:paraId="4AB4358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E77672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交通碳排放数据可视化中心-公路客运可视化监测中心-公路客运线路碳排放概览</w:t>
            </w:r>
          </w:p>
        </w:tc>
        <w:tc>
          <w:tcPr>
            <w:tcW w:w="1951" w:type="pct"/>
            <w:tcBorders>
              <w:top w:val="nil"/>
              <w:left w:val="nil"/>
              <w:bottom w:val="single" w:color="auto" w:sz="4" w:space="0"/>
              <w:right w:val="single" w:color="auto" w:sz="4" w:space="0"/>
            </w:tcBorders>
            <w:shd w:val="clear" w:color="auto" w:fill="auto"/>
            <w:vAlign w:val="center"/>
          </w:tcPr>
          <w:p w14:paraId="45BCD91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提供用户一个综合概览该行业线路碳排放情况的功能</w:t>
            </w:r>
          </w:p>
        </w:tc>
      </w:tr>
      <w:tr w14:paraId="7DDCB468">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F08EC6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78</w:t>
            </w:r>
          </w:p>
        </w:tc>
        <w:tc>
          <w:tcPr>
            <w:tcW w:w="836" w:type="pct"/>
            <w:vMerge w:val="continue"/>
            <w:tcBorders>
              <w:top w:val="nil"/>
              <w:left w:val="single" w:color="auto" w:sz="4" w:space="0"/>
              <w:bottom w:val="single" w:color="000000" w:sz="4" w:space="0"/>
              <w:right w:val="single" w:color="auto" w:sz="4" w:space="0"/>
            </w:tcBorders>
            <w:vAlign w:val="center"/>
          </w:tcPr>
          <w:p w14:paraId="3460EED3">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5B6E73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交通碳排放数据可视化中心-公路客运可视化监测中心-公路客运线路排放流动流向情况</w:t>
            </w:r>
          </w:p>
        </w:tc>
        <w:tc>
          <w:tcPr>
            <w:tcW w:w="1951" w:type="pct"/>
            <w:tcBorders>
              <w:top w:val="nil"/>
              <w:left w:val="nil"/>
              <w:bottom w:val="single" w:color="auto" w:sz="4" w:space="0"/>
              <w:right w:val="single" w:color="auto" w:sz="4" w:space="0"/>
            </w:tcBorders>
            <w:shd w:val="clear" w:color="auto" w:fill="auto"/>
            <w:vAlign w:val="center"/>
          </w:tcPr>
          <w:p w14:paraId="54D155F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追踪和分析公路客运行业线路之间的碳排放流动和流向情况</w:t>
            </w:r>
          </w:p>
        </w:tc>
      </w:tr>
      <w:tr w14:paraId="44E66A67">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701F06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79</w:t>
            </w:r>
          </w:p>
        </w:tc>
        <w:tc>
          <w:tcPr>
            <w:tcW w:w="836" w:type="pct"/>
            <w:vMerge w:val="continue"/>
            <w:tcBorders>
              <w:top w:val="nil"/>
              <w:left w:val="single" w:color="auto" w:sz="4" w:space="0"/>
              <w:bottom w:val="single" w:color="000000" w:sz="4" w:space="0"/>
              <w:right w:val="single" w:color="auto" w:sz="4" w:space="0"/>
            </w:tcBorders>
            <w:vAlign w:val="center"/>
          </w:tcPr>
          <w:p w14:paraId="40701AD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7C2CD9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交通碳排放数据可视化中心-公路客运可视化监测中心-公路客运碳排放预测分析</w:t>
            </w:r>
          </w:p>
        </w:tc>
        <w:tc>
          <w:tcPr>
            <w:tcW w:w="1951" w:type="pct"/>
            <w:tcBorders>
              <w:top w:val="nil"/>
              <w:left w:val="nil"/>
              <w:bottom w:val="single" w:color="auto" w:sz="4" w:space="0"/>
              <w:right w:val="single" w:color="auto" w:sz="4" w:space="0"/>
            </w:tcBorders>
            <w:shd w:val="clear" w:color="auto" w:fill="auto"/>
            <w:vAlign w:val="center"/>
          </w:tcPr>
          <w:p w14:paraId="77564D7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基于历史数据、模拟数据和相关因素，提供公路客运行业碳排放的预测分析</w:t>
            </w:r>
          </w:p>
        </w:tc>
      </w:tr>
      <w:tr w14:paraId="17D08D8B">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68CD6A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80</w:t>
            </w:r>
          </w:p>
        </w:tc>
        <w:tc>
          <w:tcPr>
            <w:tcW w:w="836" w:type="pct"/>
            <w:vMerge w:val="continue"/>
            <w:tcBorders>
              <w:top w:val="nil"/>
              <w:left w:val="single" w:color="auto" w:sz="4" w:space="0"/>
              <w:bottom w:val="single" w:color="000000" w:sz="4" w:space="0"/>
              <w:right w:val="single" w:color="auto" w:sz="4" w:space="0"/>
            </w:tcBorders>
            <w:vAlign w:val="center"/>
          </w:tcPr>
          <w:p w14:paraId="741360F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67CBD1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交通碳排放数据可视化中心-城市客运可视化监测中心-城市客运整体碳排放概览</w:t>
            </w:r>
          </w:p>
        </w:tc>
        <w:tc>
          <w:tcPr>
            <w:tcW w:w="1951" w:type="pct"/>
            <w:tcBorders>
              <w:top w:val="nil"/>
              <w:left w:val="nil"/>
              <w:bottom w:val="single" w:color="auto" w:sz="4" w:space="0"/>
              <w:right w:val="single" w:color="auto" w:sz="4" w:space="0"/>
            </w:tcBorders>
            <w:shd w:val="clear" w:color="auto" w:fill="auto"/>
            <w:vAlign w:val="center"/>
          </w:tcPr>
          <w:p w14:paraId="1A6E62C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提供对城市客运行业整体的碳排放情况进行概览的功能</w:t>
            </w:r>
          </w:p>
        </w:tc>
      </w:tr>
      <w:tr w14:paraId="2E78EC52">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6D2BCC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81</w:t>
            </w:r>
          </w:p>
        </w:tc>
        <w:tc>
          <w:tcPr>
            <w:tcW w:w="836" w:type="pct"/>
            <w:vMerge w:val="continue"/>
            <w:tcBorders>
              <w:top w:val="nil"/>
              <w:left w:val="single" w:color="auto" w:sz="4" w:space="0"/>
              <w:bottom w:val="single" w:color="000000" w:sz="4" w:space="0"/>
              <w:right w:val="single" w:color="auto" w:sz="4" w:space="0"/>
            </w:tcBorders>
            <w:vAlign w:val="center"/>
          </w:tcPr>
          <w:p w14:paraId="4DA0E95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125BB8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交通碳排放数据可视化中心-城市客运可视化监测中心-城市客运碳排放分类分析情况</w:t>
            </w:r>
          </w:p>
        </w:tc>
        <w:tc>
          <w:tcPr>
            <w:tcW w:w="1951" w:type="pct"/>
            <w:tcBorders>
              <w:top w:val="nil"/>
              <w:left w:val="nil"/>
              <w:bottom w:val="single" w:color="auto" w:sz="4" w:space="0"/>
              <w:right w:val="single" w:color="auto" w:sz="4" w:space="0"/>
            </w:tcBorders>
            <w:shd w:val="clear" w:color="auto" w:fill="auto"/>
            <w:vAlign w:val="center"/>
          </w:tcPr>
          <w:p w14:paraId="0F96FD1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收集不同类型客运方式（如公交、出租车、网约车等）的碳排放数据，将城市客运的碳排放按照不同类别进行分类，并提供详细的分析结果</w:t>
            </w:r>
          </w:p>
        </w:tc>
      </w:tr>
      <w:tr w14:paraId="223F1587">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00ED4C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82</w:t>
            </w:r>
          </w:p>
        </w:tc>
        <w:tc>
          <w:tcPr>
            <w:tcW w:w="836" w:type="pct"/>
            <w:vMerge w:val="continue"/>
            <w:tcBorders>
              <w:top w:val="nil"/>
              <w:left w:val="single" w:color="auto" w:sz="4" w:space="0"/>
              <w:bottom w:val="single" w:color="000000" w:sz="4" w:space="0"/>
              <w:right w:val="single" w:color="auto" w:sz="4" w:space="0"/>
            </w:tcBorders>
            <w:vAlign w:val="center"/>
          </w:tcPr>
          <w:p w14:paraId="040527E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4D9053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交通碳排放数据可视化中心-城市客运可视化监测中心-城市客运碳排放趋势概览</w:t>
            </w:r>
          </w:p>
        </w:tc>
        <w:tc>
          <w:tcPr>
            <w:tcW w:w="1951" w:type="pct"/>
            <w:tcBorders>
              <w:top w:val="nil"/>
              <w:left w:val="nil"/>
              <w:bottom w:val="single" w:color="auto" w:sz="4" w:space="0"/>
              <w:right w:val="single" w:color="auto" w:sz="4" w:space="0"/>
            </w:tcBorders>
            <w:shd w:val="clear" w:color="auto" w:fill="auto"/>
            <w:vAlign w:val="center"/>
          </w:tcPr>
          <w:p w14:paraId="24A9D43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提供对城市客运行业碳排放趋势的整体概览</w:t>
            </w:r>
          </w:p>
        </w:tc>
      </w:tr>
      <w:tr w14:paraId="6364FA47">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929A3D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83</w:t>
            </w:r>
          </w:p>
        </w:tc>
        <w:tc>
          <w:tcPr>
            <w:tcW w:w="836" w:type="pct"/>
            <w:vMerge w:val="continue"/>
            <w:tcBorders>
              <w:top w:val="nil"/>
              <w:left w:val="single" w:color="auto" w:sz="4" w:space="0"/>
              <w:bottom w:val="single" w:color="000000" w:sz="4" w:space="0"/>
              <w:right w:val="single" w:color="auto" w:sz="4" w:space="0"/>
            </w:tcBorders>
            <w:vAlign w:val="center"/>
          </w:tcPr>
          <w:p w14:paraId="7D7EAFF0">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03085A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交通碳排放数据可视化中心-城市客运可视化监测中心-城市客运线路碳排放概览</w:t>
            </w:r>
          </w:p>
        </w:tc>
        <w:tc>
          <w:tcPr>
            <w:tcW w:w="1951" w:type="pct"/>
            <w:tcBorders>
              <w:top w:val="nil"/>
              <w:left w:val="nil"/>
              <w:bottom w:val="single" w:color="auto" w:sz="4" w:space="0"/>
              <w:right w:val="single" w:color="auto" w:sz="4" w:space="0"/>
            </w:tcBorders>
            <w:shd w:val="clear" w:color="auto" w:fill="auto"/>
            <w:vAlign w:val="center"/>
          </w:tcPr>
          <w:p w14:paraId="6084D82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提供对城市客运不同线路的碳排放情况的概览</w:t>
            </w:r>
          </w:p>
        </w:tc>
      </w:tr>
      <w:tr w14:paraId="0E665C4E">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3E2612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84</w:t>
            </w:r>
          </w:p>
        </w:tc>
        <w:tc>
          <w:tcPr>
            <w:tcW w:w="836" w:type="pct"/>
            <w:vMerge w:val="continue"/>
            <w:tcBorders>
              <w:top w:val="nil"/>
              <w:left w:val="single" w:color="auto" w:sz="4" w:space="0"/>
              <w:bottom w:val="single" w:color="000000" w:sz="4" w:space="0"/>
              <w:right w:val="single" w:color="auto" w:sz="4" w:space="0"/>
            </w:tcBorders>
            <w:vAlign w:val="center"/>
          </w:tcPr>
          <w:p w14:paraId="0EB66D44">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78A777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交通碳排放数据可视化中心-城市客运可视化监测中心-城市客运线路碳排放流动流向情况</w:t>
            </w:r>
          </w:p>
        </w:tc>
        <w:tc>
          <w:tcPr>
            <w:tcW w:w="1951" w:type="pct"/>
            <w:tcBorders>
              <w:top w:val="nil"/>
              <w:left w:val="nil"/>
              <w:bottom w:val="single" w:color="auto" w:sz="4" w:space="0"/>
              <w:right w:val="single" w:color="auto" w:sz="4" w:space="0"/>
            </w:tcBorders>
            <w:shd w:val="clear" w:color="auto" w:fill="auto"/>
            <w:vAlign w:val="center"/>
          </w:tcPr>
          <w:p w14:paraId="6616A93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分析和展示城市客运线路碳排放的流动流向情况</w:t>
            </w:r>
          </w:p>
        </w:tc>
      </w:tr>
      <w:tr w14:paraId="61464E06">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7EFCE1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85</w:t>
            </w:r>
          </w:p>
        </w:tc>
        <w:tc>
          <w:tcPr>
            <w:tcW w:w="836" w:type="pct"/>
            <w:vMerge w:val="continue"/>
            <w:tcBorders>
              <w:top w:val="nil"/>
              <w:left w:val="single" w:color="auto" w:sz="4" w:space="0"/>
              <w:bottom w:val="single" w:color="000000" w:sz="4" w:space="0"/>
              <w:right w:val="single" w:color="auto" w:sz="4" w:space="0"/>
            </w:tcBorders>
            <w:vAlign w:val="center"/>
          </w:tcPr>
          <w:p w14:paraId="15C2133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167C3B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交通碳排放数据可视化中心-城市客运可视化监测中心-城市客运碳排放预测分析</w:t>
            </w:r>
          </w:p>
        </w:tc>
        <w:tc>
          <w:tcPr>
            <w:tcW w:w="1951" w:type="pct"/>
            <w:tcBorders>
              <w:top w:val="nil"/>
              <w:left w:val="nil"/>
              <w:bottom w:val="single" w:color="auto" w:sz="4" w:space="0"/>
              <w:right w:val="single" w:color="auto" w:sz="4" w:space="0"/>
            </w:tcBorders>
            <w:shd w:val="clear" w:color="auto" w:fill="auto"/>
            <w:vAlign w:val="center"/>
          </w:tcPr>
          <w:p w14:paraId="14CB960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基于历史数据、模拟数据和相关影响因素，对未来城市客运的碳排放进行预测和分析</w:t>
            </w:r>
          </w:p>
        </w:tc>
      </w:tr>
      <w:tr w14:paraId="52CDCE40">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12C15B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86</w:t>
            </w:r>
          </w:p>
        </w:tc>
        <w:tc>
          <w:tcPr>
            <w:tcW w:w="836" w:type="pct"/>
            <w:vMerge w:val="continue"/>
            <w:tcBorders>
              <w:top w:val="nil"/>
              <w:left w:val="single" w:color="auto" w:sz="4" w:space="0"/>
              <w:bottom w:val="single" w:color="000000" w:sz="4" w:space="0"/>
              <w:right w:val="single" w:color="auto" w:sz="4" w:space="0"/>
            </w:tcBorders>
            <w:vAlign w:val="center"/>
          </w:tcPr>
          <w:p w14:paraId="734A1001">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B54E03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交通碳排放数据可视化中心-道路货运可视化监测中心-道路货运整体碳排放概览</w:t>
            </w:r>
          </w:p>
        </w:tc>
        <w:tc>
          <w:tcPr>
            <w:tcW w:w="1951" w:type="pct"/>
            <w:tcBorders>
              <w:top w:val="nil"/>
              <w:left w:val="nil"/>
              <w:bottom w:val="single" w:color="auto" w:sz="4" w:space="0"/>
              <w:right w:val="single" w:color="auto" w:sz="4" w:space="0"/>
            </w:tcBorders>
            <w:shd w:val="clear" w:color="auto" w:fill="auto"/>
            <w:vAlign w:val="center"/>
          </w:tcPr>
          <w:p w14:paraId="022B50F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提供对道路货运行业整体的碳排放情况的概览</w:t>
            </w:r>
          </w:p>
        </w:tc>
      </w:tr>
      <w:tr w14:paraId="0941EC66">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C6E41C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87</w:t>
            </w:r>
          </w:p>
        </w:tc>
        <w:tc>
          <w:tcPr>
            <w:tcW w:w="836" w:type="pct"/>
            <w:vMerge w:val="continue"/>
            <w:tcBorders>
              <w:top w:val="nil"/>
              <w:left w:val="single" w:color="auto" w:sz="4" w:space="0"/>
              <w:bottom w:val="single" w:color="000000" w:sz="4" w:space="0"/>
              <w:right w:val="single" w:color="auto" w:sz="4" w:space="0"/>
            </w:tcBorders>
            <w:vAlign w:val="center"/>
          </w:tcPr>
          <w:p w14:paraId="6CDE0F3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DFA72F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交通碳排放数据可视化中心-道路货运可视化监测中心-道路货运碳排放分类分析情况</w:t>
            </w:r>
          </w:p>
        </w:tc>
        <w:tc>
          <w:tcPr>
            <w:tcW w:w="1951" w:type="pct"/>
            <w:tcBorders>
              <w:top w:val="nil"/>
              <w:left w:val="nil"/>
              <w:bottom w:val="single" w:color="auto" w:sz="4" w:space="0"/>
              <w:right w:val="single" w:color="auto" w:sz="4" w:space="0"/>
            </w:tcBorders>
            <w:shd w:val="clear" w:color="auto" w:fill="auto"/>
            <w:vAlign w:val="center"/>
          </w:tcPr>
          <w:p w14:paraId="2C1A552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对道路货运行业的碳排放进行分类和分析</w:t>
            </w:r>
          </w:p>
        </w:tc>
      </w:tr>
      <w:tr w14:paraId="68F0513D">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116CB1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88</w:t>
            </w:r>
          </w:p>
        </w:tc>
        <w:tc>
          <w:tcPr>
            <w:tcW w:w="836" w:type="pct"/>
            <w:vMerge w:val="continue"/>
            <w:tcBorders>
              <w:top w:val="nil"/>
              <w:left w:val="single" w:color="auto" w:sz="4" w:space="0"/>
              <w:bottom w:val="single" w:color="000000" w:sz="4" w:space="0"/>
              <w:right w:val="single" w:color="auto" w:sz="4" w:space="0"/>
            </w:tcBorders>
            <w:vAlign w:val="center"/>
          </w:tcPr>
          <w:p w14:paraId="227AEB0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0966C8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交通碳排放数据可视化中心-道路货运可视化监测中心-道路货运碳排放网格热力情况分析</w:t>
            </w:r>
          </w:p>
        </w:tc>
        <w:tc>
          <w:tcPr>
            <w:tcW w:w="1951" w:type="pct"/>
            <w:tcBorders>
              <w:top w:val="nil"/>
              <w:left w:val="nil"/>
              <w:bottom w:val="single" w:color="auto" w:sz="4" w:space="0"/>
              <w:right w:val="single" w:color="auto" w:sz="4" w:space="0"/>
            </w:tcBorders>
            <w:shd w:val="clear" w:color="auto" w:fill="auto"/>
            <w:vAlign w:val="center"/>
          </w:tcPr>
          <w:p w14:paraId="05CEC88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通过将道路货运行业的碳排放数据与地理信息相结合，对碳排放进行网格热力情况的分析</w:t>
            </w:r>
          </w:p>
        </w:tc>
      </w:tr>
      <w:tr w14:paraId="4C8D450F">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6697BB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89</w:t>
            </w:r>
          </w:p>
        </w:tc>
        <w:tc>
          <w:tcPr>
            <w:tcW w:w="836" w:type="pct"/>
            <w:vMerge w:val="continue"/>
            <w:tcBorders>
              <w:top w:val="nil"/>
              <w:left w:val="single" w:color="auto" w:sz="4" w:space="0"/>
              <w:bottom w:val="single" w:color="000000" w:sz="4" w:space="0"/>
              <w:right w:val="single" w:color="auto" w:sz="4" w:space="0"/>
            </w:tcBorders>
            <w:vAlign w:val="center"/>
          </w:tcPr>
          <w:p w14:paraId="77BBB3D4">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6EECD7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交通碳排放数据可视化中心-道路货运可视化监测中心-道路货运碳排放趋势概览</w:t>
            </w:r>
          </w:p>
        </w:tc>
        <w:tc>
          <w:tcPr>
            <w:tcW w:w="1951" w:type="pct"/>
            <w:tcBorders>
              <w:top w:val="nil"/>
              <w:left w:val="nil"/>
              <w:bottom w:val="single" w:color="auto" w:sz="4" w:space="0"/>
              <w:right w:val="single" w:color="auto" w:sz="4" w:space="0"/>
            </w:tcBorders>
            <w:shd w:val="clear" w:color="auto" w:fill="auto"/>
            <w:vAlign w:val="center"/>
          </w:tcPr>
          <w:p w14:paraId="424E2FD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通过收集历史的碳排放数据并进行分析，该模块可以呈现道路货运行业碳排放量的变化趋势</w:t>
            </w:r>
          </w:p>
        </w:tc>
      </w:tr>
      <w:tr w14:paraId="24FCF49A">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29F2C0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90</w:t>
            </w:r>
          </w:p>
        </w:tc>
        <w:tc>
          <w:tcPr>
            <w:tcW w:w="836" w:type="pct"/>
            <w:vMerge w:val="continue"/>
            <w:tcBorders>
              <w:top w:val="nil"/>
              <w:left w:val="single" w:color="auto" w:sz="4" w:space="0"/>
              <w:bottom w:val="single" w:color="000000" w:sz="4" w:space="0"/>
              <w:right w:val="single" w:color="auto" w:sz="4" w:space="0"/>
            </w:tcBorders>
            <w:vAlign w:val="center"/>
          </w:tcPr>
          <w:p w14:paraId="0F684795">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E8EE67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交通碳排放数据可视化中心-道路货运可视化监测中心-道路货运通道碳排放概览</w:t>
            </w:r>
          </w:p>
        </w:tc>
        <w:tc>
          <w:tcPr>
            <w:tcW w:w="1951" w:type="pct"/>
            <w:tcBorders>
              <w:top w:val="nil"/>
              <w:left w:val="nil"/>
              <w:bottom w:val="single" w:color="auto" w:sz="4" w:space="0"/>
              <w:right w:val="single" w:color="auto" w:sz="4" w:space="0"/>
            </w:tcBorders>
            <w:shd w:val="clear" w:color="auto" w:fill="auto"/>
            <w:vAlign w:val="center"/>
          </w:tcPr>
          <w:p w14:paraId="3B2C13B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通过收集货运车辆在不同通道上的碳排放数据并进行分析，该模块可以呈现不同通道的碳排放量及其变化趋势</w:t>
            </w:r>
          </w:p>
        </w:tc>
      </w:tr>
      <w:tr w14:paraId="125F49BF">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740765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91</w:t>
            </w:r>
          </w:p>
        </w:tc>
        <w:tc>
          <w:tcPr>
            <w:tcW w:w="836" w:type="pct"/>
            <w:vMerge w:val="continue"/>
            <w:tcBorders>
              <w:top w:val="nil"/>
              <w:left w:val="single" w:color="auto" w:sz="4" w:space="0"/>
              <w:bottom w:val="single" w:color="000000" w:sz="4" w:space="0"/>
              <w:right w:val="single" w:color="auto" w:sz="4" w:space="0"/>
            </w:tcBorders>
            <w:vAlign w:val="center"/>
          </w:tcPr>
          <w:p w14:paraId="1F098D0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C7404B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交通碳排放数据可视化中心-道路货运可视化监测中心-道路货运碳排放流动流向情况分析</w:t>
            </w:r>
          </w:p>
        </w:tc>
        <w:tc>
          <w:tcPr>
            <w:tcW w:w="1951" w:type="pct"/>
            <w:tcBorders>
              <w:top w:val="nil"/>
              <w:left w:val="nil"/>
              <w:bottom w:val="single" w:color="auto" w:sz="4" w:space="0"/>
              <w:right w:val="single" w:color="auto" w:sz="4" w:space="0"/>
            </w:tcBorders>
            <w:shd w:val="clear" w:color="auto" w:fill="auto"/>
            <w:vAlign w:val="center"/>
          </w:tcPr>
          <w:p w14:paraId="19E5725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通过分析道路货运行业的碳排放数据和货物流动信息，揭示碳排放的流动和流向情况</w:t>
            </w:r>
          </w:p>
        </w:tc>
      </w:tr>
      <w:tr w14:paraId="649FEFD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C9CE05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92</w:t>
            </w:r>
          </w:p>
        </w:tc>
        <w:tc>
          <w:tcPr>
            <w:tcW w:w="836" w:type="pct"/>
            <w:vMerge w:val="continue"/>
            <w:tcBorders>
              <w:top w:val="nil"/>
              <w:left w:val="single" w:color="auto" w:sz="4" w:space="0"/>
              <w:bottom w:val="single" w:color="000000" w:sz="4" w:space="0"/>
              <w:right w:val="single" w:color="auto" w:sz="4" w:space="0"/>
            </w:tcBorders>
            <w:vAlign w:val="center"/>
          </w:tcPr>
          <w:p w14:paraId="5956DC58">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44FF01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交通碳排放数据可视化中心-道路货运可视化监测中心-道路货运碳排放预测分析</w:t>
            </w:r>
          </w:p>
        </w:tc>
        <w:tc>
          <w:tcPr>
            <w:tcW w:w="1951" w:type="pct"/>
            <w:tcBorders>
              <w:top w:val="nil"/>
              <w:left w:val="nil"/>
              <w:bottom w:val="single" w:color="auto" w:sz="4" w:space="0"/>
              <w:right w:val="single" w:color="auto" w:sz="4" w:space="0"/>
            </w:tcBorders>
            <w:shd w:val="clear" w:color="auto" w:fill="auto"/>
            <w:vAlign w:val="center"/>
          </w:tcPr>
          <w:p w14:paraId="39BB61B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基于历史的碳排放数据、模拟数据和相关的影响因素，对道路货运行业的未来碳排放进行预测分析</w:t>
            </w:r>
          </w:p>
        </w:tc>
      </w:tr>
      <w:tr w14:paraId="67FF681E">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6C1B0F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93</w:t>
            </w:r>
          </w:p>
        </w:tc>
        <w:tc>
          <w:tcPr>
            <w:tcW w:w="836" w:type="pct"/>
            <w:vMerge w:val="continue"/>
            <w:tcBorders>
              <w:top w:val="nil"/>
              <w:left w:val="single" w:color="auto" w:sz="4" w:space="0"/>
              <w:bottom w:val="single" w:color="000000" w:sz="4" w:space="0"/>
              <w:right w:val="single" w:color="auto" w:sz="4" w:space="0"/>
            </w:tcBorders>
            <w:vAlign w:val="center"/>
          </w:tcPr>
          <w:p w14:paraId="2FAF296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DD54D2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交通能耗碳排放实时监测-交通能耗实时监控-交通能耗热力监控</w:t>
            </w:r>
          </w:p>
        </w:tc>
        <w:tc>
          <w:tcPr>
            <w:tcW w:w="1951" w:type="pct"/>
            <w:tcBorders>
              <w:top w:val="nil"/>
              <w:left w:val="nil"/>
              <w:bottom w:val="single" w:color="auto" w:sz="4" w:space="0"/>
              <w:right w:val="single" w:color="auto" w:sz="4" w:space="0"/>
            </w:tcBorders>
            <w:shd w:val="clear" w:color="auto" w:fill="auto"/>
            <w:vAlign w:val="center"/>
          </w:tcPr>
          <w:p w14:paraId="2AFDDC7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通过实时收集、监测和分析交通系统中各个交通子行业的能耗数据，将这些数据以热力图的形式直观展现出来</w:t>
            </w:r>
          </w:p>
        </w:tc>
      </w:tr>
      <w:tr w14:paraId="037A045E">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C4A2B2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94</w:t>
            </w:r>
          </w:p>
        </w:tc>
        <w:tc>
          <w:tcPr>
            <w:tcW w:w="836" w:type="pct"/>
            <w:vMerge w:val="continue"/>
            <w:tcBorders>
              <w:top w:val="nil"/>
              <w:left w:val="single" w:color="auto" w:sz="4" w:space="0"/>
              <w:bottom w:val="single" w:color="000000" w:sz="4" w:space="0"/>
              <w:right w:val="single" w:color="auto" w:sz="4" w:space="0"/>
            </w:tcBorders>
            <w:vAlign w:val="center"/>
          </w:tcPr>
          <w:p w14:paraId="5466525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472491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交通能耗碳排放实时监测-交通能耗实时监控-交通能耗强度监控</w:t>
            </w:r>
          </w:p>
        </w:tc>
        <w:tc>
          <w:tcPr>
            <w:tcW w:w="1951" w:type="pct"/>
            <w:tcBorders>
              <w:top w:val="nil"/>
              <w:left w:val="nil"/>
              <w:bottom w:val="single" w:color="auto" w:sz="4" w:space="0"/>
              <w:right w:val="single" w:color="auto" w:sz="4" w:space="0"/>
            </w:tcBorders>
            <w:shd w:val="clear" w:color="auto" w:fill="auto"/>
            <w:vAlign w:val="center"/>
          </w:tcPr>
          <w:p w14:paraId="5F6A137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对交通运输系统中的能耗进行实时监测和分析，以评估和监控能耗的强度水平</w:t>
            </w:r>
          </w:p>
        </w:tc>
      </w:tr>
      <w:tr w14:paraId="2BA43BD7">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B0643D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95</w:t>
            </w:r>
          </w:p>
        </w:tc>
        <w:tc>
          <w:tcPr>
            <w:tcW w:w="836" w:type="pct"/>
            <w:vMerge w:val="continue"/>
            <w:tcBorders>
              <w:top w:val="nil"/>
              <w:left w:val="single" w:color="auto" w:sz="4" w:space="0"/>
              <w:bottom w:val="single" w:color="000000" w:sz="4" w:space="0"/>
              <w:right w:val="single" w:color="auto" w:sz="4" w:space="0"/>
            </w:tcBorders>
            <w:vAlign w:val="center"/>
          </w:tcPr>
          <w:p w14:paraId="3A658A10">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46E647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交通能耗碳排放实时监测-交通能耗实时监控-交通能耗实时明细</w:t>
            </w:r>
          </w:p>
        </w:tc>
        <w:tc>
          <w:tcPr>
            <w:tcW w:w="1951" w:type="pct"/>
            <w:tcBorders>
              <w:top w:val="nil"/>
              <w:left w:val="nil"/>
              <w:bottom w:val="single" w:color="auto" w:sz="4" w:space="0"/>
              <w:right w:val="single" w:color="auto" w:sz="4" w:space="0"/>
            </w:tcBorders>
            <w:shd w:val="clear" w:color="auto" w:fill="auto"/>
            <w:vAlign w:val="center"/>
          </w:tcPr>
          <w:p w14:paraId="7A12506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实时获取和展示交通行业中各个运输工具或设备的能耗详细信息的功能</w:t>
            </w:r>
          </w:p>
        </w:tc>
      </w:tr>
      <w:tr w14:paraId="64953B8D">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69883A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96</w:t>
            </w:r>
          </w:p>
        </w:tc>
        <w:tc>
          <w:tcPr>
            <w:tcW w:w="836" w:type="pct"/>
            <w:vMerge w:val="continue"/>
            <w:tcBorders>
              <w:top w:val="nil"/>
              <w:left w:val="single" w:color="auto" w:sz="4" w:space="0"/>
              <w:bottom w:val="single" w:color="000000" w:sz="4" w:space="0"/>
              <w:right w:val="single" w:color="auto" w:sz="4" w:space="0"/>
            </w:tcBorders>
            <w:vAlign w:val="center"/>
          </w:tcPr>
          <w:p w14:paraId="33FF10E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B3958F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交通能耗碳排放实时监测-碳排放实时监控-碳排放热力监控</w:t>
            </w:r>
          </w:p>
        </w:tc>
        <w:tc>
          <w:tcPr>
            <w:tcW w:w="1951" w:type="pct"/>
            <w:tcBorders>
              <w:top w:val="nil"/>
              <w:left w:val="nil"/>
              <w:bottom w:val="single" w:color="auto" w:sz="4" w:space="0"/>
              <w:right w:val="single" w:color="auto" w:sz="4" w:space="0"/>
            </w:tcBorders>
            <w:shd w:val="clear" w:color="auto" w:fill="auto"/>
            <w:vAlign w:val="center"/>
          </w:tcPr>
          <w:p w14:paraId="421617A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通过实时收集、监测和分析交通系统中各个交通子行业的碳排放数据，将这些数据以热力图的形式直观展现出来</w:t>
            </w:r>
          </w:p>
        </w:tc>
      </w:tr>
      <w:tr w14:paraId="2FF3BBF5">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C1A75A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97</w:t>
            </w:r>
          </w:p>
        </w:tc>
        <w:tc>
          <w:tcPr>
            <w:tcW w:w="836" w:type="pct"/>
            <w:vMerge w:val="continue"/>
            <w:tcBorders>
              <w:top w:val="nil"/>
              <w:left w:val="single" w:color="auto" w:sz="4" w:space="0"/>
              <w:bottom w:val="single" w:color="000000" w:sz="4" w:space="0"/>
              <w:right w:val="single" w:color="auto" w:sz="4" w:space="0"/>
            </w:tcBorders>
            <w:vAlign w:val="center"/>
          </w:tcPr>
          <w:p w14:paraId="2E214571">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D71C07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交通能耗碳排放实时监测-碳排放实时监控-碳排放强度监控</w:t>
            </w:r>
          </w:p>
        </w:tc>
        <w:tc>
          <w:tcPr>
            <w:tcW w:w="1951" w:type="pct"/>
            <w:tcBorders>
              <w:top w:val="nil"/>
              <w:left w:val="nil"/>
              <w:bottom w:val="single" w:color="auto" w:sz="4" w:space="0"/>
              <w:right w:val="single" w:color="auto" w:sz="4" w:space="0"/>
            </w:tcBorders>
            <w:shd w:val="clear" w:color="auto" w:fill="auto"/>
            <w:vAlign w:val="center"/>
          </w:tcPr>
          <w:p w14:paraId="1FF25D5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对交通运输系统中的碳排放进行实时监测和分析，以评估和监控碳排放的强度水平</w:t>
            </w:r>
          </w:p>
        </w:tc>
      </w:tr>
      <w:tr w14:paraId="66C54C0C">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47E685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98</w:t>
            </w:r>
          </w:p>
        </w:tc>
        <w:tc>
          <w:tcPr>
            <w:tcW w:w="836" w:type="pct"/>
            <w:vMerge w:val="continue"/>
            <w:tcBorders>
              <w:top w:val="nil"/>
              <w:left w:val="single" w:color="auto" w:sz="4" w:space="0"/>
              <w:bottom w:val="single" w:color="000000" w:sz="4" w:space="0"/>
              <w:right w:val="single" w:color="auto" w:sz="4" w:space="0"/>
            </w:tcBorders>
            <w:vAlign w:val="center"/>
          </w:tcPr>
          <w:p w14:paraId="7074BBB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95383C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交通能耗碳排放实时监测-碳排放实时监控-碳排放实时明细</w:t>
            </w:r>
          </w:p>
        </w:tc>
        <w:tc>
          <w:tcPr>
            <w:tcW w:w="1951" w:type="pct"/>
            <w:tcBorders>
              <w:top w:val="nil"/>
              <w:left w:val="nil"/>
              <w:bottom w:val="single" w:color="auto" w:sz="4" w:space="0"/>
              <w:right w:val="single" w:color="auto" w:sz="4" w:space="0"/>
            </w:tcBorders>
            <w:shd w:val="clear" w:color="auto" w:fill="auto"/>
            <w:vAlign w:val="center"/>
          </w:tcPr>
          <w:p w14:paraId="23F41B3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实时获取和展示交通行业中各个运输工具或设备的碳排放详细信息的功能</w:t>
            </w:r>
          </w:p>
        </w:tc>
      </w:tr>
      <w:tr w14:paraId="638EF405">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A03493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99</w:t>
            </w:r>
          </w:p>
        </w:tc>
        <w:tc>
          <w:tcPr>
            <w:tcW w:w="836" w:type="pct"/>
            <w:vMerge w:val="continue"/>
            <w:tcBorders>
              <w:top w:val="nil"/>
              <w:left w:val="single" w:color="auto" w:sz="4" w:space="0"/>
              <w:bottom w:val="single" w:color="000000" w:sz="4" w:space="0"/>
              <w:right w:val="single" w:color="auto" w:sz="4" w:space="0"/>
            </w:tcBorders>
            <w:vAlign w:val="center"/>
          </w:tcPr>
          <w:p w14:paraId="2B1DA40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B2B0FA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交通碳排放历史数据查询-全汇总历史数据查询</w:t>
            </w:r>
          </w:p>
        </w:tc>
        <w:tc>
          <w:tcPr>
            <w:tcW w:w="1951" w:type="pct"/>
            <w:tcBorders>
              <w:top w:val="nil"/>
              <w:left w:val="nil"/>
              <w:bottom w:val="single" w:color="auto" w:sz="4" w:space="0"/>
              <w:right w:val="single" w:color="auto" w:sz="4" w:space="0"/>
            </w:tcBorders>
            <w:shd w:val="clear" w:color="auto" w:fill="auto"/>
            <w:vAlign w:val="center"/>
          </w:tcPr>
          <w:p w14:paraId="2E03D1A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汇总、整合交通全业态中各子行业的交通能耗及碳排放历史监测结果和所有关联数据，提供一个综合性的统一查询入口</w:t>
            </w:r>
          </w:p>
        </w:tc>
      </w:tr>
      <w:tr w14:paraId="63706E4E">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E34436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100</w:t>
            </w:r>
          </w:p>
        </w:tc>
        <w:tc>
          <w:tcPr>
            <w:tcW w:w="836" w:type="pct"/>
            <w:vMerge w:val="continue"/>
            <w:tcBorders>
              <w:top w:val="nil"/>
              <w:left w:val="single" w:color="auto" w:sz="4" w:space="0"/>
              <w:bottom w:val="single" w:color="000000" w:sz="4" w:space="0"/>
              <w:right w:val="single" w:color="auto" w:sz="4" w:space="0"/>
            </w:tcBorders>
            <w:vAlign w:val="center"/>
          </w:tcPr>
          <w:p w14:paraId="360B7DB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1E3D76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交通碳排放历史数据查询-按行业汇总数据查询</w:t>
            </w:r>
          </w:p>
        </w:tc>
        <w:tc>
          <w:tcPr>
            <w:tcW w:w="1951" w:type="pct"/>
            <w:tcBorders>
              <w:top w:val="nil"/>
              <w:left w:val="nil"/>
              <w:bottom w:val="single" w:color="auto" w:sz="4" w:space="0"/>
              <w:right w:val="single" w:color="auto" w:sz="4" w:space="0"/>
            </w:tcBorders>
            <w:shd w:val="clear" w:color="auto" w:fill="auto"/>
            <w:vAlign w:val="center"/>
          </w:tcPr>
          <w:p w14:paraId="4CCCAF5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按行业汇总数据查询功能</w:t>
            </w:r>
          </w:p>
        </w:tc>
      </w:tr>
      <w:tr w14:paraId="31B34CF1">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B44994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101</w:t>
            </w:r>
          </w:p>
        </w:tc>
        <w:tc>
          <w:tcPr>
            <w:tcW w:w="836" w:type="pct"/>
            <w:vMerge w:val="continue"/>
            <w:tcBorders>
              <w:top w:val="nil"/>
              <w:left w:val="single" w:color="auto" w:sz="4" w:space="0"/>
              <w:bottom w:val="single" w:color="000000" w:sz="4" w:space="0"/>
              <w:right w:val="single" w:color="auto" w:sz="4" w:space="0"/>
            </w:tcBorders>
            <w:vAlign w:val="center"/>
          </w:tcPr>
          <w:p w14:paraId="41B904B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1F5FAA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交通碳排放历史数据查询-按行政区划数据查询</w:t>
            </w:r>
          </w:p>
        </w:tc>
        <w:tc>
          <w:tcPr>
            <w:tcW w:w="1951" w:type="pct"/>
            <w:tcBorders>
              <w:top w:val="nil"/>
              <w:left w:val="nil"/>
              <w:bottom w:val="single" w:color="auto" w:sz="4" w:space="0"/>
              <w:right w:val="single" w:color="auto" w:sz="4" w:space="0"/>
            </w:tcBorders>
            <w:shd w:val="clear" w:color="auto" w:fill="auto"/>
            <w:vAlign w:val="center"/>
          </w:tcPr>
          <w:p w14:paraId="049DB84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按行政区划数据查询功能</w:t>
            </w:r>
          </w:p>
        </w:tc>
      </w:tr>
      <w:tr w14:paraId="1B0AE2D6">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69B888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102</w:t>
            </w:r>
          </w:p>
        </w:tc>
        <w:tc>
          <w:tcPr>
            <w:tcW w:w="836" w:type="pct"/>
            <w:vMerge w:val="continue"/>
            <w:tcBorders>
              <w:top w:val="nil"/>
              <w:left w:val="single" w:color="auto" w:sz="4" w:space="0"/>
              <w:bottom w:val="single" w:color="000000" w:sz="4" w:space="0"/>
              <w:right w:val="single" w:color="auto" w:sz="4" w:space="0"/>
            </w:tcBorders>
            <w:vAlign w:val="center"/>
          </w:tcPr>
          <w:p w14:paraId="57D167C0">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786203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交通碳排放历史数据查询-按能源类型数据查询</w:t>
            </w:r>
          </w:p>
        </w:tc>
        <w:tc>
          <w:tcPr>
            <w:tcW w:w="1951" w:type="pct"/>
            <w:tcBorders>
              <w:top w:val="nil"/>
              <w:left w:val="nil"/>
              <w:bottom w:val="single" w:color="auto" w:sz="4" w:space="0"/>
              <w:right w:val="single" w:color="auto" w:sz="4" w:space="0"/>
            </w:tcBorders>
            <w:shd w:val="clear" w:color="auto" w:fill="auto"/>
            <w:vAlign w:val="center"/>
          </w:tcPr>
          <w:p w14:paraId="0F8FCF2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按能源类型数据查询功能</w:t>
            </w:r>
          </w:p>
        </w:tc>
      </w:tr>
      <w:tr w14:paraId="5C65DB91">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BACF32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103</w:t>
            </w:r>
          </w:p>
        </w:tc>
        <w:tc>
          <w:tcPr>
            <w:tcW w:w="836" w:type="pct"/>
            <w:vMerge w:val="continue"/>
            <w:tcBorders>
              <w:top w:val="nil"/>
              <w:left w:val="single" w:color="auto" w:sz="4" w:space="0"/>
              <w:bottom w:val="single" w:color="000000" w:sz="4" w:space="0"/>
              <w:right w:val="single" w:color="auto" w:sz="4" w:space="0"/>
            </w:tcBorders>
            <w:vAlign w:val="center"/>
          </w:tcPr>
          <w:p w14:paraId="04F8D69E">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94E2EC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交通碳排放历史数据查询-按重点能耗企业数据查询</w:t>
            </w:r>
          </w:p>
        </w:tc>
        <w:tc>
          <w:tcPr>
            <w:tcW w:w="1951" w:type="pct"/>
            <w:tcBorders>
              <w:top w:val="nil"/>
              <w:left w:val="nil"/>
              <w:bottom w:val="single" w:color="auto" w:sz="4" w:space="0"/>
              <w:right w:val="single" w:color="auto" w:sz="4" w:space="0"/>
            </w:tcBorders>
            <w:shd w:val="clear" w:color="auto" w:fill="auto"/>
            <w:vAlign w:val="center"/>
          </w:tcPr>
          <w:p w14:paraId="2764ADA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按重点能耗企业数据查询功能</w:t>
            </w:r>
          </w:p>
        </w:tc>
      </w:tr>
      <w:tr w14:paraId="41DB097B">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AA540F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104</w:t>
            </w:r>
          </w:p>
        </w:tc>
        <w:tc>
          <w:tcPr>
            <w:tcW w:w="836" w:type="pct"/>
            <w:vMerge w:val="continue"/>
            <w:tcBorders>
              <w:top w:val="nil"/>
              <w:left w:val="single" w:color="auto" w:sz="4" w:space="0"/>
              <w:bottom w:val="single" w:color="000000" w:sz="4" w:space="0"/>
              <w:right w:val="single" w:color="auto" w:sz="4" w:space="0"/>
            </w:tcBorders>
            <w:vAlign w:val="center"/>
          </w:tcPr>
          <w:p w14:paraId="40B9FDC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A4A728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交通碳排放历史数据查询-按交通工具类型（各行业 车型/机型/列车型号/船型）查询</w:t>
            </w:r>
          </w:p>
        </w:tc>
        <w:tc>
          <w:tcPr>
            <w:tcW w:w="1951" w:type="pct"/>
            <w:tcBorders>
              <w:top w:val="nil"/>
              <w:left w:val="nil"/>
              <w:bottom w:val="single" w:color="auto" w:sz="4" w:space="0"/>
              <w:right w:val="single" w:color="auto" w:sz="4" w:space="0"/>
            </w:tcBorders>
            <w:shd w:val="clear" w:color="auto" w:fill="auto"/>
            <w:vAlign w:val="center"/>
          </w:tcPr>
          <w:p w14:paraId="55192CD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按交通工具类型（各行业车型/机型/列车型号/船型）查询功能</w:t>
            </w:r>
          </w:p>
        </w:tc>
      </w:tr>
      <w:tr w14:paraId="47EFF2F7">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B077C7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105</w:t>
            </w:r>
          </w:p>
        </w:tc>
        <w:tc>
          <w:tcPr>
            <w:tcW w:w="836" w:type="pct"/>
            <w:vMerge w:val="continue"/>
            <w:tcBorders>
              <w:top w:val="nil"/>
              <w:left w:val="single" w:color="auto" w:sz="4" w:space="0"/>
              <w:bottom w:val="single" w:color="000000" w:sz="4" w:space="0"/>
              <w:right w:val="single" w:color="auto" w:sz="4" w:space="0"/>
            </w:tcBorders>
            <w:vAlign w:val="center"/>
          </w:tcPr>
          <w:p w14:paraId="393DBCD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0824A0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交通碳排放历史数据查询-单一对象的数据查询</w:t>
            </w:r>
          </w:p>
        </w:tc>
        <w:tc>
          <w:tcPr>
            <w:tcW w:w="1951" w:type="pct"/>
            <w:tcBorders>
              <w:top w:val="nil"/>
              <w:left w:val="nil"/>
              <w:bottom w:val="single" w:color="auto" w:sz="4" w:space="0"/>
              <w:right w:val="single" w:color="auto" w:sz="4" w:space="0"/>
            </w:tcBorders>
            <w:shd w:val="clear" w:color="auto" w:fill="auto"/>
            <w:vAlign w:val="center"/>
          </w:tcPr>
          <w:p w14:paraId="715E40F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针对某个具体监管对象为监管部门提供一个针对性的查询、分析入口</w:t>
            </w:r>
          </w:p>
        </w:tc>
      </w:tr>
      <w:tr w14:paraId="32F6BA15">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B48CB7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106</w:t>
            </w:r>
          </w:p>
        </w:tc>
        <w:tc>
          <w:tcPr>
            <w:tcW w:w="836" w:type="pct"/>
            <w:vMerge w:val="continue"/>
            <w:tcBorders>
              <w:top w:val="nil"/>
              <w:left w:val="single" w:color="auto" w:sz="4" w:space="0"/>
              <w:bottom w:val="single" w:color="000000" w:sz="4" w:space="0"/>
              <w:right w:val="single" w:color="auto" w:sz="4" w:space="0"/>
            </w:tcBorders>
            <w:vAlign w:val="center"/>
          </w:tcPr>
          <w:p w14:paraId="12B276F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38B8AD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交通碳排放历史数据查询-碳排放同比环比分析</w:t>
            </w:r>
          </w:p>
        </w:tc>
        <w:tc>
          <w:tcPr>
            <w:tcW w:w="1951" w:type="pct"/>
            <w:tcBorders>
              <w:top w:val="nil"/>
              <w:left w:val="nil"/>
              <w:bottom w:val="single" w:color="auto" w:sz="4" w:space="0"/>
              <w:right w:val="single" w:color="auto" w:sz="4" w:space="0"/>
            </w:tcBorders>
            <w:shd w:val="clear" w:color="auto" w:fill="auto"/>
            <w:vAlign w:val="center"/>
          </w:tcPr>
          <w:p w14:paraId="7B597BF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提供相同统计时间范围的同比和环比分析结果</w:t>
            </w:r>
          </w:p>
        </w:tc>
      </w:tr>
      <w:tr w14:paraId="0932D70F">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E4D866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107</w:t>
            </w:r>
          </w:p>
        </w:tc>
        <w:tc>
          <w:tcPr>
            <w:tcW w:w="836" w:type="pct"/>
            <w:vMerge w:val="continue"/>
            <w:tcBorders>
              <w:top w:val="nil"/>
              <w:left w:val="single" w:color="auto" w:sz="4" w:space="0"/>
              <w:bottom w:val="single" w:color="000000" w:sz="4" w:space="0"/>
              <w:right w:val="single" w:color="auto" w:sz="4" w:space="0"/>
            </w:tcBorders>
            <w:vAlign w:val="center"/>
          </w:tcPr>
          <w:p w14:paraId="3F290D68">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4F4244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交通能耗碳排放统计分析-交通能耗统计分析-行业维度</w:t>
            </w:r>
          </w:p>
        </w:tc>
        <w:tc>
          <w:tcPr>
            <w:tcW w:w="1951" w:type="pct"/>
            <w:tcBorders>
              <w:top w:val="nil"/>
              <w:left w:val="nil"/>
              <w:bottom w:val="single" w:color="auto" w:sz="4" w:space="0"/>
              <w:right w:val="single" w:color="auto" w:sz="4" w:space="0"/>
            </w:tcBorders>
            <w:shd w:val="clear" w:color="auto" w:fill="auto"/>
            <w:vAlign w:val="center"/>
          </w:tcPr>
          <w:p w14:paraId="452074E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通过选定子行业和指定统计时间范围，查看该子行业的交通能耗累计排放、历史变化趋势和同比及环比对照值等</w:t>
            </w:r>
          </w:p>
        </w:tc>
      </w:tr>
      <w:tr w14:paraId="6DB9CFC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E7112F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108</w:t>
            </w:r>
          </w:p>
        </w:tc>
        <w:tc>
          <w:tcPr>
            <w:tcW w:w="836" w:type="pct"/>
            <w:vMerge w:val="continue"/>
            <w:tcBorders>
              <w:top w:val="nil"/>
              <w:left w:val="single" w:color="auto" w:sz="4" w:space="0"/>
              <w:bottom w:val="single" w:color="000000" w:sz="4" w:space="0"/>
              <w:right w:val="single" w:color="auto" w:sz="4" w:space="0"/>
            </w:tcBorders>
            <w:vAlign w:val="center"/>
          </w:tcPr>
          <w:p w14:paraId="52F0A61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5212BB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交通能耗碳排放统计分析-交通能耗统计分析-企业维度</w:t>
            </w:r>
          </w:p>
        </w:tc>
        <w:tc>
          <w:tcPr>
            <w:tcW w:w="1951" w:type="pct"/>
            <w:tcBorders>
              <w:top w:val="nil"/>
              <w:left w:val="nil"/>
              <w:bottom w:val="single" w:color="auto" w:sz="4" w:space="0"/>
              <w:right w:val="single" w:color="auto" w:sz="4" w:space="0"/>
            </w:tcBorders>
            <w:shd w:val="clear" w:color="auto" w:fill="auto"/>
            <w:vAlign w:val="center"/>
          </w:tcPr>
          <w:p w14:paraId="149686B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过选定重点用能单位和指定统计时间范围，查看该重点用能单位的交通能耗累计排放、历史变化趋势和同比及环比对照值等</w:t>
            </w:r>
          </w:p>
        </w:tc>
      </w:tr>
      <w:tr w14:paraId="0FB4AAA8">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C65B85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109</w:t>
            </w:r>
          </w:p>
        </w:tc>
        <w:tc>
          <w:tcPr>
            <w:tcW w:w="836" w:type="pct"/>
            <w:vMerge w:val="continue"/>
            <w:tcBorders>
              <w:top w:val="nil"/>
              <w:left w:val="single" w:color="auto" w:sz="4" w:space="0"/>
              <w:bottom w:val="single" w:color="000000" w:sz="4" w:space="0"/>
              <w:right w:val="single" w:color="auto" w:sz="4" w:space="0"/>
            </w:tcBorders>
            <w:vAlign w:val="center"/>
          </w:tcPr>
          <w:p w14:paraId="355E164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588B95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交通能耗碳排放统计分析-交通能耗统计分析-区域维度</w:t>
            </w:r>
          </w:p>
        </w:tc>
        <w:tc>
          <w:tcPr>
            <w:tcW w:w="1951" w:type="pct"/>
            <w:tcBorders>
              <w:top w:val="nil"/>
              <w:left w:val="nil"/>
              <w:bottom w:val="single" w:color="auto" w:sz="4" w:space="0"/>
              <w:right w:val="single" w:color="auto" w:sz="4" w:space="0"/>
            </w:tcBorders>
            <w:shd w:val="clear" w:color="auto" w:fill="auto"/>
            <w:vAlign w:val="center"/>
          </w:tcPr>
          <w:p w14:paraId="193B36D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通过选定行政辖区和指定统计时间范围，查看该行政辖区的交通能耗累计排放、历史变化趋势和同比及环比对照值等</w:t>
            </w:r>
          </w:p>
        </w:tc>
      </w:tr>
      <w:tr w14:paraId="2CFE0D12">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103B7D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110</w:t>
            </w:r>
          </w:p>
        </w:tc>
        <w:tc>
          <w:tcPr>
            <w:tcW w:w="836" w:type="pct"/>
            <w:vMerge w:val="continue"/>
            <w:tcBorders>
              <w:top w:val="nil"/>
              <w:left w:val="single" w:color="auto" w:sz="4" w:space="0"/>
              <w:bottom w:val="single" w:color="000000" w:sz="4" w:space="0"/>
              <w:right w:val="single" w:color="auto" w:sz="4" w:space="0"/>
            </w:tcBorders>
            <w:vAlign w:val="center"/>
          </w:tcPr>
          <w:p w14:paraId="26B1620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E0B01C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交通能耗碳排放统计分析-交通能耗统计分析-交通工具分类维度</w:t>
            </w:r>
          </w:p>
        </w:tc>
        <w:tc>
          <w:tcPr>
            <w:tcW w:w="1951" w:type="pct"/>
            <w:tcBorders>
              <w:top w:val="nil"/>
              <w:left w:val="nil"/>
              <w:bottom w:val="single" w:color="auto" w:sz="4" w:space="0"/>
              <w:right w:val="single" w:color="auto" w:sz="4" w:space="0"/>
            </w:tcBorders>
            <w:shd w:val="clear" w:color="auto" w:fill="auto"/>
            <w:vAlign w:val="center"/>
          </w:tcPr>
          <w:p w14:paraId="075041E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通过选定应用设备类型和指定统计时间范围，查看该应用设备类型的交通能耗累计排放、历史变化趋势和同比及环比对照值等</w:t>
            </w:r>
          </w:p>
        </w:tc>
      </w:tr>
      <w:tr w14:paraId="7890C48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9483B9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111</w:t>
            </w:r>
          </w:p>
        </w:tc>
        <w:tc>
          <w:tcPr>
            <w:tcW w:w="836" w:type="pct"/>
            <w:vMerge w:val="continue"/>
            <w:tcBorders>
              <w:top w:val="nil"/>
              <w:left w:val="single" w:color="auto" w:sz="4" w:space="0"/>
              <w:bottom w:val="single" w:color="000000" w:sz="4" w:space="0"/>
              <w:right w:val="single" w:color="auto" w:sz="4" w:space="0"/>
            </w:tcBorders>
            <w:vAlign w:val="center"/>
          </w:tcPr>
          <w:p w14:paraId="5321DCD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522735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交通能耗碳排放统计分析-交通碳排放统计分析-行业维度</w:t>
            </w:r>
          </w:p>
        </w:tc>
        <w:tc>
          <w:tcPr>
            <w:tcW w:w="1951" w:type="pct"/>
            <w:tcBorders>
              <w:top w:val="nil"/>
              <w:left w:val="nil"/>
              <w:bottom w:val="single" w:color="auto" w:sz="4" w:space="0"/>
              <w:right w:val="single" w:color="auto" w:sz="4" w:space="0"/>
            </w:tcBorders>
            <w:shd w:val="clear" w:color="auto" w:fill="auto"/>
            <w:vAlign w:val="center"/>
          </w:tcPr>
          <w:p w14:paraId="25B053E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通过选定子行业和指定统计时间范围，查看该子行业的交通碳排放累计排放、历史变化趋势和同比及环比对照值等</w:t>
            </w:r>
          </w:p>
        </w:tc>
      </w:tr>
      <w:tr w14:paraId="06577AF8">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4D12F0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112</w:t>
            </w:r>
          </w:p>
        </w:tc>
        <w:tc>
          <w:tcPr>
            <w:tcW w:w="836" w:type="pct"/>
            <w:vMerge w:val="continue"/>
            <w:tcBorders>
              <w:top w:val="nil"/>
              <w:left w:val="single" w:color="auto" w:sz="4" w:space="0"/>
              <w:bottom w:val="single" w:color="000000" w:sz="4" w:space="0"/>
              <w:right w:val="single" w:color="auto" w:sz="4" w:space="0"/>
            </w:tcBorders>
            <w:vAlign w:val="center"/>
          </w:tcPr>
          <w:p w14:paraId="48074A8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AC4304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交通能耗碳排放统计分析-交通碳排放统计分析-企业维度</w:t>
            </w:r>
          </w:p>
        </w:tc>
        <w:tc>
          <w:tcPr>
            <w:tcW w:w="1951" w:type="pct"/>
            <w:tcBorders>
              <w:top w:val="nil"/>
              <w:left w:val="nil"/>
              <w:bottom w:val="single" w:color="auto" w:sz="4" w:space="0"/>
              <w:right w:val="single" w:color="auto" w:sz="4" w:space="0"/>
            </w:tcBorders>
            <w:shd w:val="clear" w:color="auto" w:fill="auto"/>
            <w:vAlign w:val="center"/>
          </w:tcPr>
          <w:p w14:paraId="337E10C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通过选定重点用能单位和指定统计时间范围，查看该重点用能单位的交通碳排放累计排放、历史变化趋势和同比及环比对照值等</w:t>
            </w:r>
          </w:p>
        </w:tc>
      </w:tr>
      <w:tr w14:paraId="16439529">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5151E2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113</w:t>
            </w:r>
          </w:p>
        </w:tc>
        <w:tc>
          <w:tcPr>
            <w:tcW w:w="836" w:type="pct"/>
            <w:vMerge w:val="continue"/>
            <w:tcBorders>
              <w:top w:val="nil"/>
              <w:left w:val="single" w:color="auto" w:sz="4" w:space="0"/>
              <w:bottom w:val="single" w:color="000000" w:sz="4" w:space="0"/>
              <w:right w:val="single" w:color="auto" w:sz="4" w:space="0"/>
            </w:tcBorders>
            <w:vAlign w:val="center"/>
          </w:tcPr>
          <w:p w14:paraId="7633E3B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FB3B9E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交通能耗碳排放统计分析-交通碳排放统计分析-区域维度</w:t>
            </w:r>
          </w:p>
        </w:tc>
        <w:tc>
          <w:tcPr>
            <w:tcW w:w="1951" w:type="pct"/>
            <w:tcBorders>
              <w:top w:val="nil"/>
              <w:left w:val="nil"/>
              <w:bottom w:val="single" w:color="auto" w:sz="4" w:space="0"/>
              <w:right w:val="single" w:color="auto" w:sz="4" w:space="0"/>
            </w:tcBorders>
            <w:shd w:val="clear" w:color="auto" w:fill="auto"/>
            <w:vAlign w:val="center"/>
          </w:tcPr>
          <w:p w14:paraId="6CEE8A7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通过选定行政辖区和指定统计时间范围，查看该行政辖区的交通碳排放累计排放、历史变化趋势和同比及环比对照值等</w:t>
            </w:r>
          </w:p>
        </w:tc>
      </w:tr>
      <w:tr w14:paraId="545EB0D3">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9BDFEC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114</w:t>
            </w:r>
          </w:p>
        </w:tc>
        <w:tc>
          <w:tcPr>
            <w:tcW w:w="836" w:type="pct"/>
            <w:vMerge w:val="continue"/>
            <w:tcBorders>
              <w:top w:val="nil"/>
              <w:left w:val="single" w:color="auto" w:sz="4" w:space="0"/>
              <w:bottom w:val="single" w:color="000000" w:sz="4" w:space="0"/>
              <w:right w:val="single" w:color="auto" w:sz="4" w:space="0"/>
            </w:tcBorders>
            <w:vAlign w:val="center"/>
          </w:tcPr>
          <w:p w14:paraId="48E379D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9C7439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交通能耗碳排放统计分析-交通碳排放统计分析-按交通工具分类维度</w:t>
            </w:r>
          </w:p>
        </w:tc>
        <w:tc>
          <w:tcPr>
            <w:tcW w:w="1951" w:type="pct"/>
            <w:tcBorders>
              <w:top w:val="nil"/>
              <w:left w:val="nil"/>
              <w:bottom w:val="single" w:color="auto" w:sz="4" w:space="0"/>
              <w:right w:val="single" w:color="auto" w:sz="4" w:space="0"/>
            </w:tcBorders>
            <w:shd w:val="clear" w:color="auto" w:fill="auto"/>
            <w:vAlign w:val="center"/>
          </w:tcPr>
          <w:p w14:paraId="4C78E10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通过选定应用设备类型和指定统计时间范围，查看该应用设备类型的交通碳排放累计排放、历史变化趋势和同比及环比对照值等</w:t>
            </w:r>
          </w:p>
        </w:tc>
      </w:tr>
      <w:tr w14:paraId="2718024B">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FB2673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115</w:t>
            </w:r>
          </w:p>
        </w:tc>
        <w:tc>
          <w:tcPr>
            <w:tcW w:w="836" w:type="pct"/>
            <w:vMerge w:val="continue"/>
            <w:tcBorders>
              <w:top w:val="nil"/>
              <w:left w:val="single" w:color="auto" w:sz="4" w:space="0"/>
              <w:bottom w:val="single" w:color="000000" w:sz="4" w:space="0"/>
              <w:right w:val="single" w:color="auto" w:sz="4" w:space="0"/>
            </w:tcBorders>
            <w:vAlign w:val="center"/>
          </w:tcPr>
          <w:p w14:paraId="0A2E9DA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96295A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交通能耗碳排放统计分析-交通碳排放统计分析-等级评价报告</w:t>
            </w:r>
          </w:p>
        </w:tc>
        <w:tc>
          <w:tcPr>
            <w:tcW w:w="1951" w:type="pct"/>
            <w:tcBorders>
              <w:top w:val="nil"/>
              <w:left w:val="nil"/>
              <w:bottom w:val="single" w:color="auto" w:sz="4" w:space="0"/>
              <w:right w:val="single" w:color="auto" w:sz="4" w:space="0"/>
            </w:tcBorders>
            <w:shd w:val="clear" w:color="auto" w:fill="auto"/>
            <w:vAlign w:val="center"/>
          </w:tcPr>
          <w:p w14:paraId="1614629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进行动态研判和智能评估，最终生成等级评价报告，供监管部门持续深入掌握交通能耗及碳排放水平</w:t>
            </w:r>
          </w:p>
        </w:tc>
      </w:tr>
      <w:tr w14:paraId="0E9A75FE">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F1CC83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116</w:t>
            </w:r>
          </w:p>
        </w:tc>
        <w:tc>
          <w:tcPr>
            <w:tcW w:w="836" w:type="pct"/>
            <w:vMerge w:val="continue"/>
            <w:tcBorders>
              <w:top w:val="nil"/>
              <w:left w:val="single" w:color="auto" w:sz="4" w:space="0"/>
              <w:bottom w:val="single" w:color="000000" w:sz="4" w:space="0"/>
              <w:right w:val="single" w:color="auto" w:sz="4" w:space="0"/>
            </w:tcBorders>
            <w:vAlign w:val="center"/>
          </w:tcPr>
          <w:p w14:paraId="6E3AD9EC">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2C7260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交通能耗碳排放统计分析-交通碳排放统计分析-其他维度</w:t>
            </w:r>
          </w:p>
        </w:tc>
        <w:tc>
          <w:tcPr>
            <w:tcW w:w="1951" w:type="pct"/>
            <w:tcBorders>
              <w:top w:val="nil"/>
              <w:left w:val="nil"/>
              <w:bottom w:val="single" w:color="auto" w:sz="4" w:space="0"/>
              <w:right w:val="single" w:color="auto" w:sz="4" w:space="0"/>
            </w:tcBorders>
            <w:shd w:val="clear" w:color="auto" w:fill="auto"/>
            <w:vAlign w:val="center"/>
          </w:tcPr>
          <w:p w14:paraId="0D0B892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对除不同子行业、不同重点用能单位、不同行政区域和不同交通工具类型等维度外的其他方面，围绕交通能耗及碳排放水平进行补充研究和统计分析</w:t>
            </w:r>
          </w:p>
        </w:tc>
      </w:tr>
      <w:tr w14:paraId="618BFC79">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6AD414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117</w:t>
            </w:r>
          </w:p>
        </w:tc>
        <w:tc>
          <w:tcPr>
            <w:tcW w:w="836" w:type="pct"/>
            <w:vMerge w:val="continue"/>
            <w:tcBorders>
              <w:top w:val="nil"/>
              <w:left w:val="single" w:color="auto" w:sz="4" w:space="0"/>
              <w:bottom w:val="single" w:color="000000" w:sz="4" w:space="0"/>
              <w:right w:val="single" w:color="auto" w:sz="4" w:space="0"/>
            </w:tcBorders>
            <w:vAlign w:val="center"/>
          </w:tcPr>
          <w:p w14:paraId="4FAF115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A3A40A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交通能耗碳排放预警-碳排放量超标预警</w:t>
            </w:r>
          </w:p>
        </w:tc>
        <w:tc>
          <w:tcPr>
            <w:tcW w:w="1951" w:type="pct"/>
            <w:tcBorders>
              <w:top w:val="nil"/>
              <w:left w:val="nil"/>
              <w:bottom w:val="single" w:color="auto" w:sz="4" w:space="0"/>
              <w:right w:val="single" w:color="auto" w:sz="4" w:space="0"/>
            </w:tcBorders>
            <w:shd w:val="clear" w:color="auto" w:fill="auto"/>
            <w:vAlign w:val="center"/>
          </w:tcPr>
          <w:p w14:paraId="77CF2A0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对交通碳排放中的碳排放量进行监测和预警，当碳排放量超过预设阈值时，系统自动发出预警通知</w:t>
            </w:r>
          </w:p>
        </w:tc>
      </w:tr>
      <w:tr w14:paraId="3AED0014">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261952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118</w:t>
            </w:r>
          </w:p>
        </w:tc>
        <w:tc>
          <w:tcPr>
            <w:tcW w:w="836" w:type="pct"/>
            <w:vMerge w:val="continue"/>
            <w:tcBorders>
              <w:top w:val="nil"/>
              <w:left w:val="single" w:color="auto" w:sz="4" w:space="0"/>
              <w:bottom w:val="single" w:color="000000" w:sz="4" w:space="0"/>
              <w:right w:val="single" w:color="auto" w:sz="4" w:space="0"/>
            </w:tcBorders>
            <w:vAlign w:val="center"/>
          </w:tcPr>
          <w:p w14:paraId="04A317C4">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FD3689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交通能耗碳排放预警-能源消耗预警</w:t>
            </w:r>
          </w:p>
        </w:tc>
        <w:tc>
          <w:tcPr>
            <w:tcW w:w="1951" w:type="pct"/>
            <w:tcBorders>
              <w:top w:val="nil"/>
              <w:left w:val="nil"/>
              <w:bottom w:val="single" w:color="auto" w:sz="4" w:space="0"/>
              <w:right w:val="single" w:color="auto" w:sz="4" w:space="0"/>
            </w:tcBorders>
            <w:shd w:val="clear" w:color="auto" w:fill="auto"/>
            <w:vAlign w:val="center"/>
          </w:tcPr>
          <w:p w14:paraId="6C6006A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通过实时监测交通碳排放中的能源消耗情况，并设定能源消耗的预设阈值</w:t>
            </w:r>
          </w:p>
        </w:tc>
      </w:tr>
      <w:tr w14:paraId="71644D16">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128C20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119</w:t>
            </w:r>
          </w:p>
        </w:tc>
        <w:tc>
          <w:tcPr>
            <w:tcW w:w="836" w:type="pct"/>
            <w:vMerge w:val="continue"/>
            <w:tcBorders>
              <w:top w:val="nil"/>
              <w:left w:val="single" w:color="auto" w:sz="4" w:space="0"/>
              <w:bottom w:val="single" w:color="000000" w:sz="4" w:space="0"/>
              <w:right w:val="single" w:color="auto" w:sz="4" w:space="0"/>
            </w:tcBorders>
            <w:vAlign w:val="center"/>
          </w:tcPr>
          <w:p w14:paraId="03A85A51">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C9D8BB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交通能耗碳排放预警-交通拥堵预警</w:t>
            </w:r>
          </w:p>
        </w:tc>
        <w:tc>
          <w:tcPr>
            <w:tcW w:w="1951" w:type="pct"/>
            <w:tcBorders>
              <w:top w:val="nil"/>
              <w:left w:val="nil"/>
              <w:bottom w:val="single" w:color="auto" w:sz="4" w:space="0"/>
              <w:right w:val="single" w:color="auto" w:sz="4" w:space="0"/>
            </w:tcBorders>
            <w:shd w:val="clear" w:color="auto" w:fill="auto"/>
            <w:vAlign w:val="center"/>
          </w:tcPr>
          <w:p w14:paraId="730712A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实时监测交通碳排放的碳排放量，并结合交通流量、速度等数据，系统可以分析出交通拥堵的情况</w:t>
            </w:r>
          </w:p>
        </w:tc>
      </w:tr>
      <w:tr w14:paraId="00DC8415">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FEE47E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120</w:t>
            </w:r>
          </w:p>
        </w:tc>
        <w:tc>
          <w:tcPr>
            <w:tcW w:w="836" w:type="pct"/>
            <w:vMerge w:val="continue"/>
            <w:tcBorders>
              <w:top w:val="nil"/>
              <w:left w:val="single" w:color="auto" w:sz="4" w:space="0"/>
              <w:bottom w:val="single" w:color="000000" w:sz="4" w:space="0"/>
              <w:right w:val="single" w:color="auto" w:sz="4" w:space="0"/>
            </w:tcBorders>
            <w:vAlign w:val="center"/>
          </w:tcPr>
          <w:p w14:paraId="6348DC41">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D368F1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交通能耗碳排放预警-公共交通利用率预警</w:t>
            </w:r>
          </w:p>
        </w:tc>
        <w:tc>
          <w:tcPr>
            <w:tcW w:w="1951" w:type="pct"/>
            <w:tcBorders>
              <w:top w:val="nil"/>
              <w:left w:val="nil"/>
              <w:bottom w:val="single" w:color="auto" w:sz="4" w:space="0"/>
              <w:right w:val="single" w:color="auto" w:sz="4" w:space="0"/>
            </w:tcBorders>
            <w:shd w:val="clear" w:color="auto" w:fill="auto"/>
            <w:vAlign w:val="center"/>
          </w:tcPr>
          <w:p w14:paraId="311B56C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实时监测公共交通系统中车辆的碳排放量，并结合乘客数量、车辆容量等数据，分析出公共交通的利用率情况</w:t>
            </w:r>
          </w:p>
        </w:tc>
      </w:tr>
      <w:tr w14:paraId="1A14C631">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6C3DC2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121</w:t>
            </w:r>
          </w:p>
        </w:tc>
        <w:tc>
          <w:tcPr>
            <w:tcW w:w="836" w:type="pct"/>
            <w:vMerge w:val="continue"/>
            <w:tcBorders>
              <w:top w:val="nil"/>
              <w:left w:val="single" w:color="auto" w:sz="4" w:space="0"/>
              <w:bottom w:val="single" w:color="000000" w:sz="4" w:space="0"/>
              <w:right w:val="single" w:color="auto" w:sz="4" w:space="0"/>
            </w:tcBorders>
            <w:vAlign w:val="center"/>
          </w:tcPr>
          <w:p w14:paraId="42E21C7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76BB59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交通能耗碳排放预警-跨模式运输预警</w:t>
            </w:r>
          </w:p>
        </w:tc>
        <w:tc>
          <w:tcPr>
            <w:tcW w:w="1951" w:type="pct"/>
            <w:tcBorders>
              <w:top w:val="nil"/>
              <w:left w:val="nil"/>
              <w:bottom w:val="single" w:color="auto" w:sz="4" w:space="0"/>
              <w:right w:val="single" w:color="auto" w:sz="4" w:space="0"/>
            </w:tcBorders>
            <w:shd w:val="clear" w:color="auto" w:fill="auto"/>
            <w:vAlign w:val="center"/>
          </w:tcPr>
          <w:p w14:paraId="7A2289F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检测到跨模式运输中某一交通工具的碳排放量较高或超过预设阈值，系统将自动发出预警通知</w:t>
            </w:r>
          </w:p>
        </w:tc>
      </w:tr>
      <w:tr w14:paraId="377D9547">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A04157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122</w:t>
            </w:r>
          </w:p>
        </w:tc>
        <w:tc>
          <w:tcPr>
            <w:tcW w:w="836" w:type="pct"/>
            <w:vMerge w:val="continue"/>
            <w:tcBorders>
              <w:top w:val="nil"/>
              <w:left w:val="single" w:color="auto" w:sz="4" w:space="0"/>
              <w:bottom w:val="single" w:color="000000" w:sz="4" w:space="0"/>
              <w:right w:val="single" w:color="auto" w:sz="4" w:space="0"/>
            </w:tcBorders>
            <w:vAlign w:val="center"/>
          </w:tcPr>
          <w:p w14:paraId="79B7B9D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861378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交通能耗碳排放数据报告-行业综合数据报告-日数据报告</w:t>
            </w:r>
          </w:p>
        </w:tc>
        <w:tc>
          <w:tcPr>
            <w:tcW w:w="1951" w:type="pct"/>
            <w:tcBorders>
              <w:top w:val="nil"/>
              <w:left w:val="nil"/>
              <w:bottom w:val="single" w:color="auto" w:sz="4" w:space="0"/>
              <w:right w:val="single" w:color="auto" w:sz="4" w:space="0"/>
            </w:tcBorders>
            <w:shd w:val="clear" w:color="auto" w:fill="auto"/>
            <w:vAlign w:val="center"/>
          </w:tcPr>
          <w:p w14:paraId="649B5E4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整合、汇总各子行业交通能耗及碳排放的各项数据，形成行业综合数据日报</w:t>
            </w:r>
          </w:p>
        </w:tc>
      </w:tr>
      <w:tr w14:paraId="2E474741">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7D48E7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123</w:t>
            </w:r>
          </w:p>
        </w:tc>
        <w:tc>
          <w:tcPr>
            <w:tcW w:w="836" w:type="pct"/>
            <w:vMerge w:val="continue"/>
            <w:tcBorders>
              <w:top w:val="nil"/>
              <w:left w:val="single" w:color="auto" w:sz="4" w:space="0"/>
              <w:bottom w:val="single" w:color="000000" w:sz="4" w:space="0"/>
              <w:right w:val="single" w:color="auto" w:sz="4" w:space="0"/>
            </w:tcBorders>
            <w:vAlign w:val="center"/>
          </w:tcPr>
          <w:p w14:paraId="60699A75">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E575BA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交通能耗碳排放数据报告-行业综合数据报告-月数据报告</w:t>
            </w:r>
          </w:p>
        </w:tc>
        <w:tc>
          <w:tcPr>
            <w:tcW w:w="1951" w:type="pct"/>
            <w:tcBorders>
              <w:top w:val="nil"/>
              <w:left w:val="nil"/>
              <w:bottom w:val="single" w:color="auto" w:sz="4" w:space="0"/>
              <w:right w:val="single" w:color="auto" w:sz="4" w:space="0"/>
            </w:tcBorders>
            <w:shd w:val="clear" w:color="auto" w:fill="auto"/>
            <w:vAlign w:val="center"/>
          </w:tcPr>
          <w:p w14:paraId="086538F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整合、汇总各子行业交通能耗及碳排放的各项数据，形成行业综合数据月报</w:t>
            </w:r>
          </w:p>
        </w:tc>
      </w:tr>
      <w:tr w14:paraId="2867DCFB">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F85553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124</w:t>
            </w:r>
          </w:p>
        </w:tc>
        <w:tc>
          <w:tcPr>
            <w:tcW w:w="836" w:type="pct"/>
            <w:vMerge w:val="continue"/>
            <w:tcBorders>
              <w:top w:val="nil"/>
              <w:left w:val="single" w:color="auto" w:sz="4" w:space="0"/>
              <w:bottom w:val="single" w:color="000000" w:sz="4" w:space="0"/>
              <w:right w:val="single" w:color="auto" w:sz="4" w:space="0"/>
            </w:tcBorders>
            <w:vAlign w:val="center"/>
          </w:tcPr>
          <w:p w14:paraId="392204B4">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91B476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交通能耗碳排放数据报告-行业综合数据报告-季度数据报告</w:t>
            </w:r>
          </w:p>
        </w:tc>
        <w:tc>
          <w:tcPr>
            <w:tcW w:w="1951" w:type="pct"/>
            <w:tcBorders>
              <w:top w:val="nil"/>
              <w:left w:val="nil"/>
              <w:bottom w:val="single" w:color="auto" w:sz="4" w:space="0"/>
              <w:right w:val="single" w:color="auto" w:sz="4" w:space="0"/>
            </w:tcBorders>
            <w:shd w:val="clear" w:color="auto" w:fill="auto"/>
            <w:vAlign w:val="center"/>
          </w:tcPr>
          <w:p w14:paraId="568E33D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整合、汇总各子行业交通能耗及碳排放的各项数据，形成行业综合数据季报</w:t>
            </w:r>
          </w:p>
        </w:tc>
      </w:tr>
      <w:tr w14:paraId="0AC79418">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395582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125</w:t>
            </w:r>
          </w:p>
        </w:tc>
        <w:tc>
          <w:tcPr>
            <w:tcW w:w="836" w:type="pct"/>
            <w:vMerge w:val="continue"/>
            <w:tcBorders>
              <w:top w:val="nil"/>
              <w:left w:val="single" w:color="auto" w:sz="4" w:space="0"/>
              <w:bottom w:val="single" w:color="000000" w:sz="4" w:space="0"/>
              <w:right w:val="single" w:color="auto" w:sz="4" w:space="0"/>
            </w:tcBorders>
            <w:vAlign w:val="center"/>
          </w:tcPr>
          <w:p w14:paraId="0363E19C">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9D2C07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交通能耗碳排放数据报告-行业综合数据报告-年数据报告</w:t>
            </w:r>
          </w:p>
        </w:tc>
        <w:tc>
          <w:tcPr>
            <w:tcW w:w="1951" w:type="pct"/>
            <w:tcBorders>
              <w:top w:val="nil"/>
              <w:left w:val="nil"/>
              <w:bottom w:val="single" w:color="auto" w:sz="4" w:space="0"/>
              <w:right w:val="single" w:color="auto" w:sz="4" w:space="0"/>
            </w:tcBorders>
            <w:shd w:val="clear" w:color="auto" w:fill="auto"/>
            <w:vAlign w:val="center"/>
          </w:tcPr>
          <w:p w14:paraId="152D6D5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整合、汇总各子行业交通能耗及碳排放的各项数据，形成行业综合数据年报</w:t>
            </w:r>
          </w:p>
        </w:tc>
      </w:tr>
      <w:tr w14:paraId="1D1E6DAC">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589242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126</w:t>
            </w:r>
          </w:p>
        </w:tc>
        <w:tc>
          <w:tcPr>
            <w:tcW w:w="836" w:type="pct"/>
            <w:vMerge w:val="continue"/>
            <w:tcBorders>
              <w:top w:val="nil"/>
              <w:left w:val="single" w:color="auto" w:sz="4" w:space="0"/>
              <w:bottom w:val="single" w:color="000000" w:sz="4" w:space="0"/>
              <w:right w:val="single" w:color="auto" w:sz="4" w:space="0"/>
            </w:tcBorders>
            <w:vAlign w:val="center"/>
          </w:tcPr>
          <w:p w14:paraId="193BBD70">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23DF350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交通能耗碳排放数据报告-行业综合数据报告-自定义时间数据报告</w:t>
            </w:r>
          </w:p>
        </w:tc>
        <w:tc>
          <w:tcPr>
            <w:tcW w:w="1951" w:type="pct"/>
            <w:tcBorders>
              <w:top w:val="nil"/>
              <w:left w:val="nil"/>
              <w:bottom w:val="single" w:color="auto" w:sz="4" w:space="0"/>
              <w:right w:val="single" w:color="auto" w:sz="4" w:space="0"/>
            </w:tcBorders>
            <w:shd w:val="clear" w:color="auto" w:fill="auto"/>
            <w:vAlign w:val="center"/>
          </w:tcPr>
          <w:p w14:paraId="4502F28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根据实际业务需要，规定报告时间跨度，整合、汇总各子行业交通能耗及碳排放的各项数据，形成行业综合数据报告</w:t>
            </w:r>
          </w:p>
        </w:tc>
      </w:tr>
      <w:tr w14:paraId="1FB1638D">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362306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127</w:t>
            </w:r>
          </w:p>
        </w:tc>
        <w:tc>
          <w:tcPr>
            <w:tcW w:w="836" w:type="pct"/>
            <w:vMerge w:val="continue"/>
            <w:tcBorders>
              <w:top w:val="nil"/>
              <w:left w:val="single" w:color="auto" w:sz="4" w:space="0"/>
              <w:bottom w:val="single" w:color="000000" w:sz="4" w:space="0"/>
              <w:right w:val="single" w:color="auto" w:sz="4" w:space="0"/>
            </w:tcBorders>
            <w:vAlign w:val="center"/>
          </w:tcPr>
          <w:p w14:paraId="58E7E63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3779D0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交通能耗碳排放数据报告-碳排放数据报告</w:t>
            </w:r>
          </w:p>
        </w:tc>
        <w:tc>
          <w:tcPr>
            <w:tcW w:w="1951" w:type="pct"/>
            <w:tcBorders>
              <w:top w:val="nil"/>
              <w:left w:val="nil"/>
              <w:bottom w:val="single" w:color="auto" w:sz="4" w:space="0"/>
              <w:right w:val="single" w:color="auto" w:sz="4" w:space="0"/>
            </w:tcBorders>
            <w:shd w:val="clear" w:color="auto" w:fill="auto"/>
            <w:vAlign w:val="center"/>
          </w:tcPr>
          <w:p w14:paraId="2ED0EA1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围绕交通全业态的碳排放水平进行综合统计分析、趋势分析、规律识别</w:t>
            </w:r>
          </w:p>
        </w:tc>
      </w:tr>
      <w:tr w14:paraId="384F6190">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344E0F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128</w:t>
            </w:r>
          </w:p>
        </w:tc>
        <w:tc>
          <w:tcPr>
            <w:tcW w:w="836" w:type="pct"/>
            <w:vMerge w:val="continue"/>
            <w:tcBorders>
              <w:top w:val="nil"/>
              <w:left w:val="single" w:color="auto" w:sz="4" w:space="0"/>
              <w:bottom w:val="single" w:color="000000" w:sz="4" w:space="0"/>
              <w:right w:val="single" w:color="auto" w:sz="4" w:space="0"/>
            </w:tcBorders>
            <w:vAlign w:val="center"/>
          </w:tcPr>
          <w:p w14:paraId="3477BEF9">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0E61C8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交通能耗碳排放数据报告-能耗数据报告</w:t>
            </w:r>
          </w:p>
        </w:tc>
        <w:tc>
          <w:tcPr>
            <w:tcW w:w="1951" w:type="pct"/>
            <w:tcBorders>
              <w:top w:val="nil"/>
              <w:left w:val="nil"/>
              <w:bottom w:val="single" w:color="auto" w:sz="4" w:space="0"/>
              <w:right w:val="single" w:color="auto" w:sz="4" w:space="0"/>
            </w:tcBorders>
            <w:shd w:val="clear" w:color="auto" w:fill="auto"/>
            <w:vAlign w:val="center"/>
          </w:tcPr>
          <w:p w14:paraId="46E0C76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绕交通全业态的能耗水平进行综合统计分析、趋势分析、规律识别</w:t>
            </w:r>
          </w:p>
        </w:tc>
      </w:tr>
      <w:tr w14:paraId="205BC9C2">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85E974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129</w:t>
            </w:r>
          </w:p>
        </w:tc>
        <w:tc>
          <w:tcPr>
            <w:tcW w:w="836" w:type="pct"/>
            <w:vMerge w:val="continue"/>
            <w:tcBorders>
              <w:top w:val="nil"/>
              <w:left w:val="single" w:color="auto" w:sz="4" w:space="0"/>
              <w:bottom w:val="single" w:color="000000" w:sz="4" w:space="0"/>
              <w:right w:val="single" w:color="auto" w:sz="4" w:space="0"/>
            </w:tcBorders>
            <w:vAlign w:val="center"/>
          </w:tcPr>
          <w:p w14:paraId="3FDF0B1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ABA1C7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交通能耗碳排放数据报告-预警数据报告</w:t>
            </w:r>
          </w:p>
        </w:tc>
        <w:tc>
          <w:tcPr>
            <w:tcW w:w="1951" w:type="pct"/>
            <w:tcBorders>
              <w:top w:val="nil"/>
              <w:left w:val="nil"/>
              <w:bottom w:val="single" w:color="auto" w:sz="4" w:space="0"/>
              <w:right w:val="single" w:color="auto" w:sz="4" w:space="0"/>
            </w:tcBorders>
            <w:shd w:val="clear" w:color="auto" w:fill="auto"/>
            <w:vAlign w:val="center"/>
          </w:tcPr>
          <w:p w14:paraId="00E305A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利用实时和历史交通能耗及碳排放数据和排放限值，结合各子行业特征、各行政辖区特征、各设备类型、各能源类型和各重点用能单位特征，最终生成报告形式</w:t>
            </w:r>
          </w:p>
        </w:tc>
      </w:tr>
      <w:tr w14:paraId="43C2B0F4">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C57C9E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130</w:t>
            </w:r>
          </w:p>
        </w:tc>
        <w:tc>
          <w:tcPr>
            <w:tcW w:w="836" w:type="pct"/>
            <w:vMerge w:val="continue"/>
            <w:tcBorders>
              <w:top w:val="nil"/>
              <w:left w:val="single" w:color="auto" w:sz="4" w:space="0"/>
              <w:bottom w:val="single" w:color="000000" w:sz="4" w:space="0"/>
              <w:right w:val="single" w:color="auto" w:sz="4" w:space="0"/>
            </w:tcBorders>
            <w:vAlign w:val="center"/>
          </w:tcPr>
          <w:p w14:paraId="4EE991A0">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71847C2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交通能耗碳排放数据报告-统计数据报告</w:t>
            </w:r>
          </w:p>
        </w:tc>
        <w:tc>
          <w:tcPr>
            <w:tcW w:w="1951" w:type="pct"/>
            <w:tcBorders>
              <w:top w:val="nil"/>
              <w:left w:val="nil"/>
              <w:bottom w:val="single" w:color="auto" w:sz="4" w:space="0"/>
              <w:right w:val="single" w:color="auto" w:sz="4" w:space="0"/>
            </w:tcBorders>
            <w:shd w:val="clear" w:color="auto" w:fill="auto"/>
            <w:vAlign w:val="center"/>
          </w:tcPr>
          <w:p w14:paraId="029C5DA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汇总、整合交通全业态中航空、机场、轨道（磁浮）、铁路、港口和航运等子行业的交通能耗及碳排放历史监测结果和所有关联数据</w:t>
            </w:r>
          </w:p>
        </w:tc>
      </w:tr>
      <w:tr w14:paraId="598073A6">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1F0B6B3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131</w:t>
            </w:r>
          </w:p>
        </w:tc>
        <w:tc>
          <w:tcPr>
            <w:tcW w:w="836" w:type="pct"/>
            <w:vMerge w:val="continue"/>
            <w:tcBorders>
              <w:top w:val="nil"/>
              <w:left w:val="single" w:color="auto" w:sz="4" w:space="0"/>
              <w:bottom w:val="single" w:color="000000" w:sz="4" w:space="0"/>
              <w:right w:val="single" w:color="auto" w:sz="4" w:space="0"/>
            </w:tcBorders>
            <w:vAlign w:val="center"/>
          </w:tcPr>
          <w:p w14:paraId="141C0C8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3191C5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交通能耗碳排放数据报告-预测数据报告</w:t>
            </w:r>
          </w:p>
        </w:tc>
        <w:tc>
          <w:tcPr>
            <w:tcW w:w="1951" w:type="pct"/>
            <w:tcBorders>
              <w:top w:val="nil"/>
              <w:left w:val="nil"/>
              <w:bottom w:val="single" w:color="auto" w:sz="4" w:space="0"/>
              <w:right w:val="single" w:color="auto" w:sz="4" w:space="0"/>
            </w:tcBorders>
            <w:shd w:val="clear" w:color="auto" w:fill="auto"/>
            <w:vAlign w:val="center"/>
          </w:tcPr>
          <w:p w14:paraId="4561F1A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测交通能耗及碳排放水平的未来发展趋势，提供针对性管控措施及应对措施建议，生成各类数据分析图表，最终形成预警数据报告</w:t>
            </w:r>
          </w:p>
        </w:tc>
      </w:tr>
      <w:tr w14:paraId="2ACFFC6D">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FE19B4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132</w:t>
            </w:r>
          </w:p>
        </w:tc>
        <w:tc>
          <w:tcPr>
            <w:tcW w:w="836" w:type="pct"/>
            <w:vMerge w:val="continue"/>
            <w:tcBorders>
              <w:top w:val="nil"/>
              <w:left w:val="single" w:color="auto" w:sz="4" w:space="0"/>
              <w:bottom w:val="single" w:color="000000" w:sz="4" w:space="0"/>
              <w:right w:val="single" w:color="auto" w:sz="4" w:space="0"/>
            </w:tcBorders>
            <w:vAlign w:val="center"/>
          </w:tcPr>
          <w:p w14:paraId="7D0F6CF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3D49FC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交通能耗碳排放数据报告-自定义数据报告</w:t>
            </w:r>
          </w:p>
        </w:tc>
        <w:tc>
          <w:tcPr>
            <w:tcW w:w="1951" w:type="pct"/>
            <w:tcBorders>
              <w:top w:val="nil"/>
              <w:left w:val="nil"/>
              <w:bottom w:val="single" w:color="auto" w:sz="4" w:space="0"/>
              <w:right w:val="single" w:color="auto" w:sz="4" w:space="0"/>
            </w:tcBorders>
            <w:shd w:val="clear" w:color="auto" w:fill="auto"/>
            <w:vAlign w:val="center"/>
          </w:tcPr>
          <w:p w14:paraId="1F02003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可从不同交通业态子行业、不同能源类型、不同设备类型、不同重点用能单位和不同行政辖区等维度进行组合选择，支持同类型间的综合统计分析及对照统计分析</w:t>
            </w:r>
          </w:p>
        </w:tc>
      </w:tr>
      <w:tr w14:paraId="72117DD6">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813BA6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133</w:t>
            </w:r>
          </w:p>
        </w:tc>
        <w:tc>
          <w:tcPr>
            <w:tcW w:w="836" w:type="pct"/>
            <w:vMerge w:val="continue"/>
            <w:tcBorders>
              <w:top w:val="nil"/>
              <w:left w:val="single" w:color="auto" w:sz="4" w:space="0"/>
              <w:bottom w:val="single" w:color="000000" w:sz="4" w:space="0"/>
              <w:right w:val="single" w:color="auto" w:sz="4" w:space="0"/>
            </w:tcBorders>
            <w:vAlign w:val="center"/>
          </w:tcPr>
          <w:p w14:paraId="77E24B2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F6A9D5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交通能耗碳排放数据报告-行业减排潜力评估报告</w:t>
            </w:r>
          </w:p>
        </w:tc>
        <w:tc>
          <w:tcPr>
            <w:tcW w:w="1951" w:type="pct"/>
            <w:tcBorders>
              <w:top w:val="nil"/>
              <w:left w:val="nil"/>
              <w:bottom w:val="single" w:color="auto" w:sz="4" w:space="0"/>
              <w:right w:val="single" w:color="auto" w:sz="4" w:space="0"/>
            </w:tcBorders>
            <w:shd w:val="clear" w:color="auto" w:fill="auto"/>
            <w:vAlign w:val="center"/>
          </w:tcPr>
          <w:p w14:paraId="7823020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建设交通能耗及碳排放水平减排算法，结合模拟仿真技术，根据监管部门选定的减排因素和时间范围，展开精准的行业减排潜力评估，并最终形成报告</w:t>
            </w:r>
          </w:p>
        </w:tc>
      </w:tr>
      <w:tr w14:paraId="7E78EACD">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4157D0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134</w:t>
            </w:r>
          </w:p>
        </w:tc>
        <w:tc>
          <w:tcPr>
            <w:tcW w:w="836" w:type="pct"/>
            <w:vMerge w:val="restart"/>
            <w:tcBorders>
              <w:top w:val="nil"/>
              <w:left w:val="single" w:color="auto" w:sz="4" w:space="0"/>
              <w:bottom w:val="single" w:color="000000" w:sz="4" w:space="0"/>
              <w:right w:val="single" w:color="auto" w:sz="4" w:space="0"/>
            </w:tcBorders>
            <w:shd w:val="clear" w:color="auto" w:fill="auto"/>
            <w:vAlign w:val="center"/>
          </w:tcPr>
          <w:p w14:paraId="676AE40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低碳交通运行分析与决策支持</w:t>
            </w:r>
          </w:p>
        </w:tc>
        <w:tc>
          <w:tcPr>
            <w:tcW w:w="1760" w:type="pct"/>
            <w:tcBorders>
              <w:top w:val="nil"/>
              <w:left w:val="nil"/>
              <w:bottom w:val="single" w:color="auto" w:sz="4" w:space="0"/>
              <w:right w:val="single" w:color="auto" w:sz="4" w:space="0"/>
            </w:tcBorders>
            <w:shd w:val="clear" w:color="auto" w:fill="auto"/>
            <w:vAlign w:val="center"/>
          </w:tcPr>
          <w:p w14:paraId="0ABB33B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碳排放算法模型-行业基础模型-航空行业</w:t>
            </w:r>
          </w:p>
        </w:tc>
        <w:tc>
          <w:tcPr>
            <w:tcW w:w="1951" w:type="pct"/>
            <w:tcBorders>
              <w:top w:val="nil"/>
              <w:left w:val="nil"/>
              <w:bottom w:val="single" w:color="auto" w:sz="4" w:space="0"/>
              <w:right w:val="single" w:color="auto" w:sz="4" w:space="0"/>
            </w:tcBorders>
            <w:shd w:val="clear" w:color="auto" w:fill="auto"/>
            <w:vAlign w:val="center"/>
          </w:tcPr>
          <w:p w14:paraId="4ABAE1E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通过航空行业碳排放监测模型，可以计算出不同场景下不同机型的小时油耗、小时碳排放等</w:t>
            </w:r>
          </w:p>
        </w:tc>
      </w:tr>
      <w:tr w14:paraId="637B0A0A">
        <w:tblPrEx>
          <w:tblCellMar>
            <w:top w:w="0" w:type="dxa"/>
            <w:left w:w="108" w:type="dxa"/>
            <w:bottom w:w="0" w:type="dxa"/>
            <w:right w:w="108" w:type="dxa"/>
          </w:tblCellMar>
        </w:tblPrEx>
        <w:trPr>
          <w:trHeight w:val="28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FD4A7C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135</w:t>
            </w:r>
          </w:p>
        </w:tc>
        <w:tc>
          <w:tcPr>
            <w:tcW w:w="836" w:type="pct"/>
            <w:vMerge w:val="continue"/>
            <w:tcBorders>
              <w:top w:val="nil"/>
              <w:left w:val="single" w:color="auto" w:sz="4" w:space="0"/>
              <w:bottom w:val="single" w:color="000000" w:sz="4" w:space="0"/>
              <w:right w:val="single" w:color="auto" w:sz="4" w:space="0"/>
            </w:tcBorders>
            <w:vAlign w:val="center"/>
          </w:tcPr>
          <w:p w14:paraId="1C35F130">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C727B3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碳排放算法模型-行业基础模型-航运场景</w:t>
            </w:r>
          </w:p>
        </w:tc>
        <w:tc>
          <w:tcPr>
            <w:tcW w:w="1951" w:type="pct"/>
            <w:tcBorders>
              <w:top w:val="nil"/>
              <w:left w:val="nil"/>
              <w:bottom w:val="single" w:color="auto" w:sz="4" w:space="0"/>
              <w:right w:val="single" w:color="auto" w:sz="4" w:space="0"/>
            </w:tcBorders>
            <w:shd w:val="clear" w:color="auto" w:fill="auto"/>
            <w:vAlign w:val="center"/>
          </w:tcPr>
          <w:p w14:paraId="2EED5FA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基于数据资料，通过模型计算各类碳排放强度</w:t>
            </w:r>
          </w:p>
        </w:tc>
      </w:tr>
      <w:tr w14:paraId="0E87D63D">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23D1E5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136</w:t>
            </w:r>
          </w:p>
        </w:tc>
        <w:tc>
          <w:tcPr>
            <w:tcW w:w="836" w:type="pct"/>
            <w:vMerge w:val="continue"/>
            <w:tcBorders>
              <w:top w:val="nil"/>
              <w:left w:val="single" w:color="auto" w:sz="4" w:space="0"/>
              <w:bottom w:val="single" w:color="000000" w:sz="4" w:space="0"/>
              <w:right w:val="single" w:color="auto" w:sz="4" w:space="0"/>
            </w:tcBorders>
            <w:vAlign w:val="center"/>
          </w:tcPr>
          <w:p w14:paraId="7DC0C67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78BAB0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碳排放算法模型-行业基础模型-公路客运场景</w:t>
            </w:r>
          </w:p>
        </w:tc>
        <w:tc>
          <w:tcPr>
            <w:tcW w:w="1951" w:type="pct"/>
            <w:tcBorders>
              <w:top w:val="nil"/>
              <w:left w:val="nil"/>
              <w:bottom w:val="single" w:color="auto" w:sz="4" w:space="0"/>
              <w:right w:val="single" w:color="auto" w:sz="4" w:space="0"/>
            </w:tcBorders>
            <w:shd w:val="clear" w:color="auto" w:fill="auto"/>
            <w:vAlign w:val="center"/>
          </w:tcPr>
          <w:p w14:paraId="742D725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建立模型推算能耗，并与排放因子结合得出碳排放水平</w:t>
            </w:r>
          </w:p>
        </w:tc>
      </w:tr>
      <w:tr w14:paraId="0C5D8F66">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0C328DD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137</w:t>
            </w:r>
          </w:p>
        </w:tc>
        <w:tc>
          <w:tcPr>
            <w:tcW w:w="836" w:type="pct"/>
            <w:vMerge w:val="continue"/>
            <w:tcBorders>
              <w:top w:val="nil"/>
              <w:left w:val="single" w:color="auto" w:sz="4" w:space="0"/>
              <w:bottom w:val="single" w:color="000000" w:sz="4" w:space="0"/>
              <w:right w:val="single" w:color="auto" w:sz="4" w:space="0"/>
            </w:tcBorders>
            <w:vAlign w:val="center"/>
          </w:tcPr>
          <w:p w14:paraId="0A786D57">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9075C3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碳排放算法模型-行业基础模型-城市客运场景</w:t>
            </w:r>
          </w:p>
        </w:tc>
        <w:tc>
          <w:tcPr>
            <w:tcW w:w="1951" w:type="pct"/>
            <w:tcBorders>
              <w:top w:val="nil"/>
              <w:left w:val="nil"/>
              <w:bottom w:val="single" w:color="auto" w:sz="4" w:space="0"/>
              <w:right w:val="single" w:color="auto" w:sz="4" w:space="0"/>
            </w:tcBorders>
            <w:shd w:val="clear" w:color="auto" w:fill="auto"/>
            <w:vAlign w:val="center"/>
          </w:tcPr>
          <w:p w14:paraId="3A69EAB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根据车辆燃料型类分为新能源车和传统燃油车两个部分进行分类监测</w:t>
            </w:r>
          </w:p>
        </w:tc>
      </w:tr>
      <w:tr w14:paraId="7BE685B6">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C5302A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138</w:t>
            </w:r>
          </w:p>
        </w:tc>
        <w:tc>
          <w:tcPr>
            <w:tcW w:w="836" w:type="pct"/>
            <w:vMerge w:val="continue"/>
            <w:tcBorders>
              <w:top w:val="nil"/>
              <w:left w:val="single" w:color="auto" w:sz="4" w:space="0"/>
              <w:bottom w:val="single" w:color="000000" w:sz="4" w:space="0"/>
              <w:right w:val="single" w:color="auto" w:sz="4" w:space="0"/>
            </w:tcBorders>
            <w:vAlign w:val="center"/>
          </w:tcPr>
          <w:p w14:paraId="1799051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646580D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碳排放算法模型-行业基础模型-道路货运行场景</w:t>
            </w:r>
          </w:p>
        </w:tc>
        <w:tc>
          <w:tcPr>
            <w:tcW w:w="1951" w:type="pct"/>
            <w:tcBorders>
              <w:top w:val="nil"/>
              <w:left w:val="nil"/>
              <w:bottom w:val="single" w:color="auto" w:sz="4" w:space="0"/>
              <w:right w:val="single" w:color="auto" w:sz="4" w:space="0"/>
            </w:tcBorders>
            <w:shd w:val="clear" w:color="auto" w:fill="auto"/>
            <w:vAlign w:val="center"/>
          </w:tcPr>
          <w:p w14:paraId="250CECD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道路货运领域根据不用车型的数据可获得情况进行分类监测，分为4.5t以下、4.5t-12t、12t以上三类</w:t>
            </w:r>
          </w:p>
        </w:tc>
      </w:tr>
      <w:tr w14:paraId="634704A3">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55A48B4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139</w:t>
            </w:r>
          </w:p>
        </w:tc>
        <w:tc>
          <w:tcPr>
            <w:tcW w:w="836" w:type="pct"/>
            <w:vMerge w:val="continue"/>
            <w:tcBorders>
              <w:top w:val="nil"/>
              <w:left w:val="single" w:color="auto" w:sz="4" w:space="0"/>
              <w:bottom w:val="single" w:color="000000" w:sz="4" w:space="0"/>
              <w:right w:val="single" w:color="auto" w:sz="4" w:space="0"/>
            </w:tcBorders>
            <w:vAlign w:val="center"/>
          </w:tcPr>
          <w:p w14:paraId="247F2B6F">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DB20D9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碳排放算法模型-场景应用模型-周转量碳排放强度抽样调查模型</w:t>
            </w:r>
          </w:p>
        </w:tc>
        <w:tc>
          <w:tcPr>
            <w:tcW w:w="1951" w:type="pct"/>
            <w:tcBorders>
              <w:top w:val="nil"/>
              <w:left w:val="nil"/>
              <w:bottom w:val="single" w:color="auto" w:sz="4" w:space="0"/>
              <w:right w:val="single" w:color="auto" w:sz="4" w:space="0"/>
            </w:tcBorders>
            <w:shd w:val="clear" w:color="auto" w:fill="auto"/>
            <w:vAlign w:val="center"/>
          </w:tcPr>
          <w:p w14:paraId="72C0A35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基于船舶周转量碳排放强度抽样调查模型建设</w:t>
            </w:r>
          </w:p>
        </w:tc>
      </w:tr>
      <w:tr w14:paraId="1CD91AC6">
        <w:tblPrEx>
          <w:tblCellMar>
            <w:top w:w="0" w:type="dxa"/>
            <w:left w:w="108" w:type="dxa"/>
            <w:bottom w:w="0" w:type="dxa"/>
            <w:right w:w="108" w:type="dxa"/>
          </w:tblCellMar>
        </w:tblPrEx>
        <w:trPr>
          <w:trHeight w:val="112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689DEB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140</w:t>
            </w:r>
          </w:p>
        </w:tc>
        <w:tc>
          <w:tcPr>
            <w:tcW w:w="836" w:type="pct"/>
            <w:vMerge w:val="continue"/>
            <w:tcBorders>
              <w:top w:val="nil"/>
              <w:left w:val="single" w:color="auto" w:sz="4" w:space="0"/>
              <w:bottom w:val="single" w:color="000000" w:sz="4" w:space="0"/>
              <w:right w:val="single" w:color="auto" w:sz="4" w:space="0"/>
            </w:tcBorders>
            <w:vAlign w:val="center"/>
          </w:tcPr>
          <w:p w14:paraId="62321C3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3770A4D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碳排放算法模型-场景应用模型-桥式起重机能耗模型</w:t>
            </w:r>
          </w:p>
        </w:tc>
        <w:tc>
          <w:tcPr>
            <w:tcW w:w="1951" w:type="pct"/>
            <w:tcBorders>
              <w:top w:val="nil"/>
              <w:left w:val="nil"/>
              <w:bottom w:val="single" w:color="auto" w:sz="4" w:space="0"/>
              <w:right w:val="single" w:color="auto" w:sz="4" w:space="0"/>
            </w:tcBorders>
            <w:shd w:val="clear" w:color="auto" w:fill="auto"/>
            <w:vAlign w:val="center"/>
          </w:tcPr>
          <w:p w14:paraId="776FF36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对工作机构内部能耗单元的能耗特性和功率传输特性进行建模，给出反映工作机构能耗状态的数学模型，并基于能耗模型核算设备的碳排放</w:t>
            </w:r>
          </w:p>
        </w:tc>
      </w:tr>
      <w:tr w14:paraId="3BDA042D">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4FE4D08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141</w:t>
            </w:r>
          </w:p>
        </w:tc>
        <w:tc>
          <w:tcPr>
            <w:tcW w:w="836" w:type="pct"/>
            <w:vMerge w:val="continue"/>
            <w:tcBorders>
              <w:top w:val="nil"/>
              <w:left w:val="single" w:color="auto" w:sz="4" w:space="0"/>
              <w:bottom w:val="single" w:color="000000" w:sz="4" w:space="0"/>
              <w:right w:val="single" w:color="auto" w:sz="4" w:space="0"/>
            </w:tcBorders>
            <w:vAlign w:val="center"/>
          </w:tcPr>
          <w:p w14:paraId="181FD602">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861C8D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碳排放算法模型-场景应用模型-基于大数据和GIS技术的重货车辆出行特征识别模型</w:t>
            </w:r>
          </w:p>
        </w:tc>
        <w:tc>
          <w:tcPr>
            <w:tcW w:w="1951" w:type="pct"/>
            <w:tcBorders>
              <w:top w:val="nil"/>
              <w:left w:val="nil"/>
              <w:bottom w:val="single" w:color="auto" w:sz="4" w:space="0"/>
              <w:right w:val="single" w:color="auto" w:sz="4" w:space="0"/>
            </w:tcBorders>
            <w:shd w:val="clear" w:color="auto" w:fill="auto"/>
            <w:vAlign w:val="center"/>
          </w:tcPr>
          <w:p w14:paraId="7A62D03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基于大数据和GIS技术的重货车辆出行特征识别模型</w:t>
            </w:r>
          </w:p>
        </w:tc>
      </w:tr>
      <w:tr w14:paraId="1AF99620">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35DF0F7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142</w:t>
            </w:r>
          </w:p>
        </w:tc>
        <w:tc>
          <w:tcPr>
            <w:tcW w:w="836" w:type="pct"/>
            <w:vMerge w:val="continue"/>
            <w:tcBorders>
              <w:top w:val="nil"/>
              <w:left w:val="single" w:color="auto" w:sz="4" w:space="0"/>
              <w:bottom w:val="single" w:color="000000" w:sz="4" w:space="0"/>
              <w:right w:val="single" w:color="auto" w:sz="4" w:space="0"/>
            </w:tcBorders>
            <w:vAlign w:val="center"/>
          </w:tcPr>
          <w:p w14:paraId="4961D96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9DEC1C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碳排放算法模型-场景应用模型-基于大模型技术构建高分辨率民航CO2排放</w:t>
            </w:r>
          </w:p>
        </w:tc>
        <w:tc>
          <w:tcPr>
            <w:tcW w:w="1951" w:type="pct"/>
            <w:tcBorders>
              <w:top w:val="nil"/>
              <w:left w:val="nil"/>
              <w:bottom w:val="single" w:color="auto" w:sz="4" w:space="0"/>
              <w:right w:val="single" w:color="auto" w:sz="4" w:space="0"/>
            </w:tcBorders>
            <w:shd w:val="clear" w:color="auto" w:fill="auto"/>
            <w:vAlign w:val="center"/>
          </w:tcPr>
          <w:p w14:paraId="01BBC17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基于大模型技术构建高分辨率民航CO2排放</w:t>
            </w:r>
          </w:p>
        </w:tc>
      </w:tr>
      <w:tr w14:paraId="639F1B47">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400FD5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143</w:t>
            </w:r>
          </w:p>
        </w:tc>
        <w:tc>
          <w:tcPr>
            <w:tcW w:w="836" w:type="pct"/>
            <w:vMerge w:val="continue"/>
            <w:tcBorders>
              <w:top w:val="nil"/>
              <w:left w:val="single" w:color="auto" w:sz="4" w:space="0"/>
              <w:bottom w:val="single" w:color="000000" w:sz="4" w:space="0"/>
              <w:right w:val="single" w:color="auto" w:sz="4" w:space="0"/>
            </w:tcBorders>
            <w:vAlign w:val="center"/>
          </w:tcPr>
          <w:p w14:paraId="650356BB">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C232E4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碳排放算法模型-场景应用模型-道路及重点点位重型柴油车流量、排放预测模型</w:t>
            </w:r>
          </w:p>
        </w:tc>
        <w:tc>
          <w:tcPr>
            <w:tcW w:w="1951" w:type="pct"/>
            <w:tcBorders>
              <w:top w:val="nil"/>
              <w:left w:val="nil"/>
              <w:bottom w:val="single" w:color="auto" w:sz="4" w:space="0"/>
              <w:right w:val="single" w:color="auto" w:sz="4" w:space="0"/>
            </w:tcBorders>
            <w:shd w:val="clear" w:color="auto" w:fill="auto"/>
            <w:vAlign w:val="center"/>
          </w:tcPr>
          <w:p w14:paraId="7CB26A2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利用道路及重点点位的数据，结合重型柴油车的流量和排放数据，进行搭建预测和评估模型</w:t>
            </w:r>
          </w:p>
        </w:tc>
      </w:tr>
      <w:tr w14:paraId="101B2B1A">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69E66D2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144</w:t>
            </w:r>
          </w:p>
        </w:tc>
        <w:tc>
          <w:tcPr>
            <w:tcW w:w="836" w:type="pct"/>
            <w:vMerge w:val="continue"/>
            <w:tcBorders>
              <w:top w:val="nil"/>
              <w:left w:val="single" w:color="auto" w:sz="4" w:space="0"/>
              <w:bottom w:val="single" w:color="000000" w:sz="4" w:space="0"/>
              <w:right w:val="single" w:color="auto" w:sz="4" w:space="0"/>
            </w:tcBorders>
            <w:vAlign w:val="center"/>
          </w:tcPr>
          <w:p w14:paraId="47F63C65">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C77D69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碳排放算法模型-场景应用模型-区域重型柴油车运行排放情况计算模型</w:t>
            </w:r>
          </w:p>
        </w:tc>
        <w:tc>
          <w:tcPr>
            <w:tcW w:w="1951" w:type="pct"/>
            <w:tcBorders>
              <w:top w:val="nil"/>
              <w:left w:val="nil"/>
              <w:bottom w:val="single" w:color="auto" w:sz="4" w:space="0"/>
              <w:right w:val="single" w:color="auto" w:sz="4" w:space="0"/>
            </w:tcBorders>
            <w:shd w:val="clear" w:color="auto" w:fill="auto"/>
            <w:vAlign w:val="center"/>
          </w:tcPr>
          <w:p w14:paraId="2C7142C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基于上海区域内活动的重型柴油车北斗定位监控运行数据，通过高精度机动车排放模型，实现区域内运行的重型柴油车逐车运行排放计算</w:t>
            </w:r>
          </w:p>
        </w:tc>
      </w:tr>
      <w:tr w14:paraId="306EFFFF">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D514C6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145</w:t>
            </w:r>
          </w:p>
        </w:tc>
        <w:tc>
          <w:tcPr>
            <w:tcW w:w="836" w:type="pct"/>
            <w:vMerge w:val="continue"/>
            <w:tcBorders>
              <w:top w:val="nil"/>
              <w:left w:val="single" w:color="auto" w:sz="4" w:space="0"/>
              <w:bottom w:val="single" w:color="000000" w:sz="4" w:space="0"/>
              <w:right w:val="single" w:color="auto" w:sz="4" w:space="0"/>
            </w:tcBorders>
            <w:vAlign w:val="center"/>
          </w:tcPr>
          <w:p w14:paraId="32EBE71A">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F0D9D6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交通碳排放运行评估-碳排放评价管理-评价数据采集与监控</w:t>
            </w:r>
          </w:p>
        </w:tc>
        <w:tc>
          <w:tcPr>
            <w:tcW w:w="1951" w:type="pct"/>
            <w:tcBorders>
              <w:top w:val="nil"/>
              <w:left w:val="nil"/>
              <w:bottom w:val="single" w:color="auto" w:sz="4" w:space="0"/>
              <w:right w:val="single" w:color="auto" w:sz="4" w:space="0"/>
            </w:tcBorders>
            <w:shd w:val="clear" w:color="auto" w:fill="auto"/>
            <w:vAlign w:val="center"/>
          </w:tcPr>
          <w:p w14:paraId="685C1A6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通过数据采集交通各子行业相关数据，对交通碳排放进行准确监测和评估</w:t>
            </w:r>
          </w:p>
        </w:tc>
      </w:tr>
      <w:tr w14:paraId="04937DA0">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D5FB42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146</w:t>
            </w:r>
          </w:p>
        </w:tc>
        <w:tc>
          <w:tcPr>
            <w:tcW w:w="836" w:type="pct"/>
            <w:vMerge w:val="continue"/>
            <w:tcBorders>
              <w:top w:val="nil"/>
              <w:left w:val="single" w:color="auto" w:sz="4" w:space="0"/>
              <w:bottom w:val="single" w:color="000000" w:sz="4" w:space="0"/>
              <w:right w:val="single" w:color="auto" w:sz="4" w:space="0"/>
            </w:tcBorders>
            <w:vAlign w:val="center"/>
          </w:tcPr>
          <w:p w14:paraId="4B8EFFD4">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47F942A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交通碳排放运行评估-碳排放评价管理-评价计算模型搭建</w:t>
            </w:r>
          </w:p>
        </w:tc>
        <w:tc>
          <w:tcPr>
            <w:tcW w:w="1951" w:type="pct"/>
            <w:tcBorders>
              <w:top w:val="nil"/>
              <w:left w:val="nil"/>
              <w:bottom w:val="single" w:color="auto" w:sz="4" w:space="0"/>
              <w:right w:val="single" w:color="auto" w:sz="4" w:space="0"/>
            </w:tcBorders>
            <w:shd w:val="clear" w:color="auto" w:fill="auto"/>
            <w:vAlign w:val="center"/>
          </w:tcPr>
          <w:p w14:paraId="407FDEC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开发搭建交通碳排放评价计算模型，基于采集的数据和碳排放因素，建立一套针对交通行业的碳排放评价体系</w:t>
            </w:r>
          </w:p>
        </w:tc>
      </w:tr>
      <w:tr w14:paraId="66E19786">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29470F1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147</w:t>
            </w:r>
          </w:p>
        </w:tc>
        <w:tc>
          <w:tcPr>
            <w:tcW w:w="836" w:type="pct"/>
            <w:vMerge w:val="continue"/>
            <w:tcBorders>
              <w:top w:val="nil"/>
              <w:left w:val="single" w:color="auto" w:sz="4" w:space="0"/>
              <w:bottom w:val="single" w:color="000000" w:sz="4" w:space="0"/>
              <w:right w:val="single" w:color="auto" w:sz="4" w:space="0"/>
            </w:tcBorders>
            <w:vAlign w:val="center"/>
          </w:tcPr>
          <w:p w14:paraId="261B708D">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05B9A0B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交通碳排放运行评估-碳排放评价管理-评价分析和报告</w:t>
            </w:r>
          </w:p>
        </w:tc>
        <w:tc>
          <w:tcPr>
            <w:tcW w:w="1951" w:type="pct"/>
            <w:tcBorders>
              <w:top w:val="nil"/>
              <w:left w:val="nil"/>
              <w:bottom w:val="single" w:color="auto" w:sz="4" w:space="0"/>
              <w:right w:val="single" w:color="auto" w:sz="4" w:space="0"/>
            </w:tcBorders>
            <w:shd w:val="clear" w:color="auto" w:fill="auto"/>
            <w:vAlign w:val="center"/>
          </w:tcPr>
          <w:p w14:paraId="3D57A85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对采集的数据进行分析和处理，生成交通碳排放的评价报告，提供详细的数据分析结果和评估指标</w:t>
            </w:r>
          </w:p>
        </w:tc>
      </w:tr>
      <w:tr w14:paraId="2DC85839">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77ED6E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148</w:t>
            </w:r>
          </w:p>
        </w:tc>
        <w:tc>
          <w:tcPr>
            <w:tcW w:w="836" w:type="pct"/>
            <w:vMerge w:val="continue"/>
            <w:tcBorders>
              <w:top w:val="nil"/>
              <w:left w:val="single" w:color="auto" w:sz="4" w:space="0"/>
              <w:bottom w:val="single" w:color="000000" w:sz="4" w:space="0"/>
              <w:right w:val="single" w:color="auto" w:sz="4" w:space="0"/>
            </w:tcBorders>
            <w:vAlign w:val="center"/>
          </w:tcPr>
          <w:p w14:paraId="58084DD6">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519F01C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交通碳排放运行评估-碳排放评价管理-评价结果和建议</w:t>
            </w:r>
          </w:p>
        </w:tc>
        <w:tc>
          <w:tcPr>
            <w:tcW w:w="1951" w:type="pct"/>
            <w:tcBorders>
              <w:top w:val="nil"/>
              <w:left w:val="nil"/>
              <w:bottom w:val="single" w:color="auto" w:sz="4" w:space="0"/>
              <w:right w:val="single" w:color="auto" w:sz="4" w:space="0"/>
            </w:tcBorders>
            <w:shd w:val="clear" w:color="auto" w:fill="auto"/>
            <w:vAlign w:val="center"/>
          </w:tcPr>
          <w:p w14:paraId="5C15075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根据评估结果和指标体系，制定碳效等级划分的标准和门槛，确定各个等级的评价范围和要求</w:t>
            </w:r>
          </w:p>
        </w:tc>
      </w:tr>
      <w:tr w14:paraId="042AC289">
        <w:tblPrEx>
          <w:tblCellMar>
            <w:top w:w="0" w:type="dxa"/>
            <w:left w:w="108" w:type="dxa"/>
            <w:bottom w:w="0" w:type="dxa"/>
            <w:right w:w="108" w:type="dxa"/>
          </w:tblCellMar>
        </w:tblPrEx>
        <w:trPr>
          <w:trHeight w:val="56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9ED499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149</w:t>
            </w:r>
          </w:p>
        </w:tc>
        <w:tc>
          <w:tcPr>
            <w:tcW w:w="836" w:type="pct"/>
            <w:vMerge w:val="continue"/>
            <w:tcBorders>
              <w:top w:val="nil"/>
              <w:left w:val="single" w:color="auto" w:sz="4" w:space="0"/>
              <w:bottom w:val="single" w:color="000000" w:sz="4" w:space="0"/>
              <w:right w:val="single" w:color="auto" w:sz="4" w:space="0"/>
            </w:tcBorders>
            <w:vAlign w:val="center"/>
          </w:tcPr>
          <w:p w14:paraId="1F2CF941">
            <w:pPr>
              <w:widowControl/>
              <w:spacing w:line="240" w:lineRule="auto"/>
              <w:ind w:firstLine="0" w:firstLineChars="0"/>
              <w:jc w:val="left"/>
              <w:rPr>
                <w:rFonts w:hint="eastAsia" w:cs="宋体"/>
                <w:color w:val="000000"/>
                <w:kern w:val="0"/>
                <w:sz w:val="22"/>
                <w:szCs w:val="22"/>
              </w:rPr>
            </w:pPr>
          </w:p>
        </w:tc>
        <w:tc>
          <w:tcPr>
            <w:tcW w:w="1760" w:type="pct"/>
            <w:tcBorders>
              <w:top w:val="nil"/>
              <w:left w:val="nil"/>
              <w:bottom w:val="single" w:color="auto" w:sz="4" w:space="0"/>
              <w:right w:val="single" w:color="auto" w:sz="4" w:space="0"/>
            </w:tcBorders>
            <w:shd w:val="clear" w:color="auto" w:fill="auto"/>
            <w:vAlign w:val="center"/>
          </w:tcPr>
          <w:p w14:paraId="1B62EC8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交通碳排放运行评估-碳排放评价管理-评价监管和管理</w:t>
            </w:r>
          </w:p>
        </w:tc>
        <w:tc>
          <w:tcPr>
            <w:tcW w:w="1951" w:type="pct"/>
            <w:tcBorders>
              <w:top w:val="nil"/>
              <w:left w:val="nil"/>
              <w:bottom w:val="single" w:color="auto" w:sz="4" w:space="0"/>
              <w:right w:val="single" w:color="auto" w:sz="4" w:space="0"/>
            </w:tcBorders>
            <w:shd w:val="clear" w:color="auto" w:fill="auto"/>
            <w:vAlign w:val="center"/>
          </w:tcPr>
          <w:p w14:paraId="3D1906E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建立碳排放评价监管体系，包括监管部门的监督与管理、数据的安全性和隐私保护等</w:t>
            </w:r>
          </w:p>
        </w:tc>
      </w:tr>
      <w:tr w14:paraId="7E1B8770">
        <w:tblPrEx>
          <w:tblCellMar>
            <w:top w:w="0" w:type="dxa"/>
            <w:left w:w="108" w:type="dxa"/>
            <w:bottom w:w="0" w:type="dxa"/>
            <w:right w:w="108" w:type="dxa"/>
          </w:tblCellMar>
        </w:tblPrEx>
        <w:trPr>
          <w:trHeight w:val="840" w:hRule="atLeast"/>
        </w:trPr>
        <w:tc>
          <w:tcPr>
            <w:tcW w:w="453" w:type="pct"/>
            <w:tcBorders>
              <w:top w:val="nil"/>
              <w:left w:val="single" w:color="auto" w:sz="4" w:space="0"/>
              <w:bottom w:val="single" w:color="auto" w:sz="4" w:space="0"/>
              <w:right w:val="single" w:color="auto" w:sz="4" w:space="0"/>
            </w:tcBorders>
            <w:shd w:val="clear" w:color="auto" w:fill="auto"/>
            <w:vAlign w:val="center"/>
          </w:tcPr>
          <w:p w14:paraId="7775A37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150</w:t>
            </w:r>
          </w:p>
        </w:tc>
        <w:tc>
          <w:tcPr>
            <w:tcW w:w="836" w:type="pct"/>
            <w:tcBorders>
              <w:top w:val="nil"/>
              <w:left w:val="nil"/>
              <w:bottom w:val="single" w:color="auto" w:sz="4" w:space="0"/>
              <w:right w:val="single" w:color="auto" w:sz="4" w:space="0"/>
            </w:tcBorders>
            <w:shd w:val="clear" w:color="auto" w:fill="auto"/>
            <w:vAlign w:val="center"/>
          </w:tcPr>
          <w:p w14:paraId="770DC23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密码应用功能</w:t>
            </w:r>
          </w:p>
        </w:tc>
        <w:tc>
          <w:tcPr>
            <w:tcW w:w="1760" w:type="pct"/>
            <w:tcBorders>
              <w:top w:val="nil"/>
              <w:left w:val="nil"/>
              <w:bottom w:val="single" w:color="auto" w:sz="4" w:space="0"/>
              <w:right w:val="single" w:color="auto" w:sz="4" w:space="0"/>
            </w:tcBorders>
            <w:shd w:val="clear" w:color="auto" w:fill="auto"/>
            <w:vAlign w:val="center"/>
          </w:tcPr>
          <w:p w14:paraId="65E0565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密码应用功能模块开发</w:t>
            </w:r>
          </w:p>
        </w:tc>
        <w:tc>
          <w:tcPr>
            <w:tcW w:w="1951" w:type="pct"/>
            <w:tcBorders>
              <w:top w:val="nil"/>
              <w:left w:val="nil"/>
              <w:bottom w:val="single" w:color="auto" w:sz="4" w:space="0"/>
              <w:right w:val="single" w:color="auto" w:sz="4" w:space="0"/>
            </w:tcBorders>
            <w:shd w:val="clear" w:color="auto" w:fill="auto"/>
            <w:vAlign w:val="center"/>
          </w:tcPr>
          <w:p w14:paraId="6A5C9DB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基于云平台提供的安全认证网关、签名验签、数据库加密等密码服务以及系统的应用功能，需开发适配若干密码应用功能模块</w:t>
            </w:r>
          </w:p>
        </w:tc>
      </w:tr>
    </w:tbl>
    <w:p w14:paraId="45B9F90A">
      <w:pPr>
        <w:rPr>
          <w:rFonts w:hint="eastAsia"/>
        </w:rPr>
      </w:pPr>
    </w:p>
    <w:p w14:paraId="4095D05F">
      <w:pPr>
        <w:pStyle w:val="2"/>
        <w:rPr>
          <w:rFonts w:hint="eastAsia"/>
        </w:rPr>
      </w:pPr>
      <w:bookmarkStart w:id="17" w:name="_Toc63785502"/>
      <w:r>
        <w:rPr>
          <w:rFonts w:hint="eastAsia"/>
        </w:rPr>
        <w:t>电子政务云资源需求</w:t>
      </w:r>
      <w:bookmarkEnd w:id="17"/>
    </w:p>
    <w:p w14:paraId="4E67AB85">
      <w:pPr>
        <w:rPr>
          <w:rFonts w:hint="eastAsia"/>
        </w:rPr>
      </w:pPr>
      <w:r>
        <w:rPr>
          <w:rFonts w:hint="eastAsia"/>
        </w:rPr>
        <w:t>本次建设根据估算拟向电子政务云申请8台服务器资源，均为虚拟机。</w:t>
      </w:r>
    </w:p>
    <w:tbl>
      <w:tblPr>
        <w:tblStyle w:val="35"/>
        <w:tblW w:w="5000" w:type="pct"/>
        <w:tblInd w:w="0" w:type="dxa"/>
        <w:tblLayout w:type="autofit"/>
        <w:tblCellMar>
          <w:top w:w="0" w:type="dxa"/>
          <w:left w:w="108" w:type="dxa"/>
          <w:bottom w:w="0" w:type="dxa"/>
          <w:right w:w="108" w:type="dxa"/>
        </w:tblCellMar>
      </w:tblPr>
      <w:tblGrid>
        <w:gridCol w:w="533"/>
        <w:gridCol w:w="1264"/>
        <w:gridCol w:w="1264"/>
        <w:gridCol w:w="1020"/>
        <w:gridCol w:w="1803"/>
        <w:gridCol w:w="952"/>
        <w:gridCol w:w="1692"/>
      </w:tblGrid>
      <w:tr w14:paraId="3FE7E5FC">
        <w:tblPrEx>
          <w:tblCellMar>
            <w:top w:w="0" w:type="dxa"/>
            <w:left w:w="108" w:type="dxa"/>
            <w:bottom w:w="0" w:type="dxa"/>
            <w:right w:w="108" w:type="dxa"/>
          </w:tblCellMar>
        </w:tblPrEx>
        <w:trPr>
          <w:trHeight w:val="480" w:hRule="atLeast"/>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57D62A38">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序号</w:t>
            </w:r>
          </w:p>
        </w:tc>
        <w:tc>
          <w:tcPr>
            <w:tcW w:w="741" w:type="pct"/>
            <w:tcBorders>
              <w:top w:val="single" w:color="auto" w:sz="4" w:space="0"/>
              <w:left w:val="nil"/>
              <w:bottom w:val="single" w:color="auto" w:sz="4" w:space="0"/>
              <w:right w:val="single" w:color="auto" w:sz="4" w:space="0"/>
            </w:tcBorders>
            <w:shd w:val="clear" w:color="auto" w:fill="auto"/>
            <w:noWrap/>
            <w:vAlign w:val="center"/>
          </w:tcPr>
          <w:p w14:paraId="4E1E9D41">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资源类型</w:t>
            </w:r>
          </w:p>
        </w:tc>
        <w:tc>
          <w:tcPr>
            <w:tcW w:w="741" w:type="pct"/>
            <w:tcBorders>
              <w:top w:val="single" w:color="auto" w:sz="4" w:space="0"/>
              <w:left w:val="nil"/>
              <w:bottom w:val="single" w:color="auto" w:sz="4" w:space="0"/>
              <w:right w:val="single" w:color="auto" w:sz="4" w:space="0"/>
            </w:tcBorders>
            <w:shd w:val="clear" w:color="auto" w:fill="auto"/>
            <w:noWrap/>
            <w:vAlign w:val="center"/>
          </w:tcPr>
          <w:p w14:paraId="0783AA92">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资源名称</w:t>
            </w:r>
          </w:p>
        </w:tc>
        <w:tc>
          <w:tcPr>
            <w:tcW w:w="598" w:type="pct"/>
            <w:tcBorders>
              <w:top w:val="single" w:color="auto" w:sz="4" w:space="0"/>
              <w:left w:val="nil"/>
              <w:bottom w:val="single" w:color="auto" w:sz="4" w:space="0"/>
              <w:right w:val="single" w:color="auto" w:sz="4" w:space="0"/>
            </w:tcBorders>
            <w:shd w:val="clear" w:color="auto" w:fill="auto"/>
            <w:vAlign w:val="center"/>
          </w:tcPr>
          <w:p w14:paraId="0B510332">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资源核心（核）</w:t>
            </w:r>
          </w:p>
        </w:tc>
        <w:tc>
          <w:tcPr>
            <w:tcW w:w="1057" w:type="pct"/>
            <w:tcBorders>
              <w:top w:val="single" w:color="auto" w:sz="4" w:space="0"/>
              <w:left w:val="nil"/>
              <w:bottom w:val="single" w:color="auto" w:sz="4" w:space="0"/>
              <w:right w:val="single" w:color="auto" w:sz="4" w:space="0"/>
            </w:tcBorders>
            <w:shd w:val="clear" w:color="auto" w:fill="auto"/>
            <w:noWrap/>
            <w:vAlign w:val="center"/>
          </w:tcPr>
          <w:p w14:paraId="5FAA8C37">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资源内存(GB)</w:t>
            </w:r>
          </w:p>
        </w:tc>
        <w:tc>
          <w:tcPr>
            <w:tcW w:w="558" w:type="pct"/>
            <w:tcBorders>
              <w:top w:val="single" w:color="auto" w:sz="4" w:space="0"/>
              <w:left w:val="nil"/>
              <w:bottom w:val="single" w:color="auto" w:sz="4" w:space="0"/>
              <w:right w:val="single" w:color="auto" w:sz="4" w:space="0"/>
            </w:tcBorders>
            <w:shd w:val="clear" w:color="auto" w:fill="auto"/>
            <w:vAlign w:val="center"/>
          </w:tcPr>
          <w:p w14:paraId="0E41486E">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存储数量(GB)</w:t>
            </w:r>
          </w:p>
        </w:tc>
        <w:tc>
          <w:tcPr>
            <w:tcW w:w="992" w:type="pct"/>
            <w:tcBorders>
              <w:top w:val="single" w:color="auto" w:sz="4" w:space="0"/>
              <w:left w:val="nil"/>
              <w:bottom w:val="single" w:color="auto" w:sz="4" w:space="0"/>
              <w:right w:val="single" w:color="auto" w:sz="4" w:space="0"/>
            </w:tcBorders>
            <w:shd w:val="clear" w:color="auto" w:fill="auto"/>
            <w:noWrap/>
            <w:vAlign w:val="center"/>
          </w:tcPr>
          <w:p w14:paraId="6485BC15">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资源数量(台)</w:t>
            </w:r>
          </w:p>
        </w:tc>
      </w:tr>
      <w:tr w14:paraId="70724197">
        <w:tblPrEx>
          <w:tblCellMar>
            <w:top w:w="0" w:type="dxa"/>
            <w:left w:w="108" w:type="dxa"/>
            <w:bottom w:w="0" w:type="dxa"/>
            <w:right w:w="108" w:type="dxa"/>
          </w:tblCellMar>
        </w:tblPrEx>
        <w:trPr>
          <w:trHeight w:val="560" w:hRule="atLeast"/>
        </w:trPr>
        <w:tc>
          <w:tcPr>
            <w:tcW w:w="313" w:type="pct"/>
            <w:tcBorders>
              <w:top w:val="nil"/>
              <w:left w:val="single" w:color="000000" w:sz="4" w:space="0"/>
              <w:bottom w:val="single" w:color="000000" w:sz="4" w:space="0"/>
              <w:right w:val="single" w:color="000000" w:sz="4" w:space="0"/>
            </w:tcBorders>
            <w:shd w:val="clear" w:color="auto" w:fill="auto"/>
            <w:vAlign w:val="center"/>
          </w:tcPr>
          <w:p w14:paraId="3E6ED5E1">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1</w:t>
            </w:r>
          </w:p>
        </w:tc>
        <w:tc>
          <w:tcPr>
            <w:tcW w:w="741" w:type="pct"/>
            <w:tcBorders>
              <w:top w:val="nil"/>
              <w:left w:val="nil"/>
              <w:bottom w:val="single" w:color="000000" w:sz="4" w:space="0"/>
              <w:right w:val="single" w:color="000000" w:sz="4" w:space="0"/>
            </w:tcBorders>
            <w:shd w:val="clear" w:color="auto" w:fill="auto"/>
            <w:vAlign w:val="center"/>
          </w:tcPr>
          <w:p w14:paraId="3D0FF0B4">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虚拟机</w:t>
            </w:r>
          </w:p>
        </w:tc>
        <w:tc>
          <w:tcPr>
            <w:tcW w:w="741" w:type="pct"/>
            <w:tcBorders>
              <w:top w:val="nil"/>
              <w:left w:val="nil"/>
              <w:bottom w:val="single" w:color="000000" w:sz="4" w:space="0"/>
              <w:right w:val="single" w:color="000000" w:sz="4" w:space="0"/>
            </w:tcBorders>
            <w:shd w:val="clear" w:color="auto" w:fill="auto"/>
            <w:vAlign w:val="center"/>
          </w:tcPr>
          <w:p w14:paraId="27920CAC">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应用服务器</w:t>
            </w:r>
          </w:p>
        </w:tc>
        <w:tc>
          <w:tcPr>
            <w:tcW w:w="598" w:type="pct"/>
            <w:tcBorders>
              <w:top w:val="nil"/>
              <w:left w:val="nil"/>
              <w:bottom w:val="single" w:color="000000" w:sz="4" w:space="0"/>
              <w:right w:val="single" w:color="000000" w:sz="4" w:space="0"/>
            </w:tcBorders>
            <w:shd w:val="clear" w:color="auto" w:fill="auto"/>
            <w:vAlign w:val="center"/>
          </w:tcPr>
          <w:p w14:paraId="0A88C36D">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16</w:t>
            </w:r>
          </w:p>
        </w:tc>
        <w:tc>
          <w:tcPr>
            <w:tcW w:w="1057" w:type="pct"/>
            <w:tcBorders>
              <w:top w:val="single" w:color="000000" w:sz="4" w:space="0"/>
              <w:left w:val="nil"/>
              <w:bottom w:val="single" w:color="000000" w:sz="4" w:space="0"/>
              <w:right w:val="single" w:color="000000" w:sz="4" w:space="0"/>
            </w:tcBorders>
            <w:shd w:val="clear" w:color="auto" w:fill="auto"/>
            <w:vAlign w:val="center"/>
          </w:tcPr>
          <w:p w14:paraId="7DDFAF5B">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128</w:t>
            </w:r>
          </w:p>
        </w:tc>
        <w:tc>
          <w:tcPr>
            <w:tcW w:w="558" w:type="pct"/>
            <w:tcBorders>
              <w:top w:val="single" w:color="000000" w:sz="4" w:space="0"/>
              <w:left w:val="nil"/>
              <w:bottom w:val="single" w:color="000000" w:sz="4" w:space="0"/>
              <w:right w:val="single" w:color="000000" w:sz="4" w:space="0"/>
            </w:tcBorders>
            <w:shd w:val="clear" w:color="auto" w:fill="auto"/>
            <w:vAlign w:val="center"/>
          </w:tcPr>
          <w:p w14:paraId="7192DC77">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2000</w:t>
            </w:r>
          </w:p>
        </w:tc>
        <w:tc>
          <w:tcPr>
            <w:tcW w:w="992" w:type="pct"/>
            <w:tcBorders>
              <w:top w:val="nil"/>
              <w:left w:val="nil"/>
              <w:bottom w:val="single" w:color="000000" w:sz="4" w:space="0"/>
              <w:right w:val="single" w:color="000000" w:sz="4" w:space="0"/>
            </w:tcBorders>
            <w:shd w:val="clear" w:color="auto" w:fill="auto"/>
            <w:vAlign w:val="center"/>
          </w:tcPr>
          <w:p w14:paraId="45D4AF35">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2</w:t>
            </w:r>
          </w:p>
        </w:tc>
      </w:tr>
      <w:tr w14:paraId="625E02BB">
        <w:tblPrEx>
          <w:tblCellMar>
            <w:top w:w="0" w:type="dxa"/>
            <w:left w:w="108" w:type="dxa"/>
            <w:bottom w:w="0" w:type="dxa"/>
            <w:right w:w="108" w:type="dxa"/>
          </w:tblCellMar>
        </w:tblPrEx>
        <w:trPr>
          <w:trHeight w:val="840" w:hRule="atLeast"/>
        </w:trPr>
        <w:tc>
          <w:tcPr>
            <w:tcW w:w="313" w:type="pct"/>
            <w:tcBorders>
              <w:top w:val="nil"/>
              <w:left w:val="single" w:color="000000" w:sz="4" w:space="0"/>
              <w:bottom w:val="single" w:color="000000" w:sz="4" w:space="0"/>
              <w:right w:val="single" w:color="000000" w:sz="4" w:space="0"/>
            </w:tcBorders>
            <w:shd w:val="clear" w:color="auto" w:fill="auto"/>
            <w:vAlign w:val="center"/>
          </w:tcPr>
          <w:p w14:paraId="6A4B2242">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2</w:t>
            </w:r>
          </w:p>
        </w:tc>
        <w:tc>
          <w:tcPr>
            <w:tcW w:w="741" w:type="pct"/>
            <w:tcBorders>
              <w:top w:val="nil"/>
              <w:left w:val="nil"/>
              <w:bottom w:val="single" w:color="000000" w:sz="4" w:space="0"/>
              <w:right w:val="single" w:color="000000" w:sz="4" w:space="0"/>
            </w:tcBorders>
            <w:shd w:val="clear" w:color="auto" w:fill="auto"/>
            <w:vAlign w:val="center"/>
          </w:tcPr>
          <w:p w14:paraId="5F6E2719">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虚拟机</w:t>
            </w:r>
          </w:p>
        </w:tc>
        <w:tc>
          <w:tcPr>
            <w:tcW w:w="741" w:type="pct"/>
            <w:tcBorders>
              <w:top w:val="nil"/>
              <w:left w:val="nil"/>
              <w:bottom w:val="single" w:color="000000" w:sz="4" w:space="0"/>
              <w:right w:val="single" w:color="000000" w:sz="4" w:space="0"/>
            </w:tcBorders>
            <w:shd w:val="clear" w:color="auto" w:fill="auto"/>
            <w:vAlign w:val="center"/>
          </w:tcPr>
          <w:p w14:paraId="1FDEE438">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数据服务器</w:t>
            </w:r>
          </w:p>
        </w:tc>
        <w:tc>
          <w:tcPr>
            <w:tcW w:w="598" w:type="pct"/>
            <w:tcBorders>
              <w:top w:val="nil"/>
              <w:left w:val="nil"/>
              <w:bottom w:val="single" w:color="000000" w:sz="4" w:space="0"/>
              <w:right w:val="single" w:color="000000" w:sz="4" w:space="0"/>
            </w:tcBorders>
            <w:shd w:val="clear" w:color="auto" w:fill="auto"/>
            <w:vAlign w:val="center"/>
          </w:tcPr>
          <w:p w14:paraId="4401E40C">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16</w:t>
            </w:r>
          </w:p>
        </w:tc>
        <w:tc>
          <w:tcPr>
            <w:tcW w:w="1057" w:type="pct"/>
            <w:tcBorders>
              <w:top w:val="single" w:color="000000" w:sz="4" w:space="0"/>
              <w:left w:val="nil"/>
              <w:bottom w:val="single" w:color="000000" w:sz="4" w:space="0"/>
              <w:right w:val="single" w:color="000000" w:sz="4" w:space="0"/>
            </w:tcBorders>
            <w:shd w:val="clear" w:color="auto" w:fill="auto"/>
            <w:vAlign w:val="center"/>
          </w:tcPr>
          <w:p w14:paraId="0250CE69">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128</w:t>
            </w:r>
          </w:p>
        </w:tc>
        <w:tc>
          <w:tcPr>
            <w:tcW w:w="558" w:type="pct"/>
            <w:tcBorders>
              <w:top w:val="single" w:color="000000" w:sz="4" w:space="0"/>
              <w:left w:val="nil"/>
              <w:bottom w:val="single" w:color="000000" w:sz="4" w:space="0"/>
              <w:right w:val="single" w:color="000000" w:sz="4" w:space="0"/>
            </w:tcBorders>
            <w:shd w:val="clear" w:color="auto" w:fill="auto"/>
            <w:vAlign w:val="center"/>
          </w:tcPr>
          <w:p w14:paraId="594F6CDD">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10000</w:t>
            </w:r>
          </w:p>
        </w:tc>
        <w:tc>
          <w:tcPr>
            <w:tcW w:w="992" w:type="pct"/>
            <w:tcBorders>
              <w:top w:val="nil"/>
              <w:left w:val="nil"/>
              <w:bottom w:val="single" w:color="000000" w:sz="4" w:space="0"/>
              <w:right w:val="single" w:color="000000" w:sz="4" w:space="0"/>
            </w:tcBorders>
            <w:shd w:val="clear" w:color="auto" w:fill="auto"/>
            <w:vAlign w:val="center"/>
          </w:tcPr>
          <w:p w14:paraId="275B56E1">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4</w:t>
            </w:r>
          </w:p>
        </w:tc>
      </w:tr>
      <w:tr w14:paraId="14881F94">
        <w:tblPrEx>
          <w:tblCellMar>
            <w:top w:w="0" w:type="dxa"/>
            <w:left w:w="108" w:type="dxa"/>
            <w:bottom w:w="0" w:type="dxa"/>
            <w:right w:w="108" w:type="dxa"/>
          </w:tblCellMar>
        </w:tblPrEx>
        <w:trPr>
          <w:trHeight w:val="560" w:hRule="atLeast"/>
        </w:trPr>
        <w:tc>
          <w:tcPr>
            <w:tcW w:w="313" w:type="pct"/>
            <w:tcBorders>
              <w:top w:val="nil"/>
              <w:left w:val="single" w:color="000000" w:sz="4" w:space="0"/>
              <w:bottom w:val="single" w:color="000000" w:sz="4" w:space="0"/>
              <w:right w:val="single" w:color="000000" w:sz="4" w:space="0"/>
            </w:tcBorders>
            <w:shd w:val="clear" w:color="auto" w:fill="auto"/>
            <w:vAlign w:val="center"/>
          </w:tcPr>
          <w:p w14:paraId="4B9BADDA">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3</w:t>
            </w:r>
          </w:p>
        </w:tc>
        <w:tc>
          <w:tcPr>
            <w:tcW w:w="741" w:type="pct"/>
            <w:tcBorders>
              <w:top w:val="nil"/>
              <w:left w:val="nil"/>
              <w:bottom w:val="single" w:color="000000" w:sz="4" w:space="0"/>
              <w:right w:val="single" w:color="000000" w:sz="4" w:space="0"/>
            </w:tcBorders>
            <w:shd w:val="clear" w:color="auto" w:fill="auto"/>
            <w:vAlign w:val="center"/>
          </w:tcPr>
          <w:p w14:paraId="2E696FF2">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虚拟机</w:t>
            </w:r>
          </w:p>
        </w:tc>
        <w:tc>
          <w:tcPr>
            <w:tcW w:w="741" w:type="pct"/>
            <w:tcBorders>
              <w:top w:val="nil"/>
              <w:left w:val="nil"/>
              <w:bottom w:val="single" w:color="000000" w:sz="4" w:space="0"/>
              <w:right w:val="single" w:color="000000" w:sz="4" w:space="0"/>
            </w:tcBorders>
            <w:shd w:val="clear" w:color="auto" w:fill="auto"/>
            <w:vAlign w:val="center"/>
          </w:tcPr>
          <w:p w14:paraId="1DF85209">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数据分析服务器</w:t>
            </w:r>
          </w:p>
        </w:tc>
        <w:tc>
          <w:tcPr>
            <w:tcW w:w="598" w:type="pct"/>
            <w:tcBorders>
              <w:top w:val="nil"/>
              <w:left w:val="nil"/>
              <w:bottom w:val="single" w:color="000000" w:sz="4" w:space="0"/>
              <w:right w:val="single" w:color="000000" w:sz="4" w:space="0"/>
            </w:tcBorders>
            <w:shd w:val="clear" w:color="auto" w:fill="auto"/>
            <w:vAlign w:val="center"/>
          </w:tcPr>
          <w:p w14:paraId="115CFA3E">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32</w:t>
            </w:r>
          </w:p>
        </w:tc>
        <w:tc>
          <w:tcPr>
            <w:tcW w:w="1057" w:type="pct"/>
            <w:tcBorders>
              <w:top w:val="single" w:color="000000" w:sz="4" w:space="0"/>
              <w:left w:val="nil"/>
              <w:bottom w:val="single" w:color="000000" w:sz="4" w:space="0"/>
              <w:right w:val="single" w:color="000000" w:sz="4" w:space="0"/>
            </w:tcBorders>
            <w:shd w:val="clear" w:color="auto" w:fill="auto"/>
            <w:vAlign w:val="center"/>
          </w:tcPr>
          <w:p w14:paraId="008D15FB">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256</w:t>
            </w:r>
          </w:p>
        </w:tc>
        <w:tc>
          <w:tcPr>
            <w:tcW w:w="558" w:type="pct"/>
            <w:tcBorders>
              <w:top w:val="single" w:color="000000" w:sz="4" w:space="0"/>
              <w:left w:val="nil"/>
              <w:bottom w:val="single" w:color="000000" w:sz="4" w:space="0"/>
              <w:right w:val="single" w:color="000000" w:sz="4" w:space="0"/>
            </w:tcBorders>
            <w:shd w:val="clear" w:color="auto" w:fill="auto"/>
            <w:vAlign w:val="center"/>
          </w:tcPr>
          <w:p w14:paraId="35BC1BC5">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1000</w:t>
            </w:r>
          </w:p>
        </w:tc>
        <w:tc>
          <w:tcPr>
            <w:tcW w:w="992" w:type="pct"/>
            <w:tcBorders>
              <w:top w:val="nil"/>
              <w:left w:val="nil"/>
              <w:bottom w:val="single" w:color="000000" w:sz="4" w:space="0"/>
              <w:right w:val="single" w:color="000000" w:sz="4" w:space="0"/>
            </w:tcBorders>
            <w:shd w:val="clear" w:color="auto" w:fill="auto"/>
            <w:vAlign w:val="center"/>
          </w:tcPr>
          <w:p w14:paraId="757548E7">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b/>
                <w:bCs/>
                <w:color w:val="000000"/>
                <w:sz w:val="22"/>
                <w:szCs w:val="22"/>
              </w:rPr>
              <w:t>2</w:t>
            </w:r>
          </w:p>
        </w:tc>
      </w:tr>
    </w:tbl>
    <w:p w14:paraId="44EB981C">
      <w:pPr>
        <w:rPr>
          <w:rFonts w:hint="eastAsia"/>
        </w:rPr>
      </w:pPr>
      <w:r>
        <w:rPr>
          <w:rFonts w:hint="eastAsia"/>
        </w:rPr>
        <w:t>本次建设根据估算拟PaaS服务资源如下：</w:t>
      </w:r>
    </w:p>
    <w:tbl>
      <w:tblPr>
        <w:tblStyle w:val="35"/>
        <w:tblW w:w="5000" w:type="pct"/>
        <w:tblInd w:w="0" w:type="dxa"/>
        <w:tblLayout w:type="autofit"/>
        <w:tblCellMar>
          <w:top w:w="0" w:type="dxa"/>
          <w:left w:w="108" w:type="dxa"/>
          <w:bottom w:w="0" w:type="dxa"/>
          <w:right w:w="108" w:type="dxa"/>
        </w:tblCellMar>
      </w:tblPr>
      <w:tblGrid>
        <w:gridCol w:w="698"/>
        <w:gridCol w:w="3583"/>
        <w:gridCol w:w="2456"/>
        <w:gridCol w:w="1791"/>
      </w:tblGrid>
      <w:tr w14:paraId="1044D681">
        <w:tblPrEx>
          <w:tblCellMar>
            <w:top w:w="0" w:type="dxa"/>
            <w:left w:w="108" w:type="dxa"/>
            <w:bottom w:w="0" w:type="dxa"/>
            <w:right w:w="108" w:type="dxa"/>
          </w:tblCellMar>
        </w:tblPrEx>
        <w:trPr>
          <w:trHeight w:val="570" w:hRule="atLeast"/>
        </w:trPr>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14:paraId="0AAA745C">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序号</w:t>
            </w:r>
          </w:p>
        </w:tc>
        <w:tc>
          <w:tcPr>
            <w:tcW w:w="2101" w:type="pct"/>
            <w:tcBorders>
              <w:top w:val="single" w:color="auto" w:sz="4" w:space="0"/>
              <w:left w:val="nil"/>
              <w:bottom w:val="single" w:color="auto" w:sz="4" w:space="0"/>
              <w:right w:val="single" w:color="auto" w:sz="4" w:space="0"/>
            </w:tcBorders>
            <w:shd w:val="clear" w:color="auto" w:fill="auto"/>
            <w:noWrap/>
            <w:vAlign w:val="center"/>
          </w:tcPr>
          <w:p w14:paraId="483E9728">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资源名称</w:t>
            </w:r>
          </w:p>
        </w:tc>
        <w:tc>
          <w:tcPr>
            <w:tcW w:w="1440" w:type="pct"/>
            <w:tcBorders>
              <w:top w:val="single" w:color="auto" w:sz="4" w:space="0"/>
              <w:left w:val="nil"/>
              <w:bottom w:val="single" w:color="auto" w:sz="4" w:space="0"/>
              <w:right w:val="single" w:color="auto" w:sz="4" w:space="0"/>
            </w:tcBorders>
            <w:shd w:val="clear" w:color="auto" w:fill="auto"/>
            <w:noWrap/>
            <w:vAlign w:val="center"/>
          </w:tcPr>
          <w:p w14:paraId="55A2E9AC">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核定数量</w:t>
            </w:r>
          </w:p>
        </w:tc>
        <w:tc>
          <w:tcPr>
            <w:tcW w:w="1051" w:type="pct"/>
            <w:tcBorders>
              <w:top w:val="single" w:color="auto" w:sz="4" w:space="0"/>
              <w:left w:val="nil"/>
              <w:bottom w:val="single" w:color="auto" w:sz="4" w:space="0"/>
              <w:right w:val="single" w:color="auto" w:sz="4" w:space="0"/>
            </w:tcBorders>
            <w:shd w:val="clear" w:color="auto" w:fill="auto"/>
            <w:vAlign w:val="center"/>
          </w:tcPr>
          <w:p w14:paraId="65EB55BB">
            <w:pPr>
              <w:widowControl/>
              <w:spacing w:line="240" w:lineRule="auto"/>
              <w:ind w:firstLine="0" w:firstLineChars="0"/>
              <w:jc w:val="center"/>
              <w:rPr>
                <w:rFonts w:hint="eastAsia"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单位</w:t>
            </w:r>
          </w:p>
        </w:tc>
      </w:tr>
      <w:tr w14:paraId="58173C27">
        <w:tblPrEx>
          <w:tblCellMar>
            <w:top w:w="0" w:type="dxa"/>
            <w:left w:w="108" w:type="dxa"/>
            <w:bottom w:w="0" w:type="dxa"/>
            <w:right w:w="108" w:type="dxa"/>
          </w:tblCellMar>
        </w:tblPrEx>
        <w:trPr>
          <w:trHeight w:val="280" w:hRule="atLeast"/>
        </w:trPr>
        <w:tc>
          <w:tcPr>
            <w:tcW w:w="409" w:type="pct"/>
            <w:tcBorders>
              <w:top w:val="nil"/>
              <w:left w:val="single" w:color="000000" w:sz="4" w:space="0"/>
              <w:bottom w:val="single" w:color="000000" w:sz="4" w:space="0"/>
              <w:right w:val="single" w:color="000000" w:sz="4" w:space="0"/>
            </w:tcBorders>
            <w:shd w:val="clear" w:color="auto" w:fill="auto"/>
            <w:vAlign w:val="center"/>
          </w:tcPr>
          <w:p w14:paraId="3BE5D819">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1</w:t>
            </w:r>
          </w:p>
        </w:tc>
        <w:tc>
          <w:tcPr>
            <w:tcW w:w="2101" w:type="pct"/>
            <w:tcBorders>
              <w:top w:val="single" w:color="000000" w:sz="4" w:space="0"/>
              <w:left w:val="nil"/>
              <w:bottom w:val="single" w:color="000000" w:sz="4" w:space="0"/>
              <w:right w:val="single" w:color="000000" w:sz="4" w:space="0"/>
            </w:tcBorders>
            <w:shd w:val="clear" w:color="auto" w:fill="auto"/>
            <w:vAlign w:val="center"/>
          </w:tcPr>
          <w:p w14:paraId="7BA00AA0">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操作系统服务</w:t>
            </w:r>
          </w:p>
        </w:tc>
        <w:tc>
          <w:tcPr>
            <w:tcW w:w="1440" w:type="pct"/>
            <w:tcBorders>
              <w:top w:val="single" w:color="000000" w:sz="4" w:space="0"/>
              <w:left w:val="nil"/>
              <w:bottom w:val="single" w:color="000000" w:sz="4" w:space="0"/>
              <w:right w:val="single" w:color="000000" w:sz="4" w:space="0"/>
            </w:tcBorders>
            <w:shd w:val="clear" w:color="auto" w:fill="auto"/>
            <w:vAlign w:val="center"/>
          </w:tcPr>
          <w:p w14:paraId="1FF95382">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8</w:t>
            </w:r>
          </w:p>
        </w:tc>
        <w:tc>
          <w:tcPr>
            <w:tcW w:w="1051" w:type="pct"/>
            <w:tcBorders>
              <w:top w:val="single" w:color="000000" w:sz="4" w:space="0"/>
              <w:left w:val="nil"/>
              <w:bottom w:val="single" w:color="000000" w:sz="4" w:space="0"/>
              <w:right w:val="single" w:color="000000" w:sz="4" w:space="0"/>
            </w:tcBorders>
            <w:shd w:val="clear" w:color="auto" w:fill="auto"/>
            <w:vAlign w:val="center"/>
          </w:tcPr>
          <w:p w14:paraId="3B055EEB">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套*年</w:t>
            </w:r>
          </w:p>
        </w:tc>
      </w:tr>
      <w:tr w14:paraId="155AD6B7">
        <w:tblPrEx>
          <w:tblCellMar>
            <w:top w:w="0" w:type="dxa"/>
            <w:left w:w="108" w:type="dxa"/>
            <w:bottom w:w="0" w:type="dxa"/>
            <w:right w:w="108" w:type="dxa"/>
          </w:tblCellMar>
        </w:tblPrEx>
        <w:trPr>
          <w:trHeight w:val="280" w:hRule="atLeast"/>
        </w:trPr>
        <w:tc>
          <w:tcPr>
            <w:tcW w:w="409" w:type="pct"/>
            <w:tcBorders>
              <w:top w:val="nil"/>
              <w:left w:val="single" w:color="000000" w:sz="4" w:space="0"/>
              <w:bottom w:val="single" w:color="000000" w:sz="4" w:space="0"/>
              <w:right w:val="single" w:color="000000" w:sz="4" w:space="0"/>
            </w:tcBorders>
            <w:shd w:val="clear" w:color="auto" w:fill="auto"/>
            <w:vAlign w:val="center"/>
          </w:tcPr>
          <w:p w14:paraId="0E6B9BC2">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2</w:t>
            </w:r>
          </w:p>
        </w:tc>
        <w:tc>
          <w:tcPr>
            <w:tcW w:w="2101" w:type="pct"/>
            <w:tcBorders>
              <w:top w:val="single" w:color="000000" w:sz="4" w:space="0"/>
              <w:left w:val="nil"/>
              <w:bottom w:val="single" w:color="000000" w:sz="4" w:space="0"/>
              <w:right w:val="single" w:color="000000" w:sz="4" w:space="0"/>
            </w:tcBorders>
            <w:shd w:val="clear" w:color="auto" w:fill="auto"/>
            <w:vAlign w:val="center"/>
          </w:tcPr>
          <w:p w14:paraId="5143110E">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中间件</w:t>
            </w:r>
          </w:p>
        </w:tc>
        <w:tc>
          <w:tcPr>
            <w:tcW w:w="1440" w:type="pct"/>
            <w:tcBorders>
              <w:top w:val="single" w:color="000000" w:sz="4" w:space="0"/>
              <w:left w:val="nil"/>
              <w:bottom w:val="single" w:color="000000" w:sz="4" w:space="0"/>
              <w:right w:val="single" w:color="000000" w:sz="4" w:space="0"/>
            </w:tcBorders>
            <w:shd w:val="clear" w:color="auto" w:fill="auto"/>
            <w:vAlign w:val="center"/>
          </w:tcPr>
          <w:p w14:paraId="29B6A224">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2</w:t>
            </w:r>
          </w:p>
        </w:tc>
        <w:tc>
          <w:tcPr>
            <w:tcW w:w="1051" w:type="pct"/>
            <w:tcBorders>
              <w:top w:val="single" w:color="000000" w:sz="4" w:space="0"/>
              <w:left w:val="nil"/>
              <w:bottom w:val="single" w:color="000000" w:sz="4" w:space="0"/>
              <w:right w:val="single" w:color="000000" w:sz="4" w:space="0"/>
            </w:tcBorders>
            <w:shd w:val="clear" w:color="auto" w:fill="auto"/>
            <w:vAlign w:val="center"/>
          </w:tcPr>
          <w:p w14:paraId="5E76F9D2">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套*年</w:t>
            </w:r>
          </w:p>
        </w:tc>
      </w:tr>
      <w:tr w14:paraId="447C6A98">
        <w:tblPrEx>
          <w:tblCellMar>
            <w:top w:w="0" w:type="dxa"/>
            <w:left w:w="108" w:type="dxa"/>
            <w:bottom w:w="0" w:type="dxa"/>
            <w:right w:w="108" w:type="dxa"/>
          </w:tblCellMar>
        </w:tblPrEx>
        <w:trPr>
          <w:trHeight w:val="280" w:hRule="atLeast"/>
        </w:trPr>
        <w:tc>
          <w:tcPr>
            <w:tcW w:w="409" w:type="pct"/>
            <w:tcBorders>
              <w:top w:val="nil"/>
              <w:left w:val="single" w:color="000000" w:sz="4" w:space="0"/>
              <w:bottom w:val="single" w:color="000000" w:sz="4" w:space="0"/>
              <w:right w:val="single" w:color="000000" w:sz="4" w:space="0"/>
            </w:tcBorders>
            <w:shd w:val="clear" w:color="auto" w:fill="auto"/>
            <w:vAlign w:val="center"/>
          </w:tcPr>
          <w:p w14:paraId="58EBF3C2">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3</w:t>
            </w:r>
          </w:p>
        </w:tc>
        <w:tc>
          <w:tcPr>
            <w:tcW w:w="2101" w:type="pct"/>
            <w:tcBorders>
              <w:top w:val="single" w:color="000000" w:sz="4" w:space="0"/>
              <w:left w:val="nil"/>
              <w:bottom w:val="single" w:color="000000" w:sz="4" w:space="0"/>
              <w:right w:val="single" w:color="000000" w:sz="4" w:space="0"/>
            </w:tcBorders>
            <w:shd w:val="clear" w:color="auto" w:fill="auto"/>
            <w:vAlign w:val="center"/>
          </w:tcPr>
          <w:p w14:paraId="6EF34C0A">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数据库服务</w:t>
            </w:r>
          </w:p>
        </w:tc>
        <w:tc>
          <w:tcPr>
            <w:tcW w:w="1440" w:type="pct"/>
            <w:tcBorders>
              <w:top w:val="single" w:color="000000" w:sz="4" w:space="0"/>
              <w:left w:val="nil"/>
              <w:bottom w:val="single" w:color="000000" w:sz="4" w:space="0"/>
              <w:right w:val="single" w:color="000000" w:sz="4" w:space="0"/>
            </w:tcBorders>
            <w:shd w:val="clear" w:color="auto" w:fill="auto"/>
            <w:vAlign w:val="center"/>
          </w:tcPr>
          <w:p w14:paraId="04DE2465">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6</w:t>
            </w:r>
          </w:p>
        </w:tc>
        <w:tc>
          <w:tcPr>
            <w:tcW w:w="1051" w:type="pct"/>
            <w:tcBorders>
              <w:top w:val="single" w:color="000000" w:sz="4" w:space="0"/>
              <w:left w:val="nil"/>
              <w:bottom w:val="single" w:color="000000" w:sz="4" w:space="0"/>
              <w:right w:val="single" w:color="000000" w:sz="4" w:space="0"/>
            </w:tcBorders>
            <w:shd w:val="clear" w:color="auto" w:fill="auto"/>
            <w:vAlign w:val="center"/>
          </w:tcPr>
          <w:p w14:paraId="5926E718">
            <w:pPr>
              <w:widowControl/>
              <w:spacing w:line="240" w:lineRule="auto"/>
              <w:ind w:firstLine="0" w:firstLineChars="0"/>
              <w:jc w:val="center"/>
              <w:rPr>
                <w:rFonts w:hint="eastAsia" w:ascii="等线" w:hAnsi="等线" w:eastAsia="等线" w:cs="宋体"/>
                <w:b/>
                <w:bCs/>
                <w:color w:val="000000"/>
                <w:kern w:val="0"/>
                <w:sz w:val="22"/>
                <w:szCs w:val="22"/>
              </w:rPr>
            </w:pPr>
            <w:r>
              <w:rPr>
                <w:rFonts w:hint="eastAsia" w:ascii="等线" w:hAnsi="等线" w:eastAsia="等线" w:cs="宋体"/>
                <w:b/>
                <w:bCs/>
                <w:color w:val="000000"/>
                <w:kern w:val="0"/>
                <w:sz w:val="22"/>
                <w:szCs w:val="22"/>
              </w:rPr>
              <w:t>套*年</w:t>
            </w:r>
          </w:p>
        </w:tc>
      </w:tr>
    </w:tbl>
    <w:p w14:paraId="588E3E51">
      <w:pPr>
        <w:ind w:firstLine="480" w:firstLineChars="200"/>
        <w:rPr>
          <w:rFonts w:hint="eastAsia"/>
        </w:rPr>
      </w:pPr>
    </w:p>
    <w:p w14:paraId="7A2BF371">
      <w:pPr>
        <w:pStyle w:val="2"/>
        <w:rPr>
          <w:rFonts w:hint="eastAsia"/>
        </w:rPr>
      </w:pPr>
      <w:bookmarkStart w:id="18" w:name="_Toc63785503"/>
      <w:r>
        <w:rPr>
          <w:rFonts w:hint="eastAsia"/>
        </w:rPr>
        <w:t>其他工作要求</w:t>
      </w:r>
      <w:bookmarkEnd w:id="18"/>
    </w:p>
    <w:p w14:paraId="66804A65">
      <w:pPr>
        <w:pStyle w:val="3"/>
        <w:rPr>
          <w:rFonts w:hint="eastAsia"/>
        </w:rPr>
      </w:pPr>
      <w:bookmarkStart w:id="19" w:name="_Toc63785505"/>
      <w:r>
        <w:rPr>
          <w:rFonts w:hint="eastAsia"/>
        </w:rPr>
        <w:t>售后服务要求</w:t>
      </w:r>
      <w:bookmarkEnd w:id="19"/>
    </w:p>
    <w:p w14:paraId="62B2DFA7">
      <w:pPr>
        <w:pStyle w:val="106"/>
        <w:snapToGrid w:val="0"/>
        <w:spacing w:line="360" w:lineRule="auto"/>
        <w:ind w:firstLine="480"/>
        <w:rPr>
          <w:rFonts w:hint="eastAsia" w:ascii="宋体" w:hAnsi="宋体"/>
          <w:sz w:val="24"/>
          <w:szCs w:val="24"/>
        </w:rPr>
      </w:pPr>
      <w:r>
        <w:rPr>
          <w:rFonts w:hint="eastAsia" w:ascii="宋体" w:hAnsi="宋体"/>
          <w:sz w:val="24"/>
          <w:szCs w:val="24"/>
        </w:rPr>
        <w:t>本项目质量保证期</w:t>
      </w:r>
      <w:r>
        <w:rPr>
          <w:rFonts w:hint="eastAsia" w:ascii="宋体" w:hAnsi="宋体"/>
          <w:sz w:val="24"/>
          <w:szCs w:val="24"/>
          <w:lang w:eastAsia="zh-CN"/>
        </w:rPr>
        <w:t>为</w:t>
      </w:r>
      <w:r>
        <w:rPr>
          <w:rFonts w:hint="eastAsia" w:ascii="宋体" w:hAnsi="宋体"/>
          <w:sz w:val="24"/>
          <w:szCs w:val="24"/>
        </w:rPr>
        <w:t>从系统验收通过之日起</w:t>
      </w:r>
      <w:r>
        <w:rPr>
          <w:rFonts w:hint="eastAsia" w:ascii="宋体" w:hAnsi="宋体"/>
          <w:sz w:val="24"/>
          <w:szCs w:val="24"/>
          <w:lang w:eastAsia="zh-CN"/>
        </w:rPr>
        <w:t>不少于</w:t>
      </w:r>
      <w:r>
        <w:rPr>
          <w:rFonts w:hint="eastAsia" w:ascii="宋体" w:hAnsi="宋体"/>
          <w:sz w:val="24"/>
          <w:szCs w:val="24"/>
        </w:rPr>
        <w:t>1年</w:t>
      </w:r>
      <w:r>
        <w:rPr>
          <w:rFonts w:hint="eastAsia" w:ascii="宋体" w:hAnsi="宋体"/>
          <w:sz w:val="24"/>
          <w:szCs w:val="24"/>
          <w:lang w:eastAsia="zh-CN"/>
        </w:rPr>
        <w:t>。</w:t>
      </w:r>
      <w:r>
        <w:rPr>
          <w:rFonts w:hint="eastAsia" w:ascii="宋体" w:hAnsi="宋体"/>
          <w:sz w:val="24"/>
          <w:szCs w:val="24"/>
        </w:rPr>
        <w:t>在质量保证期内提供</w:t>
      </w:r>
      <w:r>
        <w:rPr>
          <w:rFonts w:ascii="宋体" w:hAnsi="宋体"/>
          <w:sz w:val="24"/>
          <w:szCs w:val="24"/>
        </w:rPr>
        <w:t>7*24小时免费技术支持</w:t>
      </w:r>
      <w:r>
        <w:rPr>
          <w:rFonts w:hint="eastAsia" w:ascii="宋体" w:hAnsi="宋体"/>
          <w:sz w:val="24"/>
          <w:szCs w:val="24"/>
        </w:rPr>
        <w:t>和售后服务。</w:t>
      </w:r>
    </w:p>
    <w:p w14:paraId="033AF724">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0827E205">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应用软件功能维护（修正错误、完善功能、业务开通）、日常维护（包括但不限于：现场值班工作需求、应用监控需求、客户端维护需求、电话支持需求、现场技术支持需求）、应用系统优化（包括但不限于：业务需求变更需求、新系统设计与实施需求）、数据库维护、业务培训和业务咨询及协作配合等。</w:t>
      </w:r>
    </w:p>
    <w:p w14:paraId="7D16874C">
      <w:pPr>
        <w:pStyle w:val="3"/>
        <w:rPr>
          <w:rFonts w:hint="eastAsia"/>
        </w:rPr>
      </w:pPr>
      <w:bookmarkStart w:id="20" w:name="_Toc63785506"/>
      <w:r>
        <w:rPr>
          <w:rFonts w:hint="eastAsia"/>
        </w:rPr>
        <w:t>应急响应要求</w:t>
      </w:r>
      <w:bookmarkEnd w:id="20"/>
    </w:p>
    <w:p w14:paraId="64516941">
      <w:pPr>
        <w:pStyle w:val="106"/>
        <w:snapToGrid w:val="0"/>
        <w:spacing w:line="360" w:lineRule="auto"/>
        <w:ind w:firstLine="480"/>
        <w:rPr>
          <w:rFonts w:hint="eastAsia"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223FE0DF">
      <w:pPr>
        <w:pStyle w:val="106"/>
        <w:snapToGrid w:val="0"/>
        <w:spacing w:line="360" w:lineRule="auto"/>
        <w:ind w:firstLine="480"/>
        <w:rPr>
          <w:rFonts w:hint="eastAsia" w:ascii="宋体" w:hAnsi="宋体"/>
          <w:sz w:val="24"/>
          <w:szCs w:val="24"/>
        </w:rPr>
      </w:pPr>
      <w:r>
        <w:rPr>
          <w:rFonts w:hint="eastAsia" w:ascii="宋体" w:hAnsi="宋体"/>
          <w:sz w:val="24"/>
          <w:szCs w:val="24"/>
        </w:rPr>
        <w:t>具体故障级别及对应的应急响应要求如下：</w:t>
      </w:r>
    </w:p>
    <w:p w14:paraId="07A280F7">
      <w:pPr>
        <w:pStyle w:val="106"/>
        <w:snapToGrid w:val="0"/>
        <w:spacing w:line="360" w:lineRule="auto"/>
        <w:ind w:firstLine="480"/>
        <w:rPr>
          <w:rFonts w:hint="eastAsia"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003A2ED2">
      <w:pPr>
        <w:pStyle w:val="106"/>
        <w:snapToGrid w:val="0"/>
        <w:spacing w:line="360" w:lineRule="auto"/>
        <w:ind w:firstLine="480"/>
        <w:rPr>
          <w:rFonts w:hint="eastAsia"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5322CC69">
      <w:pPr>
        <w:pStyle w:val="106"/>
        <w:snapToGrid w:val="0"/>
        <w:spacing w:line="360" w:lineRule="auto"/>
        <w:ind w:firstLine="480"/>
        <w:rPr>
          <w:rFonts w:hint="eastAsia"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7908B2BB">
      <w:pPr>
        <w:pStyle w:val="3"/>
        <w:rPr>
          <w:rFonts w:hint="eastAsia"/>
        </w:rPr>
      </w:pPr>
      <w:bookmarkStart w:id="21" w:name="_Toc63785507"/>
      <w:r>
        <w:rPr>
          <w:rFonts w:hint="eastAsia"/>
        </w:rPr>
        <w:t>培训要求</w:t>
      </w:r>
      <w:bookmarkEnd w:id="21"/>
    </w:p>
    <w:p w14:paraId="5DBDAF4F">
      <w:pPr>
        <w:rPr>
          <w:rFonts w:hint="eastAsia"/>
        </w:rPr>
      </w:pPr>
      <w:r>
        <w:rPr>
          <w:rFonts w:hint="eastAsia"/>
        </w:rPr>
        <w:t>对系统使用单位提供业务操作培训，应提供详细培训方案。</w:t>
      </w:r>
    </w:p>
    <w:p w14:paraId="50FB61CF">
      <w:pPr>
        <w:rPr>
          <w:rFonts w:hint="eastAsia"/>
        </w:rPr>
      </w:pPr>
      <w:r>
        <w:rPr>
          <w:rFonts w:hint="eastAsia"/>
        </w:rPr>
        <w:t>(1)在质量保证期内，提供2次与项目相关的必要培训。</w:t>
      </w:r>
    </w:p>
    <w:p w14:paraId="56E4228E">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090E920F">
      <w:pPr>
        <w:rPr>
          <w:rFonts w:hint="eastAsia"/>
        </w:rPr>
      </w:pPr>
      <w:r>
        <w:rPr>
          <w:rFonts w:hint="eastAsia"/>
        </w:rPr>
        <w:t>(3)供应商应提供一般用户的基础操作培训和部门信息管理员的日常应用维护的培训，确保用户对象能够掌握对应的操作技能。</w:t>
      </w:r>
    </w:p>
    <w:p w14:paraId="0F05EF37">
      <w:pPr>
        <w:pStyle w:val="3"/>
        <w:rPr>
          <w:rFonts w:hint="eastAsia"/>
        </w:rPr>
      </w:pPr>
      <w:bookmarkStart w:id="22" w:name="_Toc63785508"/>
      <w:r>
        <w:rPr>
          <w:rFonts w:hint="eastAsia"/>
        </w:rPr>
        <w:t>验收要求</w:t>
      </w:r>
      <w:bookmarkEnd w:id="22"/>
    </w:p>
    <w:p w14:paraId="71B6D96F">
      <w:pPr>
        <w:rPr>
          <w:rFonts w:hint="eastAsia"/>
          <w:szCs w:val="21"/>
        </w:rPr>
      </w:pPr>
      <w:r>
        <w:rPr>
          <w:rFonts w:hint="eastAsia"/>
          <w:szCs w:val="21"/>
        </w:rPr>
        <w:t>本项目按下述方式开展验收。</w:t>
      </w:r>
    </w:p>
    <w:p w14:paraId="0EC069F8">
      <w:pPr>
        <w:rPr>
          <w:rFonts w:hint="eastAsia"/>
          <w:szCs w:val="21"/>
        </w:rPr>
      </w:pPr>
      <w:r>
        <w:rPr>
          <w:rFonts w:hint="eastAsia"/>
          <w:szCs w:val="21"/>
        </w:rPr>
        <w:t>（</w:t>
      </w:r>
      <w:r>
        <w:rPr>
          <w:szCs w:val="21"/>
        </w:rPr>
        <w:t>1）验收分初验和终验。</w:t>
      </w:r>
    </w:p>
    <w:p w14:paraId="06ADFF47">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szCs w:val="21"/>
        </w:rPr>
        <w:t>采购人</w:t>
      </w:r>
      <w:r>
        <w:rPr>
          <w:szCs w:val="21"/>
        </w:rPr>
        <w:t>递交初验通知书。</w:t>
      </w:r>
      <w:r>
        <w:rPr>
          <w:rFonts w:hint="eastAsia"/>
          <w:szCs w:val="21"/>
        </w:rPr>
        <w:t>采购人</w:t>
      </w:r>
      <w:r>
        <w:rPr>
          <w:szCs w:val="21"/>
        </w:rPr>
        <w:t>应当在接到通知后的5个工作日内确定初验的具体日期，由双方按照本项目的约定完成本项目的初验。</w:t>
      </w:r>
      <w:r>
        <w:rPr>
          <w:rFonts w:hint="eastAsia"/>
          <w:szCs w:val="21"/>
        </w:rPr>
        <w:t>采购人</w:t>
      </w:r>
      <w:r>
        <w:rPr>
          <w:szCs w:val="21"/>
        </w:rPr>
        <w:t>有权委托第三方检测机构进行验收，对此供应商应当配合。</w:t>
      </w:r>
    </w:p>
    <w:p w14:paraId="5C26F266">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szCs w:val="21"/>
        </w:rPr>
        <w:t>采购人</w:t>
      </w:r>
      <w:r>
        <w:rPr>
          <w:szCs w:val="21"/>
        </w:rPr>
        <w:t>应向供应商出具书面报告，陈述需要改进的缺陷。供应商应立即严格依照</w:t>
      </w:r>
      <w:r>
        <w:rPr>
          <w:rFonts w:hint="eastAsia"/>
          <w:szCs w:val="21"/>
        </w:rPr>
        <w:t>采购人</w:t>
      </w:r>
      <w:r>
        <w:rPr>
          <w:szCs w:val="21"/>
        </w:rPr>
        <w:t>的书面报告中的要求改进缺陷，并再次进行初验。</w:t>
      </w:r>
    </w:p>
    <w:p w14:paraId="5D2E2851">
      <w:pPr>
        <w:rPr>
          <w:rFonts w:hint="eastAsia"/>
          <w:szCs w:val="21"/>
        </w:rPr>
      </w:pPr>
      <w:r>
        <w:rPr>
          <w:rFonts w:hint="eastAsia"/>
          <w:szCs w:val="21"/>
        </w:rPr>
        <w:t>（</w:t>
      </w:r>
      <w:r>
        <w:rPr>
          <w:szCs w:val="21"/>
        </w:rPr>
        <w:t>4）自初验通过之日起，</w:t>
      </w:r>
      <w:r>
        <w:rPr>
          <w:rFonts w:hint="eastAsia"/>
          <w:szCs w:val="21"/>
        </w:rPr>
        <w:t>采购人</w:t>
      </w:r>
      <w:r>
        <w:rPr>
          <w:szCs w:val="21"/>
        </w:rPr>
        <w:t>享有供应商免费提供的30天的信息系统试运行现场驻场服务期。该期间内，供应商应当按照</w:t>
      </w:r>
      <w:r>
        <w:rPr>
          <w:rFonts w:hint="eastAsia"/>
          <w:szCs w:val="21"/>
        </w:rPr>
        <w:t>采购人</w:t>
      </w:r>
      <w:r>
        <w:rPr>
          <w:szCs w:val="21"/>
        </w:rPr>
        <w:t>的要求提供现场技术支持服务，解决信息系统试运行期间可能出现的各类问题，或进一步提高与完善信息系统运行水平。</w:t>
      </w:r>
    </w:p>
    <w:p w14:paraId="4ECD8F88">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w:t>
      </w:r>
      <w:r>
        <w:rPr>
          <w:rFonts w:hint="eastAsia"/>
          <w:szCs w:val="21"/>
        </w:rPr>
        <w:t>采购人</w:t>
      </w:r>
      <w:r>
        <w:rPr>
          <w:szCs w:val="21"/>
        </w:rPr>
        <w:t>信息系统已准备就绪等待终验。</w:t>
      </w:r>
      <w:r>
        <w:rPr>
          <w:rFonts w:hint="eastAsia"/>
          <w:szCs w:val="21"/>
        </w:rPr>
        <w:t>采购人</w:t>
      </w:r>
      <w:r>
        <w:rPr>
          <w:szCs w:val="21"/>
        </w:rPr>
        <w:t>在收到终验通知后的20个工作日内发起组织专家验收会。</w:t>
      </w:r>
    </w:p>
    <w:p w14:paraId="3F0821A8">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36000E49">
      <w:pPr>
        <w:rPr>
          <w:rFonts w:hint="eastAsia"/>
          <w:szCs w:val="21"/>
        </w:rPr>
      </w:pPr>
      <w:r>
        <w:rPr>
          <w:rFonts w:hint="eastAsia"/>
          <w:szCs w:val="21"/>
        </w:rPr>
        <w:t>（7</w:t>
      </w:r>
      <w:r>
        <w:rPr>
          <w:szCs w:val="21"/>
        </w:rPr>
        <w:t>）如果由于</w:t>
      </w:r>
      <w:r>
        <w:rPr>
          <w:rFonts w:hint="eastAsia"/>
          <w:szCs w:val="21"/>
        </w:rPr>
        <w:t>采购人</w:t>
      </w:r>
      <w:r>
        <w:rPr>
          <w:szCs w:val="21"/>
        </w:rPr>
        <w:t>原因导致本项目在终验通过前出现故障或问题，供应商应及时配合排除该方面的故障或问题。</w:t>
      </w:r>
    </w:p>
    <w:p w14:paraId="3B30E1B5">
      <w:pPr>
        <w:rPr>
          <w:rFonts w:hint="eastAsia"/>
          <w:szCs w:val="21"/>
        </w:rPr>
      </w:pPr>
      <w:r>
        <w:rPr>
          <w:rFonts w:hint="eastAsia"/>
          <w:szCs w:val="21"/>
        </w:rPr>
        <w:t>（8</w:t>
      </w:r>
      <w:r>
        <w:rPr>
          <w:szCs w:val="21"/>
        </w:rPr>
        <w:t>）如本项目连续3次验收未通过（含初验未通过或终验未通过），</w:t>
      </w:r>
      <w:r>
        <w:rPr>
          <w:rFonts w:hint="eastAsia"/>
          <w:szCs w:val="21"/>
        </w:rPr>
        <w:t>采购人</w:t>
      </w:r>
      <w:r>
        <w:rPr>
          <w:szCs w:val="21"/>
        </w:rPr>
        <w:t>有权解除项目，并有权依照本项目约定的违约条款追究供应商的违约责任。</w:t>
      </w:r>
    </w:p>
    <w:p w14:paraId="5D4FB8C4">
      <w:pPr>
        <w:pStyle w:val="3"/>
        <w:rPr>
          <w:rFonts w:hint="eastAsia"/>
        </w:rPr>
      </w:pPr>
      <w:bookmarkStart w:id="23" w:name="_Toc63785509"/>
      <w:r>
        <w:rPr>
          <w:rFonts w:hint="eastAsia"/>
        </w:rPr>
        <w:t>进度要求</w:t>
      </w:r>
      <w:bookmarkEnd w:id="23"/>
    </w:p>
    <w:p w14:paraId="38238C75">
      <w:pPr>
        <w:rPr>
          <w:rFonts w:hint="eastAsia"/>
        </w:rPr>
      </w:pPr>
      <w:r>
        <w:rPr>
          <w:rFonts w:hint="eastAsia"/>
        </w:rPr>
        <w:t>供应商应根据建设内容，分阶段制定合理的时间进度，并且应根据采购人要求进行调整和细化。</w:t>
      </w:r>
    </w:p>
    <w:p w14:paraId="46D041F0">
      <w:pPr>
        <w:rPr>
          <w:rFonts w:hint="eastAsia"/>
        </w:rPr>
      </w:pPr>
      <w:r>
        <w:rPr>
          <w:rFonts w:hint="eastAsia"/>
        </w:rPr>
        <w:t>总建设周期为自合同签订之日起至2025年11月30日</w:t>
      </w:r>
      <w:r>
        <w:t>，分为4个阶段。</w:t>
      </w:r>
    </w:p>
    <w:p w14:paraId="3E7E816F">
      <w:pPr>
        <w:rPr>
          <w:rFonts w:hint="eastAsia"/>
        </w:rPr>
      </w:pPr>
      <w:r>
        <w:rPr>
          <w:rFonts w:hint="eastAsia"/>
        </w:rPr>
        <w:t>第一阶段，</w:t>
      </w:r>
      <w:r>
        <w:t>完成系统架构、基础资源、功能等详细设计。</w:t>
      </w:r>
    </w:p>
    <w:p w14:paraId="163852B9">
      <w:pPr>
        <w:rPr>
          <w:rFonts w:hint="eastAsia"/>
        </w:rPr>
      </w:pPr>
      <w:r>
        <w:rPr>
          <w:rFonts w:hint="eastAsia"/>
        </w:rPr>
        <w:t>第二阶段</w:t>
      </w:r>
      <w:r>
        <w:t>，完成各功能模块的开发。</w:t>
      </w:r>
    </w:p>
    <w:p w14:paraId="09CA3D0E">
      <w:pPr>
        <w:rPr>
          <w:rFonts w:hint="eastAsia"/>
        </w:rPr>
      </w:pPr>
      <w:r>
        <w:rPr>
          <w:rFonts w:hint="eastAsia"/>
        </w:rPr>
        <w:t>第三阶段</w:t>
      </w:r>
      <w:r>
        <w:t>，进行项目功能试运行，完成系统完善和功能迭代。</w:t>
      </w:r>
    </w:p>
    <w:p w14:paraId="0017EE7F">
      <w:pPr>
        <w:rPr>
          <w:rFonts w:hint="eastAsia"/>
        </w:rPr>
      </w:pPr>
      <w:r>
        <w:rPr>
          <w:rFonts w:hint="eastAsia"/>
        </w:rPr>
        <w:t>第四阶段</w:t>
      </w:r>
      <w:r>
        <w:t>，开展项目测评，完成项目验收。</w:t>
      </w:r>
    </w:p>
    <w:p w14:paraId="31253403">
      <w:pPr>
        <w:pStyle w:val="3"/>
        <w:rPr>
          <w:rFonts w:hint="eastAsia"/>
        </w:rPr>
      </w:pPr>
      <w:bookmarkStart w:id="24" w:name="_Toc63785510"/>
      <w:r>
        <w:rPr>
          <w:rFonts w:hint="eastAsia"/>
        </w:rPr>
        <w:t>项目团队及驻场人员要求</w:t>
      </w:r>
      <w:bookmarkEnd w:id="24"/>
    </w:p>
    <w:p w14:paraId="7B492191">
      <w:pPr>
        <w:rPr>
          <w:rFonts w:hint="eastAsia"/>
        </w:rPr>
      </w:pPr>
      <w:r>
        <w:t>1）</w:t>
      </w:r>
      <w:r>
        <w:rPr>
          <w:rFonts w:hint="eastAsia"/>
        </w:rPr>
        <w:t>供应商</w:t>
      </w:r>
      <w:r>
        <w:t>必须具有稳定的在职技术保障力量，能够提供及时的技术支援或服务，应针对本项目提供不少于</w:t>
      </w:r>
      <w:r>
        <w:rPr>
          <w:rFonts w:hint="eastAsia"/>
        </w:rPr>
        <w:t>14</w:t>
      </w:r>
      <w:r>
        <w:t>人的项目服务团队</w:t>
      </w:r>
      <w:r>
        <w:rPr>
          <w:rFonts w:hint="eastAsia"/>
        </w:rPr>
        <w:t>，</w:t>
      </w:r>
      <w:r>
        <w:t>服务团队</w:t>
      </w:r>
      <w:r>
        <w:rPr>
          <w:rFonts w:hint="eastAsia"/>
        </w:rPr>
        <w:t>至少5人驻场，</w:t>
      </w:r>
      <w:r>
        <w:t>包括项目经理、产品经理、技术负责人、</w:t>
      </w:r>
      <w:r>
        <w:rPr>
          <w:rFonts w:hint="eastAsia"/>
        </w:rPr>
        <w:t>软件工程师</w:t>
      </w:r>
      <w:r>
        <w:t>等，投标单位的相关服务人员需具备相应的服务能力，需提供相关证明（最近一个季度</w:t>
      </w:r>
      <w:r>
        <w:rPr>
          <w:rFonts w:hint="eastAsia"/>
          <w:lang w:eastAsia="zh-CN"/>
        </w:rPr>
        <w:t>任意一个月</w:t>
      </w:r>
      <w:r>
        <w:t>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338"/>
        <w:gridCol w:w="1180"/>
        <w:gridCol w:w="1938"/>
        <w:gridCol w:w="1656"/>
      </w:tblGrid>
      <w:tr w14:paraId="1F13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69BE1CE">
            <w:pPr>
              <w:widowControl/>
              <w:spacing w:line="240" w:lineRule="auto"/>
              <w:ind w:firstLine="0" w:firstLineChars="0"/>
              <w:jc w:val="center"/>
              <w:rPr>
                <w:rFonts w:hint="eastAsia"/>
                <w:b/>
              </w:rPr>
            </w:pPr>
            <w:r>
              <w:rPr>
                <w:rFonts w:hint="eastAsia"/>
                <w:b/>
              </w:rPr>
              <w:t>角色</w:t>
            </w:r>
          </w:p>
        </w:tc>
        <w:tc>
          <w:tcPr>
            <w:tcW w:w="0" w:type="auto"/>
            <w:shd w:val="clear" w:color="auto" w:fill="auto"/>
            <w:noWrap/>
            <w:vAlign w:val="center"/>
          </w:tcPr>
          <w:p w14:paraId="1532777A">
            <w:pPr>
              <w:widowControl/>
              <w:spacing w:line="240" w:lineRule="auto"/>
              <w:ind w:firstLine="0" w:firstLineChars="0"/>
              <w:jc w:val="center"/>
              <w:rPr>
                <w:rFonts w:hint="eastAsia"/>
                <w:b/>
              </w:rPr>
            </w:pPr>
            <w:r>
              <w:rPr>
                <w:rFonts w:hint="eastAsia"/>
                <w:b/>
              </w:rPr>
              <w:t>主要职责</w:t>
            </w:r>
          </w:p>
        </w:tc>
        <w:tc>
          <w:tcPr>
            <w:tcW w:w="0" w:type="auto"/>
            <w:shd w:val="clear" w:color="auto" w:fill="auto"/>
            <w:noWrap/>
            <w:vAlign w:val="center"/>
          </w:tcPr>
          <w:p w14:paraId="4C1E3C6A">
            <w:pPr>
              <w:widowControl/>
              <w:spacing w:line="240" w:lineRule="auto"/>
              <w:ind w:firstLine="0" w:firstLineChars="0"/>
              <w:jc w:val="center"/>
              <w:rPr>
                <w:rFonts w:hint="eastAsia"/>
                <w:b/>
              </w:rPr>
            </w:pPr>
            <w:r>
              <w:rPr>
                <w:rFonts w:hint="eastAsia"/>
                <w:b/>
              </w:rPr>
              <w:t>人员数量</w:t>
            </w:r>
          </w:p>
        </w:tc>
        <w:tc>
          <w:tcPr>
            <w:tcW w:w="1938" w:type="dxa"/>
            <w:vAlign w:val="center"/>
          </w:tcPr>
          <w:p w14:paraId="3F009815">
            <w:pPr>
              <w:widowControl/>
              <w:spacing w:line="240" w:lineRule="auto"/>
              <w:ind w:firstLine="0" w:firstLineChars="0"/>
              <w:jc w:val="center"/>
              <w:rPr>
                <w:rFonts w:hint="eastAsia"/>
                <w:b/>
              </w:rPr>
            </w:pPr>
            <w:r>
              <w:rPr>
                <w:rFonts w:hint="eastAsia"/>
                <w:b/>
              </w:rPr>
              <w:t>人员要求</w:t>
            </w:r>
          </w:p>
        </w:tc>
        <w:tc>
          <w:tcPr>
            <w:tcW w:w="1656" w:type="dxa"/>
            <w:shd w:val="clear" w:color="auto" w:fill="auto"/>
            <w:noWrap/>
            <w:vAlign w:val="center"/>
          </w:tcPr>
          <w:p w14:paraId="14D734D9">
            <w:pPr>
              <w:widowControl/>
              <w:spacing w:line="240" w:lineRule="auto"/>
              <w:ind w:firstLine="0" w:firstLineChars="0"/>
              <w:jc w:val="center"/>
              <w:rPr>
                <w:rFonts w:hint="eastAsia"/>
                <w:b/>
              </w:rPr>
            </w:pPr>
            <w:r>
              <w:rPr>
                <w:rFonts w:hint="eastAsia"/>
                <w:b/>
              </w:rPr>
              <w:t>驻场要求</w:t>
            </w:r>
          </w:p>
        </w:tc>
      </w:tr>
      <w:tr w14:paraId="2A91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DAA37EB">
            <w:pPr>
              <w:widowControl/>
              <w:spacing w:line="240" w:lineRule="auto"/>
              <w:ind w:firstLine="0" w:firstLineChars="0"/>
              <w:jc w:val="center"/>
              <w:rPr>
                <w:rFonts w:hint="eastAsia"/>
              </w:rPr>
            </w:pPr>
            <w:r>
              <w:rPr>
                <w:rFonts w:hint="eastAsia"/>
              </w:rPr>
              <w:t>项目经理</w:t>
            </w:r>
          </w:p>
        </w:tc>
        <w:tc>
          <w:tcPr>
            <w:tcW w:w="0" w:type="auto"/>
            <w:shd w:val="clear" w:color="auto" w:fill="auto"/>
            <w:vAlign w:val="center"/>
          </w:tcPr>
          <w:p w14:paraId="463019D9">
            <w:pPr>
              <w:widowControl/>
              <w:spacing w:line="240" w:lineRule="auto"/>
              <w:ind w:firstLine="0" w:firstLineChars="0"/>
              <w:jc w:val="center"/>
              <w:rPr>
                <w:rFonts w:hint="eastAsia"/>
              </w:rPr>
            </w:pPr>
            <w:r>
              <w:rPr>
                <w:rFonts w:hint="eastAsia"/>
              </w:rPr>
              <w:t>负责项目质量和进度控制</w:t>
            </w:r>
          </w:p>
        </w:tc>
        <w:tc>
          <w:tcPr>
            <w:tcW w:w="0" w:type="auto"/>
            <w:shd w:val="clear" w:color="auto" w:fill="auto"/>
            <w:noWrap/>
            <w:vAlign w:val="center"/>
          </w:tcPr>
          <w:p w14:paraId="3E5C6DC1">
            <w:pPr>
              <w:widowControl/>
              <w:spacing w:line="240" w:lineRule="auto"/>
              <w:ind w:firstLine="0" w:firstLineChars="0"/>
              <w:jc w:val="center"/>
              <w:rPr>
                <w:rFonts w:hint="eastAsia"/>
              </w:rPr>
            </w:pPr>
            <w:r>
              <w:t>1</w:t>
            </w:r>
            <w:r>
              <w:rPr>
                <w:rFonts w:hint="eastAsia"/>
              </w:rPr>
              <w:t>人</w:t>
            </w:r>
          </w:p>
        </w:tc>
        <w:tc>
          <w:tcPr>
            <w:tcW w:w="1938" w:type="dxa"/>
            <w:vAlign w:val="center"/>
          </w:tcPr>
          <w:p w14:paraId="7AEB495F">
            <w:pPr>
              <w:widowControl/>
              <w:spacing w:line="240" w:lineRule="auto"/>
              <w:ind w:firstLine="0" w:firstLineChars="0"/>
              <w:jc w:val="center"/>
              <w:rPr>
                <w:rFonts w:hint="eastAsia"/>
              </w:rPr>
            </w:pPr>
            <w:r>
              <w:rPr>
                <w:rFonts w:hint="eastAsia"/>
              </w:rPr>
              <w:t>本科以上学历，</w:t>
            </w:r>
            <w:r>
              <w:t>5年以上软件开发</w:t>
            </w:r>
            <w:r>
              <w:rPr>
                <w:rFonts w:hint="eastAsia"/>
              </w:rPr>
              <w:t>项目</w:t>
            </w:r>
            <w:r>
              <w:t>经验</w:t>
            </w:r>
            <w:r>
              <w:rPr>
                <w:rFonts w:hint="eastAsia"/>
              </w:rPr>
              <w:t>，具备信息系统项目管理师证书</w:t>
            </w:r>
          </w:p>
        </w:tc>
        <w:tc>
          <w:tcPr>
            <w:tcW w:w="1656" w:type="dxa"/>
            <w:shd w:val="clear" w:color="auto" w:fill="auto"/>
            <w:noWrap/>
            <w:vAlign w:val="center"/>
          </w:tcPr>
          <w:p w14:paraId="2F6AAD8F">
            <w:pPr>
              <w:widowControl/>
              <w:spacing w:line="240" w:lineRule="auto"/>
              <w:ind w:firstLine="0" w:firstLineChars="0"/>
              <w:jc w:val="center"/>
              <w:rPr>
                <w:rFonts w:hint="eastAsia"/>
              </w:rPr>
            </w:pPr>
            <w:r>
              <w:rPr>
                <w:rFonts w:hint="eastAsia"/>
              </w:rPr>
              <w:t>驻场</w:t>
            </w:r>
          </w:p>
        </w:tc>
      </w:tr>
      <w:tr w14:paraId="3FA4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3BB0973">
            <w:pPr>
              <w:widowControl/>
              <w:spacing w:line="240" w:lineRule="auto"/>
              <w:ind w:firstLine="0" w:firstLineChars="0"/>
              <w:jc w:val="center"/>
              <w:rPr>
                <w:rFonts w:hint="eastAsia"/>
              </w:rPr>
            </w:pPr>
            <w:r>
              <w:rPr>
                <w:rFonts w:hint="eastAsia"/>
              </w:rPr>
              <w:t>技术负责人</w:t>
            </w:r>
          </w:p>
        </w:tc>
        <w:tc>
          <w:tcPr>
            <w:tcW w:w="0" w:type="auto"/>
            <w:shd w:val="clear" w:color="auto" w:fill="auto"/>
            <w:vAlign w:val="center"/>
          </w:tcPr>
          <w:p w14:paraId="196669D4">
            <w:pPr>
              <w:widowControl/>
              <w:spacing w:line="240" w:lineRule="auto"/>
              <w:ind w:firstLine="0" w:firstLineChars="0"/>
              <w:jc w:val="center"/>
              <w:rPr>
                <w:rFonts w:hint="eastAsia"/>
              </w:rPr>
            </w:pPr>
            <w:r>
              <w:rPr>
                <w:rFonts w:hint="eastAsia"/>
              </w:rPr>
              <w:t>负责项目整体技术设计及审核</w:t>
            </w:r>
          </w:p>
        </w:tc>
        <w:tc>
          <w:tcPr>
            <w:tcW w:w="0" w:type="auto"/>
            <w:shd w:val="clear" w:color="auto" w:fill="auto"/>
            <w:noWrap/>
            <w:vAlign w:val="center"/>
          </w:tcPr>
          <w:p w14:paraId="08F6B6D2">
            <w:pPr>
              <w:widowControl/>
              <w:spacing w:line="240" w:lineRule="auto"/>
              <w:ind w:firstLine="0" w:firstLineChars="0"/>
              <w:jc w:val="center"/>
              <w:rPr>
                <w:rFonts w:hint="eastAsia"/>
              </w:rPr>
            </w:pPr>
            <w:r>
              <w:rPr>
                <w:rFonts w:hint="eastAsia"/>
              </w:rPr>
              <w:t>1人</w:t>
            </w:r>
          </w:p>
        </w:tc>
        <w:tc>
          <w:tcPr>
            <w:tcW w:w="1938" w:type="dxa"/>
            <w:vAlign w:val="center"/>
          </w:tcPr>
          <w:p w14:paraId="7BD050BB">
            <w:pPr>
              <w:widowControl/>
              <w:spacing w:line="240" w:lineRule="auto"/>
              <w:ind w:firstLine="0" w:firstLineChars="0"/>
              <w:jc w:val="center"/>
              <w:rPr>
                <w:rFonts w:hint="eastAsia"/>
              </w:rPr>
            </w:pPr>
            <w:r>
              <w:rPr>
                <w:rFonts w:hint="eastAsia"/>
              </w:rPr>
              <w:t>本科以上学历，</w:t>
            </w:r>
            <w:r>
              <w:t>5年以上软件开发/实施/服务经验</w:t>
            </w:r>
          </w:p>
        </w:tc>
        <w:tc>
          <w:tcPr>
            <w:tcW w:w="1656" w:type="dxa"/>
            <w:shd w:val="clear" w:color="auto" w:fill="auto"/>
            <w:noWrap/>
            <w:vAlign w:val="center"/>
          </w:tcPr>
          <w:p w14:paraId="01B609DA">
            <w:pPr>
              <w:widowControl/>
              <w:spacing w:line="240" w:lineRule="auto"/>
              <w:ind w:firstLine="0" w:firstLineChars="0"/>
              <w:jc w:val="center"/>
              <w:rPr>
                <w:rFonts w:hint="eastAsia"/>
              </w:rPr>
            </w:pPr>
            <w:r>
              <w:rPr>
                <w:rFonts w:hint="eastAsia"/>
              </w:rPr>
              <w:t>不驻场</w:t>
            </w:r>
          </w:p>
        </w:tc>
      </w:tr>
      <w:tr w14:paraId="70AA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C3C3BB7">
            <w:pPr>
              <w:widowControl/>
              <w:spacing w:line="240" w:lineRule="auto"/>
              <w:ind w:firstLine="0" w:firstLineChars="0"/>
              <w:jc w:val="center"/>
              <w:rPr>
                <w:rFonts w:hint="eastAsia"/>
              </w:rPr>
            </w:pPr>
            <w:r>
              <w:rPr>
                <w:rFonts w:hint="eastAsia"/>
              </w:rPr>
              <w:t>产品经理</w:t>
            </w:r>
          </w:p>
        </w:tc>
        <w:tc>
          <w:tcPr>
            <w:tcW w:w="0" w:type="auto"/>
            <w:shd w:val="clear" w:color="auto" w:fill="auto"/>
            <w:vAlign w:val="center"/>
          </w:tcPr>
          <w:p w14:paraId="4DCB8969">
            <w:pPr>
              <w:widowControl/>
              <w:spacing w:line="240" w:lineRule="auto"/>
              <w:ind w:firstLine="0" w:firstLineChars="0"/>
              <w:jc w:val="center"/>
              <w:rPr>
                <w:rFonts w:hint="eastAsia"/>
              </w:rPr>
            </w:pPr>
            <w:r>
              <w:rPr>
                <w:rFonts w:hint="eastAsia"/>
              </w:rPr>
              <w:t>负责项目需求评估与产品设计</w:t>
            </w:r>
          </w:p>
        </w:tc>
        <w:tc>
          <w:tcPr>
            <w:tcW w:w="0" w:type="auto"/>
            <w:shd w:val="clear" w:color="auto" w:fill="auto"/>
            <w:noWrap/>
            <w:vAlign w:val="center"/>
          </w:tcPr>
          <w:p w14:paraId="14636840">
            <w:pPr>
              <w:widowControl/>
              <w:spacing w:line="240" w:lineRule="auto"/>
              <w:ind w:firstLine="0" w:firstLineChars="0"/>
              <w:jc w:val="center"/>
              <w:rPr>
                <w:rFonts w:hint="eastAsia"/>
              </w:rPr>
            </w:pPr>
            <w:r>
              <w:rPr>
                <w:rFonts w:hint="eastAsia"/>
              </w:rPr>
              <w:t>1人</w:t>
            </w:r>
          </w:p>
        </w:tc>
        <w:tc>
          <w:tcPr>
            <w:tcW w:w="1938" w:type="dxa"/>
            <w:vAlign w:val="center"/>
          </w:tcPr>
          <w:p w14:paraId="44A31054">
            <w:pPr>
              <w:widowControl/>
              <w:spacing w:line="240" w:lineRule="auto"/>
              <w:ind w:firstLine="0" w:firstLineChars="0"/>
              <w:jc w:val="center"/>
              <w:rPr>
                <w:rFonts w:hint="eastAsia"/>
              </w:rPr>
            </w:pPr>
            <w:r>
              <w:rPr>
                <w:rFonts w:hint="eastAsia"/>
              </w:rPr>
              <w:t>本科以上学历，</w:t>
            </w:r>
            <w:r>
              <w:t>5年以上软件开发/实施/服务经验</w:t>
            </w:r>
          </w:p>
        </w:tc>
        <w:tc>
          <w:tcPr>
            <w:tcW w:w="1656" w:type="dxa"/>
            <w:shd w:val="clear" w:color="auto" w:fill="auto"/>
            <w:noWrap/>
            <w:vAlign w:val="center"/>
          </w:tcPr>
          <w:p w14:paraId="3EB63F62">
            <w:pPr>
              <w:widowControl/>
              <w:spacing w:line="240" w:lineRule="auto"/>
              <w:ind w:firstLine="0" w:firstLineChars="0"/>
              <w:jc w:val="center"/>
              <w:rPr>
                <w:rFonts w:hint="eastAsia"/>
              </w:rPr>
            </w:pPr>
            <w:r>
              <w:rPr>
                <w:rFonts w:hint="eastAsia"/>
              </w:rPr>
              <w:t>不驻场</w:t>
            </w:r>
          </w:p>
        </w:tc>
      </w:tr>
      <w:tr w14:paraId="2D73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51C1E2BE">
            <w:pPr>
              <w:widowControl/>
              <w:spacing w:line="240" w:lineRule="auto"/>
              <w:ind w:firstLine="0" w:firstLineChars="0"/>
              <w:jc w:val="center"/>
              <w:rPr>
                <w:rFonts w:hint="eastAsia"/>
              </w:rPr>
            </w:pPr>
            <w:r>
              <w:rPr>
                <w:rFonts w:hint="eastAsia"/>
              </w:rPr>
              <w:t>软件工程师</w:t>
            </w:r>
          </w:p>
        </w:tc>
        <w:tc>
          <w:tcPr>
            <w:tcW w:w="0" w:type="auto"/>
            <w:shd w:val="clear" w:color="auto" w:fill="auto"/>
            <w:noWrap/>
            <w:vAlign w:val="center"/>
          </w:tcPr>
          <w:p w14:paraId="162482BF">
            <w:pPr>
              <w:widowControl/>
              <w:spacing w:line="240" w:lineRule="auto"/>
              <w:ind w:firstLine="0" w:firstLineChars="0"/>
              <w:jc w:val="center"/>
              <w:rPr>
                <w:rFonts w:hint="eastAsia"/>
              </w:rPr>
            </w:pPr>
            <w:r>
              <w:rPr>
                <w:rFonts w:hint="eastAsia"/>
              </w:rPr>
              <w:t>负责项目具体开发</w:t>
            </w:r>
          </w:p>
        </w:tc>
        <w:tc>
          <w:tcPr>
            <w:tcW w:w="0" w:type="auto"/>
            <w:shd w:val="clear" w:color="auto" w:fill="auto"/>
            <w:noWrap/>
            <w:vAlign w:val="center"/>
          </w:tcPr>
          <w:p w14:paraId="11B88632">
            <w:pPr>
              <w:widowControl/>
              <w:spacing w:line="240" w:lineRule="auto"/>
              <w:ind w:firstLine="0" w:firstLineChars="0"/>
              <w:jc w:val="center"/>
              <w:rPr>
                <w:rFonts w:hint="eastAsia"/>
              </w:rPr>
            </w:pPr>
            <w:r>
              <w:rPr>
                <w:rFonts w:hint="eastAsia"/>
              </w:rPr>
              <w:t>11人</w:t>
            </w:r>
          </w:p>
        </w:tc>
        <w:tc>
          <w:tcPr>
            <w:tcW w:w="1938" w:type="dxa"/>
            <w:vAlign w:val="center"/>
          </w:tcPr>
          <w:p w14:paraId="6F00F777">
            <w:pPr>
              <w:widowControl/>
              <w:spacing w:line="240" w:lineRule="auto"/>
              <w:ind w:firstLine="0" w:firstLineChars="0"/>
              <w:jc w:val="center"/>
              <w:rPr>
                <w:rFonts w:hint="eastAsia"/>
              </w:rPr>
            </w:pPr>
            <w:r>
              <w:rPr>
                <w:rFonts w:hint="eastAsia"/>
              </w:rPr>
              <w:t>本科以上学历，</w:t>
            </w:r>
            <w:r>
              <w:t>2年以上软件开发/实施/服务经验</w:t>
            </w:r>
          </w:p>
        </w:tc>
        <w:tc>
          <w:tcPr>
            <w:tcW w:w="1656" w:type="dxa"/>
            <w:shd w:val="clear" w:color="auto" w:fill="auto"/>
            <w:noWrap/>
            <w:vAlign w:val="center"/>
          </w:tcPr>
          <w:p w14:paraId="13227F21">
            <w:pPr>
              <w:widowControl/>
              <w:spacing w:line="240" w:lineRule="auto"/>
              <w:ind w:firstLine="0" w:firstLineChars="0"/>
              <w:jc w:val="center"/>
              <w:rPr>
                <w:rFonts w:hint="eastAsia"/>
              </w:rPr>
            </w:pPr>
            <w:r>
              <w:rPr>
                <w:rFonts w:hint="eastAsia"/>
              </w:rPr>
              <w:t>至少4人驻场</w:t>
            </w:r>
          </w:p>
        </w:tc>
      </w:tr>
    </w:tbl>
    <w:p w14:paraId="052CE784">
      <w:pPr>
        <w:rPr>
          <w:rFonts w:hint="eastAsia"/>
        </w:rPr>
      </w:pPr>
    </w:p>
    <w:p w14:paraId="7D6C9983">
      <w:pPr>
        <w:numPr>
          <w:ilvl w:val="0"/>
          <w:numId w:val="5"/>
        </w:numPr>
      </w:pPr>
      <w:r>
        <w:rPr>
          <w:rFonts w:hint="eastAsia"/>
        </w:rPr>
        <w:t>供应商</w:t>
      </w:r>
      <w:r>
        <w:t>应针对本项目提供不少于</w:t>
      </w:r>
      <w:r>
        <w:rPr>
          <w:rFonts w:hint="eastAsia"/>
        </w:rPr>
        <w:t>6</w:t>
      </w:r>
      <w:r>
        <w:t>人的质保期间支撑团队（其中技术经理1人，产品经理1人，技术工程师不少于</w:t>
      </w:r>
      <w:r>
        <w:rPr>
          <w:rFonts w:hint="eastAsia"/>
        </w:rPr>
        <w:t>4</w:t>
      </w:r>
      <w:r>
        <w:t>人）；</w:t>
      </w:r>
      <w:r>
        <w:rPr>
          <w:rFonts w:hint="eastAsia"/>
        </w:rPr>
        <w:t>供应商</w:t>
      </w:r>
      <w:r>
        <w:t>的相关服务人员需具备相应的服务能力，需提供相关证明（最近一个季度</w:t>
      </w:r>
      <w:r>
        <w:rPr>
          <w:rFonts w:hint="eastAsia"/>
          <w:lang w:eastAsia="zh-CN"/>
        </w:rPr>
        <w:t>任意一个月</w:t>
      </w:r>
      <w:r>
        <w:t>依法缴纳社保费的证明）。</w:t>
      </w:r>
      <w:bookmarkStart w:id="28" w:name="_GoBack"/>
      <w:bookmarkEnd w:id="28"/>
    </w:p>
    <w:tbl>
      <w:tblPr>
        <w:tblStyle w:val="35"/>
        <w:tblpPr w:leftFromText="180" w:rightFromText="180" w:vertAnchor="text" w:horzAnchor="page" w:tblpX="1897" w:tblpY="3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450"/>
        <w:gridCol w:w="1180"/>
        <w:gridCol w:w="1826"/>
        <w:gridCol w:w="1656"/>
      </w:tblGrid>
      <w:tr w14:paraId="3D87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auto" w:fill="auto"/>
            <w:noWrap/>
            <w:vAlign w:val="center"/>
          </w:tcPr>
          <w:p w14:paraId="73BAA334">
            <w:pPr>
              <w:widowControl/>
              <w:spacing w:line="240" w:lineRule="auto"/>
              <w:ind w:firstLine="0" w:firstLineChars="0"/>
              <w:jc w:val="center"/>
              <w:rPr>
                <w:rFonts w:hint="eastAsia"/>
                <w:b/>
              </w:rPr>
            </w:pPr>
            <w:r>
              <w:rPr>
                <w:rFonts w:hint="eastAsia"/>
                <w:b/>
              </w:rPr>
              <w:t>角色</w:t>
            </w:r>
          </w:p>
        </w:tc>
        <w:tc>
          <w:tcPr>
            <w:tcW w:w="0" w:type="auto"/>
            <w:shd w:val="clear" w:color="auto" w:fill="auto"/>
            <w:noWrap/>
            <w:vAlign w:val="center"/>
          </w:tcPr>
          <w:p w14:paraId="3DF9F9A5">
            <w:pPr>
              <w:widowControl/>
              <w:spacing w:line="240" w:lineRule="auto"/>
              <w:ind w:firstLine="0" w:firstLineChars="0"/>
              <w:jc w:val="center"/>
              <w:rPr>
                <w:rFonts w:hint="eastAsia"/>
                <w:b/>
              </w:rPr>
            </w:pPr>
            <w:r>
              <w:rPr>
                <w:rFonts w:hint="eastAsia"/>
                <w:b/>
              </w:rPr>
              <w:t>主要职责</w:t>
            </w:r>
          </w:p>
        </w:tc>
        <w:tc>
          <w:tcPr>
            <w:tcW w:w="0" w:type="auto"/>
            <w:shd w:val="clear" w:color="auto" w:fill="auto"/>
            <w:noWrap/>
            <w:vAlign w:val="center"/>
          </w:tcPr>
          <w:p w14:paraId="05749615">
            <w:pPr>
              <w:widowControl/>
              <w:spacing w:line="240" w:lineRule="auto"/>
              <w:ind w:firstLine="0" w:firstLineChars="0"/>
              <w:jc w:val="center"/>
              <w:rPr>
                <w:rFonts w:hint="eastAsia"/>
                <w:b/>
              </w:rPr>
            </w:pPr>
            <w:r>
              <w:rPr>
                <w:rFonts w:hint="eastAsia"/>
                <w:b/>
              </w:rPr>
              <w:t>人员数量</w:t>
            </w:r>
          </w:p>
        </w:tc>
        <w:tc>
          <w:tcPr>
            <w:tcW w:w="0" w:type="auto"/>
            <w:vAlign w:val="center"/>
          </w:tcPr>
          <w:p w14:paraId="40EE62DB">
            <w:pPr>
              <w:widowControl/>
              <w:spacing w:line="240" w:lineRule="auto"/>
              <w:ind w:firstLine="0" w:firstLineChars="0"/>
              <w:jc w:val="center"/>
              <w:rPr>
                <w:rFonts w:hint="eastAsia"/>
                <w:b/>
              </w:rPr>
            </w:pPr>
            <w:r>
              <w:rPr>
                <w:rFonts w:hint="eastAsia"/>
                <w:b/>
              </w:rPr>
              <w:t>人员要求</w:t>
            </w:r>
          </w:p>
        </w:tc>
        <w:tc>
          <w:tcPr>
            <w:tcW w:w="0" w:type="auto"/>
            <w:shd w:val="clear" w:color="auto" w:fill="auto"/>
            <w:noWrap/>
            <w:vAlign w:val="center"/>
          </w:tcPr>
          <w:p w14:paraId="4A6F3A82">
            <w:pPr>
              <w:widowControl/>
              <w:spacing w:line="240" w:lineRule="auto"/>
              <w:ind w:firstLine="0" w:firstLineChars="0"/>
              <w:jc w:val="center"/>
              <w:rPr>
                <w:rFonts w:hint="eastAsia"/>
                <w:b/>
              </w:rPr>
            </w:pPr>
            <w:r>
              <w:rPr>
                <w:rFonts w:hint="eastAsia"/>
                <w:b/>
              </w:rPr>
              <w:t>驻场要求</w:t>
            </w:r>
          </w:p>
        </w:tc>
      </w:tr>
      <w:tr w14:paraId="5FD2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auto" w:fill="auto"/>
            <w:noWrap/>
            <w:vAlign w:val="center"/>
          </w:tcPr>
          <w:p w14:paraId="2771F00E">
            <w:pPr>
              <w:widowControl/>
              <w:spacing w:line="240" w:lineRule="auto"/>
              <w:ind w:firstLine="0" w:firstLineChars="0"/>
              <w:jc w:val="center"/>
              <w:rPr>
                <w:rFonts w:hint="eastAsia"/>
              </w:rPr>
            </w:pPr>
            <w:r>
              <w:rPr>
                <w:rFonts w:hint="eastAsia"/>
              </w:rPr>
              <w:t>项目经理</w:t>
            </w:r>
          </w:p>
        </w:tc>
        <w:tc>
          <w:tcPr>
            <w:tcW w:w="0" w:type="auto"/>
            <w:shd w:val="clear" w:color="auto" w:fill="auto"/>
            <w:vAlign w:val="center"/>
          </w:tcPr>
          <w:p w14:paraId="06E1555E">
            <w:pPr>
              <w:widowControl/>
              <w:spacing w:line="240" w:lineRule="auto"/>
              <w:ind w:firstLine="0" w:firstLineChars="0"/>
              <w:jc w:val="center"/>
              <w:rPr>
                <w:rFonts w:hint="eastAsia"/>
              </w:rPr>
            </w:pPr>
            <w:r>
              <w:rPr>
                <w:rFonts w:hint="eastAsia"/>
              </w:rPr>
              <w:t>负责项目质量和进度控制</w:t>
            </w:r>
          </w:p>
        </w:tc>
        <w:tc>
          <w:tcPr>
            <w:tcW w:w="0" w:type="auto"/>
            <w:shd w:val="clear" w:color="auto" w:fill="auto"/>
            <w:noWrap/>
            <w:vAlign w:val="center"/>
          </w:tcPr>
          <w:p w14:paraId="35EBD9A4">
            <w:pPr>
              <w:widowControl/>
              <w:spacing w:line="240" w:lineRule="auto"/>
              <w:ind w:firstLine="0" w:firstLineChars="0"/>
              <w:jc w:val="center"/>
              <w:rPr>
                <w:rFonts w:hint="eastAsia"/>
              </w:rPr>
            </w:pPr>
            <w:r>
              <w:t>1</w:t>
            </w:r>
            <w:r>
              <w:rPr>
                <w:rFonts w:hint="eastAsia"/>
              </w:rPr>
              <w:t>人</w:t>
            </w:r>
          </w:p>
        </w:tc>
        <w:tc>
          <w:tcPr>
            <w:tcW w:w="0" w:type="auto"/>
            <w:vAlign w:val="center"/>
          </w:tcPr>
          <w:p w14:paraId="5BE27657">
            <w:pPr>
              <w:widowControl/>
              <w:spacing w:line="240" w:lineRule="auto"/>
              <w:ind w:firstLine="0" w:firstLineChars="0"/>
              <w:jc w:val="left"/>
              <w:rPr>
                <w:rFonts w:hint="eastAsia"/>
              </w:rPr>
            </w:pPr>
            <w:r>
              <w:rPr>
                <w:rFonts w:hint="eastAsia"/>
              </w:rPr>
              <w:t>本科以上学历，具备信息系统项目管理师证书</w:t>
            </w:r>
          </w:p>
        </w:tc>
        <w:tc>
          <w:tcPr>
            <w:tcW w:w="0" w:type="auto"/>
            <w:shd w:val="clear" w:color="auto" w:fill="auto"/>
            <w:noWrap/>
            <w:vAlign w:val="center"/>
          </w:tcPr>
          <w:p w14:paraId="7AC235FB">
            <w:pPr>
              <w:widowControl/>
              <w:spacing w:line="240" w:lineRule="auto"/>
              <w:ind w:firstLine="0" w:firstLineChars="0"/>
              <w:jc w:val="center"/>
              <w:rPr>
                <w:rFonts w:hint="eastAsia"/>
              </w:rPr>
            </w:pPr>
            <w:r>
              <w:rPr>
                <w:rFonts w:hint="eastAsia"/>
                <w:color w:val="000000"/>
              </w:rPr>
              <w:t>不驻场</w:t>
            </w:r>
          </w:p>
        </w:tc>
      </w:tr>
      <w:tr w14:paraId="1AB1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auto" w:fill="auto"/>
            <w:noWrap/>
            <w:vAlign w:val="center"/>
          </w:tcPr>
          <w:p w14:paraId="4B25D764">
            <w:pPr>
              <w:widowControl/>
              <w:spacing w:line="240" w:lineRule="auto"/>
              <w:ind w:firstLine="0" w:firstLineChars="0"/>
              <w:jc w:val="center"/>
              <w:rPr>
                <w:rFonts w:hint="eastAsia"/>
              </w:rPr>
            </w:pPr>
            <w:r>
              <w:rPr>
                <w:rFonts w:hint="eastAsia"/>
              </w:rPr>
              <w:t>产品经理</w:t>
            </w:r>
          </w:p>
        </w:tc>
        <w:tc>
          <w:tcPr>
            <w:tcW w:w="0" w:type="auto"/>
            <w:shd w:val="clear" w:color="auto" w:fill="auto"/>
            <w:vAlign w:val="center"/>
          </w:tcPr>
          <w:p w14:paraId="05227442">
            <w:pPr>
              <w:widowControl/>
              <w:spacing w:line="240" w:lineRule="auto"/>
              <w:ind w:firstLine="0" w:firstLineChars="0"/>
              <w:jc w:val="center"/>
              <w:rPr>
                <w:rFonts w:hint="eastAsia"/>
              </w:rPr>
            </w:pPr>
            <w:r>
              <w:rPr>
                <w:rFonts w:hint="eastAsia"/>
              </w:rPr>
              <w:t>负责项目需求评估与产品设计</w:t>
            </w:r>
          </w:p>
        </w:tc>
        <w:tc>
          <w:tcPr>
            <w:tcW w:w="0" w:type="auto"/>
            <w:shd w:val="clear" w:color="auto" w:fill="auto"/>
            <w:noWrap/>
            <w:vAlign w:val="center"/>
          </w:tcPr>
          <w:p w14:paraId="74A0D5B4">
            <w:pPr>
              <w:widowControl/>
              <w:spacing w:line="240" w:lineRule="auto"/>
              <w:ind w:firstLine="0" w:firstLineChars="0"/>
              <w:jc w:val="center"/>
              <w:rPr>
                <w:rFonts w:hint="eastAsia"/>
              </w:rPr>
            </w:pPr>
            <w:r>
              <w:t>1</w:t>
            </w:r>
            <w:r>
              <w:rPr>
                <w:rFonts w:hint="eastAsia"/>
              </w:rPr>
              <w:t>人</w:t>
            </w:r>
          </w:p>
        </w:tc>
        <w:tc>
          <w:tcPr>
            <w:tcW w:w="0" w:type="auto"/>
            <w:vAlign w:val="center"/>
          </w:tcPr>
          <w:p w14:paraId="6E2574DE">
            <w:pPr>
              <w:widowControl/>
              <w:spacing w:line="240" w:lineRule="auto"/>
              <w:ind w:firstLine="0" w:firstLineChars="0"/>
              <w:jc w:val="center"/>
              <w:rPr>
                <w:rFonts w:hint="eastAsia"/>
              </w:rPr>
            </w:pPr>
            <w:r>
              <w:rPr>
                <w:rFonts w:hint="eastAsia"/>
              </w:rPr>
              <w:t>本科以上学历</w:t>
            </w:r>
          </w:p>
        </w:tc>
        <w:tc>
          <w:tcPr>
            <w:tcW w:w="0" w:type="auto"/>
            <w:shd w:val="clear" w:color="auto" w:fill="auto"/>
            <w:noWrap/>
            <w:vAlign w:val="center"/>
          </w:tcPr>
          <w:p w14:paraId="592250DF">
            <w:pPr>
              <w:widowControl/>
              <w:spacing w:line="240" w:lineRule="auto"/>
              <w:ind w:firstLine="0" w:firstLineChars="0"/>
              <w:jc w:val="center"/>
              <w:rPr>
                <w:rFonts w:hint="eastAsia"/>
              </w:rPr>
            </w:pPr>
            <w:r>
              <w:rPr>
                <w:rFonts w:hint="eastAsia"/>
              </w:rPr>
              <w:t>不驻场</w:t>
            </w:r>
          </w:p>
        </w:tc>
      </w:tr>
      <w:tr w14:paraId="6C37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auto" w:fill="auto"/>
            <w:noWrap/>
            <w:vAlign w:val="center"/>
          </w:tcPr>
          <w:p w14:paraId="341044AB">
            <w:pPr>
              <w:widowControl/>
              <w:spacing w:line="240" w:lineRule="auto"/>
              <w:ind w:firstLine="0" w:firstLineChars="0"/>
              <w:jc w:val="center"/>
              <w:rPr>
                <w:rFonts w:hint="eastAsia"/>
              </w:rPr>
            </w:pPr>
            <w:r>
              <w:rPr>
                <w:rFonts w:hint="eastAsia"/>
              </w:rPr>
              <w:t>技术工程师</w:t>
            </w:r>
          </w:p>
        </w:tc>
        <w:tc>
          <w:tcPr>
            <w:tcW w:w="0" w:type="auto"/>
            <w:shd w:val="clear" w:color="auto" w:fill="auto"/>
            <w:noWrap/>
            <w:vAlign w:val="center"/>
          </w:tcPr>
          <w:p w14:paraId="4F1611CB">
            <w:pPr>
              <w:widowControl/>
              <w:spacing w:line="240" w:lineRule="auto"/>
              <w:ind w:firstLine="0" w:firstLineChars="0"/>
              <w:jc w:val="center"/>
              <w:rPr>
                <w:rFonts w:hint="eastAsia"/>
              </w:rPr>
            </w:pPr>
            <w:r>
              <w:rPr>
                <w:rFonts w:hint="eastAsia"/>
              </w:rPr>
              <w:t>负责项目运行维护</w:t>
            </w:r>
          </w:p>
        </w:tc>
        <w:tc>
          <w:tcPr>
            <w:tcW w:w="0" w:type="auto"/>
            <w:shd w:val="clear" w:color="auto" w:fill="auto"/>
            <w:noWrap/>
            <w:vAlign w:val="center"/>
          </w:tcPr>
          <w:p w14:paraId="7F4B8AD5">
            <w:pPr>
              <w:widowControl/>
              <w:spacing w:line="240" w:lineRule="auto"/>
              <w:ind w:firstLine="0" w:firstLineChars="0"/>
              <w:jc w:val="center"/>
              <w:rPr>
                <w:rFonts w:hint="eastAsia"/>
              </w:rPr>
            </w:pPr>
            <w:r>
              <w:rPr>
                <w:rFonts w:hint="eastAsia"/>
              </w:rPr>
              <w:t>4人</w:t>
            </w:r>
          </w:p>
        </w:tc>
        <w:tc>
          <w:tcPr>
            <w:tcW w:w="0" w:type="auto"/>
            <w:vAlign w:val="center"/>
          </w:tcPr>
          <w:p w14:paraId="79BBF2A9">
            <w:pPr>
              <w:widowControl/>
              <w:spacing w:line="240" w:lineRule="auto"/>
              <w:ind w:firstLine="0" w:firstLineChars="0"/>
              <w:jc w:val="center"/>
              <w:rPr>
                <w:rFonts w:hint="eastAsia"/>
              </w:rPr>
            </w:pPr>
            <w:r>
              <w:rPr>
                <w:rFonts w:hint="eastAsia"/>
              </w:rPr>
              <w:t>本科以上学历</w:t>
            </w:r>
          </w:p>
        </w:tc>
        <w:tc>
          <w:tcPr>
            <w:tcW w:w="0" w:type="auto"/>
            <w:shd w:val="clear" w:color="auto" w:fill="auto"/>
            <w:noWrap/>
            <w:vAlign w:val="center"/>
          </w:tcPr>
          <w:p w14:paraId="34EF9A94">
            <w:pPr>
              <w:widowControl/>
              <w:spacing w:line="240" w:lineRule="auto"/>
              <w:ind w:firstLine="0" w:firstLineChars="0"/>
              <w:jc w:val="center"/>
              <w:rPr>
                <w:rFonts w:hint="eastAsia"/>
              </w:rPr>
            </w:pPr>
            <w:r>
              <w:rPr>
                <w:rFonts w:hint="eastAsia"/>
              </w:rPr>
              <w:t>至少2人驻场</w:t>
            </w:r>
          </w:p>
        </w:tc>
      </w:tr>
    </w:tbl>
    <w:p w14:paraId="61A0CFFE">
      <w:pPr>
        <w:numPr>
          <w:ilvl w:val="0"/>
          <w:numId w:val="5"/>
        </w:numPr>
        <w:rPr>
          <w:rFonts w:hint="eastAsia"/>
        </w:rPr>
      </w:pPr>
      <w:r>
        <w:rPr>
          <w:rFonts w:hint="eastAsia"/>
        </w:rPr>
        <w:t>供应商具有信息技术服务管理体系认证、信息安全管理体系认证、质量管理体系认证</w:t>
      </w:r>
      <w:r>
        <w:rPr>
          <w:rFonts w:hint="eastAsia"/>
          <w:lang w:eastAsia="zh-CN"/>
        </w:rPr>
        <w:t>优先考虑。</w:t>
      </w:r>
    </w:p>
    <w:p w14:paraId="31AB7D6E">
      <w:pPr>
        <w:pStyle w:val="3"/>
        <w:rPr>
          <w:rFonts w:hint="eastAsia"/>
        </w:rPr>
      </w:pPr>
      <w:bookmarkStart w:id="25" w:name="_Toc63785511"/>
      <w:r>
        <w:t>等级保护要求</w:t>
      </w:r>
      <w:bookmarkEnd w:id="25"/>
    </w:p>
    <w:p w14:paraId="1AF7C240">
      <w:pPr>
        <w:rPr>
          <w:rFonts w:hint="eastAsia"/>
        </w:rPr>
      </w:pPr>
      <w:r>
        <w:rPr>
          <w:rFonts w:hint="eastAsia"/>
        </w:rPr>
        <w:t>本项目等级保护要求：参照等保三级要求建设。</w:t>
      </w:r>
    </w:p>
    <w:p w14:paraId="16D0BBCE">
      <w:pPr>
        <w:pStyle w:val="3"/>
        <w:rPr>
          <w:rFonts w:hint="eastAsia"/>
        </w:rPr>
      </w:pPr>
      <w:r>
        <w:rPr>
          <w:rFonts w:hint="eastAsia"/>
        </w:rPr>
        <w:t>商业密码应用需求</w:t>
      </w:r>
    </w:p>
    <w:p w14:paraId="795F2E8F">
      <w:pPr>
        <w:rPr>
          <w:rFonts w:hint="eastAsia"/>
        </w:rPr>
      </w:pPr>
      <w:r>
        <w:rPr>
          <w:rFonts w:hint="eastAsia"/>
        </w:rPr>
        <w:t>依据</w:t>
      </w:r>
      <w:r>
        <w:t>GB/T39786—2021《信息安全技术信息系统密码应用基本要求》，结合本系统风险控制需求分析结果，本系统的主要密码应用需求包括。</w:t>
      </w:r>
    </w:p>
    <w:tbl>
      <w:tblPr>
        <w:tblStyle w:val="35"/>
        <w:tblW w:w="5000" w:type="pct"/>
        <w:jc w:val="center"/>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900"/>
        <w:gridCol w:w="3225"/>
        <w:gridCol w:w="1921"/>
      </w:tblGrid>
      <w:tr w14:paraId="64822339">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69" w:type="pct"/>
            <w:shd w:val="clear" w:color="auto" w:fill="D9D9D9"/>
            <w:vAlign w:val="center"/>
          </w:tcPr>
          <w:p w14:paraId="47BFE2E4">
            <w:pPr>
              <w:widowControl/>
              <w:ind w:firstLine="0" w:firstLineChars="0"/>
              <w:jc w:val="center"/>
              <w:rPr>
                <w:rFonts w:hint="eastAsia"/>
                <w:b/>
                <w:bCs/>
                <w:kern w:val="0"/>
                <w:sz w:val="18"/>
                <w:szCs w:val="18"/>
              </w:rPr>
            </w:pPr>
            <w:r>
              <w:rPr>
                <w:b/>
                <w:bCs/>
                <w:kern w:val="0"/>
                <w:sz w:val="18"/>
                <w:szCs w:val="18"/>
              </w:rPr>
              <w:t>指标要求</w:t>
            </w:r>
          </w:p>
        </w:tc>
        <w:tc>
          <w:tcPr>
            <w:tcW w:w="1114" w:type="pct"/>
            <w:shd w:val="clear" w:color="auto" w:fill="D9D9D9"/>
            <w:vAlign w:val="center"/>
          </w:tcPr>
          <w:p w14:paraId="277020FE">
            <w:pPr>
              <w:widowControl/>
              <w:ind w:firstLine="0" w:firstLineChars="0"/>
              <w:jc w:val="center"/>
              <w:rPr>
                <w:rFonts w:hint="eastAsia"/>
                <w:b/>
                <w:bCs/>
                <w:kern w:val="0"/>
                <w:sz w:val="18"/>
                <w:szCs w:val="18"/>
              </w:rPr>
            </w:pPr>
            <w:r>
              <w:rPr>
                <w:b/>
                <w:bCs/>
                <w:kern w:val="0"/>
                <w:sz w:val="18"/>
                <w:szCs w:val="18"/>
              </w:rPr>
              <w:t>密码技术应用点</w:t>
            </w:r>
          </w:p>
        </w:tc>
        <w:tc>
          <w:tcPr>
            <w:tcW w:w="1891" w:type="pct"/>
            <w:shd w:val="clear" w:color="auto" w:fill="D9D9D9"/>
            <w:vAlign w:val="center"/>
          </w:tcPr>
          <w:p w14:paraId="13AE73C9">
            <w:pPr>
              <w:widowControl/>
              <w:ind w:firstLine="0" w:firstLineChars="0"/>
              <w:jc w:val="center"/>
              <w:rPr>
                <w:rFonts w:hint="eastAsia"/>
                <w:b/>
                <w:bCs/>
                <w:kern w:val="0"/>
                <w:sz w:val="18"/>
                <w:szCs w:val="18"/>
              </w:rPr>
            </w:pPr>
            <w:r>
              <w:rPr>
                <w:rFonts w:hint="eastAsia"/>
                <w:b/>
                <w:bCs/>
                <w:kern w:val="0"/>
                <w:sz w:val="18"/>
                <w:szCs w:val="18"/>
              </w:rPr>
              <w:t>密码应用需求</w:t>
            </w:r>
          </w:p>
        </w:tc>
        <w:tc>
          <w:tcPr>
            <w:tcW w:w="1126" w:type="pct"/>
            <w:shd w:val="clear" w:color="auto" w:fill="D9D9D9"/>
            <w:vAlign w:val="center"/>
          </w:tcPr>
          <w:p w14:paraId="269CB2BF">
            <w:pPr>
              <w:widowControl/>
              <w:ind w:firstLine="0" w:firstLineChars="0"/>
              <w:jc w:val="center"/>
              <w:rPr>
                <w:rFonts w:hint="eastAsia"/>
                <w:b/>
                <w:bCs/>
                <w:kern w:val="0"/>
                <w:sz w:val="18"/>
                <w:szCs w:val="18"/>
              </w:rPr>
            </w:pPr>
            <w:r>
              <w:rPr>
                <w:b/>
                <w:bCs/>
                <w:kern w:val="0"/>
                <w:sz w:val="18"/>
                <w:szCs w:val="18"/>
              </w:rPr>
              <w:t>说明</w:t>
            </w:r>
          </w:p>
        </w:tc>
      </w:tr>
      <w:tr w14:paraId="1567939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6F8E39BD">
            <w:pPr>
              <w:widowControl/>
              <w:ind w:firstLine="0" w:firstLineChars="0"/>
              <w:jc w:val="center"/>
              <w:rPr>
                <w:rFonts w:hint="eastAsia"/>
                <w:kern w:val="0"/>
                <w:sz w:val="18"/>
                <w:szCs w:val="18"/>
              </w:rPr>
            </w:pPr>
            <w:r>
              <w:rPr>
                <w:kern w:val="0"/>
                <w:sz w:val="18"/>
                <w:szCs w:val="18"/>
              </w:rPr>
              <w:t>物理和环境安全</w:t>
            </w:r>
          </w:p>
        </w:tc>
        <w:tc>
          <w:tcPr>
            <w:tcW w:w="1114" w:type="pct"/>
            <w:vAlign w:val="center"/>
          </w:tcPr>
          <w:p w14:paraId="3E4A076A">
            <w:pPr>
              <w:pStyle w:val="115"/>
              <w:ind w:firstLine="0" w:firstLineChars="0"/>
              <w:rPr>
                <w:rFonts w:hint="eastAsia" w:hAnsi="宋体"/>
                <w:sz w:val="18"/>
                <w:szCs w:val="18"/>
              </w:rPr>
            </w:pPr>
            <w:r>
              <w:rPr>
                <w:rFonts w:hint="eastAsia" w:hAnsi="宋体"/>
                <w:sz w:val="18"/>
                <w:szCs w:val="18"/>
              </w:rPr>
              <w:t>身份鉴别</w:t>
            </w:r>
          </w:p>
        </w:tc>
        <w:tc>
          <w:tcPr>
            <w:tcW w:w="1891" w:type="pct"/>
            <w:vMerge w:val="restart"/>
            <w:vAlign w:val="center"/>
          </w:tcPr>
          <w:p w14:paraId="390B3BCF">
            <w:pPr>
              <w:widowControl/>
              <w:ind w:firstLine="0" w:firstLineChars="0"/>
              <w:jc w:val="center"/>
              <w:rPr>
                <w:rFonts w:hint="eastAsia"/>
                <w:kern w:val="0"/>
                <w:sz w:val="18"/>
                <w:szCs w:val="18"/>
              </w:rPr>
            </w:pPr>
            <w:r>
              <w:rPr>
                <w:rFonts w:hint="eastAsia"/>
                <w:kern w:val="0"/>
                <w:sz w:val="18"/>
                <w:szCs w:val="18"/>
              </w:rPr>
              <w:t>系统的物理和环境安全由云平台提供安全保障，不适用。</w:t>
            </w:r>
          </w:p>
        </w:tc>
        <w:tc>
          <w:tcPr>
            <w:tcW w:w="1126" w:type="pct"/>
            <w:vMerge w:val="restart"/>
            <w:vAlign w:val="center"/>
          </w:tcPr>
          <w:p w14:paraId="7F0246EB">
            <w:pPr>
              <w:widowControl/>
              <w:ind w:firstLine="0" w:firstLineChars="0"/>
              <w:jc w:val="center"/>
              <w:rPr>
                <w:rFonts w:hint="eastAsia"/>
                <w:kern w:val="0"/>
                <w:sz w:val="18"/>
                <w:szCs w:val="18"/>
              </w:rPr>
            </w:pPr>
            <w:r>
              <w:rPr>
                <w:rFonts w:hint="eastAsia"/>
                <w:kern w:val="0"/>
                <w:sz w:val="18"/>
                <w:szCs w:val="18"/>
              </w:rPr>
              <w:t>云平台通过密评，已被完全评估</w:t>
            </w:r>
          </w:p>
        </w:tc>
      </w:tr>
      <w:tr w14:paraId="4F944FE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195E930">
            <w:pPr>
              <w:widowControl/>
              <w:ind w:firstLine="0" w:firstLineChars="0"/>
              <w:jc w:val="left"/>
              <w:rPr>
                <w:rFonts w:hint="eastAsia"/>
                <w:kern w:val="0"/>
                <w:sz w:val="18"/>
                <w:szCs w:val="18"/>
              </w:rPr>
            </w:pPr>
          </w:p>
        </w:tc>
        <w:tc>
          <w:tcPr>
            <w:tcW w:w="1114" w:type="pct"/>
            <w:vAlign w:val="center"/>
          </w:tcPr>
          <w:p w14:paraId="2F1FAE68">
            <w:pPr>
              <w:pStyle w:val="115"/>
              <w:ind w:firstLine="0" w:firstLineChars="0"/>
              <w:rPr>
                <w:rFonts w:hint="eastAsia" w:hAnsi="宋体"/>
                <w:sz w:val="18"/>
                <w:szCs w:val="18"/>
              </w:rPr>
            </w:pPr>
            <w:r>
              <w:rPr>
                <w:rFonts w:hint="eastAsia" w:hAnsi="宋体"/>
                <w:sz w:val="18"/>
                <w:szCs w:val="18"/>
              </w:rPr>
              <w:t>电子门禁记录数据完整性</w:t>
            </w:r>
          </w:p>
        </w:tc>
        <w:tc>
          <w:tcPr>
            <w:tcW w:w="1891" w:type="pct"/>
            <w:vMerge w:val="continue"/>
            <w:vAlign w:val="center"/>
          </w:tcPr>
          <w:p w14:paraId="6D7288B2">
            <w:pPr>
              <w:ind w:firstLine="0" w:firstLineChars="0"/>
              <w:jc w:val="center"/>
              <w:rPr>
                <w:rFonts w:hint="eastAsia"/>
                <w:kern w:val="0"/>
                <w:sz w:val="18"/>
                <w:szCs w:val="18"/>
              </w:rPr>
            </w:pPr>
          </w:p>
        </w:tc>
        <w:tc>
          <w:tcPr>
            <w:tcW w:w="1126" w:type="pct"/>
            <w:vMerge w:val="continue"/>
            <w:vAlign w:val="center"/>
          </w:tcPr>
          <w:p w14:paraId="5DF3085A">
            <w:pPr>
              <w:widowControl/>
              <w:ind w:firstLine="0" w:firstLineChars="0"/>
              <w:jc w:val="center"/>
              <w:rPr>
                <w:rFonts w:hint="eastAsia"/>
                <w:kern w:val="0"/>
                <w:sz w:val="18"/>
                <w:szCs w:val="18"/>
              </w:rPr>
            </w:pPr>
          </w:p>
        </w:tc>
      </w:tr>
      <w:tr w14:paraId="4E51182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7CAC171">
            <w:pPr>
              <w:widowControl/>
              <w:ind w:firstLine="0" w:firstLineChars="0"/>
              <w:jc w:val="left"/>
              <w:rPr>
                <w:rFonts w:hint="eastAsia"/>
                <w:kern w:val="0"/>
                <w:sz w:val="18"/>
                <w:szCs w:val="18"/>
              </w:rPr>
            </w:pPr>
          </w:p>
        </w:tc>
        <w:tc>
          <w:tcPr>
            <w:tcW w:w="1114" w:type="pct"/>
            <w:vAlign w:val="center"/>
          </w:tcPr>
          <w:p w14:paraId="086BC214">
            <w:pPr>
              <w:pStyle w:val="115"/>
              <w:ind w:firstLine="0" w:firstLineChars="0"/>
              <w:rPr>
                <w:rFonts w:hint="eastAsia" w:hAnsi="宋体"/>
                <w:sz w:val="18"/>
                <w:szCs w:val="18"/>
              </w:rPr>
            </w:pPr>
            <w:r>
              <w:rPr>
                <w:rFonts w:hint="eastAsia" w:hAnsi="宋体"/>
                <w:sz w:val="18"/>
                <w:szCs w:val="18"/>
              </w:rPr>
              <w:t>视频监控记录数据完整性</w:t>
            </w:r>
          </w:p>
        </w:tc>
        <w:tc>
          <w:tcPr>
            <w:tcW w:w="1891" w:type="pct"/>
            <w:vMerge w:val="continue"/>
            <w:vAlign w:val="center"/>
          </w:tcPr>
          <w:p w14:paraId="29012B52">
            <w:pPr>
              <w:widowControl/>
              <w:ind w:firstLine="0" w:firstLineChars="0"/>
              <w:jc w:val="center"/>
              <w:rPr>
                <w:rFonts w:hint="eastAsia"/>
                <w:kern w:val="0"/>
                <w:sz w:val="18"/>
                <w:szCs w:val="18"/>
              </w:rPr>
            </w:pPr>
          </w:p>
        </w:tc>
        <w:tc>
          <w:tcPr>
            <w:tcW w:w="1126" w:type="pct"/>
            <w:vMerge w:val="continue"/>
            <w:vAlign w:val="center"/>
          </w:tcPr>
          <w:p w14:paraId="2CE7A927">
            <w:pPr>
              <w:widowControl/>
              <w:ind w:firstLine="0" w:firstLineChars="0"/>
              <w:jc w:val="center"/>
              <w:rPr>
                <w:rFonts w:hint="eastAsia"/>
                <w:kern w:val="0"/>
                <w:sz w:val="18"/>
                <w:szCs w:val="18"/>
              </w:rPr>
            </w:pPr>
          </w:p>
        </w:tc>
      </w:tr>
      <w:tr w14:paraId="4EADA59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8179776">
            <w:pPr>
              <w:widowControl/>
              <w:ind w:firstLine="0" w:firstLineChars="0"/>
              <w:jc w:val="left"/>
              <w:rPr>
                <w:rFonts w:hint="eastAsia"/>
                <w:kern w:val="0"/>
                <w:sz w:val="18"/>
                <w:szCs w:val="18"/>
              </w:rPr>
            </w:pPr>
          </w:p>
        </w:tc>
        <w:tc>
          <w:tcPr>
            <w:tcW w:w="1114" w:type="pct"/>
            <w:vAlign w:val="center"/>
          </w:tcPr>
          <w:p w14:paraId="5C1A4BCD">
            <w:pPr>
              <w:pStyle w:val="115"/>
              <w:ind w:firstLine="0" w:firstLineChars="0"/>
              <w:rPr>
                <w:rFonts w:hint="eastAsia" w:hAnsi="宋体"/>
                <w:sz w:val="18"/>
                <w:szCs w:val="18"/>
              </w:rPr>
            </w:pPr>
            <w:r>
              <w:rPr>
                <w:rFonts w:hint="eastAsia" w:hAnsi="宋体"/>
                <w:sz w:val="18"/>
                <w:szCs w:val="18"/>
              </w:rPr>
              <w:t>密码服务</w:t>
            </w:r>
          </w:p>
        </w:tc>
        <w:tc>
          <w:tcPr>
            <w:tcW w:w="1891" w:type="pct"/>
            <w:vMerge w:val="continue"/>
            <w:vAlign w:val="center"/>
          </w:tcPr>
          <w:p w14:paraId="77DAF1AD">
            <w:pPr>
              <w:widowControl/>
              <w:ind w:firstLine="0" w:firstLineChars="0"/>
              <w:jc w:val="center"/>
              <w:rPr>
                <w:rFonts w:hint="eastAsia"/>
                <w:kern w:val="0"/>
                <w:sz w:val="18"/>
                <w:szCs w:val="18"/>
              </w:rPr>
            </w:pPr>
          </w:p>
        </w:tc>
        <w:tc>
          <w:tcPr>
            <w:tcW w:w="1126" w:type="pct"/>
            <w:vMerge w:val="continue"/>
            <w:vAlign w:val="center"/>
          </w:tcPr>
          <w:p w14:paraId="257683DE">
            <w:pPr>
              <w:widowControl/>
              <w:ind w:firstLine="0" w:firstLineChars="0"/>
              <w:jc w:val="center"/>
              <w:rPr>
                <w:rFonts w:hint="eastAsia"/>
                <w:kern w:val="0"/>
                <w:sz w:val="18"/>
                <w:szCs w:val="18"/>
              </w:rPr>
            </w:pPr>
          </w:p>
        </w:tc>
      </w:tr>
      <w:tr w14:paraId="5701C77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76B6E97F">
            <w:pPr>
              <w:widowControl/>
              <w:ind w:firstLine="0" w:firstLineChars="0"/>
              <w:jc w:val="left"/>
              <w:rPr>
                <w:rFonts w:hint="eastAsia"/>
                <w:kern w:val="0"/>
                <w:sz w:val="18"/>
                <w:szCs w:val="18"/>
              </w:rPr>
            </w:pPr>
          </w:p>
        </w:tc>
        <w:tc>
          <w:tcPr>
            <w:tcW w:w="1114" w:type="pct"/>
            <w:vAlign w:val="center"/>
          </w:tcPr>
          <w:p w14:paraId="6228A432">
            <w:pPr>
              <w:pStyle w:val="115"/>
              <w:ind w:firstLine="0" w:firstLineChars="0"/>
              <w:rPr>
                <w:rFonts w:hint="eastAsia" w:hAnsi="宋体"/>
                <w:sz w:val="18"/>
                <w:szCs w:val="18"/>
              </w:rPr>
            </w:pPr>
            <w:r>
              <w:rPr>
                <w:rFonts w:hint="eastAsia" w:hAnsi="宋体"/>
                <w:sz w:val="18"/>
                <w:szCs w:val="18"/>
              </w:rPr>
              <w:t>密码产品</w:t>
            </w:r>
          </w:p>
        </w:tc>
        <w:tc>
          <w:tcPr>
            <w:tcW w:w="1891" w:type="pct"/>
            <w:vMerge w:val="continue"/>
            <w:vAlign w:val="center"/>
          </w:tcPr>
          <w:p w14:paraId="4C300421">
            <w:pPr>
              <w:widowControl/>
              <w:ind w:firstLine="0" w:firstLineChars="0"/>
              <w:jc w:val="center"/>
              <w:rPr>
                <w:rFonts w:hint="eastAsia"/>
                <w:kern w:val="0"/>
                <w:sz w:val="18"/>
                <w:szCs w:val="18"/>
              </w:rPr>
            </w:pPr>
          </w:p>
        </w:tc>
        <w:tc>
          <w:tcPr>
            <w:tcW w:w="1126" w:type="pct"/>
            <w:vMerge w:val="continue"/>
            <w:vAlign w:val="center"/>
          </w:tcPr>
          <w:p w14:paraId="691B4A64">
            <w:pPr>
              <w:widowControl/>
              <w:ind w:firstLine="0" w:firstLineChars="0"/>
              <w:jc w:val="center"/>
              <w:rPr>
                <w:rFonts w:hint="eastAsia"/>
                <w:kern w:val="0"/>
                <w:sz w:val="18"/>
                <w:szCs w:val="18"/>
              </w:rPr>
            </w:pPr>
          </w:p>
        </w:tc>
      </w:tr>
      <w:tr w14:paraId="6530C39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7A4D80E8">
            <w:pPr>
              <w:widowControl/>
              <w:ind w:firstLine="0" w:firstLineChars="0"/>
              <w:jc w:val="center"/>
              <w:rPr>
                <w:rFonts w:hint="eastAsia"/>
                <w:kern w:val="0"/>
                <w:sz w:val="18"/>
                <w:szCs w:val="18"/>
              </w:rPr>
            </w:pPr>
            <w:r>
              <w:rPr>
                <w:kern w:val="0"/>
                <w:sz w:val="18"/>
                <w:szCs w:val="18"/>
              </w:rPr>
              <w:t>网络和通信安全</w:t>
            </w:r>
          </w:p>
        </w:tc>
        <w:tc>
          <w:tcPr>
            <w:tcW w:w="1114" w:type="pct"/>
            <w:vMerge w:val="restart"/>
            <w:vAlign w:val="center"/>
          </w:tcPr>
          <w:p w14:paraId="0A574756">
            <w:pPr>
              <w:pStyle w:val="115"/>
              <w:ind w:firstLine="0" w:firstLineChars="0"/>
              <w:rPr>
                <w:rFonts w:hint="eastAsia" w:hAnsi="宋体"/>
                <w:sz w:val="18"/>
                <w:szCs w:val="18"/>
              </w:rPr>
            </w:pPr>
            <w:r>
              <w:rPr>
                <w:rFonts w:hint="eastAsia" w:hAnsi="宋体"/>
                <w:sz w:val="18"/>
                <w:szCs w:val="18"/>
              </w:rPr>
              <w:t>身份鉴别</w:t>
            </w:r>
          </w:p>
        </w:tc>
        <w:tc>
          <w:tcPr>
            <w:tcW w:w="1891" w:type="pct"/>
            <w:vAlign w:val="center"/>
          </w:tcPr>
          <w:p w14:paraId="515855E1">
            <w:pPr>
              <w:widowControl/>
              <w:ind w:firstLine="0" w:firstLineChars="0"/>
              <w:jc w:val="center"/>
              <w:rPr>
                <w:rFonts w:hint="eastAsia"/>
                <w:kern w:val="0"/>
                <w:sz w:val="18"/>
                <w:szCs w:val="18"/>
              </w:rPr>
            </w:pPr>
            <w:r>
              <w:rPr>
                <w:rFonts w:hint="eastAsia"/>
                <w:kern w:val="0"/>
                <w:sz w:val="18"/>
                <w:szCs w:val="18"/>
              </w:rPr>
              <w:t>确保PC终端和服务端通信实体身份的真实性，防止与假冒实体进行通信</w:t>
            </w:r>
          </w:p>
        </w:tc>
        <w:tc>
          <w:tcPr>
            <w:tcW w:w="1126" w:type="pct"/>
            <w:vAlign w:val="center"/>
          </w:tcPr>
          <w:p w14:paraId="44E375F3">
            <w:pPr>
              <w:widowControl/>
              <w:ind w:firstLine="0" w:firstLineChars="0"/>
              <w:jc w:val="center"/>
              <w:rPr>
                <w:rFonts w:hint="eastAsia"/>
                <w:kern w:val="0"/>
                <w:sz w:val="18"/>
                <w:szCs w:val="18"/>
              </w:rPr>
            </w:pPr>
          </w:p>
        </w:tc>
      </w:tr>
      <w:tr w14:paraId="4CAB3FA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ACD6429">
            <w:pPr>
              <w:widowControl/>
              <w:ind w:firstLine="0" w:firstLineChars="0"/>
              <w:jc w:val="center"/>
              <w:rPr>
                <w:rFonts w:hint="eastAsia"/>
                <w:kern w:val="0"/>
                <w:sz w:val="18"/>
                <w:szCs w:val="18"/>
              </w:rPr>
            </w:pPr>
          </w:p>
        </w:tc>
        <w:tc>
          <w:tcPr>
            <w:tcW w:w="1114" w:type="pct"/>
            <w:vMerge w:val="continue"/>
            <w:vAlign w:val="center"/>
          </w:tcPr>
          <w:p w14:paraId="5488319D">
            <w:pPr>
              <w:pStyle w:val="115"/>
              <w:ind w:firstLine="0" w:firstLineChars="0"/>
              <w:rPr>
                <w:rFonts w:hint="eastAsia" w:hAnsi="宋体"/>
                <w:sz w:val="18"/>
                <w:szCs w:val="18"/>
              </w:rPr>
            </w:pPr>
          </w:p>
        </w:tc>
        <w:tc>
          <w:tcPr>
            <w:tcW w:w="1891" w:type="pct"/>
            <w:vAlign w:val="center"/>
          </w:tcPr>
          <w:p w14:paraId="07E44122">
            <w:pPr>
              <w:widowControl/>
              <w:ind w:firstLine="0" w:firstLineChars="0"/>
              <w:jc w:val="center"/>
              <w:rPr>
                <w:rFonts w:hint="eastAsia"/>
                <w:kern w:val="0"/>
                <w:sz w:val="18"/>
                <w:szCs w:val="18"/>
              </w:rPr>
            </w:pPr>
            <w:r>
              <w:rPr>
                <w:rFonts w:hint="eastAsia"/>
                <w:kern w:val="0"/>
                <w:sz w:val="18"/>
                <w:szCs w:val="18"/>
              </w:rPr>
              <w:t>管理端的身份鉴别由云平台提供安全保障。</w:t>
            </w:r>
          </w:p>
        </w:tc>
        <w:tc>
          <w:tcPr>
            <w:tcW w:w="1126" w:type="pct"/>
            <w:vAlign w:val="center"/>
          </w:tcPr>
          <w:p w14:paraId="5AA37ACF">
            <w:pPr>
              <w:widowControl/>
              <w:ind w:firstLine="0" w:firstLineChars="0"/>
              <w:jc w:val="center"/>
              <w:rPr>
                <w:rFonts w:hint="eastAsia"/>
                <w:kern w:val="0"/>
                <w:sz w:val="18"/>
                <w:szCs w:val="18"/>
              </w:rPr>
            </w:pPr>
          </w:p>
        </w:tc>
      </w:tr>
      <w:tr w14:paraId="148CAA2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60B5A516">
            <w:pPr>
              <w:widowControl/>
              <w:ind w:firstLine="0" w:firstLineChars="0"/>
              <w:jc w:val="left"/>
              <w:rPr>
                <w:rFonts w:hint="eastAsia"/>
                <w:kern w:val="0"/>
                <w:sz w:val="18"/>
                <w:szCs w:val="18"/>
              </w:rPr>
            </w:pPr>
          </w:p>
        </w:tc>
        <w:tc>
          <w:tcPr>
            <w:tcW w:w="1114" w:type="pct"/>
            <w:vMerge w:val="restart"/>
            <w:vAlign w:val="center"/>
          </w:tcPr>
          <w:p w14:paraId="338B1868">
            <w:pPr>
              <w:pStyle w:val="115"/>
              <w:ind w:firstLine="0" w:firstLineChars="0"/>
              <w:rPr>
                <w:rFonts w:hint="eastAsia" w:hAnsi="宋体"/>
                <w:sz w:val="18"/>
                <w:szCs w:val="18"/>
              </w:rPr>
            </w:pPr>
            <w:r>
              <w:rPr>
                <w:rFonts w:hint="eastAsia" w:hAnsi="宋体"/>
                <w:sz w:val="18"/>
                <w:szCs w:val="18"/>
              </w:rPr>
              <w:t>通信数据完整性</w:t>
            </w:r>
          </w:p>
        </w:tc>
        <w:tc>
          <w:tcPr>
            <w:tcW w:w="1891" w:type="pct"/>
            <w:vAlign w:val="center"/>
          </w:tcPr>
          <w:p w14:paraId="7A341855">
            <w:pPr>
              <w:widowControl/>
              <w:ind w:firstLine="0" w:firstLineChars="0"/>
              <w:jc w:val="center"/>
              <w:rPr>
                <w:rFonts w:hint="eastAsia"/>
                <w:kern w:val="0"/>
                <w:sz w:val="18"/>
                <w:szCs w:val="18"/>
              </w:rPr>
            </w:pPr>
            <w:r>
              <w:rPr>
                <w:rFonts w:hint="eastAsia"/>
                <w:kern w:val="0"/>
                <w:sz w:val="18"/>
                <w:szCs w:val="18"/>
              </w:rPr>
              <w:t>保护终端和服务端通信过程中业务数据的完整性，防止数据被非授权篡改</w:t>
            </w:r>
          </w:p>
        </w:tc>
        <w:tc>
          <w:tcPr>
            <w:tcW w:w="1126" w:type="pct"/>
            <w:vAlign w:val="center"/>
          </w:tcPr>
          <w:p w14:paraId="3B966AD1">
            <w:pPr>
              <w:widowControl/>
              <w:ind w:firstLine="0" w:firstLineChars="0"/>
              <w:jc w:val="center"/>
              <w:rPr>
                <w:rFonts w:hint="eastAsia"/>
                <w:kern w:val="0"/>
                <w:sz w:val="18"/>
                <w:szCs w:val="18"/>
              </w:rPr>
            </w:pPr>
          </w:p>
        </w:tc>
      </w:tr>
      <w:tr w14:paraId="6D86A1D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73691014">
            <w:pPr>
              <w:widowControl/>
              <w:ind w:firstLine="0" w:firstLineChars="0"/>
              <w:jc w:val="left"/>
              <w:rPr>
                <w:rFonts w:hint="eastAsia"/>
                <w:kern w:val="0"/>
                <w:sz w:val="18"/>
                <w:szCs w:val="18"/>
              </w:rPr>
            </w:pPr>
          </w:p>
        </w:tc>
        <w:tc>
          <w:tcPr>
            <w:tcW w:w="1114" w:type="pct"/>
            <w:vMerge w:val="continue"/>
            <w:vAlign w:val="center"/>
          </w:tcPr>
          <w:p w14:paraId="209AD504">
            <w:pPr>
              <w:pStyle w:val="115"/>
              <w:ind w:firstLine="0" w:firstLineChars="0"/>
              <w:rPr>
                <w:rFonts w:hint="eastAsia" w:hAnsi="宋体"/>
                <w:sz w:val="18"/>
                <w:szCs w:val="18"/>
              </w:rPr>
            </w:pPr>
          </w:p>
        </w:tc>
        <w:tc>
          <w:tcPr>
            <w:tcW w:w="1891" w:type="pct"/>
            <w:vAlign w:val="center"/>
          </w:tcPr>
          <w:p w14:paraId="6EEAB6C5">
            <w:pPr>
              <w:widowControl/>
              <w:ind w:firstLine="0" w:firstLineChars="0"/>
              <w:jc w:val="center"/>
              <w:rPr>
                <w:rFonts w:hint="eastAsia"/>
                <w:kern w:val="0"/>
                <w:sz w:val="18"/>
                <w:szCs w:val="18"/>
              </w:rPr>
            </w:pPr>
            <w:r>
              <w:rPr>
                <w:rFonts w:hint="eastAsia"/>
                <w:kern w:val="0"/>
                <w:sz w:val="18"/>
                <w:szCs w:val="18"/>
              </w:rPr>
              <w:t>管理端进行远程运维管理时的运维通信数据完整性由云平台提供安全保障</w:t>
            </w:r>
          </w:p>
        </w:tc>
        <w:tc>
          <w:tcPr>
            <w:tcW w:w="1126" w:type="pct"/>
            <w:vAlign w:val="center"/>
          </w:tcPr>
          <w:p w14:paraId="3D7285DF">
            <w:pPr>
              <w:widowControl/>
              <w:ind w:firstLine="0" w:firstLineChars="0"/>
              <w:jc w:val="center"/>
              <w:rPr>
                <w:rFonts w:hint="eastAsia"/>
                <w:kern w:val="0"/>
                <w:sz w:val="18"/>
                <w:szCs w:val="18"/>
              </w:rPr>
            </w:pPr>
          </w:p>
        </w:tc>
      </w:tr>
      <w:tr w14:paraId="13AF394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60FB892C">
            <w:pPr>
              <w:widowControl/>
              <w:ind w:firstLine="0" w:firstLineChars="0"/>
              <w:jc w:val="left"/>
              <w:rPr>
                <w:rFonts w:hint="eastAsia"/>
                <w:kern w:val="0"/>
                <w:sz w:val="18"/>
                <w:szCs w:val="18"/>
              </w:rPr>
            </w:pPr>
          </w:p>
        </w:tc>
        <w:tc>
          <w:tcPr>
            <w:tcW w:w="1114" w:type="pct"/>
            <w:vMerge w:val="restart"/>
            <w:vAlign w:val="center"/>
          </w:tcPr>
          <w:p w14:paraId="2CCA55B2">
            <w:pPr>
              <w:pStyle w:val="115"/>
              <w:ind w:firstLine="0" w:firstLineChars="0"/>
              <w:rPr>
                <w:rFonts w:hint="eastAsia" w:hAnsi="宋体"/>
                <w:sz w:val="18"/>
                <w:szCs w:val="18"/>
              </w:rPr>
            </w:pPr>
            <w:r>
              <w:rPr>
                <w:rFonts w:hint="eastAsia" w:hAnsi="宋体"/>
                <w:sz w:val="18"/>
                <w:szCs w:val="18"/>
              </w:rPr>
              <w:t>通信过程中重要数据的机密性</w:t>
            </w:r>
          </w:p>
        </w:tc>
        <w:tc>
          <w:tcPr>
            <w:tcW w:w="1891" w:type="pct"/>
            <w:vAlign w:val="center"/>
          </w:tcPr>
          <w:p w14:paraId="6946590A">
            <w:pPr>
              <w:widowControl/>
              <w:ind w:firstLine="0" w:firstLineChars="0"/>
              <w:jc w:val="center"/>
              <w:rPr>
                <w:rFonts w:hint="eastAsia"/>
                <w:kern w:val="0"/>
                <w:sz w:val="18"/>
                <w:szCs w:val="18"/>
              </w:rPr>
            </w:pPr>
            <w:r>
              <w:rPr>
                <w:rFonts w:hint="eastAsia"/>
                <w:kern w:val="0"/>
                <w:sz w:val="18"/>
                <w:szCs w:val="18"/>
              </w:rPr>
              <w:t>保护PC终端和服务端通信过程中业务数据的机密性，防止重要数据泄露。</w:t>
            </w:r>
          </w:p>
        </w:tc>
        <w:tc>
          <w:tcPr>
            <w:tcW w:w="1126" w:type="pct"/>
            <w:vAlign w:val="center"/>
          </w:tcPr>
          <w:p w14:paraId="4AD2CA7F">
            <w:pPr>
              <w:widowControl/>
              <w:ind w:firstLine="0" w:firstLineChars="0"/>
              <w:jc w:val="center"/>
              <w:rPr>
                <w:rFonts w:hint="eastAsia"/>
                <w:kern w:val="0"/>
                <w:sz w:val="18"/>
                <w:szCs w:val="18"/>
              </w:rPr>
            </w:pPr>
          </w:p>
        </w:tc>
      </w:tr>
      <w:tr w14:paraId="09561BD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43491FC">
            <w:pPr>
              <w:widowControl/>
              <w:ind w:firstLine="0" w:firstLineChars="0"/>
              <w:jc w:val="left"/>
              <w:rPr>
                <w:rFonts w:hint="eastAsia"/>
                <w:kern w:val="0"/>
                <w:sz w:val="18"/>
                <w:szCs w:val="18"/>
              </w:rPr>
            </w:pPr>
          </w:p>
        </w:tc>
        <w:tc>
          <w:tcPr>
            <w:tcW w:w="1114" w:type="pct"/>
            <w:vMerge w:val="continue"/>
            <w:vAlign w:val="center"/>
          </w:tcPr>
          <w:p w14:paraId="2FD157CD">
            <w:pPr>
              <w:pStyle w:val="115"/>
              <w:ind w:firstLine="0" w:firstLineChars="0"/>
              <w:rPr>
                <w:rFonts w:hint="eastAsia" w:hAnsi="宋体"/>
                <w:sz w:val="18"/>
                <w:szCs w:val="18"/>
              </w:rPr>
            </w:pPr>
          </w:p>
        </w:tc>
        <w:tc>
          <w:tcPr>
            <w:tcW w:w="1891" w:type="pct"/>
            <w:vAlign w:val="center"/>
          </w:tcPr>
          <w:p w14:paraId="0D22127E">
            <w:pPr>
              <w:widowControl/>
              <w:ind w:firstLine="0" w:firstLineChars="0"/>
              <w:jc w:val="center"/>
              <w:rPr>
                <w:rFonts w:hint="eastAsia"/>
                <w:kern w:val="0"/>
                <w:sz w:val="18"/>
                <w:szCs w:val="18"/>
              </w:rPr>
            </w:pPr>
            <w:r>
              <w:rPr>
                <w:rFonts w:hint="eastAsia"/>
                <w:kern w:val="0"/>
                <w:sz w:val="18"/>
                <w:szCs w:val="18"/>
              </w:rPr>
              <w:t>管理端进行远程运维管理时的运维通信数据机密性由云平台提供安全保障</w:t>
            </w:r>
          </w:p>
        </w:tc>
        <w:tc>
          <w:tcPr>
            <w:tcW w:w="1126" w:type="pct"/>
            <w:vAlign w:val="center"/>
          </w:tcPr>
          <w:p w14:paraId="6F2C1608">
            <w:pPr>
              <w:widowControl/>
              <w:ind w:firstLine="0" w:firstLineChars="0"/>
              <w:jc w:val="center"/>
              <w:rPr>
                <w:rFonts w:hint="eastAsia"/>
                <w:kern w:val="0"/>
                <w:sz w:val="18"/>
                <w:szCs w:val="18"/>
              </w:rPr>
            </w:pPr>
          </w:p>
        </w:tc>
      </w:tr>
      <w:tr w14:paraId="006E99DF">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77675A6">
            <w:pPr>
              <w:widowControl/>
              <w:ind w:firstLine="0" w:firstLineChars="0"/>
              <w:jc w:val="left"/>
              <w:rPr>
                <w:rFonts w:hint="eastAsia"/>
                <w:kern w:val="0"/>
                <w:sz w:val="18"/>
                <w:szCs w:val="18"/>
              </w:rPr>
            </w:pPr>
          </w:p>
        </w:tc>
        <w:tc>
          <w:tcPr>
            <w:tcW w:w="1114" w:type="pct"/>
            <w:vAlign w:val="center"/>
          </w:tcPr>
          <w:p w14:paraId="268C2EC8">
            <w:pPr>
              <w:pStyle w:val="115"/>
              <w:ind w:firstLine="0" w:firstLineChars="0"/>
              <w:rPr>
                <w:rFonts w:hint="eastAsia" w:hAnsi="宋体"/>
                <w:sz w:val="18"/>
                <w:szCs w:val="18"/>
              </w:rPr>
            </w:pPr>
            <w:r>
              <w:rPr>
                <w:rFonts w:hint="eastAsia" w:hAnsi="宋体"/>
                <w:sz w:val="18"/>
                <w:szCs w:val="18"/>
              </w:rPr>
              <w:t>网络边界访问控制信息的完整性</w:t>
            </w:r>
          </w:p>
        </w:tc>
        <w:tc>
          <w:tcPr>
            <w:tcW w:w="1891" w:type="pct"/>
            <w:vAlign w:val="center"/>
          </w:tcPr>
          <w:p w14:paraId="6AEB8173">
            <w:pPr>
              <w:widowControl/>
              <w:ind w:firstLine="0" w:firstLineChars="0"/>
              <w:jc w:val="center"/>
              <w:rPr>
                <w:rFonts w:hint="eastAsia"/>
                <w:kern w:val="0"/>
                <w:sz w:val="18"/>
                <w:szCs w:val="18"/>
              </w:rPr>
            </w:pPr>
            <w:r>
              <w:rPr>
                <w:rFonts w:hint="eastAsia"/>
                <w:kern w:val="0"/>
                <w:sz w:val="18"/>
                <w:szCs w:val="18"/>
              </w:rPr>
              <w:t>系统网络拓扑中不同区域网络边界需确保访问控制信息的完整性</w:t>
            </w:r>
          </w:p>
        </w:tc>
        <w:tc>
          <w:tcPr>
            <w:tcW w:w="1126" w:type="pct"/>
            <w:vAlign w:val="center"/>
          </w:tcPr>
          <w:p w14:paraId="67D20DF7">
            <w:pPr>
              <w:widowControl/>
              <w:ind w:firstLine="0" w:firstLineChars="0"/>
              <w:jc w:val="center"/>
              <w:rPr>
                <w:rFonts w:hint="eastAsia"/>
                <w:kern w:val="0"/>
                <w:sz w:val="18"/>
                <w:szCs w:val="18"/>
              </w:rPr>
            </w:pPr>
          </w:p>
        </w:tc>
      </w:tr>
      <w:tr w14:paraId="745A003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E11AB06">
            <w:pPr>
              <w:widowControl/>
              <w:ind w:firstLine="0" w:firstLineChars="0"/>
              <w:jc w:val="left"/>
              <w:rPr>
                <w:rFonts w:hint="eastAsia"/>
                <w:kern w:val="0"/>
                <w:sz w:val="18"/>
                <w:szCs w:val="18"/>
              </w:rPr>
            </w:pPr>
          </w:p>
        </w:tc>
        <w:tc>
          <w:tcPr>
            <w:tcW w:w="1114" w:type="pct"/>
            <w:vAlign w:val="center"/>
          </w:tcPr>
          <w:p w14:paraId="76DAC2B2">
            <w:pPr>
              <w:pStyle w:val="115"/>
              <w:ind w:firstLine="0" w:firstLineChars="0"/>
              <w:rPr>
                <w:rFonts w:hint="eastAsia" w:hAnsi="宋体"/>
                <w:sz w:val="18"/>
                <w:szCs w:val="18"/>
              </w:rPr>
            </w:pPr>
            <w:r>
              <w:rPr>
                <w:rFonts w:hint="eastAsia" w:hAnsi="宋体"/>
                <w:sz w:val="18"/>
                <w:szCs w:val="18"/>
              </w:rPr>
              <w:t>安全接入认证</w:t>
            </w:r>
          </w:p>
        </w:tc>
        <w:tc>
          <w:tcPr>
            <w:tcW w:w="1891" w:type="pct"/>
            <w:vAlign w:val="center"/>
          </w:tcPr>
          <w:p w14:paraId="416C10E0">
            <w:pPr>
              <w:widowControl/>
              <w:ind w:firstLine="0" w:firstLineChars="0"/>
              <w:jc w:val="center"/>
              <w:rPr>
                <w:rFonts w:hint="eastAsia"/>
                <w:kern w:val="0"/>
                <w:sz w:val="18"/>
                <w:szCs w:val="18"/>
              </w:rPr>
            </w:pPr>
            <w:r>
              <w:rPr>
                <w:rFonts w:hint="eastAsia"/>
                <w:kern w:val="0"/>
                <w:sz w:val="18"/>
                <w:szCs w:val="18"/>
              </w:rPr>
              <w:t>不适用</w:t>
            </w:r>
          </w:p>
        </w:tc>
        <w:tc>
          <w:tcPr>
            <w:tcW w:w="1126" w:type="pct"/>
            <w:vAlign w:val="center"/>
          </w:tcPr>
          <w:p w14:paraId="69D03A50">
            <w:pPr>
              <w:widowControl/>
              <w:ind w:firstLine="0" w:firstLineChars="0"/>
              <w:jc w:val="center"/>
              <w:rPr>
                <w:rFonts w:hint="eastAsia"/>
                <w:kern w:val="0"/>
                <w:sz w:val="18"/>
                <w:szCs w:val="18"/>
              </w:rPr>
            </w:pPr>
            <w:r>
              <w:rPr>
                <w:rFonts w:hint="eastAsia"/>
                <w:kern w:val="0"/>
                <w:sz w:val="18"/>
                <w:szCs w:val="18"/>
              </w:rPr>
              <w:t>无外部接入设备</w:t>
            </w:r>
          </w:p>
        </w:tc>
      </w:tr>
      <w:tr w14:paraId="072BCEF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BC6AF5F">
            <w:pPr>
              <w:widowControl/>
              <w:ind w:firstLine="0" w:firstLineChars="0"/>
              <w:jc w:val="left"/>
              <w:rPr>
                <w:rFonts w:hint="eastAsia"/>
                <w:kern w:val="0"/>
                <w:sz w:val="18"/>
                <w:szCs w:val="18"/>
              </w:rPr>
            </w:pPr>
          </w:p>
        </w:tc>
        <w:tc>
          <w:tcPr>
            <w:tcW w:w="1114" w:type="pct"/>
            <w:vAlign w:val="center"/>
          </w:tcPr>
          <w:p w14:paraId="50429951">
            <w:pPr>
              <w:pStyle w:val="115"/>
              <w:ind w:firstLine="0" w:firstLineChars="0"/>
              <w:rPr>
                <w:rFonts w:hint="eastAsia" w:hAnsi="宋体"/>
                <w:sz w:val="18"/>
                <w:szCs w:val="18"/>
              </w:rPr>
            </w:pPr>
            <w:r>
              <w:rPr>
                <w:rFonts w:hint="eastAsia" w:hAnsi="宋体"/>
                <w:sz w:val="18"/>
                <w:szCs w:val="18"/>
              </w:rPr>
              <w:t>密码服务</w:t>
            </w:r>
          </w:p>
        </w:tc>
        <w:tc>
          <w:tcPr>
            <w:tcW w:w="1891" w:type="pct"/>
            <w:vAlign w:val="center"/>
          </w:tcPr>
          <w:p w14:paraId="26008F0B">
            <w:pPr>
              <w:widowControl/>
              <w:ind w:firstLine="0" w:firstLineChars="0"/>
              <w:jc w:val="center"/>
              <w:rPr>
                <w:rFonts w:hint="eastAsia"/>
                <w:kern w:val="0"/>
                <w:sz w:val="18"/>
                <w:szCs w:val="18"/>
              </w:rPr>
            </w:pPr>
            <w:r>
              <w:rPr>
                <w:rFonts w:hint="eastAsia"/>
                <w:kern w:val="0"/>
                <w:sz w:val="18"/>
                <w:szCs w:val="18"/>
              </w:rPr>
              <w:t>采用的数字证书由具备资质的电子认证服务机构签发</w:t>
            </w:r>
          </w:p>
        </w:tc>
        <w:tc>
          <w:tcPr>
            <w:tcW w:w="1126" w:type="pct"/>
            <w:vAlign w:val="center"/>
          </w:tcPr>
          <w:p w14:paraId="7E7C71EF">
            <w:pPr>
              <w:widowControl/>
              <w:ind w:firstLine="0" w:firstLineChars="0"/>
              <w:jc w:val="center"/>
              <w:rPr>
                <w:rFonts w:hint="eastAsia"/>
                <w:kern w:val="0"/>
                <w:sz w:val="18"/>
                <w:szCs w:val="18"/>
              </w:rPr>
            </w:pPr>
          </w:p>
        </w:tc>
      </w:tr>
      <w:tr w14:paraId="1CBECC0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6AFBE5C">
            <w:pPr>
              <w:widowControl/>
              <w:ind w:firstLine="0" w:firstLineChars="0"/>
              <w:jc w:val="left"/>
              <w:rPr>
                <w:rFonts w:hint="eastAsia"/>
                <w:kern w:val="0"/>
                <w:sz w:val="18"/>
                <w:szCs w:val="18"/>
              </w:rPr>
            </w:pPr>
          </w:p>
        </w:tc>
        <w:tc>
          <w:tcPr>
            <w:tcW w:w="1114" w:type="pct"/>
            <w:vAlign w:val="center"/>
          </w:tcPr>
          <w:p w14:paraId="0F26A717">
            <w:pPr>
              <w:pStyle w:val="115"/>
              <w:ind w:firstLine="0" w:firstLineChars="0"/>
              <w:rPr>
                <w:rFonts w:hint="eastAsia" w:hAnsi="宋体"/>
                <w:sz w:val="18"/>
                <w:szCs w:val="18"/>
              </w:rPr>
            </w:pPr>
            <w:r>
              <w:rPr>
                <w:rFonts w:hint="eastAsia" w:hAnsi="宋体"/>
                <w:sz w:val="18"/>
                <w:szCs w:val="18"/>
              </w:rPr>
              <w:t>密码产品</w:t>
            </w:r>
          </w:p>
        </w:tc>
        <w:tc>
          <w:tcPr>
            <w:tcW w:w="1891" w:type="pct"/>
            <w:vAlign w:val="center"/>
          </w:tcPr>
          <w:p w14:paraId="58E4E4C3">
            <w:pPr>
              <w:widowControl/>
              <w:ind w:firstLine="0" w:firstLineChars="0"/>
              <w:jc w:val="center"/>
              <w:rPr>
                <w:rFonts w:hint="eastAsia"/>
                <w:kern w:val="0"/>
                <w:sz w:val="18"/>
                <w:szCs w:val="18"/>
              </w:rPr>
            </w:pPr>
            <w:r>
              <w:rPr>
                <w:rFonts w:hint="eastAsia"/>
                <w:kern w:val="0"/>
                <w:sz w:val="18"/>
                <w:szCs w:val="18"/>
              </w:rPr>
              <w:t>服务端相关的密码服务由云平台提供</w:t>
            </w:r>
          </w:p>
        </w:tc>
        <w:tc>
          <w:tcPr>
            <w:tcW w:w="1126" w:type="pct"/>
            <w:vAlign w:val="center"/>
          </w:tcPr>
          <w:p w14:paraId="6028EAA6">
            <w:pPr>
              <w:widowControl/>
              <w:ind w:firstLine="0" w:firstLineChars="0"/>
              <w:jc w:val="center"/>
              <w:rPr>
                <w:rFonts w:hint="eastAsia"/>
                <w:kern w:val="0"/>
                <w:sz w:val="18"/>
                <w:szCs w:val="18"/>
              </w:rPr>
            </w:pPr>
          </w:p>
        </w:tc>
      </w:tr>
      <w:tr w14:paraId="46F0B78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5EA60DB2">
            <w:pPr>
              <w:widowControl/>
              <w:ind w:firstLine="0" w:firstLineChars="0"/>
              <w:jc w:val="center"/>
              <w:rPr>
                <w:rFonts w:hint="eastAsia"/>
                <w:kern w:val="0"/>
                <w:sz w:val="18"/>
                <w:szCs w:val="18"/>
              </w:rPr>
            </w:pPr>
            <w:r>
              <w:rPr>
                <w:kern w:val="0"/>
                <w:sz w:val="18"/>
                <w:szCs w:val="18"/>
              </w:rPr>
              <w:t>设备和计算安全</w:t>
            </w:r>
          </w:p>
        </w:tc>
        <w:tc>
          <w:tcPr>
            <w:tcW w:w="1114" w:type="pct"/>
            <w:vAlign w:val="center"/>
          </w:tcPr>
          <w:p w14:paraId="236847BF">
            <w:pPr>
              <w:pStyle w:val="115"/>
              <w:ind w:firstLine="0" w:firstLineChars="0"/>
              <w:rPr>
                <w:rFonts w:hint="eastAsia" w:hAnsi="宋体"/>
                <w:sz w:val="18"/>
                <w:szCs w:val="18"/>
              </w:rPr>
            </w:pPr>
            <w:r>
              <w:rPr>
                <w:rFonts w:hint="eastAsia" w:hAnsi="宋体"/>
                <w:sz w:val="18"/>
                <w:szCs w:val="18"/>
              </w:rPr>
              <w:t>身份鉴别</w:t>
            </w:r>
          </w:p>
        </w:tc>
        <w:tc>
          <w:tcPr>
            <w:tcW w:w="1891" w:type="pct"/>
            <w:vAlign w:val="center"/>
          </w:tcPr>
          <w:p w14:paraId="72953B4E">
            <w:pPr>
              <w:widowControl/>
              <w:ind w:firstLine="0" w:firstLineChars="0"/>
              <w:jc w:val="center"/>
              <w:rPr>
                <w:rFonts w:hint="eastAsia"/>
                <w:kern w:val="0"/>
                <w:sz w:val="18"/>
                <w:szCs w:val="18"/>
              </w:rPr>
            </w:pPr>
            <w:r>
              <w:rPr>
                <w:rFonts w:hint="eastAsia"/>
                <w:kern w:val="0"/>
                <w:sz w:val="18"/>
                <w:szCs w:val="18"/>
              </w:rPr>
              <w:t>对远程登录设备的用户身份真实性进行鉴别，防止假冒用户登录</w:t>
            </w:r>
          </w:p>
        </w:tc>
        <w:tc>
          <w:tcPr>
            <w:tcW w:w="1126" w:type="pct"/>
            <w:vAlign w:val="center"/>
          </w:tcPr>
          <w:p w14:paraId="62112621">
            <w:pPr>
              <w:widowControl/>
              <w:ind w:firstLine="0" w:firstLineChars="0"/>
              <w:jc w:val="center"/>
              <w:rPr>
                <w:rFonts w:hint="eastAsia"/>
                <w:kern w:val="0"/>
                <w:sz w:val="18"/>
                <w:szCs w:val="18"/>
              </w:rPr>
            </w:pPr>
          </w:p>
        </w:tc>
      </w:tr>
      <w:tr w14:paraId="1B598D39">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BBC787A">
            <w:pPr>
              <w:widowControl/>
              <w:ind w:firstLine="0" w:firstLineChars="0"/>
              <w:jc w:val="left"/>
              <w:rPr>
                <w:rFonts w:hint="eastAsia"/>
                <w:kern w:val="0"/>
                <w:sz w:val="18"/>
                <w:szCs w:val="18"/>
              </w:rPr>
            </w:pPr>
          </w:p>
        </w:tc>
        <w:tc>
          <w:tcPr>
            <w:tcW w:w="1114" w:type="pct"/>
            <w:vAlign w:val="center"/>
          </w:tcPr>
          <w:p w14:paraId="2866A508">
            <w:pPr>
              <w:pStyle w:val="115"/>
              <w:ind w:firstLine="0" w:firstLineChars="0"/>
              <w:rPr>
                <w:rFonts w:hint="eastAsia" w:hAnsi="宋体"/>
                <w:sz w:val="18"/>
                <w:szCs w:val="18"/>
              </w:rPr>
            </w:pPr>
            <w:r>
              <w:rPr>
                <w:rFonts w:hint="eastAsia" w:hAnsi="宋体"/>
                <w:sz w:val="18"/>
                <w:szCs w:val="18"/>
              </w:rPr>
              <w:t>远程管理通道安全</w:t>
            </w:r>
          </w:p>
        </w:tc>
        <w:tc>
          <w:tcPr>
            <w:tcW w:w="1891" w:type="pct"/>
            <w:vAlign w:val="center"/>
          </w:tcPr>
          <w:p w14:paraId="04D5ED0A">
            <w:pPr>
              <w:widowControl/>
              <w:ind w:firstLine="0" w:firstLineChars="0"/>
              <w:jc w:val="center"/>
              <w:rPr>
                <w:rFonts w:hint="eastAsia"/>
                <w:kern w:val="0"/>
                <w:sz w:val="18"/>
                <w:szCs w:val="18"/>
              </w:rPr>
            </w:pPr>
            <w:r>
              <w:rPr>
                <w:rFonts w:hint="eastAsia"/>
                <w:kern w:val="0"/>
                <w:sz w:val="18"/>
                <w:szCs w:val="18"/>
              </w:rPr>
              <w:t>远程管理时保护管理员身份鉴别信息等重要数据被非法窃取或非法篡改</w:t>
            </w:r>
          </w:p>
        </w:tc>
        <w:tc>
          <w:tcPr>
            <w:tcW w:w="1126" w:type="pct"/>
            <w:vAlign w:val="center"/>
          </w:tcPr>
          <w:p w14:paraId="1DF356E7">
            <w:pPr>
              <w:widowControl/>
              <w:ind w:firstLine="0" w:firstLineChars="0"/>
              <w:jc w:val="center"/>
              <w:rPr>
                <w:rFonts w:hint="eastAsia"/>
                <w:kern w:val="0"/>
                <w:sz w:val="18"/>
                <w:szCs w:val="18"/>
              </w:rPr>
            </w:pPr>
          </w:p>
        </w:tc>
      </w:tr>
      <w:tr w14:paraId="5CA44D3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58B8B1D">
            <w:pPr>
              <w:widowControl/>
              <w:ind w:firstLine="0" w:firstLineChars="0"/>
              <w:jc w:val="left"/>
              <w:rPr>
                <w:rFonts w:hint="eastAsia"/>
                <w:kern w:val="0"/>
                <w:sz w:val="18"/>
                <w:szCs w:val="18"/>
              </w:rPr>
            </w:pPr>
          </w:p>
        </w:tc>
        <w:tc>
          <w:tcPr>
            <w:tcW w:w="1114" w:type="pct"/>
            <w:vAlign w:val="center"/>
          </w:tcPr>
          <w:p w14:paraId="6564B558">
            <w:pPr>
              <w:pStyle w:val="115"/>
              <w:ind w:firstLine="0" w:firstLineChars="0"/>
              <w:rPr>
                <w:rFonts w:hint="eastAsia" w:hAnsi="宋体"/>
                <w:sz w:val="18"/>
                <w:szCs w:val="18"/>
              </w:rPr>
            </w:pPr>
            <w:r>
              <w:rPr>
                <w:rFonts w:hint="eastAsia" w:hAnsi="宋体"/>
                <w:sz w:val="18"/>
                <w:szCs w:val="18"/>
              </w:rPr>
              <w:t>系统资源访问控制信息完整性</w:t>
            </w:r>
          </w:p>
        </w:tc>
        <w:tc>
          <w:tcPr>
            <w:tcW w:w="1891" w:type="pct"/>
            <w:vAlign w:val="center"/>
          </w:tcPr>
          <w:p w14:paraId="638DDAB1">
            <w:pPr>
              <w:widowControl/>
              <w:ind w:firstLine="0" w:firstLineChars="0"/>
              <w:jc w:val="center"/>
              <w:rPr>
                <w:rFonts w:hint="eastAsia"/>
                <w:kern w:val="0"/>
                <w:sz w:val="18"/>
                <w:szCs w:val="18"/>
              </w:rPr>
            </w:pPr>
            <w:r>
              <w:rPr>
                <w:rFonts w:hint="eastAsia"/>
                <w:kern w:val="0"/>
                <w:sz w:val="18"/>
                <w:szCs w:val="18"/>
              </w:rPr>
              <w:t>保护系统资源访问控制信息免受非法篡改</w:t>
            </w:r>
          </w:p>
        </w:tc>
        <w:tc>
          <w:tcPr>
            <w:tcW w:w="1126" w:type="pct"/>
            <w:vAlign w:val="center"/>
          </w:tcPr>
          <w:p w14:paraId="540B9D74">
            <w:pPr>
              <w:widowControl/>
              <w:ind w:firstLine="0" w:firstLineChars="0"/>
              <w:jc w:val="center"/>
              <w:rPr>
                <w:rFonts w:hint="eastAsia"/>
                <w:kern w:val="0"/>
                <w:sz w:val="18"/>
                <w:szCs w:val="18"/>
              </w:rPr>
            </w:pPr>
          </w:p>
        </w:tc>
      </w:tr>
      <w:tr w14:paraId="7DA2E51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63354A2">
            <w:pPr>
              <w:widowControl/>
              <w:ind w:firstLine="0" w:firstLineChars="0"/>
              <w:jc w:val="left"/>
              <w:rPr>
                <w:rFonts w:hint="eastAsia"/>
                <w:kern w:val="0"/>
                <w:sz w:val="18"/>
                <w:szCs w:val="18"/>
              </w:rPr>
            </w:pPr>
          </w:p>
        </w:tc>
        <w:tc>
          <w:tcPr>
            <w:tcW w:w="1114" w:type="pct"/>
            <w:vAlign w:val="center"/>
          </w:tcPr>
          <w:p w14:paraId="1A4284EC">
            <w:pPr>
              <w:pStyle w:val="115"/>
              <w:ind w:firstLine="0" w:firstLineChars="0"/>
              <w:rPr>
                <w:rFonts w:hint="eastAsia" w:hAnsi="宋体"/>
                <w:sz w:val="18"/>
                <w:szCs w:val="18"/>
              </w:rPr>
            </w:pPr>
            <w:r>
              <w:rPr>
                <w:rFonts w:hint="eastAsia" w:hAnsi="宋体"/>
                <w:sz w:val="18"/>
                <w:szCs w:val="18"/>
              </w:rPr>
              <w:t>重要信息资源安全标记的完整性</w:t>
            </w:r>
          </w:p>
        </w:tc>
        <w:tc>
          <w:tcPr>
            <w:tcW w:w="1891" w:type="pct"/>
            <w:vAlign w:val="center"/>
          </w:tcPr>
          <w:p w14:paraId="04F222D0">
            <w:pPr>
              <w:widowControl/>
              <w:ind w:firstLine="0" w:firstLineChars="0"/>
              <w:jc w:val="center"/>
              <w:rPr>
                <w:rFonts w:hint="eastAsia"/>
                <w:kern w:val="0"/>
                <w:sz w:val="18"/>
                <w:szCs w:val="18"/>
              </w:rPr>
            </w:pPr>
            <w:r>
              <w:rPr>
                <w:rFonts w:hint="eastAsia"/>
                <w:kern w:val="0"/>
                <w:sz w:val="18"/>
                <w:szCs w:val="18"/>
              </w:rPr>
              <w:t>不适用</w:t>
            </w:r>
          </w:p>
        </w:tc>
        <w:tc>
          <w:tcPr>
            <w:tcW w:w="1126" w:type="pct"/>
            <w:vAlign w:val="center"/>
          </w:tcPr>
          <w:p w14:paraId="582E2734">
            <w:pPr>
              <w:widowControl/>
              <w:ind w:firstLine="0" w:firstLineChars="0"/>
              <w:jc w:val="center"/>
              <w:rPr>
                <w:rFonts w:hint="eastAsia"/>
                <w:kern w:val="0"/>
                <w:sz w:val="18"/>
                <w:szCs w:val="18"/>
              </w:rPr>
            </w:pPr>
            <w:r>
              <w:rPr>
                <w:rFonts w:hint="eastAsia"/>
                <w:kern w:val="0"/>
                <w:sz w:val="18"/>
                <w:szCs w:val="18"/>
              </w:rPr>
              <w:t>无重要信息资源安全标记</w:t>
            </w:r>
          </w:p>
        </w:tc>
      </w:tr>
      <w:tr w14:paraId="7528CF8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6D3B45BF">
            <w:pPr>
              <w:widowControl/>
              <w:ind w:firstLine="0" w:firstLineChars="0"/>
              <w:jc w:val="left"/>
              <w:rPr>
                <w:rFonts w:hint="eastAsia"/>
                <w:kern w:val="0"/>
                <w:sz w:val="18"/>
                <w:szCs w:val="18"/>
              </w:rPr>
            </w:pPr>
          </w:p>
        </w:tc>
        <w:tc>
          <w:tcPr>
            <w:tcW w:w="1114" w:type="pct"/>
            <w:vAlign w:val="center"/>
          </w:tcPr>
          <w:p w14:paraId="15EF989D">
            <w:pPr>
              <w:pStyle w:val="115"/>
              <w:ind w:firstLine="0" w:firstLineChars="0"/>
              <w:rPr>
                <w:rFonts w:hint="eastAsia" w:hAnsi="宋体"/>
                <w:sz w:val="18"/>
                <w:szCs w:val="18"/>
              </w:rPr>
            </w:pPr>
            <w:r>
              <w:rPr>
                <w:rFonts w:hint="eastAsia" w:hAnsi="宋体"/>
                <w:sz w:val="18"/>
                <w:szCs w:val="18"/>
              </w:rPr>
              <w:t>日志记录完整性</w:t>
            </w:r>
          </w:p>
        </w:tc>
        <w:tc>
          <w:tcPr>
            <w:tcW w:w="1891" w:type="pct"/>
            <w:vAlign w:val="center"/>
          </w:tcPr>
          <w:p w14:paraId="23BE8BFD">
            <w:pPr>
              <w:widowControl/>
              <w:ind w:firstLine="0" w:firstLineChars="0"/>
              <w:jc w:val="center"/>
              <w:rPr>
                <w:rFonts w:hint="eastAsia"/>
                <w:kern w:val="0"/>
                <w:sz w:val="18"/>
                <w:szCs w:val="18"/>
              </w:rPr>
            </w:pPr>
            <w:r>
              <w:rPr>
                <w:rFonts w:hint="eastAsia"/>
                <w:kern w:val="0"/>
                <w:sz w:val="18"/>
                <w:szCs w:val="18"/>
              </w:rPr>
              <w:t>保护重要日志记录信息免受非法篡改</w:t>
            </w:r>
          </w:p>
        </w:tc>
        <w:tc>
          <w:tcPr>
            <w:tcW w:w="1126" w:type="pct"/>
            <w:vAlign w:val="center"/>
          </w:tcPr>
          <w:p w14:paraId="600D314A">
            <w:pPr>
              <w:widowControl/>
              <w:ind w:firstLine="0" w:firstLineChars="0"/>
              <w:jc w:val="center"/>
              <w:rPr>
                <w:rFonts w:hint="eastAsia"/>
                <w:kern w:val="0"/>
                <w:sz w:val="18"/>
                <w:szCs w:val="18"/>
              </w:rPr>
            </w:pPr>
          </w:p>
        </w:tc>
      </w:tr>
      <w:tr w14:paraId="7B37A90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9AF551A">
            <w:pPr>
              <w:widowControl/>
              <w:ind w:firstLine="0" w:firstLineChars="0"/>
              <w:jc w:val="left"/>
              <w:rPr>
                <w:rFonts w:hint="eastAsia"/>
                <w:kern w:val="0"/>
                <w:sz w:val="18"/>
                <w:szCs w:val="18"/>
              </w:rPr>
            </w:pPr>
          </w:p>
        </w:tc>
        <w:tc>
          <w:tcPr>
            <w:tcW w:w="1114" w:type="pct"/>
            <w:vAlign w:val="center"/>
          </w:tcPr>
          <w:p w14:paraId="16608A1C">
            <w:pPr>
              <w:pStyle w:val="115"/>
              <w:ind w:firstLine="0" w:firstLineChars="0"/>
              <w:rPr>
                <w:rFonts w:hint="eastAsia" w:hAnsi="宋体"/>
                <w:sz w:val="18"/>
                <w:szCs w:val="18"/>
              </w:rPr>
            </w:pPr>
            <w:r>
              <w:rPr>
                <w:rFonts w:hint="eastAsia" w:hAnsi="宋体"/>
                <w:sz w:val="18"/>
                <w:szCs w:val="18"/>
              </w:rPr>
              <w:t>重要可执行程序完整性、重要可执行程序来源真实性</w:t>
            </w:r>
          </w:p>
        </w:tc>
        <w:tc>
          <w:tcPr>
            <w:tcW w:w="1891" w:type="pct"/>
            <w:vAlign w:val="center"/>
          </w:tcPr>
          <w:p w14:paraId="109F087A">
            <w:pPr>
              <w:widowControl/>
              <w:ind w:firstLine="0" w:firstLineChars="0"/>
              <w:jc w:val="center"/>
              <w:rPr>
                <w:rFonts w:hint="eastAsia"/>
                <w:kern w:val="0"/>
                <w:sz w:val="18"/>
                <w:szCs w:val="18"/>
              </w:rPr>
            </w:pPr>
            <w:r>
              <w:rPr>
                <w:rFonts w:hint="eastAsia"/>
                <w:kern w:val="0"/>
                <w:sz w:val="18"/>
                <w:szCs w:val="18"/>
              </w:rPr>
              <w:t>保护重要可执行程序免受非法篡改</w:t>
            </w:r>
          </w:p>
        </w:tc>
        <w:tc>
          <w:tcPr>
            <w:tcW w:w="1126" w:type="pct"/>
            <w:vAlign w:val="center"/>
          </w:tcPr>
          <w:p w14:paraId="4014DB8E">
            <w:pPr>
              <w:widowControl/>
              <w:ind w:firstLine="0" w:firstLineChars="0"/>
              <w:jc w:val="center"/>
              <w:rPr>
                <w:rFonts w:hint="eastAsia"/>
                <w:kern w:val="0"/>
                <w:sz w:val="18"/>
                <w:szCs w:val="18"/>
              </w:rPr>
            </w:pPr>
          </w:p>
        </w:tc>
      </w:tr>
      <w:tr w14:paraId="7050C674">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15B8413">
            <w:pPr>
              <w:widowControl/>
              <w:ind w:firstLine="0" w:firstLineChars="0"/>
              <w:jc w:val="left"/>
              <w:rPr>
                <w:rFonts w:hint="eastAsia"/>
                <w:kern w:val="0"/>
                <w:sz w:val="18"/>
                <w:szCs w:val="18"/>
              </w:rPr>
            </w:pPr>
          </w:p>
        </w:tc>
        <w:tc>
          <w:tcPr>
            <w:tcW w:w="1114" w:type="pct"/>
            <w:vAlign w:val="center"/>
          </w:tcPr>
          <w:p w14:paraId="4EE6985B">
            <w:pPr>
              <w:pStyle w:val="115"/>
              <w:ind w:firstLine="0" w:firstLineChars="0"/>
              <w:rPr>
                <w:rFonts w:hint="eastAsia" w:hAnsi="宋体"/>
                <w:sz w:val="18"/>
                <w:szCs w:val="18"/>
              </w:rPr>
            </w:pPr>
            <w:r>
              <w:rPr>
                <w:rFonts w:hint="eastAsia" w:hAnsi="宋体"/>
                <w:sz w:val="18"/>
                <w:szCs w:val="18"/>
              </w:rPr>
              <w:t>密码服务</w:t>
            </w:r>
          </w:p>
        </w:tc>
        <w:tc>
          <w:tcPr>
            <w:tcW w:w="1891" w:type="pct"/>
            <w:vAlign w:val="center"/>
          </w:tcPr>
          <w:p w14:paraId="7F6FB186">
            <w:pPr>
              <w:widowControl/>
              <w:ind w:firstLine="0" w:firstLineChars="0"/>
              <w:jc w:val="center"/>
              <w:rPr>
                <w:rFonts w:hint="eastAsia"/>
                <w:kern w:val="0"/>
                <w:sz w:val="18"/>
                <w:szCs w:val="18"/>
              </w:rPr>
            </w:pPr>
            <w:r>
              <w:rPr>
                <w:rFonts w:hint="eastAsia"/>
                <w:kern w:val="0"/>
                <w:sz w:val="18"/>
                <w:szCs w:val="18"/>
              </w:rPr>
              <w:t>采用的数字证书由具备资质的电子认证服务机构签发</w:t>
            </w:r>
          </w:p>
        </w:tc>
        <w:tc>
          <w:tcPr>
            <w:tcW w:w="1126" w:type="pct"/>
            <w:vAlign w:val="center"/>
          </w:tcPr>
          <w:p w14:paraId="7AFA530B">
            <w:pPr>
              <w:widowControl/>
              <w:ind w:firstLine="0" w:firstLineChars="0"/>
              <w:jc w:val="center"/>
              <w:rPr>
                <w:rFonts w:hint="eastAsia"/>
                <w:kern w:val="0"/>
                <w:sz w:val="18"/>
                <w:szCs w:val="18"/>
              </w:rPr>
            </w:pPr>
          </w:p>
        </w:tc>
      </w:tr>
      <w:tr w14:paraId="307F10E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65DA3AE9">
            <w:pPr>
              <w:widowControl/>
              <w:ind w:firstLine="0" w:firstLineChars="0"/>
              <w:jc w:val="left"/>
              <w:rPr>
                <w:rFonts w:hint="eastAsia"/>
                <w:kern w:val="0"/>
                <w:sz w:val="18"/>
                <w:szCs w:val="18"/>
              </w:rPr>
            </w:pPr>
          </w:p>
        </w:tc>
        <w:tc>
          <w:tcPr>
            <w:tcW w:w="1114" w:type="pct"/>
            <w:vAlign w:val="center"/>
          </w:tcPr>
          <w:p w14:paraId="0012F6B5">
            <w:pPr>
              <w:pStyle w:val="115"/>
              <w:ind w:firstLine="0" w:firstLineChars="0"/>
              <w:rPr>
                <w:rFonts w:hint="eastAsia" w:hAnsi="宋体"/>
                <w:sz w:val="18"/>
                <w:szCs w:val="18"/>
              </w:rPr>
            </w:pPr>
            <w:r>
              <w:rPr>
                <w:rFonts w:hint="eastAsia" w:hAnsi="宋体"/>
                <w:sz w:val="18"/>
                <w:szCs w:val="18"/>
              </w:rPr>
              <w:t>密码产品</w:t>
            </w:r>
          </w:p>
        </w:tc>
        <w:tc>
          <w:tcPr>
            <w:tcW w:w="1891" w:type="pct"/>
            <w:vAlign w:val="center"/>
          </w:tcPr>
          <w:p w14:paraId="728F2D1B">
            <w:pPr>
              <w:widowControl/>
              <w:ind w:firstLine="0" w:firstLineChars="0"/>
              <w:jc w:val="center"/>
              <w:rPr>
                <w:rFonts w:hint="eastAsia"/>
                <w:kern w:val="0"/>
                <w:sz w:val="18"/>
                <w:szCs w:val="18"/>
              </w:rPr>
            </w:pPr>
            <w:r>
              <w:rPr>
                <w:rFonts w:hint="eastAsia"/>
                <w:kern w:val="0"/>
                <w:sz w:val="18"/>
                <w:szCs w:val="18"/>
              </w:rPr>
              <w:t>服务端相关的密码服务由云平台提供安全保障</w:t>
            </w:r>
          </w:p>
        </w:tc>
        <w:tc>
          <w:tcPr>
            <w:tcW w:w="1126" w:type="pct"/>
            <w:vAlign w:val="center"/>
          </w:tcPr>
          <w:p w14:paraId="79C25D37">
            <w:pPr>
              <w:widowControl/>
              <w:ind w:firstLine="0" w:firstLineChars="0"/>
              <w:jc w:val="center"/>
              <w:rPr>
                <w:rFonts w:hint="eastAsia"/>
                <w:kern w:val="0"/>
                <w:sz w:val="18"/>
                <w:szCs w:val="18"/>
              </w:rPr>
            </w:pPr>
          </w:p>
        </w:tc>
      </w:tr>
      <w:tr w14:paraId="27BFD09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15B91703">
            <w:pPr>
              <w:widowControl/>
              <w:ind w:firstLine="0" w:firstLineChars="0"/>
              <w:jc w:val="center"/>
              <w:rPr>
                <w:rFonts w:hint="eastAsia"/>
                <w:kern w:val="0"/>
                <w:sz w:val="18"/>
                <w:szCs w:val="18"/>
              </w:rPr>
            </w:pPr>
            <w:r>
              <w:rPr>
                <w:kern w:val="0"/>
                <w:sz w:val="18"/>
                <w:szCs w:val="18"/>
              </w:rPr>
              <w:t>应用和数据安全</w:t>
            </w:r>
          </w:p>
        </w:tc>
        <w:tc>
          <w:tcPr>
            <w:tcW w:w="1114" w:type="pct"/>
            <w:vAlign w:val="center"/>
          </w:tcPr>
          <w:p w14:paraId="78B4896E">
            <w:pPr>
              <w:pStyle w:val="115"/>
              <w:ind w:firstLine="0" w:firstLineChars="0"/>
              <w:rPr>
                <w:rFonts w:hint="eastAsia" w:hAnsi="宋体"/>
                <w:sz w:val="18"/>
                <w:szCs w:val="18"/>
              </w:rPr>
            </w:pPr>
            <w:r>
              <w:rPr>
                <w:rFonts w:hint="eastAsia" w:hAnsi="宋体"/>
                <w:sz w:val="18"/>
                <w:szCs w:val="18"/>
              </w:rPr>
              <w:t>身份鉴别</w:t>
            </w:r>
          </w:p>
        </w:tc>
        <w:tc>
          <w:tcPr>
            <w:tcW w:w="1891" w:type="pct"/>
            <w:vAlign w:val="center"/>
          </w:tcPr>
          <w:p w14:paraId="41093BC5">
            <w:pPr>
              <w:widowControl/>
              <w:ind w:firstLine="0" w:firstLineChars="0"/>
              <w:jc w:val="center"/>
              <w:rPr>
                <w:rFonts w:hint="eastAsia"/>
                <w:kern w:val="0"/>
                <w:sz w:val="18"/>
                <w:szCs w:val="18"/>
              </w:rPr>
            </w:pPr>
            <w:r>
              <w:rPr>
                <w:rFonts w:hint="eastAsia"/>
                <w:kern w:val="0"/>
                <w:sz w:val="18"/>
                <w:szCs w:val="18"/>
              </w:rPr>
              <w:t>保护执行关键操作或访问重要数据的用户身份真实性，防止假冒用户访问</w:t>
            </w:r>
          </w:p>
        </w:tc>
        <w:tc>
          <w:tcPr>
            <w:tcW w:w="1126" w:type="pct"/>
            <w:vAlign w:val="center"/>
          </w:tcPr>
          <w:p w14:paraId="1A46C352">
            <w:pPr>
              <w:widowControl/>
              <w:ind w:firstLine="0" w:firstLineChars="0"/>
              <w:jc w:val="center"/>
              <w:rPr>
                <w:rFonts w:hint="eastAsia"/>
                <w:kern w:val="0"/>
                <w:sz w:val="18"/>
                <w:szCs w:val="18"/>
              </w:rPr>
            </w:pPr>
          </w:p>
        </w:tc>
      </w:tr>
      <w:tr w14:paraId="387A99B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4B22CB7">
            <w:pPr>
              <w:widowControl/>
              <w:ind w:firstLine="0" w:firstLineChars="0"/>
              <w:jc w:val="left"/>
              <w:rPr>
                <w:rFonts w:hint="eastAsia"/>
                <w:kern w:val="0"/>
                <w:sz w:val="18"/>
                <w:szCs w:val="18"/>
              </w:rPr>
            </w:pPr>
          </w:p>
        </w:tc>
        <w:tc>
          <w:tcPr>
            <w:tcW w:w="1114" w:type="pct"/>
            <w:vAlign w:val="center"/>
          </w:tcPr>
          <w:p w14:paraId="426A259F">
            <w:pPr>
              <w:pStyle w:val="115"/>
              <w:ind w:firstLine="0" w:firstLineChars="0"/>
              <w:rPr>
                <w:rFonts w:hint="eastAsia" w:hAnsi="宋体"/>
                <w:sz w:val="18"/>
                <w:szCs w:val="18"/>
              </w:rPr>
            </w:pPr>
            <w:r>
              <w:rPr>
                <w:rFonts w:hint="eastAsia" w:hAnsi="宋体"/>
                <w:sz w:val="18"/>
                <w:szCs w:val="18"/>
              </w:rPr>
              <w:t>访问控制信息完整性</w:t>
            </w:r>
          </w:p>
        </w:tc>
        <w:tc>
          <w:tcPr>
            <w:tcW w:w="1891" w:type="pct"/>
            <w:vAlign w:val="center"/>
          </w:tcPr>
          <w:p w14:paraId="7D3226FD">
            <w:pPr>
              <w:widowControl/>
              <w:ind w:firstLine="0" w:firstLineChars="0"/>
              <w:jc w:val="center"/>
              <w:rPr>
                <w:rFonts w:hint="eastAsia"/>
                <w:kern w:val="0"/>
                <w:sz w:val="18"/>
                <w:szCs w:val="18"/>
              </w:rPr>
            </w:pPr>
            <w:r>
              <w:rPr>
                <w:rFonts w:hint="eastAsia"/>
                <w:kern w:val="0"/>
                <w:sz w:val="18"/>
                <w:szCs w:val="18"/>
              </w:rPr>
              <w:t>保护应用系统的访问控制信息免受非法篡改</w:t>
            </w:r>
          </w:p>
        </w:tc>
        <w:tc>
          <w:tcPr>
            <w:tcW w:w="1126" w:type="pct"/>
            <w:vAlign w:val="center"/>
          </w:tcPr>
          <w:p w14:paraId="080EBD23">
            <w:pPr>
              <w:widowControl/>
              <w:ind w:firstLine="0" w:firstLineChars="0"/>
              <w:jc w:val="center"/>
              <w:rPr>
                <w:rFonts w:hint="eastAsia"/>
                <w:kern w:val="0"/>
                <w:sz w:val="18"/>
                <w:szCs w:val="18"/>
              </w:rPr>
            </w:pPr>
          </w:p>
        </w:tc>
      </w:tr>
      <w:tr w14:paraId="7526633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266FB0F">
            <w:pPr>
              <w:widowControl/>
              <w:ind w:firstLine="0" w:firstLineChars="0"/>
              <w:jc w:val="left"/>
              <w:rPr>
                <w:rFonts w:hint="eastAsia"/>
                <w:kern w:val="0"/>
                <w:sz w:val="18"/>
                <w:szCs w:val="18"/>
              </w:rPr>
            </w:pPr>
          </w:p>
        </w:tc>
        <w:tc>
          <w:tcPr>
            <w:tcW w:w="1114" w:type="pct"/>
            <w:vAlign w:val="center"/>
          </w:tcPr>
          <w:p w14:paraId="53BA4D88">
            <w:pPr>
              <w:pStyle w:val="115"/>
              <w:ind w:firstLine="0" w:firstLineChars="0"/>
              <w:rPr>
                <w:rFonts w:hint="eastAsia" w:hAnsi="宋体"/>
                <w:sz w:val="18"/>
                <w:szCs w:val="18"/>
              </w:rPr>
            </w:pPr>
            <w:r>
              <w:rPr>
                <w:rFonts w:hint="eastAsia" w:hAnsi="宋体"/>
                <w:sz w:val="18"/>
                <w:szCs w:val="18"/>
              </w:rPr>
              <w:t>重要信息资源安全标记完整性</w:t>
            </w:r>
          </w:p>
        </w:tc>
        <w:tc>
          <w:tcPr>
            <w:tcW w:w="1891" w:type="pct"/>
            <w:vAlign w:val="center"/>
          </w:tcPr>
          <w:p w14:paraId="2D3D4781">
            <w:pPr>
              <w:widowControl/>
              <w:ind w:firstLine="0" w:firstLineChars="0"/>
              <w:jc w:val="center"/>
              <w:rPr>
                <w:rFonts w:hint="eastAsia"/>
                <w:kern w:val="0"/>
                <w:sz w:val="18"/>
                <w:szCs w:val="18"/>
              </w:rPr>
            </w:pPr>
            <w:r>
              <w:rPr>
                <w:rFonts w:hint="eastAsia"/>
                <w:kern w:val="0"/>
                <w:sz w:val="18"/>
                <w:szCs w:val="18"/>
              </w:rPr>
              <w:t>不适用</w:t>
            </w:r>
          </w:p>
        </w:tc>
        <w:tc>
          <w:tcPr>
            <w:tcW w:w="1126" w:type="pct"/>
            <w:vAlign w:val="center"/>
          </w:tcPr>
          <w:p w14:paraId="22ECE553">
            <w:pPr>
              <w:widowControl/>
              <w:ind w:firstLine="0" w:firstLineChars="0"/>
              <w:jc w:val="center"/>
              <w:rPr>
                <w:rFonts w:hint="eastAsia"/>
                <w:kern w:val="0"/>
                <w:sz w:val="18"/>
                <w:szCs w:val="18"/>
              </w:rPr>
            </w:pPr>
            <w:r>
              <w:rPr>
                <w:rFonts w:hint="eastAsia"/>
                <w:kern w:val="0"/>
                <w:sz w:val="18"/>
                <w:szCs w:val="18"/>
              </w:rPr>
              <w:t>无重要信息资源安全标记</w:t>
            </w:r>
          </w:p>
        </w:tc>
      </w:tr>
      <w:tr w14:paraId="079DD10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CB9FCF1">
            <w:pPr>
              <w:widowControl/>
              <w:ind w:firstLine="0" w:firstLineChars="0"/>
              <w:jc w:val="left"/>
              <w:rPr>
                <w:rFonts w:hint="eastAsia"/>
                <w:kern w:val="0"/>
                <w:sz w:val="18"/>
                <w:szCs w:val="18"/>
              </w:rPr>
            </w:pPr>
          </w:p>
        </w:tc>
        <w:tc>
          <w:tcPr>
            <w:tcW w:w="1114" w:type="pct"/>
            <w:vAlign w:val="center"/>
          </w:tcPr>
          <w:p w14:paraId="66298509">
            <w:pPr>
              <w:pStyle w:val="115"/>
              <w:ind w:firstLine="0" w:firstLineChars="0"/>
              <w:rPr>
                <w:rFonts w:hint="eastAsia" w:hAnsi="宋体"/>
                <w:sz w:val="18"/>
                <w:szCs w:val="18"/>
              </w:rPr>
            </w:pPr>
            <w:r>
              <w:rPr>
                <w:rFonts w:hint="eastAsia" w:hAnsi="宋体"/>
                <w:sz w:val="18"/>
                <w:szCs w:val="18"/>
              </w:rPr>
              <w:t>重要数据传输机密性</w:t>
            </w:r>
          </w:p>
        </w:tc>
        <w:tc>
          <w:tcPr>
            <w:tcW w:w="1891" w:type="pct"/>
            <w:vAlign w:val="center"/>
          </w:tcPr>
          <w:p w14:paraId="61E1A227">
            <w:pPr>
              <w:widowControl/>
              <w:ind w:firstLine="0" w:firstLineChars="0"/>
              <w:jc w:val="center"/>
              <w:rPr>
                <w:rFonts w:hint="eastAsia"/>
                <w:kern w:val="0"/>
                <w:sz w:val="18"/>
                <w:szCs w:val="18"/>
              </w:rPr>
            </w:pPr>
            <w:r>
              <w:rPr>
                <w:rFonts w:hint="eastAsia"/>
                <w:kern w:val="0"/>
                <w:sz w:val="18"/>
                <w:szCs w:val="18"/>
              </w:rPr>
              <w:t>保护用户鉴别信息等重要数据传输的机密性</w:t>
            </w:r>
          </w:p>
        </w:tc>
        <w:tc>
          <w:tcPr>
            <w:tcW w:w="1126" w:type="pct"/>
            <w:vAlign w:val="center"/>
          </w:tcPr>
          <w:p w14:paraId="2816A3FC">
            <w:pPr>
              <w:widowControl/>
              <w:ind w:firstLine="0" w:firstLineChars="0"/>
              <w:jc w:val="center"/>
              <w:rPr>
                <w:rFonts w:hint="eastAsia"/>
                <w:kern w:val="0"/>
                <w:sz w:val="18"/>
                <w:szCs w:val="18"/>
              </w:rPr>
            </w:pPr>
          </w:p>
        </w:tc>
      </w:tr>
      <w:tr w14:paraId="16C285DF">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C685175">
            <w:pPr>
              <w:widowControl/>
              <w:ind w:firstLine="0" w:firstLineChars="0"/>
              <w:jc w:val="left"/>
              <w:rPr>
                <w:rFonts w:hint="eastAsia"/>
                <w:kern w:val="0"/>
                <w:sz w:val="18"/>
                <w:szCs w:val="18"/>
              </w:rPr>
            </w:pPr>
          </w:p>
        </w:tc>
        <w:tc>
          <w:tcPr>
            <w:tcW w:w="1114" w:type="pct"/>
            <w:vAlign w:val="center"/>
          </w:tcPr>
          <w:p w14:paraId="5909C886">
            <w:pPr>
              <w:pStyle w:val="115"/>
              <w:ind w:firstLine="0" w:firstLineChars="0"/>
              <w:rPr>
                <w:rFonts w:hint="eastAsia" w:hAnsi="宋体"/>
                <w:sz w:val="18"/>
                <w:szCs w:val="18"/>
              </w:rPr>
            </w:pPr>
            <w:r>
              <w:rPr>
                <w:rFonts w:hint="eastAsia" w:hAnsi="宋体"/>
                <w:sz w:val="18"/>
                <w:szCs w:val="18"/>
              </w:rPr>
              <w:t>重要数据存储机密性</w:t>
            </w:r>
          </w:p>
        </w:tc>
        <w:tc>
          <w:tcPr>
            <w:tcW w:w="1891" w:type="pct"/>
            <w:vAlign w:val="center"/>
          </w:tcPr>
          <w:p w14:paraId="675EA068">
            <w:pPr>
              <w:widowControl/>
              <w:ind w:firstLine="0" w:firstLineChars="0"/>
              <w:jc w:val="center"/>
              <w:rPr>
                <w:rFonts w:hint="eastAsia"/>
                <w:kern w:val="0"/>
                <w:sz w:val="18"/>
                <w:szCs w:val="18"/>
              </w:rPr>
            </w:pPr>
            <w:r>
              <w:rPr>
                <w:rFonts w:hint="eastAsia"/>
                <w:kern w:val="0"/>
                <w:sz w:val="18"/>
                <w:szCs w:val="18"/>
              </w:rPr>
              <w:t>保护用户鉴别信息等重要数据存储的机密性</w:t>
            </w:r>
          </w:p>
        </w:tc>
        <w:tc>
          <w:tcPr>
            <w:tcW w:w="1126" w:type="pct"/>
            <w:vAlign w:val="center"/>
          </w:tcPr>
          <w:p w14:paraId="343CACEB">
            <w:pPr>
              <w:widowControl/>
              <w:ind w:firstLine="0" w:firstLineChars="0"/>
              <w:jc w:val="center"/>
              <w:rPr>
                <w:rFonts w:hint="eastAsia"/>
                <w:kern w:val="0"/>
                <w:sz w:val="18"/>
                <w:szCs w:val="18"/>
              </w:rPr>
            </w:pPr>
          </w:p>
        </w:tc>
      </w:tr>
      <w:tr w14:paraId="48BABB3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F966EF7">
            <w:pPr>
              <w:widowControl/>
              <w:ind w:firstLine="0" w:firstLineChars="0"/>
              <w:jc w:val="left"/>
              <w:rPr>
                <w:rFonts w:hint="eastAsia"/>
                <w:kern w:val="0"/>
                <w:sz w:val="18"/>
                <w:szCs w:val="18"/>
              </w:rPr>
            </w:pPr>
          </w:p>
        </w:tc>
        <w:tc>
          <w:tcPr>
            <w:tcW w:w="1114" w:type="pct"/>
            <w:vAlign w:val="center"/>
          </w:tcPr>
          <w:p w14:paraId="092BC0FE">
            <w:pPr>
              <w:pStyle w:val="115"/>
              <w:ind w:firstLine="0" w:firstLineChars="0"/>
              <w:rPr>
                <w:rFonts w:hint="eastAsia" w:hAnsi="宋体"/>
                <w:sz w:val="18"/>
                <w:szCs w:val="18"/>
              </w:rPr>
            </w:pPr>
            <w:r>
              <w:rPr>
                <w:rFonts w:hint="eastAsia" w:hAnsi="宋体"/>
                <w:sz w:val="18"/>
                <w:szCs w:val="18"/>
              </w:rPr>
              <w:t>重要数据传输完整性</w:t>
            </w:r>
          </w:p>
        </w:tc>
        <w:tc>
          <w:tcPr>
            <w:tcW w:w="1891" w:type="pct"/>
            <w:vAlign w:val="center"/>
          </w:tcPr>
          <w:p w14:paraId="6E9779C8">
            <w:pPr>
              <w:widowControl/>
              <w:ind w:firstLine="0" w:firstLineChars="0"/>
              <w:jc w:val="center"/>
              <w:rPr>
                <w:rFonts w:hint="eastAsia"/>
                <w:kern w:val="0"/>
                <w:sz w:val="18"/>
                <w:szCs w:val="18"/>
              </w:rPr>
            </w:pPr>
            <w:r>
              <w:rPr>
                <w:rFonts w:hint="eastAsia"/>
                <w:kern w:val="0"/>
                <w:sz w:val="18"/>
                <w:szCs w:val="18"/>
              </w:rPr>
              <w:t>保护用户鉴别信息等重要数据传输的完整性</w:t>
            </w:r>
          </w:p>
        </w:tc>
        <w:tc>
          <w:tcPr>
            <w:tcW w:w="1126" w:type="pct"/>
            <w:vAlign w:val="center"/>
          </w:tcPr>
          <w:p w14:paraId="4427DF9F">
            <w:pPr>
              <w:widowControl/>
              <w:ind w:firstLine="0" w:firstLineChars="0"/>
              <w:jc w:val="center"/>
              <w:rPr>
                <w:rFonts w:hint="eastAsia"/>
                <w:kern w:val="0"/>
                <w:sz w:val="18"/>
                <w:szCs w:val="18"/>
              </w:rPr>
            </w:pPr>
          </w:p>
        </w:tc>
      </w:tr>
      <w:tr w14:paraId="1747A84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EAE0341">
            <w:pPr>
              <w:widowControl/>
              <w:ind w:firstLine="0" w:firstLineChars="0"/>
              <w:jc w:val="left"/>
              <w:rPr>
                <w:rFonts w:hint="eastAsia"/>
                <w:kern w:val="0"/>
                <w:sz w:val="18"/>
                <w:szCs w:val="18"/>
              </w:rPr>
            </w:pPr>
          </w:p>
        </w:tc>
        <w:tc>
          <w:tcPr>
            <w:tcW w:w="1114" w:type="pct"/>
            <w:vAlign w:val="center"/>
          </w:tcPr>
          <w:p w14:paraId="34BFA443">
            <w:pPr>
              <w:pStyle w:val="115"/>
              <w:ind w:firstLine="0" w:firstLineChars="0"/>
              <w:rPr>
                <w:rFonts w:hint="eastAsia" w:hAnsi="宋体"/>
                <w:sz w:val="18"/>
                <w:szCs w:val="18"/>
              </w:rPr>
            </w:pPr>
            <w:r>
              <w:rPr>
                <w:rFonts w:hint="eastAsia" w:hAnsi="宋体"/>
                <w:sz w:val="18"/>
                <w:szCs w:val="18"/>
              </w:rPr>
              <w:t>重要数据存储完整性</w:t>
            </w:r>
          </w:p>
        </w:tc>
        <w:tc>
          <w:tcPr>
            <w:tcW w:w="1891" w:type="pct"/>
            <w:vAlign w:val="center"/>
          </w:tcPr>
          <w:p w14:paraId="370D7B67">
            <w:pPr>
              <w:widowControl/>
              <w:ind w:firstLine="0" w:firstLineChars="0"/>
              <w:jc w:val="center"/>
              <w:rPr>
                <w:rFonts w:hint="eastAsia"/>
                <w:kern w:val="0"/>
                <w:sz w:val="18"/>
                <w:szCs w:val="18"/>
              </w:rPr>
            </w:pPr>
            <w:r>
              <w:rPr>
                <w:rFonts w:hint="eastAsia"/>
                <w:kern w:val="0"/>
                <w:sz w:val="18"/>
                <w:szCs w:val="18"/>
              </w:rPr>
              <w:t>保护用户鉴别信息等重要数据存储的完整性</w:t>
            </w:r>
          </w:p>
        </w:tc>
        <w:tc>
          <w:tcPr>
            <w:tcW w:w="1126" w:type="pct"/>
            <w:vAlign w:val="center"/>
          </w:tcPr>
          <w:p w14:paraId="1B43E8D3">
            <w:pPr>
              <w:widowControl/>
              <w:ind w:firstLine="0" w:firstLineChars="0"/>
              <w:jc w:val="center"/>
              <w:rPr>
                <w:rFonts w:hint="eastAsia"/>
                <w:kern w:val="0"/>
                <w:sz w:val="18"/>
                <w:szCs w:val="18"/>
              </w:rPr>
            </w:pPr>
          </w:p>
        </w:tc>
      </w:tr>
      <w:tr w14:paraId="16C346E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30FFD38">
            <w:pPr>
              <w:widowControl/>
              <w:ind w:firstLine="0" w:firstLineChars="0"/>
              <w:jc w:val="left"/>
              <w:rPr>
                <w:rFonts w:hint="eastAsia"/>
                <w:kern w:val="0"/>
                <w:sz w:val="18"/>
                <w:szCs w:val="18"/>
              </w:rPr>
            </w:pPr>
          </w:p>
        </w:tc>
        <w:tc>
          <w:tcPr>
            <w:tcW w:w="1114" w:type="pct"/>
            <w:vAlign w:val="center"/>
          </w:tcPr>
          <w:p w14:paraId="07721B20">
            <w:pPr>
              <w:pStyle w:val="115"/>
              <w:ind w:firstLine="0" w:firstLineChars="0"/>
              <w:rPr>
                <w:rFonts w:hint="eastAsia" w:hAnsi="宋体"/>
                <w:sz w:val="18"/>
                <w:szCs w:val="18"/>
              </w:rPr>
            </w:pPr>
            <w:r>
              <w:rPr>
                <w:rFonts w:hint="eastAsia" w:hAnsi="宋体"/>
                <w:sz w:val="18"/>
                <w:szCs w:val="18"/>
              </w:rPr>
              <w:t>不可否认性</w:t>
            </w:r>
          </w:p>
        </w:tc>
        <w:tc>
          <w:tcPr>
            <w:tcW w:w="1891" w:type="pct"/>
            <w:vAlign w:val="center"/>
          </w:tcPr>
          <w:p w14:paraId="3F873C91">
            <w:pPr>
              <w:widowControl/>
              <w:ind w:firstLine="0" w:firstLineChars="0"/>
              <w:jc w:val="center"/>
              <w:rPr>
                <w:rFonts w:hint="eastAsia"/>
                <w:kern w:val="0"/>
                <w:sz w:val="18"/>
                <w:szCs w:val="18"/>
              </w:rPr>
            </w:pPr>
            <w:r>
              <w:rPr>
                <w:rFonts w:hint="eastAsia"/>
                <w:kern w:val="0"/>
                <w:sz w:val="18"/>
                <w:szCs w:val="18"/>
              </w:rPr>
              <w:t>保证用户执行关键操作的不可否认性</w:t>
            </w:r>
          </w:p>
        </w:tc>
        <w:tc>
          <w:tcPr>
            <w:tcW w:w="1126" w:type="pct"/>
            <w:vAlign w:val="center"/>
          </w:tcPr>
          <w:p w14:paraId="422B6B61">
            <w:pPr>
              <w:widowControl/>
              <w:ind w:firstLine="0" w:firstLineChars="0"/>
              <w:jc w:val="center"/>
              <w:rPr>
                <w:rFonts w:hint="eastAsia"/>
                <w:kern w:val="0"/>
                <w:sz w:val="18"/>
                <w:szCs w:val="18"/>
              </w:rPr>
            </w:pPr>
            <w:r>
              <w:rPr>
                <w:rFonts w:hint="eastAsia"/>
                <w:kern w:val="0"/>
                <w:sz w:val="18"/>
                <w:szCs w:val="18"/>
              </w:rPr>
              <w:t>不适用</w:t>
            </w:r>
          </w:p>
        </w:tc>
      </w:tr>
      <w:tr w14:paraId="6BCF8B8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C82C2A9">
            <w:pPr>
              <w:widowControl/>
              <w:ind w:firstLine="0" w:firstLineChars="0"/>
              <w:jc w:val="left"/>
              <w:rPr>
                <w:rFonts w:hint="eastAsia"/>
                <w:kern w:val="0"/>
                <w:sz w:val="18"/>
                <w:szCs w:val="18"/>
              </w:rPr>
            </w:pPr>
          </w:p>
        </w:tc>
        <w:tc>
          <w:tcPr>
            <w:tcW w:w="1114" w:type="pct"/>
            <w:vAlign w:val="center"/>
          </w:tcPr>
          <w:p w14:paraId="1F72AB95">
            <w:pPr>
              <w:pStyle w:val="115"/>
              <w:ind w:firstLine="0" w:firstLineChars="0"/>
              <w:rPr>
                <w:rFonts w:hint="eastAsia" w:hAnsi="宋体"/>
                <w:sz w:val="18"/>
                <w:szCs w:val="18"/>
              </w:rPr>
            </w:pPr>
            <w:r>
              <w:rPr>
                <w:rFonts w:hint="eastAsia" w:hAnsi="宋体"/>
                <w:sz w:val="18"/>
                <w:szCs w:val="18"/>
              </w:rPr>
              <w:t>密码服务</w:t>
            </w:r>
          </w:p>
        </w:tc>
        <w:tc>
          <w:tcPr>
            <w:tcW w:w="1891" w:type="pct"/>
            <w:vAlign w:val="center"/>
          </w:tcPr>
          <w:p w14:paraId="0D2D32F9">
            <w:pPr>
              <w:widowControl/>
              <w:ind w:firstLine="0" w:firstLineChars="0"/>
              <w:jc w:val="center"/>
              <w:rPr>
                <w:rFonts w:hint="eastAsia"/>
                <w:kern w:val="0"/>
                <w:sz w:val="18"/>
                <w:szCs w:val="18"/>
              </w:rPr>
            </w:pPr>
            <w:r>
              <w:rPr>
                <w:rFonts w:hint="eastAsia"/>
                <w:kern w:val="0"/>
                <w:sz w:val="18"/>
                <w:szCs w:val="18"/>
              </w:rPr>
              <w:t>采用的数字证书由具备资质的电子认证服务机构签发</w:t>
            </w:r>
          </w:p>
        </w:tc>
        <w:tc>
          <w:tcPr>
            <w:tcW w:w="1126" w:type="pct"/>
            <w:vAlign w:val="center"/>
          </w:tcPr>
          <w:p w14:paraId="1A0924A5">
            <w:pPr>
              <w:widowControl/>
              <w:ind w:firstLine="0" w:firstLineChars="0"/>
              <w:jc w:val="center"/>
              <w:rPr>
                <w:rFonts w:hint="eastAsia"/>
                <w:kern w:val="0"/>
                <w:sz w:val="18"/>
                <w:szCs w:val="18"/>
              </w:rPr>
            </w:pPr>
          </w:p>
        </w:tc>
      </w:tr>
      <w:tr w14:paraId="6274F1B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428C616">
            <w:pPr>
              <w:widowControl/>
              <w:ind w:firstLine="0" w:firstLineChars="0"/>
              <w:jc w:val="left"/>
              <w:rPr>
                <w:rFonts w:hint="eastAsia"/>
                <w:kern w:val="0"/>
                <w:sz w:val="18"/>
                <w:szCs w:val="18"/>
              </w:rPr>
            </w:pPr>
          </w:p>
        </w:tc>
        <w:tc>
          <w:tcPr>
            <w:tcW w:w="1114" w:type="pct"/>
            <w:vAlign w:val="center"/>
          </w:tcPr>
          <w:p w14:paraId="7B440032">
            <w:pPr>
              <w:pStyle w:val="115"/>
              <w:ind w:firstLine="0" w:firstLineChars="0"/>
              <w:rPr>
                <w:rFonts w:hint="eastAsia" w:hAnsi="宋体"/>
                <w:sz w:val="18"/>
                <w:szCs w:val="18"/>
              </w:rPr>
            </w:pPr>
            <w:r>
              <w:rPr>
                <w:rFonts w:hint="eastAsia" w:hAnsi="宋体"/>
                <w:sz w:val="18"/>
                <w:szCs w:val="18"/>
              </w:rPr>
              <w:t>密码产品</w:t>
            </w:r>
          </w:p>
        </w:tc>
        <w:tc>
          <w:tcPr>
            <w:tcW w:w="1891" w:type="pct"/>
            <w:vAlign w:val="center"/>
          </w:tcPr>
          <w:p w14:paraId="7AC885EE">
            <w:pPr>
              <w:widowControl/>
              <w:ind w:firstLine="0" w:firstLineChars="0"/>
              <w:jc w:val="center"/>
              <w:rPr>
                <w:rFonts w:hint="eastAsia"/>
                <w:kern w:val="0"/>
                <w:sz w:val="18"/>
                <w:szCs w:val="18"/>
              </w:rPr>
            </w:pPr>
            <w:r>
              <w:rPr>
                <w:rFonts w:hint="eastAsia"/>
                <w:kern w:val="0"/>
                <w:sz w:val="18"/>
                <w:szCs w:val="18"/>
              </w:rPr>
              <w:t>服务端相关的密码服务由云平台提供安全保障</w:t>
            </w:r>
          </w:p>
        </w:tc>
        <w:tc>
          <w:tcPr>
            <w:tcW w:w="1126" w:type="pct"/>
            <w:vAlign w:val="center"/>
          </w:tcPr>
          <w:p w14:paraId="79C700C1">
            <w:pPr>
              <w:widowControl/>
              <w:ind w:firstLine="0" w:firstLineChars="0"/>
              <w:jc w:val="center"/>
              <w:rPr>
                <w:rFonts w:hint="eastAsia"/>
                <w:kern w:val="0"/>
                <w:sz w:val="18"/>
                <w:szCs w:val="18"/>
              </w:rPr>
            </w:pPr>
          </w:p>
        </w:tc>
      </w:tr>
    </w:tbl>
    <w:p w14:paraId="60C186EE">
      <w:pPr>
        <w:rPr>
          <w:rFonts w:hint="eastAsia"/>
        </w:rPr>
      </w:pPr>
    </w:p>
    <w:p w14:paraId="7B624208">
      <w:pPr>
        <w:pStyle w:val="3"/>
        <w:rPr>
          <w:rFonts w:hint="eastAsia"/>
        </w:rPr>
      </w:pPr>
      <w:bookmarkStart w:id="26" w:name="_Toc63785512"/>
      <w:r>
        <w:rPr>
          <w:rFonts w:hint="eastAsia"/>
        </w:rPr>
        <w:t>技术文件要求</w:t>
      </w:r>
    </w:p>
    <w:p w14:paraId="038C2A7D">
      <w:pPr>
        <w:rPr>
          <w:rFonts w:hint="eastAsia"/>
        </w:rPr>
      </w:pPr>
      <w:r>
        <w:rPr>
          <w:rFonts w:hint="eastAsia"/>
        </w:rPr>
        <w:t>供应商提供的书面技术资料应能确保系统正常运行所需的管理、运营及维护有关的全套文件。技术文件应该全面、完整、详细。供应商提供的技术文件至少应包括：</w:t>
      </w:r>
    </w:p>
    <w:p w14:paraId="3346C15F">
      <w:pPr>
        <w:rPr>
          <w:rFonts w:hint="eastAsia"/>
        </w:rPr>
      </w:pPr>
      <w:r>
        <w:rPr>
          <w:rFonts w:hint="eastAsia"/>
        </w:rPr>
        <w:t>－</w:t>
      </w:r>
      <w:r>
        <w:t xml:space="preserve"> 系统说明文件； </w:t>
      </w:r>
    </w:p>
    <w:p w14:paraId="3C7529AF">
      <w:pPr>
        <w:rPr>
          <w:rFonts w:hint="eastAsia"/>
        </w:rPr>
      </w:pPr>
      <w:r>
        <w:rPr>
          <w:rFonts w:hint="eastAsia"/>
        </w:rPr>
        <w:t>－</w:t>
      </w:r>
      <w:r>
        <w:t xml:space="preserve"> 技术手册(安装、测试、操作、维护、故障排除等)； </w:t>
      </w:r>
    </w:p>
    <w:p w14:paraId="75CD060C">
      <w:pPr>
        <w:rPr>
          <w:rFonts w:hint="eastAsia"/>
        </w:rPr>
      </w:pPr>
      <w:r>
        <w:rPr>
          <w:rFonts w:hint="eastAsia"/>
        </w:rPr>
        <w:t>－</w:t>
      </w:r>
      <w:r>
        <w:t xml:space="preserve"> 项目文档，应该包括：</w:t>
      </w:r>
    </w:p>
    <w:p w14:paraId="556DF4A4">
      <w:pPr>
        <w:ind w:left="360"/>
        <w:rPr>
          <w:rFonts w:hint="eastAsia"/>
        </w:rPr>
      </w:pPr>
      <w:r>
        <w:t>(1)软件需求说明书</w:t>
      </w:r>
    </w:p>
    <w:p w14:paraId="764F2233">
      <w:pPr>
        <w:ind w:left="360"/>
        <w:rPr>
          <w:rFonts w:hint="eastAsia"/>
        </w:rPr>
      </w:pPr>
      <w:r>
        <w:t>(2)</w:t>
      </w:r>
      <w:r>
        <w:tab/>
      </w:r>
      <w:r>
        <w:t>系统总体设计说明书</w:t>
      </w:r>
    </w:p>
    <w:p w14:paraId="54DFEA93">
      <w:pPr>
        <w:ind w:left="360"/>
        <w:rPr>
          <w:rFonts w:hint="eastAsia"/>
        </w:rPr>
      </w:pPr>
      <w:r>
        <w:t>(3)</w:t>
      </w:r>
      <w:r>
        <w:tab/>
      </w:r>
      <w:r>
        <w:t>应用软件功能清单</w:t>
      </w:r>
    </w:p>
    <w:p w14:paraId="2D36E08C">
      <w:pPr>
        <w:rPr>
          <w:rFonts w:hint="eastAsia"/>
        </w:rPr>
      </w:pPr>
      <w:r>
        <w:rPr>
          <w:rFonts w:hint="eastAsia"/>
        </w:rPr>
        <w:t>提供全套技术文件纸介质</w:t>
      </w:r>
      <w:r>
        <w:t>3套以及电子文件1套。</w:t>
      </w:r>
    </w:p>
    <w:p w14:paraId="4E1958E9">
      <w:pPr>
        <w:pStyle w:val="2"/>
        <w:rPr>
          <w:rFonts w:hint="eastAsia"/>
        </w:rPr>
      </w:pPr>
      <w:r>
        <w:rPr>
          <w:rFonts w:hint="eastAsia"/>
        </w:rPr>
        <w:t>供应商管理要求</w:t>
      </w:r>
      <w:bookmarkEnd w:id="26"/>
    </w:p>
    <w:p w14:paraId="50604F47">
      <w:pPr>
        <w:pStyle w:val="80"/>
        <w:ind w:firstLine="480"/>
        <w:rPr>
          <w:rFonts w:hint="eastAsia"/>
          <w:sz w:val="24"/>
          <w:szCs w:val="24"/>
        </w:rPr>
      </w:pPr>
      <w:r>
        <w:rPr>
          <w:rFonts w:hint="eastAsia"/>
          <w:sz w:val="24"/>
          <w:szCs w:val="24"/>
        </w:rPr>
        <w:t>1、在项目实施期间，成交供应商应严格执行国家、地方、行业有关本项目业务管理和安全作业的法律、法规和制度并按规定承担相应的费用。成交供应商因违反规定等原因造成的一切损失和责任由成交供应商自行承担。</w:t>
      </w:r>
    </w:p>
    <w:p w14:paraId="19CE258C">
      <w:pPr>
        <w:pStyle w:val="80"/>
        <w:ind w:firstLine="480"/>
        <w:rPr>
          <w:rFonts w:hint="eastAsia"/>
          <w:sz w:val="24"/>
          <w:szCs w:val="24"/>
        </w:rPr>
      </w:pPr>
      <w:r>
        <w:rPr>
          <w:rFonts w:hint="eastAsia"/>
          <w:sz w:val="24"/>
          <w:szCs w:val="24"/>
        </w:rPr>
        <w:t>2、成交供应商在</w:t>
      </w:r>
      <w:r>
        <w:rPr>
          <w:rFonts w:hint="eastAsia"/>
          <w:sz w:val="24"/>
          <w:szCs w:val="24"/>
          <w:lang w:eastAsia="zh-CN"/>
        </w:rPr>
        <w:t>响应文件</w:t>
      </w:r>
      <w:r>
        <w:rPr>
          <w:rFonts w:hint="eastAsia"/>
          <w:sz w:val="24"/>
          <w:szCs w:val="24"/>
        </w:rPr>
        <w:t>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成交供应商不得调换或撤离上述人员。如采购人认为有必要，可要求成交供应商对上述人员中的部分人员作出更好的调整。</w:t>
      </w:r>
    </w:p>
    <w:p w14:paraId="14831BAB">
      <w:pPr>
        <w:pStyle w:val="80"/>
        <w:ind w:firstLine="480"/>
        <w:rPr>
          <w:rFonts w:hint="eastAsia"/>
          <w:sz w:val="24"/>
          <w:szCs w:val="24"/>
        </w:rPr>
      </w:pPr>
      <w:r>
        <w:rPr>
          <w:rFonts w:hint="eastAsia"/>
          <w:sz w:val="24"/>
          <w:szCs w:val="24"/>
        </w:rPr>
        <w:t>3、成交供应商在项目实施期间，应按项目实际进度与环节落实所对应项目整体及各环节管理工作，按照规范做好项目实施期间相关管理与实施记录。</w:t>
      </w:r>
    </w:p>
    <w:p w14:paraId="04C91E41">
      <w:pPr>
        <w:pStyle w:val="80"/>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329A60C2">
      <w:pPr>
        <w:pStyle w:val="80"/>
        <w:ind w:firstLine="480"/>
        <w:rPr>
          <w:rFonts w:hint="eastAsia"/>
          <w:sz w:val="24"/>
          <w:szCs w:val="24"/>
        </w:rPr>
      </w:pPr>
      <w:r>
        <w:rPr>
          <w:rFonts w:hint="eastAsia"/>
          <w:sz w:val="24"/>
          <w:szCs w:val="24"/>
        </w:rPr>
        <w:t>5、成交供应商在项目实施期间必须遵守采购人的规章制度并提供实施人员名单。</w:t>
      </w:r>
    </w:p>
    <w:p w14:paraId="677EAE58">
      <w:pPr>
        <w:pStyle w:val="80"/>
        <w:ind w:firstLine="480"/>
        <w:rPr>
          <w:rFonts w:hint="eastAsia"/>
          <w:sz w:val="24"/>
          <w:szCs w:val="24"/>
        </w:rPr>
      </w:pPr>
      <w:r>
        <w:rPr>
          <w:rFonts w:hint="eastAsia"/>
          <w:sz w:val="24"/>
          <w:szCs w:val="24"/>
        </w:rPr>
        <w:t>6、各供应商在投标文件中要结合本项目的特点和采购人上述的具体要求制定相应的管理措施，并在报价中列支相应的费用清单，供应商报价中未列支上述费用清单的，上述费用视为已包含在供应商的投标总报价中。</w:t>
      </w:r>
    </w:p>
    <w:p w14:paraId="01F344D5">
      <w:pPr>
        <w:pStyle w:val="80"/>
        <w:ind w:firstLine="480"/>
        <w:rPr>
          <w:rFonts w:hint="eastAsia"/>
        </w:rPr>
      </w:pPr>
      <w:r>
        <w:rPr>
          <w:rFonts w:hint="eastAsia"/>
          <w:sz w:val="24"/>
          <w:szCs w:val="24"/>
        </w:rPr>
        <w:t>7、本项目软件开发及调试将纳入采购人的管理范围，成交供应商在此过程中须服从上述单位的管理协调。</w:t>
      </w:r>
    </w:p>
    <w:p w14:paraId="6CA45134">
      <w:pPr>
        <w:pStyle w:val="80"/>
        <w:ind w:firstLine="420"/>
        <w:rPr>
          <w:rFonts w:hint="eastAsia"/>
        </w:rPr>
      </w:pPr>
    </w:p>
    <w:p w14:paraId="535028E9">
      <w:pPr>
        <w:pStyle w:val="2"/>
        <w:rPr>
          <w:rFonts w:hint="eastAsia"/>
        </w:rPr>
      </w:pPr>
      <w:bookmarkStart w:id="27" w:name="_Toc68798863"/>
      <w:r>
        <w:rPr>
          <w:rFonts w:hint="eastAsia"/>
        </w:rPr>
        <w:t>附录</w:t>
      </w:r>
      <w:bookmarkEnd w:id="27"/>
    </w:p>
    <w:p w14:paraId="453E5CBE">
      <w:pPr>
        <w:ind w:firstLine="482"/>
        <w:rPr>
          <w:rFonts w:hint="eastAsia"/>
          <w:b/>
        </w:rPr>
      </w:pPr>
      <w:r>
        <w:rPr>
          <w:rFonts w:hint="eastAsia"/>
          <w:b/>
        </w:rPr>
        <w:t>若项目建设过程中需符合相关技术标准或规范文件的要求，请将相关文件作为附件列出。</w:t>
      </w:r>
    </w:p>
    <w:p w14:paraId="0478C6A9">
      <w:pPr>
        <w:ind w:firstLine="482"/>
        <w:rPr>
          <w:rFonts w:hint="eastAsia"/>
        </w:rPr>
      </w:pPr>
      <w:r>
        <w:rPr>
          <w:rFonts w:hint="eastAsia"/>
          <w:b/>
        </w:rPr>
        <w:t>参考如下：</w:t>
      </w:r>
    </w:p>
    <w:p w14:paraId="2869E882">
      <w:pPr>
        <w:ind w:firstLine="0" w:firstLineChars="0"/>
        <w:rPr>
          <w:rFonts w:hint="eastAsia"/>
        </w:rPr>
      </w:pPr>
      <w:r>
        <w:rPr>
          <w:rFonts w:hint="eastAsia"/>
        </w:rPr>
        <w:t>1、</w:t>
      </w:r>
      <w:r>
        <w:t>《政务网络安全监测平台总体技术要求》</w:t>
      </w:r>
    </w:p>
    <w:p w14:paraId="02099607">
      <w:pPr>
        <w:ind w:firstLine="0" w:firstLineChars="0"/>
        <w:rPr>
          <w:rFonts w:hint="eastAsia"/>
        </w:rPr>
      </w:pPr>
      <w:r>
        <w:object>
          <v:shape id="_x0000_i1025" o:spt="75" type="#_x0000_t75" style="height:55.25pt;width:76.2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44CD3301">
      <w:pPr>
        <w:ind w:firstLine="0" w:firstLineChars="0"/>
        <w:rPr>
          <w:rFonts w:hint="eastAsia"/>
        </w:rPr>
      </w:pPr>
    </w:p>
    <w:p w14:paraId="0F2A8A81">
      <w:pPr>
        <w:ind w:firstLine="0" w:firstLineChars="0"/>
        <w:jc w:val="left"/>
        <w:rPr>
          <w:rFonts w:hint="eastAsia"/>
        </w:rPr>
      </w:pPr>
      <w:r>
        <w:rPr>
          <w:rFonts w:hint="eastAsia"/>
        </w:rPr>
        <w:t>2、《上海市电子政务外网建设和运行管理指南（试行）》</w:t>
      </w:r>
    </w:p>
    <w:p w14:paraId="6E1038DF">
      <w:pPr>
        <w:ind w:firstLine="0" w:firstLineChars="0"/>
        <w:jc w:val="left"/>
        <w:rPr>
          <w:rFonts w:hint="eastAsia"/>
        </w:rPr>
      </w:pPr>
      <w:r>
        <w:object>
          <v:shape id="_x0000_i1026" o:spt="75" type="#_x0000_t75" style="height:55.25pt;width:76.2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7F62C42F">
      <w:pPr>
        <w:ind w:firstLine="0" w:firstLineChars="0"/>
        <w:jc w:val="left"/>
        <w:rPr>
          <w:rFonts w:hint="eastAsia"/>
          <w:b/>
          <w:bCs/>
        </w:rPr>
      </w:pPr>
      <w:r>
        <w:rPr>
          <w:rFonts w:hint="eastAsia"/>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CE37A">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030F99EA">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03C99">
    <w:pPr>
      <w:rPr>
        <w:rFonts w:hint="eastAsia"/>
      </w:rPr>
    </w:pPr>
  </w:p>
  <w:p w14:paraId="1E318689">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A5E2F">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BB030">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18331056">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B1AAB">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B4ABB">
    <w:pPr>
      <w:rPr>
        <w:rFonts w:hint="eastAsia"/>
      </w:rPr>
    </w:pPr>
  </w:p>
  <w:p w14:paraId="0EEEC659">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E35FA">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EA83D"/>
    <w:multiLevelType w:val="singleLevel"/>
    <w:tmpl w:val="FAFEA83D"/>
    <w:lvl w:ilvl="0" w:tentative="0">
      <w:start w:val="2"/>
      <w:numFmt w:val="decimal"/>
      <w:suff w:val="nothing"/>
      <w:lvlText w:val="%1）"/>
      <w:lvlJc w:val="left"/>
    </w:lvl>
  </w:abstractNum>
  <w:abstractNum w:abstractNumId="1">
    <w:nsid w:val="1AB42B1E"/>
    <w:multiLevelType w:val="multilevel"/>
    <w:tmpl w:val="1AB42B1E"/>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2">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4YmIxNzI4ZGQ3ZWQ1ZDA0YzA0YjM3YjI4NzdkMWUifQ=="/>
  </w:docVars>
  <w:rsids>
    <w:rsidRoot w:val="006910C0"/>
    <w:rsid w:val="0000005A"/>
    <w:rsid w:val="0000073C"/>
    <w:rsid w:val="00000AED"/>
    <w:rsid w:val="00002C3F"/>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3A46"/>
    <w:rsid w:val="00035325"/>
    <w:rsid w:val="00035D5B"/>
    <w:rsid w:val="000378D0"/>
    <w:rsid w:val="00037F2C"/>
    <w:rsid w:val="00040DE7"/>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779D7"/>
    <w:rsid w:val="00080B39"/>
    <w:rsid w:val="00083950"/>
    <w:rsid w:val="0008452F"/>
    <w:rsid w:val="00084E8E"/>
    <w:rsid w:val="00085A68"/>
    <w:rsid w:val="00086545"/>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249"/>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33E"/>
    <w:rsid w:val="00151D83"/>
    <w:rsid w:val="001546C9"/>
    <w:rsid w:val="00154FAE"/>
    <w:rsid w:val="001552B2"/>
    <w:rsid w:val="00155E77"/>
    <w:rsid w:val="00156A70"/>
    <w:rsid w:val="00160A61"/>
    <w:rsid w:val="00160FC0"/>
    <w:rsid w:val="0016429B"/>
    <w:rsid w:val="00164525"/>
    <w:rsid w:val="00164C50"/>
    <w:rsid w:val="00165CB2"/>
    <w:rsid w:val="00166203"/>
    <w:rsid w:val="00166767"/>
    <w:rsid w:val="00167C0F"/>
    <w:rsid w:val="001707CB"/>
    <w:rsid w:val="00171477"/>
    <w:rsid w:val="00172A1A"/>
    <w:rsid w:val="00173251"/>
    <w:rsid w:val="00176BED"/>
    <w:rsid w:val="0017759D"/>
    <w:rsid w:val="001804A5"/>
    <w:rsid w:val="00181C94"/>
    <w:rsid w:val="00182C84"/>
    <w:rsid w:val="00187031"/>
    <w:rsid w:val="001914B8"/>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2D34"/>
    <w:rsid w:val="001F5B0A"/>
    <w:rsid w:val="001F640F"/>
    <w:rsid w:val="001F6794"/>
    <w:rsid w:val="001F6F65"/>
    <w:rsid w:val="002002C1"/>
    <w:rsid w:val="002002DF"/>
    <w:rsid w:val="00203A6F"/>
    <w:rsid w:val="00205646"/>
    <w:rsid w:val="002063F7"/>
    <w:rsid w:val="002129E5"/>
    <w:rsid w:val="00212AA4"/>
    <w:rsid w:val="00212E13"/>
    <w:rsid w:val="00214C50"/>
    <w:rsid w:val="002163C8"/>
    <w:rsid w:val="002179FE"/>
    <w:rsid w:val="00220CC0"/>
    <w:rsid w:val="00221A36"/>
    <w:rsid w:val="00223296"/>
    <w:rsid w:val="0022329B"/>
    <w:rsid w:val="002240F7"/>
    <w:rsid w:val="0022486F"/>
    <w:rsid w:val="00225314"/>
    <w:rsid w:val="00225DF4"/>
    <w:rsid w:val="00226AB1"/>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668F"/>
    <w:rsid w:val="0025774E"/>
    <w:rsid w:val="00257D64"/>
    <w:rsid w:val="00260DD0"/>
    <w:rsid w:val="0026340A"/>
    <w:rsid w:val="0026461B"/>
    <w:rsid w:val="002654EA"/>
    <w:rsid w:val="002704EA"/>
    <w:rsid w:val="0027061A"/>
    <w:rsid w:val="002719CC"/>
    <w:rsid w:val="002730C5"/>
    <w:rsid w:val="0027337C"/>
    <w:rsid w:val="002735E9"/>
    <w:rsid w:val="0027602B"/>
    <w:rsid w:val="00277F5E"/>
    <w:rsid w:val="00280084"/>
    <w:rsid w:val="00280490"/>
    <w:rsid w:val="002860B8"/>
    <w:rsid w:val="0029206E"/>
    <w:rsid w:val="00293382"/>
    <w:rsid w:val="00294F51"/>
    <w:rsid w:val="002A2342"/>
    <w:rsid w:val="002A279E"/>
    <w:rsid w:val="002A4FA3"/>
    <w:rsid w:val="002A630C"/>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217"/>
    <w:rsid w:val="002D6F6D"/>
    <w:rsid w:val="002E1FE6"/>
    <w:rsid w:val="002E2EA7"/>
    <w:rsid w:val="002E36D2"/>
    <w:rsid w:val="002E748B"/>
    <w:rsid w:val="002F2002"/>
    <w:rsid w:val="002F335D"/>
    <w:rsid w:val="002F4E32"/>
    <w:rsid w:val="002F503F"/>
    <w:rsid w:val="002F51DD"/>
    <w:rsid w:val="002F5D08"/>
    <w:rsid w:val="002F6895"/>
    <w:rsid w:val="002F6D13"/>
    <w:rsid w:val="00300D50"/>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28B3"/>
    <w:rsid w:val="0043481C"/>
    <w:rsid w:val="00436693"/>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B63"/>
    <w:rsid w:val="00467FD7"/>
    <w:rsid w:val="00470073"/>
    <w:rsid w:val="004730F8"/>
    <w:rsid w:val="00474353"/>
    <w:rsid w:val="00474555"/>
    <w:rsid w:val="004750F4"/>
    <w:rsid w:val="00476CB1"/>
    <w:rsid w:val="00480A48"/>
    <w:rsid w:val="00482501"/>
    <w:rsid w:val="00482E7D"/>
    <w:rsid w:val="00484395"/>
    <w:rsid w:val="00485E7A"/>
    <w:rsid w:val="004865FB"/>
    <w:rsid w:val="00486C03"/>
    <w:rsid w:val="00486CA3"/>
    <w:rsid w:val="00491AB3"/>
    <w:rsid w:val="00495DDC"/>
    <w:rsid w:val="00497A33"/>
    <w:rsid w:val="004A1112"/>
    <w:rsid w:val="004A1DA0"/>
    <w:rsid w:val="004A1F20"/>
    <w:rsid w:val="004A2393"/>
    <w:rsid w:val="004A3569"/>
    <w:rsid w:val="004A452A"/>
    <w:rsid w:val="004A5F2C"/>
    <w:rsid w:val="004A6462"/>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14"/>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07D"/>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2CF4"/>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AF"/>
    <w:rsid w:val="005878CF"/>
    <w:rsid w:val="00590CA0"/>
    <w:rsid w:val="00595B01"/>
    <w:rsid w:val="00596D98"/>
    <w:rsid w:val="005979A5"/>
    <w:rsid w:val="005A0021"/>
    <w:rsid w:val="005A017B"/>
    <w:rsid w:val="005A2AEC"/>
    <w:rsid w:val="005A412D"/>
    <w:rsid w:val="005A5212"/>
    <w:rsid w:val="005B002D"/>
    <w:rsid w:val="005B050C"/>
    <w:rsid w:val="005B0FFF"/>
    <w:rsid w:val="005B19AF"/>
    <w:rsid w:val="005B258C"/>
    <w:rsid w:val="005B3EBC"/>
    <w:rsid w:val="005B61DD"/>
    <w:rsid w:val="005B6735"/>
    <w:rsid w:val="005B7831"/>
    <w:rsid w:val="005C0CD6"/>
    <w:rsid w:val="005C12D9"/>
    <w:rsid w:val="005C2146"/>
    <w:rsid w:val="005C309D"/>
    <w:rsid w:val="005C544B"/>
    <w:rsid w:val="005C5916"/>
    <w:rsid w:val="005C5AEE"/>
    <w:rsid w:val="005C774A"/>
    <w:rsid w:val="005D3734"/>
    <w:rsid w:val="005D4F16"/>
    <w:rsid w:val="005D565E"/>
    <w:rsid w:val="005D5A53"/>
    <w:rsid w:val="005D5DA0"/>
    <w:rsid w:val="005D670B"/>
    <w:rsid w:val="005D7FBD"/>
    <w:rsid w:val="005E19B4"/>
    <w:rsid w:val="005E1D6B"/>
    <w:rsid w:val="005E227A"/>
    <w:rsid w:val="005E2B17"/>
    <w:rsid w:val="005E2CF8"/>
    <w:rsid w:val="005E3126"/>
    <w:rsid w:val="005E7075"/>
    <w:rsid w:val="005E75A7"/>
    <w:rsid w:val="005F38E2"/>
    <w:rsid w:val="005F3EE6"/>
    <w:rsid w:val="005F6736"/>
    <w:rsid w:val="00602C10"/>
    <w:rsid w:val="00602EBD"/>
    <w:rsid w:val="00603FD7"/>
    <w:rsid w:val="00604CF2"/>
    <w:rsid w:val="00606DFF"/>
    <w:rsid w:val="00606FB7"/>
    <w:rsid w:val="00607243"/>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158"/>
    <w:rsid w:val="00626AC8"/>
    <w:rsid w:val="00627912"/>
    <w:rsid w:val="0063195F"/>
    <w:rsid w:val="00636C0A"/>
    <w:rsid w:val="006375B3"/>
    <w:rsid w:val="00637EC6"/>
    <w:rsid w:val="00641DA7"/>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558"/>
    <w:rsid w:val="00694F58"/>
    <w:rsid w:val="006955BC"/>
    <w:rsid w:val="006959E2"/>
    <w:rsid w:val="00696920"/>
    <w:rsid w:val="00697EB9"/>
    <w:rsid w:val="006A0C02"/>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5FA0"/>
    <w:rsid w:val="006C6D6F"/>
    <w:rsid w:val="006D0D78"/>
    <w:rsid w:val="006D1128"/>
    <w:rsid w:val="006D2848"/>
    <w:rsid w:val="006D30E0"/>
    <w:rsid w:val="006D5521"/>
    <w:rsid w:val="006D5FE9"/>
    <w:rsid w:val="006D6CBB"/>
    <w:rsid w:val="006D76A9"/>
    <w:rsid w:val="006D77F4"/>
    <w:rsid w:val="006E0898"/>
    <w:rsid w:val="006E41CD"/>
    <w:rsid w:val="006E6CAB"/>
    <w:rsid w:val="006F3BEC"/>
    <w:rsid w:val="00703C00"/>
    <w:rsid w:val="007057CC"/>
    <w:rsid w:val="007066F2"/>
    <w:rsid w:val="00706AE5"/>
    <w:rsid w:val="0070740A"/>
    <w:rsid w:val="00711F93"/>
    <w:rsid w:val="00712940"/>
    <w:rsid w:val="0071428C"/>
    <w:rsid w:val="00715A16"/>
    <w:rsid w:val="007164B0"/>
    <w:rsid w:val="007166FF"/>
    <w:rsid w:val="00725B6E"/>
    <w:rsid w:val="007260CC"/>
    <w:rsid w:val="00726543"/>
    <w:rsid w:val="0073353E"/>
    <w:rsid w:val="00736633"/>
    <w:rsid w:val="00741EE7"/>
    <w:rsid w:val="00743A79"/>
    <w:rsid w:val="007444D4"/>
    <w:rsid w:val="00744BA2"/>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97F47"/>
    <w:rsid w:val="007A202F"/>
    <w:rsid w:val="007B014B"/>
    <w:rsid w:val="007B0D88"/>
    <w:rsid w:val="007B306F"/>
    <w:rsid w:val="007B4714"/>
    <w:rsid w:val="007B47D0"/>
    <w:rsid w:val="007B4E82"/>
    <w:rsid w:val="007C1996"/>
    <w:rsid w:val="007C3773"/>
    <w:rsid w:val="007C3F1F"/>
    <w:rsid w:val="007D2C80"/>
    <w:rsid w:val="007D2D0D"/>
    <w:rsid w:val="007D3325"/>
    <w:rsid w:val="007D3818"/>
    <w:rsid w:val="007D55A9"/>
    <w:rsid w:val="007D6DC5"/>
    <w:rsid w:val="007D7425"/>
    <w:rsid w:val="007E320E"/>
    <w:rsid w:val="007E3280"/>
    <w:rsid w:val="007E4A02"/>
    <w:rsid w:val="007E595C"/>
    <w:rsid w:val="007E59A5"/>
    <w:rsid w:val="007E64A8"/>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5D02"/>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2800"/>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32E"/>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3EEB"/>
    <w:rsid w:val="0091438B"/>
    <w:rsid w:val="009147E3"/>
    <w:rsid w:val="00920FD2"/>
    <w:rsid w:val="00923A43"/>
    <w:rsid w:val="0092439C"/>
    <w:rsid w:val="0092498E"/>
    <w:rsid w:val="00925B85"/>
    <w:rsid w:val="00925B91"/>
    <w:rsid w:val="00934461"/>
    <w:rsid w:val="00934F7E"/>
    <w:rsid w:val="00936A1C"/>
    <w:rsid w:val="00941FDA"/>
    <w:rsid w:val="00943E35"/>
    <w:rsid w:val="00945278"/>
    <w:rsid w:val="0094658D"/>
    <w:rsid w:val="00947678"/>
    <w:rsid w:val="00947878"/>
    <w:rsid w:val="009504C2"/>
    <w:rsid w:val="0095254A"/>
    <w:rsid w:val="0095273B"/>
    <w:rsid w:val="009559E1"/>
    <w:rsid w:val="009568D5"/>
    <w:rsid w:val="00957CD3"/>
    <w:rsid w:val="0096269B"/>
    <w:rsid w:val="009636CA"/>
    <w:rsid w:val="00963FB0"/>
    <w:rsid w:val="00964C86"/>
    <w:rsid w:val="00965E82"/>
    <w:rsid w:val="009664BB"/>
    <w:rsid w:val="009669F8"/>
    <w:rsid w:val="00966F89"/>
    <w:rsid w:val="00973B5D"/>
    <w:rsid w:val="0097755E"/>
    <w:rsid w:val="00981467"/>
    <w:rsid w:val="00981C24"/>
    <w:rsid w:val="009845BA"/>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2D0C"/>
    <w:rsid w:val="009B42E3"/>
    <w:rsid w:val="009B4362"/>
    <w:rsid w:val="009B5859"/>
    <w:rsid w:val="009B60E6"/>
    <w:rsid w:val="009C40BB"/>
    <w:rsid w:val="009C445A"/>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0ACC"/>
    <w:rsid w:val="00A4113E"/>
    <w:rsid w:val="00A42435"/>
    <w:rsid w:val="00A438BA"/>
    <w:rsid w:val="00A446FD"/>
    <w:rsid w:val="00A45426"/>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049"/>
    <w:rsid w:val="00A93193"/>
    <w:rsid w:val="00A93C2B"/>
    <w:rsid w:val="00A94556"/>
    <w:rsid w:val="00A974CB"/>
    <w:rsid w:val="00AA1EAC"/>
    <w:rsid w:val="00AA3A69"/>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17B"/>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229D"/>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08"/>
    <w:rsid w:val="00BD4C95"/>
    <w:rsid w:val="00BD65FC"/>
    <w:rsid w:val="00BD7660"/>
    <w:rsid w:val="00BE0666"/>
    <w:rsid w:val="00BE24B9"/>
    <w:rsid w:val="00BE2AE8"/>
    <w:rsid w:val="00BE2D55"/>
    <w:rsid w:val="00BE38DD"/>
    <w:rsid w:val="00BE4AB1"/>
    <w:rsid w:val="00BF16C3"/>
    <w:rsid w:val="00BF3740"/>
    <w:rsid w:val="00BF38E0"/>
    <w:rsid w:val="00BF44FA"/>
    <w:rsid w:val="00BF57E1"/>
    <w:rsid w:val="00C003B4"/>
    <w:rsid w:val="00C00A5F"/>
    <w:rsid w:val="00C042E0"/>
    <w:rsid w:val="00C051D9"/>
    <w:rsid w:val="00C06333"/>
    <w:rsid w:val="00C06F68"/>
    <w:rsid w:val="00C075BA"/>
    <w:rsid w:val="00C10A3A"/>
    <w:rsid w:val="00C11E20"/>
    <w:rsid w:val="00C1229A"/>
    <w:rsid w:val="00C12323"/>
    <w:rsid w:val="00C15D16"/>
    <w:rsid w:val="00C20015"/>
    <w:rsid w:val="00C247DD"/>
    <w:rsid w:val="00C25B43"/>
    <w:rsid w:val="00C26A54"/>
    <w:rsid w:val="00C31C33"/>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41CE"/>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76A3A"/>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D7F4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66F"/>
    <w:rsid w:val="00D10BF7"/>
    <w:rsid w:val="00D10FEB"/>
    <w:rsid w:val="00D12B85"/>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0A00"/>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4B"/>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3749"/>
    <w:rsid w:val="00E34446"/>
    <w:rsid w:val="00E3633B"/>
    <w:rsid w:val="00E36870"/>
    <w:rsid w:val="00E374E1"/>
    <w:rsid w:val="00E403B1"/>
    <w:rsid w:val="00E417AB"/>
    <w:rsid w:val="00E43D48"/>
    <w:rsid w:val="00E4542D"/>
    <w:rsid w:val="00E45BE0"/>
    <w:rsid w:val="00E46CAD"/>
    <w:rsid w:val="00E47521"/>
    <w:rsid w:val="00E4760C"/>
    <w:rsid w:val="00E507A6"/>
    <w:rsid w:val="00E5375C"/>
    <w:rsid w:val="00E561AD"/>
    <w:rsid w:val="00E56FC4"/>
    <w:rsid w:val="00E57FAF"/>
    <w:rsid w:val="00E60BA9"/>
    <w:rsid w:val="00E63510"/>
    <w:rsid w:val="00E635EA"/>
    <w:rsid w:val="00E648A3"/>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51E"/>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57AFA"/>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92604"/>
    <w:rsid w:val="00F92C7B"/>
    <w:rsid w:val="00FA0109"/>
    <w:rsid w:val="00FA07C8"/>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0FF61AC"/>
    <w:rsid w:val="03430854"/>
    <w:rsid w:val="039F5FA6"/>
    <w:rsid w:val="09305ADA"/>
    <w:rsid w:val="0E8013B7"/>
    <w:rsid w:val="10D604C6"/>
    <w:rsid w:val="11B515E0"/>
    <w:rsid w:val="13A53267"/>
    <w:rsid w:val="13F970D2"/>
    <w:rsid w:val="14AA4136"/>
    <w:rsid w:val="163A420B"/>
    <w:rsid w:val="19413B26"/>
    <w:rsid w:val="1C6D3688"/>
    <w:rsid w:val="1CC63D0A"/>
    <w:rsid w:val="1DC2081A"/>
    <w:rsid w:val="1DD94266"/>
    <w:rsid w:val="1E7BCE13"/>
    <w:rsid w:val="1F9D0947"/>
    <w:rsid w:val="1FFB29C6"/>
    <w:rsid w:val="22AF3620"/>
    <w:rsid w:val="22E70AD4"/>
    <w:rsid w:val="24F1508D"/>
    <w:rsid w:val="266F634F"/>
    <w:rsid w:val="291059EA"/>
    <w:rsid w:val="2BBF12EC"/>
    <w:rsid w:val="2BC649D9"/>
    <w:rsid w:val="2BED9442"/>
    <w:rsid w:val="3515160D"/>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B37E630"/>
    <w:rsid w:val="5CB23D47"/>
    <w:rsid w:val="5FAF09C4"/>
    <w:rsid w:val="5FC4E362"/>
    <w:rsid w:val="608C4642"/>
    <w:rsid w:val="62795572"/>
    <w:rsid w:val="64DD6417"/>
    <w:rsid w:val="66004745"/>
    <w:rsid w:val="6A567F20"/>
    <w:rsid w:val="6CD97953"/>
    <w:rsid w:val="6ED30FD7"/>
    <w:rsid w:val="727D78FD"/>
    <w:rsid w:val="73CC655F"/>
    <w:rsid w:val="75957445"/>
    <w:rsid w:val="75D01AE1"/>
    <w:rsid w:val="77524363"/>
    <w:rsid w:val="77B917B5"/>
    <w:rsid w:val="77DEBBAC"/>
    <w:rsid w:val="77FFA5D7"/>
    <w:rsid w:val="78703975"/>
    <w:rsid w:val="7B22093A"/>
    <w:rsid w:val="7BE420FD"/>
    <w:rsid w:val="7D0D296B"/>
    <w:rsid w:val="7D4E0B54"/>
    <w:rsid w:val="7D503E78"/>
    <w:rsid w:val="7DFDF087"/>
    <w:rsid w:val="7E0160D4"/>
    <w:rsid w:val="9D6707E9"/>
    <w:rsid w:val="BFFC5C6F"/>
    <w:rsid w:val="E477560B"/>
    <w:rsid w:val="F75F5933"/>
    <w:rsid w:val="F7BEE4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left="-2" w:leftChars="-1" w:firstLine="1"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left="0"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35"/>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35"/>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link w:val="134"/>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character" w:customStyle="1" w:styleId="134">
    <w:name w:val="段 Char"/>
    <w:basedOn w:val="37"/>
    <w:link w:val="115"/>
    <w:qFormat/>
    <w:uiPriority w:val="0"/>
    <w:rPr>
      <w:rFonts w:ascii="宋体" w:cs="Calibri"/>
      <w:sz w:val="21"/>
    </w:rPr>
  </w:style>
  <w:style w:type="paragraph" w:customStyle="1" w:styleId="135">
    <w:name w:val="可研正文"/>
    <w:basedOn w:val="1"/>
    <w:link w:val="136"/>
    <w:qFormat/>
    <w:uiPriority w:val="0"/>
    <w:pPr>
      <w:ind w:firstLine="200"/>
    </w:pPr>
    <w:rPr>
      <w:rFonts w:ascii="仿宋" w:hAnsi="仿宋" w:eastAsia="仿宋" w:cstheme="minorBidi"/>
      <w:sz w:val="28"/>
      <w:szCs w:val="28"/>
    </w:rPr>
  </w:style>
  <w:style w:type="character" w:customStyle="1" w:styleId="136">
    <w:name w:val="可研正文 Char"/>
    <w:link w:val="135"/>
    <w:qFormat/>
    <w:uiPriority w:val="0"/>
    <w:rPr>
      <w:rFonts w:ascii="仿宋" w:hAnsi="仿宋" w:eastAsia="仿宋" w:cstheme="minorBidi"/>
      <w:kern w:val="2"/>
      <w:sz w:val="28"/>
      <w:szCs w:val="28"/>
    </w:rPr>
  </w:style>
  <w:style w:type="paragraph" w:customStyle="1" w:styleId="137">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25</Pages>
  <Words>3216</Words>
  <Characters>18333</Characters>
  <Lines>152</Lines>
  <Paragraphs>43</Paragraphs>
  <TotalTime>1</TotalTime>
  <ScaleCrop>false</ScaleCrop>
  <LinksUpToDate>false</LinksUpToDate>
  <CharactersWithSpaces>21506</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2024-12-22T14:50:00Z</dcterms:created>
  <dc:creator>gtig_tzb</dc:creator>
  <cp:lastModifiedBy>李修辞</cp:lastModifiedBy>
  <cp:lastPrinted>2020-08-08T20:08:00Z</cp:lastPrinted>
  <dcterms:modified xsi:type="dcterms:W3CDTF">2025-02-19T16:34:43Z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DA889FC03F77B0632670A96715CF05CC_42</vt:lpwstr>
  </property>
</Properties>
</file>