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A5AA2">
      <w:pPr>
        <w:keepNext/>
        <w:keepLines/>
        <w:tabs>
          <w:tab w:val="left" w:pos="930"/>
        </w:tabs>
        <w:spacing w:before="260" w:after="260"/>
        <w:jc w:val="center"/>
        <w:outlineLvl w:val="2"/>
        <w:rPr>
          <w:rFonts w:ascii="仿宋_GB2312" w:hAnsi="Times New Roman" w:eastAsia="仿宋_GB2312" w:cs="Times New Roman"/>
          <w:b/>
          <w:bCs/>
          <w:kern w:val="28"/>
          <w:sz w:val="36"/>
          <w:szCs w:val="30"/>
        </w:rPr>
      </w:pPr>
      <w:r>
        <w:rPr>
          <w:rFonts w:hint="eastAsia" w:ascii="仿宋_GB2312" w:hAnsi="Times New Roman" w:eastAsia="仿宋_GB2312" w:cs="Times New Roman"/>
          <w:b/>
          <w:bCs/>
          <w:kern w:val="28"/>
          <w:sz w:val="36"/>
          <w:szCs w:val="30"/>
        </w:rPr>
        <w:t>网络费用_2</w:t>
      </w:r>
    </w:p>
    <w:p w14:paraId="5A03E293">
      <w:pPr>
        <w:keepNext/>
        <w:keepLines/>
        <w:tabs>
          <w:tab w:val="left" w:pos="930"/>
        </w:tabs>
        <w:spacing w:before="260" w:after="260"/>
        <w:jc w:val="center"/>
        <w:outlineLvl w:val="2"/>
        <w:rPr>
          <w:rFonts w:ascii="仿宋_GB2312" w:hAnsi="Times New Roman" w:eastAsia="仿宋_GB2312" w:cs="Times New Roman"/>
          <w:b/>
          <w:bCs/>
          <w:kern w:val="28"/>
          <w:sz w:val="36"/>
          <w:szCs w:val="30"/>
        </w:rPr>
      </w:pPr>
      <w:r>
        <w:rPr>
          <w:rFonts w:hint="eastAsia" w:ascii="仿宋_GB2312" w:hAnsi="Times New Roman" w:eastAsia="仿宋_GB2312" w:cs="Times New Roman"/>
          <w:b/>
          <w:bCs/>
          <w:kern w:val="28"/>
          <w:sz w:val="36"/>
          <w:szCs w:val="30"/>
        </w:rPr>
        <w:t>项目需求</w:t>
      </w:r>
    </w:p>
    <w:p w14:paraId="4EC057AB">
      <w:pPr>
        <w:numPr>
          <w:ilvl w:val="0"/>
          <w:numId w:val="2"/>
        </w:numPr>
        <w:tabs>
          <w:tab w:val="left" w:pos="630"/>
        </w:tabs>
        <w:spacing w:line="560" w:lineRule="exact"/>
        <w:ind w:firstLineChars="0"/>
        <w:rPr>
          <w:rFonts w:ascii="仿宋_GB2312" w:eastAsia="仿宋_GB2312"/>
          <w:b/>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项目背景</w:t>
      </w:r>
    </w:p>
    <w:p w14:paraId="43F00C0B">
      <w:pPr>
        <w:ind w:firstLine="560"/>
      </w:pPr>
      <w:r>
        <w:rPr>
          <w:rFonts w:hint="eastAsia"/>
        </w:rPr>
        <w:t>2018年1月，上海市教育委员会发布了《关于加快推进一流开放大学建设的意见》（沪教委终〔2018〕3号）。要求坚持服务城市战略与促进人的终身发展相协调，坚持推进教育业公平与提升教育质量相统一，以全面提升学校办学能力和社会服务能力为主线，以提高人才培养质量为核心，以现代信息技术为支撑，加快建设具有上海特点、中国特色、世界水平的一流开放大学。</w:t>
      </w:r>
    </w:p>
    <w:p w14:paraId="6B0AE26D">
      <w:pPr>
        <w:ind w:firstLine="560"/>
      </w:pPr>
      <w:r>
        <w:rPr>
          <w:rFonts w:hint="eastAsia"/>
        </w:rPr>
        <w:t>上海开放大学将持续认真落实教育信息化发展规划与试点培育工作任务，以“为每个学生提供最适合的教育”为目标，以立德树人为根本，以激发兴趣为途径，以数据驱动大规模因材施教为指引，立足于信息时代人才培养需求，努力探索面向未来的新时代教育信息化应用标杆学校建设、管理、运行模式。</w:t>
      </w:r>
    </w:p>
    <w:p w14:paraId="1B9D6709">
      <w:pPr>
        <w:ind w:firstLine="560"/>
      </w:pPr>
      <w:r>
        <w:rPr>
          <w:rFonts w:hint="eastAsia"/>
        </w:rPr>
        <w:t>目前上海开放大学校园网通过双出口为总校及通过宽带城域网接入的全系统八万师生员工提供互联网接入服务、远程教学与管理平台访问服务和在线办公系统应用服务。</w:t>
      </w:r>
    </w:p>
    <w:p w14:paraId="00868C6E">
      <w:pPr>
        <w:ind w:firstLine="560"/>
      </w:pPr>
      <w:r>
        <w:rPr>
          <w:rFonts w:hint="eastAsia"/>
        </w:rPr>
        <w:t>随着终身教育的普及和推广，新的数字化应用系统的部署，移动设备的广泛接入，网络基础环境对业务开展的制约作用也愈加明显，为了满足上海开放大学建设发展需要，必须建设一个安全高效、适用性强、可持续发展的网络基础环境。</w:t>
      </w:r>
    </w:p>
    <w:p w14:paraId="44C6085D">
      <w:pPr>
        <w:ind w:firstLine="560"/>
      </w:pPr>
    </w:p>
    <w:p w14:paraId="7C3BBEA9">
      <w:pPr>
        <w:numPr>
          <w:ilvl w:val="0"/>
          <w:numId w:val="2"/>
        </w:numPr>
        <w:tabs>
          <w:tab w:val="left" w:pos="630"/>
        </w:tabs>
        <w:spacing w:line="560" w:lineRule="exact"/>
        <w:ind w:firstLineChars="0"/>
        <w:rPr>
          <w:rFonts w:ascii="仿宋_GB2312" w:eastAsia="仿宋_GB2312"/>
          <w:b/>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项目内容</w:t>
      </w:r>
    </w:p>
    <w:p w14:paraId="1B0E4DC3">
      <w:pPr>
        <w:numPr>
          <w:ilvl w:val="0"/>
          <w:numId w:val="3"/>
        </w:numPr>
        <w:tabs>
          <w:tab w:val="left" w:pos="780"/>
        </w:tabs>
        <w:ind w:firstLineChars="0"/>
        <w:rPr>
          <w:rFonts w:ascii="宋体" w:hAnsi="宋体" w:cs="宋体"/>
          <w:szCs w:val="28"/>
        </w:rPr>
      </w:pPr>
      <w:r>
        <w:rPr>
          <w:rFonts w:hint="eastAsia" w:ascii="宋体" w:hAnsi="宋体" w:cs="宋体"/>
          <w:szCs w:val="28"/>
        </w:rPr>
        <w:t>服务商为上海开放大学提供网络出口服务。</w:t>
      </w:r>
    </w:p>
    <w:p w14:paraId="0EC9E8C4">
      <w:pPr>
        <w:numPr>
          <w:ilvl w:val="0"/>
          <w:numId w:val="3"/>
        </w:numPr>
        <w:tabs>
          <w:tab w:val="left" w:pos="780"/>
        </w:tabs>
        <w:ind w:firstLineChars="0"/>
        <w:rPr>
          <w:rFonts w:ascii="宋体" w:hAnsi="宋体" w:cs="宋体"/>
          <w:szCs w:val="28"/>
        </w:rPr>
      </w:pPr>
      <w:r>
        <w:rPr>
          <w:rFonts w:hint="eastAsia" w:ascii="宋体" w:hAnsi="宋体" w:cs="宋体"/>
          <w:szCs w:val="28"/>
        </w:rPr>
        <w:t>服务商应提供服务所涉及的所有设备（已注明由校方提供的设备除外），负责部署实施，并在服务期内提供运维服务和</w:t>
      </w:r>
      <w:r>
        <w:rPr>
          <w:rFonts w:hint="eastAsia" w:ascii="宋体" w:hAnsi="宋体" w:cs="宋体"/>
          <w:szCs w:val="28"/>
          <w:lang w:eastAsia="zh-CN"/>
        </w:rPr>
        <w:t>其他</w:t>
      </w:r>
      <w:r>
        <w:rPr>
          <w:rFonts w:hint="eastAsia" w:ascii="宋体" w:hAnsi="宋体" w:cs="宋体"/>
          <w:szCs w:val="28"/>
        </w:rPr>
        <w:t>服务（详见下文）。</w:t>
      </w:r>
    </w:p>
    <w:p w14:paraId="72F36025">
      <w:pPr>
        <w:numPr>
          <w:ilvl w:val="0"/>
          <w:numId w:val="3"/>
        </w:numPr>
        <w:tabs>
          <w:tab w:val="left" w:pos="780"/>
        </w:tabs>
        <w:ind w:firstLineChars="0"/>
        <w:rPr>
          <w:rFonts w:ascii="宋体" w:hAnsi="宋体" w:cs="宋体"/>
          <w:szCs w:val="28"/>
        </w:rPr>
      </w:pPr>
      <w:r>
        <w:rPr>
          <w:rFonts w:hint="eastAsia" w:ascii="宋体" w:hAnsi="宋体" w:cs="宋体"/>
          <w:szCs w:val="28"/>
        </w:rPr>
        <w:t>服务商应提供一路上下行1.5Gbps带宽互联网接入线路，直接接入服务商的上海城域骨干网。</w:t>
      </w:r>
    </w:p>
    <w:p w14:paraId="7DBC6D70">
      <w:pPr>
        <w:numPr>
          <w:ilvl w:val="0"/>
          <w:numId w:val="3"/>
        </w:numPr>
        <w:tabs>
          <w:tab w:val="left" w:pos="780"/>
        </w:tabs>
        <w:ind w:firstLineChars="0"/>
        <w:rPr>
          <w:rFonts w:ascii="宋体" w:hAnsi="宋体" w:cs="宋体"/>
          <w:szCs w:val="28"/>
        </w:rPr>
      </w:pPr>
      <w:r>
        <w:rPr>
          <w:rFonts w:hint="eastAsia" w:ascii="宋体" w:hAnsi="宋体" w:cs="宋体"/>
          <w:szCs w:val="28"/>
        </w:rPr>
        <w:t>支持接入线路与另一条线路实现双向流量负载均衡功能。</w:t>
      </w:r>
    </w:p>
    <w:p w14:paraId="40BF6796">
      <w:pPr>
        <w:numPr>
          <w:ilvl w:val="0"/>
          <w:numId w:val="3"/>
        </w:numPr>
        <w:tabs>
          <w:tab w:val="left" w:pos="780"/>
        </w:tabs>
        <w:ind w:firstLineChars="0"/>
        <w:rPr>
          <w:rFonts w:ascii="宋体" w:hAnsi="宋体" w:cs="宋体"/>
          <w:szCs w:val="28"/>
        </w:rPr>
      </w:pPr>
      <w:r>
        <w:rPr>
          <w:rFonts w:hint="eastAsia" w:ascii="宋体" w:hAnsi="宋体" w:cs="宋体"/>
          <w:szCs w:val="28"/>
        </w:rPr>
        <w:t>提供公网1024个IPv4和/48位IPv6地址，并提供IP地址对应的所有端口开放服务。</w:t>
      </w:r>
    </w:p>
    <w:p w14:paraId="09F5AFC0">
      <w:pPr>
        <w:numPr>
          <w:ilvl w:val="0"/>
          <w:numId w:val="3"/>
        </w:numPr>
        <w:tabs>
          <w:tab w:val="left" w:pos="780"/>
        </w:tabs>
        <w:ind w:firstLineChars="0"/>
        <w:rPr>
          <w:rFonts w:ascii="宋体" w:hAnsi="宋体" w:cs="宋体"/>
          <w:szCs w:val="28"/>
        </w:rPr>
      </w:pPr>
      <w:r>
        <w:rPr>
          <w:rFonts w:hint="eastAsia" w:ascii="宋体" w:hAnsi="宋体" w:cs="宋体"/>
          <w:szCs w:val="28"/>
        </w:rPr>
        <w:t>服务商应配备二台多业务具有路由功能的网络设备作为汇聚设备，以以太网方式接入招标方边界路由，并为招标方配置相应功能并完成测试。如设备损坏或故障，由服务商进行调试维护。该汇聚设备必须安置于用户处，且两台设备必须是同系列、同配置产品，做相同设置，一主一备。设备参数要求不低于下表：</w:t>
      </w:r>
    </w:p>
    <w:p w14:paraId="31640C74">
      <w:pPr>
        <w:ind w:firstLine="0" w:firstLineChars="0"/>
        <w:rPr>
          <w:rFonts w:ascii="宋体" w:hAnsi="宋体"/>
          <w:color w:val="000000" w:themeColor="text1"/>
          <w:szCs w:val="21"/>
          <w14:textFill>
            <w14:solidFill>
              <w14:schemeClr w14:val="tx1"/>
            </w14:solidFill>
          </w14:textFill>
        </w:rPr>
      </w:pPr>
    </w:p>
    <w:p w14:paraId="663E7E5A">
      <w:pPr>
        <w:ind w:firstLine="560"/>
        <w:jc w:val="center"/>
        <w:rPr>
          <w:rFonts w:ascii="宋体" w:hAnsi="宋体"/>
          <w:color w:val="000000" w:themeColor="text1"/>
          <w:szCs w:val="21"/>
          <w14:textFill>
            <w14:solidFill>
              <w14:schemeClr w14:val="tx1"/>
            </w14:solidFill>
          </w14:textFill>
        </w:rPr>
      </w:pPr>
    </w:p>
    <w:p w14:paraId="6490EE10">
      <w:pPr>
        <w:ind w:firstLine="560"/>
        <w:jc w:val="center"/>
        <w:rPr>
          <w:rFonts w:ascii="宋体" w:hAnsi="宋体"/>
          <w:color w:val="000000" w:themeColor="text1"/>
          <w:szCs w:val="21"/>
          <w14:textFill>
            <w14:solidFill>
              <w14:schemeClr w14:val="tx1"/>
            </w14:solidFill>
          </w14:textFill>
        </w:rPr>
      </w:pPr>
    </w:p>
    <w:p w14:paraId="1CCE28F5">
      <w:pPr>
        <w:ind w:firstLine="0" w:firstLineChars="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br w:type="page"/>
      </w:r>
    </w:p>
    <w:p w14:paraId="06823617">
      <w:pPr>
        <w:ind w:firstLine="56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出口汇聚设备表</w:t>
      </w:r>
    </w:p>
    <w:tbl>
      <w:tblPr>
        <w:tblStyle w:val="7"/>
        <w:tblW w:w="0" w:type="auto"/>
        <w:jc w:val="center"/>
        <w:tblLayout w:type="fixed"/>
        <w:tblCellMar>
          <w:top w:w="0" w:type="dxa"/>
          <w:left w:w="108" w:type="dxa"/>
          <w:bottom w:w="0" w:type="dxa"/>
          <w:right w:w="108" w:type="dxa"/>
        </w:tblCellMar>
      </w:tblPr>
      <w:tblGrid>
        <w:gridCol w:w="906"/>
        <w:gridCol w:w="7616"/>
      </w:tblGrid>
      <w:tr w14:paraId="7788164B">
        <w:tblPrEx>
          <w:tblCellMar>
            <w:top w:w="0" w:type="dxa"/>
            <w:left w:w="108" w:type="dxa"/>
            <w:bottom w:w="0" w:type="dxa"/>
            <w:right w:w="108" w:type="dxa"/>
          </w:tblCellMar>
        </w:tblPrEx>
        <w:trPr>
          <w:trHeight w:val="584" w:hRule="atLeast"/>
          <w:jc w:val="center"/>
        </w:trPr>
        <w:tc>
          <w:tcPr>
            <w:tcW w:w="906" w:type="dxa"/>
            <w:tcBorders>
              <w:top w:val="single" w:color="auto" w:sz="4" w:space="0"/>
              <w:left w:val="single" w:color="auto" w:sz="4" w:space="0"/>
              <w:bottom w:val="single" w:color="auto" w:sz="4" w:space="0"/>
              <w:right w:val="single" w:color="auto" w:sz="4" w:space="0"/>
            </w:tcBorders>
            <w:noWrap/>
            <w:vAlign w:val="center"/>
          </w:tcPr>
          <w:p w14:paraId="66398CE7">
            <w:pPr>
              <w:ind w:left="0" w:leftChars="0" w:firstLine="0" w:firstLineChars="0"/>
              <w:jc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序号</w:t>
            </w:r>
          </w:p>
        </w:tc>
        <w:tc>
          <w:tcPr>
            <w:tcW w:w="7616" w:type="dxa"/>
            <w:tcBorders>
              <w:top w:val="single" w:color="auto" w:sz="4" w:space="0"/>
              <w:left w:val="single" w:color="auto" w:sz="4" w:space="0"/>
              <w:bottom w:val="single" w:color="auto" w:sz="4" w:space="0"/>
              <w:right w:val="single" w:color="auto" w:sz="4" w:space="0"/>
            </w:tcBorders>
            <w:noWrap/>
            <w:vAlign w:val="center"/>
          </w:tcPr>
          <w:p w14:paraId="0F1A1AF0">
            <w:pPr>
              <w:ind w:firstLine="560"/>
              <w:jc w:val="center"/>
              <w:rPr>
                <w:rFonts w:ascii="宋体" w:hAnsi="宋体" w:cs="宋体"/>
                <w:color w:val="FF0000"/>
                <w:kern w:val="0"/>
                <w:szCs w:val="21"/>
              </w:rPr>
            </w:pPr>
            <w:r>
              <w:rPr>
                <w:rFonts w:hint="eastAsia" w:ascii="宋体" w:hAnsi="宋体" w:cs="宋体"/>
                <w:color w:val="000000" w:themeColor="text1"/>
                <w:kern w:val="0"/>
                <w:szCs w:val="21"/>
                <w14:textFill>
                  <w14:solidFill>
                    <w14:schemeClr w14:val="tx1"/>
                  </w14:solidFill>
                </w14:textFill>
              </w:rPr>
              <w:t>参数要求</w:t>
            </w:r>
          </w:p>
        </w:tc>
      </w:tr>
      <w:tr w14:paraId="273CD9A8">
        <w:tblPrEx>
          <w:tblCellMar>
            <w:top w:w="0" w:type="dxa"/>
            <w:left w:w="108" w:type="dxa"/>
            <w:bottom w:w="0" w:type="dxa"/>
            <w:right w:w="108" w:type="dxa"/>
          </w:tblCellMar>
        </w:tblPrEx>
        <w:trPr>
          <w:trHeight w:val="784" w:hRule="atLeast"/>
          <w:jc w:val="center"/>
        </w:trPr>
        <w:tc>
          <w:tcPr>
            <w:tcW w:w="906" w:type="dxa"/>
            <w:tcBorders>
              <w:top w:val="single" w:color="auto" w:sz="4" w:space="0"/>
              <w:left w:val="single" w:color="auto" w:sz="4" w:space="0"/>
              <w:bottom w:val="single" w:color="auto" w:sz="4" w:space="0"/>
              <w:right w:val="single" w:color="auto" w:sz="4" w:space="0"/>
            </w:tcBorders>
            <w:noWrap/>
            <w:vAlign w:val="center"/>
          </w:tcPr>
          <w:p w14:paraId="389CDC31">
            <w:pPr>
              <w:ind w:firstLine="0" w:firstLineChars="0"/>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w:t>
            </w:r>
          </w:p>
        </w:tc>
        <w:tc>
          <w:tcPr>
            <w:tcW w:w="7616" w:type="dxa"/>
            <w:tcBorders>
              <w:top w:val="single" w:color="auto" w:sz="4" w:space="0"/>
              <w:left w:val="single" w:color="auto" w:sz="4" w:space="0"/>
              <w:bottom w:val="single" w:color="auto" w:sz="4" w:space="0"/>
              <w:right w:val="single" w:color="auto" w:sz="4" w:space="0"/>
            </w:tcBorders>
            <w:noWrap/>
            <w:vAlign w:val="center"/>
          </w:tcPr>
          <w:p w14:paraId="5FEBEFD5">
            <w:pPr>
              <w:ind w:firstLine="0" w:firstLineChars="0"/>
              <w:rPr>
                <w:rFonts w:hint="eastAsia" w:ascii="宋体" w:hAnsi="宋体" w:cs="宋体"/>
                <w:color w:val="000000"/>
                <w:kern w:val="0"/>
                <w:szCs w:val="21"/>
              </w:rPr>
            </w:pPr>
            <w:r>
              <w:rPr>
                <w:rFonts w:hint="eastAsia" w:ascii="宋体" w:hAnsi="宋体" w:cs="宋体"/>
                <w:color w:val="000000"/>
                <w:kern w:val="0"/>
                <w:szCs w:val="21"/>
              </w:rPr>
              <w:t>包转发率不低于1620Mpps的万兆网络交换机</w:t>
            </w:r>
          </w:p>
        </w:tc>
      </w:tr>
      <w:tr w14:paraId="3E56AE3B">
        <w:tblPrEx>
          <w:tblCellMar>
            <w:top w:w="0" w:type="dxa"/>
            <w:left w:w="108" w:type="dxa"/>
            <w:bottom w:w="0" w:type="dxa"/>
            <w:right w:w="108" w:type="dxa"/>
          </w:tblCellMar>
        </w:tblPrEx>
        <w:trPr>
          <w:trHeight w:val="784" w:hRule="atLeast"/>
          <w:jc w:val="center"/>
        </w:trPr>
        <w:tc>
          <w:tcPr>
            <w:tcW w:w="906" w:type="dxa"/>
            <w:tcBorders>
              <w:top w:val="single" w:color="auto" w:sz="4" w:space="0"/>
              <w:left w:val="single" w:color="auto" w:sz="4" w:space="0"/>
              <w:bottom w:val="single" w:color="auto" w:sz="4" w:space="0"/>
              <w:right w:val="single" w:color="auto" w:sz="4" w:space="0"/>
            </w:tcBorders>
            <w:noWrap/>
            <w:vAlign w:val="center"/>
          </w:tcPr>
          <w:p w14:paraId="2F9FC4B0">
            <w:pPr>
              <w:ind w:firstLine="0" w:firstLineChars="0"/>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w:t>
            </w:r>
          </w:p>
        </w:tc>
        <w:tc>
          <w:tcPr>
            <w:tcW w:w="7616" w:type="dxa"/>
            <w:tcBorders>
              <w:top w:val="single" w:color="auto" w:sz="4" w:space="0"/>
              <w:left w:val="single" w:color="auto" w:sz="4" w:space="0"/>
              <w:bottom w:val="single" w:color="auto" w:sz="4" w:space="0"/>
              <w:right w:val="single" w:color="auto" w:sz="4" w:space="0"/>
            </w:tcBorders>
            <w:noWrap/>
            <w:vAlign w:val="center"/>
          </w:tcPr>
          <w:p w14:paraId="2FB61954">
            <w:pPr>
              <w:ind w:firstLine="0" w:firstLineChars="0"/>
              <w:rPr>
                <w:rFonts w:hint="eastAsia" w:ascii="宋体" w:hAnsi="宋体" w:cs="宋体"/>
                <w:color w:val="000000"/>
                <w:kern w:val="0"/>
                <w:szCs w:val="21"/>
              </w:rPr>
            </w:pPr>
            <w:r>
              <w:rPr>
                <w:rFonts w:hint="eastAsia" w:ascii="宋体" w:hAnsi="宋体" w:cs="宋体"/>
                <w:color w:val="000000"/>
                <w:kern w:val="0"/>
                <w:szCs w:val="21"/>
              </w:rPr>
              <w:t>传输速率支持10/100/1000/10000Mbps</w:t>
            </w:r>
          </w:p>
        </w:tc>
      </w:tr>
      <w:tr w14:paraId="45647FE0">
        <w:tblPrEx>
          <w:tblCellMar>
            <w:top w:w="0" w:type="dxa"/>
            <w:left w:w="108" w:type="dxa"/>
            <w:bottom w:w="0" w:type="dxa"/>
            <w:right w:w="108" w:type="dxa"/>
          </w:tblCellMar>
        </w:tblPrEx>
        <w:trPr>
          <w:trHeight w:val="784" w:hRule="atLeast"/>
          <w:jc w:val="center"/>
        </w:trPr>
        <w:tc>
          <w:tcPr>
            <w:tcW w:w="906" w:type="dxa"/>
            <w:tcBorders>
              <w:top w:val="single" w:color="auto" w:sz="4" w:space="0"/>
              <w:left w:val="single" w:color="auto" w:sz="4" w:space="0"/>
              <w:bottom w:val="single" w:color="auto" w:sz="4" w:space="0"/>
              <w:right w:val="single" w:color="auto" w:sz="4" w:space="0"/>
            </w:tcBorders>
            <w:noWrap/>
            <w:vAlign w:val="center"/>
          </w:tcPr>
          <w:p w14:paraId="6EB50B5F">
            <w:pPr>
              <w:ind w:firstLine="0" w:firstLineChars="0"/>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w:t>
            </w:r>
          </w:p>
        </w:tc>
        <w:tc>
          <w:tcPr>
            <w:tcW w:w="7616" w:type="dxa"/>
            <w:tcBorders>
              <w:top w:val="single" w:color="auto" w:sz="4" w:space="0"/>
              <w:left w:val="single" w:color="auto" w:sz="4" w:space="0"/>
              <w:bottom w:val="single" w:color="auto" w:sz="4" w:space="0"/>
              <w:right w:val="single" w:color="auto" w:sz="4" w:space="0"/>
            </w:tcBorders>
            <w:noWrap/>
            <w:vAlign w:val="center"/>
          </w:tcPr>
          <w:p w14:paraId="2268AE57">
            <w:pPr>
              <w:ind w:firstLine="0" w:firstLineChars="0"/>
              <w:rPr>
                <w:rFonts w:hint="eastAsia" w:ascii="宋体" w:hAnsi="宋体" w:cs="宋体"/>
                <w:color w:val="000000"/>
                <w:kern w:val="0"/>
                <w:szCs w:val="21"/>
              </w:rPr>
            </w:pPr>
            <w:r>
              <w:rPr>
                <w:rFonts w:hint="eastAsia" w:ascii="宋体" w:hAnsi="宋体" w:cs="宋体"/>
                <w:color w:val="000000"/>
                <w:kern w:val="0"/>
                <w:szCs w:val="21"/>
              </w:rPr>
              <w:t>支持对端口入方向、出方向进行速率限制</w:t>
            </w:r>
          </w:p>
        </w:tc>
      </w:tr>
      <w:tr w14:paraId="28675791">
        <w:tblPrEx>
          <w:tblCellMar>
            <w:top w:w="0" w:type="dxa"/>
            <w:left w:w="108" w:type="dxa"/>
            <w:bottom w:w="0" w:type="dxa"/>
            <w:right w:w="108" w:type="dxa"/>
          </w:tblCellMar>
        </w:tblPrEx>
        <w:trPr>
          <w:trHeight w:val="784" w:hRule="atLeast"/>
          <w:jc w:val="center"/>
        </w:trPr>
        <w:tc>
          <w:tcPr>
            <w:tcW w:w="906" w:type="dxa"/>
            <w:tcBorders>
              <w:top w:val="single" w:color="auto" w:sz="4" w:space="0"/>
              <w:left w:val="single" w:color="auto" w:sz="4" w:space="0"/>
              <w:bottom w:val="single" w:color="auto" w:sz="4" w:space="0"/>
              <w:right w:val="single" w:color="auto" w:sz="4" w:space="0"/>
            </w:tcBorders>
            <w:noWrap/>
            <w:vAlign w:val="center"/>
          </w:tcPr>
          <w:p w14:paraId="7394CE41">
            <w:pPr>
              <w:ind w:firstLine="0" w:firstLineChars="0"/>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4</w:t>
            </w:r>
          </w:p>
        </w:tc>
        <w:tc>
          <w:tcPr>
            <w:tcW w:w="7616" w:type="dxa"/>
            <w:tcBorders>
              <w:top w:val="single" w:color="auto" w:sz="4" w:space="0"/>
              <w:left w:val="single" w:color="auto" w:sz="4" w:space="0"/>
              <w:bottom w:val="single" w:color="auto" w:sz="4" w:space="0"/>
              <w:right w:val="single" w:color="auto" w:sz="4" w:space="0"/>
            </w:tcBorders>
            <w:noWrap/>
            <w:vAlign w:val="center"/>
          </w:tcPr>
          <w:p w14:paraId="13D492D4">
            <w:pPr>
              <w:ind w:firstLine="0" w:firstLineChars="0"/>
              <w:rPr>
                <w:rFonts w:hint="eastAsia" w:ascii="宋体" w:hAnsi="宋体" w:cs="宋体"/>
                <w:color w:val="000000"/>
                <w:kern w:val="0"/>
                <w:szCs w:val="21"/>
              </w:rPr>
            </w:pPr>
            <w:r>
              <w:rPr>
                <w:rFonts w:hint="eastAsia" w:ascii="宋体" w:hAnsi="宋体" w:cs="宋体"/>
                <w:color w:val="000000"/>
                <w:kern w:val="0"/>
                <w:szCs w:val="21"/>
              </w:rPr>
              <w:t>支持报文重定向</w:t>
            </w:r>
          </w:p>
        </w:tc>
      </w:tr>
      <w:tr w14:paraId="55D06790">
        <w:tblPrEx>
          <w:tblCellMar>
            <w:top w:w="0" w:type="dxa"/>
            <w:left w:w="108" w:type="dxa"/>
            <w:bottom w:w="0" w:type="dxa"/>
            <w:right w:w="108" w:type="dxa"/>
          </w:tblCellMar>
        </w:tblPrEx>
        <w:trPr>
          <w:trHeight w:val="784" w:hRule="atLeast"/>
          <w:jc w:val="center"/>
        </w:trPr>
        <w:tc>
          <w:tcPr>
            <w:tcW w:w="906" w:type="dxa"/>
            <w:tcBorders>
              <w:top w:val="single" w:color="auto" w:sz="4" w:space="0"/>
              <w:left w:val="single" w:color="auto" w:sz="4" w:space="0"/>
              <w:bottom w:val="single" w:color="auto" w:sz="4" w:space="0"/>
              <w:right w:val="single" w:color="auto" w:sz="4" w:space="0"/>
            </w:tcBorders>
            <w:noWrap/>
            <w:vAlign w:val="center"/>
          </w:tcPr>
          <w:p w14:paraId="5ECAE57F">
            <w:pPr>
              <w:ind w:firstLine="0" w:firstLineChars="0"/>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5</w:t>
            </w:r>
          </w:p>
        </w:tc>
        <w:tc>
          <w:tcPr>
            <w:tcW w:w="7616" w:type="dxa"/>
            <w:tcBorders>
              <w:top w:val="single" w:color="auto" w:sz="4" w:space="0"/>
              <w:left w:val="single" w:color="auto" w:sz="4" w:space="0"/>
              <w:bottom w:val="single" w:color="auto" w:sz="4" w:space="0"/>
              <w:right w:val="single" w:color="auto" w:sz="4" w:space="0"/>
            </w:tcBorders>
            <w:noWrap/>
            <w:vAlign w:val="center"/>
          </w:tcPr>
          <w:p w14:paraId="59B650E0">
            <w:pPr>
              <w:ind w:firstLine="0" w:firstLineChars="0"/>
              <w:rPr>
                <w:rFonts w:hint="eastAsia" w:ascii="宋体" w:hAnsi="宋体" w:cs="宋体"/>
                <w:color w:val="000000"/>
                <w:kern w:val="0"/>
                <w:szCs w:val="21"/>
              </w:rPr>
            </w:pPr>
            <w:r>
              <w:rPr>
                <w:rFonts w:hint="eastAsia" w:ascii="宋体" w:hAnsi="宋体" w:cs="宋体"/>
                <w:color w:val="000000"/>
                <w:kern w:val="0"/>
                <w:szCs w:val="21"/>
              </w:rPr>
              <w:t>支持基于端口的流量监管</w:t>
            </w:r>
          </w:p>
        </w:tc>
      </w:tr>
      <w:tr w14:paraId="029D9993">
        <w:tblPrEx>
          <w:tblCellMar>
            <w:top w:w="0" w:type="dxa"/>
            <w:left w:w="108" w:type="dxa"/>
            <w:bottom w:w="0" w:type="dxa"/>
            <w:right w:w="108" w:type="dxa"/>
          </w:tblCellMar>
        </w:tblPrEx>
        <w:trPr>
          <w:trHeight w:val="784" w:hRule="atLeast"/>
          <w:jc w:val="center"/>
        </w:trPr>
        <w:tc>
          <w:tcPr>
            <w:tcW w:w="906" w:type="dxa"/>
            <w:tcBorders>
              <w:top w:val="single" w:color="auto" w:sz="4" w:space="0"/>
              <w:left w:val="single" w:color="auto" w:sz="4" w:space="0"/>
              <w:bottom w:val="single" w:color="auto" w:sz="4" w:space="0"/>
              <w:right w:val="single" w:color="auto" w:sz="4" w:space="0"/>
            </w:tcBorders>
            <w:noWrap/>
            <w:vAlign w:val="center"/>
          </w:tcPr>
          <w:p w14:paraId="0E13E17B">
            <w:pPr>
              <w:ind w:firstLine="0" w:firstLineChars="0"/>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6</w:t>
            </w:r>
          </w:p>
        </w:tc>
        <w:tc>
          <w:tcPr>
            <w:tcW w:w="7616" w:type="dxa"/>
            <w:tcBorders>
              <w:top w:val="single" w:color="auto" w:sz="4" w:space="0"/>
              <w:left w:val="single" w:color="auto" w:sz="4" w:space="0"/>
              <w:bottom w:val="single" w:color="auto" w:sz="4" w:space="0"/>
              <w:right w:val="single" w:color="auto" w:sz="4" w:space="0"/>
            </w:tcBorders>
            <w:noWrap/>
            <w:vAlign w:val="center"/>
          </w:tcPr>
          <w:p w14:paraId="7242C8B5">
            <w:pPr>
              <w:ind w:firstLine="0" w:firstLineChars="0"/>
              <w:rPr>
                <w:rFonts w:hint="eastAsia" w:ascii="宋体" w:hAnsi="宋体" w:cs="宋体"/>
                <w:color w:val="000000"/>
                <w:kern w:val="0"/>
                <w:szCs w:val="21"/>
              </w:rPr>
            </w:pPr>
            <w:r>
              <w:rPr>
                <w:rFonts w:hint="eastAsia" w:ascii="宋体" w:hAnsi="宋体" w:cs="宋体"/>
                <w:color w:val="000000"/>
                <w:kern w:val="0"/>
                <w:szCs w:val="21"/>
              </w:rPr>
              <w:t>支持双速三色CAR功能</w:t>
            </w:r>
          </w:p>
        </w:tc>
      </w:tr>
      <w:tr w14:paraId="0C97D642">
        <w:tblPrEx>
          <w:tblCellMar>
            <w:top w:w="0" w:type="dxa"/>
            <w:left w:w="108" w:type="dxa"/>
            <w:bottom w:w="0" w:type="dxa"/>
            <w:right w:w="108" w:type="dxa"/>
          </w:tblCellMar>
        </w:tblPrEx>
        <w:trPr>
          <w:trHeight w:val="784" w:hRule="atLeast"/>
          <w:jc w:val="center"/>
        </w:trPr>
        <w:tc>
          <w:tcPr>
            <w:tcW w:w="906" w:type="dxa"/>
            <w:tcBorders>
              <w:top w:val="single" w:color="auto" w:sz="4" w:space="0"/>
              <w:left w:val="single" w:color="auto" w:sz="4" w:space="0"/>
              <w:bottom w:val="single" w:color="auto" w:sz="4" w:space="0"/>
              <w:right w:val="single" w:color="auto" w:sz="4" w:space="0"/>
            </w:tcBorders>
            <w:noWrap/>
            <w:vAlign w:val="center"/>
          </w:tcPr>
          <w:p w14:paraId="2BFA46CF">
            <w:pPr>
              <w:ind w:firstLine="0" w:firstLineChars="0"/>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7</w:t>
            </w:r>
          </w:p>
        </w:tc>
        <w:tc>
          <w:tcPr>
            <w:tcW w:w="7616" w:type="dxa"/>
            <w:tcBorders>
              <w:top w:val="single" w:color="auto" w:sz="4" w:space="0"/>
              <w:left w:val="single" w:color="auto" w:sz="4" w:space="0"/>
              <w:bottom w:val="single" w:color="auto" w:sz="4" w:space="0"/>
              <w:right w:val="single" w:color="auto" w:sz="4" w:space="0"/>
            </w:tcBorders>
            <w:noWrap/>
            <w:vAlign w:val="center"/>
          </w:tcPr>
          <w:p w14:paraId="305178D4">
            <w:pPr>
              <w:ind w:firstLine="0" w:firstLineChars="0"/>
              <w:rPr>
                <w:rFonts w:hint="eastAsia" w:ascii="宋体" w:hAnsi="宋体" w:cs="宋体"/>
                <w:color w:val="000000"/>
                <w:kern w:val="0"/>
                <w:szCs w:val="21"/>
              </w:rPr>
            </w:pPr>
            <w:r>
              <w:rPr>
                <w:rFonts w:hint="eastAsia" w:ascii="宋体" w:hAnsi="宋体" w:cs="宋体"/>
                <w:color w:val="000000"/>
                <w:kern w:val="0"/>
                <w:szCs w:val="21"/>
              </w:rPr>
              <w:t>每端口支持8个队列</w:t>
            </w:r>
          </w:p>
        </w:tc>
      </w:tr>
      <w:tr w14:paraId="227D953F">
        <w:tblPrEx>
          <w:tblCellMar>
            <w:top w:w="0" w:type="dxa"/>
            <w:left w:w="108" w:type="dxa"/>
            <w:bottom w:w="0" w:type="dxa"/>
            <w:right w:w="108" w:type="dxa"/>
          </w:tblCellMar>
        </w:tblPrEx>
        <w:trPr>
          <w:trHeight w:val="784" w:hRule="atLeast"/>
          <w:jc w:val="center"/>
        </w:trPr>
        <w:tc>
          <w:tcPr>
            <w:tcW w:w="906" w:type="dxa"/>
            <w:tcBorders>
              <w:top w:val="single" w:color="auto" w:sz="4" w:space="0"/>
              <w:left w:val="single" w:color="auto" w:sz="4" w:space="0"/>
              <w:bottom w:val="single" w:color="auto" w:sz="4" w:space="0"/>
              <w:right w:val="single" w:color="auto" w:sz="4" w:space="0"/>
            </w:tcBorders>
            <w:noWrap/>
            <w:vAlign w:val="center"/>
          </w:tcPr>
          <w:p w14:paraId="14C4916D">
            <w:pPr>
              <w:ind w:firstLine="0" w:firstLineChars="0"/>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8</w:t>
            </w:r>
          </w:p>
        </w:tc>
        <w:tc>
          <w:tcPr>
            <w:tcW w:w="7616" w:type="dxa"/>
            <w:tcBorders>
              <w:top w:val="single" w:color="auto" w:sz="4" w:space="0"/>
              <w:left w:val="single" w:color="auto" w:sz="4" w:space="0"/>
              <w:bottom w:val="single" w:color="auto" w:sz="4" w:space="0"/>
              <w:right w:val="single" w:color="auto" w:sz="4" w:space="0"/>
            </w:tcBorders>
            <w:noWrap/>
            <w:vAlign w:val="center"/>
          </w:tcPr>
          <w:p w14:paraId="7331B5BC">
            <w:pPr>
              <w:ind w:firstLine="0" w:firstLineChars="0"/>
              <w:rPr>
                <w:rFonts w:hint="eastAsia" w:ascii="宋体" w:hAnsi="宋体" w:cs="宋体"/>
                <w:color w:val="000000"/>
                <w:kern w:val="0"/>
                <w:szCs w:val="21"/>
              </w:rPr>
            </w:pPr>
            <w:r>
              <w:rPr>
                <w:rFonts w:hint="eastAsia" w:ascii="宋体" w:hAnsi="宋体" w:cs="宋体"/>
                <w:color w:val="000000"/>
                <w:kern w:val="0"/>
                <w:szCs w:val="21"/>
              </w:rPr>
              <w:t>支持DRR、SP、DRR+SP队列调度算法</w:t>
            </w:r>
          </w:p>
        </w:tc>
      </w:tr>
      <w:tr w14:paraId="37B3C84C">
        <w:tblPrEx>
          <w:tblCellMar>
            <w:top w:w="0" w:type="dxa"/>
            <w:left w:w="108" w:type="dxa"/>
            <w:bottom w:w="0" w:type="dxa"/>
            <w:right w:w="108" w:type="dxa"/>
          </w:tblCellMar>
        </w:tblPrEx>
        <w:trPr>
          <w:trHeight w:val="784" w:hRule="atLeast"/>
          <w:jc w:val="center"/>
        </w:trPr>
        <w:tc>
          <w:tcPr>
            <w:tcW w:w="906" w:type="dxa"/>
            <w:tcBorders>
              <w:top w:val="single" w:color="auto" w:sz="4" w:space="0"/>
              <w:left w:val="single" w:color="auto" w:sz="4" w:space="0"/>
              <w:bottom w:val="single" w:color="auto" w:sz="4" w:space="0"/>
              <w:right w:val="single" w:color="auto" w:sz="4" w:space="0"/>
            </w:tcBorders>
            <w:noWrap/>
            <w:vAlign w:val="center"/>
          </w:tcPr>
          <w:p w14:paraId="19AE8E8A">
            <w:pPr>
              <w:ind w:firstLine="0" w:firstLineChars="0"/>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9</w:t>
            </w:r>
          </w:p>
        </w:tc>
        <w:tc>
          <w:tcPr>
            <w:tcW w:w="7616" w:type="dxa"/>
            <w:tcBorders>
              <w:top w:val="single" w:color="auto" w:sz="4" w:space="0"/>
              <w:left w:val="single" w:color="auto" w:sz="4" w:space="0"/>
              <w:bottom w:val="single" w:color="auto" w:sz="4" w:space="0"/>
              <w:right w:val="single" w:color="auto" w:sz="4" w:space="0"/>
            </w:tcBorders>
            <w:noWrap/>
            <w:vAlign w:val="center"/>
          </w:tcPr>
          <w:p w14:paraId="682B5D09">
            <w:pPr>
              <w:ind w:firstLine="0" w:firstLineChars="0"/>
              <w:rPr>
                <w:rFonts w:hint="eastAsia" w:ascii="宋体" w:hAnsi="宋体" w:cs="宋体"/>
                <w:color w:val="000000"/>
                <w:kern w:val="0"/>
                <w:szCs w:val="21"/>
              </w:rPr>
            </w:pPr>
            <w:r>
              <w:rPr>
                <w:rFonts w:hint="eastAsia" w:ascii="宋体" w:hAnsi="宋体" w:cs="宋体"/>
                <w:color w:val="000000"/>
                <w:kern w:val="0"/>
                <w:szCs w:val="21"/>
              </w:rPr>
              <w:t>支持WRED，支持报文的802.1p和DSCP优先级重新标记，支持L2（Layer 2）~L4（Layer 4）包过滤功能</w:t>
            </w:r>
          </w:p>
        </w:tc>
      </w:tr>
      <w:tr w14:paraId="285307E8">
        <w:tblPrEx>
          <w:tblCellMar>
            <w:top w:w="0" w:type="dxa"/>
            <w:left w:w="108" w:type="dxa"/>
            <w:bottom w:w="0" w:type="dxa"/>
            <w:right w:w="108" w:type="dxa"/>
          </w:tblCellMar>
        </w:tblPrEx>
        <w:trPr>
          <w:trHeight w:val="784" w:hRule="atLeast"/>
          <w:jc w:val="center"/>
        </w:trPr>
        <w:tc>
          <w:tcPr>
            <w:tcW w:w="906" w:type="dxa"/>
            <w:tcBorders>
              <w:top w:val="single" w:color="auto" w:sz="4" w:space="0"/>
              <w:left w:val="single" w:color="auto" w:sz="4" w:space="0"/>
              <w:bottom w:val="single" w:color="auto" w:sz="4" w:space="0"/>
              <w:right w:val="single" w:color="auto" w:sz="4" w:space="0"/>
            </w:tcBorders>
            <w:noWrap/>
            <w:vAlign w:val="center"/>
          </w:tcPr>
          <w:p w14:paraId="3A8DC8CC">
            <w:pPr>
              <w:ind w:firstLine="0" w:firstLineChars="0"/>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10</w:t>
            </w:r>
          </w:p>
        </w:tc>
        <w:tc>
          <w:tcPr>
            <w:tcW w:w="7616" w:type="dxa"/>
            <w:tcBorders>
              <w:top w:val="single" w:color="auto" w:sz="4" w:space="0"/>
              <w:left w:val="single" w:color="auto" w:sz="4" w:space="0"/>
              <w:bottom w:val="single" w:color="auto" w:sz="4" w:space="0"/>
              <w:right w:val="single" w:color="auto" w:sz="4" w:space="0"/>
            </w:tcBorders>
            <w:noWrap/>
            <w:vAlign w:val="center"/>
          </w:tcPr>
          <w:p w14:paraId="159D326A">
            <w:pPr>
              <w:ind w:firstLine="0" w:firstLineChars="0"/>
              <w:rPr>
                <w:rFonts w:hint="eastAsia" w:ascii="宋体" w:hAnsi="宋体" w:cs="宋体"/>
                <w:color w:val="000000"/>
                <w:kern w:val="0"/>
                <w:szCs w:val="21"/>
              </w:rPr>
            </w:pPr>
            <w:r>
              <w:rPr>
                <w:rFonts w:hint="eastAsia" w:ascii="宋体" w:hAnsi="宋体" w:cs="宋体"/>
                <w:color w:val="000000"/>
                <w:kern w:val="0"/>
                <w:szCs w:val="21"/>
              </w:rPr>
              <w:t>提供基于源MAC地址、目的MAC地址、源IP地址、目的IP地址、TCP/UDP协议源/目的端口号、协议、VLAN的包过滤功能</w:t>
            </w:r>
          </w:p>
        </w:tc>
      </w:tr>
      <w:tr w14:paraId="66FF65C0">
        <w:tblPrEx>
          <w:tblCellMar>
            <w:top w:w="0" w:type="dxa"/>
            <w:left w:w="108" w:type="dxa"/>
            <w:bottom w:w="0" w:type="dxa"/>
            <w:right w:w="108" w:type="dxa"/>
          </w:tblCellMar>
        </w:tblPrEx>
        <w:trPr>
          <w:trHeight w:val="784" w:hRule="atLeast"/>
          <w:jc w:val="center"/>
        </w:trPr>
        <w:tc>
          <w:tcPr>
            <w:tcW w:w="906" w:type="dxa"/>
            <w:tcBorders>
              <w:top w:val="single" w:color="auto" w:sz="4" w:space="0"/>
              <w:left w:val="single" w:color="auto" w:sz="4" w:space="0"/>
              <w:bottom w:val="single" w:color="auto" w:sz="4" w:space="0"/>
              <w:right w:val="single" w:color="auto" w:sz="4" w:space="0"/>
            </w:tcBorders>
            <w:noWrap/>
            <w:vAlign w:val="center"/>
          </w:tcPr>
          <w:p w14:paraId="1978A72B">
            <w:pPr>
              <w:ind w:firstLine="0" w:firstLineChars="0"/>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11</w:t>
            </w:r>
          </w:p>
        </w:tc>
        <w:tc>
          <w:tcPr>
            <w:tcW w:w="7616" w:type="dxa"/>
            <w:tcBorders>
              <w:top w:val="single" w:color="auto" w:sz="4" w:space="0"/>
              <w:left w:val="single" w:color="auto" w:sz="4" w:space="0"/>
              <w:bottom w:val="single" w:color="auto" w:sz="4" w:space="0"/>
              <w:right w:val="single" w:color="auto" w:sz="4" w:space="0"/>
            </w:tcBorders>
            <w:noWrap/>
            <w:vAlign w:val="center"/>
          </w:tcPr>
          <w:p w14:paraId="5F3A9DB7">
            <w:pPr>
              <w:ind w:firstLine="0" w:firstLineChars="0"/>
              <w:rPr>
                <w:rFonts w:hint="eastAsia" w:ascii="宋体" w:hAnsi="宋体" w:cs="宋体"/>
                <w:color w:val="000000"/>
                <w:kern w:val="0"/>
                <w:szCs w:val="21"/>
              </w:rPr>
            </w:pPr>
            <w:r>
              <w:rPr>
                <w:rFonts w:hint="eastAsia" w:ascii="宋体" w:hAnsi="宋体" w:cs="宋体"/>
                <w:color w:val="000000"/>
                <w:kern w:val="0"/>
                <w:szCs w:val="21"/>
              </w:rPr>
              <w:t>支持基于队列限速和端口整形的功能</w:t>
            </w:r>
          </w:p>
        </w:tc>
      </w:tr>
      <w:tr w14:paraId="6C6A4967">
        <w:tblPrEx>
          <w:tblCellMar>
            <w:top w:w="0" w:type="dxa"/>
            <w:left w:w="108" w:type="dxa"/>
            <w:bottom w:w="0" w:type="dxa"/>
            <w:right w:w="108" w:type="dxa"/>
          </w:tblCellMar>
        </w:tblPrEx>
        <w:trPr>
          <w:trHeight w:val="784" w:hRule="atLeast"/>
          <w:jc w:val="center"/>
        </w:trPr>
        <w:tc>
          <w:tcPr>
            <w:tcW w:w="906" w:type="dxa"/>
            <w:tcBorders>
              <w:top w:val="single" w:color="auto" w:sz="4" w:space="0"/>
              <w:left w:val="single" w:color="auto" w:sz="4" w:space="0"/>
              <w:bottom w:val="single" w:color="auto" w:sz="4" w:space="0"/>
              <w:right w:val="single" w:color="auto" w:sz="4" w:space="0"/>
            </w:tcBorders>
            <w:noWrap/>
            <w:vAlign w:val="center"/>
          </w:tcPr>
          <w:p w14:paraId="5B482C94">
            <w:pPr>
              <w:ind w:firstLine="0" w:firstLineChars="0"/>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12</w:t>
            </w:r>
          </w:p>
        </w:tc>
        <w:tc>
          <w:tcPr>
            <w:tcW w:w="7616" w:type="dxa"/>
            <w:tcBorders>
              <w:top w:val="single" w:color="auto" w:sz="4" w:space="0"/>
              <w:left w:val="single" w:color="auto" w:sz="4" w:space="0"/>
              <w:bottom w:val="single" w:color="auto" w:sz="4" w:space="0"/>
              <w:right w:val="single" w:color="auto" w:sz="4" w:space="0"/>
            </w:tcBorders>
            <w:noWrap/>
            <w:vAlign w:val="center"/>
          </w:tcPr>
          <w:p w14:paraId="154E291A">
            <w:pPr>
              <w:ind w:firstLine="0" w:firstLineChars="0"/>
              <w:rPr>
                <w:rFonts w:hint="eastAsia" w:ascii="宋体" w:hAnsi="宋体" w:cs="宋体"/>
                <w:color w:val="000000"/>
                <w:kern w:val="0"/>
                <w:szCs w:val="21"/>
              </w:rPr>
            </w:pPr>
            <w:r>
              <w:rPr>
                <w:rFonts w:hint="eastAsia" w:ascii="宋体" w:hAnsi="宋体" w:cs="宋体"/>
                <w:color w:val="000000"/>
                <w:kern w:val="0"/>
                <w:szCs w:val="21"/>
              </w:rPr>
              <w:t>支持4K个VLAN</w:t>
            </w:r>
          </w:p>
        </w:tc>
      </w:tr>
      <w:tr w14:paraId="7CA97742">
        <w:tblPrEx>
          <w:tblCellMar>
            <w:top w:w="0" w:type="dxa"/>
            <w:left w:w="108" w:type="dxa"/>
            <w:bottom w:w="0" w:type="dxa"/>
            <w:right w:w="108" w:type="dxa"/>
          </w:tblCellMar>
        </w:tblPrEx>
        <w:trPr>
          <w:trHeight w:val="784" w:hRule="atLeast"/>
          <w:jc w:val="center"/>
        </w:trPr>
        <w:tc>
          <w:tcPr>
            <w:tcW w:w="906" w:type="dxa"/>
            <w:tcBorders>
              <w:top w:val="single" w:color="auto" w:sz="4" w:space="0"/>
              <w:left w:val="single" w:color="auto" w:sz="4" w:space="0"/>
              <w:bottom w:val="single" w:color="auto" w:sz="4" w:space="0"/>
              <w:right w:val="single" w:color="auto" w:sz="4" w:space="0"/>
            </w:tcBorders>
            <w:noWrap/>
            <w:vAlign w:val="center"/>
          </w:tcPr>
          <w:p w14:paraId="343BEC20">
            <w:pPr>
              <w:ind w:firstLine="0" w:firstLineChars="0"/>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13</w:t>
            </w:r>
          </w:p>
        </w:tc>
        <w:tc>
          <w:tcPr>
            <w:tcW w:w="7616" w:type="dxa"/>
            <w:tcBorders>
              <w:top w:val="single" w:color="auto" w:sz="4" w:space="0"/>
              <w:left w:val="single" w:color="auto" w:sz="4" w:space="0"/>
              <w:bottom w:val="single" w:color="auto" w:sz="4" w:space="0"/>
              <w:right w:val="single" w:color="auto" w:sz="4" w:space="0"/>
            </w:tcBorders>
            <w:noWrap/>
            <w:vAlign w:val="center"/>
          </w:tcPr>
          <w:p w14:paraId="30ECD1C3">
            <w:pPr>
              <w:ind w:firstLine="0" w:firstLineChars="0"/>
              <w:rPr>
                <w:rFonts w:hint="eastAsia" w:ascii="宋体" w:hAnsi="宋体" w:cs="宋体"/>
                <w:color w:val="000000"/>
                <w:kern w:val="0"/>
                <w:szCs w:val="21"/>
              </w:rPr>
            </w:pPr>
            <w:r>
              <w:rPr>
                <w:rFonts w:hint="eastAsia" w:ascii="宋体" w:hAnsi="宋体" w:cs="宋体"/>
                <w:color w:val="000000"/>
                <w:kern w:val="0"/>
                <w:szCs w:val="21"/>
              </w:rPr>
              <w:t>支持Guest VLAN、Voice VLANs</w:t>
            </w:r>
          </w:p>
        </w:tc>
      </w:tr>
      <w:tr w14:paraId="117829AF">
        <w:tblPrEx>
          <w:tblCellMar>
            <w:top w:w="0" w:type="dxa"/>
            <w:left w:w="108" w:type="dxa"/>
            <w:bottom w:w="0" w:type="dxa"/>
            <w:right w:w="108" w:type="dxa"/>
          </w:tblCellMar>
        </w:tblPrEx>
        <w:trPr>
          <w:trHeight w:val="784" w:hRule="atLeast"/>
          <w:jc w:val="center"/>
        </w:trPr>
        <w:tc>
          <w:tcPr>
            <w:tcW w:w="906" w:type="dxa"/>
            <w:tcBorders>
              <w:top w:val="single" w:color="auto" w:sz="4" w:space="0"/>
              <w:left w:val="single" w:color="auto" w:sz="4" w:space="0"/>
              <w:bottom w:val="single" w:color="auto" w:sz="4" w:space="0"/>
              <w:right w:val="single" w:color="auto" w:sz="4" w:space="0"/>
            </w:tcBorders>
            <w:noWrap/>
            <w:vAlign w:val="center"/>
          </w:tcPr>
          <w:p w14:paraId="32D6605C">
            <w:pPr>
              <w:ind w:firstLine="0" w:firstLineChars="0"/>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14</w:t>
            </w:r>
          </w:p>
        </w:tc>
        <w:tc>
          <w:tcPr>
            <w:tcW w:w="7616" w:type="dxa"/>
            <w:tcBorders>
              <w:top w:val="single" w:color="auto" w:sz="4" w:space="0"/>
              <w:left w:val="single" w:color="auto" w:sz="4" w:space="0"/>
              <w:bottom w:val="single" w:color="auto" w:sz="4" w:space="0"/>
              <w:right w:val="single" w:color="auto" w:sz="4" w:space="0"/>
            </w:tcBorders>
            <w:noWrap/>
            <w:vAlign w:val="center"/>
          </w:tcPr>
          <w:p w14:paraId="0C006463">
            <w:pPr>
              <w:ind w:firstLine="0" w:firstLineChars="0"/>
              <w:rPr>
                <w:rFonts w:hint="eastAsia" w:ascii="宋体" w:hAnsi="宋体" w:cs="宋体"/>
                <w:color w:val="000000"/>
                <w:kern w:val="0"/>
                <w:szCs w:val="21"/>
              </w:rPr>
            </w:pPr>
            <w:r>
              <w:rPr>
                <w:rFonts w:hint="eastAsia" w:ascii="宋体" w:hAnsi="宋体" w:cs="宋体"/>
                <w:color w:val="000000"/>
                <w:kern w:val="0"/>
                <w:szCs w:val="21"/>
              </w:rPr>
              <w:t>支持GVRP协议，支持MUX VLAN功能，支持基于MAC/协议/IP子网/策略/端口的VLAN，支持VLAN Mapping功能。</w:t>
            </w:r>
          </w:p>
        </w:tc>
      </w:tr>
    </w:tbl>
    <w:p w14:paraId="0204D98F">
      <w:pPr>
        <w:numPr>
          <w:ilvl w:val="0"/>
          <w:numId w:val="3"/>
        </w:numPr>
        <w:tabs>
          <w:tab w:val="left" w:pos="780"/>
        </w:tabs>
        <w:ind w:firstLineChars="0"/>
        <w:rPr>
          <w:rFonts w:ascii="宋体" w:hAnsi="宋体" w:cs="宋体"/>
          <w:szCs w:val="28"/>
        </w:rPr>
      </w:pPr>
      <w:r>
        <w:rPr>
          <w:rFonts w:hint="eastAsia" w:ascii="宋体" w:hAnsi="宋体" w:cs="宋体"/>
          <w:szCs w:val="28"/>
        </w:rPr>
        <w:t>其它服务：</w:t>
      </w:r>
    </w:p>
    <w:p w14:paraId="0F1B0304">
      <w:pPr>
        <w:pStyle w:val="10"/>
        <w:numPr>
          <w:ilvl w:val="0"/>
          <w:numId w:val="4"/>
        </w:numPr>
      </w:pPr>
      <w:r>
        <w:rPr>
          <w:rFonts w:hint="eastAsia"/>
        </w:rPr>
        <w:t>提供监测服务：对学校公众号、微博等发布的信息内容进行内容审核，并按月度提供监测分析报告。</w:t>
      </w:r>
    </w:p>
    <w:p w14:paraId="1A4F6F8C">
      <w:pPr>
        <w:pStyle w:val="10"/>
        <w:numPr>
          <w:ilvl w:val="0"/>
          <w:numId w:val="4"/>
        </w:numPr>
      </w:pPr>
      <w:r>
        <w:rPr>
          <w:rFonts w:hint="eastAsia"/>
        </w:rPr>
        <w:t>提供稿件审核服务：提供不少于40个审核平台账号，用户可以自行将发布内容上传平台监测，以减少不规范表述的发生。</w:t>
      </w:r>
    </w:p>
    <w:p w14:paraId="74771616">
      <w:pPr>
        <w:pStyle w:val="10"/>
        <w:numPr>
          <w:ilvl w:val="0"/>
          <w:numId w:val="4"/>
        </w:numPr>
      </w:pPr>
      <w:r>
        <w:rPr>
          <w:rFonts w:hint="eastAsia"/>
        </w:rPr>
        <w:t>提供云计算资源服务：为开放学习元宇宙应用提供全面的云计算资源包括弹性云主机、GPU云主机和高性能计算，以及云硬盘和对象存储等。总资源不多于96核CPU，384G内存，3248G系统盘，13400G数据盘，600M共享带宽，并为每台云主机配置相应的主机安全产品（主机安全、web应用防火墙、下一代防火墙、日志审计等）提升云主机的安全性。</w:t>
      </w:r>
    </w:p>
    <w:p w14:paraId="17974E18">
      <w:pPr>
        <w:pStyle w:val="10"/>
        <w:numPr>
          <w:ilvl w:val="0"/>
          <w:numId w:val="0"/>
        </w:numPr>
      </w:pPr>
    </w:p>
    <w:p w14:paraId="229BAB30">
      <w:pPr>
        <w:numPr>
          <w:ilvl w:val="0"/>
          <w:numId w:val="2"/>
        </w:numPr>
        <w:tabs>
          <w:tab w:val="left" w:pos="630"/>
        </w:tabs>
        <w:ind w:firstLineChars="0"/>
        <w:rPr>
          <w:rFonts w:ascii="仿宋_GB2312" w:eastAsia="仿宋_GB2312"/>
          <w:b/>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技术要求</w:t>
      </w:r>
    </w:p>
    <w:p w14:paraId="49031A51">
      <w:pPr>
        <w:numPr>
          <w:ilvl w:val="0"/>
          <w:numId w:val="5"/>
        </w:numPr>
        <w:tabs>
          <w:tab w:val="left" w:pos="780"/>
        </w:tabs>
        <w:ind w:firstLineChars="0"/>
        <w:rPr>
          <w:rFonts w:ascii="宋体" w:hAnsi="宋体" w:cs="宋体"/>
          <w:szCs w:val="28"/>
        </w:rPr>
      </w:pPr>
      <w:r>
        <w:rPr>
          <w:rFonts w:hint="eastAsia" w:ascii="宋体" w:hAnsi="宋体" w:cs="宋体"/>
          <w:szCs w:val="28"/>
        </w:rPr>
        <w:t>线路接入路由要求与现有1.5Gbps电信出口线路是从不同局端设备引出，光纤必须以无重复路径（接入点校区之外的范围）方式接入到上海开放大学国顺路校区（国顺路288号）中心机房的汇聚设备，并实现汇聚设备与校方边界设备的互联。校方目前边界设备是2台山石网科SG6K-G5150-CN-012互为冗余，连接接口为万兆以太网，接口类型为GE光口。</w:t>
      </w:r>
    </w:p>
    <w:p w14:paraId="17157304">
      <w:pPr>
        <w:numPr>
          <w:ilvl w:val="0"/>
          <w:numId w:val="5"/>
        </w:numPr>
        <w:tabs>
          <w:tab w:val="left" w:pos="780"/>
        </w:tabs>
        <w:ind w:firstLineChars="0"/>
        <w:rPr>
          <w:rFonts w:ascii="宋体" w:hAnsi="宋体" w:cs="宋体"/>
          <w:szCs w:val="28"/>
        </w:rPr>
      </w:pPr>
      <w:r>
        <w:rPr>
          <w:rFonts w:hint="eastAsia" w:ascii="宋体" w:hAnsi="宋体" w:cs="宋体"/>
          <w:szCs w:val="28"/>
        </w:rPr>
        <w:t>线路的公网IP地址与上海开放大学的部分网络应用系统捆绑（目前的公网IP地址由中国电信股份有限公司上海分公司提供），本次网络出口的改变与调整不能影响这些应用系统的继续使用，如需改变IP地址，服务商需提供平滑迁移服务，保证业务的连续性。服务商需对此提出解决方案，并在中标后负责解决方案的实现，承诺因项目交付引起ip地址变更导致的应用开发成本由服务商承担，由此产生的全部费用纳入服务总价。</w:t>
      </w:r>
    </w:p>
    <w:p w14:paraId="2CEA0EE9">
      <w:pPr>
        <w:numPr>
          <w:ilvl w:val="0"/>
          <w:numId w:val="5"/>
        </w:numPr>
        <w:tabs>
          <w:tab w:val="left" w:pos="780"/>
        </w:tabs>
        <w:ind w:firstLineChars="0"/>
        <w:rPr>
          <w:rFonts w:ascii="宋体" w:hAnsi="宋体" w:cs="宋体"/>
          <w:szCs w:val="28"/>
        </w:rPr>
      </w:pPr>
      <w:r>
        <w:rPr>
          <w:rFonts w:hint="eastAsia" w:ascii="宋体" w:hAnsi="宋体" w:cs="宋体"/>
          <w:szCs w:val="28"/>
        </w:rPr>
        <w:t>服务商提供的线路服务要求链路品质：网络的可用性≥99.99%、线路物理带宽可用率大于95％，线路点到点访问平均丢包率≤0.5%。</w:t>
      </w:r>
    </w:p>
    <w:p w14:paraId="2A4ACBCD">
      <w:pPr>
        <w:numPr>
          <w:ilvl w:val="0"/>
          <w:numId w:val="5"/>
        </w:numPr>
        <w:tabs>
          <w:tab w:val="left" w:pos="780"/>
        </w:tabs>
        <w:ind w:firstLineChars="0"/>
        <w:rPr>
          <w:rFonts w:ascii="宋体" w:hAnsi="宋体" w:cs="宋体"/>
          <w:szCs w:val="28"/>
        </w:rPr>
      </w:pPr>
      <w:r>
        <w:rPr>
          <w:rFonts w:hint="eastAsia" w:ascii="宋体" w:hAnsi="宋体" w:cs="宋体"/>
          <w:color w:val="000000" w:themeColor="text1"/>
          <w:szCs w:val="28"/>
          <w14:textFill>
            <w14:solidFill>
              <w14:schemeClr w14:val="tx1"/>
            </w14:solidFill>
          </w14:textFill>
        </w:rPr>
        <w:t>要求</w:t>
      </w:r>
      <w:r>
        <w:rPr>
          <w:rFonts w:hint="eastAsia" w:ascii="宋体" w:hAnsi="宋体" w:cs="宋体"/>
          <w:szCs w:val="28"/>
        </w:rPr>
        <w:t>满足从校方核心路由器端至服务商提供的接入链路DNS 服务段之间的Ping值延时小于10ms，并且丢包率低于0.1%。</w:t>
      </w:r>
    </w:p>
    <w:p w14:paraId="12793212">
      <w:pPr>
        <w:numPr>
          <w:ilvl w:val="0"/>
          <w:numId w:val="5"/>
        </w:numPr>
        <w:tabs>
          <w:tab w:val="left" w:pos="780"/>
        </w:tabs>
        <w:ind w:firstLineChars="0"/>
        <w:rPr>
          <w:rFonts w:ascii="宋体" w:hAnsi="宋体" w:cs="宋体"/>
          <w:szCs w:val="28"/>
        </w:rPr>
      </w:pPr>
      <w:r>
        <w:rPr>
          <w:rFonts w:hint="eastAsia" w:ascii="宋体" w:hAnsi="宋体" w:cs="宋体"/>
          <w:szCs w:val="28"/>
        </w:rPr>
        <w:t>服务商需具备业务交付零中断割接服务能力，并须提供相关技术割接实施方案。</w:t>
      </w:r>
    </w:p>
    <w:p w14:paraId="4E8291AA">
      <w:pPr>
        <w:numPr>
          <w:ilvl w:val="0"/>
          <w:numId w:val="2"/>
        </w:numPr>
        <w:tabs>
          <w:tab w:val="left" w:pos="630"/>
        </w:tabs>
        <w:spacing w:line="560" w:lineRule="exact"/>
        <w:ind w:firstLineChars="0"/>
        <w:rPr>
          <w:rFonts w:ascii="仿宋_GB2312" w:eastAsia="仿宋_GB2312"/>
          <w:b/>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服务要求</w:t>
      </w:r>
    </w:p>
    <w:p w14:paraId="021AF849">
      <w:pPr>
        <w:numPr>
          <w:ilvl w:val="0"/>
          <w:numId w:val="6"/>
        </w:numPr>
        <w:tabs>
          <w:tab w:val="left" w:pos="780"/>
        </w:tabs>
        <w:ind w:firstLineChars="0"/>
        <w:rPr>
          <w:rFonts w:ascii="宋体" w:hAnsi="宋体" w:cs="宋体"/>
          <w:szCs w:val="28"/>
        </w:rPr>
      </w:pPr>
      <w:r>
        <w:rPr>
          <w:rFonts w:hint="eastAsia" w:ascii="宋体" w:hAnsi="宋体" w:cs="宋体"/>
          <w:szCs w:val="28"/>
        </w:rPr>
        <w:t>服务商提供的网络服务应具备相关的运营要求，对涉及用户的数据不得发生任何泄漏事件。</w:t>
      </w:r>
    </w:p>
    <w:p w14:paraId="5FB3AD9C">
      <w:pPr>
        <w:numPr>
          <w:ilvl w:val="0"/>
          <w:numId w:val="6"/>
        </w:numPr>
        <w:tabs>
          <w:tab w:val="left" w:pos="780"/>
        </w:tabs>
        <w:ind w:firstLineChars="0"/>
        <w:rPr>
          <w:rFonts w:ascii="宋体" w:hAnsi="宋体" w:cs="宋体"/>
          <w:szCs w:val="28"/>
        </w:rPr>
      </w:pPr>
      <w:r>
        <w:rPr>
          <w:rFonts w:hint="eastAsia" w:ascii="宋体" w:hAnsi="宋体" w:cs="宋体"/>
          <w:szCs w:val="28"/>
        </w:rPr>
        <w:t>服务商应建立完善的售后服务体系，提供运维服务规划。规划包括标准、规范、目标职责、与用户的分工界面、组织结构、人员配置、设备配备、技术手段、实施流程、应急预案、需用户配合的内容与要求、质量评估方法及可量化评估细则等。</w:t>
      </w:r>
    </w:p>
    <w:p w14:paraId="0B181025">
      <w:pPr>
        <w:numPr>
          <w:ilvl w:val="0"/>
          <w:numId w:val="6"/>
        </w:numPr>
        <w:tabs>
          <w:tab w:val="left" w:pos="780"/>
        </w:tabs>
        <w:ind w:firstLineChars="0"/>
        <w:rPr>
          <w:rFonts w:ascii="宋体" w:hAnsi="宋体" w:cs="宋体"/>
          <w:szCs w:val="28"/>
        </w:rPr>
      </w:pPr>
      <w:r>
        <w:rPr>
          <w:rFonts w:hint="eastAsia" w:ascii="宋体" w:hAnsi="宋体" w:cs="宋体"/>
          <w:szCs w:val="28"/>
        </w:rPr>
        <w:t>服务商应设立专属客户</w:t>
      </w:r>
      <w:r>
        <w:rPr>
          <w:rFonts w:hint="eastAsia" w:ascii="宋体" w:hAnsi="宋体" w:cs="宋体"/>
          <w:szCs w:val="28"/>
          <w:lang w:eastAsia="zh-CN"/>
        </w:rPr>
        <w:t>服务</w:t>
      </w:r>
      <w:r>
        <w:rPr>
          <w:rFonts w:hint="eastAsia" w:ascii="宋体" w:hAnsi="宋体" w:cs="宋体"/>
          <w:szCs w:val="28"/>
        </w:rPr>
        <w:t>经理，提供一对一的支持服务。</w:t>
      </w:r>
    </w:p>
    <w:p w14:paraId="35301716">
      <w:pPr>
        <w:numPr>
          <w:ilvl w:val="0"/>
          <w:numId w:val="6"/>
        </w:numPr>
        <w:tabs>
          <w:tab w:val="left" w:pos="780"/>
        </w:tabs>
        <w:ind w:firstLineChars="0"/>
        <w:rPr>
          <w:rFonts w:ascii="宋体" w:hAnsi="宋体" w:cs="宋体"/>
          <w:szCs w:val="28"/>
        </w:rPr>
      </w:pPr>
      <w:r>
        <w:rPr>
          <w:rFonts w:hint="eastAsia" w:ascii="宋体" w:hAnsi="宋体" w:cs="宋体"/>
          <w:szCs w:val="28"/>
        </w:rPr>
        <w:t>服务应提供技术支持和故障申告联系电话，在服务有效期内，该服务必须是7（天）×24（小时）技术支持；如设备或系统出现故障，7×24小时故障处理，在接到报修通知后30分钟故障响应，应在2小时到现场及反馈故障处理进展；8小时排除故障并完全恢复系统的正常运行，保证校方的正常教学工作，事后须及时提交相应的故障报告。</w:t>
      </w:r>
    </w:p>
    <w:p w14:paraId="10F270F3">
      <w:pPr>
        <w:numPr>
          <w:ilvl w:val="0"/>
          <w:numId w:val="6"/>
        </w:numPr>
        <w:tabs>
          <w:tab w:val="left" w:pos="780"/>
        </w:tabs>
        <w:ind w:firstLineChars="0"/>
        <w:rPr>
          <w:rFonts w:ascii="宋体" w:hAnsi="宋体" w:cs="宋体"/>
          <w:szCs w:val="28"/>
        </w:rPr>
      </w:pPr>
      <w:r>
        <w:rPr>
          <w:rFonts w:hint="eastAsia" w:ascii="宋体" w:hAnsi="宋体" w:cs="宋体"/>
          <w:szCs w:val="28"/>
        </w:rPr>
        <w:t>服务商应有完善的网络实时监控手段，可以7×24小时对网络流量进行全面的监控，按月提供流量监控报告。</w:t>
      </w:r>
    </w:p>
    <w:p w14:paraId="3FE3D878">
      <w:pPr>
        <w:numPr>
          <w:ilvl w:val="0"/>
          <w:numId w:val="6"/>
        </w:numPr>
        <w:tabs>
          <w:tab w:val="left" w:pos="780"/>
        </w:tabs>
        <w:ind w:firstLineChars="0"/>
        <w:rPr>
          <w:rFonts w:ascii="宋体" w:hAnsi="宋体" w:cs="宋体"/>
          <w:szCs w:val="28"/>
        </w:rPr>
      </w:pPr>
      <w:r>
        <w:rPr>
          <w:rFonts w:hint="eastAsia" w:ascii="宋体" w:hAnsi="宋体" w:cs="宋体"/>
          <w:szCs w:val="28"/>
        </w:rPr>
        <w:t>针对上海开放大学的现状，服务商应提供针对紧急事件处理的应急预案。</w:t>
      </w:r>
    </w:p>
    <w:p w14:paraId="22F4444B">
      <w:pPr>
        <w:numPr>
          <w:ilvl w:val="0"/>
          <w:numId w:val="6"/>
        </w:numPr>
        <w:tabs>
          <w:tab w:val="left" w:pos="780"/>
        </w:tabs>
        <w:ind w:firstLineChars="0"/>
        <w:rPr>
          <w:rFonts w:ascii="宋体" w:hAnsi="宋体" w:cs="宋体"/>
          <w:szCs w:val="28"/>
        </w:rPr>
      </w:pPr>
      <w:r>
        <w:rPr>
          <w:rFonts w:hint="eastAsia" w:ascii="宋体" w:hAnsi="宋体" w:cs="宋体"/>
          <w:szCs w:val="28"/>
        </w:rPr>
        <w:t>在服务期内，如上级主管教育部门上海市教育委员会对全市网络出口有统一管理新政出台，服务商需积极配合招标人进行网络调整。</w:t>
      </w:r>
    </w:p>
    <w:p w14:paraId="0FECBCC7">
      <w:pPr>
        <w:numPr>
          <w:ilvl w:val="0"/>
          <w:numId w:val="6"/>
        </w:numPr>
        <w:tabs>
          <w:tab w:val="left" w:pos="780"/>
        </w:tabs>
        <w:ind w:firstLineChars="0"/>
        <w:rPr>
          <w:rFonts w:ascii="宋体" w:hAnsi="宋体" w:cs="宋体"/>
          <w:szCs w:val="28"/>
        </w:rPr>
      </w:pPr>
      <w:r>
        <w:rPr>
          <w:rFonts w:hint="eastAsia" w:ascii="宋体" w:hAnsi="宋体" w:cs="宋体"/>
          <w:szCs w:val="28"/>
        </w:rPr>
        <w:t>若因不可抗力引发网络故障，服务商应立即通知用户，并采取措施尽快解决，事后应提供完整的书面报告。</w:t>
      </w:r>
    </w:p>
    <w:p w14:paraId="0812D55E">
      <w:pPr>
        <w:numPr>
          <w:ilvl w:val="0"/>
          <w:numId w:val="6"/>
        </w:numPr>
        <w:tabs>
          <w:tab w:val="left" w:pos="780"/>
        </w:tabs>
        <w:ind w:firstLineChars="0"/>
        <w:rPr>
          <w:rFonts w:ascii="宋体" w:hAnsi="宋体" w:cs="宋体"/>
          <w:szCs w:val="28"/>
        </w:rPr>
      </w:pPr>
      <w:r>
        <w:rPr>
          <w:rFonts w:hint="eastAsia" w:ascii="宋体" w:hAnsi="宋体" w:cs="宋体"/>
          <w:szCs w:val="28"/>
        </w:rPr>
        <w:t>服务商应承诺提供重大活动现场保障及重点保障服务。提供网管侧重点监控和保障、提供相关保障方案、保障前巡检测试、现场保障、重保记录报告等。</w:t>
      </w:r>
    </w:p>
    <w:p w14:paraId="55903E08">
      <w:pPr>
        <w:numPr>
          <w:ilvl w:val="0"/>
          <w:numId w:val="6"/>
        </w:numPr>
        <w:tabs>
          <w:tab w:val="left" w:pos="780"/>
        </w:tabs>
        <w:ind w:firstLineChars="0"/>
        <w:rPr>
          <w:rFonts w:ascii="宋体" w:hAnsi="宋体" w:cs="宋体"/>
          <w:szCs w:val="28"/>
        </w:rPr>
      </w:pPr>
      <w:r>
        <w:rPr>
          <w:rFonts w:hint="eastAsia" w:ascii="宋体" w:hAnsi="宋体" w:cs="宋体"/>
          <w:szCs w:val="28"/>
        </w:rPr>
        <w:t>服务商承诺在中标后</w:t>
      </w:r>
      <w:r>
        <w:rPr>
          <w:rFonts w:hint="eastAsia" w:ascii="宋体" w:hAnsi="宋体" w:cs="宋体"/>
          <w:szCs w:val="28"/>
          <w:lang w:val="en-US" w:eastAsia="zh-CN"/>
        </w:rPr>
        <w:t>5</w:t>
      </w:r>
      <w:r>
        <w:rPr>
          <w:rFonts w:hint="eastAsia" w:ascii="宋体" w:hAnsi="宋体" w:cs="宋体"/>
          <w:szCs w:val="28"/>
        </w:rPr>
        <w:t>个工作日内完成</w:t>
      </w:r>
      <w:r>
        <w:rPr>
          <w:rFonts w:hint="eastAsia" w:ascii="宋体" w:hAnsi="宋体" w:cs="宋体"/>
          <w:szCs w:val="28"/>
          <w:lang w:eastAsia="zh-CN"/>
        </w:rPr>
        <w:t>部署</w:t>
      </w:r>
      <w:r>
        <w:rPr>
          <w:rFonts w:hint="eastAsia" w:ascii="宋体" w:hAnsi="宋体" w:cs="宋体"/>
          <w:szCs w:val="28"/>
        </w:rPr>
        <w:t>。</w:t>
      </w:r>
    </w:p>
    <w:p w14:paraId="19A88C4E">
      <w:pPr>
        <w:tabs>
          <w:tab w:val="left" w:pos="780"/>
        </w:tabs>
        <w:ind w:firstLine="0" w:firstLineChars="0"/>
        <w:rPr>
          <w:rFonts w:ascii="仿宋_GB2312" w:hAnsi="Calibri" w:eastAsia="仿宋_GB2312" w:cs="Times New Roman"/>
          <w:sz w:val="30"/>
          <w:szCs w:val="30"/>
        </w:rPr>
      </w:pPr>
    </w:p>
    <w:p w14:paraId="721B462E">
      <w:pPr>
        <w:numPr>
          <w:ilvl w:val="0"/>
          <w:numId w:val="2"/>
        </w:numPr>
        <w:tabs>
          <w:tab w:val="left" w:pos="630"/>
        </w:tabs>
        <w:spacing w:line="560" w:lineRule="exact"/>
        <w:ind w:firstLineChars="0"/>
        <w:rPr>
          <w:rFonts w:ascii="仿宋_GB2312" w:eastAsia="仿宋_GB2312"/>
          <w:b/>
          <w:color w:val="000000" w:themeColor="text1"/>
          <w:sz w:val="30"/>
          <w:szCs w:val="30"/>
          <w14:textFill>
            <w14:solidFill>
              <w14:schemeClr w14:val="tx1"/>
            </w14:solidFill>
          </w14:textFill>
        </w:rPr>
      </w:pPr>
      <w:bookmarkStart w:id="0" w:name="_Hlk166582180"/>
      <w:r>
        <w:rPr>
          <w:rFonts w:hint="eastAsia" w:ascii="仿宋_GB2312" w:eastAsia="仿宋_GB2312"/>
          <w:b/>
          <w:color w:val="000000" w:themeColor="text1"/>
          <w:sz w:val="30"/>
          <w:szCs w:val="30"/>
          <w14:textFill>
            <w14:solidFill>
              <w14:schemeClr w14:val="tx1"/>
            </w14:solidFill>
          </w14:textFill>
        </w:rPr>
        <w:t>服务期限</w:t>
      </w:r>
    </w:p>
    <w:p w14:paraId="54E75FF7">
      <w:pPr>
        <w:tabs>
          <w:tab w:val="left" w:pos="630"/>
        </w:tabs>
        <w:ind w:firstLine="560"/>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本项目服务期限自合同签订之日起期限三年，采取一次招标三年沿用、分三个年度分别签订合同的方式实施。</w:t>
      </w:r>
    </w:p>
    <w:p w14:paraId="4B597BC5">
      <w:pPr>
        <w:tabs>
          <w:tab w:val="left" w:pos="630"/>
        </w:tabs>
        <w:ind w:firstLine="560"/>
        <w:rPr>
          <w:rFonts w:ascii="宋体" w:hAnsi="宋体" w:cs="宋体"/>
          <w:color w:val="000000" w:themeColor="text1"/>
          <w:szCs w:val="28"/>
          <w14:textFill>
            <w14:solidFill>
              <w14:schemeClr w14:val="tx1"/>
            </w14:solidFill>
          </w14:textFill>
        </w:rPr>
      </w:pPr>
    </w:p>
    <w:p w14:paraId="42EE03C4">
      <w:pPr>
        <w:numPr>
          <w:ilvl w:val="0"/>
          <w:numId w:val="2"/>
        </w:numPr>
        <w:tabs>
          <w:tab w:val="left" w:pos="630"/>
        </w:tabs>
        <w:spacing w:line="560" w:lineRule="exact"/>
        <w:ind w:firstLineChars="0"/>
        <w:rPr>
          <w:rFonts w:ascii="仿宋_GB2312" w:eastAsia="仿宋_GB2312"/>
          <w:b/>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人员要求</w:t>
      </w:r>
    </w:p>
    <w:p w14:paraId="40134FD1">
      <w:pPr>
        <w:tabs>
          <w:tab w:val="left" w:pos="630"/>
        </w:tabs>
        <w:spacing w:line="240" w:lineRule="auto"/>
        <w:ind w:firstLine="560"/>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服务商应充分考虑本项目的复杂程度及实施要求，合理配置项目实施团队组织方案，包括完整的组织结构、项目经理、技术负责人、组成人员及分工职责。</w:t>
      </w:r>
    </w:p>
    <w:p w14:paraId="3FE9E80E">
      <w:pPr>
        <w:tabs>
          <w:tab w:val="left" w:pos="630"/>
        </w:tabs>
        <w:spacing w:line="240" w:lineRule="auto"/>
        <w:ind w:firstLine="560"/>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1、项目经理具有本科以上学历、具备信息系统项目管理师（高级） 证书，具有</w:t>
      </w:r>
      <w:r>
        <w:rPr>
          <w:rFonts w:ascii="宋体" w:hAnsi="宋体" w:cs="宋体"/>
          <w:color w:val="000000" w:themeColor="text1"/>
          <w:szCs w:val="28"/>
          <w14:textFill>
            <w14:solidFill>
              <w14:schemeClr w14:val="tx1"/>
            </w14:solidFill>
          </w14:textFill>
        </w:rPr>
        <w:t>3</w:t>
      </w:r>
      <w:r>
        <w:rPr>
          <w:rFonts w:hint="eastAsia" w:ascii="宋体" w:hAnsi="宋体" w:cs="宋体"/>
          <w:color w:val="000000" w:themeColor="text1"/>
          <w:szCs w:val="28"/>
          <w14:textFill>
            <w14:solidFill>
              <w14:schemeClr w14:val="tx1"/>
            </w14:solidFill>
          </w14:textFill>
        </w:rPr>
        <w:t>年以上信息化项目管理经验优先考虑。</w:t>
      </w:r>
    </w:p>
    <w:p w14:paraId="0B7846D8">
      <w:pPr>
        <w:tabs>
          <w:tab w:val="left" w:pos="630"/>
        </w:tabs>
        <w:spacing w:line="240" w:lineRule="auto"/>
        <w:ind w:firstLine="560"/>
        <w:rPr>
          <w:rFonts w:ascii="宋体" w:hAnsi="宋体" w:cs="宋体"/>
          <w:color w:val="000000" w:themeColor="text1"/>
          <w:szCs w:val="28"/>
          <w14:textFill>
            <w14:solidFill>
              <w14:schemeClr w14:val="tx1"/>
            </w14:solidFill>
          </w14:textFill>
        </w:rPr>
      </w:pPr>
      <w:r>
        <w:rPr>
          <w:rFonts w:ascii="宋体" w:hAnsi="宋体" w:cs="宋体"/>
          <w:color w:val="000000" w:themeColor="text1"/>
          <w:szCs w:val="28"/>
          <w14:textFill>
            <w14:solidFill>
              <w14:schemeClr w14:val="tx1"/>
            </w14:solidFill>
          </w14:textFill>
        </w:rPr>
        <w:t>2</w:t>
      </w:r>
      <w:r>
        <w:rPr>
          <w:rFonts w:hint="eastAsia" w:ascii="宋体" w:hAnsi="宋体" w:cs="宋体"/>
          <w:color w:val="000000" w:themeColor="text1"/>
          <w:szCs w:val="28"/>
          <w14:textFill>
            <w14:solidFill>
              <w14:schemeClr w14:val="tx1"/>
            </w14:solidFill>
          </w14:textFill>
        </w:rPr>
        <w:t>、项目团队成员除项目经理外，相关团队人员具备计算机技术与软件专业技术资格网络工程师（中级）证书、通信专业技术人员职业资格传输与接入（中级）或以上证书、注册信息安全工程师证书（CISE）证书者优先考虑。</w:t>
      </w:r>
    </w:p>
    <w:bookmarkEnd w:id="0"/>
    <w:p w14:paraId="20427335">
      <w:pPr>
        <w:numPr>
          <w:ilvl w:val="0"/>
          <w:numId w:val="2"/>
        </w:numPr>
        <w:tabs>
          <w:tab w:val="left" w:pos="630"/>
        </w:tabs>
        <w:spacing w:line="560" w:lineRule="exact"/>
        <w:ind w:firstLineChars="0"/>
        <w:rPr>
          <w:rFonts w:ascii="仿宋_GB2312" w:eastAsia="仿宋_GB2312"/>
          <w:b/>
          <w:sz w:val="30"/>
          <w:szCs w:val="30"/>
        </w:rPr>
      </w:pPr>
      <w:r>
        <w:rPr>
          <w:rFonts w:hint="eastAsia" w:ascii="仿宋_GB2312" w:eastAsia="仿宋_GB2312"/>
          <w:b/>
          <w:sz w:val="30"/>
          <w:szCs w:val="30"/>
        </w:rPr>
        <w:t>供应商能力要求</w:t>
      </w:r>
    </w:p>
    <w:p w14:paraId="6F388C9E">
      <w:pPr>
        <w:pStyle w:val="10"/>
      </w:pPr>
      <w:r>
        <w:rPr>
          <w:rFonts w:hint="eastAsia"/>
        </w:rPr>
        <w:t>服务商具有有效期内的ISO9001质量管理体系认证证书、ISO20000信息技术服务管理体系认证证书、ISO27001信息安全管理体系认证证书优先考虑。</w:t>
      </w:r>
    </w:p>
    <w:p w14:paraId="67778554">
      <w:pPr>
        <w:pStyle w:val="10"/>
      </w:pPr>
      <w:r>
        <w:rPr>
          <w:rFonts w:hint="eastAsia"/>
        </w:rPr>
        <w:t>为后续线路扩容考虑，服务商拥有IPv4地址数（中国内地（大陆）地区）不少于5个A，拥有IPv6地址数不少于5000块/32优先考虑。需提供证明，以中国互联网络信息中心（CNNIC）出具的《中国互联网络发展状况统计报告》为准。</w:t>
      </w:r>
    </w:p>
    <w:p w14:paraId="6F42D223">
      <w:pPr>
        <w:pStyle w:val="10"/>
      </w:pPr>
      <w:r>
        <w:rPr>
          <w:rFonts w:hint="eastAsia"/>
        </w:rPr>
        <w:t>服务商具有独立的高带宽国际出口3.5T以上优先考虑，需提供证明，以中国互联网络信息中心（CNNIC）出具的《中国互联网络发展状况统计报告》为准。</w:t>
      </w:r>
    </w:p>
    <w:p w14:paraId="018033FC">
      <w:pPr>
        <w:numPr>
          <w:ilvl w:val="0"/>
          <w:numId w:val="2"/>
        </w:numPr>
        <w:tabs>
          <w:tab w:val="left" w:pos="630"/>
        </w:tabs>
        <w:spacing w:line="560" w:lineRule="exact"/>
        <w:ind w:firstLineChars="0"/>
        <w:rPr>
          <w:rFonts w:ascii="仿宋_GB2312" w:eastAsia="仿宋_GB2312"/>
          <w:b/>
          <w:sz w:val="30"/>
          <w:szCs w:val="30"/>
        </w:rPr>
      </w:pPr>
      <w:r>
        <w:rPr>
          <w:rFonts w:hint="eastAsia" w:ascii="仿宋_GB2312" w:eastAsia="仿宋_GB2312"/>
          <w:b/>
          <w:sz w:val="30"/>
          <w:szCs w:val="30"/>
        </w:rPr>
        <w:t>验收要求</w:t>
      </w:r>
    </w:p>
    <w:p w14:paraId="2E57079D">
      <w:pPr>
        <w:tabs>
          <w:tab w:val="left" w:pos="630"/>
          <w:tab w:val="left" w:pos="930"/>
        </w:tabs>
        <w:ind w:firstLine="560"/>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招标方根据合同约定对投标方提供的服务进行验收，招标方收</w:t>
      </w:r>
      <w:r>
        <w:rPr>
          <w:rFonts w:hint="eastAsia" w:ascii="宋体" w:hAnsi="宋体" w:cs="宋体"/>
          <w:szCs w:val="28"/>
        </w:rPr>
        <w:t>取投标方项目过程中形成的运维服务资料、知识成果、相</w:t>
      </w:r>
      <w:r>
        <w:rPr>
          <w:rFonts w:hint="eastAsia" w:ascii="宋体" w:hAnsi="宋体" w:cs="宋体"/>
          <w:color w:val="000000" w:themeColor="text1"/>
          <w:szCs w:val="28"/>
          <w14:textFill>
            <w14:solidFill>
              <w14:schemeClr w14:val="tx1"/>
            </w14:solidFill>
          </w14:textFill>
        </w:rPr>
        <w:t>关报告并在验收单上签字确认，并按合同约定与投标方结清款项。</w:t>
      </w:r>
    </w:p>
    <w:p w14:paraId="790C48A7">
      <w:pPr>
        <w:numPr>
          <w:numId w:val="0"/>
        </w:numPr>
        <w:ind w:leftChars="0"/>
        <w:rPr>
          <w:rFonts w:ascii="宋体" w:hAnsi="宋体" w:cs="宋体"/>
          <w:szCs w:val="28"/>
        </w:rPr>
      </w:pPr>
      <w:bookmarkStart w:id="1" w:name="_GoBack"/>
      <w:bookmarkEnd w:id="1"/>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843"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F987F">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8FF6B">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54B6">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68E7C">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8F09">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E81B5">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0AD1F"/>
    <w:multiLevelType w:val="singleLevel"/>
    <w:tmpl w:val="9080AD1F"/>
    <w:lvl w:ilvl="0" w:tentative="0">
      <w:start w:val="1"/>
      <w:numFmt w:val="decimal"/>
      <w:pStyle w:val="10"/>
      <w:lvlText w:val="(%1)"/>
      <w:lvlJc w:val="left"/>
      <w:pPr>
        <w:ind w:left="425" w:hanging="425"/>
      </w:pPr>
      <w:rPr>
        <w:rFonts w:hint="default"/>
      </w:rPr>
    </w:lvl>
  </w:abstractNum>
  <w:abstractNum w:abstractNumId="1">
    <w:nsid w:val="A0179648"/>
    <w:multiLevelType w:val="singleLevel"/>
    <w:tmpl w:val="A0179648"/>
    <w:lvl w:ilvl="0" w:tentative="0">
      <w:start w:val="1"/>
      <w:numFmt w:val="decimal"/>
      <w:lvlText w:val="(%1)"/>
      <w:lvlJc w:val="left"/>
      <w:pPr>
        <w:ind w:left="425" w:hanging="425"/>
      </w:pPr>
      <w:rPr>
        <w:rFonts w:hint="default"/>
      </w:rPr>
    </w:lvl>
  </w:abstractNum>
  <w:abstractNum w:abstractNumId="2">
    <w:nsid w:val="CF31B28A"/>
    <w:multiLevelType w:val="singleLevel"/>
    <w:tmpl w:val="CF31B28A"/>
    <w:lvl w:ilvl="0" w:tentative="0">
      <w:start w:val="1"/>
      <w:numFmt w:val="decimal"/>
      <w:lvlText w:val="%1."/>
      <w:lvlJc w:val="left"/>
      <w:pPr>
        <w:ind w:left="425" w:hanging="425"/>
      </w:pPr>
      <w:rPr>
        <w:rFonts w:hint="default"/>
      </w:rPr>
    </w:lvl>
  </w:abstractNum>
  <w:abstractNum w:abstractNumId="3">
    <w:nsid w:val="F5BCEB5A"/>
    <w:multiLevelType w:val="singleLevel"/>
    <w:tmpl w:val="F5BCEB5A"/>
    <w:lvl w:ilvl="0" w:tentative="0">
      <w:start w:val="1"/>
      <w:numFmt w:val="decimal"/>
      <w:lvlText w:val="%1."/>
      <w:lvlJc w:val="left"/>
      <w:pPr>
        <w:ind w:left="425" w:hanging="425"/>
      </w:pPr>
      <w:rPr>
        <w:rFonts w:hint="default"/>
      </w:rPr>
    </w:lvl>
  </w:abstractNum>
  <w:abstractNum w:abstractNumId="4">
    <w:nsid w:val="06DF3F37"/>
    <w:multiLevelType w:val="multilevel"/>
    <w:tmpl w:val="06DF3F37"/>
    <w:lvl w:ilvl="0" w:tentative="0">
      <w:start w:val="1"/>
      <w:numFmt w:val="chineseCountingThousand"/>
      <w:lvlText w:val="%1、"/>
      <w:lvlJc w:val="left"/>
      <w:pPr>
        <w:tabs>
          <w:tab w:val="left" w:pos="930"/>
        </w:tabs>
        <w:ind w:left="720" w:hanging="720"/>
      </w:pPr>
      <w:rPr>
        <w:rFonts w:hint="eastAsia"/>
        <w:color w:val="auto"/>
        <w:sz w:val="30"/>
      </w:rPr>
    </w:lvl>
    <w:lvl w:ilvl="1" w:tentative="0">
      <w:start w:val="1"/>
      <w:numFmt w:val="lowerLetter"/>
      <w:lvlText w:val="%2)"/>
      <w:lvlJc w:val="left"/>
      <w:pPr>
        <w:tabs>
          <w:tab w:val="left" w:pos="1050"/>
        </w:tabs>
        <w:ind w:left="840" w:hanging="420"/>
      </w:pPr>
    </w:lvl>
    <w:lvl w:ilvl="2" w:tentative="0">
      <w:start w:val="1"/>
      <w:numFmt w:val="lowerRoman"/>
      <w:lvlText w:val="%3."/>
      <w:lvlJc w:val="right"/>
      <w:pPr>
        <w:tabs>
          <w:tab w:val="left" w:pos="1470"/>
        </w:tabs>
        <w:ind w:left="1260" w:hanging="420"/>
      </w:pPr>
    </w:lvl>
    <w:lvl w:ilvl="3" w:tentative="0">
      <w:start w:val="1"/>
      <w:numFmt w:val="decimal"/>
      <w:lvlText w:val="%4."/>
      <w:lvlJc w:val="left"/>
      <w:pPr>
        <w:tabs>
          <w:tab w:val="left" w:pos="1890"/>
        </w:tabs>
        <w:ind w:left="1680" w:hanging="420"/>
      </w:pPr>
    </w:lvl>
    <w:lvl w:ilvl="4" w:tentative="0">
      <w:start w:val="1"/>
      <w:numFmt w:val="lowerLetter"/>
      <w:lvlText w:val="%5)"/>
      <w:lvlJc w:val="left"/>
      <w:pPr>
        <w:tabs>
          <w:tab w:val="left" w:pos="2310"/>
        </w:tabs>
        <w:ind w:left="2100" w:hanging="420"/>
      </w:pPr>
    </w:lvl>
    <w:lvl w:ilvl="5" w:tentative="0">
      <w:start w:val="1"/>
      <w:numFmt w:val="lowerRoman"/>
      <w:lvlText w:val="%6."/>
      <w:lvlJc w:val="right"/>
      <w:pPr>
        <w:tabs>
          <w:tab w:val="left" w:pos="2730"/>
        </w:tabs>
        <w:ind w:left="2520" w:hanging="420"/>
      </w:pPr>
    </w:lvl>
    <w:lvl w:ilvl="6" w:tentative="0">
      <w:start w:val="1"/>
      <w:numFmt w:val="decimal"/>
      <w:lvlText w:val="%7."/>
      <w:lvlJc w:val="left"/>
      <w:pPr>
        <w:tabs>
          <w:tab w:val="left" w:pos="3150"/>
        </w:tabs>
        <w:ind w:left="2940" w:hanging="420"/>
      </w:pPr>
    </w:lvl>
    <w:lvl w:ilvl="7" w:tentative="0">
      <w:start w:val="1"/>
      <w:numFmt w:val="lowerLetter"/>
      <w:lvlText w:val="%8)"/>
      <w:lvlJc w:val="left"/>
      <w:pPr>
        <w:tabs>
          <w:tab w:val="left" w:pos="3570"/>
        </w:tabs>
        <w:ind w:left="3360" w:hanging="420"/>
      </w:pPr>
    </w:lvl>
    <w:lvl w:ilvl="8" w:tentative="0">
      <w:start w:val="1"/>
      <w:numFmt w:val="lowerRoman"/>
      <w:lvlText w:val="%9."/>
      <w:lvlJc w:val="right"/>
      <w:pPr>
        <w:tabs>
          <w:tab w:val="left" w:pos="3990"/>
        </w:tabs>
        <w:ind w:left="3780" w:hanging="420"/>
      </w:pPr>
    </w:lvl>
  </w:abstractNum>
  <w:abstractNum w:abstractNumId="5">
    <w:nsid w:val="6BDCBDDE"/>
    <w:multiLevelType w:val="singleLevel"/>
    <w:tmpl w:val="6BDCBDDE"/>
    <w:lvl w:ilvl="0" w:tentative="0">
      <w:start w:val="1"/>
      <w:numFmt w:val="decimal"/>
      <w:lvlText w:val="%1."/>
      <w:lvlJc w:val="left"/>
      <w:pPr>
        <w:ind w:left="425" w:hanging="425"/>
      </w:pPr>
      <w:rPr>
        <w:rFonts w:hint="default"/>
      </w:r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4ODQwNThiYTg4YTBlNDhkZDRmNGNiNWM5NWE1YzAifQ=="/>
  </w:docVars>
  <w:rsids>
    <w:rsidRoot w:val="00475E73"/>
    <w:rsid w:val="00005D68"/>
    <w:rsid w:val="000070EF"/>
    <w:rsid w:val="000C2568"/>
    <w:rsid w:val="000D40E5"/>
    <w:rsid w:val="000E1AB0"/>
    <w:rsid w:val="0012707F"/>
    <w:rsid w:val="00127696"/>
    <w:rsid w:val="001506F2"/>
    <w:rsid w:val="001E7A41"/>
    <w:rsid w:val="00271FE5"/>
    <w:rsid w:val="00276D20"/>
    <w:rsid w:val="002D473D"/>
    <w:rsid w:val="002F0655"/>
    <w:rsid w:val="00343C31"/>
    <w:rsid w:val="003A3C81"/>
    <w:rsid w:val="003D1E49"/>
    <w:rsid w:val="003E0569"/>
    <w:rsid w:val="0041296A"/>
    <w:rsid w:val="004568DA"/>
    <w:rsid w:val="0047308C"/>
    <w:rsid w:val="00475E73"/>
    <w:rsid w:val="0047769A"/>
    <w:rsid w:val="004871A7"/>
    <w:rsid w:val="004F42B2"/>
    <w:rsid w:val="00547B8D"/>
    <w:rsid w:val="00595AEE"/>
    <w:rsid w:val="005A2B32"/>
    <w:rsid w:val="005B2054"/>
    <w:rsid w:val="005C2768"/>
    <w:rsid w:val="00627022"/>
    <w:rsid w:val="00640586"/>
    <w:rsid w:val="0065612C"/>
    <w:rsid w:val="006F7848"/>
    <w:rsid w:val="00707300"/>
    <w:rsid w:val="00726F4D"/>
    <w:rsid w:val="00777EC6"/>
    <w:rsid w:val="007C033D"/>
    <w:rsid w:val="007C226C"/>
    <w:rsid w:val="007F66E2"/>
    <w:rsid w:val="00820C2C"/>
    <w:rsid w:val="00895B95"/>
    <w:rsid w:val="008E0881"/>
    <w:rsid w:val="00900ACF"/>
    <w:rsid w:val="00947BB1"/>
    <w:rsid w:val="00952E92"/>
    <w:rsid w:val="00984B6A"/>
    <w:rsid w:val="009A4875"/>
    <w:rsid w:val="00A913E7"/>
    <w:rsid w:val="00AB0C9C"/>
    <w:rsid w:val="00BA765E"/>
    <w:rsid w:val="00C25AC9"/>
    <w:rsid w:val="00C960BC"/>
    <w:rsid w:val="00CB5054"/>
    <w:rsid w:val="00D03574"/>
    <w:rsid w:val="00D12FE3"/>
    <w:rsid w:val="00D5737E"/>
    <w:rsid w:val="00DC285E"/>
    <w:rsid w:val="00E44528"/>
    <w:rsid w:val="00E446E2"/>
    <w:rsid w:val="00E47FF8"/>
    <w:rsid w:val="00E60B4C"/>
    <w:rsid w:val="00E64AB8"/>
    <w:rsid w:val="00E71807"/>
    <w:rsid w:val="00E82B09"/>
    <w:rsid w:val="00EA5138"/>
    <w:rsid w:val="00EB7C13"/>
    <w:rsid w:val="00EC6931"/>
    <w:rsid w:val="00F350AE"/>
    <w:rsid w:val="00F722DB"/>
    <w:rsid w:val="00F779EC"/>
    <w:rsid w:val="00F8790B"/>
    <w:rsid w:val="00FD42C8"/>
    <w:rsid w:val="00FF43E5"/>
    <w:rsid w:val="0C210DC0"/>
    <w:rsid w:val="0E1C3800"/>
    <w:rsid w:val="11EC3A38"/>
    <w:rsid w:val="12B67724"/>
    <w:rsid w:val="157A4C95"/>
    <w:rsid w:val="15B079D3"/>
    <w:rsid w:val="17C32D17"/>
    <w:rsid w:val="18722EE9"/>
    <w:rsid w:val="1EE73F05"/>
    <w:rsid w:val="20417CC9"/>
    <w:rsid w:val="27475541"/>
    <w:rsid w:val="30C220DC"/>
    <w:rsid w:val="34CE1F94"/>
    <w:rsid w:val="392D71E3"/>
    <w:rsid w:val="3A47284F"/>
    <w:rsid w:val="3C844108"/>
    <w:rsid w:val="3D4105F3"/>
    <w:rsid w:val="3D7F5F69"/>
    <w:rsid w:val="3E6B7393"/>
    <w:rsid w:val="48091404"/>
    <w:rsid w:val="486C73A5"/>
    <w:rsid w:val="48B00D70"/>
    <w:rsid w:val="4A4F4589"/>
    <w:rsid w:val="4F9926C4"/>
    <w:rsid w:val="56D46542"/>
    <w:rsid w:val="589F4221"/>
    <w:rsid w:val="5A3D61AC"/>
    <w:rsid w:val="5DDE1A54"/>
    <w:rsid w:val="5E473A9D"/>
    <w:rsid w:val="5FB213EA"/>
    <w:rsid w:val="5FCD6CE5"/>
    <w:rsid w:val="64481E09"/>
    <w:rsid w:val="65B37133"/>
    <w:rsid w:val="6A3D2896"/>
    <w:rsid w:val="6BE74A69"/>
    <w:rsid w:val="6D3276C6"/>
    <w:rsid w:val="6DA5AF37"/>
    <w:rsid w:val="75E7084F"/>
    <w:rsid w:val="75FD56E2"/>
    <w:rsid w:val="77601CBF"/>
    <w:rsid w:val="78310581"/>
    <w:rsid w:val="793E7B8B"/>
    <w:rsid w:val="79791F2A"/>
    <w:rsid w:val="7D8D2C1B"/>
    <w:rsid w:val="7DA95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723" w:firstLineChars="200"/>
      <w:jc w:val="both"/>
    </w:pPr>
    <w:rPr>
      <w:rFonts w:eastAsia="宋体" w:asciiTheme="minorHAnsi" w:hAnsiTheme="minorHAnsi" w:cstheme="minorBidi"/>
      <w:kern w:val="2"/>
      <w:sz w:val="28"/>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1"/>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character" w:styleId="9">
    <w:name w:val="annotation reference"/>
    <w:basedOn w:val="8"/>
    <w:autoRedefine/>
    <w:qFormat/>
    <w:uiPriority w:val="0"/>
    <w:rPr>
      <w:sz w:val="21"/>
      <w:szCs w:val="21"/>
    </w:rPr>
  </w:style>
  <w:style w:type="paragraph" w:styleId="10">
    <w:name w:val="List Paragraph"/>
    <w:basedOn w:val="1"/>
    <w:autoRedefine/>
    <w:qFormat/>
    <w:uiPriority w:val="34"/>
    <w:pPr>
      <w:numPr>
        <w:ilvl w:val="0"/>
        <w:numId w:val="1"/>
      </w:numPr>
      <w:ind w:firstLine="0" w:firstLineChars="0"/>
    </w:pPr>
    <w:rPr>
      <w:rFonts w:ascii="宋体" w:hAnsi="宋体" w:cs="宋体"/>
      <w:color w:val="000000" w:themeColor="text1"/>
      <w:szCs w:val="28"/>
      <w14:textFill>
        <w14:solidFill>
          <w14:schemeClr w14:val="tx1"/>
        </w14:solidFill>
      </w14:textFill>
    </w:rPr>
  </w:style>
  <w:style w:type="character" w:customStyle="1" w:styleId="11">
    <w:name w:val="批注框文本 字符"/>
    <w:basedOn w:val="8"/>
    <w:link w:val="3"/>
    <w:autoRedefine/>
    <w:qFormat/>
    <w:uiPriority w:val="0"/>
    <w:rPr>
      <w:kern w:val="2"/>
      <w:sz w:val="18"/>
      <w:szCs w:val="18"/>
    </w:rPr>
  </w:style>
  <w:style w:type="character" w:customStyle="1" w:styleId="12">
    <w:name w:val="页眉 字符"/>
    <w:basedOn w:val="8"/>
    <w:link w:val="5"/>
    <w:autoRedefine/>
    <w:qFormat/>
    <w:uiPriority w:val="0"/>
    <w:rPr>
      <w:kern w:val="2"/>
      <w:sz w:val="18"/>
      <w:szCs w:val="18"/>
    </w:rPr>
  </w:style>
  <w:style w:type="character" w:customStyle="1" w:styleId="13">
    <w:name w:val="页脚 字符"/>
    <w:basedOn w:val="8"/>
    <w:link w:val="4"/>
    <w:autoRedefine/>
    <w:qFormat/>
    <w:uiPriority w:val="0"/>
    <w:rPr>
      <w:kern w:val="2"/>
      <w:sz w:val="18"/>
      <w:szCs w:val="18"/>
    </w:rPr>
  </w:style>
  <w:style w:type="character" w:customStyle="1" w:styleId="14">
    <w:name w:val="批注文字 字符"/>
    <w:basedOn w:val="8"/>
    <w:link w:val="2"/>
    <w:semiHidden/>
    <w:qFormat/>
    <w:uiPriority w:val="99"/>
    <w:rPr>
      <w:kern w:val="2"/>
      <w:sz w:val="21"/>
      <w:szCs w:val="22"/>
    </w:rPr>
  </w:style>
  <w:style w:type="character" w:customStyle="1" w:styleId="15">
    <w:name w:val="批注主题 字符"/>
    <w:basedOn w:val="14"/>
    <w:link w:val="6"/>
    <w:qFormat/>
    <w:uiPriority w:val="0"/>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F858EF97-6E55-4A9D-AA6F-1F443D288A04}">
  <ds:schemaRefs/>
</ds:datastoreItem>
</file>

<file path=docProps/app.xml><?xml version="1.0" encoding="utf-8"?>
<Properties xmlns="http://schemas.openxmlformats.org/officeDocument/2006/extended-properties" xmlns:vt="http://schemas.openxmlformats.org/officeDocument/2006/docPropsVTypes">
  <Template>Normal</Template>
  <Pages>8</Pages>
  <Words>568</Words>
  <Characters>3244</Characters>
  <Lines>27</Lines>
  <Paragraphs>7</Paragraphs>
  <TotalTime>99</TotalTime>
  <ScaleCrop>false</ScaleCrop>
  <LinksUpToDate>false</LinksUpToDate>
  <CharactersWithSpaces>3805</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2025-06-14T06:26:00Z</dcterms:created>
  <dc:creator>win10</dc:creator>
  <cp:lastModifiedBy>user</cp:lastModifiedBy>
  <cp:lastPrinted>2024-05-15T04:36:00Z</cp:lastPrinted>
  <dcterms:modified xsi:type="dcterms:W3CDTF">2025-08-27T10:14:19Z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9C0F3FEB47B648BA9DFD96F7A13DBA50_13</vt:lpwstr>
  </property>
  <property fmtid="{D5CDD505-2E9C-101B-9397-08002B2CF9AE}" pid="4" name="KSOTemplateDocerSaveRecord">
    <vt:lpwstr>eyJoZGlkIjoiODUxNDU0MzdmYWExNTI0OWVjN2ZiOWIxNzAwYjczYjkiLCJ1c2VySWQiOiIyNDY5NDc3MjMifQ==</vt:lpwstr>
  </property>
</Properties>
</file>