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18BB2B">
      <w:pPr>
        <w:spacing w:line="360" w:lineRule="auto"/>
        <w:rPr>
          <w:color w:val="auto"/>
          <w:highlight w:val="none"/>
        </w:rPr>
      </w:pPr>
      <w:bookmarkStart w:id="0" w:name="_Toc63785461"/>
    </w:p>
    <w:p w14:paraId="33D0DD25">
      <w:pPr>
        <w:spacing w:line="360" w:lineRule="auto"/>
        <w:jc w:val="center"/>
        <w:rPr>
          <w:color w:val="auto"/>
          <w:highlight w:val="none"/>
        </w:rPr>
      </w:pPr>
    </w:p>
    <w:p w14:paraId="658D470C">
      <w:pPr>
        <w:spacing w:line="360" w:lineRule="auto"/>
        <w:jc w:val="center"/>
        <w:rPr>
          <w:b/>
          <w:color w:val="auto"/>
          <w:sz w:val="36"/>
          <w:szCs w:val="36"/>
          <w:highlight w:val="none"/>
        </w:rPr>
      </w:pPr>
      <w:r>
        <w:rPr>
          <w:rFonts w:hint="eastAsia"/>
          <w:b/>
          <w:color w:val="auto"/>
          <w:sz w:val="36"/>
          <w:szCs w:val="36"/>
          <w:highlight w:val="none"/>
        </w:rPr>
        <w:t>担保基金信息智能化管理平台建设项目（2025年升级改造）采购需求-包1担保基金信息智能化管理平台（2025年升级改造）</w:t>
      </w:r>
    </w:p>
    <w:p w14:paraId="77EB74B8">
      <w:pPr>
        <w:spacing w:line="360" w:lineRule="auto"/>
        <w:jc w:val="center"/>
        <w:rPr>
          <w:color w:val="auto"/>
          <w:highlight w:val="none"/>
        </w:rPr>
      </w:pPr>
    </w:p>
    <w:p w14:paraId="20F480BB">
      <w:pPr>
        <w:spacing w:line="360" w:lineRule="auto"/>
        <w:rPr>
          <w:color w:val="auto"/>
          <w:highlight w:val="none"/>
        </w:rPr>
        <w:sectPr>
          <w:footerReference r:id="rId3" w:type="default"/>
          <w:pgSz w:w="11906" w:h="16838"/>
          <w:pgMar w:top="1134" w:right="1797" w:bottom="1135" w:left="1797" w:header="340" w:footer="7" w:gutter="0"/>
          <w:pgNumType w:start="1"/>
          <w:cols w:space="720" w:num="1"/>
          <w:titlePg/>
          <w:docGrid w:type="linesAndChars" w:linePitch="326" w:charSpace="0"/>
        </w:sectPr>
      </w:pPr>
      <w:r>
        <w:rPr>
          <w:color w:val="auto"/>
          <w:highlight w:val="none"/>
        </w:rPr>
        <w:br w:type="page"/>
      </w:r>
    </w:p>
    <w:bookmarkEnd w:id="0"/>
    <w:p w14:paraId="11088378">
      <w:pPr>
        <w:pStyle w:val="2"/>
        <w:rPr>
          <w:color w:val="auto"/>
          <w:highlight w:val="none"/>
        </w:rPr>
      </w:pPr>
      <w:bookmarkStart w:id="1" w:name="_Toc47537134"/>
      <w:bookmarkEnd w:id="1"/>
      <w:bookmarkStart w:id="2" w:name="_Toc47533288"/>
      <w:bookmarkEnd w:id="2"/>
      <w:bookmarkStart w:id="3" w:name="_Toc47536676"/>
      <w:bookmarkEnd w:id="3"/>
      <w:bookmarkStart w:id="4" w:name="_Toc47537166"/>
      <w:bookmarkEnd w:id="4"/>
      <w:bookmarkStart w:id="5" w:name="_Toc47536644"/>
      <w:bookmarkEnd w:id="5"/>
      <w:bookmarkStart w:id="6" w:name="_Toc47532923"/>
      <w:bookmarkEnd w:id="6"/>
      <w:bookmarkStart w:id="7" w:name="_Toc47532891"/>
      <w:bookmarkEnd w:id="7"/>
      <w:bookmarkStart w:id="8" w:name="_Toc47539070"/>
      <w:bookmarkEnd w:id="8"/>
      <w:bookmarkStart w:id="9" w:name="_Toc47533256"/>
      <w:bookmarkEnd w:id="9"/>
      <w:bookmarkStart w:id="10" w:name="_Toc47531634"/>
      <w:bookmarkEnd w:id="10"/>
      <w:bookmarkStart w:id="11" w:name="_Toc47532255"/>
      <w:bookmarkEnd w:id="11"/>
      <w:bookmarkStart w:id="12" w:name="_Toc47536304"/>
      <w:bookmarkEnd w:id="12"/>
      <w:bookmarkStart w:id="13" w:name="_Toc47536272"/>
      <w:bookmarkEnd w:id="13"/>
      <w:bookmarkStart w:id="14" w:name="_Toc47539102"/>
      <w:bookmarkEnd w:id="14"/>
      <w:bookmarkStart w:id="15" w:name="_Toc63785503"/>
      <w:r>
        <w:rPr>
          <w:rFonts w:hint="eastAsia"/>
          <w:color w:val="auto"/>
          <w:highlight w:val="none"/>
        </w:rPr>
        <w:t>项目概况</w:t>
      </w:r>
    </w:p>
    <w:p w14:paraId="0EA8549C">
      <w:pPr>
        <w:spacing w:line="360" w:lineRule="auto"/>
        <w:ind w:firstLine="480" w:firstLineChars="200"/>
        <w:rPr>
          <w:color w:val="auto"/>
          <w:highlight w:val="none"/>
        </w:rPr>
      </w:pPr>
      <w:r>
        <w:rPr>
          <w:rFonts w:hint="eastAsia"/>
          <w:color w:val="auto"/>
          <w:highlight w:val="none"/>
        </w:rPr>
        <w:t>1、项目背景&amp;现状</w:t>
      </w:r>
    </w:p>
    <w:p w14:paraId="6AC2991F">
      <w:pPr>
        <w:spacing w:line="360" w:lineRule="auto"/>
        <w:ind w:firstLine="480" w:firstLineChars="200"/>
        <w:rPr>
          <w:color w:val="auto"/>
          <w:highlight w:val="none"/>
        </w:rPr>
      </w:pPr>
      <w:r>
        <w:rPr>
          <w:rFonts w:hint="eastAsia"/>
          <w:color w:val="auto"/>
          <w:highlight w:val="none"/>
        </w:rPr>
        <w:t>（1）项目背景</w:t>
      </w:r>
    </w:p>
    <w:p w14:paraId="467919CC">
      <w:pPr>
        <w:spacing w:line="360" w:lineRule="auto"/>
        <w:ind w:firstLine="480" w:firstLineChars="200"/>
        <w:rPr>
          <w:color w:val="auto"/>
          <w:highlight w:val="none"/>
        </w:rPr>
      </w:pPr>
      <w:r>
        <w:rPr>
          <w:rFonts w:hint="eastAsia"/>
          <w:color w:val="auto"/>
          <w:highlight w:val="none"/>
        </w:rPr>
        <w:t>上海融资担保基金按照“政策性主导、专业化运作、基金式管理”的原则搭建和运作，旨在扶持与培育中小微企业的市场化发展。为贯彻落实2022年10月《上海市促进中小企业发展条例》中“融资促进”的相关政策要求，推动政府性融资担保体系数字化升级，根据《条例》第二十八条，市、区人民政府需建立政府性融资担保体系，明确担保放大倍数原则上不低于五倍、代偿率可达5%，并强化财政资金对担保功能的优先保障。2024年市融资担保中心业务规模已达1212.56亿元，同比增长27.86%，但伴随“专精特新专项担保”单户额度提升至3000万元及浦东新区首贷、汇率避险等新建政策支持，现有系统在数据整合、风险预警及业务响应效率上亟待优化。</w:t>
      </w:r>
    </w:p>
    <w:p w14:paraId="2EDF714A">
      <w:pPr>
        <w:spacing w:line="360" w:lineRule="auto"/>
        <w:ind w:firstLine="480" w:firstLineChars="200"/>
        <w:rPr>
          <w:color w:val="auto"/>
          <w:highlight w:val="none"/>
        </w:rPr>
      </w:pPr>
      <w:r>
        <w:rPr>
          <w:rFonts w:hint="eastAsia"/>
          <w:color w:val="auto"/>
          <w:highlight w:val="none"/>
        </w:rPr>
        <w:t>（2）项目现状</w:t>
      </w:r>
    </w:p>
    <w:p w14:paraId="4D09F6FA">
      <w:pPr>
        <w:spacing w:line="360" w:lineRule="auto"/>
        <w:ind w:firstLine="480" w:firstLineChars="200"/>
        <w:rPr>
          <w:color w:val="auto"/>
          <w:highlight w:val="none"/>
        </w:rPr>
      </w:pPr>
      <w:bookmarkStart w:id="16" w:name="_Hlk210987734"/>
      <w:r>
        <w:rPr>
          <w:rFonts w:hint="eastAsia"/>
          <w:color w:val="auto"/>
          <w:highlight w:val="none"/>
        </w:rPr>
        <w:t>中心经过2017年建设、2019年以及2021年升级改造建设，共建成专题网站、大数据服务系统、担保基金信息智能化管理平台（管理中心端）、接口管理系统、电子档案系统、电子签章管理、数据分析系统、数字看板系统、担保基金信息智能化管理平台（合作机构端）及移动端十大模块，整体基于JAVA开发。在业务办理体系方面，已经初步实现业务填报、审批、管理基本业务办理，对部分业务品种实现了全流程体系化覆盖；在系统功能的配置管理方面，已实现审批流程和业务种类的灵活配置；在业务办理情况统计展示方面，已实现业务办理情况的统计分析展示功能，完善了业务数据的监控监测体系，助力用户提升处理业务的及时性和准确性；在数据共享方面，与市财政局、市公共信用信息平台、市大数据中心、市就促中心、国家担保基金、企查查、航信、银行等业务系统互联互通，形成数据交换体系，并在内部建立了数据资源共享体系，对于业务管理前期、中期和后期进行工作联动，进一步推进了工作的联动，提升了工作效率</w:t>
      </w:r>
      <w:bookmarkEnd w:id="16"/>
      <w:r>
        <w:rPr>
          <w:rFonts w:hint="eastAsia"/>
          <w:color w:val="auto"/>
          <w:highlight w:val="none"/>
        </w:rPr>
        <w:t>。</w:t>
      </w:r>
    </w:p>
    <w:p w14:paraId="5B1283D6">
      <w:pPr>
        <w:spacing w:line="360" w:lineRule="auto"/>
        <w:ind w:firstLine="480" w:firstLineChars="200"/>
        <w:rPr>
          <w:color w:val="auto"/>
          <w:highlight w:val="none"/>
        </w:rPr>
      </w:pPr>
      <w:r>
        <w:rPr>
          <w:rFonts w:hint="eastAsia"/>
          <w:color w:val="auto"/>
          <w:highlight w:val="none"/>
        </w:rPr>
        <w:t>2、是否按XC要求建设：是。</w:t>
      </w:r>
    </w:p>
    <w:p w14:paraId="7058971C">
      <w:pPr>
        <w:pStyle w:val="2"/>
        <w:rPr>
          <w:color w:val="auto"/>
          <w:highlight w:val="none"/>
        </w:rPr>
      </w:pPr>
      <w:r>
        <w:rPr>
          <w:rFonts w:hint="eastAsia"/>
          <w:color w:val="auto"/>
          <w:highlight w:val="none"/>
        </w:rPr>
        <w:t>建设目标</w:t>
      </w:r>
    </w:p>
    <w:p w14:paraId="11A9FC5E">
      <w:pPr>
        <w:pStyle w:val="3"/>
        <w:rPr>
          <w:color w:val="auto"/>
          <w:highlight w:val="none"/>
        </w:rPr>
      </w:pPr>
      <w:r>
        <w:rPr>
          <w:rFonts w:hint="eastAsia"/>
          <w:color w:val="auto"/>
          <w:highlight w:val="none"/>
        </w:rPr>
        <w:t>建设目标</w:t>
      </w:r>
    </w:p>
    <w:p w14:paraId="47C09D63">
      <w:pPr>
        <w:spacing w:line="360" w:lineRule="auto"/>
        <w:ind w:firstLine="480" w:firstLineChars="200"/>
        <w:rPr>
          <w:color w:val="auto"/>
          <w:highlight w:val="none"/>
        </w:rPr>
      </w:pPr>
      <w:r>
        <w:rPr>
          <w:rFonts w:hint="eastAsia"/>
          <w:color w:val="auto"/>
          <w:highlight w:val="none"/>
        </w:rPr>
        <w:t>本项目旨在构建安全可靠、智能高效、生态协同的现代化融资担保数字化平台。包1 的核心目标包括：构建国产化全链路数据管理体系，完成全栈XC替代，确保系统安全可控，支撑XC环境迁移运行。打造全流程数字化担保平台，通过移动适配、规则引擎重构、轻应用建设及流程闭环打通，实现业务在线化、风控智能化、管理精细化、服务协同化，提升服务效率与风控能力。建立统一集成管理模块，整合现有应用系统，实现单点登录与统一权限等管理，提升工作效率。构建智能运营模块，实现信息化资产全生命周期电子化管控与智能运维，优化资源、降本增效。</w:t>
      </w:r>
    </w:p>
    <w:p w14:paraId="644E3F4A">
      <w:pPr>
        <w:pStyle w:val="3"/>
        <w:rPr>
          <w:color w:val="auto"/>
          <w:highlight w:val="none"/>
        </w:rPr>
      </w:pPr>
      <w:r>
        <w:rPr>
          <w:rFonts w:hint="eastAsia"/>
          <w:color w:val="auto"/>
          <w:highlight w:val="none"/>
        </w:rPr>
        <w:t>拟实现的绩效目标</w:t>
      </w:r>
    </w:p>
    <w:p w14:paraId="186F02A9">
      <w:pPr>
        <w:spacing w:line="360" w:lineRule="auto"/>
        <w:ind w:firstLine="480" w:firstLineChars="200"/>
        <w:rPr>
          <w:color w:val="auto"/>
          <w:highlight w:val="none"/>
        </w:rPr>
      </w:pPr>
      <w:bookmarkStart w:id="17" w:name="_Hlk209006709"/>
      <w:r>
        <w:rPr>
          <w:rFonts w:hint="eastAsia"/>
          <w:color w:val="auto"/>
          <w:highlight w:val="none"/>
        </w:rPr>
        <w:t>以下为项目整体绩效指标（含包1及包2总体建设内容），最终指标以上级信息化主管部门要求为准。</w:t>
      </w:r>
      <w:bookmarkEnd w:id="17"/>
    </w:p>
    <w:tbl>
      <w:tblPr>
        <w:tblStyle w:val="11"/>
        <w:tblW w:w="0" w:type="auto"/>
        <w:tblInd w:w="113" w:type="dxa"/>
        <w:tblLayout w:type="autofit"/>
        <w:tblCellMar>
          <w:top w:w="0" w:type="dxa"/>
          <w:left w:w="108" w:type="dxa"/>
          <w:bottom w:w="0" w:type="dxa"/>
          <w:right w:w="108" w:type="dxa"/>
        </w:tblCellMar>
      </w:tblPr>
      <w:tblGrid>
        <w:gridCol w:w="1129"/>
        <w:gridCol w:w="1123"/>
        <w:gridCol w:w="931"/>
        <w:gridCol w:w="1244"/>
        <w:gridCol w:w="2503"/>
        <w:gridCol w:w="1485"/>
      </w:tblGrid>
      <w:tr w14:paraId="77226E02">
        <w:tblPrEx>
          <w:tblCellMar>
            <w:top w:w="0" w:type="dxa"/>
            <w:left w:w="108" w:type="dxa"/>
            <w:bottom w:w="0" w:type="dxa"/>
            <w:right w:w="108" w:type="dxa"/>
          </w:tblCellMar>
        </w:tblPrEx>
        <w:trPr>
          <w:trHeight w:val="326" w:hRule="atLeast"/>
          <w:tblHeader/>
        </w:trPr>
        <w:tc>
          <w:tcPr>
            <w:tcW w:w="1129" w:type="dxa"/>
            <w:vMerge w:val="restart"/>
            <w:tcBorders>
              <w:top w:val="single" w:color="auto" w:sz="4" w:space="0"/>
              <w:left w:val="single" w:color="auto" w:sz="4" w:space="0"/>
              <w:bottom w:val="single" w:color="auto" w:sz="4" w:space="0"/>
              <w:right w:val="single" w:color="auto" w:sz="4" w:space="0"/>
            </w:tcBorders>
            <w:vAlign w:val="center"/>
          </w:tcPr>
          <w:p w14:paraId="1D6F2F56">
            <w:pPr>
              <w:widowControl/>
              <w:jc w:val="center"/>
              <w:rPr>
                <w:rFonts w:cs="宋体"/>
                <w:b/>
                <w:bCs/>
                <w:color w:val="auto"/>
                <w:kern w:val="0"/>
                <w:highlight w:val="none"/>
              </w:rPr>
            </w:pPr>
            <w:r>
              <w:rPr>
                <w:rFonts w:hint="eastAsia" w:cs="宋体"/>
                <w:b/>
                <w:bCs/>
                <w:color w:val="auto"/>
                <w:kern w:val="0"/>
                <w:highlight w:val="none"/>
              </w:rPr>
              <w:t>指标类型</w:t>
            </w:r>
          </w:p>
        </w:tc>
        <w:tc>
          <w:tcPr>
            <w:tcW w:w="1123" w:type="dxa"/>
            <w:vMerge w:val="restart"/>
            <w:tcBorders>
              <w:top w:val="single" w:color="auto" w:sz="4" w:space="0"/>
              <w:left w:val="single" w:color="auto" w:sz="4" w:space="0"/>
              <w:bottom w:val="single" w:color="auto" w:sz="4" w:space="0"/>
              <w:right w:val="single" w:color="auto" w:sz="4" w:space="0"/>
            </w:tcBorders>
            <w:vAlign w:val="center"/>
          </w:tcPr>
          <w:p w14:paraId="4D77B867">
            <w:pPr>
              <w:widowControl/>
              <w:jc w:val="center"/>
              <w:rPr>
                <w:rFonts w:cs="宋体"/>
                <w:b/>
                <w:bCs/>
                <w:color w:val="auto"/>
                <w:kern w:val="0"/>
                <w:highlight w:val="none"/>
              </w:rPr>
            </w:pPr>
            <w:r>
              <w:rPr>
                <w:rFonts w:hint="eastAsia" w:cs="宋体"/>
                <w:b/>
                <w:bCs/>
                <w:color w:val="auto"/>
                <w:kern w:val="0"/>
                <w:highlight w:val="none"/>
              </w:rPr>
              <w:t>一级指标</w:t>
            </w:r>
          </w:p>
        </w:tc>
        <w:tc>
          <w:tcPr>
            <w:tcW w:w="0" w:type="auto"/>
            <w:vMerge w:val="restart"/>
            <w:tcBorders>
              <w:top w:val="single" w:color="auto" w:sz="4" w:space="0"/>
              <w:left w:val="single" w:color="auto" w:sz="4" w:space="0"/>
              <w:bottom w:val="single" w:color="auto" w:sz="4" w:space="0"/>
              <w:right w:val="single" w:color="auto" w:sz="4" w:space="0"/>
            </w:tcBorders>
            <w:vAlign w:val="center"/>
          </w:tcPr>
          <w:p w14:paraId="04EA302C">
            <w:pPr>
              <w:widowControl/>
              <w:jc w:val="center"/>
              <w:rPr>
                <w:rFonts w:cs="宋体"/>
                <w:b/>
                <w:bCs/>
                <w:color w:val="auto"/>
                <w:kern w:val="0"/>
                <w:highlight w:val="none"/>
              </w:rPr>
            </w:pPr>
            <w:r>
              <w:rPr>
                <w:rFonts w:hint="eastAsia" w:cs="宋体"/>
                <w:b/>
                <w:bCs/>
                <w:color w:val="auto"/>
                <w:kern w:val="0"/>
                <w:highlight w:val="none"/>
              </w:rPr>
              <w:t>二级指标</w:t>
            </w:r>
          </w:p>
        </w:tc>
        <w:tc>
          <w:tcPr>
            <w:tcW w:w="0" w:type="auto"/>
            <w:vMerge w:val="restart"/>
            <w:tcBorders>
              <w:top w:val="single" w:color="auto" w:sz="4" w:space="0"/>
              <w:left w:val="single" w:color="auto" w:sz="4" w:space="0"/>
              <w:bottom w:val="single" w:color="auto" w:sz="4" w:space="0"/>
              <w:right w:val="single" w:color="auto" w:sz="4" w:space="0"/>
            </w:tcBorders>
            <w:vAlign w:val="center"/>
          </w:tcPr>
          <w:p w14:paraId="2746B8EA">
            <w:pPr>
              <w:widowControl/>
              <w:jc w:val="center"/>
              <w:rPr>
                <w:rFonts w:cs="宋体"/>
                <w:b/>
                <w:bCs/>
                <w:color w:val="auto"/>
                <w:kern w:val="0"/>
                <w:highlight w:val="none"/>
              </w:rPr>
            </w:pPr>
            <w:r>
              <w:rPr>
                <w:rFonts w:hint="eastAsia" w:cs="宋体"/>
                <w:b/>
                <w:bCs/>
                <w:color w:val="auto"/>
                <w:kern w:val="0"/>
                <w:highlight w:val="none"/>
              </w:rPr>
              <w:t>三级指标</w:t>
            </w:r>
          </w:p>
        </w:tc>
        <w:tc>
          <w:tcPr>
            <w:tcW w:w="0" w:type="auto"/>
            <w:vMerge w:val="restart"/>
            <w:tcBorders>
              <w:top w:val="single" w:color="auto" w:sz="4" w:space="0"/>
              <w:left w:val="single" w:color="auto" w:sz="4" w:space="0"/>
              <w:bottom w:val="single" w:color="auto" w:sz="4" w:space="0"/>
              <w:right w:val="single" w:color="auto" w:sz="4" w:space="0"/>
            </w:tcBorders>
            <w:vAlign w:val="center"/>
          </w:tcPr>
          <w:p w14:paraId="5F30B3EF">
            <w:pPr>
              <w:widowControl/>
              <w:jc w:val="center"/>
              <w:rPr>
                <w:rFonts w:cs="宋体"/>
                <w:b/>
                <w:bCs/>
                <w:color w:val="auto"/>
                <w:kern w:val="0"/>
                <w:highlight w:val="none"/>
              </w:rPr>
            </w:pPr>
            <w:r>
              <w:rPr>
                <w:rFonts w:hint="eastAsia" w:cs="宋体"/>
                <w:b/>
                <w:bCs/>
                <w:color w:val="auto"/>
                <w:kern w:val="0"/>
                <w:highlight w:val="none"/>
              </w:rPr>
              <w:t>四级指标</w:t>
            </w:r>
          </w:p>
        </w:tc>
        <w:tc>
          <w:tcPr>
            <w:tcW w:w="0" w:type="auto"/>
            <w:vMerge w:val="restart"/>
            <w:tcBorders>
              <w:top w:val="single" w:color="auto" w:sz="4" w:space="0"/>
              <w:left w:val="single" w:color="auto" w:sz="4" w:space="0"/>
              <w:bottom w:val="single" w:color="auto" w:sz="4" w:space="0"/>
              <w:right w:val="single" w:color="auto" w:sz="4" w:space="0"/>
            </w:tcBorders>
            <w:vAlign w:val="center"/>
          </w:tcPr>
          <w:p w14:paraId="6A73CA3D">
            <w:pPr>
              <w:widowControl/>
              <w:jc w:val="center"/>
              <w:rPr>
                <w:rFonts w:cs="宋体"/>
                <w:b/>
                <w:bCs/>
                <w:color w:val="auto"/>
                <w:kern w:val="0"/>
                <w:highlight w:val="none"/>
              </w:rPr>
            </w:pPr>
            <w:r>
              <w:rPr>
                <w:rFonts w:hint="eastAsia" w:cs="宋体"/>
                <w:b/>
                <w:bCs/>
                <w:color w:val="auto"/>
                <w:kern w:val="0"/>
                <w:highlight w:val="none"/>
              </w:rPr>
              <w:t>目标值</w:t>
            </w:r>
          </w:p>
        </w:tc>
      </w:tr>
      <w:tr w14:paraId="51A3BAFE">
        <w:tblPrEx>
          <w:tblCellMar>
            <w:top w:w="0" w:type="dxa"/>
            <w:left w:w="108" w:type="dxa"/>
            <w:bottom w:w="0" w:type="dxa"/>
            <w:right w:w="108" w:type="dxa"/>
          </w:tblCellMar>
        </w:tblPrEx>
        <w:trPr>
          <w:trHeight w:val="326" w:hRule="atLeast"/>
        </w:trPr>
        <w:tc>
          <w:tcPr>
            <w:tcW w:w="1129" w:type="dxa"/>
            <w:vMerge w:val="continue"/>
            <w:tcBorders>
              <w:top w:val="single" w:color="auto" w:sz="4" w:space="0"/>
              <w:left w:val="single" w:color="auto" w:sz="4" w:space="0"/>
              <w:bottom w:val="single" w:color="auto" w:sz="4" w:space="0"/>
              <w:right w:val="single" w:color="auto" w:sz="4" w:space="0"/>
            </w:tcBorders>
            <w:vAlign w:val="center"/>
          </w:tcPr>
          <w:p w14:paraId="7EE3397C">
            <w:pPr>
              <w:widowControl/>
              <w:rPr>
                <w:rFonts w:cs="宋体"/>
                <w:b/>
                <w:bCs/>
                <w:color w:val="auto"/>
                <w:kern w:val="0"/>
                <w:highlight w:val="none"/>
              </w:rPr>
            </w:pPr>
          </w:p>
        </w:tc>
        <w:tc>
          <w:tcPr>
            <w:tcW w:w="1123" w:type="dxa"/>
            <w:vMerge w:val="continue"/>
            <w:tcBorders>
              <w:top w:val="single" w:color="auto" w:sz="4" w:space="0"/>
              <w:left w:val="single" w:color="auto" w:sz="4" w:space="0"/>
              <w:bottom w:val="single" w:color="auto" w:sz="4" w:space="0"/>
              <w:right w:val="single" w:color="auto" w:sz="4" w:space="0"/>
            </w:tcBorders>
            <w:vAlign w:val="center"/>
          </w:tcPr>
          <w:p w14:paraId="6E214680">
            <w:pPr>
              <w:widowControl/>
              <w:rPr>
                <w:rFonts w:cs="宋体"/>
                <w:b/>
                <w:bCs/>
                <w:color w:val="auto"/>
                <w:kern w:val="0"/>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D9A9177">
            <w:pPr>
              <w:widowControl/>
              <w:rPr>
                <w:rFonts w:cs="宋体"/>
                <w:b/>
                <w:bCs/>
                <w:color w:val="auto"/>
                <w:kern w:val="0"/>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DCB4A88">
            <w:pPr>
              <w:widowControl/>
              <w:rPr>
                <w:rFonts w:cs="宋体"/>
                <w:b/>
                <w:bCs/>
                <w:color w:val="auto"/>
                <w:kern w:val="0"/>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AF74E78">
            <w:pPr>
              <w:widowControl/>
              <w:rPr>
                <w:rFonts w:cs="宋体"/>
                <w:b/>
                <w:bCs/>
                <w:color w:val="auto"/>
                <w:kern w:val="0"/>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C8A5697">
            <w:pPr>
              <w:widowControl/>
              <w:rPr>
                <w:rFonts w:cs="宋体"/>
                <w:b/>
                <w:bCs/>
                <w:color w:val="auto"/>
                <w:kern w:val="0"/>
                <w:highlight w:val="none"/>
              </w:rPr>
            </w:pPr>
          </w:p>
        </w:tc>
      </w:tr>
      <w:tr w14:paraId="2B326E2D">
        <w:tblPrEx>
          <w:tblCellMar>
            <w:top w:w="0" w:type="dxa"/>
            <w:left w:w="108" w:type="dxa"/>
            <w:bottom w:w="0" w:type="dxa"/>
            <w:right w:w="108" w:type="dxa"/>
          </w:tblCellMar>
        </w:tblPrEx>
        <w:trPr>
          <w:trHeight w:val="20" w:hRule="atLeast"/>
        </w:trPr>
        <w:tc>
          <w:tcPr>
            <w:tcW w:w="1129" w:type="dxa"/>
            <w:vMerge w:val="restart"/>
            <w:tcBorders>
              <w:top w:val="nil"/>
              <w:left w:val="single" w:color="auto" w:sz="4" w:space="0"/>
              <w:bottom w:val="single" w:color="auto" w:sz="4" w:space="0"/>
              <w:right w:val="single" w:color="auto" w:sz="4" w:space="0"/>
            </w:tcBorders>
            <w:vAlign w:val="center"/>
          </w:tcPr>
          <w:p w14:paraId="11498B53">
            <w:pPr>
              <w:widowControl/>
              <w:jc w:val="center"/>
              <w:rPr>
                <w:rFonts w:cs="宋体"/>
                <w:color w:val="auto"/>
                <w:kern w:val="0"/>
                <w:highlight w:val="none"/>
              </w:rPr>
            </w:pPr>
            <w:r>
              <w:rPr>
                <w:rFonts w:hint="eastAsia" w:cs="宋体"/>
                <w:color w:val="auto"/>
                <w:kern w:val="0"/>
                <w:highlight w:val="none"/>
              </w:rPr>
              <w:t>规划指标参数</w:t>
            </w:r>
          </w:p>
        </w:tc>
        <w:tc>
          <w:tcPr>
            <w:tcW w:w="1123" w:type="dxa"/>
            <w:vMerge w:val="restart"/>
            <w:tcBorders>
              <w:top w:val="nil"/>
              <w:left w:val="single" w:color="auto" w:sz="4" w:space="0"/>
              <w:bottom w:val="single" w:color="auto" w:sz="4" w:space="0"/>
              <w:right w:val="single" w:color="auto" w:sz="4" w:space="0"/>
            </w:tcBorders>
            <w:vAlign w:val="center"/>
          </w:tcPr>
          <w:p w14:paraId="4D72BBF4">
            <w:pPr>
              <w:widowControl/>
              <w:jc w:val="center"/>
              <w:rPr>
                <w:rFonts w:cs="宋体"/>
                <w:color w:val="auto"/>
                <w:kern w:val="0"/>
                <w:highlight w:val="none"/>
              </w:rPr>
            </w:pPr>
            <w:r>
              <w:rPr>
                <w:rFonts w:hint="eastAsia" w:cs="宋体"/>
                <w:color w:val="auto"/>
                <w:kern w:val="0"/>
                <w:highlight w:val="none"/>
              </w:rPr>
              <w:t>通用指标</w:t>
            </w:r>
          </w:p>
        </w:tc>
        <w:tc>
          <w:tcPr>
            <w:tcW w:w="0" w:type="auto"/>
            <w:vMerge w:val="restart"/>
            <w:tcBorders>
              <w:top w:val="nil"/>
              <w:left w:val="single" w:color="auto" w:sz="4" w:space="0"/>
              <w:bottom w:val="single" w:color="auto" w:sz="4" w:space="0"/>
              <w:right w:val="single" w:color="auto" w:sz="4" w:space="0"/>
            </w:tcBorders>
            <w:vAlign w:val="center"/>
          </w:tcPr>
          <w:p w14:paraId="45A16073">
            <w:pPr>
              <w:widowControl/>
              <w:jc w:val="center"/>
              <w:rPr>
                <w:rFonts w:cs="宋体"/>
                <w:color w:val="auto"/>
                <w:kern w:val="0"/>
                <w:highlight w:val="none"/>
              </w:rPr>
            </w:pPr>
            <w:r>
              <w:rPr>
                <w:rFonts w:hint="eastAsia" w:cs="宋体"/>
                <w:color w:val="auto"/>
                <w:kern w:val="0"/>
                <w:highlight w:val="none"/>
              </w:rPr>
              <w:t>产出指标</w:t>
            </w:r>
          </w:p>
        </w:tc>
        <w:tc>
          <w:tcPr>
            <w:tcW w:w="0" w:type="auto"/>
            <w:vMerge w:val="restart"/>
            <w:tcBorders>
              <w:top w:val="nil"/>
              <w:left w:val="single" w:color="auto" w:sz="4" w:space="0"/>
              <w:bottom w:val="single" w:color="auto" w:sz="4" w:space="0"/>
              <w:right w:val="single" w:color="auto" w:sz="4" w:space="0"/>
            </w:tcBorders>
            <w:vAlign w:val="center"/>
          </w:tcPr>
          <w:p w14:paraId="5AFDE954">
            <w:pPr>
              <w:widowControl/>
              <w:jc w:val="center"/>
              <w:rPr>
                <w:rFonts w:cs="宋体"/>
                <w:color w:val="auto"/>
                <w:kern w:val="0"/>
                <w:highlight w:val="none"/>
              </w:rPr>
            </w:pPr>
            <w:r>
              <w:rPr>
                <w:rFonts w:hint="eastAsia" w:cs="宋体"/>
                <w:color w:val="auto"/>
                <w:kern w:val="0"/>
                <w:highlight w:val="none"/>
              </w:rPr>
              <w:t>产出数量</w:t>
            </w:r>
          </w:p>
        </w:tc>
        <w:tc>
          <w:tcPr>
            <w:tcW w:w="0" w:type="auto"/>
            <w:tcBorders>
              <w:top w:val="nil"/>
              <w:left w:val="nil"/>
              <w:bottom w:val="single" w:color="auto" w:sz="4" w:space="0"/>
              <w:right w:val="single" w:color="auto" w:sz="4" w:space="0"/>
            </w:tcBorders>
            <w:vAlign w:val="center"/>
          </w:tcPr>
          <w:p w14:paraId="59ED1547">
            <w:pPr>
              <w:widowControl/>
              <w:jc w:val="center"/>
              <w:rPr>
                <w:rFonts w:cs="宋体"/>
                <w:color w:val="auto"/>
                <w:kern w:val="0"/>
                <w:highlight w:val="none"/>
              </w:rPr>
            </w:pPr>
            <w:r>
              <w:rPr>
                <w:rFonts w:hint="eastAsia" w:cs="宋体"/>
                <w:color w:val="auto"/>
                <w:kern w:val="0"/>
                <w:highlight w:val="none"/>
              </w:rPr>
              <w:t>软件开发完成率</w:t>
            </w:r>
          </w:p>
        </w:tc>
        <w:tc>
          <w:tcPr>
            <w:tcW w:w="0" w:type="auto"/>
            <w:tcBorders>
              <w:top w:val="nil"/>
              <w:left w:val="nil"/>
              <w:bottom w:val="single" w:color="auto" w:sz="4" w:space="0"/>
              <w:right w:val="single" w:color="auto" w:sz="4" w:space="0"/>
            </w:tcBorders>
            <w:vAlign w:val="center"/>
          </w:tcPr>
          <w:p w14:paraId="775635DB">
            <w:pPr>
              <w:widowControl/>
              <w:jc w:val="center"/>
              <w:rPr>
                <w:rFonts w:cs="宋体"/>
                <w:color w:val="auto"/>
                <w:kern w:val="0"/>
                <w:highlight w:val="none"/>
              </w:rPr>
            </w:pPr>
            <w:r>
              <w:rPr>
                <w:rFonts w:hint="eastAsia" w:cs="宋体"/>
                <w:color w:val="auto"/>
                <w:kern w:val="0"/>
                <w:highlight w:val="none"/>
              </w:rPr>
              <w:t>100%</w:t>
            </w:r>
          </w:p>
        </w:tc>
      </w:tr>
      <w:tr w14:paraId="04676931">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48B9839F">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0FFB4B59">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36864DFB">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96A55F2">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5F7014DB">
            <w:pPr>
              <w:widowControl/>
              <w:jc w:val="center"/>
              <w:rPr>
                <w:rFonts w:cs="宋体"/>
                <w:color w:val="auto"/>
                <w:kern w:val="0"/>
                <w:highlight w:val="none"/>
              </w:rPr>
            </w:pPr>
            <w:r>
              <w:rPr>
                <w:rFonts w:hint="eastAsia" w:cs="宋体"/>
                <w:color w:val="auto"/>
                <w:kern w:val="0"/>
                <w:highlight w:val="none"/>
              </w:rPr>
              <w:t>产品软件购置完成率</w:t>
            </w:r>
          </w:p>
        </w:tc>
        <w:tc>
          <w:tcPr>
            <w:tcW w:w="0" w:type="auto"/>
            <w:tcBorders>
              <w:top w:val="nil"/>
              <w:left w:val="nil"/>
              <w:bottom w:val="single" w:color="auto" w:sz="4" w:space="0"/>
              <w:right w:val="single" w:color="auto" w:sz="4" w:space="0"/>
            </w:tcBorders>
            <w:vAlign w:val="center"/>
          </w:tcPr>
          <w:p w14:paraId="69DCFDA2">
            <w:pPr>
              <w:widowControl/>
              <w:jc w:val="center"/>
              <w:rPr>
                <w:rFonts w:cs="宋体"/>
                <w:color w:val="auto"/>
                <w:kern w:val="0"/>
                <w:highlight w:val="none"/>
              </w:rPr>
            </w:pPr>
            <w:r>
              <w:rPr>
                <w:rFonts w:hint="eastAsia" w:cs="宋体"/>
                <w:color w:val="auto"/>
                <w:kern w:val="0"/>
                <w:highlight w:val="none"/>
              </w:rPr>
              <w:t>100%</w:t>
            </w:r>
          </w:p>
        </w:tc>
      </w:tr>
      <w:tr w14:paraId="297D6CC9">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0E3B1F1F">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0D25A315">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77EE26A8">
            <w:pPr>
              <w:widowControl/>
              <w:rPr>
                <w:rFonts w:cs="宋体"/>
                <w:color w:val="auto"/>
                <w:kern w:val="0"/>
                <w:highlight w:val="none"/>
              </w:rPr>
            </w:pPr>
          </w:p>
        </w:tc>
        <w:tc>
          <w:tcPr>
            <w:tcW w:w="0" w:type="auto"/>
            <w:vMerge w:val="restart"/>
            <w:tcBorders>
              <w:top w:val="nil"/>
              <w:left w:val="single" w:color="auto" w:sz="4" w:space="0"/>
              <w:bottom w:val="single" w:color="auto" w:sz="4" w:space="0"/>
              <w:right w:val="single" w:color="auto" w:sz="4" w:space="0"/>
            </w:tcBorders>
            <w:vAlign w:val="center"/>
          </w:tcPr>
          <w:p w14:paraId="064DE68F">
            <w:pPr>
              <w:widowControl/>
              <w:jc w:val="center"/>
              <w:rPr>
                <w:rFonts w:cs="宋体"/>
                <w:color w:val="auto"/>
                <w:kern w:val="0"/>
                <w:highlight w:val="none"/>
              </w:rPr>
            </w:pPr>
            <w:r>
              <w:rPr>
                <w:rFonts w:hint="eastAsia" w:cs="宋体"/>
                <w:color w:val="auto"/>
                <w:kern w:val="0"/>
                <w:highlight w:val="none"/>
              </w:rPr>
              <w:t>产出质量</w:t>
            </w:r>
          </w:p>
        </w:tc>
        <w:tc>
          <w:tcPr>
            <w:tcW w:w="0" w:type="auto"/>
            <w:tcBorders>
              <w:top w:val="nil"/>
              <w:left w:val="nil"/>
              <w:bottom w:val="single" w:color="auto" w:sz="4" w:space="0"/>
              <w:right w:val="single" w:color="auto" w:sz="4" w:space="0"/>
            </w:tcBorders>
            <w:vAlign w:val="center"/>
          </w:tcPr>
          <w:p w14:paraId="7592A23C">
            <w:pPr>
              <w:widowControl/>
              <w:jc w:val="center"/>
              <w:rPr>
                <w:rFonts w:cs="宋体"/>
                <w:color w:val="auto"/>
                <w:kern w:val="0"/>
                <w:highlight w:val="none"/>
              </w:rPr>
            </w:pPr>
            <w:r>
              <w:rPr>
                <w:rFonts w:hint="eastAsia" w:cs="宋体"/>
                <w:color w:val="auto"/>
                <w:kern w:val="0"/>
                <w:highlight w:val="none"/>
              </w:rPr>
              <w:t>一次性验收合格率</w:t>
            </w:r>
          </w:p>
        </w:tc>
        <w:tc>
          <w:tcPr>
            <w:tcW w:w="0" w:type="auto"/>
            <w:tcBorders>
              <w:top w:val="nil"/>
              <w:left w:val="nil"/>
              <w:bottom w:val="single" w:color="auto" w:sz="4" w:space="0"/>
              <w:right w:val="single" w:color="auto" w:sz="4" w:space="0"/>
            </w:tcBorders>
            <w:vAlign w:val="center"/>
          </w:tcPr>
          <w:p w14:paraId="1566D109">
            <w:pPr>
              <w:widowControl/>
              <w:jc w:val="center"/>
              <w:rPr>
                <w:rFonts w:cs="宋体"/>
                <w:color w:val="auto"/>
                <w:kern w:val="0"/>
                <w:highlight w:val="none"/>
              </w:rPr>
            </w:pPr>
            <w:r>
              <w:rPr>
                <w:rFonts w:hint="eastAsia" w:cs="宋体"/>
                <w:color w:val="auto"/>
                <w:kern w:val="0"/>
                <w:highlight w:val="none"/>
              </w:rPr>
              <w:t>100%</w:t>
            </w:r>
          </w:p>
        </w:tc>
      </w:tr>
      <w:tr w14:paraId="0CEA264B">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4BC32486">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185D09CA">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444D4D72">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64A0D7B1">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097F93DF">
            <w:pPr>
              <w:widowControl/>
              <w:jc w:val="center"/>
              <w:rPr>
                <w:rFonts w:cs="宋体"/>
                <w:color w:val="auto"/>
                <w:kern w:val="0"/>
                <w:highlight w:val="none"/>
              </w:rPr>
            </w:pPr>
            <w:r>
              <w:rPr>
                <w:rFonts w:hint="eastAsia" w:cs="宋体"/>
                <w:color w:val="auto"/>
                <w:kern w:val="0"/>
                <w:highlight w:val="none"/>
              </w:rPr>
              <w:t>系统可靠性</w:t>
            </w:r>
          </w:p>
        </w:tc>
        <w:tc>
          <w:tcPr>
            <w:tcW w:w="0" w:type="auto"/>
            <w:tcBorders>
              <w:top w:val="nil"/>
              <w:left w:val="nil"/>
              <w:bottom w:val="single" w:color="auto" w:sz="4" w:space="0"/>
              <w:right w:val="single" w:color="auto" w:sz="4" w:space="0"/>
            </w:tcBorders>
            <w:vAlign w:val="center"/>
          </w:tcPr>
          <w:p w14:paraId="7E587B12">
            <w:pPr>
              <w:widowControl/>
              <w:jc w:val="center"/>
              <w:rPr>
                <w:rFonts w:cs="宋体"/>
                <w:color w:val="auto"/>
                <w:kern w:val="0"/>
                <w:highlight w:val="none"/>
              </w:rPr>
            </w:pPr>
            <w:r>
              <w:rPr>
                <w:rFonts w:hint="eastAsia" w:cs="宋体"/>
                <w:color w:val="auto"/>
                <w:kern w:val="0"/>
                <w:highlight w:val="none"/>
              </w:rPr>
              <w:t>≥99.9%</w:t>
            </w:r>
          </w:p>
        </w:tc>
      </w:tr>
      <w:tr w14:paraId="60CC407B">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0DCBD2BB">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5F600E59">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031351F0">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73B235B">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52C81242">
            <w:pPr>
              <w:widowControl/>
              <w:jc w:val="center"/>
              <w:rPr>
                <w:rFonts w:cs="宋体"/>
                <w:color w:val="auto"/>
                <w:kern w:val="0"/>
                <w:highlight w:val="none"/>
              </w:rPr>
            </w:pPr>
            <w:r>
              <w:rPr>
                <w:rFonts w:hint="eastAsia" w:cs="宋体"/>
                <w:color w:val="auto"/>
                <w:kern w:val="0"/>
                <w:highlight w:val="none"/>
              </w:rPr>
              <w:t>密码测试</w:t>
            </w:r>
          </w:p>
        </w:tc>
        <w:tc>
          <w:tcPr>
            <w:tcW w:w="0" w:type="auto"/>
            <w:tcBorders>
              <w:top w:val="nil"/>
              <w:left w:val="nil"/>
              <w:bottom w:val="single" w:color="auto" w:sz="4" w:space="0"/>
              <w:right w:val="single" w:color="auto" w:sz="4" w:space="0"/>
            </w:tcBorders>
            <w:vAlign w:val="center"/>
          </w:tcPr>
          <w:p w14:paraId="6071414C">
            <w:pPr>
              <w:widowControl/>
              <w:jc w:val="center"/>
              <w:rPr>
                <w:rFonts w:cs="宋体"/>
                <w:color w:val="auto"/>
                <w:kern w:val="0"/>
                <w:highlight w:val="none"/>
              </w:rPr>
            </w:pPr>
            <w:r>
              <w:rPr>
                <w:rFonts w:hint="eastAsia" w:cs="宋体"/>
                <w:color w:val="auto"/>
                <w:kern w:val="0"/>
                <w:highlight w:val="none"/>
              </w:rPr>
              <w:t>通过</w:t>
            </w:r>
          </w:p>
        </w:tc>
      </w:tr>
      <w:tr w14:paraId="41093CDF">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16D2A932">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2AB195F8">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79D30469">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F5D2EA0">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24D27AFB">
            <w:pPr>
              <w:widowControl/>
              <w:jc w:val="center"/>
              <w:rPr>
                <w:rFonts w:cs="宋体"/>
                <w:color w:val="auto"/>
                <w:kern w:val="0"/>
                <w:highlight w:val="none"/>
              </w:rPr>
            </w:pPr>
            <w:r>
              <w:rPr>
                <w:rFonts w:hint="eastAsia" w:cs="宋体"/>
                <w:color w:val="auto"/>
                <w:kern w:val="0"/>
                <w:highlight w:val="none"/>
              </w:rPr>
              <w:t>安全测试</w:t>
            </w:r>
          </w:p>
        </w:tc>
        <w:tc>
          <w:tcPr>
            <w:tcW w:w="0" w:type="auto"/>
            <w:tcBorders>
              <w:top w:val="nil"/>
              <w:left w:val="nil"/>
              <w:bottom w:val="single" w:color="auto" w:sz="4" w:space="0"/>
              <w:right w:val="single" w:color="auto" w:sz="4" w:space="0"/>
            </w:tcBorders>
            <w:vAlign w:val="center"/>
          </w:tcPr>
          <w:p w14:paraId="39C4B445">
            <w:pPr>
              <w:widowControl/>
              <w:jc w:val="center"/>
              <w:rPr>
                <w:rFonts w:cs="宋体"/>
                <w:color w:val="auto"/>
                <w:kern w:val="0"/>
                <w:highlight w:val="none"/>
              </w:rPr>
            </w:pPr>
            <w:r>
              <w:rPr>
                <w:rFonts w:hint="eastAsia" w:cs="宋体"/>
                <w:color w:val="auto"/>
                <w:kern w:val="0"/>
                <w:highlight w:val="none"/>
              </w:rPr>
              <w:t>通过</w:t>
            </w:r>
          </w:p>
        </w:tc>
      </w:tr>
      <w:tr w14:paraId="1ACBF91E">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1A71108E">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7E94CD62">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D98127A">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3E099F1F">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122A4912">
            <w:pPr>
              <w:widowControl/>
              <w:jc w:val="center"/>
              <w:rPr>
                <w:rFonts w:cs="宋体"/>
                <w:color w:val="auto"/>
                <w:kern w:val="0"/>
                <w:highlight w:val="none"/>
              </w:rPr>
            </w:pPr>
            <w:r>
              <w:rPr>
                <w:rFonts w:hint="eastAsia" w:cs="宋体"/>
                <w:color w:val="auto"/>
                <w:kern w:val="0"/>
                <w:highlight w:val="none"/>
              </w:rPr>
              <w:t>软件测评</w:t>
            </w:r>
          </w:p>
        </w:tc>
        <w:tc>
          <w:tcPr>
            <w:tcW w:w="0" w:type="auto"/>
            <w:tcBorders>
              <w:top w:val="nil"/>
              <w:left w:val="nil"/>
              <w:bottom w:val="single" w:color="auto" w:sz="4" w:space="0"/>
              <w:right w:val="single" w:color="auto" w:sz="4" w:space="0"/>
            </w:tcBorders>
            <w:vAlign w:val="center"/>
          </w:tcPr>
          <w:p w14:paraId="7B420516">
            <w:pPr>
              <w:widowControl/>
              <w:jc w:val="center"/>
              <w:rPr>
                <w:rFonts w:cs="宋体"/>
                <w:color w:val="auto"/>
                <w:kern w:val="0"/>
                <w:highlight w:val="none"/>
              </w:rPr>
            </w:pPr>
            <w:r>
              <w:rPr>
                <w:rFonts w:hint="eastAsia" w:cs="宋体"/>
                <w:color w:val="auto"/>
                <w:kern w:val="0"/>
                <w:highlight w:val="none"/>
              </w:rPr>
              <w:t>通过</w:t>
            </w:r>
          </w:p>
        </w:tc>
      </w:tr>
      <w:tr w14:paraId="5DA84535">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1E20B8FC">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68656127">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44D0B8F">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6AC1201F">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0DFA47CA">
            <w:pPr>
              <w:widowControl/>
              <w:jc w:val="center"/>
              <w:rPr>
                <w:rFonts w:cs="宋体"/>
                <w:color w:val="auto"/>
                <w:kern w:val="0"/>
                <w:highlight w:val="none"/>
              </w:rPr>
            </w:pPr>
            <w:r>
              <w:rPr>
                <w:rFonts w:hint="eastAsia" w:cs="宋体"/>
                <w:color w:val="auto"/>
                <w:kern w:val="0"/>
                <w:highlight w:val="none"/>
              </w:rPr>
              <w:t>网络安全等级保护</w:t>
            </w:r>
          </w:p>
        </w:tc>
        <w:tc>
          <w:tcPr>
            <w:tcW w:w="0" w:type="auto"/>
            <w:tcBorders>
              <w:top w:val="nil"/>
              <w:left w:val="nil"/>
              <w:bottom w:val="single" w:color="auto" w:sz="4" w:space="0"/>
              <w:right w:val="single" w:color="auto" w:sz="4" w:space="0"/>
            </w:tcBorders>
            <w:vAlign w:val="center"/>
          </w:tcPr>
          <w:p w14:paraId="55A0D3E4">
            <w:pPr>
              <w:widowControl/>
              <w:jc w:val="center"/>
              <w:rPr>
                <w:rFonts w:cs="宋体"/>
                <w:color w:val="auto"/>
                <w:kern w:val="0"/>
                <w:highlight w:val="none"/>
              </w:rPr>
            </w:pPr>
            <w:r>
              <w:rPr>
                <w:rFonts w:hint="eastAsia" w:cs="宋体"/>
                <w:color w:val="auto"/>
                <w:kern w:val="0"/>
                <w:highlight w:val="none"/>
              </w:rPr>
              <w:t>三级</w:t>
            </w:r>
          </w:p>
        </w:tc>
      </w:tr>
      <w:tr w14:paraId="6909DB62">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1B73FA4B">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4B55C246">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340AC5A8">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C4D89C9">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65ABAFFF">
            <w:pPr>
              <w:widowControl/>
              <w:jc w:val="center"/>
              <w:rPr>
                <w:rFonts w:cs="宋体"/>
                <w:color w:val="auto"/>
                <w:kern w:val="0"/>
                <w:highlight w:val="none"/>
              </w:rPr>
            </w:pPr>
            <w:r>
              <w:rPr>
                <w:rFonts w:hint="eastAsia" w:cs="宋体"/>
                <w:color w:val="auto"/>
                <w:kern w:val="0"/>
                <w:highlight w:val="none"/>
              </w:rPr>
              <w:t>安全事件发生次数</w:t>
            </w:r>
          </w:p>
        </w:tc>
        <w:tc>
          <w:tcPr>
            <w:tcW w:w="0" w:type="auto"/>
            <w:tcBorders>
              <w:top w:val="nil"/>
              <w:left w:val="nil"/>
              <w:bottom w:val="single" w:color="auto" w:sz="4" w:space="0"/>
              <w:right w:val="single" w:color="auto" w:sz="4" w:space="0"/>
            </w:tcBorders>
            <w:vAlign w:val="center"/>
          </w:tcPr>
          <w:p w14:paraId="068BAA86">
            <w:pPr>
              <w:widowControl/>
              <w:jc w:val="center"/>
              <w:rPr>
                <w:rFonts w:cs="宋体"/>
                <w:color w:val="auto"/>
                <w:kern w:val="0"/>
                <w:highlight w:val="none"/>
              </w:rPr>
            </w:pPr>
            <w:r>
              <w:rPr>
                <w:rFonts w:hint="eastAsia" w:cs="宋体"/>
                <w:color w:val="auto"/>
                <w:kern w:val="0"/>
                <w:highlight w:val="none"/>
              </w:rPr>
              <w:t>0次</w:t>
            </w:r>
          </w:p>
        </w:tc>
      </w:tr>
      <w:tr w14:paraId="4360D474">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3A32300B">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3269EFFC">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5287628">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1C49ADAE">
            <w:pPr>
              <w:widowControl/>
              <w:jc w:val="center"/>
              <w:rPr>
                <w:rFonts w:cs="宋体"/>
                <w:color w:val="auto"/>
                <w:kern w:val="0"/>
                <w:highlight w:val="none"/>
              </w:rPr>
            </w:pPr>
            <w:r>
              <w:rPr>
                <w:rFonts w:hint="eastAsia" w:cs="宋体"/>
                <w:color w:val="auto"/>
                <w:kern w:val="0"/>
                <w:highlight w:val="none"/>
              </w:rPr>
              <w:t>产出时效</w:t>
            </w:r>
          </w:p>
        </w:tc>
        <w:tc>
          <w:tcPr>
            <w:tcW w:w="0" w:type="auto"/>
            <w:tcBorders>
              <w:top w:val="nil"/>
              <w:left w:val="nil"/>
              <w:bottom w:val="single" w:color="auto" w:sz="4" w:space="0"/>
              <w:right w:val="single" w:color="auto" w:sz="4" w:space="0"/>
            </w:tcBorders>
            <w:vAlign w:val="center"/>
          </w:tcPr>
          <w:p w14:paraId="5198BB2F">
            <w:pPr>
              <w:widowControl/>
              <w:jc w:val="center"/>
              <w:rPr>
                <w:rFonts w:cs="宋体"/>
                <w:color w:val="auto"/>
                <w:kern w:val="0"/>
                <w:highlight w:val="none"/>
              </w:rPr>
            </w:pPr>
            <w:r>
              <w:rPr>
                <w:rFonts w:hint="eastAsia" w:cs="宋体"/>
                <w:color w:val="auto"/>
                <w:kern w:val="0"/>
                <w:highlight w:val="none"/>
              </w:rPr>
              <w:t>项目建设周期</w:t>
            </w:r>
          </w:p>
        </w:tc>
        <w:tc>
          <w:tcPr>
            <w:tcW w:w="0" w:type="auto"/>
            <w:tcBorders>
              <w:top w:val="nil"/>
              <w:left w:val="nil"/>
              <w:bottom w:val="single" w:color="auto" w:sz="4" w:space="0"/>
              <w:right w:val="single" w:color="auto" w:sz="4" w:space="0"/>
            </w:tcBorders>
            <w:vAlign w:val="center"/>
          </w:tcPr>
          <w:p w14:paraId="6B51E525">
            <w:pPr>
              <w:widowControl/>
              <w:jc w:val="center"/>
              <w:rPr>
                <w:rFonts w:cs="宋体"/>
                <w:color w:val="auto"/>
                <w:kern w:val="0"/>
                <w:highlight w:val="none"/>
              </w:rPr>
            </w:pPr>
            <w:r>
              <w:rPr>
                <w:rFonts w:hint="eastAsia" w:cs="宋体"/>
                <w:color w:val="auto"/>
                <w:kern w:val="0"/>
                <w:highlight w:val="none"/>
              </w:rPr>
              <w:t>12个月</w:t>
            </w:r>
          </w:p>
        </w:tc>
      </w:tr>
      <w:tr w14:paraId="1F6E7D28">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74C33DCE">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0126F59C">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4EA91931">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48385D7E">
            <w:pPr>
              <w:widowControl/>
              <w:jc w:val="center"/>
              <w:rPr>
                <w:rFonts w:cs="宋体"/>
                <w:color w:val="auto"/>
                <w:kern w:val="0"/>
                <w:highlight w:val="none"/>
              </w:rPr>
            </w:pPr>
            <w:r>
              <w:rPr>
                <w:rFonts w:hint="eastAsia" w:cs="宋体"/>
                <w:color w:val="auto"/>
                <w:kern w:val="0"/>
                <w:highlight w:val="none"/>
              </w:rPr>
              <w:t>产出成本</w:t>
            </w:r>
          </w:p>
        </w:tc>
        <w:tc>
          <w:tcPr>
            <w:tcW w:w="0" w:type="auto"/>
            <w:tcBorders>
              <w:top w:val="nil"/>
              <w:left w:val="nil"/>
              <w:bottom w:val="single" w:color="auto" w:sz="4" w:space="0"/>
              <w:right w:val="single" w:color="auto" w:sz="4" w:space="0"/>
            </w:tcBorders>
            <w:vAlign w:val="center"/>
          </w:tcPr>
          <w:p w14:paraId="35679745">
            <w:pPr>
              <w:widowControl/>
              <w:jc w:val="center"/>
              <w:rPr>
                <w:rFonts w:cs="宋体"/>
                <w:color w:val="auto"/>
                <w:kern w:val="0"/>
                <w:highlight w:val="none"/>
              </w:rPr>
            </w:pPr>
            <w:r>
              <w:rPr>
                <w:rFonts w:hint="eastAsia" w:cs="宋体"/>
                <w:color w:val="auto"/>
                <w:kern w:val="0"/>
                <w:highlight w:val="none"/>
              </w:rPr>
              <w:t>标准化内容支出比例</w:t>
            </w:r>
          </w:p>
        </w:tc>
        <w:tc>
          <w:tcPr>
            <w:tcW w:w="0" w:type="auto"/>
            <w:tcBorders>
              <w:top w:val="nil"/>
              <w:left w:val="nil"/>
              <w:bottom w:val="single" w:color="auto" w:sz="4" w:space="0"/>
              <w:right w:val="single" w:color="auto" w:sz="4" w:space="0"/>
            </w:tcBorders>
            <w:vAlign w:val="center"/>
          </w:tcPr>
          <w:p w14:paraId="62230C81">
            <w:pPr>
              <w:widowControl/>
              <w:jc w:val="center"/>
              <w:rPr>
                <w:rFonts w:cs="宋体"/>
                <w:color w:val="auto"/>
                <w:kern w:val="0"/>
                <w:highlight w:val="none"/>
              </w:rPr>
            </w:pPr>
            <w:r>
              <w:rPr>
                <w:rFonts w:hint="eastAsia" w:cs="宋体"/>
                <w:color w:val="auto"/>
                <w:kern w:val="0"/>
                <w:highlight w:val="none"/>
              </w:rPr>
              <w:t>≥7.5%</w:t>
            </w:r>
          </w:p>
        </w:tc>
      </w:tr>
      <w:tr w14:paraId="4FBADA0A">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6CC438D3">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3EC4F9ED">
            <w:pPr>
              <w:widowControl/>
              <w:rPr>
                <w:rFonts w:cs="宋体"/>
                <w:color w:val="auto"/>
                <w:kern w:val="0"/>
                <w:highlight w:val="none"/>
              </w:rPr>
            </w:pPr>
          </w:p>
        </w:tc>
        <w:tc>
          <w:tcPr>
            <w:tcW w:w="0" w:type="auto"/>
            <w:vMerge w:val="restart"/>
            <w:tcBorders>
              <w:top w:val="nil"/>
              <w:left w:val="single" w:color="auto" w:sz="4" w:space="0"/>
              <w:bottom w:val="single" w:color="auto" w:sz="4" w:space="0"/>
              <w:right w:val="single" w:color="auto" w:sz="4" w:space="0"/>
            </w:tcBorders>
            <w:vAlign w:val="center"/>
          </w:tcPr>
          <w:p w14:paraId="25B4DBEE">
            <w:pPr>
              <w:widowControl/>
              <w:jc w:val="center"/>
              <w:rPr>
                <w:rFonts w:cs="宋体"/>
                <w:color w:val="auto"/>
                <w:kern w:val="0"/>
                <w:highlight w:val="none"/>
              </w:rPr>
            </w:pPr>
            <w:r>
              <w:rPr>
                <w:rFonts w:hint="eastAsia" w:cs="宋体"/>
                <w:color w:val="auto"/>
                <w:kern w:val="0"/>
                <w:highlight w:val="none"/>
              </w:rPr>
              <w:t>　</w:t>
            </w:r>
          </w:p>
        </w:tc>
        <w:tc>
          <w:tcPr>
            <w:tcW w:w="0" w:type="auto"/>
            <w:vMerge w:val="restart"/>
            <w:tcBorders>
              <w:top w:val="nil"/>
              <w:left w:val="single" w:color="auto" w:sz="4" w:space="0"/>
              <w:bottom w:val="single" w:color="auto" w:sz="4" w:space="0"/>
              <w:right w:val="single" w:color="auto" w:sz="4" w:space="0"/>
            </w:tcBorders>
            <w:vAlign w:val="center"/>
          </w:tcPr>
          <w:p w14:paraId="26660358">
            <w:pPr>
              <w:widowControl/>
              <w:jc w:val="center"/>
              <w:rPr>
                <w:rFonts w:cs="宋体"/>
                <w:color w:val="auto"/>
                <w:kern w:val="0"/>
                <w:highlight w:val="none"/>
              </w:rPr>
            </w:pPr>
            <w:r>
              <w:rPr>
                <w:rFonts w:hint="eastAsia" w:cs="宋体"/>
                <w:color w:val="auto"/>
                <w:kern w:val="0"/>
                <w:highlight w:val="none"/>
              </w:rPr>
              <w:t>用户使用情况</w:t>
            </w:r>
          </w:p>
        </w:tc>
        <w:tc>
          <w:tcPr>
            <w:tcW w:w="0" w:type="auto"/>
            <w:tcBorders>
              <w:top w:val="nil"/>
              <w:left w:val="nil"/>
              <w:bottom w:val="single" w:color="auto" w:sz="4" w:space="0"/>
              <w:right w:val="single" w:color="auto" w:sz="4" w:space="0"/>
            </w:tcBorders>
            <w:vAlign w:val="center"/>
          </w:tcPr>
          <w:p w14:paraId="329AFE31">
            <w:pPr>
              <w:widowControl/>
              <w:jc w:val="center"/>
              <w:rPr>
                <w:rFonts w:cs="宋体"/>
                <w:color w:val="auto"/>
                <w:kern w:val="0"/>
                <w:highlight w:val="none"/>
              </w:rPr>
            </w:pPr>
            <w:r>
              <w:rPr>
                <w:rFonts w:hint="eastAsia" w:cs="宋体"/>
                <w:color w:val="auto"/>
                <w:kern w:val="0"/>
                <w:highlight w:val="none"/>
              </w:rPr>
              <w:t>系统用户量</w:t>
            </w:r>
          </w:p>
        </w:tc>
        <w:tc>
          <w:tcPr>
            <w:tcW w:w="0" w:type="auto"/>
            <w:tcBorders>
              <w:top w:val="nil"/>
              <w:left w:val="nil"/>
              <w:bottom w:val="single" w:color="auto" w:sz="4" w:space="0"/>
              <w:right w:val="single" w:color="auto" w:sz="4" w:space="0"/>
            </w:tcBorders>
            <w:vAlign w:val="center"/>
          </w:tcPr>
          <w:p w14:paraId="7F16729E">
            <w:pPr>
              <w:widowControl/>
              <w:jc w:val="center"/>
              <w:rPr>
                <w:rFonts w:cs="宋体"/>
                <w:color w:val="auto"/>
                <w:kern w:val="0"/>
                <w:highlight w:val="none"/>
              </w:rPr>
            </w:pPr>
            <w:r>
              <w:rPr>
                <w:rFonts w:hint="eastAsia" w:cs="宋体"/>
                <w:color w:val="auto"/>
                <w:kern w:val="0"/>
                <w:highlight w:val="none"/>
              </w:rPr>
              <w:t>≥10000人</w:t>
            </w:r>
          </w:p>
        </w:tc>
      </w:tr>
      <w:tr w14:paraId="48475724">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4E4B9417">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447D03C2">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0B05F54F">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7EA08447">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6EFF9AEA">
            <w:pPr>
              <w:widowControl/>
              <w:jc w:val="center"/>
              <w:rPr>
                <w:rFonts w:cs="宋体"/>
                <w:color w:val="auto"/>
                <w:kern w:val="0"/>
                <w:highlight w:val="none"/>
              </w:rPr>
            </w:pPr>
            <w:r>
              <w:rPr>
                <w:rFonts w:hint="eastAsia" w:cs="宋体"/>
                <w:color w:val="auto"/>
                <w:kern w:val="0"/>
                <w:highlight w:val="none"/>
              </w:rPr>
              <w:t>月活跃用户量</w:t>
            </w:r>
          </w:p>
        </w:tc>
        <w:tc>
          <w:tcPr>
            <w:tcW w:w="0" w:type="auto"/>
            <w:tcBorders>
              <w:top w:val="nil"/>
              <w:left w:val="nil"/>
              <w:bottom w:val="single" w:color="auto" w:sz="4" w:space="0"/>
              <w:right w:val="single" w:color="auto" w:sz="4" w:space="0"/>
            </w:tcBorders>
            <w:vAlign w:val="center"/>
          </w:tcPr>
          <w:p w14:paraId="5EE6FE6A">
            <w:pPr>
              <w:widowControl/>
              <w:jc w:val="center"/>
              <w:rPr>
                <w:rFonts w:cs="宋体"/>
                <w:color w:val="auto"/>
                <w:kern w:val="0"/>
                <w:highlight w:val="none"/>
              </w:rPr>
            </w:pPr>
            <w:r>
              <w:rPr>
                <w:rFonts w:hint="eastAsia" w:cs="宋体"/>
                <w:color w:val="auto"/>
                <w:kern w:val="0"/>
                <w:highlight w:val="none"/>
              </w:rPr>
              <w:t>≥2000人次/月</w:t>
            </w:r>
          </w:p>
        </w:tc>
      </w:tr>
      <w:tr w14:paraId="7126416F">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73E6D891">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7A0F205E">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3159B35B">
            <w:pPr>
              <w:widowControl/>
              <w:rPr>
                <w:rFonts w:cs="宋体"/>
                <w:color w:val="auto"/>
                <w:kern w:val="0"/>
                <w:highlight w:val="none"/>
              </w:rPr>
            </w:pPr>
          </w:p>
        </w:tc>
        <w:tc>
          <w:tcPr>
            <w:tcW w:w="0" w:type="auto"/>
            <w:vMerge w:val="restart"/>
            <w:tcBorders>
              <w:top w:val="nil"/>
              <w:left w:val="single" w:color="auto" w:sz="4" w:space="0"/>
              <w:bottom w:val="single" w:color="auto" w:sz="4" w:space="0"/>
              <w:right w:val="single" w:color="auto" w:sz="4" w:space="0"/>
            </w:tcBorders>
            <w:vAlign w:val="center"/>
          </w:tcPr>
          <w:p w14:paraId="5942719D">
            <w:pPr>
              <w:widowControl/>
              <w:jc w:val="center"/>
              <w:rPr>
                <w:rFonts w:cs="宋体"/>
                <w:color w:val="auto"/>
                <w:kern w:val="0"/>
                <w:highlight w:val="none"/>
              </w:rPr>
            </w:pPr>
            <w:r>
              <w:rPr>
                <w:rFonts w:hint="eastAsia" w:cs="宋体"/>
                <w:color w:val="auto"/>
                <w:kern w:val="0"/>
                <w:highlight w:val="none"/>
              </w:rPr>
              <w:t>共性平台</w:t>
            </w:r>
          </w:p>
        </w:tc>
        <w:tc>
          <w:tcPr>
            <w:tcW w:w="0" w:type="auto"/>
            <w:tcBorders>
              <w:top w:val="nil"/>
              <w:left w:val="nil"/>
              <w:bottom w:val="single" w:color="auto" w:sz="4" w:space="0"/>
              <w:right w:val="single" w:color="auto" w:sz="4" w:space="0"/>
            </w:tcBorders>
            <w:vAlign w:val="center"/>
          </w:tcPr>
          <w:p w14:paraId="650D7FC8">
            <w:pPr>
              <w:widowControl/>
              <w:jc w:val="center"/>
              <w:rPr>
                <w:rFonts w:cs="宋体"/>
                <w:color w:val="auto"/>
                <w:kern w:val="0"/>
                <w:highlight w:val="none"/>
              </w:rPr>
            </w:pPr>
            <w:r>
              <w:rPr>
                <w:rFonts w:hint="eastAsia" w:cs="宋体"/>
                <w:color w:val="auto"/>
                <w:kern w:val="0"/>
                <w:highlight w:val="none"/>
              </w:rPr>
              <w:t>跨部门数据共享程度</w:t>
            </w:r>
          </w:p>
        </w:tc>
        <w:tc>
          <w:tcPr>
            <w:tcW w:w="0" w:type="auto"/>
            <w:tcBorders>
              <w:top w:val="nil"/>
              <w:left w:val="nil"/>
              <w:bottom w:val="single" w:color="auto" w:sz="4" w:space="0"/>
              <w:right w:val="single" w:color="auto" w:sz="4" w:space="0"/>
            </w:tcBorders>
            <w:vAlign w:val="center"/>
          </w:tcPr>
          <w:p w14:paraId="51EBFD23">
            <w:pPr>
              <w:widowControl/>
              <w:jc w:val="center"/>
              <w:rPr>
                <w:rFonts w:cs="宋体"/>
                <w:color w:val="auto"/>
                <w:kern w:val="0"/>
                <w:highlight w:val="none"/>
              </w:rPr>
            </w:pPr>
            <w:r>
              <w:rPr>
                <w:rFonts w:hint="eastAsia" w:cs="宋体"/>
                <w:color w:val="auto"/>
                <w:kern w:val="0"/>
                <w:highlight w:val="none"/>
              </w:rPr>
              <w:t>≥30%</w:t>
            </w:r>
          </w:p>
        </w:tc>
      </w:tr>
      <w:tr w14:paraId="22077ECE">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63A933C3">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6D33A42B">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712DE7C6">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09219556">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686AC833">
            <w:pPr>
              <w:widowControl/>
              <w:jc w:val="center"/>
              <w:rPr>
                <w:rFonts w:cs="宋体"/>
                <w:color w:val="auto"/>
                <w:kern w:val="0"/>
                <w:highlight w:val="none"/>
              </w:rPr>
            </w:pPr>
            <w:r>
              <w:rPr>
                <w:rFonts w:hint="eastAsia" w:cs="宋体"/>
                <w:color w:val="auto"/>
                <w:kern w:val="0"/>
                <w:highlight w:val="none"/>
              </w:rPr>
              <w:t>核心数据缺失率</w:t>
            </w:r>
          </w:p>
        </w:tc>
        <w:tc>
          <w:tcPr>
            <w:tcW w:w="0" w:type="auto"/>
            <w:tcBorders>
              <w:top w:val="nil"/>
              <w:left w:val="nil"/>
              <w:bottom w:val="single" w:color="auto" w:sz="4" w:space="0"/>
              <w:right w:val="single" w:color="auto" w:sz="4" w:space="0"/>
            </w:tcBorders>
            <w:vAlign w:val="center"/>
          </w:tcPr>
          <w:p w14:paraId="638F4310">
            <w:pPr>
              <w:widowControl/>
              <w:jc w:val="center"/>
              <w:rPr>
                <w:rFonts w:cs="宋体"/>
                <w:color w:val="auto"/>
                <w:kern w:val="0"/>
                <w:highlight w:val="none"/>
              </w:rPr>
            </w:pPr>
            <w:r>
              <w:rPr>
                <w:rFonts w:hint="eastAsia" w:cs="宋体"/>
                <w:color w:val="auto"/>
                <w:kern w:val="0"/>
                <w:highlight w:val="none"/>
              </w:rPr>
              <w:t>≤10%</w:t>
            </w:r>
          </w:p>
        </w:tc>
      </w:tr>
      <w:tr w14:paraId="33676AD2">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14986919">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3604A9C4">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6BF19B31">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EDBA295">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3AF90AAA">
            <w:pPr>
              <w:widowControl/>
              <w:jc w:val="center"/>
              <w:rPr>
                <w:rFonts w:cs="宋体"/>
                <w:color w:val="auto"/>
                <w:kern w:val="0"/>
                <w:highlight w:val="none"/>
              </w:rPr>
            </w:pPr>
            <w:r>
              <w:rPr>
                <w:rFonts w:hint="eastAsia" w:cs="宋体"/>
                <w:color w:val="auto"/>
                <w:kern w:val="0"/>
                <w:highlight w:val="none"/>
              </w:rPr>
              <w:t>统筹对接系统数量</w:t>
            </w:r>
          </w:p>
        </w:tc>
        <w:tc>
          <w:tcPr>
            <w:tcW w:w="0" w:type="auto"/>
            <w:tcBorders>
              <w:top w:val="nil"/>
              <w:left w:val="nil"/>
              <w:bottom w:val="single" w:color="auto" w:sz="4" w:space="0"/>
              <w:right w:val="single" w:color="auto" w:sz="4" w:space="0"/>
            </w:tcBorders>
            <w:vAlign w:val="center"/>
          </w:tcPr>
          <w:p w14:paraId="7F1B021B">
            <w:pPr>
              <w:widowControl/>
              <w:jc w:val="center"/>
              <w:rPr>
                <w:rFonts w:cs="宋体"/>
                <w:color w:val="auto"/>
                <w:kern w:val="0"/>
                <w:highlight w:val="none"/>
              </w:rPr>
            </w:pPr>
            <w:r>
              <w:rPr>
                <w:rFonts w:hint="eastAsia" w:cs="宋体"/>
                <w:color w:val="auto"/>
                <w:kern w:val="0"/>
                <w:highlight w:val="none"/>
              </w:rPr>
              <w:t>≥3个</w:t>
            </w:r>
          </w:p>
        </w:tc>
      </w:tr>
      <w:tr w14:paraId="72863769">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2179C153">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56FA481F">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AADA53A">
            <w:pPr>
              <w:widowControl/>
              <w:rPr>
                <w:rFonts w:cs="宋体"/>
                <w:color w:val="auto"/>
                <w:kern w:val="0"/>
                <w:highlight w:val="none"/>
              </w:rPr>
            </w:pPr>
          </w:p>
        </w:tc>
        <w:tc>
          <w:tcPr>
            <w:tcW w:w="0" w:type="auto"/>
            <w:vMerge w:val="restart"/>
            <w:tcBorders>
              <w:top w:val="nil"/>
              <w:left w:val="single" w:color="auto" w:sz="4" w:space="0"/>
              <w:bottom w:val="single" w:color="auto" w:sz="4" w:space="0"/>
              <w:right w:val="single" w:color="auto" w:sz="4" w:space="0"/>
            </w:tcBorders>
            <w:vAlign w:val="center"/>
          </w:tcPr>
          <w:p w14:paraId="52A88559">
            <w:pPr>
              <w:widowControl/>
              <w:jc w:val="center"/>
              <w:rPr>
                <w:rFonts w:cs="宋体"/>
                <w:color w:val="auto"/>
                <w:kern w:val="0"/>
                <w:highlight w:val="none"/>
              </w:rPr>
            </w:pPr>
            <w:r>
              <w:rPr>
                <w:rFonts w:hint="eastAsia" w:cs="宋体"/>
                <w:color w:val="auto"/>
                <w:kern w:val="0"/>
                <w:highlight w:val="none"/>
              </w:rPr>
              <w:t>大模型应用</w:t>
            </w:r>
          </w:p>
        </w:tc>
        <w:tc>
          <w:tcPr>
            <w:tcW w:w="0" w:type="auto"/>
            <w:tcBorders>
              <w:top w:val="nil"/>
              <w:left w:val="nil"/>
              <w:bottom w:val="single" w:color="auto" w:sz="4" w:space="0"/>
              <w:right w:val="single" w:color="auto" w:sz="4" w:space="0"/>
            </w:tcBorders>
            <w:vAlign w:val="center"/>
          </w:tcPr>
          <w:p w14:paraId="26109B06">
            <w:pPr>
              <w:widowControl/>
              <w:jc w:val="center"/>
              <w:rPr>
                <w:rFonts w:cs="宋体"/>
                <w:color w:val="auto"/>
                <w:kern w:val="0"/>
                <w:highlight w:val="none"/>
              </w:rPr>
            </w:pPr>
            <w:r>
              <w:rPr>
                <w:rFonts w:hint="eastAsia" w:cs="宋体"/>
                <w:color w:val="auto"/>
                <w:kern w:val="0"/>
                <w:highlight w:val="none"/>
              </w:rPr>
              <w:t>形成语料库条目数</w:t>
            </w:r>
          </w:p>
        </w:tc>
        <w:tc>
          <w:tcPr>
            <w:tcW w:w="0" w:type="auto"/>
            <w:tcBorders>
              <w:top w:val="nil"/>
              <w:left w:val="nil"/>
              <w:bottom w:val="single" w:color="auto" w:sz="4" w:space="0"/>
              <w:right w:val="single" w:color="auto" w:sz="4" w:space="0"/>
            </w:tcBorders>
            <w:vAlign w:val="center"/>
          </w:tcPr>
          <w:p w14:paraId="6617FA09">
            <w:pPr>
              <w:widowControl/>
              <w:jc w:val="center"/>
              <w:rPr>
                <w:rFonts w:cs="宋体"/>
                <w:color w:val="auto"/>
                <w:kern w:val="0"/>
                <w:highlight w:val="none"/>
              </w:rPr>
            </w:pPr>
            <w:r>
              <w:rPr>
                <w:rFonts w:hint="eastAsia" w:cs="宋体"/>
                <w:color w:val="auto"/>
                <w:kern w:val="0"/>
                <w:highlight w:val="none"/>
              </w:rPr>
              <w:t>≥80000条</w:t>
            </w:r>
          </w:p>
        </w:tc>
      </w:tr>
      <w:tr w14:paraId="3091D92B">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2208B5ED">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43380576">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7365AD4">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B47647C">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5CE6D158">
            <w:pPr>
              <w:widowControl/>
              <w:jc w:val="center"/>
              <w:rPr>
                <w:rFonts w:cs="宋体"/>
                <w:color w:val="auto"/>
                <w:kern w:val="0"/>
                <w:highlight w:val="none"/>
              </w:rPr>
            </w:pPr>
            <w:r>
              <w:rPr>
                <w:rFonts w:hint="eastAsia" w:cs="宋体"/>
                <w:color w:val="auto"/>
                <w:kern w:val="0"/>
                <w:highlight w:val="none"/>
              </w:rPr>
              <w:t>数据目录覆盖率</w:t>
            </w:r>
          </w:p>
        </w:tc>
        <w:tc>
          <w:tcPr>
            <w:tcW w:w="0" w:type="auto"/>
            <w:tcBorders>
              <w:top w:val="nil"/>
              <w:left w:val="nil"/>
              <w:bottom w:val="single" w:color="auto" w:sz="4" w:space="0"/>
              <w:right w:val="single" w:color="auto" w:sz="4" w:space="0"/>
            </w:tcBorders>
            <w:vAlign w:val="center"/>
          </w:tcPr>
          <w:p w14:paraId="1DFA172E">
            <w:pPr>
              <w:widowControl/>
              <w:jc w:val="center"/>
              <w:rPr>
                <w:rFonts w:cs="宋体"/>
                <w:color w:val="auto"/>
                <w:kern w:val="0"/>
                <w:highlight w:val="none"/>
              </w:rPr>
            </w:pPr>
            <w:r>
              <w:rPr>
                <w:rFonts w:hint="eastAsia" w:cs="宋体"/>
                <w:color w:val="auto"/>
                <w:kern w:val="0"/>
                <w:highlight w:val="none"/>
              </w:rPr>
              <w:t>≥90%</w:t>
            </w:r>
          </w:p>
        </w:tc>
      </w:tr>
      <w:tr w14:paraId="17FE3565">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66451D3C">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047F861B">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B485E3A">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2539530">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2B8F1C2B">
            <w:pPr>
              <w:widowControl/>
              <w:jc w:val="center"/>
              <w:rPr>
                <w:rFonts w:cs="宋体"/>
                <w:color w:val="auto"/>
                <w:kern w:val="0"/>
                <w:highlight w:val="none"/>
              </w:rPr>
            </w:pPr>
            <w:r>
              <w:rPr>
                <w:rFonts w:hint="eastAsia" w:cs="宋体"/>
                <w:color w:val="auto"/>
                <w:kern w:val="0"/>
                <w:highlight w:val="none"/>
              </w:rPr>
              <w:t>数据编目更新及时率</w:t>
            </w:r>
          </w:p>
        </w:tc>
        <w:tc>
          <w:tcPr>
            <w:tcW w:w="0" w:type="auto"/>
            <w:tcBorders>
              <w:top w:val="nil"/>
              <w:left w:val="nil"/>
              <w:bottom w:val="single" w:color="auto" w:sz="4" w:space="0"/>
              <w:right w:val="single" w:color="auto" w:sz="4" w:space="0"/>
            </w:tcBorders>
            <w:vAlign w:val="center"/>
          </w:tcPr>
          <w:p w14:paraId="2C386D45">
            <w:pPr>
              <w:widowControl/>
              <w:jc w:val="center"/>
              <w:rPr>
                <w:rFonts w:cs="宋体"/>
                <w:color w:val="auto"/>
                <w:kern w:val="0"/>
                <w:highlight w:val="none"/>
              </w:rPr>
            </w:pPr>
            <w:r>
              <w:rPr>
                <w:rFonts w:hint="eastAsia" w:cs="宋体"/>
                <w:color w:val="auto"/>
                <w:kern w:val="0"/>
                <w:highlight w:val="none"/>
              </w:rPr>
              <w:t>≥95%</w:t>
            </w:r>
          </w:p>
        </w:tc>
      </w:tr>
      <w:tr w14:paraId="1146539B">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0E532555">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26CBE5DA">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773DA9F8">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3AE7DC4">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281B869F">
            <w:pPr>
              <w:widowControl/>
              <w:jc w:val="center"/>
              <w:rPr>
                <w:rFonts w:cs="宋体"/>
                <w:color w:val="auto"/>
                <w:kern w:val="0"/>
                <w:highlight w:val="none"/>
              </w:rPr>
            </w:pPr>
            <w:r>
              <w:rPr>
                <w:rFonts w:hint="eastAsia" w:cs="宋体"/>
                <w:color w:val="auto"/>
                <w:kern w:val="0"/>
                <w:highlight w:val="none"/>
              </w:rPr>
              <w:t>语料加工数据准确率</w:t>
            </w:r>
          </w:p>
        </w:tc>
        <w:tc>
          <w:tcPr>
            <w:tcW w:w="0" w:type="auto"/>
            <w:tcBorders>
              <w:top w:val="nil"/>
              <w:left w:val="nil"/>
              <w:bottom w:val="single" w:color="auto" w:sz="4" w:space="0"/>
              <w:right w:val="single" w:color="auto" w:sz="4" w:space="0"/>
            </w:tcBorders>
            <w:vAlign w:val="center"/>
          </w:tcPr>
          <w:p w14:paraId="43084100">
            <w:pPr>
              <w:widowControl/>
              <w:jc w:val="center"/>
              <w:rPr>
                <w:rFonts w:cs="宋体"/>
                <w:color w:val="auto"/>
                <w:kern w:val="0"/>
                <w:highlight w:val="none"/>
              </w:rPr>
            </w:pPr>
            <w:r>
              <w:rPr>
                <w:rFonts w:hint="eastAsia" w:cs="宋体"/>
                <w:color w:val="auto"/>
                <w:kern w:val="0"/>
                <w:highlight w:val="none"/>
              </w:rPr>
              <w:t>≥75%</w:t>
            </w:r>
          </w:p>
        </w:tc>
      </w:tr>
      <w:tr w14:paraId="673F9DD1">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52021DA0">
            <w:pPr>
              <w:widowControl/>
              <w:rPr>
                <w:rFonts w:cs="宋体"/>
                <w:color w:val="auto"/>
                <w:kern w:val="0"/>
                <w:highlight w:val="none"/>
              </w:rPr>
            </w:pPr>
          </w:p>
        </w:tc>
        <w:tc>
          <w:tcPr>
            <w:tcW w:w="1123" w:type="dxa"/>
            <w:vMerge w:val="restart"/>
            <w:tcBorders>
              <w:top w:val="nil"/>
              <w:left w:val="single" w:color="auto" w:sz="4" w:space="0"/>
              <w:bottom w:val="single" w:color="auto" w:sz="4" w:space="0"/>
              <w:right w:val="single" w:color="auto" w:sz="4" w:space="0"/>
            </w:tcBorders>
            <w:vAlign w:val="center"/>
          </w:tcPr>
          <w:p w14:paraId="3637656F">
            <w:pPr>
              <w:widowControl/>
              <w:jc w:val="center"/>
              <w:rPr>
                <w:rFonts w:cs="宋体"/>
                <w:color w:val="auto"/>
                <w:kern w:val="0"/>
                <w:highlight w:val="none"/>
              </w:rPr>
            </w:pPr>
            <w:r>
              <w:rPr>
                <w:rFonts w:hint="eastAsia" w:cs="宋体"/>
                <w:color w:val="auto"/>
                <w:kern w:val="0"/>
                <w:highlight w:val="none"/>
              </w:rPr>
              <w:t>业务指标</w:t>
            </w:r>
          </w:p>
        </w:tc>
        <w:tc>
          <w:tcPr>
            <w:tcW w:w="0" w:type="auto"/>
            <w:vMerge w:val="restart"/>
            <w:tcBorders>
              <w:top w:val="nil"/>
              <w:left w:val="single" w:color="auto" w:sz="4" w:space="0"/>
              <w:bottom w:val="single" w:color="auto" w:sz="4" w:space="0"/>
              <w:right w:val="single" w:color="auto" w:sz="4" w:space="0"/>
            </w:tcBorders>
            <w:vAlign w:val="center"/>
          </w:tcPr>
          <w:p w14:paraId="063B12CB">
            <w:pPr>
              <w:widowControl/>
              <w:jc w:val="center"/>
              <w:rPr>
                <w:rFonts w:cs="宋体"/>
                <w:color w:val="auto"/>
                <w:kern w:val="0"/>
                <w:highlight w:val="none"/>
              </w:rPr>
            </w:pPr>
            <w:r>
              <w:rPr>
                <w:rFonts w:hint="eastAsia" w:cs="宋体"/>
                <w:color w:val="auto"/>
                <w:kern w:val="0"/>
                <w:highlight w:val="none"/>
              </w:rPr>
              <w:t>产出指标</w:t>
            </w:r>
          </w:p>
        </w:tc>
        <w:tc>
          <w:tcPr>
            <w:tcW w:w="0" w:type="auto"/>
            <w:tcBorders>
              <w:top w:val="nil"/>
              <w:left w:val="nil"/>
              <w:bottom w:val="single" w:color="auto" w:sz="4" w:space="0"/>
              <w:right w:val="single" w:color="auto" w:sz="4" w:space="0"/>
            </w:tcBorders>
            <w:vAlign w:val="center"/>
          </w:tcPr>
          <w:p w14:paraId="234CA374">
            <w:pPr>
              <w:widowControl/>
              <w:jc w:val="center"/>
              <w:rPr>
                <w:rFonts w:cs="宋体"/>
                <w:color w:val="auto"/>
                <w:kern w:val="0"/>
                <w:highlight w:val="none"/>
              </w:rPr>
            </w:pPr>
            <w:r>
              <w:rPr>
                <w:rFonts w:hint="eastAsia" w:cs="宋体"/>
                <w:color w:val="auto"/>
                <w:kern w:val="0"/>
                <w:highlight w:val="none"/>
              </w:rPr>
              <w:t>产出数量</w:t>
            </w:r>
          </w:p>
        </w:tc>
        <w:tc>
          <w:tcPr>
            <w:tcW w:w="0" w:type="auto"/>
            <w:tcBorders>
              <w:top w:val="nil"/>
              <w:left w:val="nil"/>
              <w:bottom w:val="single" w:color="auto" w:sz="4" w:space="0"/>
              <w:right w:val="single" w:color="auto" w:sz="4" w:space="0"/>
            </w:tcBorders>
            <w:vAlign w:val="center"/>
          </w:tcPr>
          <w:p w14:paraId="4E276B56">
            <w:pPr>
              <w:widowControl/>
              <w:jc w:val="center"/>
              <w:rPr>
                <w:rFonts w:cs="宋体"/>
                <w:color w:val="auto"/>
                <w:kern w:val="0"/>
                <w:highlight w:val="none"/>
              </w:rPr>
            </w:pPr>
            <w:r>
              <w:rPr>
                <w:rFonts w:hint="eastAsia" w:cs="宋体"/>
                <w:color w:val="auto"/>
                <w:kern w:val="0"/>
                <w:highlight w:val="none"/>
              </w:rPr>
              <w:t>形成模型数量</w:t>
            </w:r>
          </w:p>
        </w:tc>
        <w:tc>
          <w:tcPr>
            <w:tcW w:w="0" w:type="auto"/>
            <w:tcBorders>
              <w:top w:val="nil"/>
              <w:left w:val="nil"/>
              <w:bottom w:val="single" w:color="auto" w:sz="4" w:space="0"/>
              <w:right w:val="single" w:color="auto" w:sz="4" w:space="0"/>
            </w:tcBorders>
            <w:vAlign w:val="center"/>
          </w:tcPr>
          <w:p w14:paraId="594DA60C">
            <w:pPr>
              <w:widowControl/>
              <w:jc w:val="center"/>
              <w:rPr>
                <w:rFonts w:cs="宋体"/>
                <w:color w:val="auto"/>
                <w:kern w:val="0"/>
                <w:highlight w:val="none"/>
              </w:rPr>
            </w:pPr>
            <w:r>
              <w:rPr>
                <w:rFonts w:hint="eastAsia" w:cs="宋体"/>
                <w:color w:val="auto"/>
                <w:kern w:val="0"/>
                <w:highlight w:val="none"/>
              </w:rPr>
              <w:t>=6个</w:t>
            </w:r>
          </w:p>
        </w:tc>
      </w:tr>
      <w:tr w14:paraId="35C57C45">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0E965AFB">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392D12EB">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13BA301">
            <w:pPr>
              <w:widowControl/>
              <w:rPr>
                <w:rFonts w:cs="宋体"/>
                <w:color w:val="auto"/>
                <w:kern w:val="0"/>
                <w:highlight w:val="none"/>
              </w:rPr>
            </w:pPr>
          </w:p>
        </w:tc>
        <w:tc>
          <w:tcPr>
            <w:tcW w:w="0" w:type="auto"/>
            <w:vMerge w:val="restart"/>
            <w:tcBorders>
              <w:top w:val="nil"/>
              <w:left w:val="single" w:color="auto" w:sz="4" w:space="0"/>
              <w:bottom w:val="single" w:color="auto" w:sz="4" w:space="0"/>
              <w:right w:val="single" w:color="auto" w:sz="4" w:space="0"/>
            </w:tcBorders>
            <w:vAlign w:val="center"/>
          </w:tcPr>
          <w:p w14:paraId="37E92AD7">
            <w:pPr>
              <w:widowControl/>
              <w:jc w:val="center"/>
              <w:rPr>
                <w:rFonts w:cs="宋体"/>
                <w:color w:val="auto"/>
                <w:kern w:val="0"/>
                <w:highlight w:val="none"/>
              </w:rPr>
            </w:pPr>
            <w:r>
              <w:rPr>
                <w:rFonts w:hint="eastAsia" w:cs="宋体"/>
                <w:color w:val="auto"/>
                <w:kern w:val="0"/>
                <w:highlight w:val="none"/>
              </w:rPr>
              <w:t>产出质量</w:t>
            </w:r>
          </w:p>
        </w:tc>
        <w:tc>
          <w:tcPr>
            <w:tcW w:w="0" w:type="auto"/>
            <w:tcBorders>
              <w:top w:val="nil"/>
              <w:left w:val="nil"/>
              <w:bottom w:val="single" w:color="auto" w:sz="4" w:space="0"/>
              <w:right w:val="single" w:color="auto" w:sz="4" w:space="0"/>
            </w:tcBorders>
            <w:vAlign w:val="center"/>
          </w:tcPr>
          <w:p w14:paraId="071D4CE8">
            <w:pPr>
              <w:widowControl/>
              <w:jc w:val="center"/>
              <w:rPr>
                <w:rFonts w:cs="宋体"/>
                <w:color w:val="auto"/>
                <w:kern w:val="0"/>
                <w:highlight w:val="none"/>
              </w:rPr>
            </w:pPr>
            <w:r>
              <w:rPr>
                <w:rFonts w:hint="eastAsia" w:cs="宋体"/>
                <w:color w:val="auto"/>
                <w:kern w:val="0"/>
                <w:highlight w:val="none"/>
              </w:rPr>
              <w:t>支持同时在线人数</w:t>
            </w:r>
          </w:p>
        </w:tc>
        <w:tc>
          <w:tcPr>
            <w:tcW w:w="0" w:type="auto"/>
            <w:tcBorders>
              <w:top w:val="nil"/>
              <w:left w:val="nil"/>
              <w:bottom w:val="single" w:color="auto" w:sz="4" w:space="0"/>
              <w:right w:val="single" w:color="auto" w:sz="4" w:space="0"/>
            </w:tcBorders>
            <w:vAlign w:val="center"/>
          </w:tcPr>
          <w:p w14:paraId="0A1C08BF">
            <w:pPr>
              <w:widowControl/>
              <w:jc w:val="center"/>
              <w:rPr>
                <w:rFonts w:cs="宋体"/>
                <w:color w:val="auto"/>
                <w:kern w:val="0"/>
                <w:highlight w:val="none"/>
              </w:rPr>
            </w:pPr>
            <w:r>
              <w:rPr>
                <w:rFonts w:hint="eastAsia" w:cs="宋体"/>
                <w:color w:val="auto"/>
                <w:kern w:val="0"/>
                <w:highlight w:val="none"/>
              </w:rPr>
              <w:t>≥1000人</w:t>
            </w:r>
          </w:p>
        </w:tc>
      </w:tr>
      <w:tr w14:paraId="36884F3D">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743D20BB">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681D9294">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18D204A">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E1C9FA2">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1B24E125">
            <w:pPr>
              <w:widowControl/>
              <w:jc w:val="center"/>
              <w:rPr>
                <w:rFonts w:cs="宋体"/>
                <w:color w:val="auto"/>
                <w:kern w:val="0"/>
                <w:highlight w:val="none"/>
              </w:rPr>
            </w:pPr>
            <w:r>
              <w:rPr>
                <w:rFonts w:hint="eastAsia" w:cs="宋体"/>
                <w:color w:val="auto"/>
                <w:kern w:val="0"/>
                <w:highlight w:val="none"/>
              </w:rPr>
              <w:t>支持并发用户数</w:t>
            </w:r>
          </w:p>
        </w:tc>
        <w:tc>
          <w:tcPr>
            <w:tcW w:w="0" w:type="auto"/>
            <w:tcBorders>
              <w:top w:val="nil"/>
              <w:left w:val="nil"/>
              <w:bottom w:val="single" w:color="auto" w:sz="4" w:space="0"/>
              <w:right w:val="single" w:color="auto" w:sz="4" w:space="0"/>
            </w:tcBorders>
            <w:vAlign w:val="center"/>
          </w:tcPr>
          <w:p w14:paraId="70DE135E">
            <w:pPr>
              <w:widowControl/>
              <w:jc w:val="center"/>
              <w:rPr>
                <w:rFonts w:cs="宋体"/>
                <w:color w:val="auto"/>
                <w:kern w:val="0"/>
                <w:highlight w:val="none"/>
              </w:rPr>
            </w:pPr>
            <w:r>
              <w:rPr>
                <w:rFonts w:hint="eastAsia" w:cs="宋体"/>
                <w:color w:val="auto"/>
                <w:kern w:val="0"/>
                <w:highlight w:val="none"/>
              </w:rPr>
              <w:t>≥100个</w:t>
            </w:r>
          </w:p>
        </w:tc>
      </w:tr>
      <w:tr w14:paraId="747C67F1">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2654AE87">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19B842F1">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4CECDF7B">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364659E9">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43F40C85">
            <w:pPr>
              <w:widowControl/>
              <w:jc w:val="center"/>
              <w:rPr>
                <w:rFonts w:cs="宋体"/>
                <w:color w:val="auto"/>
                <w:kern w:val="0"/>
                <w:highlight w:val="none"/>
              </w:rPr>
            </w:pPr>
            <w:r>
              <w:rPr>
                <w:rFonts w:hint="eastAsia" w:cs="宋体"/>
                <w:color w:val="auto"/>
                <w:kern w:val="0"/>
                <w:highlight w:val="none"/>
              </w:rPr>
              <w:t>智能交互平均响应时间</w:t>
            </w:r>
          </w:p>
        </w:tc>
        <w:tc>
          <w:tcPr>
            <w:tcW w:w="0" w:type="auto"/>
            <w:tcBorders>
              <w:top w:val="nil"/>
              <w:left w:val="nil"/>
              <w:bottom w:val="single" w:color="auto" w:sz="4" w:space="0"/>
              <w:right w:val="single" w:color="auto" w:sz="4" w:space="0"/>
            </w:tcBorders>
            <w:vAlign w:val="center"/>
          </w:tcPr>
          <w:p w14:paraId="04913219">
            <w:pPr>
              <w:widowControl/>
              <w:jc w:val="center"/>
              <w:rPr>
                <w:rFonts w:cs="宋体"/>
                <w:color w:val="auto"/>
                <w:kern w:val="0"/>
                <w:highlight w:val="none"/>
              </w:rPr>
            </w:pPr>
            <w:r>
              <w:rPr>
                <w:rFonts w:hint="eastAsia" w:cs="宋体"/>
                <w:color w:val="auto"/>
                <w:kern w:val="0"/>
                <w:highlight w:val="none"/>
              </w:rPr>
              <w:t>≤3秒</w:t>
            </w:r>
          </w:p>
        </w:tc>
      </w:tr>
      <w:tr w14:paraId="02B542D9">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63AC7618">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6A3B6623">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03CA2A61">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7DC880A9">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0FFCC0CB">
            <w:pPr>
              <w:widowControl/>
              <w:jc w:val="center"/>
              <w:rPr>
                <w:rFonts w:cs="宋体"/>
                <w:color w:val="auto"/>
                <w:kern w:val="0"/>
                <w:highlight w:val="none"/>
              </w:rPr>
            </w:pPr>
            <w:r>
              <w:rPr>
                <w:rFonts w:hint="eastAsia" w:cs="宋体"/>
                <w:color w:val="auto"/>
                <w:kern w:val="0"/>
                <w:highlight w:val="none"/>
              </w:rPr>
              <w:t>智能探查结果准确率</w:t>
            </w:r>
          </w:p>
        </w:tc>
        <w:tc>
          <w:tcPr>
            <w:tcW w:w="0" w:type="auto"/>
            <w:tcBorders>
              <w:top w:val="nil"/>
              <w:left w:val="nil"/>
              <w:bottom w:val="single" w:color="auto" w:sz="4" w:space="0"/>
              <w:right w:val="single" w:color="auto" w:sz="4" w:space="0"/>
            </w:tcBorders>
            <w:vAlign w:val="center"/>
          </w:tcPr>
          <w:p w14:paraId="6E7CE6B6">
            <w:pPr>
              <w:widowControl/>
              <w:jc w:val="center"/>
              <w:rPr>
                <w:rFonts w:cs="宋体"/>
                <w:color w:val="auto"/>
                <w:kern w:val="0"/>
                <w:highlight w:val="none"/>
              </w:rPr>
            </w:pPr>
            <w:r>
              <w:rPr>
                <w:rFonts w:hint="eastAsia" w:cs="宋体"/>
                <w:color w:val="auto"/>
                <w:kern w:val="0"/>
                <w:highlight w:val="none"/>
              </w:rPr>
              <w:t>≥90%</w:t>
            </w:r>
          </w:p>
        </w:tc>
      </w:tr>
      <w:tr w14:paraId="40472A98">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7ED233BA">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61176FEA">
            <w:pPr>
              <w:widowControl/>
              <w:rPr>
                <w:rFonts w:cs="宋体"/>
                <w:color w:val="auto"/>
                <w:kern w:val="0"/>
                <w:highlight w:val="none"/>
              </w:rPr>
            </w:pPr>
          </w:p>
        </w:tc>
        <w:tc>
          <w:tcPr>
            <w:tcW w:w="0" w:type="auto"/>
            <w:vMerge w:val="restart"/>
            <w:tcBorders>
              <w:top w:val="nil"/>
              <w:left w:val="single" w:color="auto" w:sz="4" w:space="0"/>
              <w:bottom w:val="single" w:color="auto" w:sz="4" w:space="0"/>
              <w:right w:val="single" w:color="auto" w:sz="4" w:space="0"/>
            </w:tcBorders>
            <w:vAlign w:val="center"/>
          </w:tcPr>
          <w:p w14:paraId="5B2D52D3">
            <w:pPr>
              <w:widowControl/>
              <w:jc w:val="center"/>
              <w:rPr>
                <w:rFonts w:cs="宋体"/>
                <w:color w:val="auto"/>
                <w:kern w:val="0"/>
                <w:highlight w:val="none"/>
              </w:rPr>
            </w:pPr>
            <w:r>
              <w:rPr>
                <w:rFonts w:hint="eastAsia" w:cs="宋体"/>
                <w:color w:val="auto"/>
                <w:kern w:val="0"/>
                <w:highlight w:val="none"/>
              </w:rPr>
              <w:t>效益指标</w:t>
            </w:r>
          </w:p>
        </w:tc>
        <w:tc>
          <w:tcPr>
            <w:tcW w:w="0" w:type="auto"/>
            <w:vMerge w:val="restart"/>
            <w:tcBorders>
              <w:top w:val="nil"/>
              <w:left w:val="single" w:color="auto" w:sz="4" w:space="0"/>
              <w:bottom w:val="single" w:color="auto" w:sz="4" w:space="0"/>
              <w:right w:val="single" w:color="auto" w:sz="4" w:space="0"/>
            </w:tcBorders>
            <w:vAlign w:val="center"/>
          </w:tcPr>
          <w:p w14:paraId="74CF5B4A">
            <w:pPr>
              <w:widowControl/>
              <w:jc w:val="center"/>
              <w:rPr>
                <w:rFonts w:cs="宋体"/>
                <w:color w:val="auto"/>
                <w:kern w:val="0"/>
                <w:highlight w:val="none"/>
              </w:rPr>
            </w:pPr>
            <w:r>
              <w:rPr>
                <w:rFonts w:hint="eastAsia" w:cs="宋体"/>
                <w:color w:val="auto"/>
                <w:kern w:val="0"/>
                <w:highlight w:val="none"/>
              </w:rPr>
              <w:t>社会效益</w:t>
            </w:r>
          </w:p>
        </w:tc>
        <w:tc>
          <w:tcPr>
            <w:tcW w:w="0" w:type="auto"/>
            <w:tcBorders>
              <w:top w:val="nil"/>
              <w:left w:val="nil"/>
              <w:bottom w:val="single" w:color="auto" w:sz="4" w:space="0"/>
              <w:right w:val="single" w:color="auto" w:sz="4" w:space="0"/>
            </w:tcBorders>
            <w:vAlign w:val="center"/>
          </w:tcPr>
          <w:p w14:paraId="51EE22A3">
            <w:pPr>
              <w:widowControl/>
              <w:jc w:val="center"/>
              <w:rPr>
                <w:rFonts w:cs="宋体"/>
                <w:color w:val="auto"/>
                <w:kern w:val="0"/>
                <w:highlight w:val="none"/>
              </w:rPr>
            </w:pPr>
            <w:r>
              <w:rPr>
                <w:rFonts w:hint="eastAsia" w:cs="宋体"/>
                <w:color w:val="auto"/>
                <w:kern w:val="0"/>
                <w:highlight w:val="none"/>
              </w:rPr>
              <w:t>全部模块国产化安全可控</w:t>
            </w:r>
          </w:p>
        </w:tc>
        <w:tc>
          <w:tcPr>
            <w:tcW w:w="0" w:type="auto"/>
            <w:tcBorders>
              <w:top w:val="nil"/>
              <w:left w:val="nil"/>
              <w:bottom w:val="single" w:color="auto" w:sz="4" w:space="0"/>
              <w:right w:val="single" w:color="auto" w:sz="4" w:space="0"/>
            </w:tcBorders>
            <w:vAlign w:val="center"/>
          </w:tcPr>
          <w:p w14:paraId="37B3B1B0">
            <w:pPr>
              <w:widowControl/>
              <w:jc w:val="center"/>
              <w:rPr>
                <w:rFonts w:cs="宋体"/>
                <w:color w:val="auto"/>
                <w:kern w:val="0"/>
                <w:highlight w:val="none"/>
              </w:rPr>
            </w:pPr>
            <w:r>
              <w:rPr>
                <w:rFonts w:hint="eastAsia" w:cs="宋体"/>
                <w:color w:val="auto"/>
                <w:kern w:val="0"/>
                <w:highlight w:val="none"/>
              </w:rPr>
              <w:t>实现</w:t>
            </w:r>
          </w:p>
        </w:tc>
      </w:tr>
      <w:tr w14:paraId="5807D2F1">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0539DDE4">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1802310C">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27205C32">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1F7DC4E8">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36F7AA7C">
            <w:pPr>
              <w:widowControl/>
              <w:jc w:val="center"/>
              <w:rPr>
                <w:rFonts w:cs="宋体"/>
                <w:color w:val="auto"/>
                <w:kern w:val="0"/>
                <w:highlight w:val="none"/>
              </w:rPr>
            </w:pPr>
            <w:r>
              <w:rPr>
                <w:rFonts w:hint="eastAsia" w:cs="宋体"/>
                <w:color w:val="auto"/>
                <w:kern w:val="0"/>
                <w:highlight w:val="none"/>
              </w:rPr>
              <w:t>服务合作机构数量</w:t>
            </w:r>
          </w:p>
        </w:tc>
        <w:tc>
          <w:tcPr>
            <w:tcW w:w="0" w:type="auto"/>
            <w:tcBorders>
              <w:top w:val="nil"/>
              <w:left w:val="nil"/>
              <w:bottom w:val="single" w:color="auto" w:sz="4" w:space="0"/>
              <w:right w:val="single" w:color="auto" w:sz="4" w:space="0"/>
            </w:tcBorders>
            <w:vAlign w:val="center"/>
          </w:tcPr>
          <w:p w14:paraId="56542559">
            <w:pPr>
              <w:widowControl/>
              <w:jc w:val="center"/>
              <w:rPr>
                <w:rFonts w:cs="宋体"/>
                <w:color w:val="auto"/>
                <w:kern w:val="0"/>
                <w:highlight w:val="none"/>
              </w:rPr>
            </w:pPr>
            <w:r>
              <w:rPr>
                <w:rFonts w:hint="eastAsia" w:cs="宋体"/>
                <w:color w:val="auto"/>
                <w:kern w:val="0"/>
                <w:highlight w:val="none"/>
              </w:rPr>
              <w:t>≥500家</w:t>
            </w:r>
          </w:p>
        </w:tc>
      </w:tr>
      <w:tr w14:paraId="3186F2EC">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3F3448E2">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53DCDE11">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B401574">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4483F6D4">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15A10E3E">
            <w:pPr>
              <w:widowControl/>
              <w:jc w:val="center"/>
              <w:rPr>
                <w:rFonts w:cs="宋体"/>
                <w:color w:val="auto"/>
                <w:kern w:val="0"/>
                <w:highlight w:val="none"/>
              </w:rPr>
            </w:pPr>
            <w:r>
              <w:rPr>
                <w:rFonts w:hint="eastAsia" w:cs="宋体"/>
                <w:color w:val="auto"/>
                <w:kern w:val="0"/>
                <w:highlight w:val="none"/>
              </w:rPr>
              <w:t>每月完成信用评估企业数量</w:t>
            </w:r>
          </w:p>
        </w:tc>
        <w:tc>
          <w:tcPr>
            <w:tcW w:w="0" w:type="auto"/>
            <w:tcBorders>
              <w:top w:val="nil"/>
              <w:left w:val="nil"/>
              <w:bottom w:val="single" w:color="auto" w:sz="4" w:space="0"/>
              <w:right w:val="single" w:color="auto" w:sz="4" w:space="0"/>
            </w:tcBorders>
            <w:vAlign w:val="center"/>
          </w:tcPr>
          <w:p w14:paraId="5EAC113A">
            <w:pPr>
              <w:widowControl/>
              <w:jc w:val="center"/>
              <w:rPr>
                <w:rFonts w:cs="宋体"/>
                <w:color w:val="auto"/>
                <w:kern w:val="0"/>
                <w:highlight w:val="none"/>
              </w:rPr>
            </w:pPr>
            <w:r>
              <w:rPr>
                <w:rFonts w:hint="eastAsia" w:cs="宋体"/>
                <w:color w:val="auto"/>
                <w:kern w:val="0"/>
                <w:highlight w:val="none"/>
              </w:rPr>
              <w:t>≥1500家</w:t>
            </w:r>
          </w:p>
        </w:tc>
      </w:tr>
      <w:tr w14:paraId="7C389E0A">
        <w:tblPrEx>
          <w:tblCellMar>
            <w:top w:w="0" w:type="dxa"/>
            <w:left w:w="108" w:type="dxa"/>
            <w:bottom w:w="0" w:type="dxa"/>
            <w:right w:w="108" w:type="dxa"/>
          </w:tblCellMar>
        </w:tblPrEx>
        <w:trPr>
          <w:trHeight w:val="20" w:hRule="atLeast"/>
        </w:trPr>
        <w:tc>
          <w:tcPr>
            <w:tcW w:w="1129" w:type="dxa"/>
            <w:vMerge w:val="continue"/>
            <w:tcBorders>
              <w:top w:val="nil"/>
              <w:left w:val="single" w:color="auto" w:sz="4" w:space="0"/>
              <w:bottom w:val="single" w:color="auto" w:sz="4" w:space="0"/>
              <w:right w:val="single" w:color="auto" w:sz="4" w:space="0"/>
            </w:tcBorders>
            <w:vAlign w:val="center"/>
          </w:tcPr>
          <w:p w14:paraId="2122081A">
            <w:pPr>
              <w:widowControl/>
              <w:rPr>
                <w:rFonts w:cs="宋体"/>
                <w:color w:val="auto"/>
                <w:kern w:val="0"/>
                <w:highlight w:val="none"/>
              </w:rPr>
            </w:pPr>
          </w:p>
        </w:tc>
        <w:tc>
          <w:tcPr>
            <w:tcW w:w="1123" w:type="dxa"/>
            <w:vMerge w:val="continue"/>
            <w:tcBorders>
              <w:top w:val="nil"/>
              <w:left w:val="single" w:color="auto" w:sz="4" w:space="0"/>
              <w:bottom w:val="single" w:color="auto" w:sz="4" w:space="0"/>
              <w:right w:val="single" w:color="auto" w:sz="4" w:space="0"/>
            </w:tcBorders>
            <w:vAlign w:val="center"/>
          </w:tcPr>
          <w:p w14:paraId="319D820C">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0292CD78">
            <w:pPr>
              <w:widowControl/>
              <w:rPr>
                <w:rFonts w:cs="宋体"/>
                <w:color w:val="auto"/>
                <w:kern w:val="0"/>
                <w:highlight w:val="none"/>
              </w:rPr>
            </w:pPr>
          </w:p>
        </w:tc>
        <w:tc>
          <w:tcPr>
            <w:tcW w:w="0" w:type="auto"/>
            <w:vMerge w:val="continue"/>
            <w:tcBorders>
              <w:top w:val="nil"/>
              <w:left w:val="single" w:color="auto" w:sz="4" w:space="0"/>
              <w:bottom w:val="single" w:color="auto" w:sz="4" w:space="0"/>
              <w:right w:val="single" w:color="auto" w:sz="4" w:space="0"/>
            </w:tcBorders>
            <w:vAlign w:val="center"/>
          </w:tcPr>
          <w:p w14:paraId="54E13688">
            <w:pPr>
              <w:widowControl/>
              <w:rPr>
                <w:rFonts w:cs="宋体"/>
                <w:color w:val="auto"/>
                <w:kern w:val="0"/>
                <w:highlight w:val="none"/>
              </w:rPr>
            </w:pPr>
          </w:p>
        </w:tc>
        <w:tc>
          <w:tcPr>
            <w:tcW w:w="0" w:type="auto"/>
            <w:tcBorders>
              <w:top w:val="nil"/>
              <w:left w:val="nil"/>
              <w:bottom w:val="single" w:color="auto" w:sz="4" w:space="0"/>
              <w:right w:val="single" w:color="auto" w:sz="4" w:space="0"/>
            </w:tcBorders>
            <w:vAlign w:val="center"/>
          </w:tcPr>
          <w:p w14:paraId="5EF5D340">
            <w:pPr>
              <w:widowControl/>
              <w:jc w:val="center"/>
              <w:rPr>
                <w:rFonts w:cs="宋体"/>
                <w:color w:val="auto"/>
                <w:kern w:val="0"/>
                <w:highlight w:val="none"/>
              </w:rPr>
            </w:pPr>
            <w:r>
              <w:rPr>
                <w:rFonts w:hint="eastAsia" w:cs="宋体"/>
                <w:color w:val="auto"/>
                <w:kern w:val="0"/>
                <w:highlight w:val="none"/>
              </w:rPr>
              <w:t>每月线上完成担保业务审批资金</w:t>
            </w:r>
          </w:p>
        </w:tc>
        <w:tc>
          <w:tcPr>
            <w:tcW w:w="0" w:type="auto"/>
            <w:tcBorders>
              <w:top w:val="nil"/>
              <w:left w:val="nil"/>
              <w:bottom w:val="single" w:color="auto" w:sz="4" w:space="0"/>
              <w:right w:val="single" w:color="auto" w:sz="4" w:space="0"/>
            </w:tcBorders>
            <w:vAlign w:val="center"/>
          </w:tcPr>
          <w:p w14:paraId="17B638E9">
            <w:pPr>
              <w:widowControl/>
              <w:jc w:val="center"/>
              <w:rPr>
                <w:rFonts w:cs="宋体"/>
                <w:color w:val="auto"/>
                <w:kern w:val="0"/>
                <w:highlight w:val="none"/>
              </w:rPr>
            </w:pPr>
            <w:r>
              <w:rPr>
                <w:rFonts w:hint="eastAsia" w:cs="宋体"/>
                <w:color w:val="auto"/>
                <w:kern w:val="0"/>
                <w:highlight w:val="none"/>
              </w:rPr>
              <w:t>≥50亿元</w:t>
            </w:r>
          </w:p>
        </w:tc>
      </w:tr>
    </w:tbl>
    <w:p w14:paraId="293960B5">
      <w:pPr>
        <w:rPr>
          <w:color w:val="auto"/>
          <w:highlight w:val="none"/>
        </w:rPr>
        <w:sectPr>
          <w:headerReference r:id="rId4" w:type="first"/>
          <w:footerReference r:id="rId5" w:type="first"/>
          <w:pgSz w:w="11906" w:h="16838"/>
          <w:pgMar w:top="1134" w:right="1797" w:bottom="1135" w:left="1797" w:header="340" w:footer="340" w:gutter="0"/>
          <w:cols w:space="720" w:num="1"/>
          <w:docGrid w:type="linesAndChars" w:linePitch="326" w:charSpace="0"/>
        </w:sectPr>
      </w:pPr>
    </w:p>
    <w:p w14:paraId="41436AE7">
      <w:pPr>
        <w:pStyle w:val="2"/>
        <w:rPr>
          <w:color w:val="auto"/>
          <w:highlight w:val="none"/>
        </w:rPr>
      </w:pPr>
      <w:r>
        <w:rPr>
          <w:rFonts w:hint="eastAsia"/>
          <w:color w:val="auto"/>
          <w:highlight w:val="none"/>
        </w:rPr>
        <w:t>项目建设内容</w:t>
      </w:r>
    </w:p>
    <w:p w14:paraId="5D0E1450">
      <w:pPr>
        <w:pStyle w:val="3"/>
        <w:rPr>
          <w:color w:val="auto"/>
          <w:highlight w:val="none"/>
        </w:rPr>
      </w:pPr>
      <w:r>
        <w:rPr>
          <w:rFonts w:hint="eastAsia"/>
          <w:color w:val="auto"/>
          <w:highlight w:val="none"/>
        </w:rPr>
        <w:t>主要建设内容</w:t>
      </w:r>
    </w:p>
    <w:p w14:paraId="002E31FC">
      <w:pPr>
        <w:spacing w:line="360" w:lineRule="auto"/>
        <w:ind w:firstLine="480" w:firstLineChars="200"/>
        <w:rPr>
          <w:color w:val="auto"/>
          <w:highlight w:val="none"/>
        </w:rPr>
      </w:pPr>
      <w:r>
        <w:rPr>
          <w:rFonts w:hint="eastAsia"/>
          <w:color w:val="auto"/>
          <w:highlight w:val="none"/>
        </w:rPr>
        <w:t>包1主要建设内容包括：</w:t>
      </w:r>
    </w:p>
    <w:p w14:paraId="45F49D92">
      <w:pPr>
        <w:spacing w:line="360" w:lineRule="auto"/>
        <w:ind w:firstLine="480" w:firstLineChars="200"/>
        <w:rPr>
          <w:color w:val="auto"/>
          <w:highlight w:val="none"/>
        </w:rPr>
      </w:pPr>
      <w:r>
        <w:rPr>
          <w:rFonts w:hint="eastAsia"/>
          <w:color w:val="auto"/>
          <w:highlight w:val="none"/>
        </w:rPr>
        <w:t>1、现有系统XC适配改造</w:t>
      </w:r>
    </w:p>
    <w:p w14:paraId="544DC6F1">
      <w:pPr>
        <w:spacing w:line="360" w:lineRule="auto"/>
        <w:ind w:firstLine="480" w:firstLineChars="200"/>
        <w:rPr>
          <w:color w:val="auto"/>
          <w:highlight w:val="none"/>
        </w:rPr>
      </w:pPr>
      <w:r>
        <w:rPr>
          <w:rFonts w:hint="eastAsia"/>
          <w:color w:val="auto"/>
          <w:highlight w:val="none"/>
        </w:rPr>
        <w:t>完成现有担保基金信息智能化管理平台代码重构与国产化改造，适配国产芯片架构、国产中间件及国产数据库，保障政务云环境下全栈技术自主可控与安全稳定运行，并完成原有系统整体数据迁移。</w:t>
      </w:r>
    </w:p>
    <w:p w14:paraId="46D5DF19">
      <w:pPr>
        <w:spacing w:line="360" w:lineRule="auto"/>
        <w:ind w:firstLine="480" w:firstLineChars="200"/>
        <w:rPr>
          <w:color w:val="auto"/>
          <w:highlight w:val="none"/>
        </w:rPr>
      </w:pPr>
      <w:r>
        <w:rPr>
          <w:rFonts w:hint="eastAsia"/>
          <w:color w:val="auto"/>
          <w:highlight w:val="none"/>
        </w:rPr>
        <w:t>2、担保基金智能化管理平台升级改造</w:t>
      </w:r>
    </w:p>
    <w:p w14:paraId="7FF28584">
      <w:pPr>
        <w:spacing w:line="360" w:lineRule="auto"/>
        <w:ind w:firstLine="480" w:firstLineChars="200"/>
        <w:rPr>
          <w:color w:val="auto"/>
          <w:highlight w:val="none"/>
        </w:rPr>
      </w:pPr>
      <w:r>
        <w:rPr>
          <w:rFonts w:hint="eastAsia"/>
          <w:color w:val="auto"/>
          <w:highlight w:val="none"/>
        </w:rPr>
        <w:t>（1）管理中心端(升级改造)</w:t>
      </w:r>
    </w:p>
    <w:p w14:paraId="15F92659">
      <w:pPr>
        <w:spacing w:line="360" w:lineRule="auto"/>
        <w:ind w:firstLine="480" w:firstLineChars="200"/>
        <w:rPr>
          <w:color w:val="auto"/>
          <w:highlight w:val="none"/>
        </w:rPr>
      </w:pPr>
      <w:r>
        <w:rPr>
          <w:rFonts w:hint="eastAsia"/>
          <w:color w:val="auto"/>
          <w:highlight w:val="none"/>
        </w:rPr>
        <w:t>进一步贴合需求完善业务流程，涉及功能包括担保费管理、客户服务轻应用、代偿管理等。</w:t>
      </w:r>
    </w:p>
    <w:p w14:paraId="1240CE85">
      <w:pPr>
        <w:spacing w:line="360" w:lineRule="auto"/>
        <w:ind w:firstLine="480" w:firstLineChars="200"/>
        <w:rPr>
          <w:color w:val="auto"/>
          <w:highlight w:val="none"/>
        </w:rPr>
      </w:pPr>
      <w:r>
        <w:rPr>
          <w:rFonts w:hint="eastAsia"/>
          <w:color w:val="auto"/>
          <w:highlight w:val="none"/>
        </w:rPr>
        <w:t>（2）接口管理系统(升级改造)</w:t>
      </w:r>
    </w:p>
    <w:p w14:paraId="5B3F81E8">
      <w:pPr>
        <w:spacing w:line="360" w:lineRule="auto"/>
        <w:ind w:firstLine="480" w:firstLineChars="200"/>
        <w:rPr>
          <w:color w:val="auto"/>
          <w:highlight w:val="none"/>
        </w:rPr>
      </w:pPr>
      <w:r>
        <w:rPr>
          <w:rFonts w:hint="eastAsia"/>
          <w:color w:val="auto"/>
          <w:highlight w:val="none"/>
        </w:rPr>
        <w:t>优化对外服务接口，实现全流程循环贷担保业务的线上化管理，为个人类担保业务提供全流程线上化办理渠道，优化代偿申请接口，增加创业贷线上接口服务并新建区级直保线上接口。</w:t>
      </w:r>
    </w:p>
    <w:p w14:paraId="319075F1">
      <w:pPr>
        <w:spacing w:line="360" w:lineRule="auto"/>
        <w:ind w:firstLine="480" w:firstLineChars="200"/>
        <w:rPr>
          <w:color w:val="auto"/>
          <w:highlight w:val="none"/>
        </w:rPr>
      </w:pPr>
      <w:r>
        <w:rPr>
          <w:rFonts w:hint="eastAsia"/>
          <w:color w:val="auto"/>
          <w:highlight w:val="none"/>
        </w:rPr>
        <w:t>3、统一集成管理模块建设(新建)</w:t>
      </w:r>
    </w:p>
    <w:p w14:paraId="0E095B3F">
      <w:pPr>
        <w:spacing w:line="360" w:lineRule="auto"/>
        <w:ind w:firstLine="480" w:firstLineChars="200"/>
        <w:rPr>
          <w:color w:val="auto"/>
          <w:highlight w:val="none"/>
        </w:rPr>
      </w:pPr>
      <w:r>
        <w:rPr>
          <w:rFonts w:hint="eastAsia"/>
          <w:color w:val="auto"/>
          <w:highlight w:val="none"/>
        </w:rPr>
        <w:t>通过统一集成管理模块建设，对担保基金智能化管理平台、数字化运营模块、数据管理子系统等进行统一集成管理。</w:t>
      </w:r>
    </w:p>
    <w:p w14:paraId="17FE384F">
      <w:pPr>
        <w:spacing w:line="360" w:lineRule="auto"/>
        <w:ind w:firstLine="480" w:firstLineChars="200"/>
        <w:rPr>
          <w:color w:val="auto"/>
          <w:highlight w:val="none"/>
        </w:rPr>
      </w:pPr>
      <w:r>
        <w:rPr>
          <w:rFonts w:hint="eastAsia"/>
          <w:color w:val="auto"/>
          <w:highlight w:val="none"/>
        </w:rPr>
        <w:t>4、数字化运营模块建设(新建)</w:t>
      </w:r>
    </w:p>
    <w:p w14:paraId="0EC2FFED">
      <w:pPr>
        <w:spacing w:line="360" w:lineRule="auto"/>
        <w:ind w:firstLine="480" w:firstLineChars="200"/>
        <w:rPr>
          <w:color w:val="auto"/>
          <w:highlight w:val="none"/>
        </w:rPr>
      </w:pPr>
      <w:r>
        <w:rPr>
          <w:rFonts w:hint="eastAsia"/>
          <w:color w:val="auto"/>
          <w:highlight w:val="none"/>
        </w:rPr>
        <w:t>以资产全生命周期管理为核心，构建覆盖硬件、软件及项目资产的全生命周期台账管理；通过统一工单流程实现任务自动派发、审批跟踪及效率统计；结合五级告警体系与闭环管控机制实时监控物理机、中间件等资源运行状态;依托自动化巡检系统替代人工操作，生成巡检报告并触发告警。</w:t>
      </w:r>
    </w:p>
    <w:p w14:paraId="35C633C9">
      <w:pPr>
        <w:spacing w:line="360" w:lineRule="auto"/>
        <w:ind w:firstLine="480" w:firstLineChars="200"/>
        <w:rPr>
          <w:color w:val="auto"/>
          <w:highlight w:val="none"/>
        </w:rPr>
      </w:pPr>
      <w:r>
        <w:rPr>
          <w:rFonts w:hint="eastAsia"/>
          <w:color w:val="auto"/>
          <w:highlight w:val="none"/>
        </w:rPr>
        <w:t>5、密码应用建设</w:t>
      </w:r>
    </w:p>
    <w:p w14:paraId="0FBD83C2">
      <w:pPr>
        <w:spacing w:line="360" w:lineRule="auto"/>
        <w:ind w:firstLine="480" w:firstLineChars="200"/>
        <w:rPr>
          <w:color w:val="auto"/>
          <w:highlight w:val="none"/>
        </w:rPr>
      </w:pPr>
      <w:r>
        <w:rPr>
          <w:rFonts w:hint="eastAsia"/>
          <w:color w:val="auto"/>
          <w:highlight w:val="none"/>
        </w:rPr>
        <w:t>根据密码应用方案，完成相应密码应用功能的开发并采购相应密码配套产品软件。</w:t>
      </w:r>
    </w:p>
    <w:p w14:paraId="747465DE">
      <w:pPr>
        <w:pStyle w:val="3"/>
        <w:rPr>
          <w:color w:val="auto"/>
          <w:highlight w:val="none"/>
        </w:rPr>
      </w:pPr>
      <w:r>
        <w:rPr>
          <w:rFonts w:hint="eastAsia"/>
          <w:color w:val="auto"/>
          <w:highlight w:val="none"/>
        </w:rPr>
        <w:t>项目总体设计</w:t>
      </w:r>
    </w:p>
    <w:p w14:paraId="3074DEED">
      <w:pPr>
        <w:pStyle w:val="4"/>
        <w:rPr>
          <w:color w:val="auto"/>
          <w:highlight w:val="none"/>
        </w:rPr>
      </w:pPr>
      <w:r>
        <w:rPr>
          <w:rFonts w:hint="eastAsia"/>
          <w:color w:val="auto"/>
          <w:highlight w:val="none"/>
        </w:rPr>
        <w:t>技术路线</w:t>
      </w:r>
    </w:p>
    <w:p w14:paraId="1D4A2636">
      <w:pPr>
        <w:spacing w:line="360" w:lineRule="auto"/>
        <w:ind w:firstLine="480" w:firstLineChars="200"/>
        <w:rPr>
          <w:color w:val="auto"/>
          <w:highlight w:val="none"/>
        </w:rPr>
      </w:pPr>
      <w:r>
        <w:rPr>
          <w:rFonts w:hint="eastAsia"/>
          <w:color w:val="auto"/>
          <w:highlight w:val="none"/>
        </w:rPr>
        <w:t>1、国产化XC技术</w:t>
      </w:r>
    </w:p>
    <w:p w14:paraId="40A8A60E">
      <w:pPr>
        <w:spacing w:line="360" w:lineRule="auto"/>
        <w:ind w:firstLine="480" w:firstLineChars="200"/>
        <w:rPr>
          <w:color w:val="auto"/>
          <w:highlight w:val="none"/>
        </w:rPr>
      </w:pPr>
      <w:r>
        <w:rPr>
          <w:rFonts w:hint="eastAsia"/>
          <w:color w:val="auto"/>
          <w:highlight w:val="none"/>
        </w:rPr>
        <w:t>国产化XC技术是一个立足于信息技术和创新领域，注重自主创新和知识产权保护，促进产学研合作和国际交流的技术路径。随着信息技术的发展，数据安全和信息安全已经成为国家和各政府机构/部门的重要课题。采用国产化技术，可以更好地保证数据安全，避免数据流向不可控的风险。</w:t>
      </w:r>
    </w:p>
    <w:p w14:paraId="2EC2B34F">
      <w:pPr>
        <w:spacing w:line="360" w:lineRule="auto"/>
        <w:ind w:firstLine="480" w:firstLineChars="200"/>
        <w:rPr>
          <w:color w:val="auto"/>
          <w:highlight w:val="none"/>
        </w:rPr>
      </w:pPr>
      <w:r>
        <w:rPr>
          <w:rFonts w:hint="eastAsia"/>
          <w:color w:val="auto"/>
          <w:highlight w:val="none"/>
        </w:rPr>
        <w:t>国产化XC技术对于推动我国IT产业的发展，构建国产自主的IT标准与服务生态具有重要意义</w:t>
      </w:r>
    </w:p>
    <w:p w14:paraId="0E98E585">
      <w:pPr>
        <w:spacing w:line="360" w:lineRule="auto"/>
        <w:ind w:firstLine="480" w:firstLineChars="200"/>
        <w:rPr>
          <w:color w:val="auto"/>
          <w:highlight w:val="none"/>
        </w:rPr>
      </w:pPr>
      <w:r>
        <w:rPr>
          <w:rFonts w:hint="eastAsia"/>
          <w:color w:val="auto"/>
          <w:highlight w:val="none"/>
        </w:rPr>
        <w:t>2、SpringBoot技术</w:t>
      </w:r>
    </w:p>
    <w:p w14:paraId="1AA9D45E">
      <w:pPr>
        <w:spacing w:line="360" w:lineRule="auto"/>
        <w:ind w:firstLine="480" w:firstLineChars="200"/>
        <w:rPr>
          <w:color w:val="auto"/>
          <w:highlight w:val="none"/>
        </w:rPr>
      </w:pPr>
      <w:r>
        <w:rPr>
          <w:rFonts w:hint="eastAsia"/>
          <w:color w:val="auto"/>
          <w:highlight w:val="none"/>
        </w:rPr>
        <w:t>Spring Boot是Spring家族中的一个关键成员，它旨在简化Spring应用的创建、配置和部署过程，让开发者能够快速启动并运行新项目，而无需进行繁琐的手动配置。作为现代Java开发的首选框架之一，Spring Boot基于Spring平台，集成了大量常用的第三方库配置，实现了“开箱即用”的体验。</w:t>
      </w:r>
    </w:p>
    <w:p w14:paraId="0044E4B5">
      <w:pPr>
        <w:spacing w:line="360" w:lineRule="auto"/>
        <w:ind w:firstLine="480" w:firstLineChars="200"/>
        <w:rPr>
          <w:color w:val="auto"/>
          <w:highlight w:val="none"/>
        </w:rPr>
      </w:pPr>
      <w:r>
        <w:rPr>
          <w:rFonts w:hint="eastAsia"/>
          <w:color w:val="auto"/>
          <w:highlight w:val="none"/>
        </w:rPr>
        <w:t>Spring Boot适用于各种规模的项目，从简单的RESTful API服务器到大型的企业级应用，特别是适合微服务架构的快速开发和部署。无论是初创企业需要快速迭代的产品，还是成熟公司内部的系统现代化改造，Spring Boot都能显著提高开发效率，减少维护成本，是现代Java开发不可或缺的工具。</w:t>
      </w:r>
    </w:p>
    <w:p w14:paraId="6E069CF6">
      <w:pPr>
        <w:spacing w:line="360" w:lineRule="auto"/>
        <w:ind w:firstLine="480" w:firstLineChars="200"/>
        <w:rPr>
          <w:color w:val="auto"/>
          <w:highlight w:val="none"/>
        </w:rPr>
      </w:pPr>
      <w:r>
        <w:rPr>
          <w:rFonts w:hint="eastAsia"/>
          <w:color w:val="auto"/>
          <w:highlight w:val="none"/>
        </w:rPr>
        <w:t>3、HTML5技术</w:t>
      </w:r>
    </w:p>
    <w:p w14:paraId="0EC085D4">
      <w:pPr>
        <w:spacing w:line="360" w:lineRule="auto"/>
        <w:ind w:firstLine="480" w:firstLineChars="200"/>
        <w:rPr>
          <w:color w:val="auto"/>
          <w:highlight w:val="none"/>
        </w:rPr>
      </w:pPr>
      <w:r>
        <w:rPr>
          <w:rFonts w:hint="eastAsia"/>
          <w:color w:val="auto"/>
          <w:highlight w:val="none"/>
        </w:rPr>
        <w:t>HTML5赋予网页更好的意义和结构。更加丰富的标签将随着对RDFa的微数据与微格式等方面的支持，构建对程序、对用户都更有价值的数据驱动的Web。基于HTML5开发的网页APP拥有更短的启动时间，更快的联网速度，这些全得益于HTML5 APP Cache，以及本地存储功能。HTML5拥有更有效的服务器推送技术，更有效的连接工作效率，使得基于页面的实时聊天，更快速的网页体验，更优化的在线交流得到实现。</w:t>
      </w:r>
    </w:p>
    <w:p w14:paraId="0ADACCA4">
      <w:pPr>
        <w:spacing w:line="360" w:lineRule="auto"/>
        <w:ind w:firstLine="480" w:firstLineChars="200"/>
        <w:rPr>
          <w:color w:val="auto"/>
          <w:highlight w:val="none"/>
        </w:rPr>
      </w:pPr>
      <w:r>
        <w:rPr>
          <w:rFonts w:hint="eastAsia"/>
          <w:color w:val="auto"/>
          <w:highlight w:val="none"/>
        </w:rPr>
        <w:t>4、VUE</w:t>
      </w:r>
    </w:p>
    <w:p w14:paraId="06E97304">
      <w:pPr>
        <w:spacing w:line="360" w:lineRule="auto"/>
        <w:ind w:firstLine="480" w:firstLineChars="200"/>
        <w:rPr>
          <w:color w:val="auto"/>
          <w:highlight w:val="none"/>
        </w:rPr>
      </w:pPr>
      <w:r>
        <w:rPr>
          <w:rFonts w:hint="eastAsia"/>
          <w:color w:val="auto"/>
          <w:highlight w:val="none"/>
        </w:rPr>
        <w:t>Vue.js（通常简称为Vue）是一款开源的渐进式JavaScript框架，用于构建用户界面。它以其简洁的API设计、灵活的数据绑定机制和组件化的开发方式，在前端开发领域迅速获得了广泛的认可和使用。Vue的核心理念是提升开发者体验，使复杂的前端应用开发变得更加高效且可维护。</w:t>
      </w:r>
    </w:p>
    <w:p w14:paraId="44EE2636">
      <w:pPr>
        <w:spacing w:line="360" w:lineRule="auto"/>
        <w:ind w:firstLine="480" w:firstLineChars="200"/>
        <w:rPr>
          <w:color w:val="auto"/>
          <w:highlight w:val="none"/>
        </w:rPr>
      </w:pPr>
      <w:r>
        <w:rPr>
          <w:rFonts w:hint="eastAsia"/>
          <w:color w:val="auto"/>
          <w:highlight w:val="none"/>
        </w:rPr>
        <w:t>Vue因其灵活性和高效性，被广泛应用于Web应用开发，既适合构建单页应用（SPA），也适合移动端应用（通过Vue Native或Weex）以及桌面应用（借助Electron）。无论是小型创业项目，还是大型企业的复杂系统，Vue都能凭借其优雅的设计和强大的功能满足不同需求，成为现代前端开发的重要选择。</w:t>
      </w:r>
    </w:p>
    <w:p w14:paraId="7F3CC393">
      <w:pPr>
        <w:spacing w:line="360" w:lineRule="auto"/>
        <w:ind w:firstLine="480" w:firstLineChars="200"/>
        <w:rPr>
          <w:color w:val="auto"/>
          <w:highlight w:val="none"/>
        </w:rPr>
      </w:pPr>
      <w:r>
        <w:rPr>
          <w:rFonts w:hint="eastAsia"/>
          <w:color w:val="auto"/>
          <w:highlight w:val="none"/>
        </w:rPr>
        <w:t>5、微服务管理技术</w:t>
      </w:r>
    </w:p>
    <w:p w14:paraId="5927D610">
      <w:pPr>
        <w:spacing w:line="360" w:lineRule="auto"/>
        <w:ind w:firstLine="480" w:firstLineChars="200"/>
        <w:rPr>
          <w:color w:val="auto"/>
          <w:highlight w:val="none"/>
        </w:rPr>
      </w:pPr>
      <w:r>
        <w:rPr>
          <w:rFonts w:hint="eastAsia"/>
          <w:color w:val="auto"/>
          <w:highlight w:val="none"/>
        </w:rPr>
        <w:t>微服务架构是一种将单一应用程序开发为一组小的、独立的服务的方法。每个微服务都可以独立部署和扩展，通常通过API进行通信。与传统的单体架构相比，微服务架构具有更高的灵活性、可扩展性和开发效率。</w:t>
      </w:r>
    </w:p>
    <w:p w14:paraId="684C00CC">
      <w:pPr>
        <w:spacing w:line="360" w:lineRule="auto"/>
        <w:ind w:firstLine="480" w:firstLineChars="200"/>
        <w:rPr>
          <w:color w:val="auto"/>
          <w:highlight w:val="none"/>
        </w:rPr>
      </w:pPr>
      <w:r>
        <w:rPr>
          <w:rFonts w:hint="eastAsia"/>
          <w:color w:val="auto"/>
          <w:highlight w:val="none"/>
        </w:rPr>
        <w:t>在本项目中，微服务管理至关重要，因为它有效协调和控制分布式系统中的各个独立服务，确保复杂架构中的高效运行。其核心功能包括服务注册与发现、自动化部署、弹性扩展、故障处理，以及统一监控和安全策略的实施，从而提升系统的弹性、可扩展性和稳定性。</w:t>
      </w:r>
    </w:p>
    <w:p w14:paraId="46C77BE8">
      <w:pPr>
        <w:spacing w:line="360" w:lineRule="auto"/>
        <w:ind w:firstLine="480" w:firstLineChars="200"/>
        <w:rPr>
          <w:color w:val="auto"/>
          <w:highlight w:val="none"/>
        </w:rPr>
      </w:pPr>
      <w:r>
        <w:rPr>
          <w:rFonts w:hint="eastAsia"/>
          <w:color w:val="auto"/>
          <w:highlight w:val="none"/>
        </w:rPr>
        <w:t>6、国密加密技术</w:t>
      </w:r>
    </w:p>
    <w:p w14:paraId="6DE95F66">
      <w:pPr>
        <w:spacing w:line="360" w:lineRule="auto"/>
        <w:ind w:firstLine="480" w:firstLineChars="200"/>
        <w:rPr>
          <w:color w:val="auto"/>
          <w:highlight w:val="none"/>
        </w:rPr>
      </w:pPr>
      <w:r>
        <w:rPr>
          <w:rFonts w:hint="eastAsia"/>
          <w:color w:val="auto"/>
          <w:highlight w:val="none"/>
        </w:rPr>
        <w:t>国密算法是由中国国家密码管理局发布的一系列密码算法标准，旨在保障信息安全并推动密码技术的自主创新。主要包括SM1、SM2、SM3、SM4等。信息系统平台在建设中应依据国家标准GB/T 39786-2021《信息安全技术信息系统密码应用基本要求》进行设计和实施。</w:t>
      </w:r>
    </w:p>
    <w:p w14:paraId="2CFDD061">
      <w:pPr>
        <w:spacing w:line="360" w:lineRule="auto"/>
        <w:ind w:firstLine="480" w:firstLineChars="200"/>
        <w:rPr>
          <w:color w:val="auto"/>
          <w:highlight w:val="none"/>
        </w:rPr>
      </w:pPr>
      <w:r>
        <w:rPr>
          <w:rFonts w:hint="eastAsia"/>
          <w:color w:val="auto"/>
          <w:highlight w:val="none"/>
        </w:rPr>
        <w:t>密码技术是保障网络与信息安全的核心技术和基础支撑，是对信息进行加密、分析、识别和确认以及对密钥进行管理的技术。包括密码编码技术、密码分析技术、认证技术和密钥管理技术。是保证信息系统数据安全的可靠技术。国密算法覆盖了从数据加密、身份认证到通信安全的完整需求。</w:t>
      </w:r>
    </w:p>
    <w:p w14:paraId="202FEAB0">
      <w:pPr>
        <w:spacing w:line="360" w:lineRule="auto"/>
        <w:ind w:firstLine="480" w:firstLineChars="200"/>
        <w:rPr>
          <w:color w:val="auto"/>
          <w:highlight w:val="none"/>
        </w:rPr>
      </w:pPr>
      <w:r>
        <w:rPr>
          <w:rFonts w:hint="eastAsia"/>
          <w:color w:val="auto"/>
          <w:highlight w:val="none"/>
        </w:rPr>
        <w:t>本项目的建设中，结合数据传输、存储要求，针对不同的应用场景，将采用不同的国密算法对关键数据进行机密性、完整性和可用性保护。</w:t>
      </w:r>
    </w:p>
    <w:p w14:paraId="694B266B">
      <w:pPr>
        <w:pStyle w:val="4"/>
        <w:rPr>
          <w:color w:val="auto"/>
          <w:highlight w:val="none"/>
        </w:rPr>
      </w:pPr>
      <w:r>
        <w:rPr>
          <w:rFonts w:hint="eastAsia"/>
          <w:color w:val="auto"/>
          <w:highlight w:val="none"/>
        </w:rPr>
        <w:t xml:space="preserve">部署环境 </w:t>
      </w:r>
    </w:p>
    <w:p w14:paraId="52690811">
      <w:pPr>
        <w:spacing w:line="360" w:lineRule="auto"/>
        <w:ind w:firstLine="480" w:firstLineChars="200"/>
        <w:rPr>
          <w:color w:val="auto"/>
          <w:highlight w:val="none"/>
        </w:rPr>
      </w:pPr>
      <w:r>
        <w:rPr>
          <w:rFonts w:hint="eastAsia"/>
          <w:color w:val="auto"/>
          <w:highlight w:val="none"/>
        </w:rPr>
        <w:t>系统部署在上海市电子政务云上，依托上海市电子政务云提供虚拟机、网络、设备，部署环境要求，具体以政务云实际提供为准。</w:t>
      </w:r>
    </w:p>
    <w:p w14:paraId="77A5CC32">
      <w:pPr>
        <w:pStyle w:val="3"/>
        <w:rPr>
          <w:color w:val="auto"/>
          <w:highlight w:val="none"/>
        </w:rPr>
      </w:pPr>
      <w:r>
        <w:rPr>
          <w:rFonts w:hint="eastAsia"/>
          <w:color w:val="auto"/>
          <w:highlight w:val="none"/>
        </w:rPr>
        <w:t>软件开发清单</w:t>
      </w:r>
    </w:p>
    <w:tbl>
      <w:tblPr>
        <w:tblStyle w:val="11"/>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8"/>
        <w:gridCol w:w="2354"/>
        <w:gridCol w:w="5078"/>
      </w:tblGrid>
      <w:tr w14:paraId="4CA09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trPr>
        <w:tc>
          <w:tcPr>
            <w:tcW w:w="0" w:type="auto"/>
            <w:shd w:val="clear" w:color="000000" w:fill="FFFFFF"/>
            <w:vAlign w:val="center"/>
          </w:tcPr>
          <w:p w14:paraId="5AE1AF6C">
            <w:pPr>
              <w:widowControl/>
              <w:jc w:val="center"/>
              <w:rPr>
                <w:rFonts w:cs="宋体"/>
                <w:b/>
                <w:bCs/>
                <w:color w:val="auto"/>
                <w:kern w:val="0"/>
                <w:sz w:val="20"/>
                <w:szCs w:val="20"/>
                <w:highlight w:val="none"/>
              </w:rPr>
            </w:pPr>
            <w:r>
              <w:rPr>
                <w:rFonts w:hint="eastAsia" w:cs="宋体"/>
                <w:b/>
                <w:bCs/>
                <w:color w:val="auto"/>
                <w:kern w:val="0"/>
                <w:sz w:val="20"/>
                <w:szCs w:val="20"/>
                <w:highlight w:val="none"/>
              </w:rPr>
              <w:t>序号</w:t>
            </w:r>
          </w:p>
        </w:tc>
        <w:tc>
          <w:tcPr>
            <w:tcW w:w="2354" w:type="dxa"/>
            <w:shd w:val="clear" w:color="000000" w:fill="FFFFFF"/>
            <w:vAlign w:val="center"/>
          </w:tcPr>
          <w:p w14:paraId="1F139914">
            <w:pPr>
              <w:widowControl/>
              <w:jc w:val="center"/>
              <w:rPr>
                <w:rFonts w:cs="宋体"/>
                <w:b/>
                <w:bCs/>
                <w:color w:val="auto"/>
                <w:kern w:val="0"/>
                <w:sz w:val="20"/>
                <w:szCs w:val="20"/>
                <w:highlight w:val="none"/>
              </w:rPr>
            </w:pPr>
            <w:r>
              <w:rPr>
                <w:rFonts w:hint="eastAsia" w:cs="宋体"/>
                <w:b/>
                <w:bCs/>
                <w:color w:val="auto"/>
                <w:kern w:val="0"/>
                <w:sz w:val="20"/>
                <w:szCs w:val="20"/>
                <w:highlight w:val="none"/>
              </w:rPr>
              <w:t>模块名称</w:t>
            </w:r>
          </w:p>
        </w:tc>
        <w:tc>
          <w:tcPr>
            <w:tcW w:w="5078" w:type="dxa"/>
            <w:shd w:val="clear" w:color="000000" w:fill="FFFFFF"/>
            <w:vAlign w:val="center"/>
          </w:tcPr>
          <w:p w14:paraId="4DE45BBF">
            <w:pPr>
              <w:widowControl/>
              <w:jc w:val="center"/>
              <w:rPr>
                <w:rFonts w:cs="宋体"/>
                <w:b/>
                <w:bCs/>
                <w:color w:val="auto"/>
                <w:kern w:val="0"/>
                <w:sz w:val="20"/>
                <w:szCs w:val="20"/>
                <w:highlight w:val="none"/>
              </w:rPr>
            </w:pPr>
            <w:r>
              <w:rPr>
                <w:rFonts w:hint="eastAsia" w:cs="宋体"/>
                <w:b/>
                <w:bCs/>
                <w:color w:val="auto"/>
                <w:kern w:val="0"/>
                <w:sz w:val="20"/>
                <w:szCs w:val="20"/>
                <w:highlight w:val="none"/>
              </w:rPr>
              <w:t>功能名称</w:t>
            </w:r>
          </w:p>
        </w:tc>
      </w:tr>
      <w:tr w14:paraId="222DA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473A97DC">
            <w:pPr>
              <w:widowControl/>
              <w:jc w:val="center"/>
              <w:rPr>
                <w:rFonts w:cs="宋体"/>
                <w:color w:val="auto"/>
                <w:kern w:val="0"/>
                <w:sz w:val="20"/>
                <w:szCs w:val="20"/>
                <w:highlight w:val="none"/>
              </w:rPr>
            </w:pPr>
            <w:r>
              <w:rPr>
                <w:rFonts w:hint="eastAsia" w:cs="宋体"/>
                <w:color w:val="auto"/>
                <w:kern w:val="0"/>
                <w:sz w:val="20"/>
                <w:szCs w:val="20"/>
                <w:highlight w:val="none"/>
              </w:rPr>
              <w:t>1</w:t>
            </w:r>
          </w:p>
        </w:tc>
        <w:tc>
          <w:tcPr>
            <w:tcW w:w="2354" w:type="dxa"/>
            <w:vMerge w:val="restart"/>
            <w:shd w:val="clear" w:color="000000" w:fill="FFFFFF"/>
            <w:vAlign w:val="center"/>
          </w:tcPr>
          <w:p w14:paraId="2DE0B873">
            <w:pPr>
              <w:widowControl/>
              <w:jc w:val="center"/>
              <w:rPr>
                <w:rFonts w:cs="宋体"/>
                <w:color w:val="auto"/>
                <w:kern w:val="0"/>
                <w:sz w:val="20"/>
                <w:szCs w:val="20"/>
                <w:highlight w:val="none"/>
              </w:rPr>
            </w:pPr>
            <w:r>
              <w:rPr>
                <w:rFonts w:hint="eastAsia" w:cs="宋体"/>
                <w:color w:val="auto"/>
                <w:kern w:val="0"/>
                <w:sz w:val="20"/>
                <w:szCs w:val="20"/>
                <w:highlight w:val="none"/>
              </w:rPr>
              <w:t>担保基金信息智能化管理平台（合作机构端）（XC改造）</w:t>
            </w:r>
          </w:p>
        </w:tc>
        <w:tc>
          <w:tcPr>
            <w:tcW w:w="5078" w:type="dxa"/>
            <w:shd w:val="clear" w:color="000000" w:fill="FFFFFF"/>
            <w:vAlign w:val="center"/>
          </w:tcPr>
          <w:p w14:paraId="2110F257">
            <w:pPr>
              <w:widowControl/>
              <w:jc w:val="center"/>
              <w:rPr>
                <w:rFonts w:cs="宋体"/>
                <w:color w:val="auto"/>
                <w:kern w:val="0"/>
                <w:sz w:val="20"/>
                <w:szCs w:val="20"/>
                <w:highlight w:val="none"/>
              </w:rPr>
            </w:pPr>
            <w:r>
              <w:rPr>
                <w:rFonts w:hint="eastAsia" w:cs="宋体"/>
                <w:color w:val="auto"/>
                <w:kern w:val="0"/>
                <w:sz w:val="20"/>
                <w:szCs w:val="20"/>
                <w:highlight w:val="none"/>
              </w:rPr>
              <w:t>银行推荐</w:t>
            </w:r>
          </w:p>
        </w:tc>
      </w:tr>
      <w:tr w14:paraId="59166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4DC2D30A">
            <w:pPr>
              <w:widowControl/>
              <w:jc w:val="center"/>
              <w:rPr>
                <w:rFonts w:cs="宋体"/>
                <w:color w:val="auto"/>
                <w:kern w:val="0"/>
                <w:sz w:val="20"/>
                <w:szCs w:val="20"/>
                <w:highlight w:val="none"/>
              </w:rPr>
            </w:pPr>
            <w:r>
              <w:rPr>
                <w:rFonts w:hint="eastAsia" w:cs="宋体"/>
                <w:color w:val="auto"/>
                <w:kern w:val="0"/>
                <w:sz w:val="20"/>
                <w:szCs w:val="20"/>
                <w:highlight w:val="none"/>
              </w:rPr>
              <w:t>2</w:t>
            </w:r>
          </w:p>
        </w:tc>
        <w:tc>
          <w:tcPr>
            <w:tcW w:w="2354" w:type="dxa"/>
            <w:vMerge w:val="continue"/>
            <w:vAlign w:val="center"/>
          </w:tcPr>
          <w:p w14:paraId="46270C76">
            <w:pPr>
              <w:widowControl/>
              <w:rPr>
                <w:rFonts w:cs="宋体"/>
                <w:color w:val="auto"/>
                <w:kern w:val="0"/>
                <w:sz w:val="20"/>
                <w:szCs w:val="20"/>
                <w:highlight w:val="none"/>
              </w:rPr>
            </w:pPr>
          </w:p>
        </w:tc>
        <w:tc>
          <w:tcPr>
            <w:tcW w:w="5078" w:type="dxa"/>
            <w:shd w:val="clear" w:color="000000" w:fill="FFFFFF"/>
            <w:vAlign w:val="center"/>
          </w:tcPr>
          <w:p w14:paraId="6315DEEF">
            <w:pPr>
              <w:widowControl/>
              <w:jc w:val="center"/>
              <w:rPr>
                <w:rFonts w:cs="宋体"/>
                <w:color w:val="auto"/>
                <w:kern w:val="0"/>
                <w:sz w:val="20"/>
                <w:szCs w:val="20"/>
                <w:highlight w:val="none"/>
              </w:rPr>
            </w:pPr>
            <w:r>
              <w:rPr>
                <w:rFonts w:hint="eastAsia" w:cs="宋体"/>
                <w:color w:val="auto"/>
                <w:kern w:val="0"/>
                <w:sz w:val="20"/>
                <w:szCs w:val="20"/>
                <w:highlight w:val="none"/>
              </w:rPr>
              <w:t>园区推荐</w:t>
            </w:r>
          </w:p>
        </w:tc>
      </w:tr>
      <w:tr w14:paraId="4DD97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4CBBE668">
            <w:pPr>
              <w:widowControl/>
              <w:jc w:val="center"/>
              <w:rPr>
                <w:rFonts w:cs="宋体"/>
                <w:color w:val="auto"/>
                <w:kern w:val="0"/>
                <w:sz w:val="20"/>
                <w:szCs w:val="20"/>
                <w:highlight w:val="none"/>
              </w:rPr>
            </w:pPr>
            <w:r>
              <w:rPr>
                <w:rFonts w:hint="eastAsia" w:cs="宋体"/>
                <w:color w:val="auto"/>
                <w:kern w:val="0"/>
                <w:sz w:val="20"/>
                <w:szCs w:val="20"/>
                <w:highlight w:val="none"/>
              </w:rPr>
              <w:t>3</w:t>
            </w:r>
          </w:p>
        </w:tc>
        <w:tc>
          <w:tcPr>
            <w:tcW w:w="2354" w:type="dxa"/>
            <w:vMerge w:val="continue"/>
            <w:vAlign w:val="center"/>
          </w:tcPr>
          <w:p w14:paraId="5F82FB85">
            <w:pPr>
              <w:widowControl/>
              <w:rPr>
                <w:rFonts w:cs="宋体"/>
                <w:color w:val="auto"/>
                <w:kern w:val="0"/>
                <w:sz w:val="20"/>
                <w:szCs w:val="20"/>
                <w:highlight w:val="none"/>
              </w:rPr>
            </w:pPr>
          </w:p>
        </w:tc>
        <w:tc>
          <w:tcPr>
            <w:tcW w:w="5078" w:type="dxa"/>
            <w:shd w:val="clear" w:color="000000" w:fill="FFFFFF"/>
            <w:vAlign w:val="center"/>
          </w:tcPr>
          <w:p w14:paraId="3EF8120E">
            <w:pPr>
              <w:widowControl/>
              <w:jc w:val="center"/>
              <w:rPr>
                <w:rFonts w:cs="宋体"/>
                <w:color w:val="auto"/>
                <w:kern w:val="0"/>
                <w:sz w:val="20"/>
                <w:szCs w:val="20"/>
                <w:highlight w:val="none"/>
              </w:rPr>
            </w:pPr>
            <w:r>
              <w:rPr>
                <w:rFonts w:hint="eastAsia" w:cs="宋体"/>
                <w:color w:val="auto"/>
                <w:kern w:val="0"/>
                <w:sz w:val="20"/>
                <w:szCs w:val="20"/>
                <w:highlight w:val="none"/>
              </w:rPr>
              <w:t>部门推荐</w:t>
            </w:r>
          </w:p>
        </w:tc>
      </w:tr>
      <w:tr w14:paraId="6F04F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2B94A208">
            <w:pPr>
              <w:widowControl/>
              <w:jc w:val="center"/>
              <w:rPr>
                <w:rFonts w:cs="宋体"/>
                <w:color w:val="auto"/>
                <w:kern w:val="0"/>
                <w:sz w:val="20"/>
                <w:szCs w:val="20"/>
                <w:highlight w:val="none"/>
              </w:rPr>
            </w:pPr>
            <w:r>
              <w:rPr>
                <w:rFonts w:hint="eastAsia" w:cs="宋体"/>
                <w:color w:val="auto"/>
                <w:kern w:val="0"/>
                <w:sz w:val="20"/>
                <w:szCs w:val="20"/>
                <w:highlight w:val="none"/>
              </w:rPr>
              <w:t>4</w:t>
            </w:r>
          </w:p>
        </w:tc>
        <w:tc>
          <w:tcPr>
            <w:tcW w:w="2354" w:type="dxa"/>
            <w:vMerge w:val="continue"/>
            <w:vAlign w:val="center"/>
          </w:tcPr>
          <w:p w14:paraId="0018C82E">
            <w:pPr>
              <w:widowControl/>
              <w:rPr>
                <w:rFonts w:cs="宋体"/>
                <w:color w:val="auto"/>
                <w:kern w:val="0"/>
                <w:sz w:val="20"/>
                <w:szCs w:val="20"/>
                <w:highlight w:val="none"/>
              </w:rPr>
            </w:pPr>
          </w:p>
        </w:tc>
        <w:tc>
          <w:tcPr>
            <w:tcW w:w="5078" w:type="dxa"/>
            <w:shd w:val="clear" w:color="000000" w:fill="FFFFFF"/>
            <w:vAlign w:val="center"/>
          </w:tcPr>
          <w:p w14:paraId="51C433D3">
            <w:pPr>
              <w:widowControl/>
              <w:jc w:val="center"/>
              <w:rPr>
                <w:rFonts w:cs="宋体"/>
                <w:color w:val="auto"/>
                <w:kern w:val="0"/>
                <w:sz w:val="20"/>
                <w:szCs w:val="20"/>
                <w:highlight w:val="none"/>
              </w:rPr>
            </w:pPr>
            <w:r>
              <w:rPr>
                <w:rFonts w:hint="eastAsia" w:cs="宋体"/>
                <w:color w:val="auto"/>
                <w:kern w:val="0"/>
                <w:sz w:val="20"/>
                <w:szCs w:val="20"/>
                <w:highlight w:val="none"/>
              </w:rPr>
              <w:t>业务监管</w:t>
            </w:r>
          </w:p>
        </w:tc>
      </w:tr>
      <w:tr w14:paraId="0AB35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2CBC303E">
            <w:pPr>
              <w:widowControl/>
              <w:jc w:val="center"/>
              <w:rPr>
                <w:rFonts w:cs="宋体"/>
                <w:color w:val="auto"/>
                <w:kern w:val="0"/>
                <w:sz w:val="20"/>
                <w:szCs w:val="20"/>
                <w:highlight w:val="none"/>
              </w:rPr>
            </w:pPr>
            <w:r>
              <w:rPr>
                <w:rFonts w:hint="eastAsia" w:cs="宋体"/>
                <w:color w:val="auto"/>
                <w:kern w:val="0"/>
                <w:sz w:val="20"/>
                <w:szCs w:val="20"/>
                <w:highlight w:val="none"/>
              </w:rPr>
              <w:t>5</w:t>
            </w:r>
          </w:p>
        </w:tc>
        <w:tc>
          <w:tcPr>
            <w:tcW w:w="2354" w:type="dxa"/>
            <w:vMerge w:val="continue"/>
            <w:vAlign w:val="center"/>
          </w:tcPr>
          <w:p w14:paraId="4A9373B2">
            <w:pPr>
              <w:widowControl/>
              <w:rPr>
                <w:rFonts w:cs="宋体"/>
                <w:color w:val="auto"/>
                <w:kern w:val="0"/>
                <w:sz w:val="20"/>
                <w:szCs w:val="20"/>
                <w:highlight w:val="none"/>
              </w:rPr>
            </w:pPr>
          </w:p>
        </w:tc>
        <w:tc>
          <w:tcPr>
            <w:tcW w:w="5078" w:type="dxa"/>
            <w:shd w:val="clear" w:color="000000" w:fill="FFFFFF"/>
            <w:vAlign w:val="center"/>
          </w:tcPr>
          <w:p w14:paraId="15CA3DD9">
            <w:pPr>
              <w:widowControl/>
              <w:jc w:val="center"/>
              <w:rPr>
                <w:rFonts w:cs="宋体"/>
                <w:color w:val="auto"/>
                <w:kern w:val="0"/>
                <w:sz w:val="20"/>
                <w:szCs w:val="20"/>
                <w:highlight w:val="none"/>
              </w:rPr>
            </w:pPr>
            <w:r>
              <w:rPr>
                <w:rFonts w:hint="eastAsia" w:cs="宋体"/>
                <w:color w:val="auto"/>
                <w:kern w:val="0"/>
                <w:sz w:val="20"/>
                <w:szCs w:val="20"/>
                <w:highlight w:val="none"/>
              </w:rPr>
              <w:t>再担保机构业务管理</w:t>
            </w:r>
          </w:p>
        </w:tc>
      </w:tr>
      <w:tr w14:paraId="6DC1D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1DA63103">
            <w:pPr>
              <w:widowControl/>
              <w:jc w:val="center"/>
              <w:rPr>
                <w:rFonts w:cs="宋体"/>
                <w:color w:val="auto"/>
                <w:kern w:val="0"/>
                <w:sz w:val="20"/>
                <w:szCs w:val="20"/>
                <w:highlight w:val="none"/>
              </w:rPr>
            </w:pPr>
            <w:r>
              <w:rPr>
                <w:rFonts w:hint="eastAsia" w:cs="宋体"/>
                <w:color w:val="auto"/>
                <w:kern w:val="0"/>
                <w:sz w:val="20"/>
                <w:szCs w:val="20"/>
                <w:highlight w:val="none"/>
              </w:rPr>
              <w:t>6</w:t>
            </w:r>
          </w:p>
        </w:tc>
        <w:tc>
          <w:tcPr>
            <w:tcW w:w="2354" w:type="dxa"/>
            <w:vMerge w:val="continue"/>
            <w:vAlign w:val="center"/>
          </w:tcPr>
          <w:p w14:paraId="0BB30CBF">
            <w:pPr>
              <w:widowControl/>
              <w:rPr>
                <w:rFonts w:cs="宋体"/>
                <w:color w:val="auto"/>
                <w:kern w:val="0"/>
                <w:sz w:val="20"/>
                <w:szCs w:val="20"/>
                <w:highlight w:val="none"/>
              </w:rPr>
            </w:pPr>
          </w:p>
        </w:tc>
        <w:tc>
          <w:tcPr>
            <w:tcW w:w="5078" w:type="dxa"/>
            <w:shd w:val="clear" w:color="000000" w:fill="FFFFFF"/>
            <w:vAlign w:val="center"/>
          </w:tcPr>
          <w:p w14:paraId="6EFCA7E4">
            <w:pPr>
              <w:widowControl/>
              <w:jc w:val="center"/>
              <w:rPr>
                <w:rFonts w:cs="宋体"/>
                <w:color w:val="auto"/>
                <w:kern w:val="0"/>
                <w:sz w:val="20"/>
                <w:szCs w:val="20"/>
                <w:highlight w:val="none"/>
              </w:rPr>
            </w:pPr>
            <w:r>
              <w:rPr>
                <w:rFonts w:hint="eastAsia" w:cs="宋体"/>
                <w:color w:val="auto"/>
                <w:kern w:val="0"/>
                <w:sz w:val="20"/>
                <w:szCs w:val="20"/>
                <w:highlight w:val="none"/>
              </w:rPr>
              <w:t>其它功能模块</w:t>
            </w:r>
          </w:p>
        </w:tc>
      </w:tr>
      <w:tr w14:paraId="49568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3FA189A3">
            <w:pPr>
              <w:widowControl/>
              <w:jc w:val="center"/>
              <w:rPr>
                <w:rFonts w:cs="宋体"/>
                <w:color w:val="auto"/>
                <w:kern w:val="0"/>
                <w:sz w:val="20"/>
                <w:szCs w:val="20"/>
                <w:highlight w:val="none"/>
              </w:rPr>
            </w:pPr>
            <w:r>
              <w:rPr>
                <w:rFonts w:hint="eastAsia" w:cs="宋体"/>
                <w:color w:val="auto"/>
                <w:kern w:val="0"/>
                <w:sz w:val="20"/>
                <w:szCs w:val="20"/>
                <w:highlight w:val="none"/>
              </w:rPr>
              <w:t>7</w:t>
            </w:r>
          </w:p>
        </w:tc>
        <w:tc>
          <w:tcPr>
            <w:tcW w:w="2354" w:type="dxa"/>
            <w:vMerge w:val="continue"/>
            <w:vAlign w:val="center"/>
          </w:tcPr>
          <w:p w14:paraId="332A0B02">
            <w:pPr>
              <w:widowControl/>
              <w:rPr>
                <w:rFonts w:cs="宋体"/>
                <w:color w:val="auto"/>
                <w:kern w:val="0"/>
                <w:sz w:val="20"/>
                <w:szCs w:val="20"/>
                <w:highlight w:val="none"/>
              </w:rPr>
            </w:pPr>
          </w:p>
        </w:tc>
        <w:tc>
          <w:tcPr>
            <w:tcW w:w="5078" w:type="dxa"/>
            <w:shd w:val="clear" w:color="000000" w:fill="FFFFFF"/>
            <w:vAlign w:val="center"/>
          </w:tcPr>
          <w:p w14:paraId="6EF50891">
            <w:pPr>
              <w:widowControl/>
              <w:jc w:val="center"/>
              <w:rPr>
                <w:rFonts w:cs="宋体"/>
                <w:color w:val="auto"/>
                <w:kern w:val="0"/>
                <w:sz w:val="20"/>
                <w:szCs w:val="20"/>
                <w:highlight w:val="none"/>
              </w:rPr>
            </w:pPr>
            <w:r>
              <w:rPr>
                <w:rFonts w:hint="eastAsia" w:cs="宋体"/>
                <w:color w:val="auto"/>
                <w:kern w:val="0"/>
                <w:sz w:val="20"/>
                <w:szCs w:val="20"/>
                <w:highlight w:val="none"/>
              </w:rPr>
              <w:t>业务管控</w:t>
            </w:r>
          </w:p>
        </w:tc>
      </w:tr>
      <w:tr w14:paraId="08296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18C8051D">
            <w:pPr>
              <w:widowControl/>
              <w:jc w:val="center"/>
              <w:rPr>
                <w:rFonts w:cs="宋体"/>
                <w:color w:val="auto"/>
                <w:kern w:val="0"/>
                <w:sz w:val="20"/>
                <w:szCs w:val="20"/>
                <w:highlight w:val="none"/>
              </w:rPr>
            </w:pPr>
            <w:r>
              <w:rPr>
                <w:rFonts w:hint="eastAsia" w:cs="宋体"/>
                <w:color w:val="auto"/>
                <w:kern w:val="0"/>
                <w:sz w:val="20"/>
                <w:szCs w:val="20"/>
                <w:highlight w:val="none"/>
              </w:rPr>
              <w:t>8</w:t>
            </w:r>
          </w:p>
        </w:tc>
        <w:tc>
          <w:tcPr>
            <w:tcW w:w="2354" w:type="dxa"/>
            <w:vMerge w:val="continue"/>
            <w:vAlign w:val="center"/>
          </w:tcPr>
          <w:p w14:paraId="4C78E0D5">
            <w:pPr>
              <w:widowControl/>
              <w:rPr>
                <w:rFonts w:cs="宋体"/>
                <w:color w:val="auto"/>
                <w:kern w:val="0"/>
                <w:sz w:val="20"/>
                <w:szCs w:val="20"/>
                <w:highlight w:val="none"/>
              </w:rPr>
            </w:pPr>
          </w:p>
        </w:tc>
        <w:tc>
          <w:tcPr>
            <w:tcW w:w="5078" w:type="dxa"/>
            <w:shd w:val="clear" w:color="000000" w:fill="FFFFFF"/>
            <w:vAlign w:val="center"/>
          </w:tcPr>
          <w:p w14:paraId="5456272A">
            <w:pPr>
              <w:widowControl/>
              <w:jc w:val="center"/>
              <w:rPr>
                <w:rFonts w:cs="宋体"/>
                <w:color w:val="auto"/>
                <w:kern w:val="0"/>
                <w:sz w:val="20"/>
                <w:szCs w:val="20"/>
                <w:highlight w:val="none"/>
              </w:rPr>
            </w:pPr>
            <w:r>
              <w:rPr>
                <w:rFonts w:hint="eastAsia" w:cs="宋体"/>
                <w:color w:val="auto"/>
                <w:kern w:val="0"/>
                <w:sz w:val="20"/>
                <w:szCs w:val="20"/>
                <w:highlight w:val="none"/>
              </w:rPr>
              <w:t>担保机构管理</w:t>
            </w:r>
          </w:p>
        </w:tc>
      </w:tr>
      <w:tr w14:paraId="12E45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36E0DF00">
            <w:pPr>
              <w:widowControl/>
              <w:jc w:val="center"/>
              <w:rPr>
                <w:rFonts w:cs="宋体"/>
                <w:color w:val="auto"/>
                <w:kern w:val="0"/>
                <w:sz w:val="20"/>
                <w:szCs w:val="20"/>
                <w:highlight w:val="none"/>
              </w:rPr>
            </w:pPr>
            <w:r>
              <w:rPr>
                <w:rFonts w:hint="eastAsia" w:cs="宋体"/>
                <w:color w:val="auto"/>
                <w:kern w:val="0"/>
                <w:sz w:val="20"/>
                <w:szCs w:val="20"/>
                <w:highlight w:val="none"/>
              </w:rPr>
              <w:t>9</w:t>
            </w:r>
          </w:p>
        </w:tc>
        <w:tc>
          <w:tcPr>
            <w:tcW w:w="2354" w:type="dxa"/>
            <w:vMerge w:val="continue"/>
            <w:vAlign w:val="center"/>
          </w:tcPr>
          <w:p w14:paraId="6BD7DAF7">
            <w:pPr>
              <w:widowControl/>
              <w:rPr>
                <w:rFonts w:cs="宋体"/>
                <w:color w:val="auto"/>
                <w:kern w:val="0"/>
                <w:sz w:val="20"/>
                <w:szCs w:val="20"/>
                <w:highlight w:val="none"/>
              </w:rPr>
            </w:pPr>
          </w:p>
        </w:tc>
        <w:tc>
          <w:tcPr>
            <w:tcW w:w="5078" w:type="dxa"/>
            <w:shd w:val="clear" w:color="000000" w:fill="FFFFFF"/>
            <w:vAlign w:val="center"/>
          </w:tcPr>
          <w:p w14:paraId="52F81902">
            <w:pPr>
              <w:widowControl/>
              <w:jc w:val="center"/>
              <w:rPr>
                <w:rFonts w:cs="宋体"/>
                <w:color w:val="auto"/>
                <w:kern w:val="0"/>
                <w:sz w:val="20"/>
                <w:szCs w:val="20"/>
                <w:highlight w:val="none"/>
              </w:rPr>
            </w:pPr>
            <w:r>
              <w:rPr>
                <w:rFonts w:hint="eastAsia" w:cs="宋体"/>
                <w:color w:val="auto"/>
                <w:kern w:val="0"/>
                <w:sz w:val="20"/>
                <w:szCs w:val="20"/>
                <w:highlight w:val="none"/>
              </w:rPr>
              <w:t>再担保项目逾期管理</w:t>
            </w:r>
          </w:p>
        </w:tc>
      </w:tr>
      <w:tr w14:paraId="28A35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5CB08E99">
            <w:pPr>
              <w:widowControl/>
              <w:jc w:val="center"/>
              <w:rPr>
                <w:rFonts w:cs="宋体"/>
                <w:color w:val="auto"/>
                <w:kern w:val="0"/>
                <w:sz w:val="20"/>
                <w:szCs w:val="20"/>
                <w:highlight w:val="none"/>
              </w:rPr>
            </w:pPr>
            <w:r>
              <w:rPr>
                <w:rFonts w:hint="eastAsia" w:cs="宋体"/>
                <w:color w:val="auto"/>
                <w:kern w:val="0"/>
                <w:sz w:val="20"/>
                <w:szCs w:val="20"/>
                <w:highlight w:val="none"/>
              </w:rPr>
              <w:t>10</w:t>
            </w:r>
          </w:p>
        </w:tc>
        <w:tc>
          <w:tcPr>
            <w:tcW w:w="2354" w:type="dxa"/>
            <w:vMerge w:val="restart"/>
            <w:shd w:val="clear" w:color="000000" w:fill="FFFFFF"/>
            <w:vAlign w:val="center"/>
          </w:tcPr>
          <w:p w14:paraId="7C5B7CE3">
            <w:pPr>
              <w:widowControl/>
              <w:jc w:val="center"/>
              <w:rPr>
                <w:rFonts w:cs="宋体"/>
                <w:color w:val="auto"/>
                <w:kern w:val="0"/>
                <w:sz w:val="20"/>
                <w:szCs w:val="20"/>
                <w:highlight w:val="none"/>
              </w:rPr>
            </w:pPr>
            <w:r>
              <w:rPr>
                <w:rFonts w:hint="eastAsia" w:cs="宋体"/>
                <w:color w:val="auto"/>
                <w:kern w:val="0"/>
                <w:sz w:val="20"/>
                <w:szCs w:val="20"/>
                <w:highlight w:val="none"/>
              </w:rPr>
              <w:t>担保基金信息智能化管理平台（管理中心端）（XC改造）</w:t>
            </w:r>
          </w:p>
        </w:tc>
        <w:tc>
          <w:tcPr>
            <w:tcW w:w="5078" w:type="dxa"/>
            <w:shd w:val="clear" w:color="000000" w:fill="FFFFFF"/>
            <w:vAlign w:val="center"/>
          </w:tcPr>
          <w:p w14:paraId="5CD31397">
            <w:pPr>
              <w:widowControl/>
              <w:jc w:val="center"/>
              <w:rPr>
                <w:rFonts w:cs="宋体"/>
                <w:color w:val="auto"/>
                <w:kern w:val="0"/>
                <w:sz w:val="20"/>
                <w:szCs w:val="20"/>
                <w:highlight w:val="none"/>
              </w:rPr>
            </w:pPr>
            <w:r>
              <w:rPr>
                <w:rFonts w:hint="eastAsia" w:cs="宋体"/>
                <w:color w:val="auto"/>
                <w:kern w:val="0"/>
                <w:sz w:val="20"/>
                <w:szCs w:val="20"/>
                <w:highlight w:val="none"/>
              </w:rPr>
              <w:t>登记管理（再担保）</w:t>
            </w:r>
          </w:p>
        </w:tc>
      </w:tr>
      <w:tr w14:paraId="210FD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1E2FC39D">
            <w:pPr>
              <w:widowControl/>
              <w:jc w:val="center"/>
              <w:rPr>
                <w:rFonts w:cs="宋体"/>
                <w:color w:val="auto"/>
                <w:kern w:val="0"/>
                <w:sz w:val="20"/>
                <w:szCs w:val="20"/>
                <w:highlight w:val="none"/>
              </w:rPr>
            </w:pPr>
            <w:r>
              <w:rPr>
                <w:rFonts w:hint="eastAsia" w:cs="宋体"/>
                <w:color w:val="auto"/>
                <w:kern w:val="0"/>
                <w:sz w:val="20"/>
                <w:szCs w:val="20"/>
                <w:highlight w:val="none"/>
              </w:rPr>
              <w:t>11</w:t>
            </w:r>
          </w:p>
        </w:tc>
        <w:tc>
          <w:tcPr>
            <w:tcW w:w="2354" w:type="dxa"/>
            <w:vMerge w:val="continue"/>
            <w:vAlign w:val="center"/>
          </w:tcPr>
          <w:p w14:paraId="297032A2">
            <w:pPr>
              <w:widowControl/>
              <w:rPr>
                <w:rFonts w:cs="宋体"/>
                <w:color w:val="auto"/>
                <w:kern w:val="0"/>
                <w:sz w:val="20"/>
                <w:szCs w:val="20"/>
                <w:highlight w:val="none"/>
              </w:rPr>
            </w:pPr>
          </w:p>
        </w:tc>
        <w:tc>
          <w:tcPr>
            <w:tcW w:w="5078" w:type="dxa"/>
            <w:shd w:val="clear" w:color="000000" w:fill="FFFFFF"/>
            <w:vAlign w:val="center"/>
          </w:tcPr>
          <w:p w14:paraId="50532719">
            <w:pPr>
              <w:widowControl/>
              <w:jc w:val="center"/>
              <w:rPr>
                <w:rFonts w:cs="宋体"/>
                <w:color w:val="auto"/>
                <w:kern w:val="0"/>
                <w:sz w:val="20"/>
                <w:szCs w:val="20"/>
                <w:highlight w:val="none"/>
              </w:rPr>
            </w:pPr>
            <w:r>
              <w:rPr>
                <w:rFonts w:hint="eastAsia" w:cs="宋体"/>
                <w:color w:val="auto"/>
                <w:kern w:val="0"/>
                <w:sz w:val="20"/>
                <w:szCs w:val="20"/>
                <w:highlight w:val="none"/>
              </w:rPr>
              <w:t>项目登记</w:t>
            </w:r>
          </w:p>
        </w:tc>
      </w:tr>
      <w:tr w14:paraId="44E4D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77C764C7">
            <w:pPr>
              <w:widowControl/>
              <w:jc w:val="center"/>
              <w:rPr>
                <w:rFonts w:cs="宋体"/>
                <w:color w:val="auto"/>
                <w:kern w:val="0"/>
                <w:sz w:val="20"/>
                <w:szCs w:val="20"/>
                <w:highlight w:val="none"/>
              </w:rPr>
            </w:pPr>
            <w:r>
              <w:rPr>
                <w:rFonts w:hint="eastAsia" w:cs="宋体"/>
                <w:color w:val="auto"/>
                <w:kern w:val="0"/>
                <w:sz w:val="20"/>
                <w:szCs w:val="20"/>
                <w:highlight w:val="none"/>
              </w:rPr>
              <w:t>12</w:t>
            </w:r>
          </w:p>
        </w:tc>
        <w:tc>
          <w:tcPr>
            <w:tcW w:w="2354" w:type="dxa"/>
            <w:vMerge w:val="continue"/>
            <w:vAlign w:val="center"/>
          </w:tcPr>
          <w:p w14:paraId="377228BE">
            <w:pPr>
              <w:widowControl/>
              <w:rPr>
                <w:rFonts w:cs="宋体"/>
                <w:color w:val="auto"/>
                <w:kern w:val="0"/>
                <w:sz w:val="20"/>
                <w:szCs w:val="20"/>
                <w:highlight w:val="none"/>
              </w:rPr>
            </w:pPr>
          </w:p>
        </w:tc>
        <w:tc>
          <w:tcPr>
            <w:tcW w:w="5078" w:type="dxa"/>
            <w:shd w:val="clear" w:color="000000" w:fill="FFFFFF"/>
            <w:vAlign w:val="center"/>
          </w:tcPr>
          <w:p w14:paraId="3191E401">
            <w:pPr>
              <w:widowControl/>
              <w:jc w:val="center"/>
              <w:rPr>
                <w:rFonts w:cs="宋体"/>
                <w:color w:val="auto"/>
                <w:kern w:val="0"/>
                <w:sz w:val="20"/>
                <w:szCs w:val="20"/>
                <w:highlight w:val="none"/>
              </w:rPr>
            </w:pPr>
            <w:r>
              <w:rPr>
                <w:rFonts w:hint="eastAsia" w:cs="宋体"/>
                <w:color w:val="auto"/>
                <w:kern w:val="0"/>
                <w:sz w:val="20"/>
                <w:szCs w:val="20"/>
                <w:highlight w:val="none"/>
              </w:rPr>
              <w:t>项目登记（区财政）</w:t>
            </w:r>
          </w:p>
        </w:tc>
      </w:tr>
      <w:tr w14:paraId="3E0FC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1960040F">
            <w:pPr>
              <w:widowControl/>
              <w:jc w:val="center"/>
              <w:rPr>
                <w:rFonts w:cs="宋体"/>
                <w:color w:val="auto"/>
                <w:kern w:val="0"/>
                <w:sz w:val="20"/>
                <w:szCs w:val="20"/>
                <w:highlight w:val="none"/>
              </w:rPr>
            </w:pPr>
            <w:r>
              <w:rPr>
                <w:rFonts w:hint="eastAsia" w:cs="宋体"/>
                <w:color w:val="auto"/>
                <w:kern w:val="0"/>
                <w:sz w:val="20"/>
                <w:szCs w:val="20"/>
                <w:highlight w:val="none"/>
              </w:rPr>
              <w:t>13</w:t>
            </w:r>
          </w:p>
        </w:tc>
        <w:tc>
          <w:tcPr>
            <w:tcW w:w="2354" w:type="dxa"/>
            <w:vMerge w:val="continue"/>
            <w:vAlign w:val="center"/>
          </w:tcPr>
          <w:p w14:paraId="138862A8">
            <w:pPr>
              <w:widowControl/>
              <w:rPr>
                <w:rFonts w:cs="宋体"/>
                <w:color w:val="auto"/>
                <w:kern w:val="0"/>
                <w:sz w:val="20"/>
                <w:szCs w:val="20"/>
                <w:highlight w:val="none"/>
              </w:rPr>
            </w:pPr>
          </w:p>
        </w:tc>
        <w:tc>
          <w:tcPr>
            <w:tcW w:w="5078" w:type="dxa"/>
            <w:shd w:val="clear" w:color="000000" w:fill="FFFFFF"/>
            <w:vAlign w:val="center"/>
          </w:tcPr>
          <w:p w14:paraId="723D8B23">
            <w:pPr>
              <w:widowControl/>
              <w:jc w:val="center"/>
              <w:rPr>
                <w:rFonts w:cs="宋体"/>
                <w:color w:val="auto"/>
                <w:kern w:val="0"/>
                <w:sz w:val="20"/>
                <w:szCs w:val="20"/>
                <w:highlight w:val="none"/>
              </w:rPr>
            </w:pPr>
            <w:r>
              <w:rPr>
                <w:rFonts w:hint="eastAsia" w:cs="宋体"/>
                <w:color w:val="auto"/>
                <w:kern w:val="0"/>
                <w:sz w:val="20"/>
                <w:szCs w:val="20"/>
                <w:highlight w:val="none"/>
              </w:rPr>
              <w:t>审批管理</w:t>
            </w:r>
          </w:p>
        </w:tc>
      </w:tr>
      <w:tr w14:paraId="554D9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7D998AAB">
            <w:pPr>
              <w:widowControl/>
              <w:jc w:val="center"/>
              <w:rPr>
                <w:rFonts w:cs="宋体"/>
                <w:color w:val="auto"/>
                <w:kern w:val="0"/>
                <w:sz w:val="20"/>
                <w:szCs w:val="20"/>
                <w:highlight w:val="none"/>
              </w:rPr>
            </w:pPr>
            <w:r>
              <w:rPr>
                <w:rFonts w:hint="eastAsia" w:cs="宋体"/>
                <w:color w:val="auto"/>
                <w:kern w:val="0"/>
                <w:sz w:val="20"/>
                <w:szCs w:val="20"/>
                <w:highlight w:val="none"/>
              </w:rPr>
              <w:t>14</w:t>
            </w:r>
          </w:p>
        </w:tc>
        <w:tc>
          <w:tcPr>
            <w:tcW w:w="2354" w:type="dxa"/>
            <w:vMerge w:val="continue"/>
            <w:vAlign w:val="center"/>
          </w:tcPr>
          <w:p w14:paraId="0669BD28">
            <w:pPr>
              <w:widowControl/>
              <w:rPr>
                <w:rFonts w:cs="宋体"/>
                <w:color w:val="auto"/>
                <w:kern w:val="0"/>
                <w:sz w:val="20"/>
                <w:szCs w:val="20"/>
                <w:highlight w:val="none"/>
              </w:rPr>
            </w:pPr>
          </w:p>
        </w:tc>
        <w:tc>
          <w:tcPr>
            <w:tcW w:w="5078" w:type="dxa"/>
            <w:shd w:val="clear" w:color="000000" w:fill="FFFFFF"/>
            <w:vAlign w:val="center"/>
          </w:tcPr>
          <w:p w14:paraId="218A64E6">
            <w:pPr>
              <w:widowControl/>
              <w:jc w:val="center"/>
              <w:rPr>
                <w:rFonts w:cs="宋体"/>
                <w:color w:val="auto"/>
                <w:kern w:val="0"/>
                <w:sz w:val="20"/>
                <w:szCs w:val="20"/>
                <w:highlight w:val="none"/>
              </w:rPr>
            </w:pPr>
            <w:r>
              <w:rPr>
                <w:rFonts w:hint="eastAsia" w:cs="宋体"/>
                <w:color w:val="auto"/>
                <w:kern w:val="0"/>
                <w:sz w:val="20"/>
                <w:szCs w:val="20"/>
                <w:highlight w:val="none"/>
              </w:rPr>
              <w:t>解除管理</w:t>
            </w:r>
          </w:p>
        </w:tc>
      </w:tr>
      <w:tr w14:paraId="375E2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1D731504">
            <w:pPr>
              <w:widowControl/>
              <w:jc w:val="center"/>
              <w:rPr>
                <w:rFonts w:cs="宋体"/>
                <w:color w:val="auto"/>
                <w:kern w:val="0"/>
                <w:sz w:val="20"/>
                <w:szCs w:val="20"/>
                <w:highlight w:val="none"/>
              </w:rPr>
            </w:pPr>
            <w:r>
              <w:rPr>
                <w:rFonts w:hint="eastAsia" w:cs="宋体"/>
                <w:color w:val="auto"/>
                <w:kern w:val="0"/>
                <w:sz w:val="20"/>
                <w:szCs w:val="20"/>
                <w:highlight w:val="none"/>
              </w:rPr>
              <w:t>15</w:t>
            </w:r>
          </w:p>
        </w:tc>
        <w:tc>
          <w:tcPr>
            <w:tcW w:w="2354" w:type="dxa"/>
            <w:vMerge w:val="continue"/>
            <w:vAlign w:val="center"/>
          </w:tcPr>
          <w:p w14:paraId="62F9ED67">
            <w:pPr>
              <w:widowControl/>
              <w:rPr>
                <w:rFonts w:cs="宋体"/>
                <w:color w:val="auto"/>
                <w:kern w:val="0"/>
                <w:sz w:val="20"/>
                <w:szCs w:val="20"/>
                <w:highlight w:val="none"/>
              </w:rPr>
            </w:pPr>
          </w:p>
        </w:tc>
        <w:tc>
          <w:tcPr>
            <w:tcW w:w="5078" w:type="dxa"/>
            <w:shd w:val="clear" w:color="000000" w:fill="FFFFFF"/>
            <w:vAlign w:val="center"/>
          </w:tcPr>
          <w:p w14:paraId="2915760A">
            <w:pPr>
              <w:widowControl/>
              <w:jc w:val="center"/>
              <w:rPr>
                <w:rFonts w:cs="宋体"/>
                <w:color w:val="auto"/>
                <w:kern w:val="0"/>
                <w:sz w:val="20"/>
                <w:szCs w:val="20"/>
                <w:highlight w:val="none"/>
              </w:rPr>
            </w:pPr>
            <w:r>
              <w:rPr>
                <w:rFonts w:hint="eastAsia" w:cs="宋体"/>
                <w:color w:val="auto"/>
                <w:kern w:val="0"/>
                <w:sz w:val="20"/>
                <w:szCs w:val="20"/>
                <w:highlight w:val="none"/>
              </w:rPr>
              <w:t>解除管理（再担保）</w:t>
            </w:r>
          </w:p>
        </w:tc>
      </w:tr>
      <w:tr w14:paraId="4EA16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33049FD5">
            <w:pPr>
              <w:widowControl/>
              <w:jc w:val="center"/>
              <w:rPr>
                <w:rFonts w:cs="宋体"/>
                <w:color w:val="auto"/>
                <w:kern w:val="0"/>
                <w:sz w:val="20"/>
                <w:szCs w:val="20"/>
                <w:highlight w:val="none"/>
              </w:rPr>
            </w:pPr>
            <w:r>
              <w:rPr>
                <w:rFonts w:hint="eastAsia" w:cs="宋体"/>
                <w:color w:val="auto"/>
                <w:kern w:val="0"/>
                <w:sz w:val="20"/>
                <w:szCs w:val="20"/>
                <w:highlight w:val="none"/>
              </w:rPr>
              <w:t>16</w:t>
            </w:r>
          </w:p>
        </w:tc>
        <w:tc>
          <w:tcPr>
            <w:tcW w:w="2354" w:type="dxa"/>
            <w:vMerge w:val="continue"/>
            <w:vAlign w:val="center"/>
          </w:tcPr>
          <w:p w14:paraId="53746C6B">
            <w:pPr>
              <w:widowControl/>
              <w:rPr>
                <w:rFonts w:cs="宋体"/>
                <w:color w:val="auto"/>
                <w:kern w:val="0"/>
                <w:sz w:val="20"/>
                <w:szCs w:val="20"/>
                <w:highlight w:val="none"/>
              </w:rPr>
            </w:pPr>
          </w:p>
        </w:tc>
        <w:tc>
          <w:tcPr>
            <w:tcW w:w="5078" w:type="dxa"/>
            <w:shd w:val="clear" w:color="000000" w:fill="FFFFFF"/>
            <w:vAlign w:val="center"/>
          </w:tcPr>
          <w:p w14:paraId="34702DFF">
            <w:pPr>
              <w:widowControl/>
              <w:jc w:val="center"/>
              <w:rPr>
                <w:rFonts w:cs="宋体"/>
                <w:color w:val="auto"/>
                <w:kern w:val="0"/>
                <w:sz w:val="20"/>
                <w:szCs w:val="20"/>
                <w:highlight w:val="none"/>
              </w:rPr>
            </w:pPr>
            <w:r>
              <w:rPr>
                <w:rFonts w:hint="eastAsia" w:cs="宋体"/>
                <w:color w:val="auto"/>
                <w:kern w:val="0"/>
                <w:sz w:val="20"/>
                <w:szCs w:val="20"/>
                <w:highlight w:val="none"/>
              </w:rPr>
              <w:t>担保费管理</w:t>
            </w:r>
          </w:p>
        </w:tc>
      </w:tr>
      <w:tr w14:paraId="06E75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206F6978">
            <w:pPr>
              <w:widowControl/>
              <w:jc w:val="center"/>
              <w:rPr>
                <w:rFonts w:cs="宋体"/>
                <w:color w:val="auto"/>
                <w:kern w:val="0"/>
                <w:sz w:val="20"/>
                <w:szCs w:val="20"/>
                <w:highlight w:val="none"/>
              </w:rPr>
            </w:pPr>
            <w:r>
              <w:rPr>
                <w:rFonts w:hint="eastAsia" w:cs="宋体"/>
                <w:color w:val="auto"/>
                <w:kern w:val="0"/>
                <w:sz w:val="20"/>
                <w:szCs w:val="20"/>
                <w:highlight w:val="none"/>
              </w:rPr>
              <w:t>17</w:t>
            </w:r>
          </w:p>
        </w:tc>
        <w:tc>
          <w:tcPr>
            <w:tcW w:w="2354" w:type="dxa"/>
            <w:vMerge w:val="continue"/>
            <w:vAlign w:val="center"/>
          </w:tcPr>
          <w:p w14:paraId="6D2DEE84">
            <w:pPr>
              <w:widowControl/>
              <w:rPr>
                <w:rFonts w:cs="宋体"/>
                <w:color w:val="auto"/>
                <w:kern w:val="0"/>
                <w:sz w:val="20"/>
                <w:szCs w:val="20"/>
                <w:highlight w:val="none"/>
              </w:rPr>
            </w:pPr>
          </w:p>
        </w:tc>
        <w:tc>
          <w:tcPr>
            <w:tcW w:w="5078" w:type="dxa"/>
            <w:shd w:val="clear" w:color="000000" w:fill="FFFFFF"/>
            <w:vAlign w:val="center"/>
          </w:tcPr>
          <w:p w14:paraId="16243A90">
            <w:pPr>
              <w:widowControl/>
              <w:jc w:val="center"/>
              <w:rPr>
                <w:rFonts w:cs="宋体"/>
                <w:color w:val="auto"/>
                <w:kern w:val="0"/>
                <w:sz w:val="20"/>
                <w:szCs w:val="20"/>
                <w:highlight w:val="none"/>
              </w:rPr>
            </w:pPr>
            <w:r>
              <w:rPr>
                <w:rFonts w:hint="eastAsia" w:cs="宋体"/>
                <w:color w:val="auto"/>
                <w:kern w:val="0"/>
                <w:sz w:val="20"/>
                <w:szCs w:val="20"/>
                <w:highlight w:val="none"/>
              </w:rPr>
              <w:t>发票管理</w:t>
            </w:r>
          </w:p>
        </w:tc>
      </w:tr>
      <w:tr w14:paraId="55360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74D3E765">
            <w:pPr>
              <w:widowControl/>
              <w:jc w:val="center"/>
              <w:rPr>
                <w:rFonts w:cs="宋体"/>
                <w:color w:val="auto"/>
                <w:kern w:val="0"/>
                <w:sz w:val="20"/>
                <w:szCs w:val="20"/>
                <w:highlight w:val="none"/>
              </w:rPr>
            </w:pPr>
            <w:r>
              <w:rPr>
                <w:rFonts w:hint="eastAsia" w:cs="宋体"/>
                <w:color w:val="auto"/>
                <w:kern w:val="0"/>
                <w:sz w:val="20"/>
                <w:szCs w:val="20"/>
                <w:highlight w:val="none"/>
              </w:rPr>
              <w:t>18</w:t>
            </w:r>
          </w:p>
        </w:tc>
        <w:tc>
          <w:tcPr>
            <w:tcW w:w="2354" w:type="dxa"/>
            <w:vMerge w:val="continue"/>
            <w:vAlign w:val="center"/>
          </w:tcPr>
          <w:p w14:paraId="0061128B">
            <w:pPr>
              <w:widowControl/>
              <w:rPr>
                <w:rFonts w:cs="宋体"/>
                <w:color w:val="auto"/>
                <w:kern w:val="0"/>
                <w:sz w:val="20"/>
                <w:szCs w:val="20"/>
                <w:highlight w:val="none"/>
              </w:rPr>
            </w:pPr>
          </w:p>
        </w:tc>
        <w:tc>
          <w:tcPr>
            <w:tcW w:w="5078" w:type="dxa"/>
            <w:shd w:val="clear" w:color="000000" w:fill="FFFFFF"/>
            <w:vAlign w:val="center"/>
          </w:tcPr>
          <w:p w14:paraId="271113EC">
            <w:pPr>
              <w:widowControl/>
              <w:jc w:val="center"/>
              <w:rPr>
                <w:rFonts w:cs="宋体"/>
                <w:color w:val="auto"/>
                <w:kern w:val="0"/>
                <w:sz w:val="20"/>
                <w:szCs w:val="20"/>
                <w:highlight w:val="none"/>
              </w:rPr>
            </w:pPr>
            <w:r>
              <w:rPr>
                <w:rFonts w:hint="eastAsia" w:cs="宋体"/>
                <w:color w:val="auto"/>
                <w:kern w:val="0"/>
                <w:sz w:val="20"/>
                <w:szCs w:val="20"/>
                <w:highlight w:val="none"/>
              </w:rPr>
              <w:t>合同管理</w:t>
            </w:r>
          </w:p>
        </w:tc>
      </w:tr>
      <w:tr w14:paraId="55396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156E4DED">
            <w:pPr>
              <w:widowControl/>
              <w:jc w:val="center"/>
              <w:rPr>
                <w:rFonts w:cs="宋体"/>
                <w:color w:val="auto"/>
                <w:kern w:val="0"/>
                <w:sz w:val="20"/>
                <w:szCs w:val="20"/>
                <w:highlight w:val="none"/>
              </w:rPr>
            </w:pPr>
            <w:r>
              <w:rPr>
                <w:rFonts w:hint="eastAsia" w:cs="宋体"/>
                <w:color w:val="auto"/>
                <w:kern w:val="0"/>
                <w:sz w:val="20"/>
                <w:szCs w:val="20"/>
                <w:highlight w:val="none"/>
              </w:rPr>
              <w:t>19</w:t>
            </w:r>
          </w:p>
        </w:tc>
        <w:tc>
          <w:tcPr>
            <w:tcW w:w="2354" w:type="dxa"/>
            <w:vMerge w:val="continue"/>
            <w:vAlign w:val="center"/>
          </w:tcPr>
          <w:p w14:paraId="43B029E8">
            <w:pPr>
              <w:widowControl/>
              <w:rPr>
                <w:rFonts w:cs="宋体"/>
                <w:color w:val="auto"/>
                <w:kern w:val="0"/>
                <w:sz w:val="20"/>
                <w:szCs w:val="20"/>
                <w:highlight w:val="none"/>
              </w:rPr>
            </w:pPr>
          </w:p>
        </w:tc>
        <w:tc>
          <w:tcPr>
            <w:tcW w:w="5078" w:type="dxa"/>
            <w:shd w:val="clear" w:color="000000" w:fill="FFFFFF"/>
            <w:vAlign w:val="center"/>
          </w:tcPr>
          <w:p w14:paraId="58447495">
            <w:pPr>
              <w:widowControl/>
              <w:jc w:val="center"/>
              <w:rPr>
                <w:rFonts w:cs="宋体"/>
                <w:color w:val="auto"/>
                <w:kern w:val="0"/>
                <w:sz w:val="20"/>
                <w:szCs w:val="20"/>
                <w:highlight w:val="none"/>
              </w:rPr>
            </w:pPr>
            <w:r>
              <w:rPr>
                <w:rFonts w:hint="eastAsia" w:cs="宋体"/>
                <w:color w:val="auto"/>
                <w:kern w:val="0"/>
                <w:sz w:val="20"/>
                <w:szCs w:val="20"/>
                <w:highlight w:val="none"/>
              </w:rPr>
              <w:t>放款管理</w:t>
            </w:r>
          </w:p>
        </w:tc>
      </w:tr>
      <w:tr w14:paraId="05A76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1632246E">
            <w:pPr>
              <w:widowControl/>
              <w:jc w:val="center"/>
              <w:rPr>
                <w:rFonts w:cs="宋体"/>
                <w:color w:val="auto"/>
                <w:kern w:val="0"/>
                <w:sz w:val="20"/>
                <w:szCs w:val="20"/>
                <w:highlight w:val="none"/>
              </w:rPr>
            </w:pPr>
            <w:r>
              <w:rPr>
                <w:rFonts w:hint="eastAsia" w:cs="宋体"/>
                <w:color w:val="auto"/>
                <w:kern w:val="0"/>
                <w:sz w:val="20"/>
                <w:szCs w:val="20"/>
                <w:highlight w:val="none"/>
              </w:rPr>
              <w:t>20</w:t>
            </w:r>
          </w:p>
        </w:tc>
        <w:tc>
          <w:tcPr>
            <w:tcW w:w="2354" w:type="dxa"/>
            <w:vMerge w:val="continue"/>
            <w:vAlign w:val="center"/>
          </w:tcPr>
          <w:p w14:paraId="1CAC3BDF">
            <w:pPr>
              <w:widowControl/>
              <w:rPr>
                <w:rFonts w:cs="宋体"/>
                <w:color w:val="auto"/>
                <w:kern w:val="0"/>
                <w:sz w:val="20"/>
                <w:szCs w:val="20"/>
                <w:highlight w:val="none"/>
              </w:rPr>
            </w:pPr>
          </w:p>
        </w:tc>
        <w:tc>
          <w:tcPr>
            <w:tcW w:w="5078" w:type="dxa"/>
            <w:shd w:val="clear" w:color="000000" w:fill="FFFFFF"/>
            <w:vAlign w:val="center"/>
          </w:tcPr>
          <w:p w14:paraId="16819E6D">
            <w:pPr>
              <w:widowControl/>
              <w:jc w:val="center"/>
              <w:rPr>
                <w:rFonts w:cs="宋体"/>
                <w:color w:val="auto"/>
                <w:kern w:val="0"/>
                <w:sz w:val="20"/>
                <w:szCs w:val="20"/>
                <w:highlight w:val="none"/>
              </w:rPr>
            </w:pPr>
            <w:r>
              <w:rPr>
                <w:rFonts w:hint="eastAsia" w:cs="宋体"/>
                <w:color w:val="auto"/>
                <w:kern w:val="0"/>
                <w:sz w:val="20"/>
                <w:szCs w:val="20"/>
                <w:highlight w:val="none"/>
              </w:rPr>
              <w:t>期间管理</w:t>
            </w:r>
          </w:p>
        </w:tc>
      </w:tr>
      <w:tr w14:paraId="2970E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026E6850">
            <w:pPr>
              <w:widowControl/>
              <w:jc w:val="center"/>
              <w:rPr>
                <w:rFonts w:cs="宋体"/>
                <w:color w:val="auto"/>
                <w:kern w:val="0"/>
                <w:sz w:val="20"/>
                <w:szCs w:val="20"/>
                <w:highlight w:val="none"/>
              </w:rPr>
            </w:pPr>
            <w:r>
              <w:rPr>
                <w:rFonts w:hint="eastAsia" w:cs="宋体"/>
                <w:color w:val="auto"/>
                <w:kern w:val="0"/>
                <w:sz w:val="20"/>
                <w:szCs w:val="20"/>
                <w:highlight w:val="none"/>
              </w:rPr>
              <w:t>21</w:t>
            </w:r>
          </w:p>
        </w:tc>
        <w:tc>
          <w:tcPr>
            <w:tcW w:w="2354" w:type="dxa"/>
            <w:vMerge w:val="continue"/>
            <w:vAlign w:val="center"/>
          </w:tcPr>
          <w:p w14:paraId="60A474DD">
            <w:pPr>
              <w:widowControl/>
              <w:rPr>
                <w:rFonts w:cs="宋体"/>
                <w:color w:val="auto"/>
                <w:kern w:val="0"/>
                <w:sz w:val="20"/>
                <w:szCs w:val="20"/>
                <w:highlight w:val="none"/>
              </w:rPr>
            </w:pPr>
          </w:p>
        </w:tc>
        <w:tc>
          <w:tcPr>
            <w:tcW w:w="5078" w:type="dxa"/>
            <w:shd w:val="clear" w:color="000000" w:fill="FFFFFF"/>
            <w:vAlign w:val="center"/>
          </w:tcPr>
          <w:p w14:paraId="20243E25">
            <w:pPr>
              <w:widowControl/>
              <w:jc w:val="center"/>
              <w:rPr>
                <w:rFonts w:cs="宋体"/>
                <w:color w:val="auto"/>
                <w:kern w:val="0"/>
                <w:sz w:val="20"/>
                <w:szCs w:val="20"/>
                <w:highlight w:val="none"/>
              </w:rPr>
            </w:pPr>
            <w:r>
              <w:rPr>
                <w:rFonts w:hint="eastAsia" w:cs="宋体"/>
                <w:color w:val="auto"/>
                <w:kern w:val="0"/>
                <w:sz w:val="20"/>
                <w:szCs w:val="20"/>
                <w:highlight w:val="none"/>
              </w:rPr>
              <w:t>逾期管理</w:t>
            </w:r>
          </w:p>
        </w:tc>
      </w:tr>
      <w:tr w14:paraId="39714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6B2484A8">
            <w:pPr>
              <w:widowControl/>
              <w:jc w:val="center"/>
              <w:rPr>
                <w:rFonts w:cs="宋体"/>
                <w:color w:val="auto"/>
                <w:kern w:val="0"/>
                <w:sz w:val="20"/>
                <w:szCs w:val="20"/>
                <w:highlight w:val="none"/>
              </w:rPr>
            </w:pPr>
            <w:r>
              <w:rPr>
                <w:rFonts w:hint="eastAsia" w:cs="宋体"/>
                <w:color w:val="auto"/>
                <w:kern w:val="0"/>
                <w:sz w:val="20"/>
                <w:szCs w:val="20"/>
                <w:highlight w:val="none"/>
              </w:rPr>
              <w:t>22</w:t>
            </w:r>
          </w:p>
        </w:tc>
        <w:tc>
          <w:tcPr>
            <w:tcW w:w="2354" w:type="dxa"/>
            <w:vMerge w:val="continue"/>
            <w:vAlign w:val="center"/>
          </w:tcPr>
          <w:p w14:paraId="730200B6">
            <w:pPr>
              <w:widowControl/>
              <w:rPr>
                <w:rFonts w:cs="宋体"/>
                <w:color w:val="auto"/>
                <w:kern w:val="0"/>
                <w:sz w:val="20"/>
                <w:szCs w:val="20"/>
                <w:highlight w:val="none"/>
              </w:rPr>
            </w:pPr>
          </w:p>
        </w:tc>
        <w:tc>
          <w:tcPr>
            <w:tcW w:w="5078" w:type="dxa"/>
            <w:shd w:val="clear" w:color="000000" w:fill="FFFFFF"/>
            <w:vAlign w:val="center"/>
          </w:tcPr>
          <w:p w14:paraId="2EE244AC">
            <w:pPr>
              <w:widowControl/>
              <w:jc w:val="center"/>
              <w:rPr>
                <w:rFonts w:cs="宋体"/>
                <w:color w:val="auto"/>
                <w:kern w:val="0"/>
                <w:sz w:val="20"/>
                <w:szCs w:val="20"/>
                <w:highlight w:val="none"/>
              </w:rPr>
            </w:pPr>
            <w:r>
              <w:rPr>
                <w:rFonts w:hint="eastAsia" w:cs="宋体"/>
                <w:color w:val="auto"/>
                <w:kern w:val="0"/>
                <w:sz w:val="20"/>
                <w:szCs w:val="20"/>
                <w:highlight w:val="none"/>
              </w:rPr>
              <w:t>代偿管理（再担保）</w:t>
            </w:r>
          </w:p>
        </w:tc>
      </w:tr>
      <w:tr w14:paraId="5C0E5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4A8C1388">
            <w:pPr>
              <w:widowControl/>
              <w:jc w:val="center"/>
              <w:rPr>
                <w:rFonts w:cs="宋体"/>
                <w:color w:val="auto"/>
                <w:kern w:val="0"/>
                <w:sz w:val="20"/>
                <w:szCs w:val="20"/>
                <w:highlight w:val="none"/>
              </w:rPr>
            </w:pPr>
            <w:r>
              <w:rPr>
                <w:rFonts w:hint="eastAsia" w:cs="宋体"/>
                <w:color w:val="auto"/>
                <w:kern w:val="0"/>
                <w:sz w:val="20"/>
                <w:szCs w:val="20"/>
                <w:highlight w:val="none"/>
              </w:rPr>
              <w:t>23</w:t>
            </w:r>
          </w:p>
        </w:tc>
        <w:tc>
          <w:tcPr>
            <w:tcW w:w="2354" w:type="dxa"/>
            <w:vMerge w:val="continue"/>
            <w:vAlign w:val="center"/>
          </w:tcPr>
          <w:p w14:paraId="7AD630A1">
            <w:pPr>
              <w:widowControl/>
              <w:rPr>
                <w:rFonts w:cs="宋体"/>
                <w:color w:val="auto"/>
                <w:kern w:val="0"/>
                <w:sz w:val="20"/>
                <w:szCs w:val="20"/>
                <w:highlight w:val="none"/>
              </w:rPr>
            </w:pPr>
          </w:p>
        </w:tc>
        <w:tc>
          <w:tcPr>
            <w:tcW w:w="5078" w:type="dxa"/>
            <w:shd w:val="clear" w:color="000000" w:fill="FFFFFF"/>
            <w:vAlign w:val="center"/>
          </w:tcPr>
          <w:p w14:paraId="061483BB">
            <w:pPr>
              <w:widowControl/>
              <w:jc w:val="center"/>
              <w:rPr>
                <w:rFonts w:cs="宋体"/>
                <w:color w:val="auto"/>
                <w:kern w:val="0"/>
                <w:sz w:val="20"/>
                <w:szCs w:val="20"/>
                <w:highlight w:val="none"/>
              </w:rPr>
            </w:pPr>
            <w:r>
              <w:rPr>
                <w:rFonts w:hint="eastAsia" w:cs="宋体"/>
                <w:color w:val="auto"/>
                <w:kern w:val="0"/>
                <w:sz w:val="20"/>
                <w:szCs w:val="20"/>
                <w:highlight w:val="none"/>
              </w:rPr>
              <w:t>代偿管理</w:t>
            </w:r>
          </w:p>
        </w:tc>
      </w:tr>
      <w:tr w14:paraId="021C5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2E4C0581">
            <w:pPr>
              <w:widowControl/>
              <w:jc w:val="center"/>
              <w:rPr>
                <w:rFonts w:cs="宋体"/>
                <w:color w:val="auto"/>
                <w:kern w:val="0"/>
                <w:sz w:val="20"/>
                <w:szCs w:val="20"/>
                <w:highlight w:val="none"/>
              </w:rPr>
            </w:pPr>
            <w:r>
              <w:rPr>
                <w:rFonts w:hint="eastAsia" w:cs="宋体"/>
                <w:color w:val="auto"/>
                <w:kern w:val="0"/>
                <w:sz w:val="20"/>
                <w:szCs w:val="20"/>
                <w:highlight w:val="none"/>
              </w:rPr>
              <w:t>24</w:t>
            </w:r>
          </w:p>
        </w:tc>
        <w:tc>
          <w:tcPr>
            <w:tcW w:w="2354" w:type="dxa"/>
            <w:vMerge w:val="continue"/>
            <w:vAlign w:val="center"/>
          </w:tcPr>
          <w:p w14:paraId="357BF7C3">
            <w:pPr>
              <w:widowControl/>
              <w:rPr>
                <w:rFonts w:cs="宋体"/>
                <w:color w:val="auto"/>
                <w:kern w:val="0"/>
                <w:sz w:val="20"/>
                <w:szCs w:val="20"/>
                <w:highlight w:val="none"/>
              </w:rPr>
            </w:pPr>
          </w:p>
        </w:tc>
        <w:tc>
          <w:tcPr>
            <w:tcW w:w="5078" w:type="dxa"/>
            <w:shd w:val="clear" w:color="000000" w:fill="FFFFFF"/>
            <w:vAlign w:val="center"/>
          </w:tcPr>
          <w:p w14:paraId="6FDCBBC5">
            <w:pPr>
              <w:widowControl/>
              <w:jc w:val="center"/>
              <w:rPr>
                <w:rFonts w:cs="宋体"/>
                <w:color w:val="auto"/>
                <w:kern w:val="0"/>
                <w:sz w:val="20"/>
                <w:szCs w:val="20"/>
                <w:highlight w:val="none"/>
              </w:rPr>
            </w:pPr>
            <w:r>
              <w:rPr>
                <w:rFonts w:hint="eastAsia" w:cs="宋体"/>
                <w:color w:val="auto"/>
                <w:kern w:val="0"/>
                <w:sz w:val="20"/>
                <w:szCs w:val="20"/>
                <w:highlight w:val="none"/>
              </w:rPr>
              <w:t>追偿管理</w:t>
            </w:r>
          </w:p>
        </w:tc>
      </w:tr>
      <w:tr w14:paraId="7D5C7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1520A4B3">
            <w:pPr>
              <w:widowControl/>
              <w:jc w:val="center"/>
              <w:rPr>
                <w:rFonts w:cs="宋体"/>
                <w:color w:val="auto"/>
                <w:kern w:val="0"/>
                <w:sz w:val="20"/>
                <w:szCs w:val="20"/>
                <w:highlight w:val="none"/>
              </w:rPr>
            </w:pPr>
            <w:r>
              <w:rPr>
                <w:rFonts w:hint="eastAsia" w:cs="宋体"/>
                <w:color w:val="auto"/>
                <w:kern w:val="0"/>
                <w:sz w:val="20"/>
                <w:szCs w:val="20"/>
                <w:highlight w:val="none"/>
              </w:rPr>
              <w:t>25</w:t>
            </w:r>
          </w:p>
        </w:tc>
        <w:tc>
          <w:tcPr>
            <w:tcW w:w="2354" w:type="dxa"/>
            <w:vMerge w:val="continue"/>
            <w:vAlign w:val="center"/>
          </w:tcPr>
          <w:p w14:paraId="205B2F6A">
            <w:pPr>
              <w:widowControl/>
              <w:rPr>
                <w:rFonts w:cs="宋体"/>
                <w:color w:val="auto"/>
                <w:kern w:val="0"/>
                <w:sz w:val="20"/>
                <w:szCs w:val="20"/>
                <w:highlight w:val="none"/>
              </w:rPr>
            </w:pPr>
          </w:p>
        </w:tc>
        <w:tc>
          <w:tcPr>
            <w:tcW w:w="5078" w:type="dxa"/>
            <w:shd w:val="clear" w:color="000000" w:fill="FFFFFF"/>
            <w:vAlign w:val="center"/>
          </w:tcPr>
          <w:p w14:paraId="6536AB74">
            <w:pPr>
              <w:widowControl/>
              <w:jc w:val="center"/>
              <w:rPr>
                <w:rFonts w:cs="宋体"/>
                <w:color w:val="auto"/>
                <w:kern w:val="0"/>
                <w:sz w:val="20"/>
                <w:szCs w:val="20"/>
                <w:highlight w:val="none"/>
              </w:rPr>
            </w:pPr>
            <w:r>
              <w:rPr>
                <w:rFonts w:hint="eastAsia" w:cs="宋体"/>
                <w:color w:val="auto"/>
                <w:kern w:val="0"/>
                <w:sz w:val="20"/>
                <w:szCs w:val="20"/>
                <w:highlight w:val="none"/>
              </w:rPr>
              <w:t>核销管理</w:t>
            </w:r>
          </w:p>
        </w:tc>
      </w:tr>
      <w:tr w14:paraId="3E12E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5F98ED20">
            <w:pPr>
              <w:widowControl/>
              <w:jc w:val="center"/>
              <w:rPr>
                <w:rFonts w:cs="宋体"/>
                <w:color w:val="auto"/>
                <w:kern w:val="0"/>
                <w:sz w:val="20"/>
                <w:szCs w:val="20"/>
                <w:highlight w:val="none"/>
              </w:rPr>
            </w:pPr>
            <w:r>
              <w:rPr>
                <w:rFonts w:hint="eastAsia" w:cs="宋体"/>
                <w:color w:val="auto"/>
                <w:kern w:val="0"/>
                <w:sz w:val="20"/>
                <w:szCs w:val="20"/>
                <w:highlight w:val="none"/>
              </w:rPr>
              <w:t>26</w:t>
            </w:r>
          </w:p>
        </w:tc>
        <w:tc>
          <w:tcPr>
            <w:tcW w:w="2354" w:type="dxa"/>
            <w:vMerge w:val="continue"/>
            <w:vAlign w:val="center"/>
          </w:tcPr>
          <w:p w14:paraId="08CDBF5E">
            <w:pPr>
              <w:widowControl/>
              <w:rPr>
                <w:rFonts w:cs="宋体"/>
                <w:color w:val="auto"/>
                <w:kern w:val="0"/>
                <w:sz w:val="20"/>
                <w:szCs w:val="20"/>
                <w:highlight w:val="none"/>
              </w:rPr>
            </w:pPr>
          </w:p>
        </w:tc>
        <w:tc>
          <w:tcPr>
            <w:tcW w:w="5078" w:type="dxa"/>
            <w:shd w:val="clear" w:color="000000" w:fill="FFFFFF"/>
            <w:vAlign w:val="center"/>
          </w:tcPr>
          <w:p w14:paraId="58332B59">
            <w:pPr>
              <w:widowControl/>
              <w:jc w:val="center"/>
              <w:rPr>
                <w:rFonts w:cs="宋体"/>
                <w:color w:val="auto"/>
                <w:kern w:val="0"/>
                <w:sz w:val="20"/>
                <w:szCs w:val="20"/>
                <w:highlight w:val="none"/>
              </w:rPr>
            </w:pPr>
            <w:r>
              <w:rPr>
                <w:rFonts w:hint="eastAsia" w:cs="宋体"/>
                <w:color w:val="auto"/>
                <w:kern w:val="0"/>
                <w:sz w:val="20"/>
                <w:szCs w:val="20"/>
                <w:highlight w:val="none"/>
              </w:rPr>
              <w:t>系统管理</w:t>
            </w:r>
          </w:p>
        </w:tc>
      </w:tr>
      <w:tr w14:paraId="3F7A3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76A7AE5B">
            <w:pPr>
              <w:widowControl/>
              <w:jc w:val="center"/>
              <w:rPr>
                <w:rFonts w:cs="宋体"/>
                <w:color w:val="auto"/>
                <w:kern w:val="0"/>
                <w:sz w:val="20"/>
                <w:szCs w:val="20"/>
                <w:highlight w:val="none"/>
              </w:rPr>
            </w:pPr>
            <w:r>
              <w:rPr>
                <w:rFonts w:hint="eastAsia" w:cs="宋体"/>
                <w:color w:val="auto"/>
                <w:kern w:val="0"/>
                <w:sz w:val="20"/>
                <w:szCs w:val="20"/>
                <w:highlight w:val="none"/>
              </w:rPr>
              <w:t>27</w:t>
            </w:r>
          </w:p>
        </w:tc>
        <w:tc>
          <w:tcPr>
            <w:tcW w:w="2354" w:type="dxa"/>
            <w:vMerge w:val="continue"/>
            <w:vAlign w:val="center"/>
          </w:tcPr>
          <w:p w14:paraId="19D8C748">
            <w:pPr>
              <w:widowControl/>
              <w:rPr>
                <w:rFonts w:cs="宋体"/>
                <w:color w:val="auto"/>
                <w:kern w:val="0"/>
                <w:sz w:val="20"/>
                <w:szCs w:val="20"/>
                <w:highlight w:val="none"/>
              </w:rPr>
            </w:pPr>
          </w:p>
        </w:tc>
        <w:tc>
          <w:tcPr>
            <w:tcW w:w="5078" w:type="dxa"/>
            <w:shd w:val="clear" w:color="000000" w:fill="FFFFFF"/>
            <w:vAlign w:val="center"/>
          </w:tcPr>
          <w:p w14:paraId="2C61D020">
            <w:pPr>
              <w:widowControl/>
              <w:jc w:val="center"/>
              <w:rPr>
                <w:rFonts w:cs="宋体"/>
                <w:color w:val="auto"/>
                <w:kern w:val="0"/>
                <w:sz w:val="20"/>
                <w:szCs w:val="20"/>
                <w:highlight w:val="none"/>
              </w:rPr>
            </w:pPr>
            <w:r>
              <w:rPr>
                <w:rFonts w:hint="eastAsia" w:cs="宋体"/>
                <w:color w:val="auto"/>
                <w:kern w:val="0"/>
                <w:sz w:val="20"/>
                <w:szCs w:val="20"/>
                <w:highlight w:val="none"/>
              </w:rPr>
              <w:t>运维管理</w:t>
            </w:r>
          </w:p>
        </w:tc>
      </w:tr>
      <w:tr w14:paraId="0B47C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4E1A0B23">
            <w:pPr>
              <w:widowControl/>
              <w:jc w:val="center"/>
              <w:rPr>
                <w:rFonts w:cs="宋体"/>
                <w:color w:val="auto"/>
                <w:kern w:val="0"/>
                <w:sz w:val="20"/>
                <w:szCs w:val="20"/>
                <w:highlight w:val="none"/>
              </w:rPr>
            </w:pPr>
            <w:r>
              <w:rPr>
                <w:rFonts w:hint="eastAsia" w:cs="宋体"/>
                <w:color w:val="auto"/>
                <w:kern w:val="0"/>
                <w:sz w:val="20"/>
                <w:szCs w:val="20"/>
                <w:highlight w:val="none"/>
              </w:rPr>
              <w:t>28</w:t>
            </w:r>
          </w:p>
        </w:tc>
        <w:tc>
          <w:tcPr>
            <w:tcW w:w="2354" w:type="dxa"/>
            <w:vMerge w:val="continue"/>
            <w:vAlign w:val="center"/>
          </w:tcPr>
          <w:p w14:paraId="582A0B0A">
            <w:pPr>
              <w:widowControl/>
              <w:rPr>
                <w:rFonts w:cs="宋体"/>
                <w:color w:val="auto"/>
                <w:kern w:val="0"/>
                <w:sz w:val="20"/>
                <w:szCs w:val="20"/>
                <w:highlight w:val="none"/>
              </w:rPr>
            </w:pPr>
          </w:p>
        </w:tc>
        <w:tc>
          <w:tcPr>
            <w:tcW w:w="5078" w:type="dxa"/>
            <w:shd w:val="clear" w:color="000000" w:fill="FFFFFF"/>
            <w:vAlign w:val="center"/>
          </w:tcPr>
          <w:p w14:paraId="5FF669DB">
            <w:pPr>
              <w:widowControl/>
              <w:jc w:val="center"/>
              <w:rPr>
                <w:rFonts w:cs="宋体"/>
                <w:color w:val="auto"/>
                <w:kern w:val="0"/>
                <w:sz w:val="20"/>
                <w:szCs w:val="20"/>
                <w:highlight w:val="none"/>
              </w:rPr>
            </w:pPr>
            <w:r>
              <w:rPr>
                <w:rFonts w:hint="eastAsia" w:cs="宋体"/>
                <w:color w:val="auto"/>
                <w:kern w:val="0"/>
                <w:sz w:val="20"/>
                <w:szCs w:val="20"/>
                <w:highlight w:val="none"/>
              </w:rPr>
              <w:t>规则管理中心</w:t>
            </w:r>
          </w:p>
        </w:tc>
      </w:tr>
      <w:tr w14:paraId="154F5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5CA84F83">
            <w:pPr>
              <w:widowControl/>
              <w:jc w:val="center"/>
              <w:rPr>
                <w:rFonts w:cs="宋体"/>
                <w:color w:val="auto"/>
                <w:kern w:val="0"/>
                <w:sz w:val="20"/>
                <w:szCs w:val="20"/>
                <w:highlight w:val="none"/>
              </w:rPr>
            </w:pPr>
            <w:r>
              <w:rPr>
                <w:rFonts w:hint="eastAsia" w:cs="宋体"/>
                <w:color w:val="auto"/>
                <w:kern w:val="0"/>
                <w:sz w:val="20"/>
                <w:szCs w:val="20"/>
                <w:highlight w:val="none"/>
              </w:rPr>
              <w:t>29</w:t>
            </w:r>
          </w:p>
        </w:tc>
        <w:tc>
          <w:tcPr>
            <w:tcW w:w="2354" w:type="dxa"/>
            <w:vMerge w:val="continue"/>
            <w:vAlign w:val="center"/>
          </w:tcPr>
          <w:p w14:paraId="3FFF2D01">
            <w:pPr>
              <w:widowControl/>
              <w:rPr>
                <w:rFonts w:cs="宋体"/>
                <w:color w:val="auto"/>
                <w:kern w:val="0"/>
                <w:sz w:val="20"/>
                <w:szCs w:val="20"/>
                <w:highlight w:val="none"/>
              </w:rPr>
            </w:pPr>
          </w:p>
        </w:tc>
        <w:tc>
          <w:tcPr>
            <w:tcW w:w="5078" w:type="dxa"/>
            <w:shd w:val="clear" w:color="000000" w:fill="FFFFFF"/>
            <w:vAlign w:val="center"/>
          </w:tcPr>
          <w:p w14:paraId="3B6E6617">
            <w:pPr>
              <w:widowControl/>
              <w:jc w:val="center"/>
              <w:rPr>
                <w:rFonts w:cs="宋体"/>
                <w:color w:val="auto"/>
                <w:kern w:val="0"/>
                <w:sz w:val="20"/>
                <w:szCs w:val="20"/>
                <w:highlight w:val="none"/>
              </w:rPr>
            </w:pPr>
            <w:r>
              <w:rPr>
                <w:rFonts w:hint="eastAsia" w:cs="宋体"/>
                <w:color w:val="auto"/>
                <w:kern w:val="0"/>
                <w:sz w:val="20"/>
                <w:szCs w:val="20"/>
                <w:highlight w:val="none"/>
              </w:rPr>
              <w:t>客户管理中心</w:t>
            </w:r>
          </w:p>
        </w:tc>
      </w:tr>
      <w:tr w14:paraId="6613A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206F1FE6">
            <w:pPr>
              <w:widowControl/>
              <w:jc w:val="center"/>
              <w:rPr>
                <w:rFonts w:cs="宋体"/>
                <w:color w:val="auto"/>
                <w:kern w:val="0"/>
                <w:sz w:val="20"/>
                <w:szCs w:val="20"/>
                <w:highlight w:val="none"/>
              </w:rPr>
            </w:pPr>
            <w:r>
              <w:rPr>
                <w:rFonts w:hint="eastAsia" w:cs="宋体"/>
                <w:color w:val="auto"/>
                <w:kern w:val="0"/>
                <w:sz w:val="20"/>
                <w:szCs w:val="20"/>
                <w:highlight w:val="none"/>
              </w:rPr>
              <w:t>30</w:t>
            </w:r>
          </w:p>
        </w:tc>
        <w:tc>
          <w:tcPr>
            <w:tcW w:w="2354" w:type="dxa"/>
            <w:vMerge w:val="continue"/>
            <w:vAlign w:val="center"/>
          </w:tcPr>
          <w:p w14:paraId="62277C7D">
            <w:pPr>
              <w:widowControl/>
              <w:rPr>
                <w:rFonts w:cs="宋体"/>
                <w:color w:val="auto"/>
                <w:kern w:val="0"/>
                <w:sz w:val="20"/>
                <w:szCs w:val="20"/>
                <w:highlight w:val="none"/>
              </w:rPr>
            </w:pPr>
          </w:p>
        </w:tc>
        <w:tc>
          <w:tcPr>
            <w:tcW w:w="5078" w:type="dxa"/>
            <w:shd w:val="clear" w:color="000000" w:fill="FFFFFF"/>
            <w:vAlign w:val="center"/>
          </w:tcPr>
          <w:p w14:paraId="1FDFC19F">
            <w:pPr>
              <w:widowControl/>
              <w:jc w:val="center"/>
              <w:rPr>
                <w:rFonts w:cs="宋体"/>
                <w:color w:val="auto"/>
                <w:kern w:val="0"/>
                <w:sz w:val="20"/>
                <w:szCs w:val="20"/>
                <w:highlight w:val="none"/>
              </w:rPr>
            </w:pPr>
            <w:r>
              <w:rPr>
                <w:rFonts w:hint="eastAsia" w:cs="宋体"/>
                <w:color w:val="auto"/>
                <w:kern w:val="0"/>
                <w:sz w:val="20"/>
                <w:szCs w:val="20"/>
                <w:highlight w:val="none"/>
              </w:rPr>
              <w:t>白名单管理</w:t>
            </w:r>
          </w:p>
        </w:tc>
      </w:tr>
      <w:tr w14:paraId="1FE02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1C0918E5">
            <w:pPr>
              <w:widowControl/>
              <w:jc w:val="center"/>
              <w:rPr>
                <w:rFonts w:cs="宋体"/>
                <w:color w:val="auto"/>
                <w:kern w:val="0"/>
                <w:sz w:val="20"/>
                <w:szCs w:val="20"/>
                <w:highlight w:val="none"/>
              </w:rPr>
            </w:pPr>
            <w:r>
              <w:rPr>
                <w:rFonts w:hint="eastAsia" w:cs="宋体"/>
                <w:color w:val="auto"/>
                <w:kern w:val="0"/>
                <w:sz w:val="20"/>
                <w:szCs w:val="20"/>
                <w:highlight w:val="none"/>
              </w:rPr>
              <w:t>31</w:t>
            </w:r>
          </w:p>
        </w:tc>
        <w:tc>
          <w:tcPr>
            <w:tcW w:w="2354" w:type="dxa"/>
            <w:vMerge w:val="continue"/>
            <w:vAlign w:val="center"/>
          </w:tcPr>
          <w:p w14:paraId="240CB972">
            <w:pPr>
              <w:widowControl/>
              <w:rPr>
                <w:rFonts w:cs="宋体"/>
                <w:color w:val="auto"/>
                <w:kern w:val="0"/>
                <w:sz w:val="20"/>
                <w:szCs w:val="20"/>
                <w:highlight w:val="none"/>
              </w:rPr>
            </w:pPr>
          </w:p>
        </w:tc>
        <w:tc>
          <w:tcPr>
            <w:tcW w:w="5078" w:type="dxa"/>
            <w:shd w:val="clear" w:color="000000" w:fill="FFFFFF"/>
            <w:vAlign w:val="center"/>
          </w:tcPr>
          <w:p w14:paraId="1733235B">
            <w:pPr>
              <w:widowControl/>
              <w:jc w:val="center"/>
              <w:rPr>
                <w:rFonts w:cs="宋体"/>
                <w:color w:val="auto"/>
                <w:kern w:val="0"/>
                <w:sz w:val="20"/>
                <w:szCs w:val="20"/>
                <w:highlight w:val="none"/>
              </w:rPr>
            </w:pPr>
            <w:r>
              <w:rPr>
                <w:rFonts w:hint="eastAsia" w:cs="宋体"/>
                <w:color w:val="auto"/>
                <w:kern w:val="0"/>
                <w:sz w:val="20"/>
                <w:szCs w:val="20"/>
                <w:highlight w:val="none"/>
              </w:rPr>
              <w:t>协议管理中心</w:t>
            </w:r>
          </w:p>
        </w:tc>
      </w:tr>
      <w:tr w14:paraId="26B71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74F20A38">
            <w:pPr>
              <w:widowControl/>
              <w:jc w:val="center"/>
              <w:rPr>
                <w:rFonts w:cs="宋体"/>
                <w:color w:val="auto"/>
                <w:kern w:val="0"/>
                <w:sz w:val="20"/>
                <w:szCs w:val="20"/>
                <w:highlight w:val="none"/>
              </w:rPr>
            </w:pPr>
            <w:r>
              <w:rPr>
                <w:rFonts w:hint="eastAsia" w:cs="宋体"/>
                <w:color w:val="auto"/>
                <w:kern w:val="0"/>
                <w:sz w:val="20"/>
                <w:szCs w:val="20"/>
                <w:highlight w:val="none"/>
              </w:rPr>
              <w:t>32</w:t>
            </w:r>
          </w:p>
        </w:tc>
        <w:tc>
          <w:tcPr>
            <w:tcW w:w="2354" w:type="dxa"/>
            <w:vMerge w:val="continue"/>
            <w:vAlign w:val="center"/>
          </w:tcPr>
          <w:p w14:paraId="047EF671">
            <w:pPr>
              <w:widowControl/>
              <w:rPr>
                <w:rFonts w:cs="宋体"/>
                <w:color w:val="auto"/>
                <w:kern w:val="0"/>
                <w:sz w:val="20"/>
                <w:szCs w:val="20"/>
                <w:highlight w:val="none"/>
              </w:rPr>
            </w:pPr>
          </w:p>
        </w:tc>
        <w:tc>
          <w:tcPr>
            <w:tcW w:w="5078" w:type="dxa"/>
            <w:shd w:val="clear" w:color="000000" w:fill="FFFFFF"/>
            <w:vAlign w:val="center"/>
          </w:tcPr>
          <w:p w14:paraId="15C0F657">
            <w:pPr>
              <w:widowControl/>
              <w:jc w:val="center"/>
              <w:rPr>
                <w:rFonts w:cs="宋体"/>
                <w:color w:val="auto"/>
                <w:kern w:val="0"/>
                <w:sz w:val="20"/>
                <w:szCs w:val="20"/>
                <w:highlight w:val="none"/>
              </w:rPr>
            </w:pPr>
            <w:r>
              <w:rPr>
                <w:rFonts w:hint="eastAsia" w:cs="宋体"/>
                <w:color w:val="auto"/>
                <w:kern w:val="0"/>
                <w:sz w:val="20"/>
                <w:szCs w:val="20"/>
                <w:highlight w:val="none"/>
              </w:rPr>
              <w:t>再担保管理</w:t>
            </w:r>
          </w:p>
        </w:tc>
      </w:tr>
      <w:tr w14:paraId="69DB0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5A1260BD">
            <w:pPr>
              <w:widowControl/>
              <w:jc w:val="center"/>
              <w:rPr>
                <w:rFonts w:cs="宋体"/>
                <w:color w:val="auto"/>
                <w:kern w:val="0"/>
                <w:sz w:val="20"/>
                <w:szCs w:val="20"/>
                <w:highlight w:val="none"/>
              </w:rPr>
            </w:pPr>
            <w:r>
              <w:rPr>
                <w:rFonts w:hint="eastAsia" w:cs="宋体"/>
                <w:color w:val="auto"/>
                <w:kern w:val="0"/>
                <w:sz w:val="20"/>
                <w:szCs w:val="20"/>
                <w:highlight w:val="none"/>
              </w:rPr>
              <w:t>33</w:t>
            </w:r>
          </w:p>
        </w:tc>
        <w:tc>
          <w:tcPr>
            <w:tcW w:w="2354" w:type="dxa"/>
            <w:vMerge w:val="restart"/>
            <w:shd w:val="clear" w:color="000000" w:fill="FFFFFF"/>
            <w:vAlign w:val="center"/>
          </w:tcPr>
          <w:p w14:paraId="0E161AAA">
            <w:pPr>
              <w:widowControl/>
              <w:jc w:val="center"/>
              <w:rPr>
                <w:rFonts w:cs="宋体"/>
                <w:color w:val="auto"/>
                <w:kern w:val="0"/>
                <w:sz w:val="20"/>
                <w:szCs w:val="20"/>
                <w:highlight w:val="none"/>
              </w:rPr>
            </w:pPr>
            <w:r>
              <w:rPr>
                <w:rFonts w:hint="eastAsia" w:cs="宋体"/>
                <w:color w:val="auto"/>
                <w:kern w:val="0"/>
                <w:sz w:val="20"/>
                <w:szCs w:val="20"/>
                <w:highlight w:val="none"/>
              </w:rPr>
              <w:t>接口管理系统（XC改造）</w:t>
            </w:r>
          </w:p>
        </w:tc>
        <w:tc>
          <w:tcPr>
            <w:tcW w:w="5078" w:type="dxa"/>
            <w:shd w:val="clear" w:color="000000" w:fill="FFFFFF"/>
            <w:vAlign w:val="center"/>
          </w:tcPr>
          <w:p w14:paraId="0109A3BC">
            <w:pPr>
              <w:widowControl/>
              <w:jc w:val="center"/>
              <w:rPr>
                <w:rFonts w:cs="宋体"/>
                <w:color w:val="auto"/>
                <w:kern w:val="0"/>
                <w:sz w:val="20"/>
                <w:szCs w:val="20"/>
                <w:highlight w:val="none"/>
              </w:rPr>
            </w:pPr>
            <w:r>
              <w:rPr>
                <w:rFonts w:hint="eastAsia" w:cs="宋体"/>
                <w:color w:val="auto"/>
                <w:kern w:val="0"/>
                <w:sz w:val="20"/>
                <w:szCs w:val="20"/>
                <w:highlight w:val="none"/>
              </w:rPr>
              <w:t>接口服务</w:t>
            </w:r>
          </w:p>
        </w:tc>
      </w:tr>
      <w:tr w14:paraId="3B096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1336B06D">
            <w:pPr>
              <w:widowControl/>
              <w:jc w:val="center"/>
              <w:rPr>
                <w:rFonts w:cs="宋体"/>
                <w:color w:val="auto"/>
                <w:kern w:val="0"/>
                <w:sz w:val="20"/>
                <w:szCs w:val="20"/>
                <w:highlight w:val="none"/>
              </w:rPr>
            </w:pPr>
            <w:r>
              <w:rPr>
                <w:rFonts w:hint="eastAsia" w:cs="宋体"/>
                <w:color w:val="auto"/>
                <w:kern w:val="0"/>
                <w:sz w:val="20"/>
                <w:szCs w:val="20"/>
                <w:highlight w:val="none"/>
              </w:rPr>
              <w:t>34</w:t>
            </w:r>
          </w:p>
        </w:tc>
        <w:tc>
          <w:tcPr>
            <w:tcW w:w="2354" w:type="dxa"/>
            <w:vMerge w:val="continue"/>
            <w:vAlign w:val="center"/>
          </w:tcPr>
          <w:p w14:paraId="341B0F67">
            <w:pPr>
              <w:widowControl/>
              <w:rPr>
                <w:rFonts w:cs="宋体"/>
                <w:color w:val="auto"/>
                <w:kern w:val="0"/>
                <w:sz w:val="20"/>
                <w:szCs w:val="20"/>
                <w:highlight w:val="none"/>
              </w:rPr>
            </w:pPr>
          </w:p>
        </w:tc>
        <w:tc>
          <w:tcPr>
            <w:tcW w:w="5078" w:type="dxa"/>
            <w:shd w:val="clear" w:color="000000" w:fill="FFFFFF"/>
            <w:vAlign w:val="center"/>
          </w:tcPr>
          <w:p w14:paraId="0D2AB90A">
            <w:pPr>
              <w:widowControl/>
              <w:jc w:val="center"/>
              <w:rPr>
                <w:rFonts w:cs="宋体"/>
                <w:color w:val="auto"/>
                <w:kern w:val="0"/>
                <w:sz w:val="20"/>
                <w:szCs w:val="20"/>
                <w:highlight w:val="none"/>
              </w:rPr>
            </w:pPr>
            <w:r>
              <w:rPr>
                <w:rFonts w:hint="eastAsia" w:cs="宋体"/>
                <w:color w:val="auto"/>
                <w:kern w:val="0"/>
                <w:sz w:val="20"/>
                <w:szCs w:val="20"/>
                <w:highlight w:val="none"/>
              </w:rPr>
              <w:t>用户管理</w:t>
            </w:r>
          </w:p>
        </w:tc>
      </w:tr>
      <w:tr w14:paraId="7DDE5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72C94D65">
            <w:pPr>
              <w:widowControl/>
              <w:jc w:val="center"/>
              <w:rPr>
                <w:rFonts w:cs="宋体"/>
                <w:color w:val="auto"/>
                <w:kern w:val="0"/>
                <w:sz w:val="20"/>
                <w:szCs w:val="20"/>
                <w:highlight w:val="none"/>
              </w:rPr>
            </w:pPr>
            <w:r>
              <w:rPr>
                <w:rFonts w:hint="eastAsia" w:cs="宋体"/>
                <w:color w:val="auto"/>
                <w:kern w:val="0"/>
                <w:sz w:val="20"/>
                <w:szCs w:val="20"/>
                <w:highlight w:val="none"/>
              </w:rPr>
              <w:t>35</w:t>
            </w:r>
          </w:p>
        </w:tc>
        <w:tc>
          <w:tcPr>
            <w:tcW w:w="2354" w:type="dxa"/>
            <w:vMerge w:val="continue"/>
            <w:vAlign w:val="center"/>
          </w:tcPr>
          <w:p w14:paraId="2FAB002C">
            <w:pPr>
              <w:widowControl/>
              <w:rPr>
                <w:rFonts w:cs="宋体"/>
                <w:color w:val="auto"/>
                <w:kern w:val="0"/>
                <w:sz w:val="20"/>
                <w:szCs w:val="20"/>
                <w:highlight w:val="none"/>
              </w:rPr>
            </w:pPr>
          </w:p>
        </w:tc>
        <w:tc>
          <w:tcPr>
            <w:tcW w:w="5078" w:type="dxa"/>
            <w:shd w:val="clear" w:color="000000" w:fill="FFFFFF"/>
            <w:vAlign w:val="center"/>
          </w:tcPr>
          <w:p w14:paraId="4E3261CA">
            <w:pPr>
              <w:widowControl/>
              <w:jc w:val="center"/>
              <w:rPr>
                <w:rFonts w:cs="宋体"/>
                <w:color w:val="auto"/>
                <w:kern w:val="0"/>
                <w:sz w:val="20"/>
                <w:szCs w:val="20"/>
                <w:highlight w:val="none"/>
              </w:rPr>
            </w:pPr>
            <w:r>
              <w:rPr>
                <w:rFonts w:hint="eastAsia" w:cs="宋体"/>
                <w:color w:val="auto"/>
                <w:kern w:val="0"/>
                <w:sz w:val="20"/>
                <w:szCs w:val="20"/>
                <w:highlight w:val="none"/>
              </w:rPr>
              <w:t>密钥管理</w:t>
            </w:r>
          </w:p>
        </w:tc>
      </w:tr>
      <w:tr w14:paraId="26DAC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56092DF0">
            <w:pPr>
              <w:widowControl/>
              <w:jc w:val="center"/>
              <w:rPr>
                <w:rFonts w:cs="宋体"/>
                <w:color w:val="auto"/>
                <w:kern w:val="0"/>
                <w:sz w:val="20"/>
                <w:szCs w:val="20"/>
                <w:highlight w:val="none"/>
              </w:rPr>
            </w:pPr>
            <w:r>
              <w:rPr>
                <w:rFonts w:hint="eastAsia" w:cs="宋体"/>
                <w:color w:val="auto"/>
                <w:kern w:val="0"/>
                <w:sz w:val="20"/>
                <w:szCs w:val="20"/>
                <w:highlight w:val="none"/>
              </w:rPr>
              <w:t>36</w:t>
            </w:r>
          </w:p>
        </w:tc>
        <w:tc>
          <w:tcPr>
            <w:tcW w:w="2354" w:type="dxa"/>
            <w:vMerge w:val="restart"/>
            <w:shd w:val="clear" w:color="000000" w:fill="FFFFFF"/>
            <w:vAlign w:val="center"/>
          </w:tcPr>
          <w:p w14:paraId="39344168">
            <w:pPr>
              <w:widowControl/>
              <w:jc w:val="center"/>
              <w:rPr>
                <w:rFonts w:cs="宋体"/>
                <w:color w:val="auto"/>
                <w:kern w:val="0"/>
                <w:sz w:val="20"/>
                <w:szCs w:val="20"/>
                <w:highlight w:val="none"/>
              </w:rPr>
            </w:pPr>
            <w:r>
              <w:rPr>
                <w:rFonts w:hint="eastAsia" w:cs="宋体"/>
                <w:color w:val="auto"/>
                <w:kern w:val="0"/>
                <w:sz w:val="20"/>
                <w:szCs w:val="20"/>
                <w:highlight w:val="none"/>
              </w:rPr>
              <w:t>数字看板系统（XC改造）</w:t>
            </w:r>
          </w:p>
        </w:tc>
        <w:tc>
          <w:tcPr>
            <w:tcW w:w="5078" w:type="dxa"/>
            <w:shd w:val="clear" w:color="000000" w:fill="FFFFFF"/>
            <w:vAlign w:val="center"/>
          </w:tcPr>
          <w:p w14:paraId="24BDF7DE">
            <w:pPr>
              <w:widowControl/>
              <w:jc w:val="center"/>
              <w:rPr>
                <w:rFonts w:cs="宋体"/>
                <w:color w:val="auto"/>
                <w:kern w:val="0"/>
                <w:sz w:val="20"/>
                <w:szCs w:val="20"/>
                <w:highlight w:val="none"/>
              </w:rPr>
            </w:pPr>
            <w:r>
              <w:rPr>
                <w:rFonts w:hint="eastAsia" w:cs="宋体"/>
                <w:color w:val="auto"/>
                <w:kern w:val="0"/>
                <w:sz w:val="20"/>
                <w:szCs w:val="20"/>
                <w:highlight w:val="none"/>
              </w:rPr>
              <w:t>领导看板</w:t>
            </w:r>
          </w:p>
        </w:tc>
      </w:tr>
      <w:tr w14:paraId="0EFE0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31CE4500">
            <w:pPr>
              <w:widowControl/>
              <w:jc w:val="center"/>
              <w:rPr>
                <w:rFonts w:cs="宋体"/>
                <w:color w:val="auto"/>
                <w:kern w:val="0"/>
                <w:sz w:val="20"/>
                <w:szCs w:val="20"/>
                <w:highlight w:val="none"/>
              </w:rPr>
            </w:pPr>
            <w:r>
              <w:rPr>
                <w:rFonts w:hint="eastAsia" w:cs="宋体"/>
                <w:color w:val="auto"/>
                <w:kern w:val="0"/>
                <w:sz w:val="20"/>
                <w:szCs w:val="20"/>
                <w:highlight w:val="none"/>
              </w:rPr>
              <w:t>37</w:t>
            </w:r>
          </w:p>
        </w:tc>
        <w:tc>
          <w:tcPr>
            <w:tcW w:w="2354" w:type="dxa"/>
            <w:vMerge w:val="continue"/>
            <w:vAlign w:val="center"/>
          </w:tcPr>
          <w:p w14:paraId="5139EA8A">
            <w:pPr>
              <w:widowControl/>
              <w:rPr>
                <w:rFonts w:cs="宋体"/>
                <w:color w:val="auto"/>
                <w:kern w:val="0"/>
                <w:sz w:val="20"/>
                <w:szCs w:val="20"/>
                <w:highlight w:val="none"/>
              </w:rPr>
            </w:pPr>
          </w:p>
        </w:tc>
        <w:tc>
          <w:tcPr>
            <w:tcW w:w="5078" w:type="dxa"/>
            <w:shd w:val="clear" w:color="000000" w:fill="FFFFFF"/>
            <w:vAlign w:val="center"/>
          </w:tcPr>
          <w:p w14:paraId="35E78C4C">
            <w:pPr>
              <w:widowControl/>
              <w:jc w:val="center"/>
              <w:rPr>
                <w:rFonts w:cs="宋体"/>
                <w:color w:val="auto"/>
                <w:kern w:val="0"/>
                <w:sz w:val="20"/>
                <w:szCs w:val="20"/>
                <w:highlight w:val="none"/>
              </w:rPr>
            </w:pPr>
            <w:r>
              <w:rPr>
                <w:rFonts w:hint="eastAsia" w:cs="宋体"/>
                <w:color w:val="auto"/>
                <w:kern w:val="0"/>
                <w:sz w:val="20"/>
                <w:szCs w:val="20"/>
                <w:highlight w:val="none"/>
              </w:rPr>
              <w:t>数据层</w:t>
            </w:r>
          </w:p>
        </w:tc>
      </w:tr>
      <w:tr w14:paraId="12A9A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41CA88FD">
            <w:pPr>
              <w:widowControl/>
              <w:jc w:val="center"/>
              <w:rPr>
                <w:rFonts w:cs="宋体"/>
                <w:color w:val="auto"/>
                <w:kern w:val="0"/>
                <w:sz w:val="20"/>
                <w:szCs w:val="20"/>
                <w:highlight w:val="none"/>
              </w:rPr>
            </w:pPr>
            <w:r>
              <w:rPr>
                <w:rFonts w:hint="eastAsia" w:cs="宋体"/>
                <w:color w:val="auto"/>
                <w:kern w:val="0"/>
                <w:sz w:val="20"/>
                <w:szCs w:val="20"/>
                <w:highlight w:val="none"/>
              </w:rPr>
              <w:t>38</w:t>
            </w:r>
          </w:p>
        </w:tc>
        <w:tc>
          <w:tcPr>
            <w:tcW w:w="2354" w:type="dxa"/>
            <w:vMerge w:val="restart"/>
            <w:shd w:val="clear" w:color="000000" w:fill="FFFFFF"/>
            <w:vAlign w:val="center"/>
          </w:tcPr>
          <w:p w14:paraId="11F62BC1">
            <w:pPr>
              <w:widowControl/>
              <w:jc w:val="center"/>
              <w:rPr>
                <w:rFonts w:cs="宋体"/>
                <w:color w:val="auto"/>
                <w:kern w:val="0"/>
                <w:sz w:val="20"/>
                <w:szCs w:val="20"/>
                <w:highlight w:val="none"/>
              </w:rPr>
            </w:pPr>
            <w:r>
              <w:rPr>
                <w:rFonts w:hint="eastAsia" w:cs="宋体"/>
                <w:color w:val="auto"/>
                <w:kern w:val="0"/>
                <w:sz w:val="20"/>
                <w:szCs w:val="20"/>
                <w:highlight w:val="none"/>
              </w:rPr>
              <w:t>数据分析系统（XC改造）</w:t>
            </w:r>
          </w:p>
        </w:tc>
        <w:tc>
          <w:tcPr>
            <w:tcW w:w="5078" w:type="dxa"/>
            <w:shd w:val="clear" w:color="000000" w:fill="FFFFFF"/>
            <w:vAlign w:val="center"/>
          </w:tcPr>
          <w:p w14:paraId="2BF9366C">
            <w:pPr>
              <w:widowControl/>
              <w:jc w:val="center"/>
              <w:rPr>
                <w:rFonts w:cs="宋体"/>
                <w:color w:val="auto"/>
                <w:kern w:val="0"/>
                <w:sz w:val="20"/>
                <w:szCs w:val="20"/>
                <w:highlight w:val="none"/>
              </w:rPr>
            </w:pPr>
            <w:r>
              <w:rPr>
                <w:rFonts w:hint="eastAsia" w:cs="宋体"/>
                <w:color w:val="auto"/>
                <w:kern w:val="0"/>
                <w:sz w:val="20"/>
                <w:szCs w:val="20"/>
                <w:highlight w:val="none"/>
              </w:rPr>
              <w:t>统计查询</w:t>
            </w:r>
          </w:p>
        </w:tc>
      </w:tr>
      <w:tr w14:paraId="2B294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116A165A">
            <w:pPr>
              <w:widowControl/>
              <w:jc w:val="center"/>
              <w:rPr>
                <w:rFonts w:cs="宋体"/>
                <w:color w:val="auto"/>
                <w:kern w:val="0"/>
                <w:sz w:val="20"/>
                <w:szCs w:val="20"/>
                <w:highlight w:val="none"/>
              </w:rPr>
            </w:pPr>
            <w:r>
              <w:rPr>
                <w:rFonts w:hint="eastAsia" w:cs="宋体"/>
                <w:color w:val="auto"/>
                <w:kern w:val="0"/>
                <w:sz w:val="20"/>
                <w:szCs w:val="20"/>
                <w:highlight w:val="none"/>
              </w:rPr>
              <w:t>39</w:t>
            </w:r>
          </w:p>
        </w:tc>
        <w:tc>
          <w:tcPr>
            <w:tcW w:w="2354" w:type="dxa"/>
            <w:vMerge w:val="continue"/>
            <w:vAlign w:val="center"/>
          </w:tcPr>
          <w:p w14:paraId="2DE84673">
            <w:pPr>
              <w:widowControl/>
              <w:rPr>
                <w:rFonts w:cs="宋体"/>
                <w:color w:val="auto"/>
                <w:kern w:val="0"/>
                <w:sz w:val="20"/>
                <w:szCs w:val="20"/>
                <w:highlight w:val="none"/>
              </w:rPr>
            </w:pPr>
          </w:p>
        </w:tc>
        <w:tc>
          <w:tcPr>
            <w:tcW w:w="5078" w:type="dxa"/>
            <w:shd w:val="clear" w:color="000000" w:fill="FFFFFF"/>
            <w:vAlign w:val="center"/>
          </w:tcPr>
          <w:p w14:paraId="42E375C1">
            <w:pPr>
              <w:widowControl/>
              <w:jc w:val="center"/>
              <w:rPr>
                <w:rFonts w:cs="宋体"/>
                <w:color w:val="auto"/>
                <w:kern w:val="0"/>
                <w:sz w:val="20"/>
                <w:szCs w:val="20"/>
                <w:highlight w:val="none"/>
              </w:rPr>
            </w:pPr>
            <w:r>
              <w:rPr>
                <w:rFonts w:hint="eastAsia" w:cs="宋体"/>
                <w:color w:val="auto"/>
                <w:kern w:val="0"/>
                <w:sz w:val="20"/>
                <w:szCs w:val="20"/>
                <w:highlight w:val="none"/>
              </w:rPr>
              <w:t>统计报表</w:t>
            </w:r>
          </w:p>
        </w:tc>
      </w:tr>
      <w:tr w14:paraId="20227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6AA20427">
            <w:pPr>
              <w:widowControl/>
              <w:jc w:val="center"/>
              <w:rPr>
                <w:rFonts w:cs="宋体"/>
                <w:color w:val="auto"/>
                <w:kern w:val="0"/>
                <w:sz w:val="20"/>
                <w:szCs w:val="20"/>
                <w:highlight w:val="none"/>
              </w:rPr>
            </w:pPr>
            <w:r>
              <w:rPr>
                <w:rFonts w:hint="eastAsia" w:cs="宋体"/>
                <w:color w:val="auto"/>
                <w:kern w:val="0"/>
                <w:sz w:val="20"/>
                <w:szCs w:val="20"/>
                <w:highlight w:val="none"/>
              </w:rPr>
              <w:t>40</w:t>
            </w:r>
          </w:p>
        </w:tc>
        <w:tc>
          <w:tcPr>
            <w:tcW w:w="2354" w:type="dxa"/>
            <w:vMerge w:val="restart"/>
            <w:shd w:val="clear" w:color="000000" w:fill="FFFFFF"/>
            <w:vAlign w:val="center"/>
          </w:tcPr>
          <w:p w14:paraId="6486482C">
            <w:pPr>
              <w:widowControl/>
              <w:jc w:val="center"/>
              <w:rPr>
                <w:rFonts w:cs="宋体"/>
                <w:color w:val="auto"/>
                <w:kern w:val="0"/>
                <w:sz w:val="20"/>
                <w:szCs w:val="20"/>
                <w:highlight w:val="none"/>
              </w:rPr>
            </w:pPr>
            <w:r>
              <w:rPr>
                <w:rFonts w:hint="eastAsia" w:cs="宋体"/>
                <w:color w:val="auto"/>
                <w:kern w:val="0"/>
                <w:sz w:val="20"/>
                <w:szCs w:val="20"/>
                <w:highlight w:val="none"/>
              </w:rPr>
              <w:t>大数据服务系统（XC改造）</w:t>
            </w:r>
          </w:p>
        </w:tc>
        <w:tc>
          <w:tcPr>
            <w:tcW w:w="5078" w:type="dxa"/>
            <w:shd w:val="clear" w:color="000000" w:fill="FFFFFF"/>
            <w:vAlign w:val="center"/>
          </w:tcPr>
          <w:p w14:paraId="0E8BB16E">
            <w:pPr>
              <w:widowControl/>
              <w:jc w:val="center"/>
              <w:rPr>
                <w:rFonts w:cs="宋体"/>
                <w:color w:val="auto"/>
                <w:kern w:val="0"/>
                <w:sz w:val="20"/>
                <w:szCs w:val="20"/>
                <w:highlight w:val="none"/>
              </w:rPr>
            </w:pPr>
            <w:r>
              <w:rPr>
                <w:rFonts w:hint="eastAsia" w:cs="宋体"/>
                <w:color w:val="auto"/>
                <w:kern w:val="0"/>
                <w:sz w:val="20"/>
                <w:szCs w:val="20"/>
                <w:highlight w:val="none"/>
              </w:rPr>
              <w:t>保前资信验证</w:t>
            </w:r>
          </w:p>
        </w:tc>
      </w:tr>
      <w:tr w14:paraId="0FCEA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66126619">
            <w:pPr>
              <w:widowControl/>
              <w:jc w:val="center"/>
              <w:rPr>
                <w:rFonts w:cs="宋体"/>
                <w:color w:val="auto"/>
                <w:kern w:val="0"/>
                <w:sz w:val="20"/>
                <w:szCs w:val="20"/>
                <w:highlight w:val="none"/>
              </w:rPr>
            </w:pPr>
            <w:r>
              <w:rPr>
                <w:rFonts w:hint="eastAsia" w:cs="宋体"/>
                <w:color w:val="auto"/>
                <w:kern w:val="0"/>
                <w:sz w:val="20"/>
                <w:szCs w:val="20"/>
                <w:highlight w:val="none"/>
              </w:rPr>
              <w:t>41</w:t>
            </w:r>
          </w:p>
        </w:tc>
        <w:tc>
          <w:tcPr>
            <w:tcW w:w="2354" w:type="dxa"/>
            <w:vMerge w:val="continue"/>
            <w:vAlign w:val="center"/>
          </w:tcPr>
          <w:p w14:paraId="6AE3C497">
            <w:pPr>
              <w:widowControl/>
              <w:rPr>
                <w:rFonts w:cs="宋体"/>
                <w:color w:val="auto"/>
                <w:kern w:val="0"/>
                <w:sz w:val="20"/>
                <w:szCs w:val="20"/>
                <w:highlight w:val="none"/>
              </w:rPr>
            </w:pPr>
          </w:p>
        </w:tc>
        <w:tc>
          <w:tcPr>
            <w:tcW w:w="5078" w:type="dxa"/>
            <w:shd w:val="clear" w:color="000000" w:fill="FFFFFF"/>
            <w:vAlign w:val="center"/>
          </w:tcPr>
          <w:p w14:paraId="3EF9CA32">
            <w:pPr>
              <w:widowControl/>
              <w:jc w:val="center"/>
              <w:rPr>
                <w:rFonts w:cs="宋体"/>
                <w:color w:val="auto"/>
                <w:kern w:val="0"/>
                <w:sz w:val="20"/>
                <w:szCs w:val="20"/>
                <w:highlight w:val="none"/>
              </w:rPr>
            </w:pPr>
            <w:r>
              <w:rPr>
                <w:rFonts w:hint="eastAsia" w:cs="宋体"/>
                <w:color w:val="auto"/>
                <w:kern w:val="0"/>
                <w:sz w:val="20"/>
                <w:szCs w:val="20"/>
                <w:highlight w:val="none"/>
              </w:rPr>
              <w:t>保后风险预警</w:t>
            </w:r>
          </w:p>
        </w:tc>
      </w:tr>
      <w:tr w14:paraId="4DA5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059DAE40">
            <w:pPr>
              <w:widowControl/>
              <w:jc w:val="center"/>
              <w:rPr>
                <w:rFonts w:cs="宋体"/>
                <w:color w:val="auto"/>
                <w:kern w:val="0"/>
                <w:sz w:val="20"/>
                <w:szCs w:val="20"/>
                <w:highlight w:val="none"/>
              </w:rPr>
            </w:pPr>
            <w:r>
              <w:rPr>
                <w:rFonts w:hint="eastAsia" w:cs="宋体"/>
                <w:color w:val="auto"/>
                <w:kern w:val="0"/>
                <w:sz w:val="20"/>
                <w:szCs w:val="20"/>
                <w:highlight w:val="none"/>
              </w:rPr>
              <w:t>42</w:t>
            </w:r>
          </w:p>
        </w:tc>
        <w:tc>
          <w:tcPr>
            <w:tcW w:w="2354" w:type="dxa"/>
            <w:vMerge w:val="continue"/>
            <w:vAlign w:val="center"/>
          </w:tcPr>
          <w:p w14:paraId="0D328347">
            <w:pPr>
              <w:widowControl/>
              <w:rPr>
                <w:rFonts w:cs="宋体"/>
                <w:color w:val="auto"/>
                <w:kern w:val="0"/>
                <w:sz w:val="20"/>
                <w:szCs w:val="20"/>
                <w:highlight w:val="none"/>
              </w:rPr>
            </w:pPr>
          </w:p>
        </w:tc>
        <w:tc>
          <w:tcPr>
            <w:tcW w:w="5078" w:type="dxa"/>
            <w:shd w:val="clear" w:color="000000" w:fill="FFFFFF"/>
            <w:vAlign w:val="center"/>
          </w:tcPr>
          <w:p w14:paraId="65E2ECD8">
            <w:pPr>
              <w:widowControl/>
              <w:jc w:val="center"/>
              <w:rPr>
                <w:rFonts w:cs="宋体"/>
                <w:color w:val="auto"/>
                <w:kern w:val="0"/>
                <w:sz w:val="20"/>
                <w:szCs w:val="20"/>
                <w:highlight w:val="none"/>
              </w:rPr>
            </w:pPr>
            <w:r>
              <w:rPr>
                <w:rFonts w:hint="eastAsia" w:cs="宋体"/>
                <w:color w:val="auto"/>
                <w:kern w:val="0"/>
                <w:sz w:val="20"/>
                <w:szCs w:val="20"/>
                <w:highlight w:val="none"/>
              </w:rPr>
              <w:t>模型指标配置</w:t>
            </w:r>
          </w:p>
        </w:tc>
      </w:tr>
      <w:tr w14:paraId="6FBC3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4E2BB620">
            <w:pPr>
              <w:widowControl/>
              <w:jc w:val="center"/>
              <w:rPr>
                <w:rFonts w:cs="宋体"/>
                <w:color w:val="auto"/>
                <w:kern w:val="0"/>
                <w:sz w:val="20"/>
                <w:szCs w:val="20"/>
                <w:highlight w:val="none"/>
              </w:rPr>
            </w:pPr>
            <w:r>
              <w:rPr>
                <w:rFonts w:hint="eastAsia" w:cs="宋体"/>
                <w:color w:val="auto"/>
                <w:kern w:val="0"/>
                <w:sz w:val="20"/>
                <w:szCs w:val="20"/>
                <w:highlight w:val="none"/>
              </w:rPr>
              <w:t>43</w:t>
            </w:r>
          </w:p>
        </w:tc>
        <w:tc>
          <w:tcPr>
            <w:tcW w:w="2354" w:type="dxa"/>
            <w:vMerge w:val="restart"/>
            <w:shd w:val="clear" w:color="000000" w:fill="FFFFFF"/>
            <w:vAlign w:val="center"/>
          </w:tcPr>
          <w:p w14:paraId="7DF6D717">
            <w:pPr>
              <w:widowControl/>
              <w:jc w:val="center"/>
              <w:rPr>
                <w:rFonts w:cs="宋体"/>
                <w:color w:val="auto"/>
                <w:kern w:val="0"/>
                <w:sz w:val="20"/>
                <w:szCs w:val="20"/>
                <w:highlight w:val="none"/>
              </w:rPr>
            </w:pPr>
            <w:r>
              <w:rPr>
                <w:rFonts w:hint="eastAsia" w:cs="宋体"/>
                <w:color w:val="auto"/>
                <w:kern w:val="0"/>
                <w:sz w:val="20"/>
                <w:szCs w:val="20"/>
                <w:highlight w:val="none"/>
              </w:rPr>
              <w:t>电子档案系统（XC改造）</w:t>
            </w:r>
          </w:p>
        </w:tc>
        <w:tc>
          <w:tcPr>
            <w:tcW w:w="5078" w:type="dxa"/>
            <w:shd w:val="clear" w:color="000000" w:fill="FFFFFF"/>
            <w:vAlign w:val="center"/>
          </w:tcPr>
          <w:p w14:paraId="01A69C06">
            <w:pPr>
              <w:widowControl/>
              <w:jc w:val="center"/>
              <w:rPr>
                <w:rFonts w:cs="宋体"/>
                <w:color w:val="auto"/>
                <w:kern w:val="0"/>
                <w:sz w:val="20"/>
                <w:szCs w:val="20"/>
                <w:highlight w:val="none"/>
              </w:rPr>
            </w:pPr>
            <w:r>
              <w:rPr>
                <w:rFonts w:hint="eastAsia" w:cs="宋体"/>
                <w:color w:val="auto"/>
                <w:kern w:val="0"/>
                <w:sz w:val="20"/>
                <w:szCs w:val="20"/>
                <w:highlight w:val="none"/>
              </w:rPr>
              <w:t>影像管理</w:t>
            </w:r>
          </w:p>
        </w:tc>
      </w:tr>
      <w:tr w14:paraId="26282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23E31A0D">
            <w:pPr>
              <w:widowControl/>
              <w:jc w:val="center"/>
              <w:rPr>
                <w:rFonts w:cs="宋体"/>
                <w:color w:val="auto"/>
                <w:kern w:val="0"/>
                <w:sz w:val="20"/>
                <w:szCs w:val="20"/>
                <w:highlight w:val="none"/>
              </w:rPr>
            </w:pPr>
            <w:r>
              <w:rPr>
                <w:rFonts w:hint="eastAsia" w:cs="宋体"/>
                <w:color w:val="auto"/>
                <w:kern w:val="0"/>
                <w:sz w:val="20"/>
                <w:szCs w:val="20"/>
                <w:highlight w:val="none"/>
              </w:rPr>
              <w:t>44</w:t>
            </w:r>
          </w:p>
        </w:tc>
        <w:tc>
          <w:tcPr>
            <w:tcW w:w="2354" w:type="dxa"/>
            <w:vMerge w:val="continue"/>
            <w:vAlign w:val="center"/>
          </w:tcPr>
          <w:p w14:paraId="5A6B3A11">
            <w:pPr>
              <w:widowControl/>
              <w:rPr>
                <w:rFonts w:cs="宋体"/>
                <w:color w:val="auto"/>
                <w:kern w:val="0"/>
                <w:sz w:val="20"/>
                <w:szCs w:val="20"/>
                <w:highlight w:val="none"/>
              </w:rPr>
            </w:pPr>
          </w:p>
        </w:tc>
        <w:tc>
          <w:tcPr>
            <w:tcW w:w="5078" w:type="dxa"/>
            <w:shd w:val="clear" w:color="000000" w:fill="FFFFFF"/>
            <w:vAlign w:val="center"/>
          </w:tcPr>
          <w:p w14:paraId="5E9F73BE">
            <w:pPr>
              <w:widowControl/>
              <w:jc w:val="center"/>
              <w:rPr>
                <w:rFonts w:cs="宋体"/>
                <w:color w:val="auto"/>
                <w:kern w:val="0"/>
                <w:sz w:val="20"/>
                <w:szCs w:val="20"/>
                <w:highlight w:val="none"/>
              </w:rPr>
            </w:pPr>
            <w:r>
              <w:rPr>
                <w:rFonts w:hint="eastAsia" w:cs="宋体"/>
                <w:color w:val="auto"/>
                <w:kern w:val="0"/>
                <w:sz w:val="20"/>
                <w:szCs w:val="20"/>
                <w:highlight w:val="none"/>
              </w:rPr>
              <w:t>采集管理</w:t>
            </w:r>
          </w:p>
        </w:tc>
      </w:tr>
      <w:tr w14:paraId="0B16F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0" w:type="auto"/>
            <w:shd w:val="clear" w:color="000000" w:fill="FFFFFF"/>
            <w:vAlign w:val="center"/>
          </w:tcPr>
          <w:p w14:paraId="6DF3283F">
            <w:pPr>
              <w:widowControl/>
              <w:jc w:val="center"/>
              <w:rPr>
                <w:rFonts w:cs="宋体"/>
                <w:color w:val="auto"/>
                <w:kern w:val="0"/>
                <w:sz w:val="20"/>
                <w:szCs w:val="20"/>
                <w:highlight w:val="none"/>
              </w:rPr>
            </w:pPr>
            <w:r>
              <w:rPr>
                <w:rFonts w:hint="eastAsia" w:cs="宋体"/>
                <w:color w:val="auto"/>
                <w:kern w:val="0"/>
                <w:sz w:val="20"/>
                <w:szCs w:val="20"/>
                <w:highlight w:val="none"/>
              </w:rPr>
              <w:t>45</w:t>
            </w:r>
          </w:p>
        </w:tc>
        <w:tc>
          <w:tcPr>
            <w:tcW w:w="2354" w:type="dxa"/>
            <w:vMerge w:val="restart"/>
            <w:shd w:val="clear" w:color="000000" w:fill="FFFFFF"/>
            <w:vAlign w:val="center"/>
          </w:tcPr>
          <w:p w14:paraId="245BD81F">
            <w:pPr>
              <w:widowControl/>
              <w:jc w:val="center"/>
              <w:rPr>
                <w:rFonts w:cs="宋体"/>
                <w:color w:val="auto"/>
                <w:kern w:val="0"/>
                <w:sz w:val="20"/>
                <w:szCs w:val="20"/>
                <w:highlight w:val="none"/>
              </w:rPr>
            </w:pPr>
            <w:r>
              <w:rPr>
                <w:rFonts w:hint="eastAsia" w:cs="宋体"/>
                <w:color w:val="auto"/>
                <w:kern w:val="0"/>
                <w:sz w:val="20"/>
                <w:szCs w:val="20"/>
                <w:highlight w:val="none"/>
              </w:rPr>
              <w:t>电子签章管理（XC改造）</w:t>
            </w:r>
          </w:p>
        </w:tc>
        <w:tc>
          <w:tcPr>
            <w:tcW w:w="5078" w:type="dxa"/>
            <w:shd w:val="clear" w:color="000000" w:fill="FFFFFF"/>
            <w:vAlign w:val="center"/>
          </w:tcPr>
          <w:p w14:paraId="727EF201">
            <w:pPr>
              <w:widowControl/>
              <w:jc w:val="center"/>
              <w:rPr>
                <w:rFonts w:cs="宋体"/>
                <w:color w:val="auto"/>
                <w:kern w:val="0"/>
                <w:sz w:val="20"/>
                <w:szCs w:val="20"/>
                <w:highlight w:val="none"/>
              </w:rPr>
            </w:pPr>
            <w:r>
              <w:rPr>
                <w:rFonts w:hint="eastAsia" w:cs="宋体"/>
                <w:color w:val="auto"/>
                <w:kern w:val="0"/>
                <w:sz w:val="20"/>
                <w:szCs w:val="20"/>
                <w:highlight w:val="none"/>
              </w:rPr>
              <w:t>签章管理</w:t>
            </w:r>
          </w:p>
        </w:tc>
      </w:tr>
      <w:tr w14:paraId="7378A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0BA4A1E0">
            <w:pPr>
              <w:widowControl/>
              <w:jc w:val="center"/>
              <w:rPr>
                <w:rFonts w:cs="宋体"/>
                <w:color w:val="auto"/>
                <w:kern w:val="0"/>
                <w:sz w:val="20"/>
                <w:szCs w:val="20"/>
                <w:highlight w:val="none"/>
              </w:rPr>
            </w:pPr>
            <w:r>
              <w:rPr>
                <w:rFonts w:hint="eastAsia" w:cs="宋体"/>
                <w:color w:val="auto"/>
                <w:kern w:val="0"/>
                <w:sz w:val="20"/>
                <w:szCs w:val="20"/>
                <w:highlight w:val="none"/>
              </w:rPr>
              <w:t>46</w:t>
            </w:r>
          </w:p>
        </w:tc>
        <w:tc>
          <w:tcPr>
            <w:tcW w:w="2354" w:type="dxa"/>
            <w:vMerge w:val="continue"/>
            <w:vAlign w:val="center"/>
          </w:tcPr>
          <w:p w14:paraId="45E2D110">
            <w:pPr>
              <w:widowControl/>
              <w:rPr>
                <w:rFonts w:cs="宋体"/>
                <w:color w:val="auto"/>
                <w:kern w:val="0"/>
                <w:sz w:val="20"/>
                <w:szCs w:val="20"/>
                <w:highlight w:val="none"/>
              </w:rPr>
            </w:pPr>
          </w:p>
        </w:tc>
        <w:tc>
          <w:tcPr>
            <w:tcW w:w="5078" w:type="dxa"/>
            <w:shd w:val="clear" w:color="000000" w:fill="FFFFFF"/>
            <w:vAlign w:val="center"/>
          </w:tcPr>
          <w:p w14:paraId="297B1F9E">
            <w:pPr>
              <w:widowControl/>
              <w:jc w:val="center"/>
              <w:rPr>
                <w:rFonts w:cs="宋体"/>
                <w:color w:val="auto"/>
                <w:kern w:val="0"/>
                <w:sz w:val="20"/>
                <w:szCs w:val="20"/>
                <w:highlight w:val="none"/>
              </w:rPr>
            </w:pPr>
            <w:r>
              <w:rPr>
                <w:rFonts w:hint="eastAsia" w:cs="宋体"/>
                <w:color w:val="auto"/>
                <w:kern w:val="0"/>
                <w:sz w:val="20"/>
                <w:szCs w:val="20"/>
                <w:highlight w:val="none"/>
              </w:rPr>
              <w:t>签章服务管理</w:t>
            </w:r>
          </w:p>
        </w:tc>
      </w:tr>
      <w:tr w14:paraId="3278B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773EEE04">
            <w:pPr>
              <w:widowControl/>
              <w:jc w:val="center"/>
              <w:rPr>
                <w:rFonts w:cs="宋体"/>
                <w:color w:val="auto"/>
                <w:kern w:val="0"/>
                <w:sz w:val="20"/>
                <w:szCs w:val="20"/>
                <w:highlight w:val="none"/>
              </w:rPr>
            </w:pPr>
            <w:r>
              <w:rPr>
                <w:rFonts w:hint="eastAsia" w:cs="宋体"/>
                <w:color w:val="auto"/>
                <w:kern w:val="0"/>
                <w:sz w:val="20"/>
                <w:szCs w:val="20"/>
                <w:highlight w:val="none"/>
              </w:rPr>
              <w:t>47</w:t>
            </w:r>
          </w:p>
        </w:tc>
        <w:tc>
          <w:tcPr>
            <w:tcW w:w="2354" w:type="dxa"/>
            <w:vMerge w:val="restart"/>
            <w:shd w:val="clear" w:color="000000" w:fill="FFFFFF"/>
            <w:vAlign w:val="center"/>
          </w:tcPr>
          <w:p w14:paraId="443E0FA8">
            <w:pPr>
              <w:widowControl/>
              <w:jc w:val="center"/>
              <w:rPr>
                <w:rFonts w:cs="宋体"/>
                <w:color w:val="auto"/>
                <w:kern w:val="0"/>
                <w:sz w:val="20"/>
                <w:szCs w:val="20"/>
                <w:highlight w:val="none"/>
              </w:rPr>
            </w:pPr>
            <w:r>
              <w:rPr>
                <w:rFonts w:hint="eastAsia" w:cs="宋体"/>
                <w:color w:val="auto"/>
                <w:kern w:val="0"/>
                <w:sz w:val="20"/>
                <w:szCs w:val="20"/>
                <w:highlight w:val="none"/>
              </w:rPr>
              <w:t>移动端（XC改造）</w:t>
            </w:r>
          </w:p>
        </w:tc>
        <w:tc>
          <w:tcPr>
            <w:tcW w:w="5078" w:type="dxa"/>
            <w:shd w:val="clear" w:color="000000" w:fill="FFFFFF"/>
            <w:vAlign w:val="center"/>
          </w:tcPr>
          <w:p w14:paraId="1BEB71C8">
            <w:pPr>
              <w:widowControl/>
              <w:jc w:val="center"/>
              <w:rPr>
                <w:rFonts w:cs="宋体"/>
                <w:color w:val="auto"/>
                <w:kern w:val="0"/>
                <w:sz w:val="20"/>
                <w:szCs w:val="20"/>
                <w:highlight w:val="none"/>
              </w:rPr>
            </w:pPr>
            <w:r>
              <w:rPr>
                <w:rFonts w:hint="eastAsia" w:cs="宋体"/>
                <w:color w:val="auto"/>
                <w:kern w:val="0"/>
                <w:sz w:val="20"/>
                <w:szCs w:val="20"/>
                <w:highlight w:val="none"/>
              </w:rPr>
              <w:t>合作机构移动端</w:t>
            </w:r>
          </w:p>
        </w:tc>
      </w:tr>
      <w:tr w14:paraId="0D495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5D5D33C5">
            <w:pPr>
              <w:widowControl/>
              <w:jc w:val="center"/>
              <w:rPr>
                <w:rFonts w:cs="宋体"/>
                <w:color w:val="auto"/>
                <w:kern w:val="0"/>
                <w:sz w:val="20"/>
                <w:szCs w:val="20"/>
                <w:highlight w:val="none"/>
              </w:rPr>
            </w:pPr>
            <w:r>
              <w:rPr>
                <w:rFonts w:hint="eastAsia" w:cs="宋体"/>
                <w:color w:val="auto"/>
                <w:kern w:val="0"/>
                <w:sz w:val="20"/>
                <w:szCs w:val="20"/>
                <w:highlight w:val="none"/>
              </w:rPr>
              <w:t>48</w:t>
            </w:r>
          </w:p>
        </w:tc>
        <w:tc>
          <w:tcPr>
            <w:tcW w:w="2354" w:type="dxa"/>
            <w:vMerge w:val="continue"/>
            <w:vAlign w:val="center"/>
          </w:tcPr>
          <w:p w14:paraId="5B97FF0E">
            <w:pPr>
              <w:widowControl/>
              <w:rPr>
                <w:rFonts w:cs="宋体"/>
                <w:color w:val="auto"/>
                <w:kern w:val="0"/>
                <w:sz w:val="20"/>
                <w:szCs w:val="20"/>
                <w:highlight w:val="none"/>
              </w:rPr>
            </w:pPr>
          </w:p>
        </w:tc>
        <w:tc>
          <w:tcPr>
            <w:tcW w:w="5078" w:type="dxa"/>
            <w:shd w:val="clear" w:color="000000" w:fill="FFFFFF"/>
            <w:vAlign w:val="center"/>
          </w:tcPr>
          <w:p w14:paraId="7120AAE7">
            <w:pPr>
              <w:widowControl/>
              <w:jc w:val="center"/>
              <w:rPr>
                <w:rFonts w:cs="宋体"/>
                <w:color w:val="auto"/>
                <w:kern w:val="0"/>
                <w:sz w:val="20"/>
                <w:szCs w:val="20"/>
                <w:highlight w:val="none"/>
              </w:rPr>
            </w:pPr>
            <w:r>
              <w:rPr>
                <w:rFonts w:hint="eastAsia" w:cs="宋体"/>
                <w:color w:val="auto"/>
                <w:kern w:val="0"/>
                <w:sz w:val="20"/>
                <w:szCs w:val="20"/>
                <w:highlight w:val="none"/>
              </w:rPr>
              <w:t>管理中心移动端</w:t>
            </w:r>
          </w:p>
        </w:tc>
      </w:tr>
      <w:tr w14:paraId="51289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50F10E7E">
            <w:pPr>
              <w:widowControl/>
              <w:jc w:val="center"/>
              <w:rPr>
                <w:rFonts w:cs="宋体"/>
                <w:color w:val="auto"/>
                <w:kern w:val="0"/>
                <w:sz w:val="20"/>
                <w:szCs w:val="20"/>
                <w:highlight w:val="none"/>
              </w:rPr>
            </w:pPr>
            <w:r>
              <w:rPr>
                <w:rFonts w:hint="eastAsia" w:cs="宋体"/>
                <w:color w:val="auto"/>
                <w:kern w:val="0"/>
                <w:sz w:val="20"/>
                <w:szCs w:val="20"/>
                <w:highlight w:val="none"/>
              </w:rPr>
              <w:t>49</w:t>
            </w:r>
          </w:p>
        </w:tc>
        <w:tc>
          <w:tcPr>
            <w:tcW w:w="2354" w:type="dxa"/>
            <w:vMerge w:val="restart"/>
            <w:shd w:val="clear" w:color="000000" w:fill="FFFFFF"/>
            <w:vAlign w:val="center"/>
          </w:tcPr>
          <w:p w14:paraId="4AC5C9BF">
            <w:pPr>
              <w:widowControl/>
              <w:jc w:val="center"/>
              <w:rPr>
                <w:rFonts w:cs="宋体"/>
                <w:color w:val="auto"/>
                <w:kern w:val="0"/>
                <w:sz w:val="20"/>
                <w:szCs w:val="20"/>
                <w:highlight w:val="none"/>
              </w:rPr>
            </w:pPr>
            <w:r>
              <w:rPr>
                <w:rFonts w:hint="eastAsia" w:cs="宋体"/>
                <w:color w:val="auto"/>
                <w:kern w:val="0"/>
                <w:sz w:val="20"/>
                <w:szCs w:val="20"/>
                <w:highlight w:val="none"/>
              </w:rPr>
              <w:t>专题网站（XC改造）</w:t>
            </w:r>
          </w:p>
        </w:tc>
        <w:tc>
          <w:tcPr>
            <w:tcW w:w="5078" w:type="dxa"/>
            <w:shd w:val="clear" w:color="000000" w:fill="FFFFFF"/>
            <w:vAlign w:val="center"/>
          </w:tcPr>
          <w:p w14:paraId="20D9734A">
            <w:pPr>
              <w:widowControl/>
              <w:jc w:val="center"/>
              <w:rPr>
                <w:rFonts w:cs="宋体"/>
                <w:color w:val="auto"/>
                <w:kern w:val="0"/>
                <w:sz w:val="20"/>
                <w:szCs w:val="20"/>
                <w:highlight w:val="none"/>
              </w:rPr>
            </w:pPr>
            <w:r>
              <w:rPr>
                <w:rFonts w:hint="eastAsia" w:cs="宋体"/>
                <w:color w:val="auto"/>
                <w:kern w:val="0"/>
                <w:sz w:val="20"/>
                <w:szCs w:val="20"/>
                <w:highlight w:val="none"/>
              </w:rPr>
              <w:t>办公门户</w:t>
            </w:r>
          </w:p>
        </w:tc>
      </w:tr>
      <w:tr w14:paraId="3A824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1DE71661">
            <w:pPr>
              <w:widowControl/>
              <w:jc w:val="center"/>
              <w:rPr>
                <w:rFonts w:cs="宋体"/>
                <w:color w:val="auto"/>
                <w:kern w:val="0"/>
                <w:sz w:val="20"/>
                <w:szCs w:val="20"/>
                <w:highlight w:val="none"/>
              </w:rPr>
            </w:pPr>
            <w:r>
              <w:rPr>
                <w:rFonts w:hint="eastAsia" w:cs="宋体"/>
                <w:color w:val="auto"/>
                <w:kern w:val="0"/>
                <w:sz w:val="20"/>
                <w:szCs w:val="20"/>
                <w:highlight w:val="none"/>
              </w:rPr>
              <w:t>50</w:t>
            </w:r>
          </w:p>
        </w:tc>
        <w:tc>
          <w:tcPr>
            <w:tcW w:w="2354" w:type="dxa"/>
            <w:vMerge w:val="continue"/>
            <w:vAlign w:val="center"/>
          </w:tcPr>
          <w:p w14:paraId="45524521">
            <w:pPr>
              <w:widowControl/>
              <w:rPr>
                <w:rFonts w:cs="宋体"/>
                <w:color w:val="auto"/>
                <w:kern w:val="0"/>
                <w:sz w:val="20"/>
                <w:szCs w:val="20"/>
                <w:highlight w:val="none"/>
              </w:rPr>
            </w:pPr>
          </w:p>
        </w:tc>
        <w:tc>
          <w:tcPr>
            <w:tcW w:w="5078" w:type="dxa"/>
            <w:shd w:val="clear" w:color="000000" w:fill="FFFFFF"/>
            <w:vAlign w:val="center"/>
          </w:tcPr>
          <w:p w14:paraId="0032DE2E">
            <w:pPr>
              <w:widowControl/>
              <w:jc w:val="center"/>
              <w:rPr>
                <w:rFonts w:cs="宋体"/>
                <w:color w:val="auto"/>
                <w:kern w:val="0"/>
                <w:sz w:val="20"/>
                <w:szCs w:val="20"/>
                <w:highlight w:val="none"/>
              </w:rPr>
            </w:pPr>
            <w:r>
              <w:rPr>
                <w:rFonts w:hint="eastAsia" w:cs="宋体"/>
                <w:color w:val="auto"/>
                <w:kern w:val="0"/>
                <w:sz w:val="20"/>
                <w:szCs w:val="20"/>
                <w:highlight w:val="none"/>
              </w:rPr>
              <w:t>门户工具</w:t>
            </w:r>
          </w:p>
        </w:tc>
      </w:tr>
      <w:tr w14:paraId="1EB63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31EBE55D">
            <w:pPr>
              <w:widowControl/>
              <w:jc w:val="center"/>
              <w:rPr>
                <w:rFonts w:cs="宋体"/>
                <w:color w:val="auto"/>
                <w:kern w:val="0"/>
                <w:sz w:val="20"/>
                <w:szCs w:val="20"/>
                <w:highlight w:val="none"/>
              </w:rPr>
            </w:pPr>
            <w:r>
              <w:rPr>
                <w:rFonts w:hint="eastAsia" w:cs="宋体"/>
                <w:color w:val="auto"/>
                <w:kern w:val="0"/>
                <w:sz w:val="20"/>
                <w:szCs w:val="20"/>
                <w:highlight w:val="none"/>
              </w:rPr>
              <w:t>51</w:t>
            </w:r>
          </w:p>
        </w:tc>
        <w:tc>
          <w:tcPr>
            <w:tcW w:w="2354" w:type="dxa"/>
            <w:vMerge w:val="restart"/>
            <w:vAlign w:val="center"/>
          </w:tcPr>
          <w:p w14:paraId="41CADDC7">
            <w:pPr>
              <w:widowControl/>
              <w:jc w:val="center"/>
              <w:rPr>
                <w:rFonts w:cs="宋体"/>
                <w:color w:val="auto"/>
                <w:kern w:val="0"/>
                <w:sz w:val="20"/>
                <w:szCs w:val="20"/>
                <w:highlight w:val="none"/>
              </w:rPr>
            </w:pPr>
            <w:r>
              <w:rPr>
                <w:rFonts w:hint="eastAsia" w:cs="宋体"/>
                <w:color w:val="auto"/>
                <w:kern w:val="0"/>
                <w:sz w:val="20"/>
                <w:szCs w:val="20"/>
                <w:highlight w:val="none"/>
              </w:rPr>
              <w:t>担保基金信息智能化管理平台（管理中心端）（升级改造）</w:t>
            </w:r>
          </w:p>
        </w:tc>
        <w:tc>
          <w:tcPr>
            <w:tcW w:w="5078" w:type="dxa"/>
            <w:vAlign w:val="center"/>
          </w:tcPr>
          <w:p w14:paraId="1EAAEF97">
            <w:pPr>
              <w:widowControl/>
              <w:jc w:val="center"/>
              <w:rPr>
                <w:rFonts w:cs="宋体"/>
                <w:color w:val="auto"/>
                <w:kern w:val="0"/>
                <w:sz w:val="20"/>
                <w:szCs w:val="20"/>
                <w:highlight w:val="none"/>
              </w:rPr>
            </w:pPr>
            <w:r>
              <w:rPr>
                <w:rFonts w:hint="eastAsia" w:cs="宋体"/>
                <w:color w:val="auto"/>
                <w:kern w:val="0"/>
                <w:sz w:val="20"/>
                <w:szCs w:val="20"/>
                <w:highlight w:val="none"/>
              </w:rPr>
              <w:t>担保费管理</w:t>
            </w:r>
          </w:p>
        </w:tc>
      </w:tr>
      <w:tr w14:paraId="1F328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4F0C82A9">
            <w:pPr>
              <w:widowControl/>
              <w:jc w:val="center"/>
              <w:rPr>
                <w:rFonts w:cs="宋体"/>
                <w:color w:val="auto"/>
                <w:kern w:val="0"/>
                <w:sz w:val="20"/>
                <w:szCs w:val="20"/>
                <w:highlight w:val="none"/>
              </w:rPr>
            </w:pPr>
            <w:r>
              <w:rPr>
                <w:rFonts w:hint="eastAsia" w:cs="宋体"/>
                <w:color w:val="auto"/>
                <w:kern w:val="0"/>
                <w:sz w:val="20"/>
                <w:szCs w:val="20"/>
                <w:highlight w:val="none"/>
              </w:rPr>
              <w:t>52</w:t>
            </w:r>
          </w:p>
        </w:tc>
        <w:tc>
          <w:tcPr>
            <w:tcW w:w="2354" w:type="dxa"/>
            <w:vMerge w:val="continue"/>
            <w:vAlign w:val="center"/>
          </w:tcPr>
          <w:p w14:paraId="2DFD6643">
            <w:pPr>
              <w:widowControl/>
              <w:rPr>
                <w:rFonts w:cs="宋体"/>
                <w:color w:val="auto"/>
                <w:kern w:val="0"/>
                <w:sz w:val="20"/>
                <w:szCs w:val="20"/>
                <w:highlight w:val="none"/>
              </w:rPr>
            </w:pPr>
          </w:p>
        </w:tc>
        <w:tc>
          <w:tcPr>
            <w:tcW w:w="5078" w:type="dxa"/>
            <w:vAlign w:val="center"/>
          </w:tcPr>
          <w:p w14:paraId="6D48DC26">
            <w:pPr>
              <w:widowControl/>
              <w:jc w:val="center"/>
              <w:rPr>
                <w:rFonts w:cs="宋体"/>
                <w:color w:val="auto"/>
                <w:kern w:val="0"/>
                <w:sz w:val="20"/>
                <w:szCs w:val="20"/>
                <w:highlight w:val="none"/>
              </w:rPr>
            </w:pPr>
            <w:r>
              <w:rPr>
                <w:rFonts w:hint="eastAsia" w:cs="宋体"/>
                <w:color w:val="auto"/>
                <w:kern w:val="0"/>
                <w:sz w:val="20"/>
                <w:szCs w:val="20"/>
                <w:highlight w:val="none"/>
              </w:rPr>
              <w:t>客户服务轻应用</w:t>
            </w:r>
          </w:p>
        </w:tc>
      </w:tr>
      <w:tr w14:paraId="3F96D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705B0D22">
            <w:pPr>
              <w:widowControl/>
              <w:jc w:val="center"/>
              <w:rPr>
                <w:rFonts w:cs="宋体"/>
                <w:color w:val="auto"/>
                <w:kern w:val="0"/>
                <w:sz w:val="20"/>
                <w:szCs w:val="20"/>
                <w:highlight w:val="none"/>
              </w:rPr>
            </w:pPr>
            <w:r>
              <w:rPr>
                <w:rFonts w:hint="eastAsia" w:cs="宋体"/>
                <w:color w:val="auto"/>
                <w:kern w:val="0"/>
                <w:sz w:val="20"/>
                <w:szCs w:val="20"/>
                <w:highlight w:val="none"/>
              </w:rPr>
              <w:t>53</w:t>
            </w:r>
          </w:p>
        </w:tc>
        <w:tc>
          <w:tcPr>
            <w:tcW w:w="2354" w:type="dxa"/>
            <w:vMerge w:val="continue"/>
            <w:vAlign w:val="center"/>
          </w:tcPr>
          <w:p w14:paraId="7013CAE2">
            <w:pPr>
              <w:widowControl/>
              <w:rPr>
                <w:rFonts w:cs="宋体"/>
                <w:color w:val="auto"/>
                <w:kern w:val="0"/>
                <w:sz w:val="20"/>
                <w:szCs w:val="20"/>
                <w:highlight w:val="none"/>
              </w:rPr>
            </w:pPr>
          </w:p>
        </w:tc>
        <w:tc>
          <w:tcPr>
            <w:tcW w:w="5078" w:type="dxa"/>
            <w:vAlign w:val="center"/>
          </w:tcPr>
          <w:p w14:paraId="425B31EB">
            <w:pPr>
              <w:widowControl/>
              <w:jc w:val="center"/>
              <w:rPr>
                <w:rFonts w:cs="宋体"/>
                <w:color w:val="auto"/>
                <w:kern w:val="0"/>
                <w:sz w:val="20"/>
                <w:szCs w:val="20"/>
                <w:highlight w:val="none"/>
              </w:rPr>
            </w:pPr>
            <w:r>
              <w:rPr>
                <w:rFonts w:hint="eastAsia" w:cs="宋体"/>
                <w:color w:val="auto"/>
                <w:kern w:val="0"/>
                <w:sz w:val="20"/>
                <w:szCs w:val="20"/>
                <w:highlight w:val="none"/>
              </w:rPr>
              <w:t>解除管理</w:t>
            </w:r>
          </w:p>
        </w:tc>
      </w:tr>
      <w:tr w14:paraId="0C026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195914FB">
            <w:pPr>
              <w:widowControl/>
              <w:jc w:val="center"/>
              <w:rPr>
                <w:rFonts w:cs="宋体"/>
                <w:color w:val="auto"/>
                <w:kern w:val="0"/>
                <w:sz w:val="20"/>
                <w:szCs w:val="20"/>
                <w:highlight w:val="none"/>
              </w:rPr>
            </w:pPr>
            <w:r>
              <w:rPr>
                <w:rFonts w:hint="eastAsia" w:cs="宋体"/>
                <w:color w:val="auto"/>
                <w:kern w:val="0"/>
                <w:sz w:val="20"/>
                <w:szCs w:val="20"/>
                <w:highlight w:val="none"/>
              </w:rPr>
              <w:t>54</w:t>
            </w:r>
          </w:p>
        </w:tc>
        <w:tc>
          <w:tcPr>
            <w:tcW w:w="2354" w:type="dxa"/>
            <w:vMerge w:val="continue"/>
            <w:vAlign w:val="center"/>
          </w:tcPr>
          <w:p w14:paraId="0986B016">
            <w:pPr>
              <w:widowControl/>
              <w:rPr>
                <w:rFonts w:cs="宋体"/>
                <w:color w:val="auto"/>
                <w:kern w:val="0"/>
                <w:sz w:val="20"/>
                <w:szCs w:val="20"/>
                <w:highlight w:val="none"/>
              </w:rPr>
            </w:pPr>
          </w:p>
        </w:tc>
        <w:tc>
          <w:tcPr>
            <w:tcW w:w="5078" w:type="dxa"/>
            <w:vAlign w:val="center"/>
          </w:tcPr>
          <w:p w14:paraId="0F1DF9BD">
            <w:pPr>
              <w:widowControl/>
              <w:jc w:val="center"/>
              <w:rPr>
                <w:rFonts w:cs="宋体"/>
                <w:color w:val="auto"/>
                <w:kern w:val="0"/>
                <w:sz w:val="20"/>
                <w:szCs w:val="20"/>
                <w:highlight w:val="none"/>
              </w:rPr>
            </w:pPr>
            <w:r>
              <w:rPr>
                <w:rFonts w:hint="eastAsia" w:cs="宋体"/>
                <w:color w:val="auto"/>
                <w:kern w:val="0"/>
                <w:sz w:val="20"/>
                <w:szCs w:val="20"/>
                <w:highlight w:val="none"/>
              </w:rPr>
              <w:t>逾期管理</w:t>
            </w:r>
          </w:p>
        </w:tc>
      </w:tr>
      <w:tr w14:paraId="52389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5457D51D">
            <w:pPr>
              <w:widowControl/>
              <w:jc w:val="center"/>
              <w:rPr>
                <w:rFonts w:cs="宋体"/>
                <w:color w:val="auto"/>
                <w:kern w:val="0"/>
                <w:sz w:val="20"/>
                <w:szCs w:val="20"/>
                <w:highlight w:val="none"/>
              </w:rPr>
            </w:pPr>
            <w:r>
              <w:rPr>
                <w:rFonts w:hint="eastAsia" w:cs="宋体"/>
                <w:color w:val="auto"/>
                <w:kern w:val="0"/>
                <w:sz w:val="20"/>
                <w:szCs w:val="20"/>
                <w:highlight w:val="none"/>
              </w:rPr>
              <w:t>55</w:t>
            </w:r>
          </w:p>
        </w:tc>
        <w:tc>
          <w:tcPr>
            <w:tcW w:w="2354" w:type="dxa"/>
            <w:vMerge w:val="continue"/>
            <w:vAlign w:val="center"/>
          </w:tcPr>
          <w:p w14:paraId="489794B9">
            <w:pPr>
              <w:widowControl/>
              <w:rPr>
                <w:rFonts w:cs="宋体"/>
                <w:color w:val="auto"/>
                <w:kern w:val="0"/>
                <w:sz w:val="20"/>
                <w:szCs w:val="20"/>
                <w:highlight w:val="none"/>
              </w:rPr>
            </w:pPr>
          </w:p>
        </w:tc>
        <w:tc>
          <w:tcPr>
            <w:tcW w:w="5078" w:type="dxa"/>
            <w:vAlign w:val="center"/>
          </w:tcPr>
          <w:p w14:paraId="7A315937">
            <w:pPr>
              <w:widowControl/>
              <w:jc w:val="center"/>
              <w:rPr>
                <w:rFonts w:cs="宋体"/>
                <w:color w:val="auto"/>
                <w:kern w:val="0"/>
                <w:sz w:val="20"/>
                <w:szCs w:val="20"/>
                <w:highlight w:val="none"/>
              </w:rPr>
            </w:pPr>
            <w:r>
              <w:rPr>
                <w:rFonts w:hint="eastAsia" w:cs="宋体"/>
                <w:color w:val="auto"/>
                <w:kern w:val="0"/>
                <w:sz w:val="20"/>
                <w:szCs w:val="20"/>
                <w:highlight w:val="none"/>
              </w:rPr>
              <w:t>代偿管理</w:t>
            </w:r>
          </w:p>
        </w:tc>
      </w:tr>
      <w:tr w14:paraId="26003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5FC3C033">
            <w:pPr>
              <w:widowControl/>
              <w:jc w:val="center"/>
              <w:rPr>
                <w:rFonts w:cs="宋体"/>
                <w:color w:val="auto"/>
                <w:kern w:val="0"/>
                <w:sz w:val="20"/>
                <w:szCs w:val="20"/>
                <w:highlight w:val="none"/>
              </w:rPr>
            </w:pPr>
            <w:r>
              <w:rPr>
                <w:rFonts w:hint="eastAsia" w:cs="宋体"/>
                <w:color w:val="auto"/>
                <w:kern w:val="0"/>
                <w:sz w:val="20"/>
                <w:szCs w:val="20"/>
                <w:highlight w:val="none"/>
              </w:rPr>
              <w:t>56</w:t>
            </w:r>
          </w:p>
        </w:tc>
        <w:tc>
          <w:tcPr>
            <w:tcW w:w="2354" w:type="dxa"/>
            <w:vMerge w:val="continue"/>
            <w:vAlign w:val="center"/>
          </w:tcPr>
          <w:p w14:paraId="73B14495">
            <w:pPr>
              <w:widowControl/>
              <w:rPr>
                <w:rFonts w:cs="宋体"/>
                <w:color w:val="auto"/>
                <w:kern w:val="0"/>
                <w:sz w:val="20"/>
                <w:szCs w:val="20"/>
                <w:highlight w:val="none"/>
              </w:rPr>
            </w:pPr>
          </w:p>
        </w:tc>
        <w:tc>
          <w:tcPr>
            <w:tcW w:w="5078" w:type="dxa"/>
            <w:vAlign w:val="center"/>
          </w:tcPr>
          <w:p w14:paraId="72A10315">
            <w:pPr>
              <w:widowControl/>
              <w:jc w:val="center"/>
              <w:rPr>
                <w:rFonts w:cs="宋体"/>
                <w:color w:val="auto"/>
                <w:kern w:val="0"/>
                <w:sz w:val="20"/>
                <w:szCs w:val="20"/>
                <w:highlight w:val="none"/>
              </w:rPr>
            </w:pPr>
            <w:r>
              <w:rPr>
                <w:rFonts w:hint="eastAsia" w:cs="宋体"/>
                <w:color w:val="auto"/>
                <w:kern w:val="0"/>
                <w:sz w:val="20"/>
                <w:szCs w:val="20"/>
                <w:highlight w:val="none"/>
              </w:rPr>
              <w:t>再担保管理</w:t>
            </w:r>
          </w:p>
        </w:tc>
      </w:tr>
      <w:tr w14:paraId="3B4BF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7297C435">
            <w:pPr>
              <w:widowControl/>
              <w:jc w:val="center"/>
              <w:rPr>
                <w:rFonts w:cs="宋体"/>
                <w:color w:val="auto"/>
                <w:kern w:val="0"/>
                <w:sz w:val="20"/>
                <w:szCs w:val="20"/>
                <w:highlight w:val="none"/>
              </w:rPr>
            </w:pPr>
            <w:r>
              <w:rPr>
                <w:rFonts w:hint="eastAsia" w:cs="宋体"/>
                <w:color w:val="auto"/>
                <w:kern w:val="0"/>
                <w:sz w:val="20"/>
                <w:szCs w:val="20"/>
                <w:highlight w:val="none"/>
              </w:rPr>
              <w:t>57</w:t>
            </w:r>
          </w:p>
        </w:tc>
        <w:tc>
          <w:tcPr>
            <w:tcW w:w="2354" w:type="dxa"/>
            <w:vMerge w:val="restart"/>
            <w:vAlign w:val="center"/>
          </w:tcPr>
          <w:p w14:paraId="434F28D4">
            <w:pPr>
              <w:widowControl/>
              <w:jc w:val="center"/>
              <w:rPr>
                <w:rFonts w:cs="宋体"/>
                <w:color w:val="auto"/>
                <w:kern w:val="0"/>
                <w:sz w:val="20"/>
                <w:szCs w:val="20"/>
                <w:highlight w:val="none"/>
              </w:rPr>
            </w:pPr>
            <w:r>
              <w:rPr>
                <w:rFonts w:hint="eastAsia" w:cs="宋体"/>
                <w:color w:val="auto"/>
                <w:kern w:val="0"/>
                <w:sz w:val="20"/>
                <w:szCs w:val="20"/>
                <w:highlight w:val="none"/>
              </w:rPr>
              <w:t>接口管理系统（升级改造）</w:t>
            </w:r>
          </w:p>
        </w:tc>
        <w:tc>
          <w:tcPr>
            <w:tcW w:w="5078" w:type="dxa"/>
            <w:vAlign w:val="center"/>
          </w:tcPr>
          <w:p w14:paraId="4EDE255B">
            <w:pPr>
              <w:widowControl/>
              <w:jc w:val="center"/>
              <w:rPr>
                <w:rFonts w:cs="宋体"/>
                <w:color w:val="auto"/>
                <w:kern w:val="0"/>
                <w:sz w:val="20"/>
                <w:szCs w:val="20"/>
                <w:highlight w:val="none"/>
              </w:rPr>
            </w:pPr>
            <w:r>
              <w:rPr>
                <w:rFonts w:hint="eastAsia" w:cs="宋体"/>
                <w:color w:val="auto"/>
                <w:kern w:val="0"/>
                <w:sz w:val="20"/>
                <w:szCs w:val="20"/>
                <w:highlight w:val="none"/>
              </w:rPr>
              <w:t>担保产品服务接口</w:t>
            </w:r>
          </w:p>
        </w:tc>
      </w:tr>
      <w:tr w14:paraId="616B8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6BD57802">
            <w:pPr>
              <w:widowControl/>
              <w:jc w:val="center"/>
              <w:rPr>
                <w:rFonts w:cs="宋体"/>
                <w:color w:val="auto"/>
                <w:kern w:val="0"/>
                <w:sz w:val="20"/>
                <w:szCs w:val="20"/>
                <w:highlight w:val="none"/>
              </w:rPr>
            </w:pPr>
            <w:r>
              <w:rPr>
                <w:rFonts w:hint="eastAsia" w:cs="宋体"/>
                <w:color w:val="auto"/>
                <w:kern w:val="0"/>
                <w:sz w:val="20"/>
                <w:szCs w:val="20"/>
                <w:highlight w:val="none"/>
              </w:rPr>
              <w:t>58</w:t>
            </w:r>
          </w:p>
        </w:tc>
        <w:tc>
          <w:tcPr>
            <w:tcW w:w="2354" w:type="dxa"/>
            <w:vMerge w:val="continue"/>
            <w:vAlign w:val="center"/>
          </w:tcPr>
          <w:p w14:paraId="7769D1D2">
            <w:pPr>
              <w:widowControl/>
              <w:rPr>
                <w:rFonts w:cs="宋体"/>
                <w:color w:val="auto"/>
                <w:kern w:val="0"/>
                <w:sz w:val="20"/>
                <w:szCs w:val="20"/>
                <w:highlight w:val="none"/>
              </w:rPr>
            </w:pPr>
          </w:p>
        </w:tc>
        <w:tc>
          <w:tcPr>
            <w:tcW w:w="5078" w:type="dxa"/>
            <w:vAlign w:val="center"/>
          </w:tcPr>
          <w:p w14:paraId="31A3511D">
            <w:pPr>
              <w:widowControl/>
              <w:jc w:val="center"/>
              <w:rPr>
                <w:rFonts w:cs="宋体"/>
                <w:color w:val="auto"/>
                <w:kern w:val="0"/>
                <w:sz w:val="20"/>
                <w:szCs w:val="20"/>
                <w:highlight w:val="none"/>
              </w:rPr>
            </w:pPr>
            <w:r>
              <w:rPr>
                <w:rFonts w:hint="eastAsia" w:cs="宋体"/>
                <w:color w:val="auto"/>
                <w:kern w:val="0"/>
                <w:sz w:val="20"/>
                <w:szCs w:val="20"/>
                <w:highlight w:val="none"/>
              </w:rPr>
              <w:t>基础业务服务接口</w:t>
            </w:r>
          </w:p>
        </w:tc>
      </w:tr>
      <w:tr w14:paraId="63CA1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7541A069">
            <w:pPr>
              <w:widowControl/>
              <w:jc w:val="center"/>
              <w:rPr>
                <w:rFonts w:cs="宋体"/>
                <w:color w:val="auto"/>
                <w:kern w:val="0"/>
                <w:sz w:val="20"/>
                <w:szCs w:val="20"/>
                <w:highlight w:val="none"/>
              </w:rPr>
            </w:pPr>
            <w:r>
              <w:rPr>
                <w:rFonts w:hint="eastAsia" w:cs="宋体"/>
                <w:color w:val="auto"/>
                <w:kern w:val="0"/>
                <w:sz w:val="20"/>
                <w:szCs w:val="20"/>
                <w:highlight w:val="none"/>
              </w:rPr>
              <w:t>59</w:t>
            </w:r>
          </w:p>
        </w:tc>
        <w:tc>
          <w:tcPr>
            <w:tcW w:w="2354" w:type="dxa"/>
            <w:vMerge w:val="restart"/>
            <w:vAlign w:val="center"/>
          </w:tcPr>
          <w:p w14:paraId="71B3D9CC">
            <w:pPr>
              <w:widowControl/>
              <w:jc w:val="center"/>
              <w:rPr>
                <w:rFonts w:cs="宋体"/>
                <w:color w:val="auto"/>
                <w:kern w:val="0"/>
                <w:sz w:val="20"/>
                <w:szCs w:val="20"/>
                <w:highlight w:val="none"/>
              </w:rPr>
            </w:pPr>
            <w:r>
              <w:rPr>
                <w:rFonts w:hint="eastAsia" w:cs="宋体"/>
                <w:color w:val="auto"/>
                <w:kern w:val="0"/>
                <w:sz w:val="20"/>
                <w:szCs w:val="20"/>
                <w:highlight w:val="none"/>
              </w:rPr>
              <w:t>统一集成管理模块（新建）</w:t>
            </w:r>
          </w:p>
        </w:tc>
        <w:tc>
          <w:tcPr>
            <w:tcW w:w="5078" w:type="dxa"/>
            <w:vAlign w:val="center"/>
          </w:tcPr>
          <w:p w14:paraId="1BB7587A">
            <w:pPr>
              <w:widowControl/>
              <w:jc w:val="center"/>
              <w:rPr>
                <w:rFonts w:cs="宋体"/>
                <w:color w:val="auto"/>
                <w:kern w:val="0"/>
                <w:sz w:val="20"/>
                <w:szCs w:val="20"/>
                <w:highlight w:val="none"/>
              </w:rPr>
            </w:pPr>
            <w:r>
              <w:rPr>
                <w:rFonts w:hint="eastAsia" w:cs="宋体"/>
                <w:color w:val="auto"/>
                <w:kern w:val="0"/>
                <w:sz w:val="20"/>
                <w:szCs w:val="20"/>
                <w:highlight w:val="none"/>
              </w:rPr>
              <w:t>统一用户权限</w:t>
            </w:r>
          </w:p>
        </w:tc>
      </w:tr>
      <w:tr w14:paraId="45EE7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5A57B434">
            <w:pPr>
              <w:widowControl/>
              <w:jc w:val="center"/>
              <w:rPr>
                <w:rFonts w:cs="宋体"/>
                <w:color w:val="auto"/>
                <w:kern w:val="0"/>
                <w:sz w:val="20"/>
                <w:szCs w:val="20"/>
                <w:highlight w:val="none"/>
              </w:rPr>
            </w:pPr>
            <w:r>
              <w:rPr>
                <w:rFonts w:hint="eastAsia" w:cs="宋体"/>
                <w:color w:val="auto"/>
                <w:kern w:val="0"/>
                <w:sz w:val="20"/>
                <w:szCs w:val="20"/>
                <w:highlight w:val="none"/>
              </w:rPr>
              <w:t>60</w:t>
            </w:r>
          </w:p>
        </w:tc>
        <w:tc>
          <w:tcPr>
            <w:tcW w:w="2354" w:type="dxa"/>
            <w:vMerge w:val="continue"/>
            <w:vAlign w:val="center"/>
          </w:tcPr>
          <w:p w14:paraId="71A921E7">
            <w:pPr>
              <w:widowControl/>
              <w:rPr>
                <w:rFonts w:cs="宋体"/>
                <w:color w:val="auto"/>
                <w:kern w:val="0"/>
                <w:sz w:val="20"/>
                <w:szCs w:val="20"/>
                <w:highlight w:val="none"/>
              </w:rPr>
            </w:pPr>
          </w:p>
        </w:tc>
        <w:tc>
          <w:tcPr>
            <w:tcW w:w="5078" w:type="dxa"/>
            <w:vAlign w:val="center"/>
          </w:tcPr>
          <w:p w14:paraId="00869428">
            <w:pPr>
              <w:widowControl/>
              <w:jc w:val="center"/>
              <w:rPr>
                <w:rFonts w:cs="宋体"/>
                <w:color w:val="auto"/>
                <w:kern w:val="0"/>
                <w:sz w:val="20"/>
                <w:szCs w:val="20"/>
                <w:highlight w:val="none"/>
              </w:rPr>
            </w:pPr>
            <w:r>
              <w:rPr>
                <w:rFonts w:hint="eastAsia" w:cs="宋体"/>
                <w:color w:val="auto"/>
                <w:kern w:val="0"/>
                <w:sz w:val="20"/>
                <w:szCs w:val="20"/>
                <w:highlight w:val="none"/>
              </w:rPr>
              <w:t>统一认证</w:t>
            </w:r>
          </w:p>
        </w:tc>
      </w:tr>
      <w:tr w14:paraId="2A26F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679C831F">
            <w:pPr>
              <w:widowControl/>
              <w:jc w:val="center"/>
              <w:rPr>
                <w:rFonts w:cs="宋体"/>
                <w:color w:val="auto"/>
                <w:kern w:val="0"/>
                <w:sz w:val="20"/>
                <w:szCs w:val="20"/>
                <w:highlight w:val="none"/>
              </w:rPr>
            </w:pPr>
            <w:r>
              <w:rPr>
                <w:rFonts w:hint="eastAsia" w:cs="宋体"/>
                <w:color w:val="auto"/>
                <w:kern w:val="0"/>
                <w:sz w:val="20"/>
                <w:szCs w:val="20"/>
                <w:highlight w:val="none"/>
              </w:rPr>
              <w:t>61</w:t>
            </w:r>
          </w:p>
        </w:tc>
        <w:tc>
          <w:tcPr>
            <w:tcW w:w="2354" w:type="dxa"/>
            <w:vMerge w:val="continue"/>
            <w:vAlign w:val="center"/>
          </w:tcPr>
          <w:p w14:paraId="7A5F3797">
            <w:pPr>
              <w:widowControl/>
              <w:rPr>
                <w:rFonts w:cs="宋体"/>
                <w:color w:val="auto"/>
                <w:kern w:val="0"/>
                <w:sz w:val="20"/>
                <w:szCs w:val="20"/>
                <w:highlight w:val="none"/>
              </w:rPr>
            </w:pPr>
          </w:p>
        </w:tc>
        <w:tc>
          <w:tcPr>
            <w:tcW w:w="5078" w:type="dxa"/>
            <w:vAlign w:val="center"/>
          </w:tcPr>
          <w:p w14:paraId="31E49B4F">
            <w:pPr>
              <w:widowControl/>
              <w:jc w:val="center"/>
              <w:rPr>
                <w:rFonts w:cs="宋体"/>
                <w:color w:val="auto"/>
                <w:kern w:val="0"/>
                <w:sz w:val="20"/>
                <w:szCs w:val="20"/>
                <w:highlight w:val="none"/>
              </w:rPr>
            </w:pPr>
            <w:r>
              <w:rPr>
                <w:rFonts w:hint="eastAsia" w:cs="宋体"/>
                <w:color w:val="auto"/>
                <w:kern w:val="0"/>
                <w:sz w:val="20"/>
                <w:szCs w:val="20"/>
                <w:highlight w:val="none"/>
              </w:rPr>
              <w:t>统一门户</w:t>
            </w:r>
          </w:p>
        </w:tc>
      </w:tr>
      <w:tr w14:paraId="046FA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34FDE49E">
            <w:pPr>
              <w:widowControl/>
              <w:jc w:val="center"/>
              <w:rPr>
                <w:rFonts w:cs="宋体"/>
                <w:color w:val="auto"/>
                <w:kern w:val="0"/>
                <w:sz w:val="20"/>
                <w:szCs w:val="20"/>
                <w:highlight w:val="none"/>
              </w:rPr>
            </w:pPr>
            <w:r>
              <w:rPr>
                <w:rFonts w:hint="eastAsia" w:cs="宋体"/>
                <w:color w:val="auto"/>
                <w:kern w:val="0"/>
                <w:sz w:val="20"/>
                <w:szCs w:val="20"/>
                <w:highlight w:val="none"/>
              </w:rPr>
              <w:t>62</w:t>
            </w:r>
          </w:p>
        </w:tc>
        <w:tc>
          <w:tcPr>
            <w:tcW w:w="2354" w:type="dxa"/>
            <w:vMerge w:val="continue"/>
            <w:vAlign w:val="center"/>
          </w:tcPr>
          <w:p w14:paraId="0B3847C2">
            <w:pPr>
              <w:widowControl/>
              <w:rPr>
                <w:rFonts w:cs="宋体"/>
                <w:color w:val="auto"/>
                <w:kern w:val="0"/>
                <w:sz w:val="20"/>
                <w:szCs w:val="20"/>
                <w:highlight w:val="none"/>
              </w:rPr>
            </w:pPr>
          </w:p>
        </w:tc>
        <w:tc>
          <w:tcPr>
            <w:tcW w:w="5078" w:type="dxa"/>
            <w:vAlign w:val="center"/>
          </w:tcPr>
          <w:p w14:paraId="0925A676">
            <w:pPr>
              <w:widowControl/>
              <w:jc w:val="center"/>
              <w:rPr>
                <w:rFonts w:cs="宋体"/>
                <w:color w:val="auto"/>
                <w:kern w:val="0"/>
                <w:sz w:val="20"/>
                <w:szCs w:val="20"/>
                <w:highlight w:val="none"/>
              </w:rPr>
            </w:pPr>
            <w:r>
              <w:rPr>
                <w:rFonts w:hint="eastAsia" w:cs="宋体"/>
                <w:color w:val="auto"/>
                <w:kern w:val="0"/>
                <w:sz w:val="20"/>
                <w:szCs w:val="20"/>
                <w:highlight w:val="none"/>
              </w:rPr>
              <w:t>统一审计</w:t>
            </w:r>
          </w:p>
        </w:tc>
      </w:tr>
      <w:tr w14:paraId="10135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4B543712">
            <w:pPr>
              <w:widowControl/>
              <w:jc w:val="center"/>
              <w:rPr>
                <w:rFonts w:cs="宋体"/>
                <w:color w:val="auto"/>
                <w:kern w:val="0"/>
                <w:sz w:val="20"/>
                <w:szCs w:val="20"/>
                <w:highlight w:val="none"/>
              </w:rPr>
            </w:pPr>
            <w:r>
              <w:rPr>
                <w:rFonts w:hint="eastAsia" w:cs="宋体"/>
                <w:color w:val="auto"/>
                <w:kern w:val="0"/>
                <w:sz w:val="20"/>
                <w:szCs w:val="20"/>
                <w:highlight w:val="none"/>
              </w:rPr>
              <w:t>63</w:t>
            </w:r>
          </w:p>
        </w:tc>
        <w:tc>
          <w:tcPr>
            <w:tcW w:w="2354" w:type="dxa"/>
            <w:vMerge w:val="continue"/>
            <w:vAlign w:val="center"/>
          </w:tcPr>
          <w:p w14:paraId="78D19A8E">
            <w:pPr>
              <w:widowControl/>
              <w:rPr>
                <w:rFonts w:cs="宋体"/>
                <w:color w:val="auto"/>
                <w:kern w:val="0"/>
                <w:sz w:val="20"/>
                <w:szCs w:val="20"/>
                <w:highlight w:val="none"/>
              </w:rPr>
            </w:pPr>
          </w:p>
        </w:tc>
        <w:tc>
          <w:tcPr>
            <w:tcW w:w="5078" w:type="dxa"/>
            <w:vAlign w:val="center"/>
          </w:tcPr>
          <w:p w14:paraId="1C2344CE">
            <w:pPr>
              <w:widowControl/>
              <w:jc w:val="center"/>
              <w:rPr>
                <w:rFonts w:cs="宋体"/>
                <w:color w:val="auto"/>
                <w:kern w:val="0"/>
                <w:sz w:val="20"/>
                <w:szCs w:val="20"/>
                <w:highlight w:val="none"/>
              </w:rPr>
            </w:pPr>
            <w:r>
              <w:rPr>
                <w:rFonts w:hint="eastAsia" w:cs="宋体"/>
                <w:color w:val="auto"/>
                <w:kern w:val="0"/>
                <w:sz w:val="20"/>
                <w:szCs w:val="20"/>
                <w:highlight w:val="none"/>
              </w:rPr>
              <w:t>统一消息</w:t>
            </w:r>
          </w:p>
        </w:tc>
      </w:tr>
      <w:tr w14:paraId="79AEE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51519C25">
            <w:pPr>
              <w:widowControl/>
              <w:jc w:val="center"/>
              <w:rPr>
                <w:rFonts w:cs="宋体"/>
                <w:color w:val="auto"/>
                <w:kern w:val="0"/>
                <w:sz w:val="20"/>
                <w:szCs w:val="20"/>
                <w:highlight w:val="none"/>
              </w:rPr>
            </w:pPr>
            <w:r>
              <w:rPr>
                <w:rFonts w:hint="eastAsia" w:cs="宋体"/>
                <w:color w:val="auto"/>
                <w:kern w:val="0"/>
                <w:sz w:val="20"/>
                <w:szCs w:val="20"/>
                <w:highlight w:val="none"/>
              </w:rPr>
              <w:t>64</w:t>
            </w:r>
          </w:p>
        </w:tc>
        <w:tc>
          <w:tcPr>
            <w:tcW w:w="2354" w:type="dxa"/>
            <w:vMerge w:val="continue"/>
            <w:vAlign w:val="center"/>
          </w:tcPr>
          <w:p w14:paraId="42E00E22">
            <w:pPr>
              <w:widowControl/>
              <w:rPr>
                <w:rFonts w:cs="宋体"/>
                <w:color w:val="auto"/>
                <w:kern w:val="0"/>
                <w:sz w:val="20"/>
                <w:szCs w:val="20"/>
                <w:highlight w:val="none"/>
              </w:rPr>
            </w:pPr>
          </w:p>
        </w:tc>
        <w:tc>
          <w:tcPr>
            <w:tcW w:w="5078" w:type="dxa"/>
            <w:vAlign w:val="center"/>
          </w:tcPr>
          <w:p w14:paraId="288B0E43">
            <w:pPr>
              <w:widowControl/>
              <w:jc w:val="center"/>
              <w:rPr>
                <w:rFonts w:cs="宋体"/>
                <w:color w:val="auto"/>
                <w:kern w:val="0"/>
                <w:sz w:val="20"/>
                <w:szCs w:val="20"/>
                <w:highlight w:val="none"/>
              </w:rPr>
            </w:pPr>
            <w:r>
              <w:rPr>
                <w:rFonts w:hint="eastAsia" w:cs="宋体"/>
                <w:color w:val="auto"/>
                <w:kern w:val="0"/>
                <w:sz w:val="20"/>
                <w:szCs w:val="20"/>
                <w:highlight w:val="none"/>
              </w:rPr>
              <w:t>统一缓存</w:t>
            </w:r>
          </w:p>
        </w:tc>
      </w:tr>
      <w:tr w14:paraId="474C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45E0A97D">
            <w:pPr>
              <w:widowControl/>
              <w:jc w:val="center"/>
              <w:rPr>
                <w:rFonts w:cs="宋体"/>
                <w:color w:val="auto"/>
                <w:kern w:val="0"/>
                <w:sz w:val="20"/>
                <w:szCs w:val="20"/>
                <w:highlight w:val="none"/>
              </w:rPr>
            </w:pPr>
            <w:r>
              <w:rPr>
                <w:rFonts w:hint="eastAsia" w:cs="宋体"/>
                <w:color w:val="auto"/>
                <w:kern w:val="0"/>
                <w:sz w:val="20"/>
                <w:szCs w:val="20"/>
                <w:highlight w:val="none"/>
              </w:rPr>
              <w:t>65</w:t>
            </w:r>
          </w:p>
        </w:tc>
        <w:tc>
          <w:tcPr>
            <w:tcW w:w="2354" w:type="dxa"/>
            <w:vMerge w:val="restart"/>
            <w:vAlign w:val="center"/>
          </w:tcPr>
          <w:p w14:paraId="56D30D21">
            <w:pPr>
              <w:widowControl/>
              <w:jc w:val="center"/>
              <w:rPr>
                <w:rFonts w:cs="宋体"/>
                <w:color w:val="auto"/>
                <w:kern w:val="0"/>
                <w:sz w:val="20"/>
                <w:szCs w:val="20"/>
                <w:highlight w:val="none"/>
              </w:rPr>
            </w:pPr>
            <w:r>
              <w:rPr>
                <w:rFonts w:hint="eastAsia" w:cs="宋体"/>
                <w:color w:val="auto"/>
                <w:kern w:val="0"/>
                <w:sz w:val="20"/>
                <w:szCs w:val="20"/>
                <w:highlight w:val="none"/>
              </w:rPr>
              <w:t>数字化运营模块（新建）</w:t>
            </w:r>
          </w:p>
        </w:tc>
        <w:tc>
          <w:tcPr>
            <w:tcW w:w="5078" w:type="dxa"/>
            <w:vAlign w:val="center"/>
          </w:tcPr>
          <w:p w14:paraId="79AB9A54">
            <w:pPr>
              <w:widowControl/>
              <w:jc w:val="center"/>
              <w:rPr>
                <w:rFonts w:cs="宋体"/>
                <w:color w:val="auto"/>
                <w:kern w:val="0"/>
                <w:sz w:val="20"/>
                <w:szCs w:val="20"/>
                <w:highlight w:val="none"/>
              </w:rPr>
            </w:pPr>
            <w:r>
              <w:rPr>
                <w:rFonts w:hint="eastAsia" w:cs="宋体"/>
                <w:color w:val="auto"/>
                <w:kern w:val="0"/>
                <w:sz w:val="20"/>
                <w:szCs w:val="20"/>
                <w:highlight w:val="none"/>
              </w:rPr>
              <w:t>信息化资产管理中心</w:t>
            </w:r>
          </w:p>
        </w:tc>
      </w:tr>
      <w:tr w14:paraId="40BAE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5DAD1205">
            <w:pPr>
              <w:widowControl/>
              <w:jc w:val="center"/>
              <w:rPr>
                <w:rFonts w:cs="宋体"/>
                <w:color w:val="auto"/>
                <w:kern w:val="0"/>
                <w:sz w:val="20"/>
                <w:szCs w:val="20"/>
                <w:highlight w:val="none"/>
              </w:rPr>
            </w:pPr>
            <w:r>
              <w:rPr>
                <w:rFonts w:hint="eastAsia" w:cs="宋体"/>
                <w:color w:val="auto"/>
                <w:kern w:val="0"/>
                <w:sz w:val="20"/>
                <w:szCs w:val="20"/>
                <w:highlight w:val="none"/>
              </w:rPr>
              <w:t>66</w:t>
            </w:r>
          </w:p>
        </w:tc>
        <w:tc>
          <w:tcPr>
            <w:tcW w:w="2354" w:type="dxa"/>
            <w:vMerge w:val="continue"/>
            <w:vAlign w:val="center"/>
          </w:tcPr>
          <w:p w14:paraId="53993DCE">
            <w:pPr>
              <w:widowControl/>
              <w:rPr>
                <w:rFonts w:cs="宋体"/>
                <w:color w:val="auto"/>
                <w:kern w:val="0"/>
                <w:sz w:val="20"/>
                <w:szCs w:val="20"/>
                <w:highlight w:val="none"/>
              </w:rPr>
            </w:pPr>
          </w:p>
        </w:tc>
        <w:tc>
          <w:tcPr>
            <w:tcW w:w="5078" w:type="dxa"/>
            <w:vAlign w:val="center"/>
          </w:tcPr>
          <w:p w14:paraId="38E4E892">
            <w:pPr>
              <w:widowControl/>
              <w:jc w:val="center"/>
              <w:rPr>
                <w:rFonts w:cs="宋体"/>
                <w:color w:val="auto"/>
                <w:kern w:val="0"/>
                <w:sz w:val="20"/>
                <w:szCs w:val="20"/>
                <w:highlight w:val="none"/>
              </w:rPr>
            </w:pPr>
            <w:r>
              <w:rPr>
                <w:rFonts w:hint="eastAsia" w:cs="宋体"/>
                <w:color w:val="auto"/>
                <w:kern w:val="0"/>
                <w:sz w:val="20"/>
                <w:szCs w:val="20"/>
                <w:highlight w:val="none"/>
              </w:rPr>
              <w:t>统一资产台账管理</w:t>
            </w:r>
          </w:p>
        </w:tc>
      </w:tr>
      <w:tr w14:paraId="7451F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5E8784A5">
            <w:pPr>
              <w:widowControl/>
              <w:jc w:val="center"/>
              <w:rPr>
                <w:rFonts w:cs="宋体"/>
                <w:color w:val="auto"/>
                <w:kern w:val="0"/>
                <w:sz w:val="20"/>
                <w:szCs w:val="20"/>
                <w:highlight w:val="none"/>
              </w:rPr>
            </w:pPr>
            <w:r>
              <w:rPr>
                <w:rFonts w:hint="eastAsia" w:cs="宋体"/>
                <w:color w:val="auto"/>
                <w:kern w:val="0"/>
                <w:sz w:val="20"/>
                <w:szCs w:val="20"/>
                <w:highlight w:val="none"/>
              </w:rPr>
              <w:t>67</w:t>
            </w:r>
          </w:p>
        </w:tc>
        <w:tc>
          <w:tcPr>
            <w:tcW w:w="2354" w:type="dxa"/>
            <w:vMerge w:val="continue"/>
            <w:vAlign w:val="center"/>
          </w:tcPr>
          <w:p w14:paraId="0FF89EA3">
            <w:pPr>
              <w:widowControl/>
              <w:rPr>
                <w:rFonts w:cs="宋体"/>
                <w:color w:val="auto"/>
                <w:kern w:val="0"/>
                <w:sz w:val="20"/>
                <w:szCs w:val="20"/>
                <w:highlight w:val="none"/>
              </w:rPr>
            </w:pPr>
          </w:p>
        </w:tc>
        <w:tc>
          <w:tcPr>
            <w:tcW w:w="5078" w:type="dxa"/>
            <w:vAlign w:val="center"/>
          </w:tcPr>
          <w:p w14:paraId="4FEA8DE2">
            <w:pPr>
              <w:widowControl/>
              <w:jc w:val="center"/>
              <w:rPr>
                <w:rFonts w:cs="宋体"/>
                <w:color w:val="auto"/>
                <w:kern w:val="0"/>
                <w:sz w:val="20"/>
                <w:szCs w:val="20"/>
                <w:highlight w:val="none"/>
              </w:rPr>
            </w:pPr>
            <w:r>
              <w:rPr>
                <w:rFonts w:hint="eastAsia" w:cs="宋体"/>
                <w:color w:val="auto"/>
                <w:kern w:val="0"/>
                <w:sz w:val="20"/>
                <w:szCs w:val="20"/>
                <w:highlight w:val="none"/>
              </w:rPr>
              <w:t>资产统计分析</w:t>
            </w:r>
          </w:p>
        </w:tc>
      </w:tr>
      <w:tr w14:paraId="2652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000000" w:fill="FFFFFF"/>
            <w:vAlign w:val="center"/>
          </w:tcPr>
          <w:p w14:paraId="07DFB05B">
            <w:pPr>
              <w:widowControl/>
              <w:jc w:val="center"/>
              <w:rPr>
                <w:rFonts w:cs="宋体"/>
                <w:color w:val="auto"/>
                <w:kern w:val="0"/>
                <w:sz w:val="20"/>
                <w:szCs w:val="20"/>
                <w:highlight w:val="none"/>
              </w:rPr>
            </w:pPr>
            <w:r>
              <w:rPr>
                <w:rFonts w:hint="eastAsia" w:cs="宋体"/>
                <w:color w:val="auto"/>
                <w:kern w:val="0"/>
                <w:sz w:val="20"/>
                <w:szCs w:val="20"/>
                <w:highlight w:val="none"/>
              </w:rPr>
              <w:t>68</w:t>
            </w:r>
          </w:p>
        </w:tc>
        <w:tc>
          <w:tcPr>
            <w:tcW w:w="2354" w:type="dxa"/>
            <w:vMerge w:val="continue"/>
            <w:vAlign w:val="center"/>
          </w:tcPr>
          <w:p w14:paraId="2B7D3899">
            <w:pPr>
              <w:widowControl/>
              <w:rPr>
                <w:rFonts w:cs="宋体"/>
                <w:color w:val="auto"/>
                <w:kern w:val="0"/>
                <w:sz w:val="20"/>
                <w:szCs w:val="20"/>
                <w:highlight w:val="none"/>
              </w:rPr>
            </w:pPr>
          </w:p>
        </w:tc>
        <w:tc>
          <w:tcPr>
            <w:tcW w:w="5078" w:type="dxa"/>
            <w:vAlign w:val="center"/>
          </w:tcPr>
          <w:p w14:paraId="7DF11F7E">
            <w:pPr>
              <w:widowControl/>
              <w:jc w:val="center"/>
              <w:rPr>
                <w:rFonts w:cs="宋体"/>
                <w:color w:val="auto"/>
                <w:kern w:val="0"/>
                <w:sz w:val="20"/>
                <w:szCs w:val="20"/>
                <w:highlight w:val="none"/>
              </w:rPr>
            </w:pPr>
            <w:r>
              <w:rPr>
                <w:rFonts w:hint="eastAsia" w:cs="宋体"/>
                <w:color w:val="auto"/>
                <w:kern w:val="0"/>
                <w:sz w:val="20"/>
                <w:szCs w:val="20"/>
                <w:highlight w:val="none"/>
              </w:rPr>
              <w:t>工单管理中心</w:t>
            </w:r>
          </w:p>
        </w:tc>
      </w:tr>
      <w:tr w14:paraId="1BC3E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0" w:type="auto"/>
            <w:shd w:val="clear" w:color="000000" w:fill="FFFFFF"/>
            <w:vAlign w:val="center"/>
          </w:tcPr>
          <w:p w14:paraId="38335EA3">
            <w:pPr>
              <w:widowControl/>
              <w:jc w:val="center"/>
              <w:rPr>
                <w:rFonts w:cs="宋体"/>
                <w:color w:val="auto"/>
                <w:kern w:val="0"/>
                <w:sz w:val="20"/>
                <w:szCs w:val="20"/>
                <w:highlight w:val="none"/>
              </w:rPr>
            </w:pPr>
            <w:r>
              <w:rPr>
                <w:rFonts w:hint="eastAsia" w:cs="宋体"/>
                <w:color w:val="auto"/>
                <w:kern w:val="0"/>
                <w:sz w:val="20"/>
                <w:szCs w:val="20"/>
                <w:highlight w:val="none"/>
              </w:rPr>
              <w:t>69</w:t>
            </w:r>
          </w:p>
        </w:tc>
        <w:tc>
          <w:tcPr>
            <w:tcW w:w="2354" w:type="dxa"/>
            <w:vAlign w:val="center"/>
          </w:tcPr>
          <w:p w14:paraId="25C268C9">
            <w:pPr>
              <w:widowControl/>
              <w:jc w:val="center"/>
              <w:rPr>
                <w:rFonts w:cs="宋体"/>
                <w:color w:val="auto"/>
                <w:kern w:val="0"/>
                <w:sz w:val="20"/>
                <w:szCs w:val="20"/>
                <w:highlight w:val="none"/>
              </w:rPr>
            </w:pPr>
            <w:r>
              <w:rPr>
                <w:rFonts w:hint="eastAsia" w:cs="宋体"/>
                <w:color w:val="auto"/>
                <w:kern w:val="0"/>
                <w:sz w:val="20"/>
                <w:szCs w:val="20"/>
                <w:highlight w:val="none"/>
              </w:rPr>
              <w:t>密码应用建设</w:t>
            </w:r>
          </w:p>
        </w:tc>
        <w:tc>
          <w:tcPr>
            <w:tcW w:w="5078" w:type="dxa"/>
            <w:vAlign w:val="center"/>
          </w:tcPr>
          <w:p w14:paraId="2E3AAB21">
            <w:pPr>
              <w:widowControl/>
              <w:jc w:val="center"/>
              <w:rPr>
                <w:rFonts w:cs="宋体"/>
                <w:color w:val="auto"/>
                <w:kern w:val="0"/>
                <w:sz w:val="20"/>
                <w:szCs w:val="20"/>
                <w:highlight w:val="none"/>
              </w:rPr>
            </w:pPr>
            <w:r>
              <w:rPr>
                <w:rFonts w:hint="eastAsia" w:cs="宋体"/>
                <w:color w:val="auto"/>
                <w:kern w:val="0"/>
                <w:sz w:val="20"/>
                <w:szCs w:val="20"/>
                <w:highlight w:val="none"/>
              </w:rPr>
              <w:t>　</w:t>
            </w:r>
          </w:p>
        </w:tc>
      </w:tr>
    </w:tbl>
    <w:p w14:paraId="3E205ED7">
      <w:pPr>
        <w:rPr>
          <w:color w:val="auto"/>
          <w:highlight w:val="none"/>
        </w:rPr>
      </w:pPr>
    </w:p>
    <w:p w14:paraId="0C862A95">
      <w:pPr>
        <w:pStyle w:val="3"/>
        <w:rPr>
          <w:color w:val="auto"/>
          <w:highlight w:val="none"/>
        </w:rPr>
      </w:pPr>
      <w:r>
        <w:rPr>
          <w:rFonts w:hint="eastAsia"/>
          <w:color w:val="auto"/>
          <w:highlight w:val="none"/>
        </w:rPr>
        <w:t>密码产品清单</w:t>
      </w:r>
    </w:p>
    <w:tbl>
      <w:tblPr>
        <w:tblStyle w:val="11"/>
        <w:tblW w:w="5000" w:type="pct"/>
        <w:tblInd w:w="0" w:type="dxa"/>
        <w:tblLayout w:type="autofit"/>
        <w:tblCellMar>
          <w:top w:w="0" w:type="dxa"/>
          <w:left w:w="0" w:type="dxa"/>
          <w:bottom w:w="0" w:type="dxa"/>
          <w:right w:w="0" w:type="dxa"/>
        </w:tblCellMar>
      </w:tblPr>
      <w:tblGrid>
        <w:gridCol w:w="540"/>
        <w:gridCol w:w="1955"/>
        <w:gridCol w:w="2230"/>
        <w:gridCol w:w="2550"/>
        <w:gridCol w:w="540"/>
        <w:gridCol w:w="517"/>
      </w:tblGrid>
      <w:tr w14:paraId="1A8DBBF9">
        <w:tblPrEx>
          <w:tblCellMar>
            <w:top w:w="0" w:type="dxa"/>
            <w:left w:w="0" w:type="dxa"/>
            <w:bottom w:w="0" w:type="dxa"/>
            <w:right w:w="0" w:type="dxa"/>
          </w:tblCellMar>
        </w:tblPrEx>
        <w:trPr>
          <w:trHeight w:val="270" w:hRule="atLeast"/>
        </w:trPr>
        <w:tc>
          <w:tcPr>
            <w:tcW w:w="324" w:type="pct"/>
            <w:tcBorders>
              <w:top w:val="single" w:color="auto" w:sz="4" w:space="0"/>
              <w:left w:val="single" w:color="auto" w:sz="4" w:space="0"/>
              <w:bottom w:val="single" w:color="000000" w:sz="4" w:space="0"/>
              <w:right w:val="single" w:color="000000" w:sz="4" w:space="0"/>
            </w:tcBorders>
            <w:noWrap/>
            <w:tcMar>
              <w:top w:w="15" w:type="dxa"/>
              <w:left w:w="15" w:type="dxa"/>
              <w:right w:w="15" w:type="dxa"/>
            </w:tcMar>
            <w:vAlign w:val="center"/>
          </w:tcPr>
          <w:p w14:paraId="2F726544">
            <w:pPr>
              <w:widowControl/>
              <w:jc w:val="center"/>
              <w:textAlignment w:val="center"/>
              <w:rPr>
                <w:rFonts w:cs="宋体"/>
                <w:b/>
                <w:bCs/>
                <w:color w:val="auto"/>
                <w:sz w:val="22"/>
                <w:szCs w:val="22"/>
                <w:highlight w:val="none"/>
              </w:rPr>
            </w:pPr>
            <w:r>
              <w:rPr>
                <w:rFonts w:hint="eastAsia" w:cs="宋体"/>
                <w:b/>
                <w:bCs/>
                <w:color w:val="auto"/>
                <w:kern w:val="0"/>
                <w:sz w:val="22"/>
                <w:szCs w:val="22"/>
                <w:highlight w:val="none"/>
              </w:rPr>
              <w:t>序号</w:t>
            </w:r>
          </w:p>
        </w:tc>
        <w:tc>
          <w:tcPr>
            <w:tcW w:w="1173" w:type="pct"/>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52A3A8CF">
            <w:pPr>
              <w:widowControl/>
              <w:jc w:val="center"/>
              <w:textAlignment w:val="center"/>
              <w:rPr>
                <w:rFonts w:cs="宋体"/>
                <w:b/>
                <w:bCs/>
                <w:color w:val="auto"/>
                <w:sz w:val="22"/>
                <w:szCs w:val="22"/>
                <w:highlight w:val="none"/>
              </w:rPr>
            </w:pPr>
            <w:r>
              <w:rPr>
                <w:rFonts w:hint="eastAsia" w:cs="宋体"/>
                <w:b/>
                <w:bCs/>
                <w:color w:val="auto"/>
                <w:kern w:val="0"/>
                <w:sz w:val="22"/>
                <w:szCs w:val="22"/>
                <w:highlight w:val="none"/>
              </w:rPr>
              <w:t>名称</w:t>
            </w:r>
          </w:p>
        </w:tc>
        <w:tc>
          <w:tcPr>
            <w:tcW w:w="1338" w:type="pct"/>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6B8FF57F">
            <w:pPr>
              <w:widowControl/>
              <w:jc w:val="center"/>
              <w:textAlignment w:val="center"/>
              <w:rPr>
                <w:rFonts w:cs="宋体"/>
                <w:b/>
                <w:bCs/>
                <w:color w:val="auto"/>
                <w:sz w:val="22"/>
                <w:szCs w:val="22"/>
                <w:highlight w:val="none"/>
              </w:rPr>
            </w:pPr>
            <w:r>
              <w:rPr>
                <w:rFonts w:hint="eastAsia" w:cs="宋体"/>
                <w:b/>
                <w:bCs/>
                <w:color w:val="auto"/>
                <w:kern w:val="0"/>
                <w:sz w:val="22"/>
                <w:szCs w:val="22"/>
                <w:highlight w:val="none"/>
              </w:rPr>
              <w:t>类别</w:t>
            </w:r>
          </w:p>
        </w:tc>
        <w:tc>
          <w:tcPr>
            <w:tcW w:w="1530" w:type="pct"/>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0CCA0359">
            <w:pPr>
              <w:widowControl/>
              <w:jc w:val="center"/>
              <w:textAlignment w:val="center"/>
              <w:rPr>
                <w:rFonts w:cs="宋体"/>
                <w:b/>
                <w:bCs/>
                <w:color w:val="auto"/>
                <w:sz w:val="22"/>
                <w:szCs w:val="22"/>
                <w:highlight w:val="none"/>
              </w:rPr>
            </w:pPr>
            <w:r>
              <w:rPr>
                <w:rFonts w:hint="eastAsia" w:cs="宋体"/>
                <w:b/>
                <w:bCs/>
                <w:color w:val="auto"/>
                <w:kern w:val="0"/>
                <w:sz w:val="22"/>
                <w:szCs w:val="22"/>
                <w:highlight w:val="none"/>
              </w:rPr>
              <w:t>功能说明/配置要求</w:t>
            </w:r>
          </w:p>
        </w:tc>
        <w:tc>
          <w:tcPr>
            <w:tcW w:w="324" w:type="pct"/>
            <w:tcBorders>
              <w:top w:val="single" w:color="auto" w:sz="4" w:space="0"/>
              <w:left w:val="single" w:color="000000" w:sz="4" w:space="0"/>
              <w:bottom w:val="single" w:color="000000" w:sz="4" w:space="0"/>
              <w:right w:val="single" w:color="auto" w:sz="4" w:space="0"/>
            </w:tcBorders>
            <w:noWrap/>
            <w:tcMar>
              <w:top w:w="15" w:type="dxa"/>
              <w:left w:w="15" w:type="dxa"/>
              <w:right w:w="15" w:type="dxa"/>
            </w:tcMar>
            <w:vAlign w:val="center"/>
          </w:tcPr>
          <w:p w14:paraId="3CEF2AB3">
            <w:pPr>
              <w:widowControl/>
              <w:jc w:val="center"/>
              <w:textAlignment w:val="center"/>
              <w:rPr>
                <w:rFonts w:cs="宋体"/>
                <w:b/>
                <w:bCs/>
                <w:color w:val="auto"/>
                <w:sz w:val="22"/>
                <w:szCs w:val="22"/>
                <w:highlight w:val="none"/>
              </w:rPr>
            </w:pPr>
            <w:r>
              <w:rPr>
                <w:rFonts w:hint="eastAsia" w:cs="宋体"/>
                <w:b/>
                <w:bCs/>
                <w:color w:val="auto"/>
                <w:kern w:val="0"/>
                <w:sz w:val="22"/>
                <w:szCs w:val="22"/>
                <w:highlight w:val="none"/>
              </w:rPr>
              <w:t>数量</w:t>
            </w:r>
          </w:p>
        </w:tc>
        <w:tc>
          <w:tcPr>
            <w:tcW w:w="310" w:type="pct"/>
            <w:tcBorders>
              <w:top w:val="single" w:color="auto" w:sz="4" w:space="0"/>
              <w:left w:val="single" w:color="000000" w:sz="4" w:space="0"/>
              <w:bottom w:val="single" w:color="000000" w:sz="4" w:space="0"/>
              <w:right w:val="single" w:color="auto" w:sz="4" w:space="0"/>
            </w:tcBorders>
            <w:vAlign w:val="center"/>
          </w:tcPr>
          <w:p w14:paraId="3E45E5CD">
            <w:pPr>
              <w:widowControl/>
              <w:jc w:val="center"/>
              <w:textAlignment w:val="center"/>
              <w:rPr>
                <w:rFonts w:cs="宋体"/>
                <w:b/>
                <w:bCs/>
                <w:color w:val="auto"/>
                <w:kern w:val="0"/>
                <w:sz w:val="22"/>
                <w:szCs w:val="22"/>
                <w:highlight w:val="none"/>
              </w:rPr>
            </w:pPr>
            <w:r>
              <w:rPr>
                <w:rFonts w:hint="eastAsia" w:cs="宋体"/>
                <w:b/>
                <w:bCs/>
                <w:color w:val="auto"/>
                <w:kern w:val="0"/>
                <w:sz w:val="22"/>
                <w:szCs w:val="22"/>
                <w:highlight w:val="none"/>
              </w:rPr>
              <w:t>单位</w:t>
            </w:r>
          </w:p>
        </w:tc>
      </w:tr>
      <w:tr w14:paraId="02D6B082">
        <w:tblPrEx>
          <w:tblCellMar>
            <w:top w:w="0" w:type="dxa"/>
            <w:left w:w="0" w:type="dxa"/>
            <w:bottom w:w="0" w:type="dxa"/>
            <w:right w:w="0" w:type="dxa"/>
          </w:tblCellMar>
        </w:tblPrEx>
        <w:trPr>
          <w:trHeight w:val="825" w:hRule="atLeast"/>
        </w:trPr>
        <w:tc>
          <w:tcPr>
            <w:tcW w:w="324" w:type="pct"/>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4A70F268">
            <w:pPr>
              <w:widowControl/>
              <w:jc w:val="center"/>
              <w:textAlignment w:val="center"/>
              <w:rPr>
                <w:rFonts w:cs="宋体"/>
                <w:color w:val="auto"/>
                <w:sz w:val="22"/>
                <w:szCs w:val="22"/>
                <w:highlight w:val="none"/>
              </w:rPr>
            </w:pPr>
            <w:r>
              <w:rPr>
                <w:rFonts w:hint="eastAsia" w:cs="宋体"/>
                <w:color w:val="auto"/>
                <w:kern w:val="0"/>
                <w:sz w:val="22"/>
                <w:szCs w:val="22"/>
                <w:highlight w:val="none"/>
              </w:rPr>
              <w:t>1</w:t>
            </w:r>
          </w:p>
        </w:tc>
        <w:tc>
          <w:tcPr>
            <w:tcW w:w="11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106D66">
            <w:pPr>
              <w:jc w:val="center"/>
              <w:rPr>
                <w:color w:val="auto"/>
                <w:highlight w:val="none"/>
              </w:rPr>
            </w:pPr>
            <w:r>
              <w:rPr>
                <w:rFonts w:hint="eastAsia"/>
                <w:color w:val="auto"/>
                <w:highlight w:val="none"/>
              </w:rPr>
              <w:t>安全管理与支持</w:t>
            </w:r>
          </w:p>
        </w:tc>
        <w:tc>
          <w:tcPr>
            <w:tcW w:w="133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41D84B">
            <w:pPr>
              <w:jc w:val="center"/>
              <w:rPr>
                <w:color w:val="auto"/>
                <w:highlight w:val="none"/>
              </w:rPr>
            </w:pPr>
            <w:r>
              <w:rPr>
                <w:rFonts w:hint="eastAsia"/>
                <w:color w:val="auto"/>
                <w:highlight w:val="none"/>
              </w:rPr>
              <w:t>数字证书</w:t>
            </w:r>
          </w:p>
        </w:tc>
        <w:tc>
          <w:tcPr>
            <w:tcW w:w="15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1380D9">
            <w:pPr>
              <w:jc w:val="center"/>
              <w:rPr>
                <w:rFonts w:cs="宋体"/>
                <w:color w:val="auto"/>
                <w:sz w:val="22"/>
                <w:szCs w:val="22"/>
                <w:highlight w:val="none"/>
              </w:rPr>
            </w:pPr>
            <w:r>
              <w:rPr>
                <w:rFonts w:hint="eastAsia" w:cs="宋体"/>
                <w:color w:val="auto"/>
                <w:kern w:val="0"/>
                <w:sz w:val="22"/>
                <w:szCs w:val="22"/>
                <w:highlight w:val="none"/>
              </w:rPr>
              <w:t>证书认证服务（站点证书）</w:t>
            </w:r>
          </w:p>
        </w:tc>
        <w:tc>
          <w:tcPr>
            <w:tcW w:w="324" w:type="pct"/>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6742E93C">
            <w:pPr>
              <w:widowControl/>
              <w:jc w:val="center"/>
              <w:textAlignment w:val="center"/>
              <w:rPr>
                <w:rFonts w:cs="宋体"/>
                <w:color w:val="auto"/>
                <w:sz w:val="22"/>
                <w:szCs w:val="22"/>
                <w:highlight w:val="none"/>
              </w:rPr>
            </w:pPr>
            <w:r>
              <w:rPr>
                <w:rFonts w:hint="eastAsia" w:cs="宋体"/>
                <w:color w:val="auto"/>
                <w:kern w:val="0"/>
                <w:sz w:val="22"/>
                <w:szCs w:val="22"/>
                <w:highlight w:val="none"/>
              </w:rPr>
              <w:t>1</w:t>
            </w:r>
          </w:p>
        </w:tc>
        <w:tc>
          <w:tcPr>
            <w:tcW w:w="310" w:type="pct"/>
            <w:tcBorders>
              <w:top w:val="single" w:color="000000" w:sz="4" w:space="0"/>
              <w:left w:val="single" w:color="000000" w:sz="4" w:space="0"/>
              <w:bottom w:val="single" w:color="000000" w:sz="4" w:space="0"/>
              <w:right w:val="single" w:color="auto" w:sz="4" w:space="0"/>
            </w:tcBorders>
            <w:vAlign w:val="center"/>
          </w:tcPr>
          <w:p w14:paraId="0CFA8BED">
            <w:pPr>
              <w:widowControl/>
              <w:jc w:val="center"/>
              <w:textAlignment w:val="center"/>
              <w:rPr>
                <w:rFonts w:cs="宋体"/>
                <w:color w:val="auto"/>
                <w:kern w:val="0"/>
                <w:sz w:val="22"/>
                <w:szCs w:val="22"/>
                <w:highlight w:val="none"/>
              </w:rPr>
            </w:pPr>
            <w:r>
              <w:rPr>
                <w:rFonts w:hint="eastAsia" w:cs="宋体"/>
                <w:color w:val="auto"/>
                <w:kern w:val="0"/>
                <w:sz w:val="22"/>
                <w:szCs w:val="22"/>
                <w:highlight w:val="none"/>
              </w:rPr>
              <w:t>张</w:t>
            </w:r>
          </w:p>
        </w:tc>
      </w:tr>
      <w:tr w14:paraId="360DE1BB">
        <w:tblPrEx>
          <w:tblCellMar>
            <w:top w:w="0" w:type="dxa"/>
            <w:left w:w="0" w:type="dxa"/>
            <w:bottom w:w="0" w:type="dxa"/>
            <w:right w:w="0" w:type="dxa"/>
          </w:tblCellMar>
        </w:tblPrEx>
        <w:trPr>
          <w:trHeight w:val="825" w:hRule="atLeast"/>
        </w:trPr>
        <w:tc>
          <w:tcPr>
            <w:tcW w:w="324" w:type="pct"/>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3268C26B">
            <w:pPr>
              <w:widowControl/>
              <w:jc w:val="center"/>
              <w:textAlignment w:val="center"/>
              <w:rPr>
                <w:rFonts w:cs="宋体"/>
                <w:color w:val="auto"/>
                <w:kern w:val="0"/>
                <w:sz w:val="22"/>
                <w:szCs w:val="22"/>
                <w:highlight w:val="none"/>
              </w:rPr>
            </w:pPr>
            <w:r>
              <w:rPr>
                <w:rFonts w:hint="eastAsia" w:cs="宋体"/>
                <w:color w:val="auto"/>
                <w:kern w:val="0"/>
                <w:sz w:val="22"/>
                <w:szCs w:val="22"/>
                <w:highlight w:val="none"/>
              </w:rPr>
              <w:t>2</w:t>
            </w:r>
          </w:p>
        </w:tc>
        <w:tc>
          <w:tcPr>
            <w:tcW w:w="11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F75BE2">
            <w:pPr>
              <w:jc w:val="center"/>
              <w:rPr>
                <w:color w:val="auto"/>
                <w:highlight w:val="none"/>
              </w:rPr>
            </w:pPr>
            <w:r>
              <w:rPr>
                <w:rFonts w:hint="eastAsia"/>
                <w:color w:val="auto"/>
                <w:highlight w:val="none"/>
              </w:rPr>
              <w:t>安全管理与支持</w:t>
            </w:r>
          </w:p>
        </w:tc>
        <w:tc>
          <w:tcPr>
            <w:tcW w:w="133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8CE536">
            <w:pPr>
              <w:jc w:val="center"/>
              <w:rPr>
                <w:color w:val="auto"/>
                <w:highlight w:val="none"/>
              </w:rPr>
            </w:pPr>
            <w:r>
              <w:rPr>
                <w:rFonts w:hint="eastAsia"/>
                <w:color w:val="auto"/>
                <w:highlight w:val="none"/>
              </w:rPr>
              <w:t>数字证书</w:t>
            </w:r>
          </w:p>
        </w:tc>
        <w:tc>
          <w:tcPr>
            <w:tcW w:w="15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42290D">
            <w:pPr>
              <w:jc w:val="center"/>
              <w:rPr>
                <w:rFonts w:cs="宋体"/>
                <w:color w:val="auto"/>
                <w:kern w:val="0"/>
                <w:sz w:val="22"/>
                <w:szCs w:val="22"/>
                <w:highlight w:val="none"/>
              </w:rPr>
            </w:pPr>
            <w:r>
              <w:rPr>
                <w:rFonts w:hint="eastAsia" w:cs="宋体"/>
                <w:color w:val="auto"/>
                <w:kern w:val="0"/>
                <w:sz w:val="22"/>
                <w:szCs w:val="22"/>
                <w:highlight w:val="none"/>
              </w:rPr>
              <w:t>证书认证服务（设备证书）</w:t>
            </w:r>
          </w:p>
        </w:tc>
        <w:tc>
          <w:tcPr>
            <w:tcW w:w="324" w:type="pct"/>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C2DA8CC">
            <w:pPr>
              <w:widowControl/>
              <w:jc w:val="center"/>
              <w:textAlignment w:val="center"/>
              <w:rPr>
                <w:rFonts w:cs="宋体"/>
                <w:color w:val="auto"/>
                <w:kern w:val="0"/>
                <w:sz w:val="22"/>
                <w:szCs w:val="22"/>
                <w:highlight w:val="none"/>
              </w:rPr>
            </w:pPr>
            <w:r>
              <w:rPr>
                <w:rFonts w:hint="eastAsia" w:cs="宋体"/>
                <w:color w:val="auto"/>
                <w:kern w:val="0"/>
                <w:sz w:val="22"/>
                <w:szCs w:val="22"/>
                <w:highlight w:val="none"/>
              </w:rPr>
              <w:t>2</w:t>
            </w:r>
          </w:p>
        </w:tc>
        <w:tc>
          <w:tcPr>
            <w:tcW w:w="310" w:type="pct"/>
            <w:tcBorders>
              <w:top w:val="single" w:color="000000" w:sz="4" w:space="0"/>
              <w:left w:val="single" w:color="000000" w:sz="4" w:space="0"/>
              <w:bottom w:val="single" w:color="000000" w:sz="4" w:space="0"/>
              <w:right w:val="single" w:color="auto" w:sz="4" w:space="0"/>
            </w:tcBorders>
            <w:vAlign w:val="center"/>
          </w:tcPr>
          <w:p w14:paraId="3EB1621E">
            <w:pPr>
              <w:widowControl/>
              <w:jc w:val="center"/>
              <w:textAlignment w:val="center"/>
              <w:rPr>
                <w:rFonts w:cs="宋体"/>
                <w:color w:val="auto"/>
                <w:kern w:val="0"/>
                <w:sz w:val="22"/>
                <w:szCs w:val="22"/>
                <w:highlight w:val="none"/>
              </w:rPr>
            </w:pPr>
            <w:r>
              <w:rPr>
                <w:rFonts w:hint="eastAsia" w:cs="宋体"/>
                <w:color w:val="auto"/>
                <w:kern w:val="0"/>
                <w:sz w:val="22"/>
                <w:szCs w:val="22"/>
                <w:highlight w:val="none"/>
              </w:rPr>
              <w:t>张</w:t>
            </w:r>
          </w:p>
        </w:tc>
      </w:tr>
    </w:tbl>
    <w:p w14:paraId="0E8989AB">
      <w:pPr>
        <w:rPr>
          <w:color w:val="auto"/>
          <w:highlight w:val="none"/>
        </w:rPr>
      </w:pPr>
    </w:p>
    <w:p w14:paraId="77028BBD">
      <w:pPr>
        <w:pStyle w:val="3"/>
        <w:rPr>
          <w:color w:val="auto"/>
          <w:highlight w:val="none"/>
        </w:rPr>
      </w:pPr>
      <w:r>
        <w:rPr>
          <w:rFonts w:hint="eastAsia"/>
          <w:color w:val="auto"/>
          <w:highlight w:val="none"/>
        </w:rPr>
        <w:t>数据迁移</w:t>
      </w:r>
    </w:p>
    <w:p w14:paraId="20468F50">
      <w:pPr>
        <w:spacing w:line="360" w:lineRule="auto"/>
        <w:ind w:firstLine="480" w:firstLineChars="200"/>
        <w:rPr>
          <w:color w:val="auto"/>
          <w:highlight w:val="none"/>
        </w:rPr>
      </w:pPr>
      <w:r>
        <w:rPr>
          <w:rFonts w:hint="eastAsia"/>
          <w:color w:val="auto"/>
          <w:highlight w:val="none"/>
        </w:rPr>
        <w:t>从非国产数据库迁移至国产数据库的总体目标是通过安全、高效、可控的技术路径，实现关键业务系统的底层技术自主化，全面支撑国家XC战略。具体而言，需在确保数据零丢失、零泄露的前提下，完成数据的完整迁移与一致性校验，保障业务连续性不受影响；同时通过适配国产软硬件生态（如操作系统、芯片及中间件），解决技术兼容性问题，优化数据库性能以匹配甚至超越原有系统的运行效率。此外，迁移需满足国家法律法规对数据安全与隐私保护的合规要求，规避国际技术断供风险，降低对国外技术的依赖成本，并借此推动中心技术架构升级和团队能力转型，最终构建起安全可靠、自主可控、可持续优化的国产数据库技术体系，为未来业务创新和数字化转型奠定坚实基础。</w:t>
      </w:r>
    </w:p>
    <w:p w14:paraId="7C8CCE9B">
      <w:pPr>
        <w:spacing w:line="360" w:lineRule="auto"/>
        <w:ind w:firstLine="480" w:firstLineChars="200"/>
        <w:rPr>
          <w:color w:val="auto"/>
          <w:highlight w:val="none"/>
        </w:rPr>
      </w:pPr>
      <w:r>
        <w:rPr>
          <w:rFonts w:hint="eastAsia"/>
          <w:b/>
          <w:bCs/>
          <w:color w:val="auto"/>
          <w:highlight w:val="none"/>
        </w:rPr>
        <w:t>本次迁移共涉及中心现有约7000张表单4000万条数据。数据迁移需单独报价。</w:t>
      </w:r>
    </w:p>
    <w:p w14:paraId="22676073">
      <w:pPr>
        <w:pStyle w:val="2"/>
        <w:rPr>
          <w:color w:val="auto"/>
          <w:highlight w:val="none"/>
        </w:rPr>
      </w:pPr>
      <w:r>
        <w:rPr>
          <w:rFonts w:hint="eastAsia"/>
          <w:color w:val="auto"/>
          <w:highlight w:val="none"/>
        </w:rPr>
        <w:t>电子政务云资源需求</w:t>
      </w:r>
    </w:p>
    <w:p w14:paraId="2D2ED1F5">
      <w:pPr>
        <w:pStyle w:val="3"/>
        <w:rPr>
          <w:color w:val="auto"/>
          <w:highlight w:val="none"/>
        </w:rPr>
      </w:pPr>
      <w:r>
        <w:rPr>
          <w:color w:val="auto"/>
          <w:highlight w:val="none"/>
        </w:rPr>
        <w:t>服务器资源</w:t>
      </w:r>
      <w:r>
        <w:rPr>
          <w:rFonts w:hint="eastAsia"/>
          <w:color w:val="auto"/>
          <w:highlight w:val="none"/>
        </w:rPr>
        <w:t>（两包件共用）</w:t>
      </w:r>
    </w:p>
    <w:p w14:paraId="72EBE14F">
      <w:pPr>
        <w:spacing w:line="360" w:lineRule="auto"/>
        <w:ind w:firstLine="480" w:firstLineChars="200"/>
        <w:rPr>
          <w:color w:val="auto"/>
          <w:highlight w:val="none"/>
        </w:rPr>
      </w:pPr>
      <w:r>
        <w:rPr>
          <w:rFonts w:hint="eastAsia"/>
          <w:color w:val="auto"/>
          <w:highlight w:val="none"/>
        </w:rPr>
        <w:t>根据项目批复情况，本次建设根据估算拟向电子政务云申请35台虚拟机服务器资源，其中CPU224核 、内存1048GB、存储18600GB。两个包件具体资源数量由招标方进行分配。</w:t>
      </w:r>
    </w:p>
    <w:p w14:paraId="18D98B0B">
      <w:pPr>
        <w:pStyle w:val="3"/>
        <w:rPr>
          <w:color w:val="auto"/>
          <w:highlight w:val="none"/>
        </w:rPr>
      </w:pPr>
      <w:r>
        <w:rPr>
          <w:rFonts w:hint="eastAsia"/>
          <w:color w:val="auto"/>
          <w:highlight w:val="none"/>
        </w:rPr>
        <w:t>PaaS资源（两包件共用）</w:t>
      </w:r>
    </w:p>
    <w:tbl>
      <w:tblPr>
        <w:tblStyle w:val="11"/>
        <w:tblW w:w="5000" w:type="pct"/>
        <w:tblInd w:w="0" w:type="dxa"/>
        <w:tblLayout w:type="autofit"/>
        <w:tblCellMar>
          <w:top w:w="0" w:type="dxa"/>
          <w:left w:w="108" w:type="dxa"/>
          <w:bottom w:w="0" w:type="dxa"/>
          <w:right w:w="108" w:type="dxa"/>
        </w:tblCellMar>
      </w:tblPr>
      <w:tblGrid>
        <w:gridCol w:w="993"/>
        <w:gridCol w:w="4286"/>
        <w:gridCol w:w="1100"/>
        <w:gridCol w:w="2149"/>
      </w:tblGrid>
      <w:tr w14:paraId="6AA1BD2F">
        <w:tblPrEx>
          <w:tblCellMar>
            <w:top w:w="0" w:type="dxa"/>
            <w:left w:w="108" w:type="dxa"/>
            <w:bottom w:w="0" w:type="dxa"/>
            <w:right w:w="108" w:type="dxa"/>
          </w:tblCellMar>
        </w:tblPrEx>
        <w:trPr>
          <w:trHeight w:val="280" w:hRule="atLeast"/>
        </w:trPr>
        <w:tc>
          <w:tcPr>
            <w:tcW w:w="598" w:type="pct"/>
            <w:tcBorders>
              <w:top w:val="single" w:color="auto" w:sz="4" w:space="0"/>
              <w:left w:val="single" w:color="auto" w:sz="4" w:space="0"/>
              <w:bottom w:val="single" w:color="auto" w:sz="4" w:space="0"/>
              <w:right w:val="single" w:color="auto" w:sz="4" w:space="0"/>
            </w:tcBorders>
            <w:vAlign w:val="center"/>
          </w:tcPr>
          <w:p w14:paraId="3AD47A3F">
            <w:pPr>
              <w:widowControl/>
              <w:jc w:val="center"/>
              <w:rPr>
                <w:rFonts w:cs="宋体"/>
                <w:b/>
                <w:bCs/>
                <w:color w:val="auto"/>
                <w:kern w:val="0"/>
                <w:sz w:val="22"/>
                <w:szCs w:val="22"/>
                <w:highlight w:val="none"/>
              </w:rPr>
            </w:pPr>
            <w:r>
              <w:rPr>
                <w:rFonts w:hint="eastAsia" w:cs="宋体"/>
                <w:b/>
                <w:bCs/>
                <w:color w:val="auto"/>
                <w:kern w:val="0"/>
                <w:sz w:val="22"/>
                <w:szCs w:val="22"/>
                <w:highlight w:val="none"/>
              </w:rPr>
              <w:t>序号</w:t>
            </w:r>
          </w:p>
        </w:tc>
        <w:tc>
          <w:tcPr>
            <w:tcW w:w="2529" w:type="pct"/>
            <w:tcBorders>
              <w:top w:val="single" w:color="auto" w:sz="4" w:space="0"/>
              <w:left w:val="nil"/>
              <w:bottom w:val="single" w:color="auto" w:sz="4" w:space="0"/>
              <w:right w:val="single" w:color="auto" w:sz="4" w:space="0"/>
            </w:tcBorders>
            <w:noWrap/>
            <w:vAlign w:val="center"/>
          </w:tcPr>
          <w:p w14:paraId="046285CD">
            <w:pPr>
              <w:widowControl/>
              <w:jc w:val="center"/>
              <w:rPr>
                <w:rFonts w:cs="宋体"/>
                <w:b/>
                <w:bCs/>
                <w:color w:val="auto"/>
                <w:kern w:val="0"/>
                <w:sz w:val="22"/>
                <w:szCs w:val="22"/>
                <w:highlight w:val="none"/>
              </w:rPr>
            </w:pPr>
            <w:r>
              <w:rPr>
                <w:rFonts w:hint="eastAsia" w:cs="宋体"/>
                <w:b/>
                <w:bCs/>
                <w:color w:val="auto"/>
                <w:kern w:val="0"/>
                <w:sz w:val="22"/>
                <w:szCs w:val="22"/>
                <w:highlight w:val="none"/>
              </w:rPr>
              <w:t>资源名称</w:t>
            </w:r>
          </w:p>
        </w:tc>
        <w:tc>
          <w:tcPr>
            <w:tcW w:w="598" w:type="pct"/>
            <w:tcBorders>
              <w:top w:val="single" w:color="auto" w:sz="4" w:space="0"/>
              <w:left w:val="nil"/>
              <w:bottom w:val="single" w:color="auto" w:sz="4" w:space="0"/>
              <w:right w:val="single" w:color="auto" w:sz="4" w:space="0"/>
            </w:tcBorders>
            <w:noWrap/>
            <w:vAlign w:val="center"/>
          </w:tcPr>
          <w:p w14:paraId="52B3C4D1">
            <w:pPr>
              <w:widowControl/>
              <w:jc w:val="center"/>
              <w:rPr>
                <w:rFonts w:cs="宋体"/>
                <w:b/>
                <w:bCs/>
                <w:color w:val="auto"/>
                <w:kern w:val="0"/>
                <w:sz w:val="22"/>
                <w:szCs w:val="22"/>
                <w:highlight w:val="none"/>
              </w:rPr>
            </w:pPr>
            <w:r>
              <w:rPr>
                <w:rFonts w:hint="eastAsia" w:cs="宋体"/>
                <w:b/>
                <w:bCs/>
                <w:color w:val="auto"/>
                <w:kern w:val="0"/>
                <w:sz w:val="22"/>
                <w:szCs w:val="22"/>
                <w:highlight w:val="none"/>
              </w:rPr>
              <w:t>核定数量</w:t>
            </w:r>
          </w:p>
        </w:tc>
        <w:tc>
          <w:tcPr>
            <w:tcW w:w="1276" w:type="pct"/>
            <w:tcBorders>
              <w:top w:val="single" w:color="auto" w:sz="4" w:space="0"/>
              <w:left w:val="nil"/>
              <w:bottom w:val="single" w:color="auto" w:sz="4" w:space="0"/>
              <w:right w:val="single" w:color="auto" w:sz="4" w:space="0"/>
            </w:tcBorders>
            <w:vAlign w:val="center"/>
          </w:tcPr>
          <w:p w14:paraId="55925A5E">
            <w:pPr>
              <w:widowControl/>
              <w:jc w:val="center"/>
              <w:rPr>
                <w:rFonts w:cs="宋体"/>
                <w:b/>
                <w:bCs/>
                <w:color w:val="auto"/>
                <w:kern w:val="0"/>
                <w:sz w:val="22"/>
                <w:szCs w:val="22"/>
                <w:highlight w:val="none"/>
              </w:rPr>
            </w:pPr>
            <w:r>
              <w:rPr>
                <w:rFonts w:hint="eastAsia" w:cs="宋体"/>
                <w:b/>
                <w:bCs/>
                <w:color w:val="auto"/>
                <w:kern w:val="0"/>
                <w:sz w:val="22"/>
                <w:szCs w:val="22"/>
                <w:highlight w:val="none"/>
              </w:rPr>
              <w:t>单位</w:t>
            </w:r>
          </w:p>
        </w:tc>
      </w:tr>
      <w:tr w14:paraId="47EB9744">
        <w:tblPrEx>
          <w:tblCellMar>
            <w:top w:w="0" w:type="dxa"/>
            <w:left w:w="108" w:type="dxa"/>
            <w:bottom w:w="0" w:type="dxa"/>
            <w:right w:w="108" w:type="dxa"/>
          </w:tblCellMar>
        </w:tblPrEx>
        <w:trPr>
          <w:trHeight w:val="560" w:hRule="atLeast"/>
        </w:trPr>
        <w:tc>
          <w:tcPr>
            <w:tcW w:w="598" w:type="pct"/>
            <w:tcBorders>
              <w:top w:val="nil"/>
              <w:left w:val="single" w:color="auto" w:sz="4" w:space="0"/>
              <w:bottom w:val="single" w:color="auto" w:sz="4" w:space="0"/>
              <w:right w:val="single" w:color="auto" w:sz="4" w:space="0"/>
            </w:tcBorders>
            <w:vAlign w:val="center"/>
          </w:tcPr>
          <w:p w14:paraId="59E3A9A3">
            <w:pPr>
              <w:widowControl/>
              <w:jc w:val="center"/>
              <w:rPr>
                <w:rFonts w:cs="宋体"/>
                <w:color w:val="auto"/>
                <w:kern w:val="0"/>
                <w:sz w:val="22"/>
                <w:szCs w:val="22"/>
                <w:highlight w:val="none"/>
              </w:rPr>
            </w:pPr>
            <w:r>
              <w:rPr>
                <w:rFonts w:hint="eastAsia" w:cs="宋体"/>
                <w:color w:val="auto"/>
                <w:kern w:val="0"/>
                <w:sz w:val="22"/>
                <w:szCs w:val="22"/>
                <w:highlight w:val="none"/>
              </w:rPr>
              <w:t>1</w:t>
            </w:r>
          </w:p>
        </w:tc>
        <w:tc>
          <w:tcPr>
            <w:tcW w:w="2529" w:type="pct"/>
            <w:tcBorders>
              <w:top w:val="nil"/>
              <w:left w:val="nil"/>
              <w:bottom w:val="single" w:color="auto" w:sz="4" w:space="0"/>
              <w:right w:val="single" w:color="auto" w:sz="4" w:space="0"/>
            </w:tcBorders>
            <w:vAlign w:val="center"/>
          </w:tcPr>
          <w:p w14:paraId="0DEFABD5">
            <w:pPr>
              <w:widowControl/>
              <w:jc w:val="center"/>
              <w:rPr>
                <w:rFonts w:cs="宋体"/>
                <w:color w:val="auto"/>
                <w:kern w:val="0"/>
                <w:sz w:val="22"/>
                <w:szCs w:val="22"/>
                <w:highlight w:val="none"/>
              </w:rPr>
            </w:pPr>
            <w:r>
              <w:rPr>
                <w:rFonts w:hint="eastAsia" w:cs="宋体"/>
                <w:color w:val="auto"/>
                <w:kern w:val="0"/>
                <w:sz w:val="22"/>
                <w:szCs w:val="22"/>
                <w:highlight w:val="none"/>
              </w:rPr>
              <w:t>数据库服务</w:t>
            </w:r>
          </w:p>
        </w:tc>
        <w:tc>
          <w:tcPr>
            <w:tcW w:w="598" w:type="pct"/>
            <w:tcBorders>
              <w:top w:val="nil"/>
              <w:left w:val="nil"/>
              <w:bottom w:val="single" w:color="auto" w:sz="4" w:space="0"/>
              <w:right w:val="single" w:color="auto" w:sz="4" w:space="0"/>
            </w:tcBorders>
            <w:vAlign w:val="center"/>
          </w:tcPr>
          <w:p w14:paraId="3E9FC725">
            <w:pPr>
              <w:widowControl/>
              <w:jc w:val="center"/>
              <w:rPr>
                <w:rFonts w:cs="宋体"/>
                <w:color w:val="auto"/>
                <w:kern w:val="0"/>
                <w:sz w:val="22"/>
                <w:szCs w:val="22"/>
                <w:highlight w:val="none"/>
              </w:rPr>
            </w:pPr>
            <w:r>
              <w:rPr>
                <w:rFonts w:hint="eastAsia" w:cs="宋体"/>
                <w:color w:val="auto"/>
                <w:kern w:val="0"/>
                <w:sz w:val="22"/>
                <w:szCs w:val="22"/>
                <w:highlight w:val="none"/>
              </w:rPr>
              <w:t>8</w:t>
            </w:r>
          </w:p>
        </w:tc>
        <w:tc>
          <w:tcPr>
            <w:tcW w:w="1276" w:type="pct"/>
            <w:tcBorders>
              <w:top w:val="nil"/>
              <w:left w:val="nil"/>
              <w:bottom w:val="single" w:color="auto" w:sz="4" w:space="0"/>
              <w:right w:val="single" w:color="auto" w:sz="4" w:space="0"/>
            </w:tcBorders>
            <w:vAlign w:val="center"/>
          </w:tcPr>
          <w:p w14:paraId="12A7BC32">
            <w:pPr>
              <w:widowControl/>
              <w:jc w:val="center"/>
              <w:rPr>
                <w:rFonts w:cs="宋体"/>
                <w:color w:val="auto"/>
                <w:kern w:val="0"/>
                <w:sz w:val="22"/>
                <w:szCs w:val="22"/>
                <w:highlight w:val="none"/>
              </w:rPr>
            </w:pPr>
            <w:r>
              <w:rPr>
                <w:rFonts w:hint="eastAsia" w:cs="宋体"/>
                <w:color w:val="auto"/>
                <w:kern w:val="0"/>
                <w:sz w:val="22"/>
                <w:szCs w:val="22"/>
                <w:highlight w:val="none"/>
              </w:rPr>
              <w:t>套*年</w:t>
            </w:r>
          </w:p>
        </w:tc>
      </w:tr>
      <w:tr w14:paraId="24BED794">
        <w:tblPrEx>
          <w:tblCellMar>
            <w:top w:w="0" w:type="dxa"/>
            <w:left w:w="108" w:type="dxa"/>
            <w:bottom w:w="0" w:type="dxa"/>
            <w:right w:w="108" w:type="dxa"/>
          </w:tblCellMar>
        </w:tblPrEx>
        <w:trPr>
          <w:trHeight w:val="560" w:hRule="atLeast"/>
        </w:trPr>
        <w:tc>
          <w:tcPr>
            <w:tcW w:w="598" w:type="pct"/>
            <w:tcBorders>
              <w:top w:val="nil"/>
              <w:left w:val="single" w:color="auto" w:sz="4" w:space="0"/>
              <w:bottom w:val="single" w:color="auto" w:sz="4" w:space="0"/>
              <w:right w:val="single" w:color="auto" w:sz="4" w:space="0"/>
            </w:tcBorders>
            <w:vAlign w:val="center"/>
          </w:tcPr>
          <w:p w14:paraId="3416E206">
            <w:pPr>
              <w:widowControl/>
              <w:jc w:val="center"/>
              <w:rPr>
                <w:rFonts w:cs="宋体"/>
                <w:color w:val="auto"/>
                <w:kern w:val="0"/>
                <w:sz w:val="22"/>
                <w:szCs w:val="22"/>
                <w:highlight w:val="none"/>
              </w:rPr>
            </w:pPr>
            <w:r>
              <w:rPr>
                <w:rFonts w:hint="eastAsia" w:cs="宋体"/>
                <w:color w:val="auto"/>
                <w:kern w:val="0"/>
                <w:sz w:val="22"/>
                <w:szCs w:val="22"/>
                <w:highlight w:val="none"/>
              </w:rPr>
              <w:t>2</w:t>
            </w:r>
          </w:p>
        </w:tc>
        <w:tc>
          <w:tcPr>
            <w:tcW w:w="2529" w:type="pct"/>
            <w:tcBorders>
              <w:top w:val="nil"/>
              <w:left w:val="nil"/>
              <w:bottom w:val="single" w:color="auto" w:sz="4" w:space="0"/>
              <w:right w:val="single" w:color="auto" w:sz="4" w:space="0"/>
            </w:tcBorders>
            <w:vAlign w:val="center"/>
          </w:tcPr>
          <w:p w14:paraId="6CE9BD3E">
            <w:pPr>
              <w:widowControl/>
              <w:jc w:val="center"/>
              <w:rPr>
                <w:rFonts w:cs="宋体"/>
                <w:color w:val="auto"/>
                <w:kern w:val="0"/>
                <w:sz w:val="22"/>
                <w:szCs w:val="22"/>
                <w:highlight w:val="none"/>
              </w:rPr>
            </w:pPr>
            <w:r>
              <w:rPr>
                <w:rFonts w:hint="eastAsia" w:cs="宋体"/>
                <w:color w:val="auto"/>
                <w:kern w:val="0"/>
                <w:sz w:val="22"/>
                <w:szCs w:val="22"/>
                <w:highlight w:val="none"/>
              </w:rPr>
              <w:t>文字识别服务（OCR）</w:t>
            </w:r>
          </w:p>
        </w:tc>
        <w:tc>
          <w:tcPr>
            <w:tcW w:w="598" w:type="pct"/>
            <w:tcBorders>
              <w:top w:val="nil"/>
              <w:left w:val="nil"/>
              <w:bottom w:val="single" w:color="auto" w:sz="4" w:space="0"/>
              <w:right w:val="single" w:color="auto" w:sz="4" w:space="0"/>
            </w:tcBorders>
            <w:vAlign w:val="center"/>
          </w:tcPr>
          <w:p w14:paraId="5E0DF526">
            <w:pPr>
              <w:widowControl/>
              <w:jc w:val="center"/>
              <w:rPr>
                <w:rFonts w:cs="宋体"/>
                <w:color w:val="auto"/>
                <w:kern w:val="0"/>
                <w:sz w:val="22"/>
                <w:szCs w:val="22"/>
                <w:highlight w:val="none"/>
              </w:rPr>
            </w:pPr>
            <w:r>
              <w:rPr>
                <w:rFonts w:hint="eastAsia" w:cs="宋体"/>
                <w:color w:val="auto"/>
                <w:kern w:val="0"/>
                <w:sz w:val="22"/>
                <w:szCs w:val="22"/>
                <w:highlight w:val="none"/>
              </w:rPr>
              <w:t>2</w:t>
            </w:r>
          </w:p>
        </w:tc>
        <w:tc>
          <w:tcPr>
            <w:tcW w:w="1276" w:type="pct"/>
            <w:tcBorders>
              <w:top w:val="nil"/>
              <w:left w:val="nil"/>
              <w:bottom w:val="single" w:color="auto" w:sz="4" w:space="0"/>
              <w:right w:val="single" w:color="auto" w:sz="4" w:space="0"/>
            </w:tcBorders>
            <w:vAlign w:val="center"/>
          </w:tcPr>
          <w:p w14:paraId="588295EF">
            <w:pPr>
              <w:widowControl/>
              <w:jc w:val="center"/>
              <w:rPr>
                <w:rFonts w:cs="宋体"/>
                <w:color w:val="auto"/>
                <w:kern w:val="0"/>
                <w:sz w:val="22"/>
                <w:szCs w:val="22"/>
                <w:highlight w:val="none"/>
              </w:rPr>
            </w:pPr>
            <w:r>
              <w:rPr>
                <w:rFonts w:hint="eastAsia" w:cs="宋体"/>
                <w:color w:val="auto"/>
                <w:kern w:val="0"/>
                <w:sz w:val="22"/>
                <w:szCs w:val="22"/>
                <w:highlight w:val="none"/>
              </w:rPr>
              <w:t>QPS（每秒查询率）*年</w:t>
            </w:r>
          </w:p>
        </w:tc>
      </w:tr>
      <w:tr w14:paraId="0E9EE7AA">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486115DE">
            <w:pPr>
              <w:widowControl/>
              <w:jc w:val="center"/>
              <w:rPr>
                <w:rFonts w:cs="宋体"/>
                <w:color w:val="auto"/>
                <w:kern w:val="0"/>
                <w:sz w:val="22"/>
                <w:szCs w:val="22"/>
                <w:highlight w:val="none"/>
              </w:rPr>
            </w:pPr>
            <w:r>
              <w:rPr>
                <w:rFonts w:hint="eastAsia" w:cs="宋体"/>
                <w:color w:val="auto"/>
                <w:kern w:val="0"/>
                <w:sz w:val="22"/>
                <w:szCs w:val="22"/>
                <w:highlight w:val="none"/>
              </w:rPr>
              <w:t>3</w:t>
            </w:r>
          </w:p>
        </w:tc>
        <w:tc>
          <w:tcPr>
            <w:tcW w:w="2529" w:type="pct"/>
            <w:tcBorders>
              <w:top w:val="nil"/>
              <w:left w:val="nil"/>
              <w:bottom w:val="single" w:color="auto" w:sz="4" w:space="0"/>
              <w:right w:val="single" w:color="auto" w:sz="4" w:space="0"/>
            </w:tcBorders>
            <w:vAlign w:val="center"/>
          </w:tcPr>
          <w:p w14:paraId="4F90BBF7">
            <w:pPr>
              <w:widowControl/>
              <w:jc w:val="center"/>
              <w:rPr>
                <w:rFonts w:cs="宋体"/>
                <w:color w:val="auto"/>
                <w:kern w:val="0"/>
                <w:sz w:val="22"/>
                <w:szCs w:val="22"/>
                <w:highlight w:val="none"/>
              </w:rPr>
            </w:pPr>
            <w:r>
              <w:rPr>
                <w:rFonts w:hint="eastAsia" w:cs="宋体"/>
                <w:color w:val="auto"/>
                <w:kern w:val="0"/>
                <w:sz w:val="22"/>
                <w:szCs w:val="22"/>
                <w:highlight w:val="none"/>
              </w:rPr>
              <w:t>操作系统服务</w:t>
            </w:r>
          </w:p>
        </w:tc>
        <w:tc>
          <w:tcPr>
            <w:tcW w:w="598" w:type="pct"/>
            <w:tcBorders>
              <w:top w:val="nil"/>
              <w:left w:val="nil"/>
              <w:bottom w:val="single" w:color="auto" w:sz="4" w:space="0"/>
              <w:right w:val="single" w:color="auto" w:sz="4" w:space="0"/>
            </w:tcBorders>
            <w:vAlign w:val="center"/>
          </w:tcPr>
          <w:p w14:paraId="7E87D628">
            <w:pPr>
              <w:widowControl/>
              <w:jc w:val="center"/>
              <w:rPr>
                <w:rFonts w:cs="宋体"/>
                <w:color w:val="auto"/>
                <w:kern w:val="0"/>
                <w:sz w:val="22"/>
                <w:szCs w:val="22"/>
                <w:highlight w:val="none"/>
              </w:rPr>
            </w:pPr>
            <w:r>
              <w:rPr>
                <w:rFonts w:hint="eastAsia" w:cs="宋体"/>
                <w:color w:val="auto"/>
                <w:kern w:val="0"/>
                <w:sz w:val="22"/>
                <w:szCs w:val="22"/>
                <w:highlight w:val="none"/>
              </w:rPr>
              <w:t>35</w:t>
            </w:r>
          </w:p>
        </w:tc>
        <w:tc>
          <w:tcPr>
            <w:tcW w:w="1276" w:type="pct"/>
            <w:tcBorders>
              <w:top w:val="nil"/>
              <w:left w:val="nil"/>
              <w:bottom w:val="single" w:color="auto" w:sz="4" w:space="0"/>
              <w:right w:val="single" w:color="auto" w:sz="4" w:space="0"/>
            </w:tcBorders>
            <w:vAlign w:val="center"/>
          </w:tcPr>
          <w:p w14:paraId="3C2FBE28">
            <w:pPr>
              <w:widowControl/>
              <w:jc w:val="center"/>
              <w:rPr>
                <w:rFonts w:cs="宋体"/>
                <w:color w:val="auto"/>
                <w:kern w:val="0"/>
                <w:sz w:val="22"/>
                <w:szCs w:val="22"/>
                <w:highlight w:val="none"/>
              </w:rPr>
            </w:pPr>
            <w:r>
              <w:rPr>
                <w:rFonts w:hint="eastAsia" w:cs="宋体"/>
                <w:color w:val="auto"/>
                <w:kern w:val="0"/>
                <w:sz w:val="22"/>
                <w:szCs w:val="22"/>
                <w:highlight w:val="none"/>
              </w:rPr>
              <w:t>套*年</w:t>
            </w:r>
          </w:p>
        </w:tc>
      </w:tr>
      <w:tr w14:paraId="688FCB90">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012A2427">
            <w:pPr>
              <w:widowControl/>
              <w:jc w:val="center"/>
              <w:rPr>
                <w:rFonts w:cs="宋体"/>
                <w:color w:val="auto"/>
                <w:kern w:val="0"/>
                <w:sz w:val="22"/>
                <w:szCs w:val="22"/>
                <w:highlight w:val="none"/>
              </w:rPr>
            </w:pPr>
            <w:r>
              <w:rPr>
                <w:rFonts w:hint="eastAsia" w:cs="宋体"/>
                <w:color w:val="auto"/>
                <w:kern w:val="0"/>
                <w:sz w:val="22"/>
                <w:szCs w:val="22"/>
                <w:highlight w:val="none"/>
              </w:rPr>
              <w:t>4</w:t>
            </w:r>
          </w:p>
        </w:tc>
        <w:tc>
          <w:tcPr>
            <w:tcW w:w="2529" w:type="pct"/>
            <w:tcBorders>
              <w:top w:val="nil"/>
              <w:left w:val="nil"/>
              <w:bottom w:val="single" w:color="auto" w:sz="4" w:space="0"/>
              <w:right w:val="single" w:color="auto" w:sz="4" w:space="0"/>
            </w:tcBorders>
            <w:vAlign w:val="center"/>
          </w:tcPr>
          <w:p w14:paraId="48B992E8">
            <w:pPr>
              <w:widowControl/>
              <w:jc w:val="center"/>
              <w:rPr>
                <w:rFonts w:cs="宋体"/>
                <w:color w:val="auto"/>
                <w:kern w:val="0"/>
                <w:sz w:val="22"/>
                <w:szCs w:val="22"/>
                <w:highlight w:val="none"/>
              </w:rPr>
            </w:pPr>
            <w:r>
              <w:rPr>
                <w:rFonts w:hint="eastAsia" w:cs="宋体"/>
                <w:color w:val="auto"/>
                <w:kern w:val="0"/>
                <w:sz w:val="22"/>
                <w:szCs w:val="22"/>
                <w:highlight w:val="none"/>
              </w:rPr>
              <w:t>安全认证网关服务</w:t>
            </w:r>
          </w:p>
        </w:tc>
        <w:tc>
          <w:tcPr>
            <w:tcW w:w="598" w:type="pct"/>
            <w:tcBorders>
              <w:top w:val="nil"/>
              <w:left w:val="nil"/>
              <w:bottom w:val="single" w:color="auto" w:sz="4" w:space="0"/>
              <w:right w:val="single" w:color="auto" w:sz="4" w:space="0"/>
            </w:tcBorders>
            <w:vAlign w:val="center"/>
          </w:tcPr>
          <w:p w14:paraId="1245A49A">
            <w:pPr>
              <w:widowControl/>
              <w:jc w:val="center"/>
              <w:rPr>
                <w:rFonts w:cs="宋体"/>
                <w:color w:val="auto"/>
                <w:kern w:val="0"/>
                <w:sz w:val="22"/>
                <w:szCs w:val="22"/>
                <w:highlight w:val="none"/>
              </w:rPr>
            </w:pPr>
            <w:r>
              <w:rPr>
                <w:rFonts w:hint="eastAsia" w:cs="宋体"/>
                <w:color w:val="auto"/>
                <w:kern w:val="0"/>
                <w:sz w:val="22"/>
                <w:szCs w:val="22"/>
                <w:highlight w:val="none"/>
              </w:rPr>
              <w:t>4</w:t>
            </w:r>
          </w:p>
        </w:tc>
        <w:tc>
          <w:tcPr>
            <w:tcW w:w="1276" w:type="pct"/>
            <w:tcBorders>
              <w:top w:val="nil"/>
              <w:left w:val="nil"/>
              <w:bottom w:val="single" w:color="auto" w:sz="4" w:space="0"/>
              <w:right w:val="single" w:color="auto" w:sz="4" w:space="0"/>
            </w:tcBorders>
            <w:vAlign w:val="center"/>
          </w:tcPr>
          <w:p w14:paraId="14C8707B">
            <w:pPr>
              <w:widowControl/>
              <w:jc w:val="center"/>
              <w:rPr>
                <w:rFonts w:cs="宋体"/>
                <w:color w:val="auto"/>
                <w:kern w:val="0"/>
                <w:sz w:val="22"/>
                <w:szCs w:val="22"/>
                <w:highlight w:val="none"/>
              </w:rPr>
            </w:pPr>
            <w:r>
              <w:rPr>
                <w:rFonts w:hint="eastAsia" w:cs="宋体"/>
                <w:color w:val="auto"/>
                <w:kern w:val="0"/>
                <w:sz w:val="22"/>
                <w:szCs w:val="22"/>
                <w:highlight w:val="none"/>
              </w:rPr>
              <w:t>套*年</w:t>
            </w:r>
          </w:p>
        </w:tc>
      </w:tr>
      <w:tr w14:paraId="14D50B17">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6F814BF2">
            <w:pPr>
              <w:widowControl/>
              <w:jc w:val="center"/>
              <w:rPr>
                <w:rFonts w:cs="宋体"/>
                <w:color w:val="auto"/>
                <w:kern w:val="0"/>
                <w:sz w:val="22"/>
                <w:szCs w:val="22"/>
                <w:highlight w:val="none"/>
              </w:rPr>
            </w:pPr>
            <w:r>
              <w:rPr>
                <w:rFonts w:hint="eastAsia" w:cs="宋体"/>
                <w:color w:val="auto"/>
                <w:kern w:val="0"/>
                <w:sz w:val="22"/>
                <w:szCs w:val="22"/>
                <w:highlight w:val="none"/>
              </w:rPr>
              <w:t>5</w:t>
            </w:r>
          </w:p>
        </w:tc>
        <w:tc>
          <w:tcPr>
            <w:tcW w:w="2529" w:type="pct"/>
            <w:tcBorders>
              <w:top w:val="nil"/>
              <w:left w:val="nil"/>
              <w:bottom w:val="single" w:color="auto" w:sz="4" w:space="0"/>
              <w:right w:val="single" w:color="auto" w:sz="4" w:space="0"/>
            </w:tcBorders>
            <w:vAlign w:val="center"/>
          </w:tcPr>
          <w:p w14:paraId="4E4B6DB0">
            <w:pPr>
              <w:widowControl/>
              <w:jc w:val="center"/>
              <w:rPr>
                <w:rFonts w:cs="宋体"/>
                <w:color w:val="auto"/>
                <w:kern w:val="0"/>
                <w:sz w:val="22"/>
                <w:szCs w:val="22"/>
                <w:highlight w:val="none"/>
              </w:rPr>
            </w:pPr>
            <w:r>
              <w:rPr>
                <w:rFonts w:hint="eastAsia" w:cs="宋体"/>
                <w:color w:val="auto"/>
                <w:kern w:val="0"/>
                <w:sz w:val="22"/>
                <w:szCs w:val="22"/>
                <w:highlight w:val="none"/>
              </w:rPr>
              <w:t>签名验签服务</w:t>
            </w:r>
          </w:p>
        </w:tc>
        <w:tc>
          <w:tcPr>
            <w:tcW w:w="598" w:type="pct"/>
            <w:tcBorders>
              <w:top w:val="nil"/>
              <w:left w:val="nil"/>
              <w:bottom w:val="single" w:color="auto" w:sz="4" w:space="0"/>
              <w:right w:val="single" w:color="auto" w:sz="4" w:space="0"/>
            </w:tcBorders>
            <w:vAlign w:val="center"/>
          </w:tcPr>
          <w:p w14:paraId="3EBBCCA2">
            <w:pPr>
              <w:widowControl/>
              <w:jc w:val="center"/>
              <w:rPr>
                <w:rFonts w:cs="宋体"/>
                <w:color w:val="auto"/>
                <w:kern w:val="0"/>
                <w:sz w:val="22"/>
                <w:szCs w:val="22"/>
                <w:highlight w:val="none"/>
              </w:rPr>
            </w:pPr>
            <w:r>
              <w:rPr>
                <w:rFonts w:hint="eastAsia" w:cs="宋体"/>
                <w:color w:val="auto"/>
                <w:kern w:val="0"/>
                <w:sz w:val="22"/>
                <w:szCs w:val="22"/>
                <w:highlight w:val="none"/>
              </w:rPr>
              <w:t>2</w:t>
            </w:r>
          </w:p>
        </w:tc>
        <w:tc>
          <w:tcPr>
            <w:tcW w:w="1276" w:type="pct"/>
            <w:tcBorders>
              <w:top w:val="nil"/>
              <w:left w:val="nil"/>
              <w:bottom w:val="single" w:color="auto" w:sz="4" w:space="0"/>
              <w:right w:val="single" w:color="auto" w:sz="4" w:space="0"/>
            </w:tcBorders>
            <w:vAlign w:val="center"/>
          </w:tcPr>
          <w:p w14:paraId="45A63892">
            <w:pPr>
              <w:widowControl/>
              <w:jc w:val="center"/>
              <w:rPr>
                <w:rFonts w:cs="宋体"/>
                <w:color w:val="auto"/>
                <w:kern w:val="0"/>
                <w:sz w:val="22"/>
                <w:szCs w:val="22"/>
                <w:highlight w:val="none"/>
              </w:rPr>
            </w:pPr>
            <w:r>
              <w:rPr>
                <w:rFonts w:hint="eastAsia" w:cs="宋体"/>
                <w:color w:val="auto"/>
                <w:kern w:val="0"/>
                <w:sz w:val="22"/>
                <w:szCs w:val="22"/>
                <w:highlight w:val="none"/>
              </w:rPr>
              <w:t>套*年</w:t>
            </w:r>
          </w:p>
        </w:tc>
      </w:tr>
      <w:tr w14:paraId="2CDE7D1D">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4C1720DC">
            <w:pPr>
              <w:widowControl/>
              <w:jc w:val="center"/>
              <w:rPr>
                <w:rFonts w:cs="宋体"/>
                <w:color w:val="auto"/>
                <w:kern w:val="0"/>
                <w:sz w:val="22"/>
                <w:szCs w:val="22"/>
                <w:highlight w:val="none"/>
              </w:rPr>
            </w:pPr>
            <w:r>
              <w:rPr>
                <w:rFonts w:hint="eastAsia" w:cs="宋体"/>
                <w:color w:val="auto"/>
                <w:kern w:val="0"/>
                <w:sz w:val="22"/>
                <w:szCs w:val="22"/>
                <w:highlight w:val="none"/>
              </w:rPr>
              <w:t>6</w:t>
            </w:r>
          </w:p>
        </w:tc>
        <w:tc>
          <w:tcPr>
            <w:tcW w:w="2529" w:type="pct"/>
            <w:tcBorders>
              <w:top w:val="nil"/>
              <w:left w:val="nil"/>
              <w:bottom w:val="single" w:color="auto" w:sz="4" w:space="0"/>
              <w:right w:val="single" w:color="auto" w:sz="4" w:space="0"/>
            </w:tcBorders>
            <w:vAlign w:val="center"/>
          </w:tcPr>
          <w:p w14:paraId="2E5477E8">
            <w:pPr>
              <w:widowControl/>
              <w:jc w:val="center"/>
              <w:rPr>
                <w:rFonts w:cs="宋体"/>
                <w:color w:val="auto"/>
                <w:kern w:val="0"/>
                <w:sz w:val="22"/>
                <w:szCs w:val="22"/>
                <w:highlight w:val="none"/>
              </w:rPr>
            </w:pPr>
            <w:r>
              <w:rPr>
                <w:rFonts w:hint="eastAsia" w:cs="宋体"/>
                <w:color w:val="auto"/>
                <w:kern w:val="0"/>
                <w:sz w:val="22"/>
                <w:szCs w:val="22"/>
                <w:highlight w:val="none"/>
              </w:rPr>
              <w:t>时间戳服务</w:t>
            </w:r>
          </w:p>
        </w:tc>
        <w:tc>
          <w:tcPr>
            <w:tcW w:w="598" w:type="pct"/>
            <w:tcBorders>
              <w:top w:val="nil"/>
              <w:left w:val="nil"/>
              <w:bottom w:val="single" w:color="auto" w:sz="4" w:space="0"/>
              <w:right w:val="single" w:color="auto" w:sz="4" w:space="0"/>
            </w:tcBorders>
            <w:vAlign w:val="center"/>
          </w:tcPr>
          <w:p w14:paraId="7988CCE7">
            <w:pPr>
              <w:widowControl/>
              <w:jc w:val="center"/>
              <w:rPr>
                <w:rFonts w:cs="宋体"/>
                <w:color w:val="auto"/>
                <w:kern w:val="0"/>
                <w:sz w:val="22"/>
                <w:szCs w:val="22"/>
                <w:highlight w:val="none"/>
              </w:rPr>
            </w:pPr>
            <w:r>
              <w:rPr>
                <w:rFonts w:hint="eastAsia" w:cs="宋体"/>
                <w:color w:val="auto"/>
                <w:kern w:val="0"/>
                <w:sz w:val="22"/>
                <w:szCs w:val="22"/>
                <w:highlight w:val="none"/>
              </w:rPr>
              <w:t>1</w:t>
            </w:r>
          </w:p>
        </w:tc>
        <w:tc>
          <w:tcPr>
            <w:tcW w:w="1276" w:type="pct"/>
            <w:tcBorders>
              <w:top w:val="nil"/>
              <w:left w:val="nil"/>
              <w:bottom w:val="single" w:color="auto" w:sz="4" w:space="0"/>
              <w:right w:val="single" w:color="auto" w:sz="4" w:space="0"/>
            </w:tcBorders>
            <w:vAlign w:val="center"/>
          </w:tcPr>
          <w:p w14:paraId="1029C104">
            <w:pPr>
              <w:widowControl/>
              <w:jc w:val="center"/>
              <w:rPr>
                <w:rFonts w:cs="宋体"/>
                <w:color w:val="auto"/>
                <w:kern w:val="0"/>
                <w:sz w:val="22"/>
                <w:szCs w:val="22"/>
                <w:highlight w:val="none"/>
              </w:rPr>
            </w:pPr>
            <w:r>
              <w:rPr>
                <w:rFonts w:hint="eastAsia" w:cs="宋体"/>
                <w:color w:val="auto"/>
                <w:kern w:val="0"/>
                <w:sz w:val="22"/>
                <w:szCs w:val="22"/>
                <w:highlight w:val="none"/>
              </w:rPr>
              <w:t>套*年</w:t>
            </w:r>
          </w:p>
        </w:tc>
      </w:tr>
      <w:tr w14:paraId="7F5C2047">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6E728006">
            <w:pPr>
              <w:widowControl/>
              <w:jc w:val="center"/>
              <w:rPr>
                <w:rFonts w:cs="宋体"/>
                <w:color w:val="auto"/>
                <w:kern w:val="0"/>
                <w:sz w:val="22"/>
                <w:szCs w:val="22"/>
                <w:highlight w:val="none"/>
              </w:rPr>
            </w:pPr>
            <w:r>
              <w:rPr>
                <w:rFonts w:hint="eastAsia" w:cs="宋体"/>
                <w:color w:val="auto"/>
                <w:kern w:val="0"/>
                <w:sz w:val="22"/>
                <w:szCs w:val="22"/>
                <w:highlight w:val="none"/>
              </w:rPr>
              <w:t>7</w:t>
            </w:r>
          </w:p>
        </w:tc>
        <w:tc>
          <w:tcPr>
            <w:tcW w:w="2529" w:type="pct"/>
            <w:tcBorders>
              <w:top w:val="nil"/>
              <w:left w:val="nil"/>
              <w:bottom w:val="single" w:color="auto" w:sz="4" w:space="0"/>
              <w:right w:val="single" w:color="auto" w:sz="4" w:space="0"/>
            </w:tcBorders>
            <w:vAlign w:val="center"/>
          </w:tcPr>
          <w:p w14:paraId="39A652C0">
            <w:pPr>
              <w:widowControl/>
              <w:jc w:val="center"/>
              <w:rPr>
                <w:rFonts w:cs="宋体"/>
                <w:color w:val="auto"/>
                <w:kern w:val="0"/>
                <w:sz w:val="22"/>
                <w:szCs w:val="22"/>
                <w:highlight w:val="none"/>
              </w:rPr>
            </w:pPr>
            <w:r>
              <w:rPr>
                <w:rFonts w:hint="eastAsia" w:cs="宋体"/>
                <w:color w:val="auto"/>
                <w:kern w:val="0"/>
                <w:sz w:val="22"/>
                <w:szCs w:val="22"/>
                <w:highlight w:val="none"/>
              </w:rPr>
              <w:t>可信密码服务</w:t>
            </w:r>
          </w:p>
        </w:tc>
        <w:tc>
          <w:tcPr>
            <w:tcW w:w="598" w:type="pct"/>
            <w:tcBorders>
              <w:top w:val="nil"/>
              <w:left w:val="nil"/>
              <w:bottom w:val="single" w:color="auto" w:sz="4" w:space="0"/>
              <w:right w:val="single" w:color="auto" w:sz="4" w:space="0"/>
            </w:tcBorders>
            <w:vAlign w:val="center"/>
          </w:tcPr>
          <w:p w14:paraId="3CC1713B">
            <w:pPr>
              <w:widowControl/>
              <w:jc w:val="center"/>
              <w:rPr>
                <w:rFonts w:cs="宋体"/>
                <w:color w:val="auto"/>
                <w:kern w:val="0"/>
                <w:sz w:val="22"/>
                <w:szCs w:val="22"/>
                <w:highlight w:val="none"/>
              </w:rPr>
            </w:pPr>
            <w:r>
              <w:rPr>
                <w:rFonts w:hint="eastAsia" w:cs="宋体"/>
                <w:color w:val="auto"/>
                <w:kern w:val="0"/>
                <w:sz w:val="22"/>
                <w:szCs w:val="22"/>
                <w:highlight w:val="none"/>
              </w:rPr>
              <w:t>2</w:t>
            </w:r>
          </w:p>
        </w:tc>
        <w:tc>
          <w:tcPr>
            <w:tcW w:w="1276" w:type="pct"/>
            <w:tcBorders>
              <w:top w:val="nil"/>
              <w:left w:val="nil"/>
              <w:bottom w:val="single" w:color="auto" w:sz="4" w:space="0"/>
              <w:right w:val="single" w:color="auto" w:sz="4" w:space="0"/>
            </w:tcBorders>
            <w:vAlign w:val="center"/>
          </w:tcPr>
          <w:p w14:paraId="6421CA56">
            <w:pPr>
              <w:widowControl/>
              <w:jc w:val="center"/>
              <w:rPr>
                <w:rFonts w:cs="宋体"/>
                <w:color w:val="auto"/>
                <w:kern w:val="0"/>
                <w:sz w:val="22"/>
                <w:szCs w:val="22"/>
                <w:highlight w:val="none"/>
              </w:rPr>
            </w:pPr>
            <w:r>
              <w:rPr>
                <w:rFonts w:hint="eastAsia" w:cs="宋体"/>
                <w:color w:val="auto"/>
                <w:kern w:val="0"/>
                <w:sz w:val="22"/>
                <w:szCs w:val="22"/>
                <w:highlight w:val="none"/>
              </w:rPr>
              <w:t>应用*年</w:t>
            </w:r>
          </w:p>
        </w:tc>
      </w:tr>
      <w:tr w14:paraId="6EBAF65A">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0C4F383C">
            <w:pPr>
              <w:widowControl/>
              <w:jc w:val="center"/>
              <w:rPr>
                <w:rFonts w:cs="宋体"/>
                <w:color w:val="auto"/>
                <w:kern w:val="0"/>
                <w:sz w:val="22"/>
                <w:szCs w:val="22"/>
                <w:highlight w:val="none"/>
              </w:rPr>
            </w:pPr>
            <w:r>
              <w:rPr>
                <w:rFonts w:hint="eastAsia" w:cs="宋体"/>
                <w:color w:val="auto"/>
                <w:kern w:val="0"/>
                <w:sz w:val="22"/>
                <w:szCs w:val="22"/>
                <w:highlight w:val="none"/>
              </w:rPr>
              <w:t>8</w:t>
            </w:r>
          </w:p>
        </w:tc>
        <w:tc>
          <w:tcPr>
            <w:tcW w:w="2529" w:type="pct"/>
            <w:tcBorders>
              <w:top w:val="nil"/>
              <w:left w:val="nil"/>
              <w:bottom w:val="single" w:color="auto" w:sz="4" w:space="0"/>
              <w:right w:val="single" w:color="auto" w:sz="4" w:space="0"/>
            </w:tcBorders>
            <w:vAlign w:val="center"/>
          </w:tcPr>
          <w:p w14:paraId="562D13C3">
            <w:pPr>
              <w:widowControl/>
              <w:jc w:val="center"/>
              <w:rPr>
                <w:rFonts w:cs="宋体"/>
                <w:color w:val="auto"/>
                <w:kern w:val="0"/>
                <w:sz w:val="22"/>
                <w:szCs w:val="22"/>
                <w:highlight w:val="none"/>
              </w:rPr>
            </w:pPr>
            <w:r>
              <w:rPr>
                <w:rFonts w:hint="eastAsia" w:cs="宋体"/>
                <w:color w:val="auto"/>
                <w:kern w:val="0"/>
                <w:sz w:val="22"/>
                <w:szCs w:val="22"/>
                <w:highlight w:val="none"/>
              </w:rPr>
              <w:t>短信服务</w:t>
            </w:r>
          </w:p>
        </w:tc>
        <w:tc>
          <w:tcPr>
            <w:tcW w:w="598" w:type="pct"/>
            <w:tcBorders>
              <w:top w:val="nil"/>
              <w:left w:val="nil"/>
              <w:bottom w:val="single" w:color="auto" w:sz="4" w:space="0"/>
              <w:right w:val="single" w:color="auto" w:sz="4" w:space="0"/>
            </w:tcBorders>
            <w:vAlign w:val="center"/>
          </w:tcPr>
          <w:p w14:paraId="1A5C0200">
            <w:pPr>
              <w:widowControl/>
              <w:jc w:val="center"/>
              <w:rPr>
                <w:rFonts w:cs="宋体"/>
                <w:color w:val="auto"/>
                <w:kern w:val="0"/>
                <w:sz w:val="22"/>
                <w:szCs w:val="22"/>
                <w:highlight w:val="none"/>
              </w:rPr>
            </w:pPr>
            <w:r>
              <w:rPr>
                <w:rFonts w:hint="eastAsia" w:cs="宋体"/>
                <w:color w:val="auto"/>
                <w:kern w:val="0"/>
                <w:sz w:val="22"/>
                <w:szCs w:val="22"/>
                <w:highlight w:val="none"/>
              </w:rPr>
              <w:t>500000</w:t>
            </w:r>
          </w:p>
        </w:tc>
        <w:tc>
          <w:tcPr>
            <w:tcW w:w="1276" w:type="pct"/>
            <w:tcBorders>
              <w:top w:val="nil"/>
              <w:left w:val="nil"/>
              <w:bottom w:val="single" w:color="auto" w:sz="4" w:space="0"/>
              <w:right w:val="single" w:color="auto" w:sz="4" w:space="0"/>
            </w:tcBorders>
            <w:vAlign w:val="center"/>
          </w:tcPr>
          <w:p w14:paraId="56C56B87">
            <w:pPr>
              <w:widowControl/>
              <w:jc w:val="center"/>
              <w:rPr>
                <w:rFonts w:cs="宋体"/>
                <w:color w:val="auto"/>
                <w:kern w:val="0"/>
                <w:sz w:val="22"/>
                <w:szCs w:val="22"/>
                <w:highlight w:val="none"/>
              </w:rPr>
            </w:pPr>
            <w:r>
              <w:rPr>
                <w:rFonts w:hint="eastAsia" w:cs="宋体"/>
                <w:color w:val="auto"/>
                <w:kern w:val="0"/>
                <w:sz w:val="22"/>
                <w:szCs w:val="22"/>
                <w:highlight w:val="none"/>
              </w:rPr>
              <w:t>条</w:t>
            </w:r>
          </w:p>
        </w:tc>
      </w:tr>
      <w:tr w14:paraId="29A0A559">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1589D282">
            <w:pPr>
              <w:widowControl/>
              <w:jc w:val="center"/>
              <w:rPr>
                <w:rFonts w:cs="宋体"/>
                <w:color w:val="auto"/>
                <w:kern w:val="0"/>
                <w:sz w:val="22"/>
                <w:szCs w:val="22"/>
                <w:highlight w:val="none"/>
              </w:rPr>
            </w:pPr>
            <w:r>
              <w:rPr>
                <w:rFonts w:hint="eastAsia" w:cs="宋体"/>
                <w:color w:val="auto"/>
                <w:kern w:val="0"/>
                <w:sz w:val="22"/>
                <w:szCs w:val="22"/>
                <w:highlight w:val="none"/>
              </w:rPr>
              <w:t>9</w:t>
            </w:r>
          </w:p>
        </w:tc>
        <w:tc>
          <w:tcPr>
            <w:tcW w:w="2529" w:type="pct"/>
            <w:tcBorders>
              <w:top w:val="nil"/>
              <w:left w:val="nil"/>
              <w:bottom w:val="single" w:color="auto" w:sz="4" w:space="0"/>
              <w:right w:val="single" w:color="auto" w:sz="4" w:space="0"/>
            </w:tcBorders>
            <w:vAlign w:val="center"/>
          </w:tcPr>
          <w:p w14:paraId="635D89C9">
            <w:pPr>
              <w:widowControl/>
              <w:jc w:val="center"/>
              <w:rPr>
                <w:rFonts w:cs="宋体"/>
                <w:color w:val="auto"/>
                <w:kern w:val="0"/>
                <w:sz w:val="22"/>
                <w:szCs w:val="22"/>
                <w:highlight w:val="none"/>
              </w:rPr>
            </w:pPr>
            <w:r>
              <w:rPr>
                <w:rFonts w:hint="eastAsia" w:cs="宋体"/>
                <w:color w:val="auto"/>
                <w:kern w:val="0"/>
                <w:sz w:val="22"/>
                <w:szCs w:val="22"/>
                <w:highlight w:val="none"/>
              </w:rPr>
              <w:t>内存数据库服务（主从版）</w:t>
            </w:r>
          </w:p>
        </w:tc>
        <w:tc>
          <w:tcPr>
            <w:tcW w:w="598" w:type="pct"/>
            <w:tcBorders>
              <w:top w:val="nil"/>
              <w:left w:val="nil"/>
              <w:bottom w:val="single" w:color="auto" w:sz="4" w:space="0"/>
              <w:right w:val="single" w:color="auto" w:sz="4" w:space="0"/>
            </w:tcBorders>
            <w:vAlign w:val="center"/>
          </w:tcPr>
          <w:p w14:paraId="167BC594">
            <w:pPr>
              <w:widowControl/>
              <w:jc w:val="center"/>
              <w:rPr>
                <w:rFonts w:cs="宋体"/>
                <w:color w:val="auto"/>
                <w:kern w:val="0"/>
                <w:sz w:val="22"/>
                <w:szCs w:val="22"/>
                <w:highlight w:val="none"/>
              </w:rPr>
            </w:pPr>
            <w:r>
              <w:rPr>
                <w:rFonts w:hint="eastAsia" w:cs="宋体"/>
                <w:color w:val="auto"/>
                <w:kern w:val="0"/>
                <w:sz w:val="22"/>
                <w:szCs w:val="22"/>
                <w:highlight w:val="none"/>
              </w:rPr>
              <w:t>1</w:t>
            </w:r>
          </w:p>
        </w:tc>
        <w:tc>
          <w:tcPr>
            <w:tcW w:w="1276" w:type="pct"/>
            <w:tcBorders>
              <w:top w:val="nil"/>
              <w:left w:val="nil"/>
              <w:bottom w:val="single" w:color="auto" w:sz="4" w:space="0"/>
              <w:right w:val="single" w:color="auto" w:sz="4" w:space="0"/>
            </w:tcBorders>
            <w:vAlign w:val="center"/>
          </w:tcPr>
          <w:p w14:paraId="25578546">
            <w:pPr>
              <w:widowControl/>
              <w:jc w:val="center"/>
              <w:rPr>
                <w:rFonts w:cs="宋体"/>
                <w:color w:val="auto"/>
                <w:kern w:val="0"/>
                <w:sz w:val="22"/>
                <w:szCs w:val="22"/>
                <w:highlight w:val="none"/>
              </w:rPr>
            </w:pPr>
            <w:r>
              <w:rPr>
                <w:rFonts w:hint="eastAsia" w:cs="宋体"/>
                <w:color w:val="auto"/>
                <w:kern w:val="0"/>
                <w:sz w:val="22"/>
                <w:szCs w:val="22"/>
                <w:highlight w:val="none"/>
              </w:rPr>
              <w:t>实例</w:t>
            </w:r>
          </w:p>
        </w:tc>
      </w:tr>
      <w:tr w14:paraId="3EFC3788">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12F415C9">
            <w:pPr>
              <w:widowControl/>
              <w:jc w:val="center"/>
              <w:rPr>
                <w:rFonts w:cs="宋体"/>
                <w:color w:val="auto"/>
                <w:kern w:val="0"/>
                <w:sz w:val="22"/>
                <w:szCs w:val="22"/>
                <w:highlight w:val="none"/>
              </w:rPr>
            </w:pPr>
            <w:r>
              <w:rPr>
                <w:rFonts w:hint="eastAsia" w:cs="宋体"/>
                <w:color w:val="auto"/>
                <w:kern w:val="0"/>
                <w:sz w:val="22"/>
                <w:szCs w:val="22"/>
                <w:highlight w:val="none"/>
              </w:rPr>
              <w:t>10</w:t>
            </w:r>
          </w:p>
        </w:tc>
        <w:tc>
          <w:tcPr>
            <w:tcW w:w="2529" w:type="pct"/>
            <w:tcBorders>
              <w:top w:val="nil"/>
              <w:left w:val="nil"/>
              <w:bottom w:val="single" w:color="auto" w:sz="4" w:space="0"/>
              <w:right w:val="single" w:color="auto" w:sz="4" w:space="0"/>
            </w:tcBorders>
            <w:vAlign w:val="center"/>
          </w:tcPr>
          <w:p w14:paraId="38F47A51">
            <w:pPr>
              <w:widowControl/>
              <w:jc w:val="center"/>
              <w:rPr>
                <w:rFonts w:cs="宋体"/>
                <w:color w:val="auto"/>
                <w:kern w:val="0"/>
                <w:sz w:val="22"/>
                <w:szCs w:val="22"/>
                <w:highlight w:val="none"/>
              </w:rPr>
            </w:pPr>
            <w:r>
              <w:rPr>
                <w:rFonts w:hint="eastAsia" w:cs="宋体"/>
                <w:color w:val="auto"/>
                <w:kern w:val="0"/>
                <w:sz w:val="22"/>
                <w:szCs w:val="22"/>
                <w:highlight w:val="none"/>
              </w:rPr>
              <w:t>大数据离线计算服务</w:t>
            </w:r>
          </w:p>
        </w:tc>
        <w:tc>
          <w:tcPr>
            <w:tcW w:w="598" w:type="pct"/>
            <w:tcBorders>
              <w:top w:val="nil"/>
              <w:left w:val="nil"/>
              <w:bottom w:val="single" w:color="auto" w:sz="4" w:space="0"/>
              <w:right w:val="single" w:color="auto" w:sz="4" w:space="0"/>
            </w:tcBorders>
            <w:vAlign w:val="center"/>
          </w:tcPr>
          <w:p w14:paraId="1605350B">
            <w:pPr>
              <w:widowControl/>
              <w:jc w:val="center"/>
              <w:rPr>
                <w:rFonts w:cs="宋体"/>
                <w:color w:val="auto"/>
                <w:kern w:val="0"/>
                <w:sz w:val="22"/>
                <w:szCs w:val="22"/>
                <w:highlight w:val="none"/>
              </w:rPr>
            </w:pPr>
            <w:r>
              <w:rPr>
                <w:rFonts w:hint="eastAsia" w:cs="宋体"/>
                <w:color w:val="auto"/>
                <w:kern w:val="0"/>
                <w:sz w:val="22"/>
                <w:szCs w:val="22"/>
                <w:highlight w:val="none"/>
              </w:rPr>
              <w:t>1</w:t>
            </w:r>
          </w:p>
        </w:tc>
        <w:tc>
          <w:tcPr>
            <w:tcW w:w="1276" w:type="pct"/>
            <w:tcBorders>
              <w:top w:val="nil"/>
              <w:left w:val="nil"/>
              <w:bottom w:val="single" w:color="auto" w:sz="4" w:space="0"/>
              <w:right w:val="single" w:color="auto" w:sz="4" w:space="0"/>
            </w:tcBorders>
            <w:vAlign w:val="center"/>
          </w:tcPr>
          <w:p w14:paraId="60D0A2A3">
            <w:pPr>
              <w:widowControl/>
              <w:jc w:val="center"/>
              <w:rPr>
                <w:rFonts w:cs="宋体"/>
                <w:color w:val="auto"/>
                <w:kern w:val="0"/>
                <w:sz w:val="22"/>
                <w:szCs w:val="22"/>
                <w:highlight w:val="none"/>
              </w:rPr>
            </w:pPr>
            <w:r>
              <w:rPr>
                <w:rFonts w:hint="eastAsia" w:cs="宋体"/>
                <w:color w:val="auto"/>
                <w:kern w:val="0"/>
                <w:sz w:val="22"/>
                <w:szCs w:val="22"/>
                <w:highlight w:val="none"/>
              </w:rPr>
              <w:t>实例</w:t>
            </w:r>
          </w:p>
        </w:tc>
      </w:tr>
      <w:tr w14:paraId="20ADA8CA">
        <w:tblPrEx>
          <w:tblCellMar>
            <w:top w:w="0" w:type="dxa"/>
            <w:left w:w="108" w:type="dxa"/>
            <w:bottom w:w="0" w:type="dxa"/>
            <w:right w:w="108" w:type="dxa"/>
          </w:tblCellMar>
        </w:tblPrEx>
        <w:trPr>
          <w:trHeight w:val="280" w:hRule="atLeast"/>
        </w:trPr>
        <w:tc>
          <w:tcPr>
            <w:tcW w:w="598" w:type="pct"/>
            <w:tcBorders>
              <w:top w:val="nil"/>
              <w:left w:val="single" w:color="auto" w:sz="4" w:space="0"/>
              <w:bottom w:val="single" w:color="auto" w:sz="4" w:space="0"/>
              <w:right w:val="single" w:color="auto" w:sz="4" w:space="0"/>
            </w:tcBorders>
            <w:vAlign w:val="center"/>
          </w:tcPr>
          <w:p w14:paraId="6CEB40F5">
            <w:pPr>
              <w:widowControl/>
              <w:jc w:val="center"/>
              <w:rPr>
                <w:rFonts w:cs="宋体"/>
                <w:color w:val="auto"/>
                <w:kern w:val="0"/>
                <w:sz w:val="22"/>
                <w:szCs w:val="22"/>
                <w:highlight w:val="none"/>
              </w:rPr>
            </w:pPr>
            <w:r>
              <w:rPr>
                <w:rFonts w:hint="eastAsia" w:cs="宋体"/>
                <w:color w:val="auto"/>
                <w:kern w:val="0"/>
                <w:sz w:val="22"/>
                <w:szCs w:val="22"/>
                <w:highlight w:val="none"/>
              </w:rPr>
              <w:t>11</w:t>
            </w:r>
          </w:p>
        </w:tc>
        <w:tc>
          <w:tcPr>
            <w:tcW w:w="2529" w:type="pct"/>
            <w:tcBorders>
              <w:top w:val="nil"/>
              <w:left w:val="nil"/>
              <w:bottom w:val="single" w:color="auto" w:sz="4" w:space="0"/>
              <w:right w:val="single" w:color="auto" w:sz="4" w:space="0"/>
            </w:tcBorders>
            <w:vAlign w:val="center"/>
          </w:tcPr>
          <w:p w14:paraId="1827EE11">
            <w:pPr>
              <w:widowControl/>
              <w:jc w:val="center"/>
              <w:rPr>
                <w:rFonts w:cs="宋体"/>
                <w:color w:val="auto"/>
                <w:kern w:val="0"/>
                <w:sz w:val="22"/>
                <w:szCs w:val="22"/>
                <w:highlight w:val="none"/>
              </w:rPr>
            </w:pPr>
            <w:r>
              <w:rPr>
                <w:rFonts w:hint="eastAsia" w:cs="宋体"/>
                <w:color w:val="auto"/>
                <w:kern w:val="0"/>
                <w:sz w:val="22"/>
                <w:szCs w:val="22"/>
                <w:highlight w:val="none"/>
              </w:rPr>
              <w:t>中间件</w:t>
            </w:r>
          </w:p>
        </w:tc>
        <w:tc>
          <w:tcPr>
            <w:tcW w:w="598" w:type="pct"/>
            <w:tcBorders>
              <w:top w:val="nil"/>
              <w:left w:val="nil"/>
              <w:bottom w:val="single" w:color="auto" w:sz="4" w:space="0"/>
              <w:right w:val="single" w:color="auto" w:sz="4" w:space="0"/>
            </w:tcBorders>
            <w:vAlign w:val="center"/>
          </w:tcPr>
          <w:p w14:paraId="4EE4CDC7">
            <w:pPr>
              <w:widowControl/>
              <w:jc w:val="center"/>
              <w:rPr>
                <w:rFonts w:cs="宋体"/>
                <w:color w:val="auto"/>
                <w:kern w:val="0"/>
                <w:sz w:val="22"/>
                <w:szCs w:val="22"/>
                <w:highlight w:val="none"/>
              </w:rPr>
            </w:pPr>
            <w:r>
              <w:rPr>
                <w:rFonts w:hint="eastAsia" w:cs="宋体"/>
                <w:color w:val="auto"/>
                <w:kern w:val="0"/>
                <w:sz w:val="22"/>
                <w:szCs w:val="22"/>
                <w:highlight w:val="none"/>
              </w:rPr>
              <w:t>17</w:t>
            </w:r>
          </w:p>
        </w:tc>
        <w:tc>
          <w:tcPr>
            <w:tcW w:w="1276" w:type="pct"/>
            <w:tcBorders>
              <w:top w:val="nil"/>
              <w:left w:val="nil"/>
              <w:bottom w:val="single" w:color="auto" w:sz="4" w:space="0"/>
              <w:right w:val="single" w:color="auto" w:sz="4" w:space="0"/>
            </w:tcBorders>
            <w:vAlign w:val="center"/>
          </w:tcPr>
          <w:p w14:paraId="3AB72FB3">
            <w:pPr>
              <w:widowControl/>
              <w:jc w:val="center"/>
              <w:rPr>
                <w:rFonts w:cs="宋体"/>
                <w:color w:val="auto"/>
                <w:kern w:val="0"/>
                <w:sz w:val="22"/>
                <w:szCs w:val="22"/>
                <w:highlight w:val="none"/>
              </w:rPr>
            </w:pPr>
            <w:r>
              <w:rPr>
                <w:rFonts w:hint="eastAsia" w:cs="宋体"/>
                <w:color w:val="auto"/>
                <w:kern w:val="0"/>
                <w:sz w:val="22"/>
                <w:szCs w:val="22"/>
                <w:highlight w:val="none"/>
              </w:rPr>
              <w:t>套*年</w:t>
            </w:r>
          </w:p>
        </w:tc>
      </w:tr>
    </w:tbl>
    <w:p w14:paraId="56C08C93">
      <w:pPr>
        <w:pStyle w:val="3"/>
        <w:rPr>
          <w:color w:val="auto"/>
          <w:highlight w:val="none"/>
        </w:rPr>
      </w:pPr>
      <w:r>
        <w:rPr>
          <w:rFonts w:hint="eastAsia"/>
          <w:color w:val="auto"/>
          <w:highlight w:val="none"/>
        </w:rPr>
        <w:t>GPU</w:t>
      </w:r>
      <w:r>
        <w:rPr>
          <w:color w:val="auto"/>
          <w:highlight w:val="none"/>
        </w:rPr>
        <w:t>资源</w:t>
      </w:r>
      <w:r>
        <w:rPr>
          <w:rFonts w:hint="eastAsia"/>
          <w:color w:val="auto"/>
          <w:highlight w:val="none"/>
        </w:rPr>
        <w:t>（两包件共用）</w:t>
      </w:r>
    </w:p>
    <w:tbl>
      <w:tblPr>
        <w:tblStyle w:val="11"/>
        <w:tblW w:w="5000" w:type="pct"/>
        <w:tblInd w:w="0" w:type="dxa"/>
        <w:tblLayout w:type="autofit"/>
        <w:tblCellMar>
          <w:top w:w="0" w:type="dxa"/>
          <w:left w:w="108" w:type="dxa"/>
          <w:bottom w:w="0" w:type="dxa"/>
          <w:right w:w="108" w:type="dxa"/>
        </w:tblCellMar>
      </w:tblPr>
      <w:tblGrid>
        <w:gridCol w:w="851"/>
        <w:gridCol w:w="1317"/>
        <w:gridCol w:w="4444"/>
        <w:gridCol w:w="1916"/>
      </w:tblGrid>
      <w:tr w14:paraId="23A8C3B6">
        <w:tblPrEx>
          <w:tblCellMar>
            <w:top w:w="0" w:type="dxa"/>
            <w:left w:w="108" w:type="dxa"/>
            <w:bottom w:w="0" w:type="dxa"/>
            <w:right w:w="108" w:type="dxa"/>
          </w:tblCellMar>
        </w:tblPrEx>
        <w:trPr>
          <w:trHeight w:val="280" w:hRule="atLeast"/>
        </w:trPr>
        <w:tc>
          <w:tcPr>
            <w:tcW w:w="499" w:type="pct"/>
            <w:tcBorders>
              <w:top w:val="single" w:color="auto" w:sz="4" w:space="0"/>
              <w:left w:val="single" w:color="auto" w:sz="4" w:space="0"/>
              <w:bottom w:val="single" w:color="auto" w:sz="4" w:space="0"/>
              <w:right w:val="single" w:color="auto" w:sz="4" w:space="0"/>
            </w:tcBorders>
            <w:vAlign w:val="center"/>
          </w:tcPr>
          <w:p w14:paraId="173A5BE5">
            <w:pPr>
              <w:widowControl/>
              <w:jc w:val="center"/>
              <w:rPr>
                <w:rFonts w:cs="宋体"/>
                <w:b/>
                <w:bCs/>
                <w:color w:val="auto"/>
                <w:kern w:val="0"/>
                <w:sz w:val="22"/>
                <w:szCs w:val="22"/>
                <w:highlight w:val="none"/>
              </w:rPr>
            </w:pPr>
            <w:r>
              <w:rPr>
                <w:rFonts w:hint="eastAsia" w:cs="宋体"/>
                <w:b/>
                <w:bCs/>
                <w:color w:val="auto"/>
                <w:kern w:val="0"/>
                <w:sz w:val="22"/>
                <w:szCs w:val="22"/>
                <w:highlight w:val="none"/>
              </w:rPr>
              <w:t>序号</w:t>
            </w:r>
          </w:p>
        </w:tc>
        <w:tc>
          <w:tcPr>
            <w:tcW w:w="772" w:type="pct"/>
            <w:tcBorders>
              <w:top w:val="single" w:color="auto" w:sz="4" w:space="0"/>
              <w:left w:val="nil"/>
              <w:bottom w:val="single" w:color="auto" w:sz="4" w:space="0"/>
              <w:right w:val="single" w:color="auto" w:sz="4" w:space="0"/>
            </w:tcBorders>
            <w:noWrap/>
            <w:vAlign w:val="center"/>
          </w:tcPr>
          <w:p w14:paraId="34E412D8">
            <w:pPr>
              <w:widowControl/>
              <w:jc w:val="center"/>
              <w:rPr>
                <w:rFonts w:cs="宋体"/>
                <w:b/>
                <w:bCs/>
                <w:color w:val="auto"/>
                <w:kern w:val="0"/>
                <w:sz w:val="22"/>
                <w:szCs w:val="22"/>
                <w:highlight w:val="none"/>
              </w:rPr>
            </w:pPr>
            <w:r>
              <w:rPr>
                <w:rFonts w:hint="eastAsia" w:cs="宋体"/>
                <w:b/>
                <w:bCs/>
                <w:color w:val="auto"/>
                <w:kern w:val="0"/>
                <w:sz w:val="22"/>
                <w:szCs w:val="22"/>
                <w:highlight w:val="none"/>
              </w:rPr>
              <w:t>GPU类型</w:t>
            </w:r>
          </w:p>
        </w:tc>
        <w:tc>
          <w:tcPr>
            <w:tcW w:w="2605" w:type="pct"/>
            <w:tcBorders>
              <w:top w:val="single" w:color="auto" w:sz="4" w:space="0"/>
              <w:left w:val="nil"/>
              <w:bottom w:val="single" w:color="auto" w:sz="4" w:space="0"/>
              <w:right w:val="single" w:color="auto" w:sz="4" w:space="0"/>
            </w:tcBorders>
            <w:vAlign w:val="center"/>
          </w:tcPr>
          <w:p w14:paraId="2CB3BA38">
            <w:pPr>
              <w:widowControl/>
              <w:jc w:val="center"/>
              <w:rPr>
                <w:rFonts w:cs="宋体"/>
                <w:b/>
                <w:bCs/>
                <w:color w:val="auto"/>
                <w:kern w:val="0"/>
                <w:sz w:val="22"/>
                <w:szCs w:val="22"/>
                <w:highlight w:val="none"/>
              </w:rPr>
            </w:pPr>
            <w:r>
              <w:rPr>
                <w:rFonts w:hint="eastAsia" w:cs="宋体"/>
                <w:b/>
                <w:bCs/>
                <w:color w:val="auto"/>
                <w:kern w:val="0"/>
                <w:sz w:val="22"/>
                <w:szCs w:val="22"/>
                <w:highlight w:val="none"/>
              </w:rPr>
              <w:t>资源说明（填写GPU型号）</w:t>
            </w:r>
          </w:p>
        </w:tc>
        <w:tc>
          <w:tcPr>
            <w:tcW w:w="1123" w:type="pct"/>
            <w:tcBorders>
              <w:top w:val="single" w:color="auto" w:sz="4" w:space="0"/>
              <w:left w:val="nil"/>
              <w:bottom w:val="single" w:color="auto" w:sz="4" w:space="0"/>
              <w:right w:val="single" w:color="auto" w:sz="4" w:space="0"/>
            </w:tcBorders>
            <w:noWrap/>
            <w:vAlign w:val="center"/>
          </w:tcPr>
          <w:p w14:paraId="05FBB058">
            <w:pPr>
              <w:widowControl/>
              <w:jc w:val="center"/>
              <w:rPr>
                <w:rFonts w:cs="宋体"/>
                <w:b/>
                <w:bCs/>
                <w:color w:val="auto"/>
                <w:kern w:val="0"/>
                <w:sz w:val="22"/>
                <w:szCs w:val="22"/>
                <w:highlight w:val="none"/>
              </w:rPr>
            </w:pPr>
            <w:r>
              <w:rPr>
                <w:rFonts w:hint="eastAsia" w:cs="宋体"/>
                <w:b/>
                <w:bCs/>
                <w:color w:val="auto"/>
                <w:kern w:val="0"/>
                <w:sz w:val="22"/>
                <w:szCs w:val="22"/>
                <w:highlight w:val="none"/>
              </w:rPr>
              <w:t>核定数量</w:t>
            </w:r>
          </w:p>
        </w:tc>
      </w:tr>
      <w:tr w14:paraId="218E4AEF">
        <w:tblPrEx>
          <w:tblCellMar>
            <w:top w:w="0" w:type="dxa"/>
            <w:left w:w="108" w:type="dxa"/>
            <w:bottom w:w="0" w:type="dxa"/>
            <w:right w:w="108" w:type="dxa"/>
          </w:tblCellMar>
        </w:tblPrEx>
        <w:trPr>
          <w:trHeight w:val="280" w:hRule="atLeast"/>
        </w:trPr>
        <w:tc>
          <w:tcPr>
            <w:tcW w:w="499" w:type="pct"/>
            <w:tcBorders>
              <w:top w:val="nil"/>
              <w:left w:val="single" w:color="auto" w:sz="4" w:space="0"/>
              <w:bottom w:val="single" w:color="auto" w:sz="4" w:space="0"/>
              <w:right w:val="single" w:color="auto" w:sz="4" w:space="0"/>
            </w:tcBorders>
            <w:vAlign w:val="center"/>
          </w:tcPr>
          <w:p w14:paraId="1C68E93F">
            <w:pPr>
              <w:widowControl/>
              <w:jc w:val="center"/>
              <w:rPr>
                <w:rFonts w:cs="宋体"/>
                <w:color w:val="auto"/>
                <w:kern w:val="0"/>
                <w:sz w:val="22"/>
                <w:szCs w:val="22"/>
                <w:highlight w:val="none"/>
              </w:rPr>
            </w:pPr>
            <w:r>
              <w:rPr>
                <w:rFonts w:hint="eastAsia" w:cs="宋体"/>
                <w:color w:val="auto"/>
                <w:kern w:val="0"/>
                <w:sz w:val="22"/>
                <w:szCs w:val="22"/>
                <w:highlight w:val="none"/>
              </w:rPr>
              <w:t>1</w:t>
            </w:r>
          </w:p>
        </w:tc>
        <w:tc>
          <w:tcPr>
            <w:tcW w:w="772" w:type="pct"/>
            <w:tcBorders>
              <w:top w:val="nil"/>
              <w:left w:val="nil"/>
              <w:bottom w:val="single" w:color="auto" w:sz="4" w:space="0"/>
              <w:right w:val="single" w:color="auto" w:sz="4" w:space="0"/>
            </w:tcBorders>
            <w:vAlign w:val="center"/>
          </w:tcPr>
          <w:p w14:paraId="7FC8DE57">
            <w:pPr>
              <w:widowControl/>
              <w:jc w:val="center"/>
              <w:rPr>
                <w:rFonts w:cs="宋体"/>
                <w:color w:val="auto"/>
                <w:kern w:val="0"/>
                <w:sz w:val="22"/>
                <w:szCs w:val="22"/>
                <w:highlight w:val="none"/>
              </w:rPr>
            </w:pPr>
            <w:r>
              <w:rPr>
                <w:rFonts w:hint="eastAsia" w:cs="宋体"/>
                <w:color w:val="auto"/>
                <w:kern w:val="0"/>
                <w:sz w:val="22"/>
                <w:szCs w:val="22"/>
                <w:highlight w:val="none"/>
              </w:rPr>
              <w:t>推理GPU</w:t>
            </w:r>
          </w:p>
        </w:tc>
        <w:tc>
          <w:tcPr>
            <w:tcW w:w="2605" w:type="pct"/>
            <w:tcBorders>
              <w:top w:val="nil"/>
              <w:left w:val="nil"/>
              <w:bottom w:val="single" w:color="auto" w:sz="4" w:space="0"/>
              <w:right w:val="single" w:color="auto" w:sz="4" w:space="0"/>
            </w:tcBorders>
            <w:vAlign w:val="center"/>
          </w:tcPr>
          <w:p w14:paraId="5806A23F">
            <w:pPr>
              <w:widowControl/>
              <w:jc w:val="center"/>
              <w:rPr>
                <w:rFonts w:cs="宋体"/>
                <w:color w:val="auto"/>
                <w:kern w:val="0"/>
                <w:sz w:val="22"/>
                <w:szCs w:val="22"/>
                <w:highlight w:val="none"/>
              </w:rPr>
            </w:pPr>
            <w:r>
              <w:rPr>
                <w:rFonts w:hint="eastAsia" w:cs="宋体"/>
                <w:color w:val="auto"/>
                <w:kern w:val="0"/>
                <w:sz w:val="22"/>
                <w:szCs w:val="22"/>
                <w:highlight w:val="none"/>
              </w:rPr>
              <w:t>单卡24G显存</w:t>
            </w:r>
          </w:p>
        </w:tc>
        <w:tc>
          <w:tcPr>
            <w:tcW w:w="1123" w:type="pct"/>
            <w:tcBorders>
              <w:top w:val="nil"/>
              <w:left w:val="nil"/>
              <w:bottom w:val="single" w:color="auto" w:sz="4" w:space="0"/>
              <w:right w:val="single" w:color="auto" w:sz="4" w:space="0"/>
            </w:tcBorders>
            <w:vAlign w:val="center"/>
          </w:tcPr>
          <w:p w14:paraId="118B216F">
            <w:pPr>
              <w:widowControl/>
              <w:jc w:val="center"/>
              <w:rPr>
                <w:rFonts w:cs="宋体"/>
                <w:color w:val="auto"/>
                <w:kern w:val="0"/>
                <w:sz w:val="22"/>
                <w:szCs w:val="22"/>
                <w:highlight w:val="none"/>
              </w:rPr>
            </w:pPr>
            <w:r>
              <w:rPr>
                <w:rFonts w:hint="eastAsia" w:cs="宋体"/>
                <w:color w:val="auto"/>
                <w:kern w:val="0"/>
                <w:sz w:val="22"/>
                <w:szCs w:val="22"/>
                <w:highlight w:val="none"/>
              </w:rPr>
              <w:t>8</w:t>
            </w:r>
          </w:p>
        </w:tc>
      </w:tr>
    </w:tbl>
    <w:p w14:paraId="02B7DADA">
      <w:pPr>
        <w:spacing w:line="360" w:lineRule="auto"/>
        <w:ind w:firstLine="480" w:firstLineChars="200"/>
        <w:rPr>
          <w:color w:val="auto"/>
          <w:highlight w:val="none"/>
        </w:rPr>
      </w:pPr>
      <w:r>
        <w:rPr>
          <w:rFonts w:hint="eastAsia"/>
          <w:color w:val="auto"/>
          <w:highlight w:val="none"/>
        </w:rPr>
        <w:t>注：具体电子政务云计算资源以实际提供为准。</w:t>
      </w:r>
    </w:p>
    <w:p w14:paraId="734632A4">
      <w:pPr>
        <w:pStyle w:val="2"/>
        <w:rPr>
          <w:color w:val="auto"/>
          <w:highlight w:val="none"/>
        </w:rPr>
      </w:pPr>
      <w:r>
        <w:rPr>
          <w:rFonts w:hint="eastAsia"/>
          <w:color w:val="auto"/>
          <w:highlight w:val="none"/>
        </w:rPr>
        <w:t>其他工作要求</w:t>
      </w:r>
      <w:bookmarkEnd w:id="15"/>
      <w:bookmarkStart w:id="18" w:name="_Toc62209488"/>
      <w:bookmarkEnd w:id="18"/>
      <w:bookmarkStart w:id="19" w:name="_Toc63151871"/>
      <w:bookmarkEnd w:id="19"/>
      <w:bookmarkStart w:id="20" w:name="_Toc63585480"/>
      <w:bookmarkEnd w:id="20"/>
      <w:bookmarkStart w:id="21" w:name="_Toc62219358"/>
      <w:bookmarkEnd w:id="21"/>
      <w:bookmarkStart w:id="22" w:name="_Toc63785504"/>
      <w:bookmarkEnd w:id="22"/>
      <w:bookmarkStart w:id="23" w:name="_Toc63785439"/>
      <w:bookmarkEnd w:id="23"/>
      <w:bookmarkStart w:id="24" w:name="_Toc63762370"/>
      <w:bookmarkEnd w:id="24"/>
      <w:bookmarkStart w:id="25" w:name="_Toc61968111"/>
      <w:bookmarkEnd w:id="25"/>
    </w:p>
    <w:p w14:paraId="292A3E6B">
      <w:pPr>
        <w:pStyle w:val="3"/>
        <w:rPr>
          <w:color w:val="auto"/>
          <w:highlight w:val="none"/>
        </w:rPr>
      </w:pPr>
      <w:r>
        <w:rPr>
          <w:rFonts w:hint="eastAsia"/>
          <w:color w:val="auto"/>
          <w:highlight w:val="none"/>
        </w:rPr>
        <w:t>售后服务要求</w:t>
      </w:r>
    </w:p>
    <w:p w14:paraId="7A50F3F6">
      <w:pPr>
        <w:spacing w:line="360" w:lineRule="auto"/>
        <w:ind w:firstLine="480" w:firstLineChars="200"/>
        <w:rPr>
          <w:color w:val="auto"/>
          <w:highlight w:val="none"/>
        </w:rPr>
      </w:pPr>
      <w:r>
        <w:rPr>
          <w:rFonts w:hint="eastAsia"/>
          <w:color w:val="auto"/>
          <w:highlight w:val="none"/>
        </w:rPr>
        <w:t>本项目从系统验收通过之日起不少于1年</w:t>
      </w:r>
      <w:r>
        <w:rPr>
          <w:rFonts w:hint="eastAsia" w:asciiTheme="minorEastAsia" w:hAnsiTheme="minorEastAsia" w:eastAsiaTheme="minorEastAsia" w:cstheme="minorEastAsia"/>
          <w:color w:val="auto"/>
          <w:highlight w:val="none"/>
        </w:rPr>
        <w:t>。质量保证期内</w:t>
      </w:r>
      <w:r>
        <w:rPr>
          <w:rFonts w:hint="eastAsia"/>
          <w:color w:val="auto"/>
          <w:highlight w:val="none"/>
        </w:rPr>
        <w:t>提供7*24小时免费技术支持和售后服务。</w:t>
      </w:r>
    </w:p>
    <w:p w14:paraId="0EAC1ECE">
      <w:pPr>
        <w:spacing w:line="360" w:lineRule="auto"/>
        <w:ind w:firstLine="480" w:firstLineChars="200"/>
        <w:rPr>
          <w:color w:val="auto"/>
          <w:highlight w:val="none"/>
        </w:rPr>
      </w:pPr>
      <w:r>
        <w:rPr>
          <w:rFonts w:hint="eastAsia"/>
          <w:color w:val="auto"/>
          <w:highlight w:val="none"/>
        </w:rPr>
        <w:t>在质量保证期内，中标方将按照售后服务的承诺提供保修和运行维护服务，如果厂商对信息系统中软、硬件设备等产品中的部分保修期超过上述期限的，则按照厂商的规定进行免费保修。</w:t>
      </w:r>
    </w:p>
    <w:p w14:paraId="7C2670D1">
      <w:pPr>
        <w:spacing w:line="360" w:lineRule="auto"/>
        <w:ind w:firstLine="480" w:firstLineChars="200"/>
        <w:rPr>
          <w:color w:val="auto"/>
          <w:highlight w:val="none"/>
        </w:rPr>
      </w:pPr>
      <w:r>
        <w:rPr>
          <w:rFonts w:hint="eastAsia"/>
          <w:color w:val="auto"/>
          <w:highlight w:val="none"/>
        </w:rPr>
        <w:t>在质量保证期内，中标方负责信息系统的运行维护工作，确保信息系统安全、稳定、可靠地运行。本项目涉及的运行维护工作范围为：</w:t>
      </w:r>
    </w:p>
    <w:p w14:paraId="69C2F3AA">
      <w:pPr>
        <w:spacing w:line="360" w:lineRule="auto"/>
        <w:ind w:firstLine="480" w:firstLineChars="200"/>
        <w:rPr>
          <w:color w:val="auto"/>
          <w:highlight w:val="none"/>
        </w:rPr>
      </w:pPr>
      <w:r>
        <w:rPr>
          <w:rFonts w:hint="eastAsia"/>
          <w:color w:val="auto"/>
          <w:highlight w:val="none"/>
        </w:rPr>
        <w:t>1、在质量保证期内，中标方负责信息系统的运行维护工作，确保信息系统安全、稳定、可靠地运行。本项目涉及的运行维护工作范围为：对系统进行日常巡检，查看如系统性能、系统备份、数据接口等是否正常，确保系统及数据安全；</w:t>
      </w:r>
    </w:p>
    <w:p w14:paraId="770AB6C4">
      <w:pPr>
        <w:spacing w:line="360" w:lineRule="auto"/>
        <w:ind w:firstLine="480" w:firstLineChars="200"/>
        <w:rPr>
          <w:color w:val="auto"/>
          <w:highlight w:val="none"/>
        </w:rPr>
      </w:pPr>
      <w:r>
        <w:rPr>
          <w:rFonts w:hint="eastAsia"/>
          <w:color w:val="auto"/>
          <w:highlight w:val="none"/>
        </w:rPr>
        <w:t>2、配合招标方做好日常工作,提供必要的信息化服务；</w:t>
      </w:r>
    </w:p>
    <w:p w14:paraId="711280A0">
      <w:pPr>
        <w:spacing w:line="360" w:lineRule="auto"/>
        <w:ind w:firstLine="480" w:firstLineChars="200"/>
        <w:rPr>
          <w:color w:val="auto"/>
          <w:highlight w:val="none"/>
        </w:rPr>
      </w:pPr>
      <w:r>
        <w:rPr>
          <w:rFonts w:hint="eastAsia"/>
          <w:color w:val="auto"/>
          <w:highlight w:val="none"/>
        </w:rPr>
        <w:t>3、与系统相关单位、部门做好数据接口的保障工作，实现数据在不同业务系统间的正常传输；</w:t>
      </w:r>
    </w:p>
    <w:p w14:paraId="76813ACD">
      <w:pPr>
        <w:spacing w:line="360" w:lineRule="auto"/>
        <w:ind w:firstLine="480" w:firstLineChars="200"/>
        <w:rPr>
          <w:color w:val="auto"/>
          <w:highlight w:val="none"/>
        </w:rPr>
      </w:pPr>
      <w:r>
        <w:rPr>
          <w:rFonts w:hint="eastAsia"/>
          <w:color w:val="auto"/>
          <w:highlight w:val="none"/>
        </w:rPr>
        <w:t>4、对在合同约定范围内用户提出修改、新增和完善等需求，同招标方进行沟通达成一致后进行实施，包括新功能的调研、设计、开发、测试等工作。</w:t>
      </w:r>
    </w:p>
    <w:p w14:paraId="6976E613">
      <w:pPr>
        <w:spacing w:line="360" w:lineRule="auto"/>
        <w:ind w:firstLine="480" w:firstLineChars="200"/>
        <w:rPr>
          <w:color w:val="auto"/>
          <w:highlight w:val="none"/>
        </w:rPr>
      </w:pPr>
      <w:r>
        <w:rPr>
          <w:color w:val="auto"/>
          <w:highlight w:val="none"/>
        </w:rPr>
        <w:t>5</w:t>
      </w:r>
      <w:r>
        <w:rPr>
          <w:rFonts w:hint="eastAsia"/>
          <w:color w:val="auto"/>
          <w:highlight w:val="none"/>
        </w:rPr>
        <w:t>、中标方</w:t>
      </w:r>
      <w:r>
        <w:rPr>
          <w:color w:val="auto"/>
          <w:highlight w:val="none"/>
        </w:rPr>
        <w:t>应针对本项目提供不少于</w:t>
      </w:r>
      <w:r>
        <w:rPr>
          <w:rFonts w:hint="eastAsia"/>
          <w:color w:val="auto"/>
          <w:highlight w:val="none"/>
        </w:rPr>
        <w:t>2</w:t>
      </w:r>
      <w:r>
        <w:rPr>
          <w:color w:val="auto"/>
          <w:highlight w:val="none"/>
        </w:rPr>
        <w:t>人的质保期间支撑团队（其中</w:t>
      </w:r>
      <w:r>
        <w:rPr>
          <w:rFonts w:hint="eastAsia"/>
          <w:color w:val="auto"/>
          <w:highlight w:val="none"/>
        </w:rPr>
        <w:t>项目</w:t>
      </w:r>
      <w:r>
        <w:rPr>
          <w:color w:val="auto"/>
          <w:highlight w:val="none"/>
        </w:rPr>
        <w:t>经理1人，技术工程师</w:t>
      </w:r>
      <w:r>
        <w:rPr>
          <w:rFonts w:hint="eastAsia"/>
          <w:color w:val="auto"/>
          <w:highlight w:val="none"/>
        </w:rPr>
        <w:t>1</w:t>
      </w:r>
      <w:r>
        <w:rPr>
          <w:color w:val="auto"/>
          <w:highlight w:val="none"/>
        </w:rPr>
        <w:t>人</w:t>
      </w:r>
      <w:r>
        <w:rPr>
          <w:rFonts w:hint="eastAsia"/>
          <w:color w:val="auto"/>
          <w:highlight w:val="none"/>
        </w:rPr>
        <w:t>，</w:t>
      </w:r>
      <w:bookmarkStart w:id="26" w:name="_Hlk210988165"/>
      <w:r>
        <w:rPr>
          <w:rFonts w:hint="eastAsia"/>
          <w:color w:val="auto"/>
          <w:highlight w:val="none"/>
        </w:rPr>
        <w:t>项目经理可与开发团队项目经理为同一人</w:t>
      </w:r>
      <w:bookmarkEnd w:id="26"/>
      <w:r>
        <w:rPr>
          <w:color w:val="auto"/>
          <w:highlight w:val="none"/>
        </w:rPr>
        <w:t>）；</w:t>
      </w:r>
      <w:r>
        <w:rPr>
          <w:rFonts w:hint="eastAsia"/>
          <w:color w:val="auto"/>
          <w:highlight w:val="none"/>
        </w:rPr>
        <w:t>中标方</w:t>
      </w:r>
      <w:r>
        <w:rPr>
          <w:color w:val="auto"/>
          <w:highlight w:val="none"/>
        </w:rPr>
        <w:t>的相关服务人员需具备相应的服务能力，需提供相关证明（</w:t>
      </w:r>
      <w:bookmarkStart w:id="27" w:name="_Hlk210988017"/>
      <w:r>
        <w:rPr>
          <w:rFonts w:hint="eastAsia"/>
          <w:color w:val="auto"/>
          <w:highlight w:val="none"/>
        </w:rPr>
        <w:t>另需提供</w:t>
      </w:r>
      <w:bookmarkEnd w:id="27"/>
      <w:r>
        <w:rPr>
          <w:rFonts w:hint="eastAsia"/>
          <w:color w:val="auto"/>
          <w:highlight w:val="none"/>
        </w:rPr>
        <w:t>投标截止日前三月</w:t>
      </w:r>
      <w:r>
        <w:rPr>
          <w:color w:val="auto"/>
          <w:highlight w:val="none"/>
        </w:rPr>
        <w:t>依法缴纳社保费的证明）。</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2268"/>
        <w:gridCol w:w="1276"/>
        <w:gridCol w:w="2562"/>
        <w:gridCol w:w="1180"/>
      </w:tblGrid>
      <w:tr w14:paraId="0B4AD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42" w:type="dxa"/>
            <w:noWrap/>
            <w:vAlign w:val="center"/>
          </w:tcPr>
          <w:p w14:paraId="116557AC">
            <w:pPr>
              <w:spacing w:line="360" w:lineRule="auto"/>
              <w:jc w:val="center"/>
              <w:rPr>
                <w:b/>
                <w:bCs/>
                <w:color w:val="auto"/>
                <w:highlight w:val="none"/>
              </w:rPr>
            </w:pPr>
            <w:r>
              <w:rPr>
                <w:rFonts w:hint="eastAsia"/>
                <w:b/>
                <w:bCs/>
                <w:color w:val="auto"/>
                <w:highlight w:val="none"/>
              </w:rPr>
              <w:t>角色</w:t>
            </w:r>
          </w:p>
        </w:tc>
        <w:tc>
          <w:tcPr>
            <w:tcW w:w="2268" w:type="dxa"/>
            <w:noWrap/>
            <w:vAlign w:val="center"/>
          </w:tcPr>
          <w:p w14:paraId="77E1231E">
            <w:pPr>
              <w:spacing w:line="360" w:lineRule="auto"/>
              <w:jc w:val="center"/>
              <w:rPr>
                <w:b/>
                <w:bCs/>
                <w:color w:val="auto"/>
                <w:highlight w:val="none"/>
              </w:rPr>
            </w:pPr>
            <w:r>
              <w:rPr>
                <w:rFonts w:hint="eastAsia"/>
                <w:b/>
                <w:bCs/>
                <w:color w:val="auto"/>
                <w:highlight w:val="none"/>
              </w:rPr>
              <w:t>主要职责</w:t>
            </w:r>
          </w:p>
        </w:tc>
        <w:tc>
          <w:tcPr>
            <w:tcW w:w="1276" w:type="dxa"/>
            <w:noWrap/>
            <w:vAlign w:val="center"/>
          </w:tcPr>
          <w:p w14:paraId="130D3A99">
            <w:pPr>
              <w:spacing w:line="360" w:lineRule="auto"/>
              <w:jc w:val="center"/>
              <w:rPr>
                <w:b/>
                <w:bCs/>
                <w:color w:val="auto"/>
                <w:highlight w:val="none"/>
              </w:rPr>
            </w:pPr>
            <w:r>
              <w:rPr>
                <w:rFonts w:hint="eastAsia"/>
                <w:b/>
                <w:bCs/>
                <w:color w:val="auto"/>
                <w:highlight w:val="none"/>
              </w:rPr>
              <w:t>人员数量</w:t>
            </w:r>
          </w:p>
        </w:tc>
        <w:tc>
          <w:tcPr>
            <w:tcW w:w="2566" w:type="dxa"/>
            <w:vAlign w:val="center"/>
          </w:tcPr>
          <w:p w14:paraId="7D8DCD6E">
            <w:pPr>
              <w:spacing w:line="360" w:lineRule="auto"/>
              <w:jc w:val="center"/>
              <w:rPr>
                <w:b/>
                <w:bCs/>
                <w:color w:val="auto"/>
                <w:highlight w:val="none"/>
              </w:rPr>
            </w:pPr>
            <w:r>
              <w:rPr>
                <w:rFonts w:hint="eastAsia"/>
                <w:b/>
                <w:bCs/>
                <w:color w:val="auto"/>
                <w:highlight w:val="none"/>
              </w:rPr>
              <w:t>人员要求</w:t>
            </w:r>
          </w:p>
        </w:tc>
        <w:tc>
          <w:tcPr>
            <w:tcW w:w="0" w:type="auto"/>
            <w:noWrap/>
            <w:vAlign w:val="center"/>
          </w:tcPr>
          <w:p w14:paraId="440EEA99">
            <w:pPr>
              <w:spacing w:line="360" w:lineRule="auto"/>
              <w:jc w:val="center"/>
              <w:rPr>
                <w:b/>
                <w:bCs/>
                <w:color w:val="auto"/>
                <w:highlight w:val="none"/>
              </w:rPr>
            </w:pPr>
            <w:r>
              <w:rPr>
                <w:rFonts w:hint="eastAsia"/>
                <w:b/>
                <w:bCs/>
                <w:color w:val="auto"/>
                <w:highlight w:val="none"/>
              </w:rPr>
              <w:t>驻场要求</w:t>
            </w:r>
          </w:p>
        </w:tc>
      </w:tr>
      <w:tr w14:paraId="7A598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42" w:type="dxa"/>
            <w:noWrap/>
            <w:vAlign w:val="center"/>
          </w:tcPr>
          <w:p w14:paraId="50267A02">
            <w:pPr>
              <w:spacing w:line="360" w:lineRule="auto"/>
              <w:jc w:val="center"/>
              <w:rPr>
                <w:color w:val="auto"/>
                <w:highlight w:val="none"/>
              </w:rPr>
            </w:pPr>
            <w:r>
              <w:rPr>
                <w:rFonts w:hint="eastAsia"/>
                <w:color w:val="auto"/>
                <w:highlight w:val="none"/>
              </w:rPr>
              <w:t>项目经理</w:t>
            </w:r>
          </w:p>
        </w:tc>
        <w:tc>
          <w:tcPr>
            <w:tcW w:w="2268" w:type="dxa"/>
            <w:vAlign w:val="center"/>
          </w:tcPr>
          <w:p w14:paraId="6F237C9C">
            <w:pPr>
              <w:spacing w:line="360" w:lineRule="auto"/>
              <w:jc w:val="center"/>
              <w:rPr>
                <w:color w:val="auto"/>
                <w:highlight w:val="none"/>
              </w:rPr>
            </w:pPr>
            <w:r>
              <w:rPr>
                <w:rFonts w:hint="eastAsia"/>
                <w:color w:val="auto"/>
                <w:highlight w:val="none"/>
              </w:rPr>
              <w:t>负责项目质量和进度控制</w:t>
            </w:r>
          </w:p>
        </w:tc>
        <w:tc>
          <w:tcPr>
            <w:tcW w:w="1276" w:type="dxa"/>
            <w:noWrap/>
            <w:vAlign w:val="center"/>
          </w:tcPr>
          <w:p w14:paraId="3F705D5D">
            <w:pPr>
              <w:spacing w:line="360" w:lineRule="auto"/>
              <w:jc w:val="center"/>
              <w:rPr>
                <w:color w:val="auto"/>
                <w:highlight w:val="none"/>
              </w:rPr>
            </w:pPr>
            <w:r>
              <w:rPr>
                <w:color w:val="auto"/>
                <w:highlight w:val="none"/>
              </w:rPr>
              <w:t>1</w:t>
            </w:r>
            <w:r>
              <w:rPr>
                <w:rFonts w:hint="eastAsia"/>
                <w:color w:val="auto"/>
                <w:highlight w:val="none"/>
              </w:rPr>
              <w:t>人</w:t>
            </w:r>
          </w:p>
        </w:tc>
        <w:tc>
          <w:tcPr>
            <w:tcW w:w="2566" w:type="dxa"/>
            <w:vAlign w:val="center"/>
          </w:tcPr>
          <w:p w14:paraId="54BA99D1">
            <w:pPr>
              <w:spacing w:line="360" w:lineRule="auto"/>
              <w:jc w:val="center"/>
              <w:rPr>
                <w:color w:val="auto"/>
                <w:highlight w:val="none"/>
              </w:rPr>
            </w:pPr>
            <w:r>
              <w:rPr>
                <w:color w:val="auto"/>
                <w:highlight w:val="none"/>
              </w:rPr>
              <w:t>本科</w:t>
            </w:r>
            <w:r>
              <w:rPr>
                <w:rFonts w:hint="eastAsia"/>
                <w:color w:val="auto"/>
                <w:highlight w:val="none"/>
              </w:rPr>
              <w:t>或以上学历，具备计算机技术与软件专业技术资格</w:t>
            </w:r>
            <w:r>
              <w:rPr>
                <w:color w:val="auto"/>
                <w:highlight w:val="none"/>
              </w:rPr>
              <w:t>(水平)中级及以上证书</w:t>
            </w:r>
            <w:r>
              <w:rPr>
                <w:rFonts w:hint="eastAsia"/>
                <w:color w:val="auto"/>
                <w:highlight w:val="none"/>
              </w:rPr>
              <w:t>，有不低于两个类似信息系统项目的管理经验</w:t>
            </w:r>
          </w:p>
        </w:tc>
        <w:tc>
          <w:tcPr>
            <w:tcW w:w="0" w:type="auto"/>
            <w:noWrap/>
            <w:vAlign w:val="center"/>
          </w:tcPr>
          <w:p w14:paraId="15ABC962">
            <w:pPr>
              <w:spacing w:line="360" w:lineRule="auto"/>
              <w:jc w:val="center"/>
              <w:rPr>
                <w:color w:val="auto"/>
                <w:highlight w:val="none"/>
              </w:rPr>
            </w:pPr>
            <w:r>
              <w:rPr>
                <w:rFonts w:hint="eastAsia"/>
                <w:color w:val="auto"/>
                <w:highlight w:val="none"/>
              </w:rPr>
              <w:t>驻场</w:t>
            </w:r>
          </w:p>
        </w:tc>
      </w:tr>
      <w:tr w14:paraId="7F357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42" w:type="dxa"/>
            <w:noWrap/>
            <w:vAlign w:val="center"/>
          </w:tcPr>
          <w:p w14:paraId="322C3AEC">
            <w:pPr>
              <w:spacing w:line="360" w:lineRule="auto"/>
              <w:jc w:val="center"/>
              <w:rPr>
                <w:color w:val="auto"/>
                <w:highlight w:val="none"/>
              </w:rPr>
            </w:pPr>
            <w:r>
              <w:rPr>
                <w:rFonts w:hint="eastAsia"/>
                <w:color w:val="auto"/>
                <w:highlight w:val="none"/>
              </w:rPr>
              <w:t>技术工程师</w:t>
            </w:r>
          </w:p>
        </w:tc>
        <w:tc>
          <w:tcPr>
            <w:tcW w:w="2268" w:type="dxa"/>
            <w:noWrap/>
            <w:vAlign w:val="center"/>
          </w:tcPr>
          <w:p w14:paraId="65DD3DBC">
            <w:pPr>
              <w:spacing w:line="360" w:lineRule="auto"/>
              <w:jc w:val="center"/>
              <w:rPr>
                <w:color w:val="auto"/>
                <w:highlight w:val="none"/>
              </w:rPr>
            </w:pPr>
            <w:r>
              <w:rPr>
                <w:rFonts w:hint="eastAsia"/>
                <w:color w:val="auto"/>
                <w:highlight w:val="none"/>
              </w:rPr>
              <w:t>负责项目运行维护</w:t>
            </w:r>
          </w:p>
        </w:tc>
        <w:tc>
          <w:tcPr>
            <w:tcW w:w="1276" w:type="dxa"/>
            <w:noWrap/>
            <w:vAlign w:val="center"/>
          </w:tcPr>
          <w:p w14:paraId="73963281">
            <w:pPr>
              <w:spacing w:line="360" w:lineRule="auto"/>
              <w:jc w:val="center"/>
              <w:rPr>
                <w:color w:val="auto"/>
                <w:highlight w:val="none"/>
              </w:rPr>
            </w:pPr>
            <w:r>
              <w:rPr>
                <w:rFonts w:hint="eastAsia"/>
                <w:color w:val="auto"/>
                <w:highlight w:val="none"/>
              </w:rPr>
              <w:t>1人</w:t>
            </w:r>
          </w:p>
        </w:tc>
        <w:tc>
          <w:tcPr>
            <w:tcW w:w="2566" w:type="dxa"/>
            <w:vAlign w:val="center"/>
          </w:tcPr>
          <w:p w14:paraId="641C7D91">
            <w:pPr>
              <w:spacing w:line="360" w:lineRule="auto"/>
              <w:jc w:val="center"/>
              <w:rPr>
                <w:color w:val="auto"/>
                <w:highlight w:val="none"/>
              </w:rPr>
            </w:pPr>
            <w:r>
              <w:rPr>
                <w:rFonts w:hint="eastAsia"/>
                <w:color w:val="auto"/>
                <w:highlight w:val="none"/>
              </w:rPr>
              <w:t>计算机或工程相关专业，有不低于两个类似信息系统项目的研发经验</w:t>
            </w:r>
          </w:p>
        </w:tc>
        <w:tc>
          <w:tcPr>
            <w:tcW w:w="0" w:type="auto"/>
            <w:noWrap/>
            <w:vAlign w:val="center"/>
          </w:tcPr>
          <w:p w14:paraId="340A0383">
            <w:pPr>
              <w:spacing w:line="360" w:lineRule="auto"/>
              <w:jc w:val="center"/>
              <w:rPr>
                <w:color w:val="auto"/>
                <w:highlight w:val="none"/>
              </w:rPr>
            </w:pPr>
            <w:r>
              <w:rPr>
                <w:rFonts w:hint="eastAsia"/>
                <w:color w:val="auto"/>
                <w:highlight w:val="none"/>
              </w:rPr>
              <w:t>驻场</w:t>
            </w:r>
          </w:p>
        </w:tc>
      </w:tr>
    </w:tbl>
    <w:p w14:paraId="125C6A31">
      <w:pPr>
        <w:spacing w:line="360" w:lineRule="auto"/>
        <w:rPr>
          <w:color w:val="auto"/>
          <w:highlight w:val="none"/>
        </w:rPr>
      </w:pPr>
    </w:p>
    <w:p w14:paraId="56B9B5EB">
      <w:pPr>
        <w:pStyle w:val="3"/>
        <w:rPr>
          <w:color w:val="auto"/>
          <w:highlight w:val="none"/>
        </w:rPr>
      </w:pPr>
      <w:bookmarkStart w:id="28" w:name="_Toc63785506"/>
      <w:r>
        <w:rPr>
          <w:rFonts w:hint="eastAsia"/>
          <w:color w:val="auto"/>
          <w:highlight w:val="none"/>
        </w:rPr>
        <w:t>应急响应要求</w:t>
      </w:r>
      <w:bookmarkEnd w:id="28"/>
    </w:p>
    <w:p w14:paraId="59338C78">
      <w:pPr>
        <w:spacing w:line="360" w:lineRule="auto"/>
        <w:ind w:firstLine="480" w:firstLineChars="200"/>
        <w:rPr>
          <w:color w:val="auto"/>
          <w:highlight w:val="none"/>
        </w:rPr>
      </w:pPr>
      <w:r>
        <w:rPr>
          <w:rFonts w:hint="eastAsia"/>
          <w:color w:val="auto"/>
          <w:highlight w:val="none"/>
        </w:rPr>
        <w:t>中标方对系统故障应能够实时响应，若系统发生故障，接到通知后30分钟之内响应，专业工程师2小时内到达现场。特殊故障与客户沟通协商后，按照协商的方式制定解决方案并进行处理。</w:t>
      </w:r>
    </w:p>
    <w:p w14:paraId="29A0C271">
      <w:pPr>
        <w:spacing w:line="360" w:lineRule="auto"/>
        <w:ind w:firstLine="480" w:firstLineChars="200"/>
        <w:rPr>
          <w:color w:val="auto"/>
          <w:highlight w:val="none"/>
        </w:rPr>
      </w:pPr>
      <w:r>
        <w:rPr>
          <w:rFonts w:hint="eastAsia"/>
          <w:color w:val="auto"/>
          <w:highlight w:val="none"/>
        </w:rPr>
        <w:t>具体故障级别及对应的应急响应要求如下：</w:t>
      </w:r>
    </w:p>
    <w:p w14:paraId="175043A4">
      <w:pPr>
        <w:spacing w:line="360" w:lineRule="auto"/>
        <w:ind w:firstLine="480" w:firstLineChars="200"/>
        <w:rPr>
          <w:color w:val="auto"/>
          <w:highlight w:val="none"/>
        </w:rPr>
      </w:pPr>
      <w:r>
        <w:rPr>
          <w:rFonts w:hint="eastAsia"/>
          <w:color w:val="auto"/>
          <w:highlight w:val="none"/>
        </w:rPr>
        <w:t>一级故障：在1小时内确诊，总故障解决时间不超过4小时。</w:t>
      </w:r>
    </w:p>
    <w:p w14:paraId="7D3FB534">
      <w:pPr>
        <w:spacing w:line="360" w:lineRule="auto"/>
        <w:ind w:firstLine="480" w:firstLineChars="200"/>
        <w:rPr>
          <w:color w:val="auto"/>
          <w:highlight w:val="none"/>
        </w:rPr>
      </w:pPr>
      <w:r>
        <w:rPr>
          <w:rFonts w:hint="eastAsia"/>
          <w:color w:val="auto"/>
          <w:highlight w:val="none"/>
        </w:rPr>
        <w:t>二级故障：在2小时内确诊，并在4小时内由专家到达现场确诊并解决，总故障解决时间不超过8小时；</w:t>
      </w:r>
    </w:p>
    <w:p w14:paraId="7D64ECD1">
      <w:pPr>
        <w:spacing w:line="360" w:lineRule="auto"/>
        <w:ind w:firstLine="480" w:firstLineChars="200"/>
        <w:rPr>
          <w:color w:val="auto"/>
          <w:highlight w:val="none"/>
        </w:rPr>
      </w:pPr>
      <w:r>
        <w:rPr>
          <w:rFonts w:hint="eastAsia"/>
          <w:color w:val="auto"/>
          <w:highlight w:val="none"/>
        </w:rPr>
        <w:t>三、四级故障：在4小时内确诊故障，总故障解决时间不超过16小时。</w:t>
      </w:r>
    </w:p>
    <w:p w14:paraId="23DDFE3F">
      <w:pPr>
        <w:pStyle w:val="3"/>
        <w:rPr>
          <w:color w:val="auto"/>
          <w:highlight w:val="none"/>
        </w:rPr>
      </w:pPr>
      <w:bookmarkStart w:id="29" w:name="_Toc63785507"/>
      <w:r>
        <w:rPr>
          <w:rFonts w:hint="eastAsia"/>
          <w:color w:val="auto"/>
          <w:highlight w:val="none"/>
        </w:rPr>
        <w:t>培训要求</w:t>
      </w:r>
      <w:bookmarkEnd w:id="29"/>
    </w:p>
    <w:p w14:paraId="166F7528">
      <w:pPr>
        <w:spacing w:line="360" w:lineRule="auto"/>
        <w:ind w:firstLine="480" w:firstLineChars="200"/>
        <w:rPr>
          <w:color w:val="auto"/>
          <w:highlight w:val="none"/>
        </w:rPr>
      </w:pPr>
      <w:r>
        <w:rPr>
          <w:rFonts w:hint="eastAsia"/>
          <w:color w:val="auto"/>
          <w:highlight w:val="none"/>
        </w:rPr>
        <w:t>对系统使用单位提供业务操作培训，应提供详细培训方案。</w:t>
      </w:r>
    </w:p>
    <w:p w14:paraId="4CEE30D5">
      <w:pPr>
        <w:spacing w:line="360" w:lineRule="auto"/>
        <w:ind w:firstLine="480" w:firstLineChars="200"/>
        <w:rPr>
          <w:color w:val="auto"/>
          <w:highlight w:val="none"/>
        </w:rPr>
      </w:pPr>
      <w:bookmarkStart w:id="30" w:name="_Hlk210988636"/>
      <w:r>
        <w:rPr>
          <w:rFonts w:hint="eastAsia"/>
          <w:color w:val="auto"/>
          <w:highlight w:val="none"/>
        </w:rPr>
        <w:t>1、在项目验收前与质量保证期内，分别提供1次共计2次与项目相关的必要培训。</w:t>
      </w:r>
      <w:bookmarkEnd w:id="30"/>
    </w:p>
    <w:p w14:paraId="68D44926">
      <w:pPr>
        <w:spacing w:line="360" w:lineRule="auto"/>
        <w:ind w:firstLine="480" w:firstLineChars="200"/>
        <w:rPr>
          <w:color w:val="auto"/>
          <w:highlight w:val="none"/>
        </w:rPr>
      </w:pPr>
      <w:r>
        <w:rPr>
          <w:rFonts w:hint="eastAsia"/>
          <w:color w:val="auto"/>
          <w:highlight w:val="none"/>
        </w:rPr>
        <w:t>2、中标方需要开展分层次的人员培训工作，每次培训后应对参加培训人员进行测试，评估培训成果。培训应具有培训教材、培训环境和高水平的培训讲师。</w:t>
      </w:r>
    </w:p>
    <w:p w14:paraId="3307149E">
      <w:pPr>
        <w:spacing w:line="360" w:lineRule="auto"/>
        <w:ind w:firstLine="480" w:firstLineChars="200"/>
        <w:rPr>
          <w:color w:val="auto"/>
          <w:highlight w:val="none"/>
        </w:rPr>
      </w:pPr>
      <w:r>
        <w:rPr>
          <w:rFonts w:hint="eastAsia"/>
          <w:color w:val="auto"/>
          <w:highlight w:val="none"/>
        </w:rPr>
        <w:t>3、中标方应提供一般用户的基础操作培训和部门信息管理员的日常应用维护的培训，确保用户对象能够掌握对应的操作技能。</w:t>
      </w:r>
    </w:p>
    <w:p w14:paraId="619F8B03">
      <w:pPr>
        <w:pStyle w:val="3"/>
        <w:rPr>
          <w:color w:val="auto"/>
          <w:highlight w:val="none"/>
        </w:rPr>
      </w:pPr>
      <w:r>
        <w:rPr>
          <w:rFonts w:hint="eastAsia"/>
          <w:color w:val="auto"/>
          <w:highlight w:val="none"/>
        </w:rPr>
        <w:t>验收要求</w:t>
      </w:r>
    </w:p>
    <w:p w14:paraId="0E37371E">
      <w:pPr>
        <w:spacing w:line="360" w:lineRule="auto"/>
        <w:ind w:firstLine="480" w:firstLineChars="200"/>
        <w:rPr>
          <w:color w:val="auto"/>
          <w:highlight w:val="none"/>
        </w:rPr>
      </w:pPr>
      <w:r>
        <w:rPr>
          <w:rFonts w:hint="eastAsia"/>
          <w:color w:val="auto"/>
          <w:highlight w:val="none"/>
        </w:rPr>
        <w:t>本项目按下述方式开展验收。</w:t>
      </w:r>
    </w:p>
    <w:p w14:paraId="774A4127">
      <w:pPr>
        <w:spacing w:line="360" w:lineRule="auto"/>
        <w:ind w:firstLine="480" w:firstLineChars="200"/>
        <w:rPr>
          <w:color w:val="auto"/>
          <w:highlight w:val="none"/>
        </w:rPr>
      </w:pPr>
      <w:r>
        <w:rPr>
          <w:rFonts w:hint="eastAsia"/>
          <w:color w:val="auto"/>
          <w:highlight w:val="none"/>
        </w:rPr>
        <w:t>（1）验收分初验和终验。</w:t>
      </w:r>
    </w:p>
    <w:p w14:paraId="76B26B67">
      <w:pPr>
        <w:spacing w:line="360" w:lineRule="auto"/>
        <w:ind w:firstLine="480" w:firstLineChars="200"/>
        <w:rPr>
          <w:color w:val="auto"/>
          <w:highlight w:val="none"/>
        </w:rPr>
      </w:pPr>
      <w:r>
        <w:rPr>
          <w:rFonts w:hint="eastAsia"/>
          <w:color w:val="auto"/>
          <w:highlight w:val="none"/>
        </w:rPr>
        <w:t>（2）初验前，中标方须完成软件开发、软硬件安装和信息系统的调试等，并对本项目进行功能和运行检测，确保所有信息系统功能模块能够正常运行且已达到本项目约定的各类标准要求。中标方应以书面形式向招标方递交初验通知书。招标方应当在接到通知后的5个工作日内确定初验的具体日期，由双方按照本项目的约定完成本项目的初验。招标方有权委托第三方检测机构进行验收，对此中标方应当配合。</w:t>
      </w:r>
    </w:p>
    <w:p w14:paraId="35CF4089">
      <w:pPr>
        <w:spacing w:line="360" w:lineRule="auto"/>
        <w:ind w:firstLine="480" w:firstLineChars="200"/>
        <w:rPr>
          <w:color w:val="auto"/>
          <w:highlight w:val="none"/>
        </w:rPr>
      </w:pPr>
      <w:r>
        <w:rPr>
          <w:rFonts w:hint="eastAsia"/>
          <w:color w:val="auto"/>
          <w:highlight w:val="none"/>
        </w:rPr>
        <w:t>（3）初验时，中标方须提供软件文档包括</w:t>
      </w:r>
      <w:bookmarkStart w:id="31" w:name="_Hlk210988715"/>
      <w:bookmarkStart w:id="32" w:name="_Hlk210988731"/>
      <w:r>
        <w:rPr>
          <w:rFonts w:hint="eastAsia"/>
          <w:color w:val="auto"/>
          <w:highlight w:val="none"/>
        </w:rPr>
        <w:t>《用户需求说明书》</w:t>
      </w:r>
      <w:bookmarkEnd w:id="31"/>
      <w:r>
        <w:rPr>
          <w:rFonts w:hint="eastAsia"/>
          <w:color w:val="auto"/>
          <w:highlight w:val="none"/>
        </w:rPr>
        <w:t>、《系统概要设计说明书》、《系统详细设计说明书》、《功能需求确认单》、《测试报告》、《用户使用手册》、《系统部署文档》等</w:t>
      </w:r>
      <w:bookmarkEnd w:id="32"/>
      <w:bookmarkStart w:id="33" w:name="_Hlk211247754"/>
      <w:r>
        <w:rPr>
          <w:rFonts w:hint="eastAsia"/>
          <w:color w:val="auto"/>
          <w:highlight w:val="none"/>
        </w:rPr>
        <w:t>及可安装的程序运行文件</w:t>
      </w:r>
      <w:bookmarkEnd w:id="33"/>
      <w:r>
        <w:rPr>
          <w:rFonts w:hint="eastAsia"/>
          <w:color w:val="auto"/>
          <w:highlight w:val="none"/>
        </w:rPr>
        <w:t>。所交付的文档与文件应当是可供自然人阅读的书面和电子文档。软件文档及可安装的程序运行文件验收通过后，视为初验通过。如有缺陷，招标方应向中标方出具书面报告，陈述需要改进的缺陷。中标方应立即严格依照招标方的书面报告中的要求改进缺陷，并再次进行初验。</w:t>
      </w:r>
    </w:p>
    <w:p w14:paraId="6A92C723">
      <w:pPr>
        <w:spacing w:line="360" w:lineRule="auto"/>
        <w:ind w:firstLine="480" w:firstLineChars="200"/>
        <w:rPr>
          <w:color w:val="auto"/>
          <w:highlight w:val="none"/>
        </w:rPr>
      </w:pPr>
      <w:r>
        <w:rPr>
          <w:rFonts w:hint="eastAsia"/>
          <w:color w:val="auto"/>
          <w:highlight w:val="none"/>
        </w:rPr>
        <w:t>（4）初验通过且信息系统试运行期已经达到本项目约定的时间，经中标方确认信息系统具备正常运行条件，且信息系统通过运行测试，中标方应以书面形式通知招标方信息系统已准备就绪等待终验。招标方在收到终验通知后的30    个工作日内发起组织专家验收会。</w:t>
      </w:r>
    </w:p>
    <w:p w14:paraId="1BEE80A1">
      <w:pPr>
        <w:spacing w:line="360" w:lineRule="auto"/>
        <w:ind w:firstLine="480" w:firstLineChars="200"/>
        <w:rPr>
          <w:color w:val="auto"/>
          <w:highlight w:val="none"/>
        </w:rPr>
      </w:pPr>
      <w:r>
        <w:rPr>
          <w:rFonts w:hint="eastAsia"/>
          <w:color w:val="auto"/>
          <w:highlight w:val="none"/>
        </w:rPr>
        <w:t>（5）如果属于中标方原因致使本项目未能通过终验，中标方应当排除缺陷，直至本项目完全符合验收标准，由上述情形而产生的相关费用应由中标方自行承担。</w:t>
      </w:r>
    </w:p>
    <w:p w14:paraId="27C95E15">
      <w:pPr>
        <w:spacing w:line="360" w:lineRule="auto"/>
        <w:ind w:firstLine="480" w:firstLineChars="200"/>
        <w:rPr>
          <w:color w:val="auto"/>
          <w:highlight w:val="none"/>
        </w:rPr>
      </w:pPr>
      <w:r>
        <w:rPr>
          <w:rFonts w:hint="eastAsia"/>
          <w:color w:val="auto"/>
          <w:highlight w:val="none"/>
        </w:rPr>
        <w:t>（6）如果由于招标方原因导致本项目在终验通过前出现故障或问题，中标方应及时配合排除该方面的故障或问题。</w:t>
      </w:r>
    </w:p>
    <w:p w14:paraId="627B6CA0">
      <w:pPr>
        <w:spacing w:line="360" w:lineRule="auto"/>
        <w:ind w:firstLine="480" w:firstLineChars="200"/>
        <w:rPr>
          <w:color w:val="auto"/>
          <w:highlight w:val="none"/>
        </w:rPr>
      </w:pPr>
      <w:r>
        <w:rPr>
          <w:rFonts w:hint="eastAsia"/>
          <w:color w:val="auto"/>
          <w:highlight w:val="none"/>
        </w:rPr>
        <w:t>（7）如本项目连续2次验收未通过（含初验未通过或终验未通过），招标方有权解除项目，并有权依照本项目约定的违约条款追究中标方的违约责任。</w:t>
      </w:r>
    </w:p>
    <w:p w14:paraId="020E808D">
      <w:pPr>
        <w:pStyle w:val="3"/>
        <w:rPr>
          <w:color w:val="auto"/>
          <w:highlight w:val="none"/>
        </w:rPr>
      </w:pPr>
      <w:bookmarkStart w:id="34" w:name="_Toc63785510"/>
      <w:r>
        <w:rPr>
          <w:rFonts w:hint="eastAsia"/>
          <w:color w:val="auto"/>
          <w:highlight w:val="none"/>
        </w:rPr>
        <w:t>项目团队及驻场人员要求</w:t>
      </w:r>
      <w:bookmarkEnd w:id="34"/>
    </w:p>
    <w:p w14:paraId="4D2568B6">
      <w:pPr>
        <w:spacing w:line="360" w:lineRule="auto"/>
        <w:ind w:firstLine="480" w:firstLineChars="200"/>
        <w:rPr>
          <w:color w:val="auto"/>
          <w:highlight w:val="none"/>
        </w:rPr>
      </w:pPr>
      <w:r>
        <w:rPr>
          <w:rFonts w:hint="eastAsia"/>
          <w:color w:val="auto"/>
          <w:highlight w:val="none"/>
        </w:rPr>
        <w:t>1、</w:t>
      </w:r>
      <w:r>
        <w:rPr>
          <w:color w:val="auto"/>
          <w:highlight w:val="none"/>
        </w:rPr>
        <w:t>投标人</w:t>
      </w:r>
      <w:bookmarkStart w:id="37" w:name="_GoBack"/>
      <w:bookmarkEnd w:id="37"/>
      <w:r>
        <w:rPr>
          <w:color w:val="auto"/>
          <w:highlight w:val="none"/>
        </w:rPr>
        <w:t>具有稳定的在职技术保障力量，能够提供及时的技术支援或服务，应针对本项目提供不少于</w:t>
      </w:r>
      <w:r>
        <w:rPr>
          <w:rFonts w:hint="eastAsia"/>
          <w:color w:val="auto"/>
          <w:highlight w:val="none"/>
        </w:rPr>
        <w:t>10</w:t>
      </w:r>
      <w:r>
        <w:rPr>
          <w:color w:val="auto"/>
          <w:highlight w:val="none"/>
        </w:rPr>
        <w:t>人的项目服务团队（包括项目经理、</w:t>
      </w:r>
      <w:r>
        <w:rPr>
          <w:rFonts w:hint="eastAsia"/>
          <w:color w:val="auto"/>
          <w:highlight w:val="none"/>
        </w:rPr>
        <w:t>技术</w:t>
      </w:r>
      <w:r>
        <w:rPr>
          <w:color w:val="auto"/>
          <w:highlight w:val="none"/>
        </w:rPr>
        <w:t>经理、研发</w:t>
      </w:r>
      <w:r>
        <w:rPr>
          <w:rFonts w:hint="eastAsia"/>
          <w:color w:val="auto"/>
          <w:highlight w:val="none"/>
        </w:rPr>
        <w:t>工程师</w:t>
      </w:r>
      <w:r>
        <w:rPr>
          <w:color w:val="auto"/>
          <w:highlight w:val="none"/>
        </w:rPr>
        <w:t>等），投标单位的相关服务人员需具备相应的服务能力，需提供相关证明（</w:t>
      </w:r>
      <w:r>
        <w:rPr>
          <w:rFonts w:hint="eastAsia"/>
          <w:color w:val="auto"/>
          <w:highlight w:val="none"/>
        </w:rPr>
        <w:t>另需提供投标截止日前三月</w:t>
      </w:r>
      <w:r>
        <w:rPr>
          <w:color w:val="auto"/>
          <w:highlight w:val="none"/>
        </w:rPr>
        <w:t>依法缴纳社保费的证明）。</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1854"/>
        <w:gridCol w:w="1560"/>
        <w:gridCol w:w="2282"/>
        <w:gridCol w:w="1180"/>
      </w:tblGrid>
      <w:tr w14:paraId="5203C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noWrap/>
            <w:vAlign w:val="center"/>
          </w:tcPr>
          <w:p w14:paraId="750458CD">
            <w:pPr>
              <w:spacing w:line="360" w:lineRule="auto"/>
              <w:jc w:val="center"/>
              <w:rPr>
                <w:b/>
                <w:bCs/>
                <w:color w:val="auto"/>
                <w:highlight w:val="none"/>
              </w:rPr>
            </w:pPr>
            <w:r>
              <w:rPr>
                <w:rFonts w:hint="eastAsia"/>
                <w:b/>
                <w:bCs/>
                <w:color w:val="auto"/>
                <w:highlight w:val="none"/>
              </w:rPr>
              <w:t>角色</w:t>
            </w:r>
          </w:p>
        </w:tc>
        <w:tc>
          <w:tcPr>
            <w:tcW w:w="1854" w:type="dxa"/>
            <w:noWrap/>
            <w:vAlign w:val="center"/>
          </w:tcPr>
          <w:p w14:paraId="42CFB35F">
            <w:pPr>
              <w:spacing w:line="360" w:lineRule="auto"/>
              <w:jc w:val="center"/>
              <w:rPr>
                <w:b/>
                <w:bCs/>
                <w:color w:val="auto"/>
                <w:highlight w:val="none"/>
              </w:rPr>
            </w:pPr>
            <w:r>
              <w:rPr>
                <w:rFonts w:hint="eastAsia"/>
                <w:b/>
                <w:bCs/>
                <w:color w:val="auto"/>
                <w:highlight w:val="none"/>
              </w:rPr>
              <w:t>主要职责</w:t>
            </w:r>
          </w:p>
        </w:tc>
        <w:tc>
          <w:tcPr>
            <w:tcW w:w="1560" w:type="dxa"/>
            <w:noWrap/>
            <w:vAlign w:val="center"/>
          </w:tcPr>
          <w:p w14:paraId="352129F1">
            <w:pPr>
              <w:spacing w:line="360" w:lineRule="auto"/>
              <w:jc w:val="center"/>
              <w:rPr>
                <w:b/>
                <w:bCs/>
                <w:color w:val="auto"/>
                <w:highlight w:val="none"/>
              </w:rPr>
            </w:pPr>
            <w:r>
              <w:rPr>
                <w:rFonts w:hint="eastAsia"/>
                <w:b/>
                <w:bCs/>
                <w:color w:val="auto"/>
                <w:highlight w:val="none"/>
              </w:rPr>
              <w:t>人员数量</w:t>
            </w:r>
          </w:p>
        </w:tc>
        <w:tc>
          <w:tcPr>
            <w:tcW w:w="2282" w:type="dxa"/>
            <w:vAlign w:val="center"/>
          </w:tcPr>
          <w:p w14:paraId="5452C1A4">
            <w:pPr>
              <w:spacing w:line="360" w:lineRule="auto"/>
              <w:jc w:val="center"/>
              <w:rPr>
                <w:b/>
                <w:bCs/>
                <w:color w:val="auto"/>
                <w:highlight w:val="none"/>
              </w:rPr>
            </w:pPr>
            <w:r>
              <w:rPr>
                <w:rFonts w:hint="eastAsia"/>
                <w:b/>
                <w:bCs/>
                <w:color w:val="auto"/>
                <w:highlight w:val="none"/>
              </w:rPr>
              <w:t>人员要求</w:t>
            </w:r>
          </w:p>
        </w:tc>
        <w:tc>
          <w:tcPr>
            <w:tcW w:w="0" w:type="auto"/>
            <w:noWrap/>
            <w:vAlign w:val="center"/>
          </w:tcPr>
          <w:p w14:paraId="05DB882C">
            <w:pPr>
              <w:spacing w:line="360" w:lineRule="auto"/>
              <w:jc w:val="center"/>
              <w:rPr>
                <w:b/>
                <w:bCs/>
                <w:color w:val="auto"/>
                <w:highlight w:val="none"/>
              </w:rPr>
            </w:pPr>
            <w:r>
              <w:rPr>
                <w:rFonts w:hint="eastAsia"/>
                <w:b/>
                <w:bCs/>
                <w:color w:val="auto"/>
                <w:highlight w:val="none"/>
              </w:rPr>
              <w:t>驻场要求</w:t>
            </w:r>
          </w:p>
        </w:tc>
      </w:tr>
      <w:tr w14:paraId="27EBF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noWrap/>
            <w:vAlign w:val="center"/>
          </w:tcPr>
          <w:p w14:paraId="74F9D12A">
            <w:pPr>
              <w:spacing w:line="360" w:lineRule="auto"/>
              <w:jc w:val="center"/>
              <w:rPr>
                <w:color w:val="auto"/>
                <w:highlight w:val="none"/>
              </w:rPr>
            </w:pPr>
            <w:r>
              <w:rPr>
                <w:rFonts w:hint="eastAsia"/>
                <w:color w:val="auto"/>
                <w:highlight w:val="none"/>
              </w:rPr>
              <w:t>项目经理</w:t>
            </w:r>
          </w:p>
        </w:tc>
        <w:tc>
          <w:tcPr>
            <w:tcW w:w="1854" w:type="dxa"/>
            <w:vAlign w:val="center"/>
          </w:tcPr>
          <w:p w14:paraId="2EDA219C">
            <w:pPr>
              <w:spacing w:line="360" w:lineRule="auto"/>
              <w:jc w:val="center"/>
              <w:rPr>
                <w:color w:val="auto"/>
                <w:highlight w:val="none"/>
              </w:rPr>
            </w:pPr>
            <w:r>
              <w:rPr>
                <w:rFonts w:hint="eastAsia"/>
                <w:color w:val="auto"/>
                <w:highlight w:val="none"/>
              </w:rPr>
              <w:t>负责项目质量和进度控制</w:t>
            </w:r>
          </w:p>
        </w:tc>
        <w:tc>
          <w:tcPr>
            <w:tcW w:w="1560" w:type="dxa"/>
            <w:noWrap/>
            <w:vAlign w:val="center"/>
          </w:tcPr>
          <w:p w14:paraId="01482023">
            <w:pPr>
              <w:spacing w:line="360" w:lineRule="auto"/>
              <w:jc w:val="center"/>
              <w:rPr>
                <w:color w:val="auto"/>
                <w:highlight w:val="none"/>
              </w:rPr>
            </w:pPr>
            <w:r>
              <w:rPr>
                <w:color w:val="auto"/>
                <w:highlight w:val="none"/>
              </w:rPr>
              <w:t>1</w:t>
            </w:r>
            <w:r>
              <w:rPr>
                <w:rFonts w:hint="eastAsia"/>
                <w:color w:val="auto"/>
                <w:highlight w:val="none"/>
              </w:rPr>
              <w:t>人</w:t>
            </w:r>
          </w:p>
        </w:tc>
        <w:tc>
          <w:tcPr>
            <w:tcW w:w="2282" w:type="dxa"/>
            <w:vAlign w:val="center"/>
          </w:tcPr>
          <w:p w14:paraId="4705969C">
            <w:pPr>
              <w:spacing w:line="360" w:lineRule="auto"/>
              <w:jc w:val="center"/>
              <w:rPr>
                <w:color w:val="auto"/>
                <w:highlight w:val="none"/>
              </w:rPr>
            </w:pPr>
            <w:r>
              <w:rPr>
                <w:rFonts w:hint="eastAsia"/>
                <w:color w:val="auto"/>
                <w:highlight w:val="none"/>
              </w:rPr>
              <w:t>本科或以上学历，具备计算机技术与软件专业技术资格(水平)中级及以上证书，有不低于两个类似信息系统项目的管理经验</w:t>
            </w:r>
          </w:p>
        </w:tc>
        <w:tc>
          <w:tcPr>
            <w:tcW w:w="0" w:type="auto"/>
            <w:noWrap/>
            <w:vAlign w:val="center"/>
          </w:tcPr>
          <w:p w14:paraId="3C6FCBD8">
            <w:pPr>
              <w:spacing w:line="360" w:lineRule="auto"/>
              <w:jc w:val="center"/>
              <w:rPr>
                <w:color w:val="auto"/>
                <w:highlight w:val="none"/>
              </w:rPr>
            </w:pPr>
            <w:r>
              <w:rPr>
                <w:rFonts w:hint="eastAsia"/>
                <w:color w:val="auto"/>
                <w:highlight w:val="none"/>
              </w:rPr>
              <w:t>驻场</w:t>
            </w:r>
          </w:p>
        </w:tc>
      </w:tr>
      <w:tr w14:paraId="3ABDD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noWrap/>
            <w:vAlign w:val="center"/>
          </w:tcPr>
          <w:p w14:paraId="2230A6BC">
            <w:pPr>
              <w:spacing w:line="360" w:lineRule="auto"/>
              <w:jc w:val="center"/>
              <w:rPr>
                <w:color w:val="auto"/>
                <w:highlight w:val="none"/>
              </w:rPr>
            </w:pPr>
            <w:r>
              <w:rPr>
                <w:rFonts w:hint="eastAsia"/>
                <w:color w:val="auto"/>
                <w:highlight w:val="none"/>
              </w:rPr>
              <w:t>技术经理</w:t>
            </w:r>
          </w:p>
        </w:tc>
        <w:tc>
          <w:tcPr>
            <w:tcW w:w="1854" w:type="dxa"/>
            <w:vAlign w:val="center"/>
          </w:tcPr>
          <w:p w14:paraId="3F794BBF">
            <w:pPr>
              <w:spacing w:line="360" w:lineRule="auto"/>
              <w:jc w:val="center"/>
              <w:rPr>
                <w:color w:val="auto"/>
                <w:highlight w:val="none"/>
              </w:rPr>
            </w:pPr>
            <w:r>
              <w:rPr>
                <w:rFonts w:hint="eastAsia"/>
                <w:color w:val="auto"/>
                <w:highlight w:val="none"/>
              </w:rPr>
              <w:t>负责项目需求评估与功能设计</w:t>
            </w:r>
          </w:p>
        </w:tc>
        <w:tc>
          <w:tcPr>
            <w:tcW w:w="1560" w:type="dxa"/>
            <w:noWrap/>
            <w:vAlign w:val="center"/>
          </w:tcPr>
          <w:p w14:paraId="2B5BA2DF">
            <w:pPr>
              <w:spacing w:line="360" w:lineRule="auto"/>
              <w:jc w:val="center"/>
              <w:rPr>
                <w:color w:val="auto"/>
                <w:highlight w:val="none"/>
              </w:rPr>
            </w:pPr>
            <w:r>
              <w:rPr>
                <w:color w:val="auto"/>
                <w:highlight w:val="none"/>
              </w:rPr>
              <w:t>1</w:t>
            </w:r>
            <w:r>
              <w:rPr>
                <w:rFonts w:hint="eastAsia"/>
                <w:color w:val="auto"/>
                <w:highlight w:val="none"/>
              </w:rPr>
              <w:t>人</w:t>
            </w:r>
          </w:p>
        </w:tc>
        <w:tc>
          <w:tcPr>
            <w:tcW w:w="2282" w:type="dxa"/>
            <w:vAlign w:val="center"/>
          </w:tcPr>
          <w:p w14:paraId="75841F99">
            <w:pPr>
              <w:spacing w:line="360" w:lineRule="auto"/>
              <w:jc w:val="center"/>
              <w:rPr>
                <w:color w:val="auto"/>
                <w:highlight w:val="none"/>
              </w:rPr>
            </w:pPr>
            <w:r>
              <w:rPr>
                <w:rFonts w:hint="eastAsia"/>
                <w:color w:val="auto"/>
                <w:highlight w:val="none"/>
              </w:rPr>
              <w:t>专科或以上学历，有不低于两个类似信息系统项目的经验</w:t>
            </w:r>
          </w:p>
        </w:tc>
        <w:tc>
          <w:tcPr>
            <w:tcW w:w="0" w:type="auto"/>
            <w:noWrap/>
            <w:vAlign w:val="center"/>
          </w:tcPr>
          <w:p w14:paraId="68BD2192">
            <w:pPr>
              <w:spacing w:line="360" w:lineRule="auto"/>
              <w:jc w:val="center"/>
              <w:rPr>
                <w:color w:val="auto"/>
                <w:highlight w:val="none"/>
              </w:rPr>
            </w:pPr>
            <w:r>
              <w:rPr>
                <w:rFonts w:hint="eastAsia"/>
                <w:color w:val="auto"/>
                <w:highlight w:val="none"/>
              </w:rPr>
              <w:t>驻场</w:t>
            </w:r>
          </w:p>
        </w:tc>
      </w:tr>
      <w:tr w14:paraId="63951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noWrap/>
            <w:vAlign w:val="center"/>
          </w:tcPr>
          <w:p w14:paraId="208547E3">
            <w:pPr>
              <w:spacing w:line="360" w:lineRule="auto"/>
              <w:jc w:val="center"/>
              <w:rPr>
                <w:color w:val="auto"/>
                <w:highlight w:val="none"/>
              </w:rPr>
            </w:pPr>
            <w:r>
              <w:rPr>
                <w:rFonts w:hint="eastAsia"/>
                <w:color w:val="auto"/>
                <w:highlight w:val="none"/>
              </w:rPr>
              <w:t>研发工程师</w:t>
            </w:r>
          </w:p>
        </w:tc>
        <w:tc>
          <w:tcPr>
            <w:tcW w:w="1854" w:type="dxa"/>
            <w:noWrap/>
            <w:vAlign w:val="center"/>
          </w:tcPr>
          <w:p w14:paraId="34239E5E">
            <w:pPr>
              <w:spacing w:line="360" w:lineRule="auto"/>
              <w:jc w:val="center"/>
              <w:rPr>
                <w:color w:val="auto"/>
                <w:highlight w:val="none"/>
              </w:rPr>
            </w:pPr>
            <w:r>
              <w:rPr>
                <w:rFonts w:hint="eastAsia"/>
                <w:color w:val="auto"/>
                <w:highlight w:val="none"/>
              </w:rPr>
              <w:t>负责项目具体开发与实施</w:t>
            </w:r>
          </w:p>
        </w:tc>
        <w:tc>
          <w:tcPr>
            <w:tcW w:w="1560" w:type="dxa"/>
            <w:noWrap/>
            <w:vAlign w:val="center"/>
          </w:tcPr>
          <w:p w14:paraId="557F39E3">
            <w:pPr>
              <w:spacing w:line="360" w:lineRule="auto"/>
              <w:jc w:val="center"/>
              <w:rPr>
                <w:color w:val="auto"/>
                <w:highlight w:val="none"/>
              </w:rPr>
            </w:pPr>
            <w:r>
              <w:rPr>
                <w:rFonts w:hint="eastAsia"/>
                <w:color w:val="auto"/>
                <w:highlight w:val="none"/>
              </w:rPr>
              <w:t>8人</w:t>
            </w:r>
          </w:p>
        </w:tc>
        <w:tc>
          <w:tcPr>
            <w:tcW w:w="2282" w:type="dxa"/>
            <w:vAlign w:val="center"/>
          </w:tcPr>
          <w:p w14:paraId="0CDCAD15">
            <w:pPr>
              <w:spacing w:line="360" w:lineRule="auto"/>
              <w:jc w:val="center"/>
              <w:rPr>
                <w:color w:val="auto"/>
                <w:highlight w:val="none"/>
              </w:rPr>
            </w:pPr>
            <w:r>
              <w:rPr>
                <w:rFonts w:hint="eastAsia"/>
                <w:color w:val="auto"/>
                <w:highlight w:val="none"/>
              </w:rPr>
              <w:t>计算机或工程相关专业，有不低于两个类似信息系统项目的研发经验</w:t>
            </w:r>
          </w:p>
        </w:tc>
        <w:tc>
          <w:tcPr>
            <w:tcW w:w="0" w:type="auto"/>
            <w:noWrap/>
            <w:vAlign w:val="center"/>
          </w:tcPr>
          <w:p w14:paraId="08E8BC86">
            <w:pPr>
              <w:spacing w:line="360" w:lineRule="auto"/>
              <w:jc w:val="center"/>
              <w:rPr>
                <w:color w:val="auto"/>
                <w:highlight w:val="none"/>
              </w:rPr>
            </w:pPr>
            <w:r>
              <w:rPr>
                <w:rFonts w:hint="eastAsia"/>
                <w:color w:val="auto"/>
                <w:highlight w:val="none"/>
              </w:rPr>
              <w:t>驻场</w:t>
            </w:r>
          </w:p>
        </w:tc>
      </w:tr>
    </w:tbl>
    <w:p w14:paraId="1045621A">
      <w:pPr>
        <w:spacing w:line="360" w:lineRule="auto"/>
        <w:rPr>
          <w:rFonts w:hint="eastAsia" w:eastAsia="宋体"/>
          <w:color w:val="auto"/>
          <w:highlight w:val="none"/>
          <w:lang w:eastAsia="zh-CN"/>
        </w:rPr>
      </w:pPr>
      <w:r>
        <w:rPr>
          <w:rFonts w:hint="eastAsia"/>
          <w:color w:val="auto"/>
          <w:highlight w:val="none"/>
          <w:lang w:val="en-US" w:eastAsia="zh-CN"/>
        </w:rPr>
        <w:t>2、</w:t>
      </w:r>
      <w:r>
        <w:rPr>
          <w:rFonts w:hint="eastAsia"/>
          <w:color w:val="auto"/>
          <w:highlight w:val="none"/>
        </w:rPr>
        <w:t>投标人具有信息安全管理体系认证</w:t>
      </w:r>
      <w:r>
        <w:rPr>
          <w:rFonts w:hint="eastAsia"/>
          <w:color w:val="auto"/>
          <w:highlight w:val="none"/>
          <w:lang w:eastAsia="zh-CN"/>
        </w:rPr>
        <w:t>、</w:t>
      </w:r>
      <w:r>
        <w:rPr>
          <w:rFonts w:hint="eastAsia"/>
          <w:color w:val="auto"/>
          <w:highlight w:val="none"/>
        </w:rPr>
        <w:t>质量管理体系认证</w:t>
      </w:r>
      <w:r>
        <w:rPr>
          <w:rFonts w:hint="eastAsia"/>
          <w:color w:val="auto"/>
          <w:highlight w:val="none"/>
          <w:lang w:eastAsia="zh-CN"/>
        </w:rPr>
        <w:t>、</w:t>
      </w:r>
      <w:r>
        <w:rPr>
          <w:rFonts w:hint="eastAsia"/>
          <w:color w:val="auto"/>
          <w:highlight w:val="none"/>
        </w:rPr>
        <w:t>CCRC信息安全服务资质认证-软件安全开发证书</w:t>
      </w:r>
      <w:r>
        <w:rPr>
          <w:rFonts w:hint="eastAsia"/>
          <w:color w:val="auto"/>
          <w:highlight w:val="none"/>
          <w:lang w:eastAsia="zh-CN"/>
        </w:rPr>
        <w:t>、</w:t>
      </w:r>
      <w:r>
        <w:rPr>
          <w:rFonts w:hint="eastAsia"/>
          <w:color w:val="auto"/>
          <w:highlight w:val="none"/>
        </w:rPr>
        <w:t>CCRC信息安全服务资质认证-信息系统安全运维证书</w:t>
      </w:r>
      <w:r>
        <w:rPr>
          <w:rFonts w:hint="eastAsia"/>
          <w:color w:val="auto"/>
          <w:highlight w:val="none"/>
          <w:lang w:eastAsia="zh-CN"/>
        </w:rPr>
        <w:t>的优先考虑。投标人具有信息系统开发、升级改造、运维类似业绩的优先考虑。</w:t>
      </w:r>
    </w:p>
    <w:p w14:paraId="0282B524">
      <w:pPr>
        <w:pStyle w:val="3"/>
        <w:rPr>
          <w:color w:val="auto"/>
          <w:highlight w:val="none"/>
        </w:rPr>
      </w:pPr>
      <w:bookmarkStart w:id="35" w:name="_Toc63785511"/>
      <w:r>
        <w:rPr>
          <w:color w:val="auto"/>
          <w:highlight w:val="none"/>
        </w:rPr>
        <w:t>等级保护要求</w:t>
      </w:r>
      <w:bookmarkEnd w:id="35"/>
    </w:p>
    <w:p w14:paraId="23B10C53">
      <w:pPr>
        <w:spacing w:line="360" w:lineRule="auto"/>
        <w:ind w:firstLine="480" w:firstLineChars="200"/>
        <w:rPr>
          <w:rFonts w:ascii="仿宋_GB2312" w:eastAsia="仿宋_GB2312" w:cs="仿宋_GB2312"/>
          <w:color w:val="auto"/>
          <w:kern w:val="0"/>
          <w:sz w:val="28"/>
          <w:szCs w:val="28"/>
          <w:highlight w:val="none"/>
        </w:rPr>
      </w:pPr>
      <w:r>
        <w:rPr>
          <w:rFonts w:hint="eastAsia"/>
          <w:color w:val="auto"/>
          <w:highlight w:val="none"/>
        </w:rPr>
        <w:t>本项目等级保护要求：参照等保三级要求建设</w:t>
      </w:r>
      <w:r>
        <w:rPr>
          <w:rFonts w:hint="eastAsia" w:ascii="仿宋_GB2312" w:eastAsia="仿宋_GB2312" w:cs="仿宋_GB2312"/>
          <w:color w:val="auto"/>
          <w:kern w:val="0"/>
          <w:sz w:val="28"/>
          <w:szCs w:val="28"/>
          <w:highlight w:val="none"/>
        </w:rPr>
        <w:t>。</w:t>
      </w:r>
    </w:p>
    <w:p w14:paraId="5A327EBA">
      <w:pPr>
        <w:pStyle w:val="3"/>
        <w:rPr>
          <w:color w:val="auto"/>
          <w:highlight w:val="none"/>
        </w:rPr>
      </w:pPr>
      <w:r>
        <w:rPr>
          <w:rFonts w:hint="eastAsia"/>
          <w:color w:val="auto"/>
          <w:highlight w:val="none"/>
        </w:rPr>
        <w:t>商业密码应用需求</w:t>
      </w:r>
    </w:p>
    <w:p w14:paraId="5E3496B6">
      <w:pPr>
        <w:spacing w:line="360" w:lineRule="auto"/>
        <w:ind w:firstLine="480" w:firstLineChars="200"/>
        <w:rPr>
          <w:color w:val="auto"/>
          <w:highlight w:val="none"/>
        </w:rPr>
      </w:pPr>
      <w:r>
        <w:rPr>
          <w:rFonts w:hint="eastAsia"/>
          <w:color w:val="auto"/>
          <w:highlight w:val="none"/>
        </w:rPr>
        <w:t>本项目需按照《密码应用基本要求》中三级指标要求建设，密码应用的开发由包1中标方完成。</w:t>
      </w:r>
    </w:p>
    <w:p w14:paraId="2286A899">
      <w:pPr>
        <w:pStyle w:val="3"/>
        <w:rPr>
          <w:color w:val="auto"/>
          <w:highlight w:val="none"/>
        </w:rPr>
      </w:pPr>
      <w:bookmarkStart w:id="36" w:name="_Toc63785512"/>
      <w:r>
        <w:rPr>
          <w:rFonts w:hint="eastAsia"/>
          <w:color w:val="auto"/>
          <w:highlight w:val="none"/>
        </w:rPr>
        <w:t>技术文件要求</w:t>
      </w:r>
    </w:p>
    <w:p w14:paraId="07271004">
      <w:pPr>
        <w:spacing w:line="360" w:lineRule="auto"/>
        <w:ind w:firstLine="480" w:firstLineChars="200"/>
        <w:rPr>
          <w:color w:val="auto"/>
          <w:highlight w:val="none"/>
        </w:rPr>
      </w:pPr>
      <w:r>
        <w:rPr>
          <w:rFonts w:hint="eastAsia"/>
          <w:color w:val="auto"/>
          <w:highlight w:val="none"/>
        </w:rPr>
        <w:t>中标人提供的书面技术资料应能确保系统正常运行所需的管理、运营及维护有关的全套文件。技术文件应该全面、完整、详细。中标人提供的技术文件至少应包括：</w:t>
      </w:r>
    </w:p>
    <w:p w14:paraId="009E1717">
      <w:pPr>
        <w:spacing w:line="360" w:lineRule="auto"/>
        <w:ind w:firstLine="480" w:firstLineChars="200"/>
        <w:rPr>
          <w:color w:val="auto"/>
          <w:highlight w:val="none"/>
        </w:rPr>
      </w:pPr>
      <w:r>
        <w:rPr>
          <w:rFonts w:hint="eastAsia"/>
          <w:color w:val="auto"/>
          <w:highlight w:val="none"/>
        </w:rPr>
        <w:t>用户需求说明书；</w:t>
      </w:r>
    </w:p>
    <w:p w14:paraId="4BE87238">
      <w:pPr>
        <w:spacing w:line="360" w:lineRule="auto"/>
        <w:ind w:firstLine="480" w:firstLineChars="200"/>
        <w:rPr>
          <w:color w:val="auto"/>
          <w:highlight w:val="none"/>
        </w:rPr>
      </w:pPr>
      <w:r>
        <w:rPr>
          <w:rFonts w:hint="eastAsia"/>
          <w:color w:val="auto"/>
          <w:highlight w:val="none"/>
        </w:rPr>
        <w:t>系统概要设计说明书；</w:t>
      </w:r>
    </w:p>
    <w:p w14:paraId="2F72B646">
      <w:pPr>
        <w:spacing w:line="360" w:lineRule="auto"/>
        <w:ind w:firstLine="480" w:firstLineChars="200"/>
        <w:rPr>
          <w:color w:val="auto"/>
          <w:highlight w:val="none"/>
        </w:rPr>
      </w:pPr>
      <w:r>
        <w:rPr>
          <w:rFonts w:hint="eastAsia"/>
          <w:color w:val="auto"/>
          <w:highlight w:val="none"/>
        </w:rPr>
        <w:t>系统详细设计说明书；</w:t>
      </w:r>
    </w:p>
    <w:p w14:paraId="5EC757E5">
      <w:pPr>
        <w:spacing w:line="360" w:lineRule="auto"/>
        <w:ind w:firstLine="480" w:firstLineChars="200"/>
        <w:rPr>
          <w:color w:val="auto"/>
          <w:highlight w:val="none"/>
        </w:rPr>
      </w:pPr>
      <w:r>
        <w:rPr>
          <w:rFonts w:hint="eastAsia"/>
          <w:color w:val="auto"/>
          <w:highlight w:val="none"/>
        </w:rPr>
        <w:t>功能需求确认单；</w:t>
      </w:r>
    </w:p>
    <w:p w14:paraId="2083DC70">
      <w:pPr>
        <w:spacing w:line="360" w:lineRule="auto"/>
        <w:ind w:firstLine="480" w:firstLineChars="200"/>
        <w:rPr>
          <w:color w:val="auto"/>
          <w:highlight w:val="none"/>
        </w:rPr>
      </w:pPr>
      <w:r>
        <w:rPr>
          <w:rFonts w:hint="eastAsia"/>
          <w:color w:val="auto"/>
          <w:highlight w:val="none"/>
        </w:rPr>
        <w:t>测试报告；</w:t>
      </w:r>
    </w:p>
    <w:p w14:paraId="7DAC6BE8">
      <w:pPr>
        <w:spacing w:line="360" w:lineRule="auto"/>
        <w:ind w:firstLine="480" w:firstLineChars="200"/>
        <w:rPr>
          <w:color w:val="auto"/>
          <w:highlight w:val="none"/>
        </w:rPr>
      </w:pPr>
      <w:r>
        <w:rPr>
          <w:rFonts w:hint="eastAsia"/>
          <w:color w:val="auto"/>
          <w:highlight w:val="none"/>
        </w:rPr>
        <w:t>用户使用手册；</w:t>
      </w:r>
    </w:p>
    <w:p w14:paraId="1616193A">
      <w:pPr>
        <w:spacing w:line="360" w:lineRule="auto"/>
        <w:ind w:firstLine="480" w:firstLineChars="200"/>
        <w:rPr>
          <w:color w:val="auto"/>
          <w:highlight w:val="none"/>
        </w:rPr>
      </w:pPr>
      <w:r>
        <w:rPr>
          <w:rFonts w:hint="eastAsia"/>
          <w:color w:val="auto"/>
          <w:highlight w:val="none"/>
        </w:rPr>
        <w:t>系统部署文档；</w:t>
      </w:r>
    </w:p>
    <w:p w14:paraId="1DD8DA08">
      <w:pPr>
        <w:spacing w:line="360" w:lineRule="auto"/>
        <w:ind w:firstLine="480" w:firstLineChars="200"/>
        <w:rPr>
          <w:color w:val="auto"/>
          <w:highlight w:val="none"/>
        </w:rPr>
      </w:pPr>
      <w:r>
        <w:rPr>
          <w:rFonts w:hint="eastAsia"/>
          <w:color w:val="auto"/>
          <w:highlight w:val="none"/>
        </w:rPr>
        <w:t>可安装的程序运行文件。</w:t>
      </w:r>
      <w:bookmarkEnd w:id="36"/>
    </w:p>
    <w:sectPr>
      <w:pgSz w:w="11906" w:h="16838"/>
      <w:pgMar w:top="1134" w:right="1797" w:bottom="1135" w:left="1797" w:header="340" w:footer="340" w:gutter="0"/>
      <w:cols w:space="720" w:num="1"/>
      <w:docGrid w:type="linesAndChar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EndPr>
      <w:rPr>
        <w:lang w:val="zh-CN"/>
      </w:rPr>
    </w:sdtEndPr>
    <w:sdtContent>
      <w:p w14:paraId="401E27C3">
        <w:pPr>
          <w:pStyle w:val="8"/>
          <w:jc w:val="center"/>
          <w:rPr>
            <w:lang w:val="zh-CN"/>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p w14:paraId="30C66E40">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6961175"/>
    </w:sdtPr>
    <w:sdtContent>
      <w:p w14:paraId="0155261F">
        <w:pPr>
          <w:pStyle w:val="8"/>
        </w:pPr>
        <w:r>
          <w:fldChar w:fldCharType="begin"/>
        </w:r>
        <w:r>
          <w:instrText xml:space="preserve">PAGE   \* MERGEFORMAT</w:instrText>
        </w:r>
        <w:r>
          <w:fldChar w:fldCharType="separate"/>
        </w:r>
        <w:r>
          <w:rPr>
            <w:lang w:val="zh-CN"/>
          </w:rPr>
          <w:t>2</w:t>
        </w:r>
        <w:r>
          <w:fldChar w:fldCharType="end"/>
        </w:r>
      </w:p>
    </w:sdtContent>
  </w:sdt>
  <w:p w14:paraId="74437C1D"/>
  <w:p w14:paraId="165F04CE"/>
  <w:p w14:paraId="73A7BFB6"/>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7E1AD">
    <w:pPr>
      <w:pStyle w:val="9"/>
    </w:pPr>
  </w:p>
  <w:p w14:paraId="0A4A1F9B"/>
  <w:p w14:paraId="1E4E50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F7EEF5"/>
    <w:multiLevelType w:val="singleLevel"/>
    <w:tmpl w:val="09F7EEF5"/>
    <w:lvl w:ilvl="0" w:tentative="0">
      <w:start w:val="1"/>
      <w:numFmt w:val="bullet"/>
      <w:pStyle w:val="5"/>
      <w:lvlText w:val=""/>
      <w:lvlJc w:val="left"/>
      <w:pPr>
        <w:tabs>
          <w:tab w:val="left" w:pos="360"/>
        </w:tabs>
        <w:ind w:left="360" w:hanging="360"/>
      </w:pPr>
      <w:rPr>
        <w:rFonts w:hint="default" w:ascii="Wingdings" w:hAnsi="Wingdings"/>
      </w:rPr>
    </w:lvl>
  </w:abstractNum>
  <w:abstractNum w:abstractNumId="1">
    <w:nsid w:val="6A2F4AB3"/>
    <w:multiLevelType w:val="multilevel"/>
    <w:tmpl w:val="6A2F4AB3"/>
    <w:lvl w:ilvl="0" w:tentative="0">
      <w:start w:val="1"/>
      <w:numFmt w:val="chineseCountingThousand"/>
      <w:suff w:val="nothing"/>
      <w:lvlText w:val="%1、"/>
      <w:lvlJc w:val="left"/>
      <w:pPr>
        <w:ind w:left="284" w:firstLine="0"/>
      </w:pPr>
      <w:rPr>
        <w:rFonts w:hint="eastAsia"/>
        <w:sz w:val="32"/>
        <w:szCs w:val="32"/>
      </w:rPr>
    </w:lvl>
    <w:lvl w:ilvl="1" w:tentative="0">
      <w:start w:val="1"/>
      <w:numFmt w:val="decimal"/>
      <w:isLgl/>
      <w:suff w:val="nothing"/>
      <w:lvlText w:val="%1.%2、"/>
      <w:lvlJc w:val="left"/>
      <w:pPr>
        <w:ind w:left="0" w:firstLine="0"/>
      </w:pPr>
      <w:rPr>
        <w:rFonts w:hint="eastAsia"/>
      </w:rPr>
    </w:lvl>
    <w:lvl w:ilvl="2" w:tentative="0">
      <w:start w:val="1"/>
      <w:numFmt w:val="decimal"/>
      <w:isLgl/>
      <w:suff w:val="nothing"/>
      <w:lvlText w:val="%1.%2.%3、"/>
      <w:lvlJc w:val="left"/>
      <w:pPr>
        <w:ind w:left="0" w:firstLine="0"/>
      </w:pPr>
      <w:rPr>
        <w:rFonts w:hint="default" w:ascii="宋体" w:hAnsi="宋体" w:eastAsia="宋体" w:cs="Arial"/>
      </w:rPr>
    </w:lvl>
    <w:lvl w:ilvl="3" w:tentative="0">
      <w:start w:val="1"/>
      <w:numFmt w:val="decimal"/>
      <w:isLgl/>
      <w:suff w:val="nothing"/>
      <w:lvlText w:val="%1.%2.%3.%4、"/>
      <w:lvlJc w:val="left"/>
      <w:pPr>
        <w:ind w:left="3403" w:hanging="851"/>
      </w:pPr>
      <w:rPr>
        <w:rFonts w:hint="eastAsia"/>
      </w:rPr>
    </w:lvl>
    <w:lvl w:ilvl="4" w:tentative="0">
      <w:start w:val="1"/>
      <w:numFmt w:val="decimal"/>
      <w:isLgl/>
      <w:suff w:val="nothing"/>
      <w:lvlText w:val="%1.%2.%3.%4.%5、"/>
      <w:lvlJc w:val="left"/>
      <w:pPr>
        <w:ind w:left="3544" w:hanging="992"/>
      </w:pPr>
      <w:rPr>
        <w:rFonts w:hint="eastAsia"/>
      </w:rPr>
    </w:lvl>
    <w:lvl w:ilvl="5" w:tentative="0">
      <w:start w:val="1"/>
      <w:numFmt w:val="decimal"/>
      <w:isLgl/>
      <w:suff w:val="nothing"/>
      <w:lvlText w:val="%1.%2.%3.%4.%5.%6、"/>
      <w:lvlJc w:val="left"/>
      <w:pPr>
        <w:ind w:left="1134" w:hanging="1134"/>
      </w:pPr>
      <w:rPr>
        <w:rFonts w:hint="eastAsia"/>
      </w:rPr>
    </w:lvl>
    <w:lvl w:ilvl="6" w:tentative="0">
      <w:start w:val="1"/>
      <w:numFmt w:val="decimal"/>
      <w:isLgl/>
      <w:lvlText w:val="%1.%2.%3.%4.%5.%6.%7"/>
      <w:lvlJc w:val="left"/>
      <w:pPr>
        <w:tabs>
          <w:tab w:val="left" w:pos="1800"/>
        </w:tabs>
        <w:ind w:left="1276" w:hanging="1276"/>
      </w:pPr>
      <w:rPr>
        <w:rFonts w:hint="eastAsia"/>
      </w:rPr>
    </w:lvl>
    <w:lvl w:ilvl="7" w:tentative="0">
      <w:start w:val="1"/>
      <w:numFmt w:val="decimal"/>
      <w:isLgl/>
      <w:lvlText w:val="%1.%2.%3.%4.%5.%6.%7.%8"/>
      <w:lvlJc w:val="left"/>
      <w:pPr>
        <w:tabs>
          <w:tab w:val="left" w:pos="1800"/>
        </w:tabs>
        <w:ind w:left="1418" w:hanging="1418"/>
      </w:pPr>
      <w:rPr>
        <w:rFonts w:hint="eastAsia"/>
      </w:rPr>
    </w:lvl>
    <w:lvl w:ilvl="8" w:tentative="0">
      <w:start w:val="1"/>
      <w:numFmt w:val="decimal"/>
      <w:isLgl/>
      <w:lvlText w:val="%1.%2.%3.%4.%5.%6.%7.%8.%9"/>
      <w:lvlJc w:val="left"/>
      <w:pPr>
        <w:tabs>
          <w:tab w:val="left" w:pos="2160"/>
        </w:tabs>
        <w:ind w:left="1559" w:hanging="1559"/>
      </w:pPr>
      <w:rPr>
        <w:rFonts w:hint="eastAsia"/>
      </w:rPr>
    </w:lvl>
  </w:abstractNum>
  <w:num w:numId="1">
    <w:abstractNumId w:val="1"/>
    <w:lvlOverride w:ilvl="0">
      <w:lvl w:ilvl="0" w:tentative="1">
        <w:start w:val="1"/>
        <w:numFmt w:val="chineseCountingThousand"/>
        <w:pStyle w:val="2"/>
        <w:suff w:val="nothing"/>
        <w:lvlText w:val="%1、"/>
        <w:lvlJc w:val="left"/>
        <w:pPr>
          <w:ind w:left="0" w:firstLine="0"/>
        </w:pPr>
        <w:rPr>
          <w:rFonts w:hint="eastAsia"/>
          <w:sz w:val="32"/>
          <w:szCs w:val="32"/>
        </w:rPr>
      </w:lvl>
    </w:lvlOverride>
    <w:lvlOverride w:ilvl="1">
      <w:lvl w:ilvl="1" w:tentative="1">
        <w:start w:val="1"/>
        <w:numFmt w:val="decimal"/>
        <w:pStyle w:val="3"/>
        <w:isLgl/>
        <w:suff w:val="nothing"/>
        <w:lvlText w:val="%1.%2、"/>
        <w:lvlJc w:val="left"/>
        <w:pPr>
          <w:ind w:left="0" w:firstLine="0"/>
        </w:pPr>
        <w:rPr>
          <w:rFonts w:hint="eastAsia"/>
        </w:rPr>
      </w:lvl>
    </w:lvlOverride>
    <w:lvlOverride w:ilvl="2">
      <w:lvl w:ilvl="2" w:tentative="1">
        <w:start w:val="1"/>
        <w:numFmt w:val="decimal"/>
        <w:pStyle w:val="4"/>
        <w:isLgl/>
        <w:suff w:val="nothing"/>
        <w:lvlText w:val="%1.%2.%3、"/>
        <w:lvlJc w:val="left"/>
        <w:pPr>
          <w:ind w:left="0" w:firstLine="0"/>
        </w:pPr>
        <w:rPr>
          <w:rFonts w:hint="eastAsia" w:ascii="宋体" w:hAnsi="宋体" w:eastAsia="宋体" w:cs="Arial"/>
          <w:sz w:val="30"/>
        </w:rPr>
      </w:lvl>
    </w:lvlOverride>
    <w:lvlOverride w:ilvl="3">
      <w:lvl w:ilvl="3" w:tentative="1">
        <w:start w:val="1"/>
        <w:numFmt w:val="decimal"/>
        <w:isLgl/>
        <w:suff w:val="nothing"/>
        <w:lvlText w:val="%1.%2.%3.%4、"/>
        <w:lvlJc w:val="left"/>
        <w:pPr>
          <w:ind w:left="3403" w:hanging="851"/>
        </w:pPr>
        <w:rPr>
          <w:rFonts w:hint="eastAsia"/>
        </w:rPr>
      </w:lvl>
    </w:lvlOverride>
    <w:lvlOverride w:ilvl="4">
      <w:lvl w:ilvl="4" w:tentative="1">
        <w:start w:val="1"/>
        <w:numFmt w:val="decimal"/>
        <w:isLgl/>
        <w:suff w:val="nothing"/>
        <w:lvlText w:val="%1.%2.%3.%4.%5、"/>
        <w:lvlJc w:val="left"/>
        <w:pPr>
          <w:ind w:left="3544" w:hanging="992"/>
        </w:pPr>
        <w:rPr>
          <w:rFonts w:hint="eastAsia"/>
        </w:rPr>
      </w:lvl>
    </w:lvlOverride>
    <w:lvlOverride w:ilvl="5">
      <w:lvl w:ilvl="5" w:tentative="1">
        <w:start w:val="1"/>
        <w:numFmt w:val="decimal"/>
        <w:isLgl/>
        <w:suff w:val="nothing"/>
        <w:lvlText w:val="%1.%2.%3.%4.%5.%6、"/>
        <w:lvlJc w:val="left"/>
        <w:pPr>
          <w:ind w:left="1134" w:hanging="1134"/>
        </w:pPr>
        <w:rPr>
          <w:rFonts w:hint="eastAsia"/>
        </w:rPr>
      </w:lvl>
    </w:lvlOverride>
    <w:lvlOverride w:ilvl="6">
      <w:lvl w:ilvl="6" w:tentative="1">
        <w:start w:val="1"/>
        <w:numFmt w:val="decimal"/>
        <w:isLgl/>
        <w:lvlText w:val="%1.%2.%3.%4.%5.%6.%7"/>
        <w:lvlJc w:val="left"/>
        <w:pPr>
          <w:tabs>
            <w:tab w:val="left" w:pos="1800"/>
          </w:tabs>
          <w:ind w:left="1276" w:hanging="1276"/>
        </w:pPr>
        <w:rPr>
          <w:rFonts w:hint="eastAsia"/>
        </w:rPr>
      </w:lvl>
    </w:lvlOverride>
    <w:lvlOverride w:ilvl="7">
      <w:lvl w:ilvl="7" w:tentative="1">
        <w:start w:val="1"/>
        <w:numFmt w:val="decimal"/>
        <w:isLgl/>
        <w:lvlText w:val="%1.%2.%3.%4.%5.%6.%7.%8"/>
        <w:lvlJc w:val="left"/>
        <w:pPr>
          <w:tabs>
            <w:tab w:val="left" w:pos="1800"/>
          </w:tabs>
          <w:ind w:left="1418" w:hanging="1418"/>
        </w:pPr>
        <w:rPr>
          <w:rFonts w:hint="eastAsia"/>
        </w:rPr>
      </w:lvl>
    </w:lvlOverride>
    <w:lvlOverride w:ilvl="8">
      <w:lvl w:ilvl="8" w:tentative="1">
        <w:start w:val="1"/>
        <w:numFmt w:val="decimal"/>
        <w:isLgl/>
        <w:lvlText w:val="%1.%2.%3.%4.%5.%6.%7.%8.%9"/>
        <w:lvlJc w:val="left"/>
        <w:pPr>
          <w:tabs>
            <w:tab w:val="left" w:pos="2160"/>
          </w:tabs>
          <w:ind w:left="1559" w:hanging="1559"/>
        </w:pPr>
        <w:rPr>
          <w:rFonts w:hint="eastAsia"/>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4YmIxNzI4ZGQ3ZWQ1ZDA0YzA0YjM3YjI4NzdkMWUifQ=="/>
  </w:docVars>
  <w:rsids>
    <w:rsidRoot w:val="009D3D44"/>
    <w:rsid w:val="00016821"/>
    <w:rsid w:val="000309C9"/>
    <w:rsid w:val="00053963"/>
    <w:rsid w:val="000810D1"/>
    <w:rsid w:val="0009719F"/>
    <w:rsid w:val="000A1DDB"/>
    <w:rsid w:val="000C1524"/>
    <w:rsid w:val="000D1AAF"/>
    <w:rsid w:val="000F07CE"/>
    <w:rsid w:val="00114117"/>
    <w:rsid w:val="0011776C"/>
    <w:rsid w:val="00121E0F"/>
    <w:rsid w:val="0013062B"/>
    <w:rsid w:val="0015113D"/>
    <w:rsid w:val="00165275"/>
    <w:rsid w:val="00165712"/>
    <w:rsid w:val="001746FD"/>
    <w:rsid w:val="00177557"/>
    <w:rsid w:val="001828C4"/>
    <w:rsid w:val="00187AF2"/>
    <w:rsid w:val="001B26C3"/>
    <w:rsid w:val="001C0CDC"/>
    <w:rsid w:val="001C2CBA"/>
    <w:rsid w:val="001C36E4"/>
    <w:rsid w:val="001D4D13"/>
    <w:rsid w:val="001E4231"/>
    <w:rsid w:val="001F4178"/>
    <w:rsid w:val="00203C07"/>
    <w:rsid w:val="0020740B"/>
    <w:rsid w:val="002209CC"/>
    <w:rsid w:val="00220E9B"/>
    <w:rsid w:val="00224B34"/>
    <w:rsid w:val="00254E74"/>
    <w:rsid w:val="00265074"/>
    <w:rsid w:val="002744DF"/>
    <w:rsid w:val="00274808"/>
    <w:rsid w:val="00276C0C"/>
    <w:rsid w:val="00280915"/>
    <w:rsid w:val="002914E9"/>
    <w:rsid w:val="002A2FC1"/>
    <w:rsid w:val="002C5D33"/>
    <w:rsid w:val="002C6109"/>
    <w:rsid w:val="002D6A9B"/>
    <w:rsid w:val="002D71C5"/>
    <w:rsid w:val="002D7BB0"/>
    <w:rsid w:val="003051B8"/>
    <w:rsid w:val="00313171"/>
    <w:rsid w:val="00330CC8"/>
    <w:rsid w:val="00372CE6"/>
    <w:rsid w:val="00396B02"/>
    <w:rsid w:val="003C3E90"/>
    <w:rsid w:val="003C68F4"/>
    <w:rsid w:val="003D663B"/>
    <w:rsid w:val="003D739F"/>
    <w:rsid w:val="003E6ED7"/>
    <w:rsid w:val="00402A57"/>
    <w:rsid w:val="004054F8"/>
    <w:rsid w:val="00406E23"/>
    <w:rsid w:val="00421B8F"/>
    <w:rsid w:val="00460E40"/>
    <w:rsid w:val="0046139B"/>
    <w:rsid w:val="00471B79"/>
    <w:rsid w:val="004738B5"/>
    <w:rsid w:val="00484B6E"/>
    <w:rsid w:val="004905BC"/>
    <w:rsid w:val="004A01A2"/>
    <w:rsid w:val="004B2790"/>
    <w:rsid w:val="004D0541"/>
    <w:rsid w:val="004D6625"/>
    <w:rsid w:val="004F2670"/>
    <w:rsid w:val="00535266"/>
    <w:rsid w:val="00564081"/>
    <w:rsid w:val="00596A2B"/>
    <w:rsid w:val="005F2C03"/>
    <w:rsid w:val="005F7CC2"/>
    <w:rsid w:val="00610099"/>
    <w:rsid w:val="0061737C"/>
    <w:rsid w:val="006666E0"/>
    <w:rsid w:val="006851AF"/>
    <w:rsid w:val="006910DD"/>
    <w:rsid w:val="006D0AA9"/>
    <w:rsid w:val="006D3B71"/>
    <w:rsid w:val="0070628C"/>
    <w:rsid w:val="007263EC"/>
    <w:rsid w:val="0073292D"/>
    <w:rsid w:val="007372FF"/>
    <w:rsid w:val="007519B1"/>
    <w:rsid w:val="0079562B"/>
    <w:rsid w:val="007A52C8"/>
    <w:rsid w:val="007A5B2C"/>
    <w:rsid w:val="007A7225"/>
    <w:rsid w:val="007C0A3E"/>
    <w:rsid w:val="007F74F6"/>
    <w:rsid w:val="00802CB7"/>
    <w:rsid w:val="008138C2"/>
    <w:rsid w:val="00820271"/>
    <w:rsid w:val="00822862"/>
    <w:rsid w:val="00824A55"/>
    <w:rsid w:val="008310DD"/>
    <w:rsid w:val="00833CB9"/>
    <w:rsid w:val="00837FD9"/>
    <w:rsid w:val="00853924"/>
    <w:rsid w:val="008576E5"/>
    <w:rsid w:val="00857B51"/>
    <w:rsid w:val="0086380D"/>
    <w:rsid w:val="008830A0"/>
    <w:rsid w:val="00897D96"/>
    <w:rsid w:val="008A2E20"/>
    <w:rsid w:val="008A4F28"/>
    <w:rsid w:val="008E7476"/>
    <w:rsid w:val="00945B5A"/>
    <w:rsid w:val="009461DE"/>
    <w:rsid w:val="00953368"/>
    <w:rsid w:val="00954B54"/>
    <w:rsid w:val="00955502"/>
    <w:rsid w:val="00990537"/>
    <w:rsid w:val="009905D9"/>
    <w:rsid w:val="0099367E"/>
    <w:rsid w:val="00997D69"/>
    <w:rsid w:val="009A3F1F"/>
    <w:rsid w:val="009A44A9"/>
    <w:rsid w:val="009A78CB"/>
    <w:rsid w:val="009C7E99"/>
    <w:rsid w:val="009D3D44"/>
    <w:rsid w:val="009E2663"/>
    <w:rsid w:val="009E556E"/>
    <w:rsid w:val="009F5700"/>
    <w:rsid w:val="009F6455"/>
    <w:rsid w:val="00A00737"/>
    <w:rsid w:val="00A00D79"/>
    <w:rsid w:val="00A42BA1"/>
    <w:rsid w:val="00A42C84"/>
    <w:rsid w:val="00A47169"/>
    <w:rsid w:val="00A60D5F"/>
    <w:rsid w:val="00A624B1"/>
    <w:rsid w:val="00A641C5"/>
    <w:rsid w:val="00A71FCA"/>
    <w:rsid w:val="00A81D7F"/>
    <w:rsid w:val="00AA766B"/>
    <w:rsid w:val="00AC34AA"/>
    <w:rsid w:val="00AE04D9"/>
    <w:rsid w:val="00AE133C"/>
    <w:rsid w:val="00AE2E22"/>
    <w:rsid w:val="00AF301A"/>
    <w:rsid w:val="00AF3075"/>
    <w:rsid w:val="00AF486D"/>
    <w:rsid w:val="00B04995"/>
    <w:rsid w:val="00B30F70"/>
    <w:rsid w:val="00B31B79"/>
    <w:rsid w:val="00B47DE4"/>
    <w:rsid w:val="00B6697E"/>
    <w:rsid w:val="00BB1331"/>
    <w:rsid w:val="00BB3FAB"/>
    <w:rsid w:val="00BD5D15"/>
    <w:rsid w:val="00BE5082"/>
    <w:rsid w:val="00BF5F9A"/>
    <w:rsid w:val="00C1195B"/>
    <w:rsid w:val="00C13374"/>
    <w:rsid w:val="00C13D16"/>
    <w:rsid w:val="00C3045B"/>
    <w:rsid w:val="00C36736"/>
    <w:rsid w:val="00C542B7"/>
    <w:rsid w:val="00C54D45"/>
    <w:rsid w:val="00C93A7E"/>
    <w:rsid w:val="00CB1514"/>
    <w:rsid w:val="00CB7241"/>
    <w:rsid w:val="00CE00F4"/>
    <w:rsid w:val="00CE52E1"/>
    <w:rsid w:val="00CF2152"/>
    <w:rsid w:val="00D0131E"/>
    <w:rsid w:val="00D03A6A"/>
    <w:rsid w:val="00D0458E"/>
    <w:rsid w:val="00D04A6A"/>
    <w:rsid w:val="00D17318"/>
    <w:rsid w:val="00D21B47"/>
    <w:rsid w:val="00D376C1"/>
    <w:rsid w:val="00D726DD"/>
    <w:rsid w:val="00D740FC"/>
    <w:rsid w:val="00D74887"/>
    <w:rsid w:val="00D7518C"/>
    <w:rsid w:val="00DA049C"/>
    <w:rsid w:val="00DA0B56"/>
    <w:rsid w:val="00DB2B3C"/>
    <w:rsid w:val="00DB53EA"/>
    <w:rsid w:val="00DC1AF3"/>
    <w:rsid w:val="00DC4D52"/>
    <w:rsid w:val="00DC5004"/>
    <w:rsid w:val="00DC548C"/>
    <w:rsid w:val="00DD5EC1"/>
    <w:rsid w:val="00E00073"/>
    <w:rsid w:val="00E05E07"/>
    <w:rsid w:val="00E14240"/>
    <w:rsid w:val="00E23353"/>
    <w:rsid w:val="00E67AFF"/>
    <w:rsid w:val="00E946E5"/>
    <w:rsid w:val="00EC4560"/>
    <w:rsid w:val="00ED1529"/>
    <w:rsid w:val="00EE5E75"/>
    <w:rsid w:val="00EF32D2"/>
    <w:rsid w:val="00F032DE"/>
    <w:rsid w:val="00F23ECC"/>
    <w:rsid w:val="00F357F2"/>
    <w:rsid w:val="00F45FBB"/>
    <w:rsid w:val="00F66084"/>
    <w:rsid w:val="00F70610"/>
    <w:rsid w:val="00F76A39"/>
    <w:rsid w:val="00F93934"/>
    <w:rsid w:val="00F949E9"/>
    <w:rsid w:val="00FA2756"/>
    <w:rsid w:val="00FB2DC6"/>
    <w:rsid w:val="00FE5454"/>
    <w:rsid w:val="00FF2825"/>
    <w:rsid w:val="3DD795DF"/>
    <w:rsid w:val="645D785C"/>
    <w:rsid w:val="6FEFD4E2"/>
    <w:rsid w:val="714F9AEE"/>
    <w:rsid w:val="75E742DE"/>
    <w:rsid w:val="773F04E1"/>
    <w:rsid w:val="7F7F42B3"/>
    <w:rsid w:val="E7AB919F"/>
    <w:rsid w:val="EFFFEDA6"/>
    <w:rsid w:val="F6FF4A37"/>
    <w:rsid w:val="FBF5FD69"/>
    <w:rsid w:val="FCBA69FE"/>
    <w:rsid w:val="FDFF1238"/>
    <w:rsid w:val="FEE1F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pPr>
    <w:rPr>
      <w:rFonts w:ascii="宋体" w:hAnsi="宋体" w:eastAsia="宋体" w:cs="Times New Roman"/>
      <w:kern w:val="2"/>
      <w:sz w:val="24"/>
      <w:szCs w:val="24"/>
      <w:lang w:val="en-US" w:eastAsia="zh-CN" w:bidi="ar-SA"/>
    </w:rPr>
  </w:style>
  <w:style w:type="paragraph" w:styleId="2">
    <w:name w:val="heading 1"/>
    <w:basedOn w:val="1"/>
    <w:next w:val="1"/>
    <w:qFormat/>
    <w:uiPriority w:val="0"/>
    <w:pPr>
      <w:keepNext/>
      <w:keepLines/>
      <w:numPr>
        <w:ilvl w:val="0"/>
        <w:numId w:val="1"/>
      </w:numPr>
      <w:outlineLvl w:val="0"/>
    </w:pPr>
    <w:rPr>
      <w:rFonts w:eastAsia="黑体"/>
      <w:b/>
      <w:bCs/>
      <w:kern w:val="44"/>
      <w:sz w:val="32"/>
      <w:szCs w:val="28"/>
    </w:rPr>
  </w:style>
  <w:style w:type="paragraph" w:styleId="3">
    <w:name w:val="heading 2"/>
    <w:basedOn w:val="1"/>
    <w:next w:val="1"/>
    <w:link w:val="27"/>
    <w:qFormat/>
    <w:uiPriority w:val="9"/>
    <w:pPr>
      <w:keepNext/>
      <w:keepLines/>
      <w:numPr>
        <w:ilvl w:val="1"/>
        <w:numId w:val="1"/>
      </w:numPr>
      <w:outlineLvl w:val="1"/>
    </w:pPr>
    <w:rPr>
      <w:b/>
      <w:bCs/>
      <w:sz w:val="30"/>
      <w:szCs w:val="32"/>
    </w:rPr>
  </w:style>
  <w:style w:type="paragraph" w:styleId="4">
    <w:name w:val="heading 3"/>
    <w:basedOn w:val="1"/>
    <w:next w:val="1"/>
    <w:link w:val="21"/>
    <w:unhideWhenUsed/>
    <w:qFormat/>
    <w:uiPriority w:val="0"/>
    <w:pPr>
      <w:keepNext/>
      <w:keepLines/>
      <w:numPr>
        <w:ilvl w:val="2"/>
        <w:numId w:val="1"/>
      </w:numPr>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List Bullet"/>
    <w:basedOn w:val="1"/>
    <w:qFormat/>
    <w:uiPriority w:val="0"/>
    <w:pPr>
      <w:numPr>
        <w:ilvl w:val="0"/>
        <w:numId w:val="2"/>
      </w:numPr>
      <w:tabs>
        <w:tab w:val="clear" w:pos="360"/>
      </w:tabs>
      <w:ind w:left="0" w:firstLine="0"/>
    </w:pPr>
  </w:style>
  <w:style w:type="paragraph" w:styleId="6">
    <w:name w:val="annotation text"/>
    <w:basedOn w:val="1"/>
    <w:link w:val="19"/>
    <w:qFormat/>
    <w:uiPriority w:val="99"/>
  </w:style>
  <w:style w:type="paragraph" w:styleId="7">
    <w:name w:val="Balloon Text"/>
    <w:basedOn w:val="1"/>
    <w:link w:val="26"/>
    <w:qFormat/>
    <w:uiPriority w:val="0"/>
    <w:rPr>
      <w:sz w:val="18"/>
      <w:szCs w:val="18"/>
    </w:rPr>
  </w:style>
  <w:style w:type="paragraph" w:styleId="8">
    <w:name w:val="footer"/>
    <w:basedOn w:val="1"/>
    <w:link w:val="18"/>
    <w:qFormat/>
    <w:uiPriority w:val="99"/>
    <w:pPr>
      <w:tabs>
        <w:tab w:val="center" w:pos="4153"/>
        <w:tab w:val="right" w:pos="8306"/>
      </w:tabs>
      <w:snapToGrid w:val="0"/>
    </w:pPr>
    <w:rPr>
      <w:sz w:val="18"/>
      <w:szCs w:val="18"/>
    </w:rPr>
  </w:style>
  <w:style w:type="paragraph" w:styleId="9">
    <w:name w:val="header"/>
    <w:basedOn w:val="1"/>
    <w:qFormat/>
    <w:uiPriority w:val="99"/>
    <w:pPr>
      <w:pBdr>
        <w:bottom w:val="single" w:color="auto" w:sz="4" w:space="0"/>
      </w:pBdr>
      <w:tabs>
        <w:tab w:val="center" w:pos="4153"/>
        <w:tab w:val="right" w:pos="8306"/>
      </w:tabs>
      <w:snapToGrid w:val="0"/>
      <w:jc w:val="center"/>
    </w:pPr>
    <w:rPr>
      <w:rFonts w:ascii="Times New Roman" w:hAnsi="Times New Roman"/>
      <w:sz w:val="18"/>
      <w:szCs w:val="18"/>
    </w:rPr>
  </w:style>
  <w:style w:type="paragraph" w:styleId="10">
    <w:name w:val="annotation subject"/>
    <w:basedOn w:val="6"/>
    <w:next w:val="6"/>
    <w:link w:val="20"/>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qFormat/>
    <w:uiPriority w:val="99"/>
    <w:rPr>
      <w:sz w:val="21"/>
      <w:szCs w:val="21"/>
    </w:rPr>
  </w:style>
  <w:style w:type="paragraph" w:customStyle="1" w:styleId="16">
    <w:name w:val="正文缩进1"/>
    <w:basedOn w:val="1"/>
    <w:autoRedefine/>
    <w:qFormat/>
    <w:uiPriority w:val="0"/>
    <w:pPr>
      <w:ind w:firstLine="420"/>
    </w:pPr>
    <w:rPr>
      <w:rFonts w:ascii="Times New Roman" w:hAnsi="Times New Roman"/>
      <w:sz w:val="21"/>
      <w:szCs w:val="20"/>
    </w:rPr>
  </w:style>
  <w:style w:type="paragraph" w:customStyle="1" w:styleId="17">
    <w:name w:val="正文正文2"/>
    <w:basedOn w:val="1"/>
    <w:link w:val="23"/>
    <w:autoRedefine/>
    <w:qFormat/>
    <w:uiPriority w:val="0"/>
    <w:pPr>
      <w:spacing w:line="360" w:lineRule="auto"/>
      <w:ind w:firstLine="460"/>
    </w:pPr>
  </w:style>
  <w:style w:type="character" w:customStyle="1" w:styleId="18">
    <w:name w:val="页脚 Char"/>
    <w:basedOn w:val="13"/>
    <w:link w:val="8"/>
    <w:qFormat/>
    <w:uiPriority w:val="99"/>
    <w:rPr>
      <w:rFonts w:ascii="宋体" w:hAnsi="宋体" w:eastAsia="宋体" w:cs="Times New Roman"/>
      <w:kern w:val="2"/>
      <w:sz w:val="18"/>
      <w:szCs w:val="18"/>
    </w:rPr>
  </w:style>
  <w:style w:type="character" w:customStyle="1" w:styleId="19">
    <w:name w:val="批注文字 Char"/>
    <w:basedOn w:val="13"/>
    <w:link w:val="6"/>
    <w:qFormat/>
    <w:uiPriority w:val="0"/>
    <w:rPr>
      <w:rFonts w:ascii="宋体" w:hAnsi="宋体" w:eastAsia="宋体" w:cs="Times New Roman"/>
      <w:kern w:val="2"/>
      <w:sz w:val="24"/>
      <w:szCs w:val="24"/>
    </w:rPr>
  </w:style>
  <w:style w:type="character" w:customStyle="1" w:styleId="20">
    <w:name w:val="批注主题 Char"/>
    <w:basedOn w:val="19"/>
    <w:link w:val="10"/>
    <w:qFormat/>
    <w:uiPriority w:val="0"/>
    <w:rPr>
      <w:rFonts w:ascii="宋体" w:hAnsi="宋体" w:eastAsia="宋体" w:cs="Times New Roman"/>
      <w:b/>
      <w:bCs/>
      <w:kern w:val="2"/>
      <w:sz w:val="24"/>
      <w:szCs w:val="24"/>
    </w:rPr>
  </w:style>
  <w:style w:type="character" w:customStyle="1" w:styleId="21">
    <w:name w:val="标题 3 Char"/>
    <w:basedOn w:val="13"/>
    <w:link w:val="4"/>
    <w:qFormat/>
    <w:uiPriority w:val="0"/>
    <w:rPr>
      <w:rFonts w:ascii="宋体" w:hAnsi="宋体" w:eastAsia="宋体" w:cs="Times New Roman"/>
      <w:b/>
      <w:bCs/>
      <w:kern w:val="2"/>
      <w:sz w:val="32"/>
      <w:szCs w:val="32"/>
    </w:rPr>
  </w:style>
  <w:style w:type="paragraph" w:styleId="22">
    <w:name w:val="List Paragraph"/>
    <w:basedOn w:val="1"/>
    <w:link w:val="28"/>
    <w:unhideWhenUsed/>
    <w:qFormat/>
    <w:uiPriority w:val="34"/>
    <w:pPr>
      <w:ind w:firstLine="420"/>
    </w:pPr>
  </w:style>
  <w:style w:type="character" w:customStyle="1" w:styleId="23">
    <w:name w:val="正文正文2 Char"/>
    <w:link w:val="17"/>
    <w:qFormat/>
    <w:uiPriority w:val="0"/>
    <w:rPr>
      <w:rFonts w:ascii="宋体" w:hAnsi="宋体" w:eastAsia="宋体" w:cs="Times New Roman"/>
      <w:kern w:val="2"/>
      <w:sz w:val="24"/>
      <w:szCs w:val="24"/>
    </w:rPr>
  </w:style>
  <w:style w:type="character" w:customStyle="1" w:styleId="24">
    <w:name w:val="批注文字 字符1"/>
    <w:qFormat/>
    <w:uiPriority w:val="99"/>
    <w:rPr>
      <w:rFonts w:eastAsia="仿宋"/>
      <w:kern w:val="2"/>
      <w:sz w:val="28"/>
      <w:szCs w:val="24"/>
    </w:rPr>
  </w:style>
  <w:style w:type="table" w:customStyle="1" w:styleId="25">
    <w:name w:val="网格型2"/>
    <w:basedOn w:val="11"/>
    <w:qFormat/>
    <w:uiPriority w:val="0"/>
    <w:rPr>
      <w:rFonts w:ascii="Calibri" w:hAnsi="Calibri" w:eastAsia="宋体" w:cs="Times New Roman"/>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26">
    <w:name w:val="批注框文本 Char"/>
    <w:basedOn w:val="13"/>
    <w:link w:val="7"/>
    <w:qFormat/>
    <w:uiPriority w:val="0"/>
    <w:rPr>
      <w:rFonts w:ascii="宋体" w:hAnsi="宋体" w:eastAsia="宋体" w:cs="Times New Roman"/>
      <w:kern w:val="2"/>
      <w:sz w:val="18"/>
      <w:szCs w:val="18"/>
    </w:rPr>
  </w:style>
  <w:style w:type="character" w:customStyle="1" w:styleId="27">
    <w:name w:val="标题 2 Char"/>
    <w:basedOn w:val="13"/>
    <w:link w:val="3"/>
    <w:qFormat/>
    <w:uiPriority w:val="9"/>
    <w:rPr>
      <w:rFonts w:ascii="宋体" w:hAnsi="宋体" w:eastAsia="宋体" w:cs="Times New Roman"/>
      <w:b/>
      <w:bCs/>
      <w:kern w:val="2"/>
      <w:sz w:val="30"/>
      <w:szCs w:val="32"/>
    </w:rPr>
  </w:style>
  <w:style w:type="character" w:customStyle="1" w:styleId="28">
    <w:name w:val="列出段落 Char"/>
    <w:link w:val="22"/>
    <w:qFormat/>
    <w:uiPriority w:val="34"/>
    <w:rPr>
      <w:rFonts w:ascii="宋体" w:hAnsi="宋体" w:eastAsia="宋体" w:cs="Times New Roman"/>
      <w:kern w:val="2"/>
      <w:sz w:val="24"/>
      <w:szCs w:val="24"/>
    </w:rPr>
  </w:style>
  <w:style w:type="paragraph" w:customStyle="1" w:styleId="29">
    <w:name w:val="修订1"/>
    <w:hidden/>
    <w:unhideWhenUsed/>
    <w:qFormat/>
    <w:uiPriority w:val="99"/>
    <w:rPr>
      <w:rFonts w:ascii="宋体" w:hAnsi="宋体" w:eastAsia="宋体" w:cs="Times New Roman"/>
      <w:kern w:val="2"/>
      <w:sz w:val="24"/>
      <w:szCs w:val="24"/>
      <w:lang w:val="en-US" w:eastAsia="zh-CN" w:bidi="ar-SA"/>
    </w:rPr>
  </w:style>
  <w:style w:type="paragraph" w:customStyle="1" w:styleId="30">
    <w:name w:val="Revision"/>
    <w:hidden/>
    <w:unhideWhenUsed/>
    <w:qFormat/>
    <w:uiPriority w:val="99"/>
    <w:rPr>
      <w:rFonts w:ascii="宋体" w:hAnsi="宋体"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AF5D2FAA-7B91-4B9C-8AF9-EFBECB4DF3BC}">
  <ds:schemaRefs/>
</ds:datastoreItem>
</file>

<file path=docProps/app.xml><?xml version="1.0" encoding="utf-8"?>
<Properties xmlns="http://schemas.openxmlformats.org/officeDocument/2006/extended-properties" xmlns:vt="http://schemas.openxmlformats.org/officeDocument/2006/docPropsVTypes">
  <Template>Normal</Template>
  <Pages>15</Pages>
  <Words>2053</Words>
  <Characters>11708</Characters>
  <Lines>97</Lines>
  <Paragraphs>27</Paragraphs>
  <TotalTime>100</TotalTime>
  <ScaleCrop>false</ScaleCrop>
  <LinksUpToDate>false</LinksUpToDate>
  <CharactersWithSpaces>13734</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2024-05-14T23:04:00Z</dcterms:created>
  <dc:creator>user</dc:creator>
  <cp:lastModifiedBy>李修辞</cp:lastModifiedBy>
  <dcterms:modified xsi:type="dcterms:W3CDTF">2025-11-04T15:21:08Z</dcterms:modified>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C0333D9C9EDC434881011F08177B8D11_12</vt:lpwstr>
  </property>
</Properties>
</file>