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ascii="黑体" w:hAnsi="黑体" w:eastAsia="黑体"/>
          <w:sz w:val="48"/>
          <w:szCs w:val="48"/>
        </w:rPr>
      </w:pPr>
    </w:p>
    <w:p>
      <w:pPr>
        <w:ind w:firstLine="0" w:firstLineChars="0"/>
        <w:jc w:val="center"/>
        <w:rPr>
          <w:rFonts w:ascii="黑体" w:hAnsi="黑体" w:eastAsia="黑体"/>
          <w:sz w:val="48"/>
          <w:szCs w:val="48"/>
        </w:rPr>
      </w:pPr>
    </w:p>
    <w:p>
      <w:pPr>
        <w:ind w:firstLine="0" w:firstLineChars="0"/>
        <w:jc w:val="center"/>
        <w:rPr>
          <w:rFonts w:ascii="黑体" w:hAnsi="黑体" w:eastAsia="黑体"/>
          <w:sz w:val="52"/>
          <w:szCs w:val="52"/>
        </w:rPr>
      </w:pPr>
      <w:r>
        <w:rPr>
          <w:rFonts w:hint="eastAsia" w:ascii="黑体" w:hAnsi="黑体" w:eastAsia="黑体"/>
          <w:sz w:val="52"/>
          <w:szCs w:val="52"/>
        </w:rPr>
        <w:t>自然资源和资产管理大系统</w:t>
      </w:r>
      <w:bookmarkStart w:id="39" w:name="_GoBack"/>
      <w:bookmarkEnd w:id="39"/>
    </w:p>
    <w:p>
      <w:pPr>
        <w:ind w:firstLine="0" w:firstLineChars="0"/>
        <w:jc w:val="center"/>
        <w:rPr>
          <w:rFonts w:ascii="黑体" w:hAnsi="黑体" w:eastAsia="黑体"/>
          <w:sz w:val="52"/>
          <w:szCs w:val="52"/>
        </w:rPr>
      </w:pPr>
      <w:r>
        <w:rPr>
          <w:rFonts w:hint="eastAsia" w:ascii="黑体" w:hAnsi="黑体" w:eastAsia="黑体"/>
          <w:sz w:val="52"/>
          <w:szCs w:val="52"/>
        </w:rPr>
        <w:t>（2025年升级改造）项目</w:t>
      </w:r>
    </w:p>
    <w:p>
      <w:pPr>
        <w:ind w:firstLine="0" w:firstLineChars="0"/>
        <w:jc w:val="center"/>
        <w:sectPr>
          <w:headerReference r:id="rId7" w:type="first"/>
          <w:footerReference r:id="rId10" w:type="first"/>
          <w:headerReference r:id="rId5" w:type="default"/>
          <w:footerReference r:id="rId8" w:type="default"/>
          <w:headerReference r:id="rId6" w:type="even"/>
          <w:footerReference r:id="rId9" w:type="even"/>
          <w:pgSz w:w="11906" w:h="16838"/>
          <w:pgMar w:top="1134" w:right="1797" w:bottom="1135" w:left="1797" w:header="340" w:footer="7" w:gutter="0"/>
          <w:pgNumType w:start="1"/>
          <w:cols w:space="720" w:num="1"/>
          <w:titlePg/>
          <w:docGrid w:type="linesAndChars" w:linePitch="326" w:charSpace="0"/>
        </w:sectPr>
      </w:pPr>
      <w:r>
        <w:rPr>
          <w:rFonts w:hint="eastAsia" w:ascii="黑体" w:hAnsi="黑体" w:eastAsia="黑体"/>
          <w:sz w:val="52"/>
          <w:szCs w:val="52"/>
        </w:rPr>
        <w:t>采购需求</w:t>
      </w:r>
    </w:p>
    <w:p>
      <w:pPr>
        <w:pStyle w:val="2"/>
      </w:pPr>
      <w:bookmarkStart w:id="0" w:name="_Toc63785461"/>
      <w:r>
        <w:rPr>
          <w:rFonts w:hint="eastAsia"/>
        </w:rPr>
        <w:t>项目概况</w:t>
      </w:r>
      <w:bookmarkEnd w:id="0"/>
    </w:p>
    <w:p>
      <w:pPr>
        <w:pStyle w:val="61"/>
        <w:numPr>
          <w:ilvl w:val="0"/>
          <w:numId w:val="3"/>
        </w:numPr>
        <w:spacing w:line="560" w:lineRule="exact"/>
        <w:ind w:firstLineChars="0"/>
        <w:rPr>
          <w:rFonts w:ascii="微软雅黑" w:hAnsi="微软雅黑" w:eastAsia="微软雅黑"/>
          <w:b/>
          <w:bCs/>
          <w:sz w:val="24"/>
        </w:rPr>
      </w:pPr>
      <w:r>
        <w:rPr>
          <w:rFonts w:hint="eastAsia" w:ascii="仿宋" w:hAnsi="仿宋"/>
          <w:b/>
          <w:bCs/>
          <w:sz w:val="24"/>
        </w:rPr>
        <w:t>项目背景</w:t>
      </w:r>
      <w:r>
        <w:rPr>
          <w:rFonts w:hint="eastAsia" w:ascii="微软雅黑" w:hAnsi="微软雅黑" w:eastAsia="微软雅黑"/>
          <w:b/>
          <w:bCs/>
          <w:sz w:val="24"/>
        </w:rPr>
        <w:t>：</w:t>
      </w:r>
    </w:p>
    <w:p>
      <w:pPr>
        <w:rPr>
          <w:rFonts w:ascii="仿宋" w:hAnsi="仿宋"/>
          <w:bCs/>
        </w:rPr>
      </w:pPr>
      <w:r>
        <w:rPr>
          <w:rFonts w:hint="eastAsia" w:ascii="仿宋" w:hAnsi="仿宋"/>
          <w:bCs/>
        </w:rPr>
        <w:t>自然资源资产管理大系统，包括空间底板大系统及地质子系统两个子系统。空间底板大系统始建于</w:t>
      </w:r>
      <w:r>
        <w:rPr>
          <w:rFonts w:ascii="仿宋" w:hAnsi="仿宋"/>
          <w:bCs/>
        </w:rPr>
        <w:t>2021年，以测绘调查精细化为总体目标，融合整合局内基础地形数据、现状地类数据、权利归属数据等数据的调查业务，建设形成了“测绘管理、基础测绘、现状调查、权属调查”等多个功能模块。地质子系统，</w:t>
      </w:r>
      <w:r>
        <w:rPr>
          <w:rFonts w:hint="eastAsia" w:ascii="仿宋" w:hAnsi="仿宋"/>
          <w:bCs/>
        </w:rPr>
        <w:t>于</w:t>
      </w:r>
      <w:r>
        <w:rPr>
          <w:rFonts w:ascii="仿宋" w:hAnsi="仿宋"/>
          <w:bCs/>
        </w:rPr>
        <w:t xml:space="preserve"> 2022年启动建设系统建设工作，以地质地矿数据为管理目标，将地质与矿产资源领域各业务事项进行全面梳理，主要建设形成了“业务管理、信息共享、智慧应用、实时感知智能化”四大管理板块。随着近几年新的政策发布与调整，无论是测绘调查方面还是地质管理方面，原有的系统流程与功能已逐渐无法满足新的业务需要，亟需对现有系统进行升级改造，以满足政务信息化的要求，加快信息化项目融合整合进程，提升空间底板数据与地质地矿数据的整体服务效能。</w:t>
      </w:r>
    </w:p>
    <w:p>
      <w:pPr>
        <w:pStyle w:val="61"/>
        <w:numPr>
          <w:ilvl w:val="0"/>
          <w:numId w:val="3"/>
        </w:numPr>
        <w:spacing w:line="560" w:lineRule="exact"/>
        <w:ind w:firstLineChars="0"/>
        <w:rPr>
          <w:rFonts w:ascii="仿宋" w:hAnsi="仿宋"/>
          <w:b/>
          <w:bCs/>
          <w:sz w:val="24"/>
          <w:lang w:val="zh-CN"/>
        </w:rPr>
      </w:pPr>
      <w:r>
        <w:rPr>
          <w:rFonts w:hint="eastAsia" w:ascii="仿宋" w:hAnsi="仿宋"/>
          <w:b/>
          <w:bCs/>
          <w:sz w:val="24"/>
        </w:rPr>
        <w:t>建设期限：</w:t>
      </w:r>
      <w:r>
        <w:rPr>
          <w:rFonts w:hint="eastAsia" w:ascii="仿宋" w:hAnsi="仿宋" w:cstheme="minorEastAsia"/>
          <w:sz w:val="24"/>
        </w:rPr>
        <w:t>自合同签订之日起至2025年11月30日；</w:t>
      </w:r>
    </w:p>
    <w:p>
      <w:pPr>
        <w:pStyle w:val="61"/>
        <w:numPr>
          <w:ilvl w:val="0"/>
          <w:numId w:val="3"/>
        </w:numPr>
        <w:spacing w:line="560" w:lineRule="exact"/>
        <w:ind w:firstLineChars="0"/>
        <w:rPr>
          <w:rFonts w:ascii="仿宋" w:hAnsi="仿宋"/>
          <w:b/>
          <w:bCs/>
          <w:sz w:val="24"/>
        </w:rPr>
      </w:pPr>
      <w:r>
        <w:rPr>
          <w:rFonts w:hint="eastAsia" w:ascii="仿宋" w:hAnsi="仿宋"/>
          <w:b/>
          <w:bCs/>
          <w:sz w:val="24"/>
        </w:rPr>
        <w:t>建设地点：</w:t>
      </w:r>
      <w:r>
        <w:rPr>
          <w:rFonts w:hint="eastAsia" w:ascii="仿宋" w:hAnsi="仿宋" w:cstheme="minorEastAsia"/>
          <w:sz w:val="24"/>
        </w:rPr>
        <w:t>上海市规划和自然资源局，上海市北京西路</w:t>
      </w:r>
      <w:r>
        <w:rPr>
          <w:rFonts w:ascii="仿宋" w:hAnsi="仿宋" w:cstheme="minorEastAsia"/>
          <w:sz w:val="24"/>
        </w:rPr>
        <w:t>99号及上海市大数据中心指定地点；</w:t>
      </w:r>
    </w:p>
    <w:p>
      <w:pPr>
        <w:pStyle w:val="61"/>
        <w:numPr>
          <w:ilvl w:val="0"/>
          <w:numId w:val="3"/>
        </w:numPr>
        <w:spacing w:line="560" w:lineRule="exact"/>
        <w:ind w:firstLineChars="0"/>
        <w:rPr>
          <w:rFonts w:ascii="仿宋" w:hAnsi="仿宋"/>
          <w:b/>
          <w:bCs/>
          <w:sz w:val="24"/>
        </w:rPr>
      </w:pPr>
      <w:r>
        <w:rPr>
          <w:rFonts w:hint="eastAsia" w:ascii="仿宋" w:hAnsi="仿宋"/>
          <w:b/>
          <w:bCs/>
          <w:sz w:val="24"/>
        </w:rPr>
        <w:t>预算金额：</w:t>
      </w:r>
      <w:r>
        <w:rPr>
          <w:rFonts w:ascii="仿宋" w:hAnsi="仿宋"/>
          <w:sz w:val="24"/>
        </w:rPr>
        <w:t>2,184,500</w:t>
      </w:r>
      <w:r>
        <w:rPr>
          <w:rFonts w:hint="eastAsia" w:ascii="仿宋" w:hAnsi="仿宋"/>
          <w:sz w:val="24"/>
        </w:rPr>
        <w:t>元；</w:t>
      </w:r>
    </w:p>
    <w:p>
      <w:pPr>
        <w:pStyle w:val="61"/>
        <w:numPr>
          <w:ilvl w:val="0"/>
          <w:numId w:val="3"/>
        </w:numPr>
        <w:spacing w:line="560" w:lineRule="exact"/>
        <w:ind w:firstLineChars="0"/>
        <w:rPr>
          <w:rFonts w:ascii="仿宋" w:hAnsi="仿宋"/>
          <w:b/>
          <w:bCs/>
          <w:sz w:val="24"/>
        </w:rPr>
      </w:pPr>
      <w:r>
        <w:rPr>
          <w:rFonts w:hint="eastAsia" w:ascii="仿宋" w:hAnsi="仿宋"/>
          <w:b/>
          <w:bCs/>
          <w:sz w:val="24"/>
        </w:rPr>
        <w:t>采购金额（最高限价）：</w:t>
      </w:r>
      <w:r>
        <w:rPr>
          <w:rFonts w:ascii="仿宋" w:hAnsi="仿宋"/>
          <w:sz w:val="24"/>
        </w:rPr>
        <w:t>2,184,500</w:t>
      </w:r>
      <w:r>
        <w:rPr>
          <w:rFonts w:hint="eastAsia" w:ascii="仿宋" w:hAnsi="仿宋"/>
          <w:sz w:val="24"/>
        </w:rPr>
        <w:t>元；</w:t>
      </w:r>
    </w:p>
    <w:p>
      <w:pPr>
        <w:pStyle w:val="61"/>
        <w:numPr>
          <w:ilvl w:val="0"/>
          <w:numId w:val="3"/>
        </w:numPr>
        <w:ind w:firstLineChars="0"/>
        <w:rPr>
          <w:rFonts w:ascii="仿宋" w:hAnsi="仿宋"/>
          <w:b/>
          <w:bCs/>
          <w:sz w:val="24"/>
        </w:rPr>
      </w:pPr>
      <w:r>
        <w:rPr>
          <w:rFonts w:hint="eastAsia" w:ascii="仿宋" w:hAnsi="仿宋"/>
          <w:b/>
          <w:bCs/>
          <w:sz w:val="24"/>
        </w:rPr>
        <w:t>组织形式：</w:t>
      </w:r>
      <w:r>
        <w:rPr>
          <w:rFonts w:hint="eastAsia" w:ascii="仿宋" w:hAnsi="仿宋"/>
          <w:sz w:val="24"/>
        </w:rPr>
        <w:t>集中采购；</w:t>
      </w:r>
    </w:p>
    <w:p>
      <w:pPr>
        <w:pStyle w:val="61"/>
        <w:numPr>
          <w:ilvl w:val="0"/>
          <w:numId w:val="3"/>
        </w:numPr>
        <w:ind w:firstLineChars="0"/>
        <w:rPr>
          <w:rFonts w:ascii="仿宋" w:hAnsi="仿宋"/>
          <w:b/>
          <w:bCs/>
          <w:sz w:val="24"/>
        </w:rPr>
      </w:pPr>
      <w:r>
        <w:rPr>
          <w:rFonts w:hint="eastAsia" w:ascii="仿宋" w:hAnsi="仿宋"/>
          <w:b/>
          <w:bCs/>
          <w:sz w:val="24"/>
        </w:rPr>
        <w:t>采购方式：</w:t>
      </w:r>
      <w:r>
        <w:rPr>
          <w:rFonts w:hint="eastAsia" w:ascii="仿宋" w:hAnsi="仿宋"/>
          <w:sz w:val="24"/>
        </w:rPr>
        <w:t>竞争性磋商；</w:t>
      </w:r>
    </w:p>
    <w:p>
      <w:pPr>
        <w:pStyle w:val="61"/>
        <w:numPr>
          <w:ilvl w:val="0"/>
          <w:numId w:val="3"/>
        </w:numPr>
        <w:ind w:firstLineChars="0"/>
        <w:rPr>
          <w:rFonts w:ascii="仿宋" w:hAnsi="仿宋"/>
          <w:b/>
          <w:bCs/>
          <w:sz w:val="24"/>
        </w:rPr>
      </w:pPr>
      <w:r>
        <w:rPr>
          <w:rFonts w:hint="eastAsia" w:ascii="仿宋" w:hAnsi="仿宋"/>
          <w:b/>
          <w:bCs/>
          <w:sz w:val="24"/>
        </w:rPr>
        <w:t>是否接受联合体投标：</w:t>
      </w:r>
      <w:r>
        <w:rPr>
          <w:rFonts w:hint="eastAsia" w:ascii="仿宋" w:hAnsi="仿宋"/>
          <w:sz w:val="24"/>
        </w:rPr>
        <w:t>否；</w:t>
      </w:r>
    </w:p>
    <w:p>
      <w:pPr>
        <w:pStyle w:val="61"/>
        <w:numPr>
          <w:ilvl w:val="0"/>
          <w:numId w:val="3"/>
        </w:numPr>
        <w:ind w:firstLineChars="0"/>
        <w:rPr>
          <w:rFonts w:ascii="仿宋" w:hAnsi="仿宋"/>
          <w:b/>
          <w:bCs/>
          <w:sz w:val="24"/>
        </w:rPr>
      </w:pPr>
      <w:r>
        <w:rPr>
          <w:rFonts w:hint="eastAsia" w:ascii="仿宋" w:hAnsi="仿宋"/>
          <w:b/>
          <w:bCs/>
          <w:sz w:val="24"/>
        </w:rPr>
        <w:t>是否按信创要求建设：</w:t>
      </w:r>
      <w:r>
        <w:rPr>
          <w:rFonts w:hint="eastAsia" w:ascii="仿宋" w:hAnsi="仿宋"/>
          <w:sz w:val="24"/>
        </w:rPr>
        <w:t>是；</w:t>
      </w:r>
    </w:p>
    <w:p>
      <w:pPr>
        <w:pStyle w:val="61"/>
        <w:numPr>
          <w:ilvl w:val="0"/>
          <w:numId w:val="3"/>
        </w:numPr>
        <w:ind w:firstLineChars="0"/>
        <w:rPr>
          <w:rFonts w:ascii="仿宋" w:hAnsi="仿宋"/>
          <w:b/>
          <w:bCs/>
          <w:sz w:val="24"/>
        </w:rPr>
      </w:pPr>
      <w:r>
        <w:rPr>
          <w:rFonts w:hint="eastAsia" w:ascii="仿宋" w:hAnsi="仿宋"/>
          <w:b/>
          <w:bCs/>
          <w:sz w:val="24"/>
        </w:rPr>
        <w:t>运维后所属大系统：</w:t>
      </w:r>
      <w:r>
        <w:rPr>
          <w:rFonts w:hint="eastAsia" w:ascii="仿宋" w:hAnsi="仿宋"/>
          <w:sz w:val="24"/>
        </w:rPr>
        <w:t>自然资源和资产管理大系统</w:t>
      </w:r>
      <w:r>
        <w:rPr>
          <w:rFonts w:hint="eastAsia" w:ascii="仿宋" w:hAnsi="仿宋"/>
          <w:b/>
          <w:bCs/>
          <w:sz w:val="24"/>
        </w:rPr>
        <w:t>。</w:t>
      </w:r>
    </w:p>
    <w:p>
      <w:pPr>
        <w:pStyle w:val="2"/>
      </w:pPr>
      <w:bookmarkStart w:id="1" w:name="_Toc47537134"/>
      <w:bookmarkEnd w:id="1"/>
      <w:bookmarkStart w:id="2" w:name="_Toc47536272"/>
      <w:bookmarkEnd w:id="2"/>
      <w:bookmarkStart w:id="3" w:name="_Toc47531634"/>
      <w:bookmarkEnd w:id="3"/>
      <w:bookmarkStart w:id="4" w:name="_Toc47533256"/>
      <w:bookmarkEnd w:id="4"/>
      <w:bookmarkStart w:id="5" w:name="_Toc47532255"/>
      <w:bookmarkEnd w:id="5"/>
      <w:bookmarkStart w:id="6" w:name="_Toc47536644"/>
      <w:bookmarkEnd w:id="6"/>
      <w:bookmarkStart w:id="7" w:name="_Toc47532891"/>
      <w:bookmarkEnd w:id="7"/>
      <w:bookmarkStart w:id="8" w:name="_Toc47539070"/>
      <w:bookmarkEnd w:id="8"/>
      <w:bookmarkStart w:id="9" w:name="_Toc63785463"/>
      <w:bookmarkStart w:id="10" w:name="_Toc48223882"/>
      <w:r>
        <w:rPr>
          <w:rFonts w:hint="eastAsia"/>
        </w:rPr>
        <w:t>建设目标</w:t>
      </w:r>
      <w:bookmarkEnd w:id="9"/>
      <w:bookmarkEnd w:id="10"/>
    </w:p>
    <w:p>
      <w:pPr>
        <w:pStyle w:val="3"/>
        <w:ind w:left="709"/>
        <w:rPr>
          <w:rFonts w:ascii="仿宋" w:hAnsi="仿宋"/>
          <w:sz w:val="24"/>
          <w:szCs w:val="24"/>
        </w:rPr>
      </w:pPr>
      <w:r>
        <w:rPr>
          <w:rFonts w:hint="eastAsia" w:ascii="仿宋" w:hAnsi="仿宋"/>
          <w:sz w:val="24"/>
          <w:szCs w:val="24"/>
        </w:rPr>
        <w:t>项目总体目标</w:t>
      </w:r>
    </w:p>
    <w:p>
      <w:pPr>
        <w:pStyle w:val="4"/>
        <w:rPr>
          <w:rFonts w:ascii="仿宋" w:hAnsi="仿宋"/>
          <w:sz w:val="24"/>
          <w:szCs w:val="24"/>
        </w:rPr>
      </w:pPr>
      <w:r>
        <w:rPr>
          <w:rFonts w:hint="eastAsia" w:ascii="仿宋" w:hAnsi="仿宋"/>
          <w:sz w:val="24"/>
          <w:szCs w:val="24"/>
        </w:rPr>
        <w:t>空间底板大系统</w:t>
      </w:r>
    </w:p>
    <w:p>
      <w:pPr>
        <w:ind w:firstLine="482"/>
        <w:rPr>
          <w:rFonts w:ascii="仿宋" w:hAnsi="仿宋"/>
          <w:b/>
        </w:rPr>
      </w:pPr>
      <w:r>
        <w:rPr>
          <w:rFonts w:hint="eastAsia" w:ascii="仿宋" w:hAnsi="仿宋"/>
          <w:b/>
        </w:rPr>
        <w:t>一、延伸“多测合一”审批流程，升级“多测合一”测绘机构管理机制，做到覆盖工程审批全过程</w:t>
      </w:r>
    </w:p>
    <w:p>
      <w:pPr>
        <w:rPr>
          <w:rFonts w:ascii="仿宋" w:hAnsi="仿宋"/>
          <w:bCs/>
        </w:rPr>
      </w:pPr>
      <w:r>
        <w:rPr>
          <w:rFonts w:hint="eastAsia" w:ascii="仿宋" w:hAnsi="仿宋"/>
          <w:bCs/>
        </w:rPr>
        <w:t>通过打通各系统间的衔接，从测绘从业机构管理开始到最终建设项目竣工验收，衔接从业主体管理、勘测定界、多测合一项目立项、多测合一验收流程，实现工程测绘的全流程线上管理，从而做到不同阶段数据互认互查，提升项目测绘质量。优化成果数据共享机制，确保勘测定界、开工放样、竣工验收等数据在相关部门之间高速、无缝流转，减少重复测绘。使用优化后的“多测合一”流程，减少测绘过程中不必要的重复和冗余，缩短审批周期。压减建设项目测绘成本，为企业节省资金和时间成本。加强横向测绘机构管理，确保测绘环节规范、透明和高效，为打造规划资源领域一流营商环境奠定基础。</w:t>
      </w:r>
    </w:p>
    <w:p>
      <w:pPr>
        <w:ind w:firstLine="482"/>
        <w:rPr>
          <w:rFonts w:ascii="仿宋" w:hAnsi="仿宋"/>
          <w:b/>
        </w:rPr>
      </w:pPr>
      <w:r>
        <w:rPr>
          <w:rFonts w:hint="eastAsia" w:ascii="仿宋" w:hAnsi="仿宋"/>
          <w:b/>
        </w:rPr>
        <w:t>二、建设土地监测、管理、执法工作协同机制，保护粮食安全，维持底板现势性</w:t>
      </w:r>
    </w:p>
    <w:p>
      <w:pPr>
        <w:rPr>
          <w:rFonts w:ascii="仿宋" w:hAnsi="仿宋"/>
          <w:bCs/>
        </w:rPr>
      </w:pPr>
      <w:r>
        <w:rPr>
          <w:rFonts w:hint="eastAsia" w:ascii="仿宋" w:hAnsi="仿宋"/>
          <w:bCs/>
        </w:rPr>
        <w:t>通过归集现状监测线索入口，进行统一套合挂接与业务甄别，完善现状监测业务协同，并闭环监测处置信息，以进行及时的底板更新工作。从而完善监测机制，做到及时发现及查处违法情况，守卫耕地红线，保护粮食安全。</w:t>
      </w:r>
    </w:p>
    <w:p>
      <w:pPr>
        <w:ind w:firstLine="482"/>
        <w:rPr>
          <w:rFonts w:ascii="仿宋" w:hAnsi="仿宋"/>
          <w:b/>
        </w:rPr>
      </w:pPr>
      <w:r>
        <w:rPr>
          <w:rFonts w:hint="eastAsia" w:ascii="仿宋" w:hAnsi="仿宋"/>
          <w:b/>
        </w:rPr>
        <w:t>三、以“巡查、调查”数据为核心，构建统一支撑的移动业务支撑系统，提供真实、及时、有效的移动业务数据支撑</w:t>
      </w:r>
    </w:p>
    <w:p>
      <w:pPr>
        <w:rPr>
          <w:rFonts w:ascii="仿宋" w:hAnsi="仿宋"/>
          <w:bCs/>
        </w:rPr>
      </w:pPr>
      <w:r>
        <w:rPr>
          <w:rFonts w:hint="eastAsia" w:ascii="仿宋" w:hAnsi="仿宋"/>
          <w:bCs/>
        </w:rPr>
        <w:t>以“离线</w:t>
      </w:r>
      <w:r>
        <w:rPr>
          <w:rFonts w:ascii="仿宋" w:hAnsi="仿宋"/>
          <w:bCs/>
        </w:rPr>
        <w:t>+在线”相结合的方式支持全覆盖场景，离线保证最基本的数据采集功能，适应无网络环境，保证作业人员任何时间都可以正常作业，在线提供完整外业流程功能，更好的在室外环境条件下完成所需的工作，加强各业务系统对所需外业数据的采集规范和更新机制，促进外业数据质量全面提升。</w:t>
      </w:r>
    </w:p>
    <w:p>
      <w:pPr>
        <w:pStyle w:val="4"/>
        <w:rPr>
          <w:rFonts w:ascii="仿宋" w:hAnsi="仿宋"/>
          <w:sz w:val="24"/>
          <w:szCs w:val="24"/>
        </w:rPr>
      </w:pPr>
      <w:r>
        <w:rPr>
          <w:rFonts w:hint="eastAsia" w:ascii="仿宋" w:hAnsi="仿宋"/>
          <w:sz w:val="24"/>
          <w:szCs w:val="24"/>
        </w:rPr>
        <w:t>市规划资源局地质子系统</w:t>
      </w:r>
    </w:p>
    <w:p>
      <w:pPr>
        <w:ind w:firstLine="482"/>
        <w:rPr>
          <w:rFonts w:ascii="仿宋" w:hAnsi="仿宋"/>
          <w:b/>
        </w:rPr>
      </w:pPr>
      <w:r>
        <w:rPr>
          <w:rFonts w:hint="eastAsia" w:ascii="仿宋" w:hAnsi="仿宋"/>
          <w:b/>
        </w:rPr>
        <w:t>一、加强地质相关工作，包括风险监测分析、灾害管控、资质管理、数据管理、信用数据归集及业务流程优化等。</w:t>
      </w:r>
    </w:p>
    <w:p>
      <w:pPr>
        <w:rPr>
          <w:rFonts w:ascii="仿宋" w:hAnsi="仿宋"/>
          <w:bCs/>
        </w:rPr>
      </w:pPr>
      <w:r>
        <w:rPr>
          <w:rFonts w:hint="eastAsia" w:ascii="仿宋" w:hAnsi="仿宋"/>
          <w:bCs/>
        </w:rPr>
        <w:t>通过加强地面沉降等地质安全风险要素监测数据融合分析，建立相关体系，推进多系统互联互通，提高风险防控预警及时性，加大山体边坡巡查力度以保障安全。</w:t>
      </w:r>
    </w:p>
    <w:p>
      <w:pPr>
        <w:rPr>
          <w:rFonts w:ascii="仿宋" w:hAnsi="仿宋"/>
          <w:bCs/>
        </w:rPr>
      </w:pPr>
      <w:r>
        <w:rPr>
          <w:rFonts w:hint="eastAsia" w:ascii="仿宋" w:hAnsi="仿宋"/>
          <w:bCs/>
        </w:rPr>
        <w:t>依照相关办法加强地质灾害防治单位资质管理，优化审批流程，严格审查申请材料，同时要加强图属数据管理，提高地质数据完整度和时效性，实现与大数据“双公示”系统自动化推送以促进公共信用数据归集。</w:t>
      </w:r>
    </w:p>
    <w:p>
      <w:pPr>
        <w:rPr>
          <w:rFonts w:ascii="仿宋" w:hAnsi="仿宋"/>
          <w:bCs/>
        </w:rPr>
      </w:pPr>
      <w:r>
        <w:rPr>
          <w:rFonts w:hint="eastAsia" w:ascii="仿宋" w:hAnsi="仿宋"/>
          <w:bCs/>
        </w:rPr>
        <w:t>为了优化业务流程，提升管理效率、利用信息化手段减少人力物力投入，实现数据准确识别、接入成果全面应用的目的。依照业务要求，对地质资料汇交工作，进行汇交资料信息核查，完善钻孔点位实时落地检测，实现从无到有的业务、图形数据的沉淀。</w:t>
      </w:r>
    </w:p>
    <w:p>
      <w:pPr>
        <w:pStyle w:val="3"/>
      </w:pPr>
      <w:r>
        <w:rPr>
          <w:rFonts w:hint="eastAsia"/>
        </w:rPr>
        <w:t>应用目标</w:t>
      </w:r>
    </w:p>
    <w:p>
      <w:pPr>
        <w:pStyle w:val="4"/>
        <w:rPr>
          <w:rFonts w:ascii="仿宋" w:hAnsi="仿宋"/>
          <w:sz w:val="24"/>
          <w:szCs w:val="24"/>
        </w:rPr>
      </w:pPr>
      <w:r>
        <w:rPr>
          <w:rFonts w:hint="eastAsia" w:ascii="仿宋" w:hAnsi="仿宋"/>
          <w:sz w:val="24"/>
          <w:szCs w:val="24"/>
        </w:rPr>
        <w:t>空间底板大系统</w:t>
      </w:r>
    </w:p>
    <w:tbl>
      <w:tblPr>
        <w:tblStyle w:val="35"/>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801"/>
        <w:gridCol w:w="1443"/>
        <w:gridCol w:w="1441"/>
        <w:gridCol w:w="1573"/>
        <w:gridCol w:w="1438"/>
        <w:gridCol w:w="183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1316" w:type="pct"/>
            <w:gridSpan w:val="2"/>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pStyle w:val="136"/>
              <w:rPr>
                <w:rFonts w:ascii="仿宋" w:hAnsi="仿宋" w:cs="Times New Roman"/>
                <w:bCs/>
                <w:szCs w:val="21"/>
              </w:rPr>
            </w:pPr>
            <w:r>
              <w:rPr>
                <w:rFonts w:hint="eastAsia" w:ascii="仿宋" w:hAnsi="仿宋" w:cs="Times New Roman"/>
                <w:bCs/>
                <w:szCs w:val="21"/>
              </w:rPr>
              <w:t>业务目标</w:t>
            </w:r>
          </w:p>
        </w:tc>
        <w:tc>
          <w:tcPr>
            <w:tcW w:w="3684" w:type="pct"/>
            <w:gridSpan w:val="4"/>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pStyle w:val="136"/>
              <w:rPr>
                <w:rFonts w:ascii="仿宋" w:hAnsi="仿宋" w:cs="Times New Roman"/>
                <w:bCs/>
                <w:szCs w:val="21"/>
              </w:rPr>
            </w:pPr>
            <w:r>
              <w:rPr>
                <w:rFonts w:hint="eastAsia" w:ascii="仿宋" w:hAnsi="仿宋" w:cs="Times New Roman"/>
                <w:bCs/>
                <w:szCs w:val="21"/>
              </w:rPr>
              <w:t>提升测绘调查业务办理效率，优化营商环境，助力耕地保护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3" w:hRule="atLeast"/>
          <w:jc w:val="center"/>
        </w:trPr>
        <w:tc>
          <w:tcPr>
            <w:tcW w:w="470" w:type="pct"/>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pStyle w:val="136"/>
              <w:rPr>
                <w:rFonts w:ascii="仿宋" w:hAnsi="仿宋" w:cs="Times New Roman"/>
                <w:bCs/>
                <w:szCs w:val="21"/>
              </w:rPr>
            </w:pPr>
            <w:r>
              <w:rPr>
                <w:rFonts w:hint="eastAsia" w:ascii="仿宋" w:hAnsi="仿宋" w:cs="Times New Roman"/>
                <w:bCs/>
                <w:szCs w:val="21"/>
              </w:rPr>
              <w:t>序号</w:t>
            </w:r>
          </w:p>
        </w:tc>
        <w:tc>
          <w:tcPr>
            <w:tcW w:w="846" w:type="pct"/>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pStyle w:val="136"/>
              <w:rPr>
                <w:rFonts w:ascii="仿宋" w:hAnsi="仿宋" w:cs="Times New Roman"/>
                <w:bCs/>
                <w:szCs w:val="21"/>
              </w:rPr>
            </w:pPr>
            <w:r>
              <w:rPr>
                <w:rFonts w:hint="eastAsia" w:ascii="仿宋" w:hAnsi="仿宋" w:cs="Times New Roman"/>
                <w:bCs/>
                <w:szCs w:val="21"/>
              </w:rPr>
              <w:t>一级指标</w:t>
            </w:r>
          </w:p>
        </w:tc>
        <w:tc>
          <w:tcPr>
            <w:tcW w:w="845" w:type="pct"/>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pStyle w:val="136"/>
              <w:rPr>
                <w:rFonts w:ascii="仿宋" w:hAnsi="仿宋" w:cs="Times New Roman"/>
                <w:bCs/>
                <w:szCs w:val="21"/>
              </w:rPr>
            </w:pPr>
            <w:r>
              <w:rPr>
                <w:rFonts w:hint="eastAsia" w:ascii="仿宋" w:hAnsi="仿宋" w:cs="Times New Roman"/>
                <w:bCs/>
                <w:szCs w:val="21"/>
              </w:rPr>
              <w:t>二级指标</w:t>
            </w:r>
          </w:p>
        </w:tc>
        <w:tc>
          <w:tcPr>
            <w:tcW w:w="922" w:type="pct"/>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pStyle w:val="136"/>
              <w:rPr>
                <w:rFonts w:ascii="仿宋" w:hAnsi="仿宋" w:cs="Times New Roman"/>
                <w:bCs/>
                <w:szCs w:val="21"/>
              </w:rPr>
            </w:pPr>
            <w:r>
              <w:rPr>
                <w:rFonts w:hint="eastAsia" w:ascii="仿宋" w:hAnsi="仿宋" w:cs="Times New Roman"/>
                <w:bCs/>
                <w:szCs w:val="21"/>
              </w:rPr>
              <w:t>三级指标</w:t>
            </w:r>
          </w:p>
        </w:tc>
        <w:tc>
          <w:tcPr>
            <w:tcW w:w="843" w:type="pct"/>
            <w:tcBorders>
              <w:top w:val="single" w:color="auto" w:sz="4" w:space="0"/>
              <w:left w:val="single" w:color="auto" w:sz="4" w:space="0"/>
              <w:bottom w:val="single" w:color="auto" w:sz="4" w:space="0"/>
              <w:right w:val="single" w:color="auto" w:sz="4" w:space="0"/>
            </w:tcBorders>
            <w:shd w:val="clear" w:color="auto" w:fill="EEECE1" w:themeFill="background2"/>
          </w:tcPr>
          <w:p>
            <w:pPr>
              <w:pStyle w:val="136"/>
              <w:rPr>
                <w:rFonts w:ascii="仿宋" w:hAnsi="仿宋" w:cs="Times New Roman"/>
                <w:bCs/>
                <w:szCs w:val="21"/>
              </w:rPr>
            </w:pPr>
            <w:r>
              <w:rPr>
                <w:rFonts w:hint="eastAsia" w:ascii="仿宋" w:hAnsi="仿宋" w:cs="Times New Roman"/>
                <w:bCs/>
                <w:szCs w:val="21"/>
              </w:rPr>
              <w:t>四级指标</w:t>
            </w:r>
          </w:p>
        </w:tc>
        <w:tc>
          <w:tcPr>
            <w:tcW w:w="1074" w:type="pct"/>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pStyle w:val="136"/>
              <w:rPr>
                <w:rFonts w:ascii="仿宋" w:hAnsi="仿宋" w:cs="Times New Roman"/>
                <w:bCs/>
                <w:szCs w:val="21"/>
              </w:rPr>
            </w:pPr>
            <w:r>
              <w:rPr>
                <w:rFonts w:hint="eastAsia" w:ascii="仿宋" w:hAnsi="仿宋" w:cs="Times New Roman"/>
                <w:bCs/>
                <w:szCs w:val="21"/>
              </w:rPr>
              <w:t>指标值</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470" w:type="pct"/>
            <w:tcBorders>
              <w:top w:val="single" w:color="auto" w:sz="4" w:space="0"/>
            </w:tcBorders>
            <w:shd w:val="clear" w:color="auto" w:fill="auto"/>
            <w:vAlign w:val="center"/>
          </w:tcPr>
          <w:p>
            <w:pPr>
              <w:pStyle w:val="136"/>
              <w:rPr>
                <w:rFonts w:ascii="仿宋" w:hAnsi="仿宋" w:cs="Times New Roman"/>
                <w:bCs/>
                <w:szCs w:val="21"/>
              </w:rPr>
            </w:pPr>
            <w:r>
              <w:rPr>
                <w:rFonts w:ascii="仿宋" w:hAnsi="仿宋" w:cs="Times New Roman"/>
                <w:bCs/>
                <w:szCs w:val="21"/>
              </w:rPr>
              <w:t>1</w:t>
            </w:r>
          </w:p>
        </w:tc>
        <w:tc>
          <w:tcPr>
            <w:tcW w:w="846" w:type="pct"/>
            <w:tcBorders>
              <w:top w:val="single" w:color="auto" w:sz="4" w:space="0"/>
            </w:tcBorders>
            <w:shd w:val="clear" w:color="auto" w:fill="auto"/>
            <w:vAlign w:val="center"/>
          </w:tcPr>
          <w:p>
            <w:pPr>
              <w:pStyle w:val="136"/>
              <w:rPr>
                <w:rFonts w:ascii="仿宋" w:hAnsi="仿宋" w:cs="Times New Roman"/>
                <w:bCs/>
                <w:szCs w:val="21"/>
              </w:rPr>
            </w:pPr>
            <w:r>
              <w:rPr>
                <w:rFonts w:hint="eastAsia" w:ascii="仿宋" w:hAnsi="仿宋" w:cs="Times New Roman"/>
                <w:bCs/>
                <w:szCs w:val="21"/>
              </w:rPr>
              <w:t>通用指标</w:t>
            </w:r>
          </w:p>
        </w:tc>
        <w:tc>
          <w:tcPr>
            <w:tcW w:w="845" w:type="pct"/>
            <w:tcBorders>
              <w:top w:val="single" w:color="auto" w:sz="4" w:space="0"/>
            </w:tcBorders>
            <w:shd w:val="clear" w:color="auto" w:fill="auto"/>
            <w:vAlign w:val="center"/>
          </w:tcPr>
          <w:p>
            <w:pPr>
              <w:pStyle w:val="136"/>
              <w:rPr>
                <w:rFonts w:ascii="仿宋" w:hAnsi="仿宋" w:cs="Times New Roman"/>
                <w:bCs/>
                <w:szCs w:val="21"/>
              </w:rPr>
            </w:pPr>
            <w:r>
              <w:rPr>
                <w:rFonts w:hint="eastAsia" w:ascii="仿宋" w:hAnsi="仿宋" w:cs="Times New Roman"/>
                <w:bCs/>
                <w:szCs w:val="21"/>
              </w:rPr>
              <w:t>产出指标</w:t>
            </w:r>
          </w:p>
        </w:tc>
        <w:tc>
          <w:tcPr>
            <w:tcW w:w="922" w:type="pct"/>
            <w:tcBorders>
              <w:top w:val="single" w:color="auto" w:sz="4" w:space="0"/>
            </w:tcBorders>
            <w:shd w:val="clear" w:color="auto" w:fill="auto"/>
            <w:vAlign w:val="center"/>
          </w:tcPr>
          <w:p>
            <w:pPr>
              <w:pStyle w:val="136"/>
              <w:rPr>
                <w:rFonts w:ascii="仿宋" w:hAnsi="仿宋" w:cs="Times New Roman"/>
                <w:bCs/>
                <w:szCs w:val="21"/>
              </w:rPr>
            </w:pPr>
            <w:r>
              <w:rPr>
                <w:rFonts w:hint="eastAsia" w:ascii="仿宋" w:hAnsi="仿宋" w:cs="Times New Roman"/>
                <w:bCs/>
                <w:szCs w:val="21"/>
              </w:rPr>
              <w:t>产出质量</w:t>
            </w:r>
          </w:p>
        </w:tc>
        <w:tc>
          <w:tcPr>
            <w:tcW w:w="843" w:type="pct"/>
            <w:tcBorders>
              <w:top w:val="single" w:color="auto" w:sz="4" w:space="0"/>
            </w:tcBorders>
          </w:tcPr>
          <w:p>
            <w:pPr>
              <w:pStyle w:val="136"/>
              <w:rPr>
                <w:rFonts w:ascii="仿宋" w:hAnsi="仿宋" w:cs="Times New Roman"/>
                <w:bCs/>
                <w:szCs w:val="21"/>
              </w:rPr>
            </w:pPr>
            <w:r>
              <w:rPr>
                <w:rFonts w:hint="eastAsia" w:ascii="仿宋" w:hAnsi="仿宋" w:cs="Times New Roman"/>
                <w:bCs/>
                <w:szCs w:val="21"/>
              </w:rPr>
              <w:t>一次性验收合格率</w:t>
            </w:r>
          </w:p>
        </w:tc>
        <w:tc>
          <w:tcPr>
            <w:tcW w:w="1074" w:type="pct"/>
            <w:tcBorders>
              <w:top w:val="single" w:color="auto" w:sz="4" w:space="0"/>
            </w:tcBorders>
            <w:shd w:val="clear" w:color="auto" w:fill="auto"/>
            <w:vAlign w:val="center"/>
          </w:tcPr>
          <w:p>
            <w:pPr>
              <w:pStyle w:val="136"/>
              <w:rPr>
                <w:rFonts w:ascii="仿宋" w:hAnsi="仿宋" w:cs="Times New Roman"/>
                <w:bCs/>
                <w:szCs w:val="21"/>
              </w:rPr>
            </w:pPr>
            <w:r>
              <w:rPr>
                <w:rFonts w:hint="eastAsia" w:ascii="仿宋" w:hAnsi="仿宋" w:cs="Times New Roman"/>
                <w:bCs/>
                <w:szCs w:val="21"/>
              </w:rPr>
              <w:t>100%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 w:hRule="atLeast"/>
          <w:jc w:val="center"/>
        </w:trPr>
        <w:tc>
          <w:tcPr>
            <w:tcW w:w="470" w:type="pct"/>
            <w:shd w:val="clear" w:color="auto" w:fill="auto"/>
            <w:vAlign w:val="center"/>
          </w:tcPr>
          <w:p>
            <w:pPr>
              <w:pStyle w:val="136"/>
              <w:rPr>
                <w:rFonts w:ascii="仿宋" w:hAnsi="仿宋" w:cs="Times New Roman"/>
                <w:bCs/>
                <w:szCs w:val="21"/>
              </w:rPr>
            </w:pPr>
            <w:r>
              <w:rPr>
                <w:rFonts w:hint="eastAsia" w:ascii="仿宋" w:hAnsi="仿宋" w:cs="Times New Roman"/>
                <w:bCs/>
                <w:szCs w:val="21"/>
              </w:rPr>
              <w:t>2</w:t>
            </w:r>
          </w:p>
        </w:tc>
        <w:tc>
          <w:tcPr>
            <w:tcW w:w="846" w:type="pct"/>
            <w:shd w:val="clear" w:color="auto" w:fill="auto"/>
            <w:vAlign w:val="center"/>
          </w:tcPr>
          <w:p>
            <w:pPr>
              <w:pStyle w:val="136"/>
              <w:rPr>
                <w:rFonts w:ascii="仿宋" w:hAnsi="仿宋" w:cs="Times New Roman"/>
                <w:bCs/>
                <w:szCs w:val="21"/>
              </w:rPr>
            </w:pPr>
            <w:r>
              <w:rPr>
                <w:rFonts w:hint="eastAsia" w:ascii="仿宋" w:hAnsi="仿宋" w:cs="Times New Roman"/>
                <w:bCs/>
                <w:szCs w:val="21"/>
              </w:rPr>
              <w:t>通用指标</w:t>
            </w:r>
          </w:p>
        </w:tc>
        <w:tc>
          <w:tcPr>
            <w:tcW w:w="845" w:type="pct"/>
            <w:shd w:val="clear" w:color="auto" w:fill="auto"/>
            <w:vAlign w:val="center"/>
          </w:tcPr>
          <w:p>
            <w:pPr>
              <w:pStyle w:val="136"/>
              <w:rPr>
                <w:rFonts w:ascii="仿宋" w:hAnsi="仿宋" w:cs="Times New Roman"/>
                <w:bCs/>
                <w:szCs w:val="21"/>
              </w:rPr>
            </w:pPr>
            <w:r>
              <w:rPr>
                <w:rFonts w:hint="eastAsia" w:ascii="仿宋" w:hAnsi="仿宋" w:cs="Times New Roman"/>
                <w:bCs/>
                <w:szCs w:val="21"/>
              </w:rPr>
              <w:t>产出指标</w:t>
            </w:r>
          </w:p>
        </w:tc>
        <w:tc>
          <w:tcPr>
            <w:tcW w:w="922" w:type="pct"/>
            <w:shd w:val="clear" w:color="auto" w:fill="auto"/>
            <w:vAlign w:val="center"/>
          </w:tcPr>
          <w:p>
            <w:pPr>
              <w:pStyle w:val="136"/>
              <w:rPr>
                <w:rFonts w:ascii="仿宋" w:hAnsi="仿宋" w:cs="Times New Roman"/>
                <w:bCs/>
                <w:szCs w:val="21"/>
              </w:rPr>
            </w:pPr>
            <w:r>
              <w:rPr>
                <w:rFonts w:hint="eastAsia" w:ascii="仿宋" w:hAnsi="仿宋" w:cs="Times New Roman"/>
                <w:bCs/>
                <w:szCs w:val="21"/>
              </w:rPr>
              <w:t>产出质量</w:t>
            </w:r>
          </w:p>
        </w:tc>
        <w:tc>
          <w:tcPr>
            <w:tcW w:w="843" w:type="pct"/>
          </w:tcPr>
          <w:p>
            <w:pPr>
              <w:pStyle w:val="136"/>
              <w:rPr>
                <w:rFonts w:ascii="仿宋" w:hAnsi="仿宋" w:cs="Times New Roman"/>
                <w:bCs/>
                <w:szCs w:val="21"/>
              </w:rPr>
            </w:pPr>
            <w:r>
              <w:rPr>
                <w:rFonts w:hint="eastAsia" w:ascii="仿宋" w:hAnsi="仿宋" w:cs="Times New Roman"/>
                <w:bCs/>
                <w:szCs w:val="21"/>
              </w:rPr>
              <w:t>安全事件发生数</w:t>
            </w:r>
          </w:p>
        </w:tc>
        <w:tc>
          <w:tcPr>
            <w:tcW w:w="1074" w:type="pct"/>
            <w:shd w:val="clear" w:color="auto" w:fill="auto"/>
            <w:vAlign w:val="center"/>
          </w:tcPr>
          <w:p>
            <w:pPr>
              <w:pStyle w:val="136"/>
              <w:rPr>
                <w:rFonts w:ascii="仿宋" w:hAnsi="仿宋" w:cs="Times New Roman"/>
                <w:bCs/>
                <w:szCs w:val="21"/>
              </w:rPr>
            </w:pPr>
            <w:r>
              <w:rPr>
                <w:rFonts w:hint="eastAsia" w:ascii="仿宋" w:hAnsi="仿宋" w:cs="Times New Roman"/>
                <w:bCs/>
                <w:szCs w:val="21"/>
              </w:rPr>
              <w:t>0次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470" w:type="pct"/>
            <w:shd w:val="clear" w:color="auto" w:fill="auto"/>
            <w:vAlign w:val="center"/>
          </w:tcPr>
          <w:p>
            <w:pPr>
              <w:pStyle w:val="136"/>
              <w:rPr>
                <w:rFonts w:ascii="仿宋" w:hAnsi="仿宋" w:cs="Times New Roman"/>
                <w:bCs/>
                <w:szCs w:val="21"/>
              </w:rPr>
            </w:pPr>
            <w:r>
              <w:rPr>
                <w:rFonts w:hint="eastAsia" w:ascii="仿宋" w:hAnsi="仿宋" w:cs="Times New Roman"/>
                <w:bCs/>
                <w:szCs w:val="21"/>
              </w:rPr>
              <w:t>3</w:t>
            </w:r>
          </w:p>
        </w:tc>
        <w:tc>
          <w:tcPr>
            <w:tcW w:w="846" w:type="pct"/>
            <w:shd w:val="clear" w:color="auto" w:fill="auto"/>
            <w:vAlign w:val="center"/>
          </w:tcPr>
          <w:p>
            <w:pPr>
              <w:pStyle w:val="136"/>
              <w:rPr>
                <w:rFonts w:ascii="仿宋" w:hAnsi="仿宋" w:cs="Times New Roman"/>
                <w:bCs/>
                <w:szCs w:val="21"/>
              </w:rPr>
            </w:pPr>
            <w:r>
              <w:rPr>
                <w:rFonts w:hint="eastAsia" w:ascii="仿宋" w:hAnsi="仿宋" w:cs="Times New Roman"/>
                <w:bCs/>
                <w:szCs w:val="21"/>
              </w:rPr>
              <w:t>通用指标</w:t>
            </w:r>
          </w:p>
        </w:tc>
        <w:tc>
          <w:tcPr>
            <w:tcW w:w="845" w:type="pct"/>
            <w:shd w:val="clear" w:color="auto" w:fill="auto"/>
            <w:vAlign w:val="center"/>
          </w:tcPr>
          <w:p>
            <w:pPr>
              <w:pStyle w:val="136"/>
              <w:rPr>
                <w:rFonts w:ascii="仿宋" w:hAnsi="仿宋" w:cs="Times New Roman"/>
                <w:bCs/>
                <w:szCs w:val="21"/>
              </w:rPr>
            </w:pPr>
            <w:r>
              <w:rPr>
                <w:rFonts w:hint="eastAsia" w:ascii="仿宋" w:hAnsi="仿宋" w:cs="Times New Roman"/>
                <w:bCs/>
                <w:szCs w:val="21"/>
              </w:rPr>
              <w:t>产出指标</w:t>
            </w:r>
          </w:p>
        </w:tc>
        <w:tc>
          <w:tcPr>
            <w:tcW w:w="922" w:type="pct"/>
            <w:shd w:val="clear" w:color="auto" w:fill="auto"/>
            <w:vAlign w:val="center"/>
          </w:tcPr>
          <w:p>
            <w:pPr>
              <w:pStyle w:val="136"/>
              <w:rPr>
                <w:rFonts w:ascii="仿宋" w:hAnsi="仿宋" w:cs="Times New Roman"/>
                <w:bCs/>
                <w:szCs w:val="21"/>
              </w:rPr>
            </w:pPr>
            <w:r>
              <w:rPr>
                <w:rFonts w:hint="eastAsia" w:ascii="仿宋" w:hAnsi="仿宋" w:cs="Times New Roman"/>
                <w:bCs/>
                <w:szCs w:val="21"/>
              </w:rPr>
              <w:t>产出时效</w:t>
            </w:r>
          </w:p>
        </w:tc>
        <w:tc>
          <w:tcPr>
            <w:tcW w:w="843" w:type="pct"/>
          </w:tcPr>
          <w:p>
            <w:pPr>
              <w:pStyle w:val="136"/>
              <w:rPr>
                <w:rFonts w:ascii="仿宋" w:hAnsi="仿宋" w:cs="Times New Roman"/>
                <w:bCs/>
                <w:szCs w:val="21"/>
              </w:rPr>
            </w:pPr>
            <w:r>
              <w:rPr>
                <w:rFonts w:hint="eastAsia" w:ascii="仿宋" w:hAnsi="仿宋" w:cs="Times New Roman"/>
                <w:bCs/>
                <w:szCs w:val="21"/>
              </w:rPr>
              <w:t>项目建设周期</w:t>
            </w:r>
          </w:p>
        </w:tc>
        <w:tc>
          <w:tcPr>
            <w:tcW w:w="1074" w:type="pct"/>
            <w:shd w:val="clear" w:color="auto" w:fill="auto"/>
            <w:vAlign w:val="center"/>
          </w:tcPr>
          <w:p>
            <w:pPr>
              <w:pStyle w:val="136"/>
              <w:rPr>
                <w:rFonts w:ascii="仿宋" w:hAnsi="仿宋" w:cs="Times New Roman"/>
                <w:bCs/>
                <w:szCs w:val="21"/>
              </w:rPr>
            </w:pPr>
            <w:r>
              <w:rPr>
                <w:rFonts w:hint="eastAsia" w:ascii="仿宋" w:hAnsi="仿宋" w:cs="Times New Roman"/>
                <w:bCs/>
                <w:szCs w:val="21"/>
              </w:rPr>
              <w:t>≤10个月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470" w:type="pct"/>
            <w:shd w:val="clear" w:color="auto" w:fill="auto"/>
            <w:vAlign w:val="center"/>
          </w:tcPr>
          <w:p>
            <w:pPr>
              <w:pStyle w:val="136"/>
              <w:rPr>
                <w:rFonts w:ascii="仿宋" w:hAnsi="仿宋" w:cs="Times New Roman"/>
                <w:bCs/>
                <w:szCs w:val="21"/>
              </w:rPr>
            </w:pPr>
            <w:r>
              <w:rPr>
                <w:rFonts w:hint="eastAsia" w:ascii="仿宋" w:hAnsi="仿宋" w:cs="Times New Roman"/>
                <w:bCs/>
                <w:szCs w:val="21"/>
              </w:rPr>
              <w:t>4</w:t>
            </w:r>
          </w:p>
        </w:tc>
        <w:tc>
          <w:tcPr>
            <w:tcW w:w="846" w:type="pct"/>
            <w:shd w:val="clear" w:color="auto" w:fill="auto"/>
            <w:vAlign w:val="center"/>
          </w:tcPr>
          <w:p>
            <w:pPr>
              <w:pStyle w:val="136"/>
              <w:rPr>
                <w:rFonts w:ascii="仿宋" w:hAnsi="仿宋" w:cs="Times New Roman"/>
                <w:bCs/>
                <w:szCs w:val="21"/>
              </w:rPr>
            </w:pPr>
            <w:r>
              <w:rPr>
                <w:rFonts w:hint="eastAsia" w:ascii="仿宋" w:hAnsi="仿宋" w:cs="Times New Roman"/>
                <w:bCs/>
                <w:szCs w:val="21"/>
              </w:rPr>
              <w:t>通用指标</w:t>
            </w:r>
          </w:p>
        </w:tc>
        <w:tc>
          <w:tcPr>
            <w:tcW w:w="845" w:type="pct"/>
            <w:shd w:val="clear" w:color="auto" w:fill="auto"/>
            <w:vAlign w:val="center"/>
          </w:tcPr>
          <w:p>
            <w:pPr>
              <w:pStyle w:val="136"/>
              <w:rPr>
                <w:rFonts w:ascii="仿宋" w:hAnsi="仿宋" w:cs="Times New Roman"/>
                <w:bCs/>
                <w:szCs w:val="21"/>
              </w:rPr>
            </w:pPr>
            <w:r>
              <w:rPr>
                <w:rFonts w:hint="eastAsia" w:ascii="仿宋" w:hAnsi="仿宋" w:cs="Times New Roman"/>
                <w:bCs/>
                <w:szCs w:val="21"/>
              </w:rPr>
              <w:t>安全体系</w:t>
            </w:r>
          </w:p>
        </w:tc>
        <w:tc>
          <w:tcPr>
            <w:tcW w:w="922" w:type="pct"/>
            <w:shd w:val="clear" w:color="auto" w:fill="auto"/>
            <w:vAlign w:val="center"/>
          </w:tcPr>
          <w:p>
            <w:pPr>
              <w:pStyle w:val="136"/>
              <w:rPr>
                <w:rFonts w:ascii="仿宋" w:hAnsi="仿宋" w:cs="Times New Roman"/>
                <w:bCs/>
                <w:szCs w:val="21"/>
              </w:rPr>
            </w:pPr>
            <w:r>
              <w:rPr>
                <w:rFonts w:hint="eastAsia" w:ascii="仿宋" w:hAnsi="仿宋" w:cs="Times New Roman"/>
                <w:bCs/>
                <w:szCs w:val="21"/>
              </w:rPr>
              <w:t>安全建设水平</w:t>
            </w:r>
          </w:p>
        </w:tc>
        <w:tc>
          <w:tcPr>
            <w:tcW w:w="843" w:type="pct"/>
            <w:vAlign w:val="center"/>
          </w:tcPr>
          <w:p>
            <w:pPr>
              <w:pStyle w:val="136"/>
              <w:rPr>
                <w:rFonts w:ascii="仿宋" w:hAnsi="仿宋" w:cs="Times New Roman"/>
                <w:bCs/>
                <w:szCs w:val="21"/>
              </w:rPr>
            </w:pPr>
            <w:r>
              <w:rPr>
                <w:rFonts w:hint="eastAsia" w:ascii="仿宋" w:hAnsi="仿宋" w:cs="Times New Roman"/>
                <w:bCs/>
                <w:szCs w:val="21"/>
              </w:rPr>
              <w:t>网络安全措施</w:t>
            </w:r>
          </w:p>
        </w:tc>
        <w:tc>
          <w:tcPr>
            <w:tcW w:w="1074" w:type="pct"/>
            <w:shd w:val="clear" w:color="auto" w:fill="auto"/>
            <w:vAlign w:val="center"/>
          </w:tcPr>
          <w:p>
            <w:pPr>
              <w:pStyle w:val="136"/>
              <w:rPr>
                <w:rFonts w:ascii="仿宋" w:hAnsi="仿宋" w:cs="Times New Roman"/>
                <w:bCs/>
                <w:szCs w:val="21"/>
              </w:rPr>
            </w:pPr>
            <w:r>
              <w:rPr>
                <w:rFonts w:hint="eastAsia" w:ascii="仿宋" w:hAnsi="仿宋" w:cs="Times New Roman"/>
                <w:bCs/>
                <w:szCs w:val="21"/>
              </w:rPr>
              <w:t>按三级网络安全等级标准建设</w:t>
            </w:r>
          </w:p>
        </w:tc>
      </w:tr>
    </w:tbl>
    <w:p>
      <w:pPr>
        <w:pStyle w:val="137"/>
      </w:pPr>
      <w:r>
        <w:rPr>
          <w:rFonts w:hint="eastAsia"/>
        </w:rPr>
        <w:t>市规划资源局地质子系统</w:t>
      </w:r>
    </w:p>
    <w:tbl>
      <w:tblPr>
        <w:tblStyle w:val="35"/>
        <w:tblW w:w="4998"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793"/>
        <w:gridCol w:w="1446"/>
        <w:gridCol w:w="1437"/>
        <w:gridCol w:w="1570"/>
        <w:gridCol w:w="1436"/>
        <w:gridCol w:w="184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tblHeader/>
          <w:jc w:val="center"/>
        </w:trPr>
        <w:tc>
          <w:tcPr>
            <w:tcW w:w="1313" w:type="pct"/>
            <w:gridSpan w:val="2"/>
            <w:shd w:val="clear" w:color="auto" w:fill="EEECE1" w:themeFill="background2"/>
            <w:vAlign w:val="center"/>
          </w:tcPr>
          <w:p>
            <w:pPr>
              <w:pStyle w:val="136"/>
              <w:rPr>
                <w:rFonts w:ascii="仿宋" w:hAnsi="仿宋" w:cs="Times New Roman"/>
                <w:bCs/>
                <w:szCs w:val="21"/>
              </w:rPr>
            </w:pPr>
            <w:r>
              <w:rPr>
                <w:rFonts w:hint="eastAsia" w:ascii="仿宋" w:hAnsi="仿宋" w:cs="Times New Roman"/>
                <w:bCs/>
                <w:szCs w:val="21"/>
              </w:rPr>
              <w:t>业务目标</w:t>
            </w:r>
          </w:p>
        </w:tc>
        <w:tc>
          <w:tcPr>
            <w:tcW w:w="3687" w:type="pct"/>
            <w:gridSpan w:val="4"/>
            <w:shd w:val="clear" w:color="auto" w:fill="EEECE1" w:themeFill="background2"/>
          </w:tcPr>
          <w:p>
            <w:pPr>
              <w:pStyle w:val="136"/>
              <w:rPr>
                <w:rFonts w:ascii="仿宋" w:hAnsi="仿宋" w:cs="Times New Roman"/>
                <w:bCs/>
                <w:szCs w:val="21"/>
              </w:rPr>
            </w:pPr>
            <w:r>
              <w:rPr>
                <w:rFonts w:hint="eastAsia" w:ascii="仿宋" w:hAnsi="仿宋" w:cs="Times New Roman"/>
                <w:bCs/>
                <w:szCs w:val="21"/>
              </w:rPr>
              <w:t>加强地质相关工作，包括风险监测分析、灾害管控、资质管理、数据管理、信用数据归集及业务流程优化等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tblHeader/>
          <w:jc w:val="center"/>
        </w:trPr>
        <w:tc>
          <w:tcPr>
            <w:tcW w:w="465" w:type="pct"/>
            <w:shd w:val="clear" w:color="auto" w:fill="EEECE1" w:themeFill="background2"/>
            <w:vAlign w:val="center"/>
          </w:tcPr>
          <w:p>
            <w:pPr>
              <w:pStyle w:val="136"/>
              <w:rPr>
                <w:rFonts w:ascii="宋体" w:hAnsi="宋体" w:eastAsia="宋体" w:cs="Times New Roman"/>
                <w:bCs/>
                <w:szCs w:val="21"/>
              </w:rPr>
            </w:pPr>
            <w:r>
              <w:rPr>
                <w:rFonts w:hint="eastAsia" w:ascii="宋体" w:hAnsi="宋体" w:eastAsia="宋体" w:cs="Times New Roman"/>
                <w:bCs/>
                <w:szCs w:val="21"/>
              </w:rPr>
              <w:t>序号</w:t>
            </w:r>
          </w:p>
        </w:tc>
        <w:tc>
          <w:tcPr>
            <w:tcW w:w="847" w:type="pct"/>
            <w:shd w:val="clear" w:color="auto" w:fill="EEECE1" w:themeFill="background2"/>
            <w:vAlign w:val="center"/>
          </w:tcPr>
          <w:p>
            <w:pPr>
              <w:pStyle w:val="136"/>
              <w:rPr>
                <w:rFonts w:ascii="仿宋" w:hAnsi="仿宋" w:cs="Times New Roman"/>
                <w:bCs/>
                <w:szCs w:val="21"/>
              </w:rPr>
            </w:pPr>
            <w:r>
              <w:rPr>
                <w:rFonts w:hint="eastAsia" w:ascii="仿宋" w:hAnsi="仿宋" w:cs="Times New Roman"/>
                <w:bCs/>
                <w:szCs w:val="21"/>
              </w:rPr>
              <w:t>一级指标</w:t>
            </w:r>
          </w:p>
        </w:tc>
        <w:tc>
          <w:tcPr>
            <w:tcW w:w="843" w:type="pct"/>
            <w:shd w:val="clear" w:color="auto" w:fill="EEECE1" w:themeFill="background2"/>
            <w:vAlign w:val="center"/>
          </w:tcPr>
          <w:p>
            <w:pPr>
              <w:pStyle w:val="136"/>
              <w:rPr>
                <w:rFonts w:ascii="仿宋" w:hAnsi="仿宋" w:cs="Times New Roman"/>
                <w:bCs/>
                <w:szCs w:val="21"/>
              </w:rPr>
            </w:pPr>
            <w:r>
              <w:rPr>
                <w:rFonts w:hint="eastAsia" w:ascii="仿宋" w:hAnsi="仿宋" w:cs="Times New Roman"/>
                <w:bCs/>
                <w:szCs w:val="21"/>
              </w:rPr>
              <w:t>二级指标</w:t>
            </w:r>
          </w:p>
        </w:tc>
        <w:tc>
          <w:tcPr>
            <w:tcW w:w="921" w:type="pct"/>
            <w:shd w:val="clear" w:color="auto" w:fill="EEECE1" w:themeFill="background2"/>
            <w:vAlign w:val="center"/>
          </w:tcPr>
          <w:p>
            <w:pPr>
              <w:pStyle w:val="136"/>
              <w:rPr>
                <w:rFonts w:ascii="仿宋" w:hAnsi="仿宋" w:cs="Times New Roman"/>
                <w:bCs/>
                <w:szCs w:val="21"/>
              </w:rPr>
            </w:pPr>
            <w:r>
              <w:rPr>
                <w:rFonts w:hint="eastAsia" w:ascii="仿宋" w:hAnsi="仿宋" w:cs="Times New Roman"/>
                <w:bCs/>
                <w:szCs w:val="21"/>
              </w:rPr>
              <w:t>三级指标</w:t>
            </w:r>
          </w:p>
        </w:tc>
        <w:tc>
          <w:tcPr>
            <w:tcW w:w="842" w:type="pct"/>
            <w:shd w:val="clear" w:color="auto" w:fill="EEECE1" w:themeFill="background2"/>
          </w:tcPr>
          <w:p>
            <w:pPr>
              <w:pStyle w:val="136"/>
              <w:rPr>
                <w:rFonts w:ascii="仿宋" w:hAnsi="仿宋" w:cs="Times New Roman"/>
                <w:bCs/>
                <w:szCs w:val="21"/>
              </w:rPr>
            </w:pPr>
            <w:r>
              <w:rPr>
                <w:rFonts w:hint="eastAsia" w:ascii="仿宋" w:hAnsi="仿宋" w:cs="Times New Roman"/>
                <w:bCs/>
                <w:szCs w:val="21"/>
              </w:rPr>
              <w:t>四级指标</w:t>
            </w:r>
          </w:p>
        </w:tc>
        <w:tc>
          <w:tcPr>
            <w:tcW w:w="1082" w:type="pct"/>
            <w:shd w:val="clear" w:color="auto" w:fill="EEECE1" w:themeFill="background2"/>
            <w:vAlign w:val="center"/>
          </w:tcPr>
          <w:p>
            <w:pPr>
              <w:pStyle w:val="136"/>
              <w:rPr>
                <w:rFonts w:ascii="仿宋" w:hAnsi="仿宋" w:cs="Times New Roman"/>
                <w:bCs/>
                <w:szCs w:val="21"/>
              </w:rPr>
            </w:pPr>
            <w:r>
              <w:rPr>
                <w:rFonts w:hint="eastAsia" w:ascii="仿宋" w:hAnsi="仿宋" w:cs="Times New Roman"/>
                <w:bCs/>
                <w:szCs w:val="21"/>
              </w:rPr>
              <w:t>指标值</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465" w:type="pct"/>
            <w:shd w:val="clear" w:color="auto" w:fill="auto"/>
            <w:vAlign w:val="center"/>
          </w:tcPr>
          <w:p>
            <w:pPr>
              <w:pStyle w:val="136"/>
              <w:rPr>
                <w:rFonts w:ascii="宋体" w:hAnsi="宋体" w:eastAsia="宋体" w:cs="Times New Roman"/>
                <w:bCs/>
                <w:szCs w:val="21"/>
              </w:rPr>
            </w:pPr>
            <w:r>
              <w:rPr>
                <w:rFonts w:ascii="宋体" w:hAnsi="宋体" w:eastAsia="宋体" w:cs="Times New Roman"/>
                <w:bCs/>
                <w:szCs w:val="21"/>
              </w:rPr>
              <w:t>1</w:t>
            </w:r>
          </w:p>
        </w:tc>
        <w:tc>
          <w:tcPr>
            <w:tcW w:w="847" w:type="pct"/>
            <w:shd w:val="clear" w:color="auto" w:fill="auto"/>
            <w:vAlign w:val="center"/>
          </w:tcPr>
          <w:p>
            <w:pPr>
              <w:pStyle w:val="136"/>
              <w:rPr>
                <w:rFonts w:ascii="仿宋" w:hAnsi="仿宋" w:cs="Times New Roman"/>
                <w:bCs/>
                <w:szCs w:val="21"/>
              </w:rPr>
            </w:pPr>
            <w:r>
              <w:rPr>
                <w:rFonts w:hint="eastAsia" w:ascii="仿宋" w:hAnsi="仿宋" w:cs="Times New Roman"/>
                <w:bCs/>
                <w:szCs w:val="21"/>
              </w:rPr>
              <w:t>通用指标</w:t>
            </w:r>
          </w:p>
        </w:tc>
        <w:tc>
          <w:tcPr>
            <w:tcW w:w="843" w:type="pct"/>
            <w:shd w:val="clear" w:color="auto" w:fill="auto"/>
            <w:vAlign w:val="center"/>
          </w:tcPr>
          <w:p>
            <w:pPr>
              <w:pStyle w:val="136"/>
              <w:rPr>
                <w:rFonts w:ascii="仿宋" w:hAnsi="仿宋" w:cs="Times New Roman"/>
                <w:bCs/>
                <w:szCs w:val="21"/>
              </w:rPr>
            </w:pPr>
            <w:r>
              <w:rPr>
                <w:rFonts w:hint="eastAsia" w:ascii="仿宋" w:hAnsi="仿宋" w:cs="Times New Roman"/>
                <w:bCs/>
                <w:szCs w:val="21"/>
              </w:rPr>
              <w:t>产出指标</w:t>
            </w:r>
          </w:p>
        </w:tc>
        <w:tc>
          <w:tcPr>
            <w:tcW w:w="921" w:type="pct"/>
            <w:shd w:val="clear" w:color="auto" w:fill="auto"/>
            <w:vAlign w:val="center"/>
          </w:tcPr>
          <w:p>
            <w:pPr>
              <w:pStyle w:val="136"/>
              <w:rPr>
                <w:rFonts w:ascii="仿宋" w:hAnsi="仿宋" w:cs="Times New Roman"/>
                <w:bCs/>
                <w:szCs w:val="21"/>
              </w:rPr>
            </w:pPr>
            <w:r>
              <w:rPr>
                <w:rFonts w:hint="eastAsia" w:ascii="仿宋" w:hAnsi="仿宋" w:cs="Times New Roman"/>
                <w:bCs/>
                <w:szCs w:val="21"/>
              </w:rPr>
              <w:t>产出质量</w:t>
            </w:r>
          </w:p>
        </w:tc>
        <w:tc>
          <w:tcPr>
            <w:tcW w:w="842" w:type="pct"/>
          </w:tcPr>
          <w:p>
            <w:pPr>
              <w:pStyle w:val="136"/>
              <w:rPr>
                <w:rFonts w:ascii="仿宋" w:hAnsi="仿宋" w:cs="Times New Roman"/>
                <w:bCs/>
                <w:szCs w:val="21"/>
              </w:rPr>
            </w:pPr>
            <w:r>
              <w:rPr>
                <w:rFonts w:hint="eastAsia" w:ascii="仿宋" w:hAnsi="仿宋" w:cs="Times New Roman"/>
                <w:bCs/>
                <w:szCs w:val="21"/>
              </w:rPr>
              <w:t>一次性验收合格率</w:t>
            </w:r>
          </w:p>
        </w:tc>
        <w:tc>
          <w:tcPr>
            <w:tcW w:w="1082" w:type="pct"/>
            <w:shd w:val="clear" w:color="auto" w:fill="auto"/>
            <w:vAlign w:val="center"/>
          </w:tcPr>
          <w:p>
            <w:pPr>
              <w:pStyle w:val="136"/>
              <w:rPr>
                <w:rFonts w:ascii="仿宋" w:hAnsi="仿宋" w:cs="Times New Roman"/>
                <w:bCs/>
                <w:szCs w:val="21"/>
              </w:rPr>
            </w:pPr>
            <w:r>
              <w:rPr>
                <w:rFonts w:hint="eastAsia" w:ascii="仿宋" w:hAnsi="仿宋" w:cs="Times New Roman"/>
                <w:bCs/>
                <w:szCs w:val="21"/>
              </w:rPr>
              <w:t>100%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465" w:type="pct"/>
            <w:shd w:val="clear" w:color="auto" w:fill="auto"/>
            <w:vAlign w:val="center"/>
          </w:tcPr>
          <w:p>
            <w:pPr>
              <w:pStyle w:val="136"/>
              <w:rPr>
                <w:rFonts w:ascii="宋体" w:hAnsi="宋体" w:eastAsia="宋体" w:cs="Times New Roman"/>
                <w:bCs/>
                <w:szCs w:val="21"/>
              </w:rPr>
            </w:pPr>
            <w:r>
              <w:rPr>
                <w:rFonts w:hint="eastAsia" w:ascii="宋体" w:hAnsi="宋体" w:eastAsia="宋体" w:cs="Times New Roman"/>
                <w:bCs/>
                <w:szCs w:val="21"/>
              </w:rPr>
              <w:t>2</w:t>
            </w:r>
          </w:p>
        </w:tc>
        <w:tc>
          <w:tcPr>
            <w:tcW w:w="847" w:type="pct"/>
            <w:shd w:val="clear" w:color="auto" w:fill="auto"/>
            <w:vAlign w:val="center"/>
          </w:tcPr>
          <w:p>
            <w:pPr>
              <w:pStyle w:val="136"/>
              <w:rPr>
                <w:rFonts w:ascii="仿宋" w:hAnsi="仿宋" w:cs="Times New Roman"/>
                <w:bCs/>
                <w:szCs w:val="21"/>
              </w:rPr>
            </w:pPr>
            <w:r>
              <w:rPr>
                <w:rFonts w:hint="eastAsia" w:ascii="仿宋" w:hAnsi="仿宋" w:cs="Times New Roman"/>
                <w:bCs/>
                <w:szCs w:val="21"/>
              </w:rPr>
              <w:t>通用指标</w:t>
            </w:r>
          </w:p>
        </w:tc>
        <w:tc>
          <w:tcPr>
            <w:tcW w:w="843" w:type="pct"/>
            <w:shd w:val="clear" w:color="auto" w:fill="auto"/>
            <w:vAlign w:val="center"/>
          </w:tcPr>
          <w:p>
            <w:pPr>
              <w:pStyle w:val="136"/>
              <w:rPr>
                <w:rFonts w:ascii="仿宋" w:hAnsi="仿宋" w:cs="Times New Roman"/>
                <w:bCs/>
                <w:szCs w:val="21"/>
              </w:rPr>
            </w:pPr>
            <w:r>
              <w:rPr>
                <w:rFonts w:hint="eastAsia" w:ascii="仿宋" w:hAnsi="仿宋" w:cs="Times New Roman"/>
                <w:bCs/>
                <w:szCs w:val="21"/>
              </w:rPr>
              <w:t>产出指标</w:t>
            </w:r>
          </w:p>
        </w:tc>
        <w:tc>
          <w:tcPr>
            <w:tcW w:w="921" w:type="pct"/>
            <w:shd w:val="clear" w:color="auto" w:fill="auto"/>
            <w:vAlign w:val="center"/>
          </w:tcPr>
          <w:p>
            <w:pPr>
              <w:pStyle w:val="136"/>
              <w:rPr>
                <w:rFonts w:ascii="仿宋" w:hAnsi="仿宋" w:cs="Times New Roman"/>
                <w:bCs/>
                <w:szCs w:val="21"/>
              </w:rPr>
            </w:pPr>
            <w:r>
              <w:rPr>
                <w:rFonts w:hint="eastAsia" w:ascii="仿宋" w:hAnsi="仿宋" w:cs="Times New Roman"/>
                <w:bCs/>
                <w:szCs w:val="21"/>
              </w:rPr>
              <w:t>产出质量</w:t>
            </w:r>
          </w:p>
        </w:tc>
        <w:tc>
          <w:tcPr>
            <w:tcW w:w="842" w:type="pct"/>
            <w:vAlign w:val="center"/>
          </w:tcPr>
          <w:p>
            <w:pPr>
              <w:pStyle w:val="136"/>
              <w:rPr>
                <w:rFonts w:ascii="仿宋" w:hAnsi="仿宋" w:cs="Times New Roman"/>
                <w:bCs/>
                <w:szCs w:val="21"/>
              </w:rPr>
            </w:pPr>
            <w:r>
              <w:rPr>
                <w:rFonts w:hint="eastAsia" w:ascii="仿宋" w:hAnsi="仿宋" w:cs="Times New Roman"/>
                <w:bCs/>
                <w:szCs w:val="21"/>
              </w:rPr>
              <w:t>安全事件发生次数</w:t>
            </w:r>
          </w:p>
        </w:tc>
        <w:tc>
          <w:tcPr>
            <w:tcW w:w="1082" w:type="pct"/>
            <w:shd w:val="clear" w:color="auto" w:fill="auto"/>
            <w:vAlign w:val="center"/>
          </w:tcPr>
          <w:p>
            <w:pPr>
              <w:pStyle w:val="136"/>
              <w:rPr>
                <w:rFonts w:ascii="仿宋" w:hAnsi="仿宋" w:cs="Times New Roman"/>
                <w:bCs/>
                <w:szCs w:val="21"/>
              </w:rPr>
            </w:pPr>
            <w:r>
              <w:rPr>
                <w:rFonts w:hint="eastAsia" w:ascii="仿宋" w:hAnsi="仿宋" w:cs="Times New Roman"/>
                <w:bCs/>
                <w:szCs w:val="21"/>
              </w:rPr>
              <w:t>0次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465" w:type="pct"/>
            <w:shd w:val="clear" w:color="auto" w:fill="auto"/>
            <w:vAlign w:val="center"/>
          </w:tcPr>
          <w:p>
            <w:pPr>
              <w:pStyle w:val="136"/>
              <w:rPr>
                <w:rFonts w:ascii="宋体" w:hAnsi="宋体" w:eastAsia="宋体" w:cs="Times New Roman"/>
                <w:bCs/>
                <w:szCs w:val="21"/>
              </w:rPr>
            </w:pPr>
            <w:r>
              <w:rPr>
                <w:rFonts w:hint="eastAsia" w:ascii="宋体" w:hAnsi="宋体" w:eastAsia="宋体" w:cs="Times New Roman"/>
                <w:bCs/>
                <w:szCs w:val="21"/>
              </w:rPr>
              <w:t>3</w:t>
            </w:r>
          </w:p>
        </w:tc>
        <w:tc>
          <w:tcPr>
            <w:tcW w:w="847" w:type="pct"/>
            <w:shd w:val="clear" w:color="auto" w:fill="auto"/>
            <w:vAlign w:val="center"/>
          </w:tcPr>
          <w:p>
            <w:pPr>
              <w:pStyle w:val="136"/>
              <w:rPr>
                <w:rFonts w:ascii="仿宋" w:hAnsi="仿宋" w:cs="Times New Roman"/>
                <w:bCs/>
                <w:szCs w:val="21"/>
              </w:rPr>
            </w:pPr>
            <w:r>
              <w:rPr>
                <w:rFonts w:hint="eastAsia" w:ascii="仿宋" w:hAnsi="仿宋" w:cs="Times New Roman"/>
                <w:bCs/>
                <w:szCs w:val="21"/>
              </w:rPr>
              <w:t>通用指标</w:t>
            </w:r>
          </w:p>
        </w:tc>
        <w:tc>
          <w:tcPr>
            <w:tcW w:w="843" w:type="pct"/>
            <w:shd w:val="clear" w:color="auto" w:fill="auto"/>
            <w:vAlign w:val="center"/>
          </w:tcPr>
          <w:p>
            <w:pPr>
              <w:pStyle w:val="136"/>
              <w:rPr>
                <w:rFonts w:ascii="仿宋" w:hAnsi="仿宋" w:cs="Times New Roman"/>
                <w:bCs/>
                <w:szCs w:val="21"/>
              </w:rPr>
            </w:pPr>
            <w:r>
              <w:rPr>
                <w:rFonts w:hint="eastAsia" w:ascii="仿宋" w:hAnsi="仿宋" w:cs="Times New Roman"/>
                <w:bCs/>
                <w:szCs w:val="21"/>
              </w:rPr>
              <w:t>产出指标</w:t>
            </w:r>
          </w:p>
        </w:tc>
        <w:tc>
          <w:tcPr>
            <w:tcW w:w="921" w:type="pct"/>
            <w:shd w:val="clear" w:color="auto" w:fill="auto"/>
            <w:vAlign w:val="center"/>
          </w:tcPr>
          <w:p>
            <w:pPr>
              <w:pStyle w:val="136"/>
              <w:rPr>
                <w:rFonts w:ascii="仿宋" w:hAnsi="仿宋" w:cs="Times New Roman"/>
                <w:bCs/>
                <w:szCs w:val="21"/>
              </w:rPr>
            </w:pPr>
            <w:r>
              <w:rPr>
                <w:rFonts w:hint="eastAsia" w:ascii="仿宋" w:hAnsi="仿宋" w:cs="Times New Roman"/>
                <w:bCs/>
                <w:szCs w:val="21"/>
              </w:rPr>
              <w:t>产出时效</w:t>
            </w:r>
          </w:p>
        </w:tc>
        <w:tc>
          <w:tcPr>
            <w:tcW w:w="842" w:type="pct"/>
            <w:vAlign w:val="center"/>
          </w:tcPr>
          <w:p>
            <w:pPr>
              <w:pStyle w:val="136"/>
              <w:rPr>
                <w:rFonts w:ascii="仿宋" w:hAnsi="仿宋" w:cs="Times New Roman"/>
                <w:bCs/>
                <w:szCs w:val="21"/>
              </w:rPr>
            </w:pPr>
            <w:r>
              <w:rPr>
                <w:rFonts w:hint="eastAsia" w:ascii="仿宋" w:hAnsi="仿宋" w:cs="Times New Roman"/>
                <w:bCs/>
                <w:szCs w:val="21"/>
              </w:rPr>
              <w:t>项目建设周期</w:t>
            </w:r>
          </w:p>
        </w:tc>
        <w:tc>
          <w:tcPr>
            <w:tcW w:w="1082" w:type="pct"/>
            <w:shd w:val="clear" w:color="auto" w:fill="auto"/>
            <w:vAlign w:val="center"/>
          </w:tcPr>
          <w:p>
            <w:pPr>
              <w:pStyle w:val="136"/>
              <w:rPr>
                <w:rFonts w:ascii="仿宋" w:hAnsi="仿宋" w:cs="Times New Roman"/>
                <w:bCs/>
                <w:szCs w:val="21"/>
              </w:rPr>
            </w:pPr>
            <w:r>
              <w:rPr>
                <w:rFonts w:hint="eastAsia" w:ascii="仿宋" w:hAnsi="仿宋" w:cs="Times New Roman"/>
                <w:bCs/>
                <w:szCs w:val="21"/>
              </w:rPr>
              <w:t>≤10个月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465" w:type="pct"/>
            <w:shd w:val="clear" w:color="auto" w:fill="auto"/>
            <w:vAlign w:val="center"/>
          </w:tcPr>
          <w:p>
            <w:pPr>
              <w:pStyle w:val="136"/>
              <w:rPr>
                <w:rFonts w:ascii="宋体" w:hAnsi="宋体" w:eastAsia="宋体" w:cs="Times New Roman"/>
                <w:bCs/>
                <w:szCs w:val="21"/>
              </w:rPr>
            </w:pPr>
            <w:r>
              <w:rPr>
                <w:rFonts w:hint="eastAsia" w:ascii="宋体" w:hAnsi="宋体" w:eastAsia="宋体" w:cs="Times New Roman"/>
                <w:bCs/>
                <w:szCs w:val="21"/>
              </w:rPr>
              <w:t>4</w:t>
            </w:r>
          </w:p>
        </w:tc>
        <w:tc>
          <w:tcPr>
            <w:tcW w:w="847" w:type="pct"/>
            <w:shd w:val="clear" w:color="auto" w:fill="auto"/>
            <w:vAlign w:val="center"/>
          </w:tcPr>
          <w:p>
            <w:pPr>
              <w:pStyle w:val="136"/>
              <w:rPr>
                <w:rFonts w:ascii="仿宋" w:hAnsi="仿宋" w:cs="Times New Roman"/>
                <w:bCs/>
                <w:szCs w:val="21"/>
              </w:rPr>
            </w:pPr>
            <w:r>
              <w:rPr>
                <w:rFonts w:hint="eastAsia" w:ascii="仿宋" w:hAnsi="仿宋" w:cs="Times New Roman"/>
                <w:bCs/>
                <w:szCs w:val="21"/>
              </w:rPr>
              <w:t>通用指标</w:t>
            </w:r>
          </w:p>
        </w:tc>
        <w:tc>
          <w:tcPr>
            <w:tcW w:w="843" w:type="pct"/>
            <w:shd w:val="clear" w:color="auto" w:fill="auto"/>
            <w:vAlign w:val="center"/>
          </w:tcPr>
          <w:p>
            <w:pPr>
              <w:pStyle w:val="136"/>
              <w:rPr>
                <w:rFonts w:ascii="仿宋" w:hAnsi="仿宋" w:cs="Times New Roman"/>
                <w:bCs/>
                <w:szCs w:val="21"/>
              </w:rPr>
            </w:pPr>
            <w:r>
              <w:rPr>
                <w:rFonts w:hint="eastAsia" w:ascii="仿宋" w:hAnsi="仿宋" w:cs="Times New Roman"/>
                <w:bCs/>
                <w:szCs w:val="21"/>
              </w:rPr>
              <w:t>安全体系</w:t>
            </w:r>
          </w:p>
        </w:tc>
        <w:tc>
          <w:tcPr>
            <w:tcW w:w="921" w:type="pct"/>
            <w:shd w:val="clear" w:color="auto" w:fill="auto"/>
            <w:vAlign w:val="center"/>
          </w:tcPr>
          <w:p>
            <w:pPr>
              <w:pStyle w:val="136"/>
              <w:rPr>
                <w:rFonts w:ascii="仿宋" w:hAnsi="仿宋" w:cs="Times New Roman"/>
                <w:bCs/>
                <w:szCs w:val="21"/>
              </w:rPr>
            </w:pPr>
            <w:r>
              <w:rPr>
                <w:rFonts w:hint="eastAsia" w:ascii="仿宋" w:hAnsi="仿宋" w:cs="Times New Roman"/>
                <w:bCs/>
                <w:szCs w:val="21"/>
              </w:rPr>
              <w:t>安全建设水平</w:t>
            </w:r>
          </w:p>
        </w:tc>
        <w:tc>
          <w:tcPr>
            <w:tcW w:w="842" w:type="pct"/>
            <w:vAlign w:val="center"/>
          </w:tcPr>
          <w:p>
            <w:pPr>
              <w:pStyle w:val="136"/>
              <w:rPr>
                <w:rFonts w:ascii="仿宋" w:hAnsi="仿宋" w:cs="Times New Roman"/>
                <w:bCs/>
                <w:szCs w:val="21"/>
              </w:rPr>
            </w:pPr>
            <w:r>
              <w:rPr>
                <w:rFonts w:hint="eastAsia" w:ascii="仿宋" w:hAnsi="仿宋" w:cs="Times New Roman"/>
                <w:bCs/>
                <w:szCs w:val="21"/>
              </w:rPr>
              <w:t>网络安全措施</w:t>
            </w:r>
          </w:p>
        </w:tc>
        <w:tc>
          <w:tcPr>
            <w:tcW w:w="1082" w:type="pct"/>
            <w:shd w:val="clear" w:color="auto" w:fill="auto"/>
            <w:vAlign w:val="center"/>
          </w:tcPr>
          <w:p>
            <w:pPr>
              <w:pStyle w:val="136"/>
              <w:rPr>
                <w:rFonts w:ascii="仿宋" w:hAnsi="仿宋" w:cs="Times New Roman"/>
                <w:bCs/>
                <w:szCs w:val="21"/>
              </w:rPr>
            </w:pPr>
            <w:r>
              <w:rPr>
                <w:rFonts w:hint="eastAsia" w:ascii="仿宋" w:hAnsi="仿宋" w:cs="Times New Roman"/>
                <w:bCs/>
                <w:szCs w:val="21"/>
              </w:rPr>
              <w:t>按三级网络安全等级标准建设</w:t>
            </w:r>
          </w:p>
        </w:tc>
      </w:tr>
    </w:tbl>
    <w:p>
      <w:pPr>
        <w:ind w:firstLineChars="0"/>
        <w:rPr>
          <w:rFonts w:ascii="微软雅黑" w:hAnsi="微软雅黑" w:eastAsia="微软雅黑"/>
          <w:bCs/>
          <w:szCs w:val="32"/>
        </w:rPr>
      </w:pPr>
    </w:p>
    <w:p>
      <w:pPr>
        <w:pStyle w:val="139"/>
      </w:pPr>
      <w:r>
        <w:rPr>
          <w:rFonts w:hint="eastAsia"/>
        </w:rPr>
        <w:t>技术目标</w:t>
      </w:r>
    </w:p>
    <w:p>
      <w:pPr>
        <w:pStyle w:val="4"/>
      </w:pPr>
      <w:r>
        <w:rPr>
          <w:rFonts w:hint="eastAsia"/>
        </w:rPr>
        <w:t>空间底板大系统</w:t>
      </w:r>
    </w:p>
    <w:tbl>
      <w:tblPr>
        <w:tblStyle w:val="35"/>
        <w:tblW w:w="5272"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048"/>
        <w:gridCol w:w="1399"/>
        <w:gridCol w:w="1388"/>
        <w:gridCol w:w="1336"/>
        <w:gridCol w:w="1948"/>
        <w:gridCol w:w="187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tblHeader/>
          <w:jc w:val="center"/>
        </w:trPr>
        <w:tc>
          <w:tcPr>
            <w:tcW w:w="1361" w:type="pct"/>
            <w:gridSpan w:val="2"/>
            <w:shd w:val="clear" w:color="auto" w:fill="EEECE1" w:themeFill="background2"/>
            <w:vAlign w:val="center"/>
          </w:tcPr>
          <w:p>
            <w:pPr>
              <w:pStyle w:val="136"/>
            </w:pPr>
            <w:r>
              <w:rPr>
                <w:rFonts w:hint="eastAsia"/>
              </w:rPr>
              <w:t>技术目标</w:t>
            </w:r>
          </w:p>
        </w:tc>
        <w:tc>
          <w:tcPr>
            <w:tcW w:w="3639" w:type="pct"/>
            <w:gridSpan w:val="4"/>
            <w:shd w:val="clear" w:color="auto" w:fill="EEECE1" w:themeFill="background2"/>
            <w:vAlign w:val="center"/>
          </w:tcPr>
          <w:p>
            <w:pPr>
              <w:pStyle w:val="136"/>
            </w:pPr>
            <w:r>
              <w:rPr>
                <w:rFonts w:hint="eastAsia"/>
              </w:rPr>
              <w:t>通过合理的技术设计，保障系统运行稳定性与数据安全性，提高系统可扩展性、可维护性和高效性，能够保障高并发场景下的用户使用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tblHeader/>
          <w:jc w:val="center"/>
        </w:trPr>
        <w:tc>
          <w:tcPr>
            <w:tcW w:w="583" w:type="pct"/>
            <w:shd w:val="clear" w:color="auto" w:fill="EEECE1" w:themeFill="background2"/>
            <w:vAlign w:val="center"/>
          </w:tcPr>
          <w:p>
            <w:pPr>
              <w:pStyle w:val="136"/>
            </w:pPr>
            <w:r>
              <w:rPr>
                <w:rFonts w:hint="eastAsia"/>
              </w:rPr>
              <w:t>序号</w:t>
            </w:r>
          </w:p>
        </w:tc>
        <w:tc>
          <w:tcPr>
            <w:tcW w:w="778" w:type="pct"/>
            <w:shd w:val="clear" w:color="auto" w:fill="EEECE1" w:themeFill="background2"/>
            <w:vAlign w:val="center"/>
          </w:tcPr>
          <w:p>
            <w:pPr>
              <w:pStyle w:val="136"/>
            </w:pPr>
            <w:r>
              <w:rPr>
                <w:rFonts w:hint="eastAsia"/>
              </w:rPr>
              <w:t>一级指标</w:t>
            </w:r>
          </w:p>
        </w:tc>
        <w:tc>
          <w:tcPr>
            <w:tcW w:w="772" w:type="pct"/>
            <w:shd w:val="clear" w:color="auto" w:fill="EEECE1" w:themeFill="background2"/>
            <w:vAlign w:val="center"/>
          </w:tcPr>
          <w:p>
            <w:pPr>
              <w:pStyle w:val="136"/>
            </w:pPr>
            <w:r>
              <w:rPr>
                <w:rFonts w:hint="eastAsia"/>
              </w:rPr>
              <w:t>二级指标</w:t>
            </w:r>
          </w:p>
        </w:tc>
        <w:tc>
          <w:tcPr>
            <w:tcW w:w="743" w:type="pct"/>
            <w:shd w:val="clear" w:color="auto" w:fill="EEECE1" w:themeFill="background2"/>
            <w:vAlign w:val="center"/>
          </w:tcPr>
          <w:p>
            <w:pPr>
              <w:pStyle w:val="136"/>
            </w:pPr>
            <w:r>
              <w:rPr>
                <w:rFonts w:hint="eastAsia"/>
              </w:rPr>
              <w:t>三级指标</w:t>
            </w:r>
          </w:p>
        </w:tc>
        <w:tc>
          <w:tcPr>
            <w:tcW w:w="1083" w:type="pct"/>
            <w:shd w:val="clear" w:color="auto" w:fill="EEECE1" w:themeFill="background2"/>
          </w:tcPr>
          <w:p>
            <w:pPr>
              <w:pStyle w:val="136"/>
            </w:pPr>
            <w:r>
              <w:rPr>
                <w:rFonts w:hint="eastAsia"/>
              </w:rPr>
              <w:t>四级指标</w:t>
            </w:r>
          </w:p>
        </w:tc>
        <w:tc>
          <w:tcPr>
            <w:tcW w:w="1041" w:type="pct"/>
            <w:shd w:val="clear" w:color="auto" w:fill="EEECE1" w:themeFill="background2"/>
            <w:vAlign w:val="center"/>
          </w:tcPr>
          <w:p>
            <w:pPr>
              <w:pStyle w:val="136"/>
            </w:pPr>
            <w:r>
              <w:rPr>
                <w:rFonts w:hint="eastAsia"/>
              </w:rPr>
              <w:t>指标值</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583" w:type="pct"/>
            <w:shd w:val="clear" w:color="auto" w:fill="auto"/>
            <w:vAlign w:val="center"/>
          </w:tcPr>
          <w:p>
            <w:pPr>
              <w:pStyle w:val="136"/>
              <w:rPr>
                <w:rFonts w:eastAsia="等线"/>
              </w:rPr>
            </w:pPr>
            <w:r>
              <w:rPr>
                <w:rFonts w:eastAsia="等线"/>
              </w:rPr>
              <w:t>1</w:t>
            </w:r>
          </w:p>
        </w:tc>
        <w:tc>
          <w:tcPr>
            <w:tcW w:w="778" w:type="pct"/>
            <w:vMerge w:val="restart"/>
            <w:shd w:val="clear" w:color="auto" w:fill="auto"/>
            <w:vAlign w:val="center"/>
          </w:tcPr>
          <w:p>
            <w:pPr>
              <w:pStyle w:val="136"/>
            </w:pPr>
            <w:r>
              <w:rPr>
                <w:rFonts w:hint="eastAsia"/>
              </w:rPr>
              <w:t>通用指标</w:t>
            </w:r>
          </w:p>
        </w:tc>
        <w:tc>
          <w:tcPr>
            <w:tcW w:w="772" w:type="pct"/>
            <w:vMerge w:val="restart"/>
            <w:shd w:val="clear" w:color="auto" w:fill="auto"/>
            <w:vAlign w:val="center"/>
          </w:tcPr>
          <w:p>
            <w:pPr>
              <w:pStyle w:val="136"/>
            </w:pPr>
            <w:r>
              <w:rPr>
                <w:rFonts w:hint="eastAsia"/>
              </w:rPr>
              <w:t>产出指标</w:t>
            </w:r>
          </w:p>
        </w:tc>
        <w:tc>
          <w:tcPr>
            <w:tcW w:w="743" w:type="pct"/>
            <w:vMerge w:val="restart"/>
            <w:shd w:val="clear" w:color="auto" w:fill="auto"/>
            <w:vAlign w:val="center"/>
          </w:tcPr>
          <w:p>
            <w:pPr>
              <w:pStyle w:val="136"/>
            </w:pPr>
            <w:r>
              <w:rPr>
                <w:rFonts w:hint="eastAsia"/>
              </w:rPr>
              <w:t>产出数量</w:t>
            </w:r>
          </w:p>
        </w:tc>
        <w:tc>
          <w:tcPr>
            <w:tcW w:w="1083" w:type="pct"/>
          </w:tcPr>
          <w:p>
            <w:pPr>
              <w:pStyle w:val="136"/>
            </w:pPr>
            <w:r>
              <w:rPr>
                <w:rFonts w:hint="eastAsia"/>
              </w:rPr>
              <w:t>软件开发完成率</w:t>
            </w:r>
          </w:p>
        </w:tc>
        <w:tc>
          <w:tcPr>
            <w:tcW w:w="1041" w:type="pct"/>
            <w:shd w:val="clear" w:color="auto" w:fill="auto"/>
            <w:vAlign w:val="center"/>
          </w:tcPr>
          <w:p>
            <w:pPr>
              <w:pStyle w:val="136"/>
            </w:pPr>
            <w:r>
              <w:rPr>
                <w:rFonts w:hint="eastAsia"/>
              </w:rPr>
              <w:t>100%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583" w:type="pct"/>
            <w:shd w:val="clear" w:color="auto" w:fill="auto"/>
            <w:vAlign w:val="center"/>
          </w:tcPr>
          <w:p>
            <w:pPr>
              <w:pStyle w:val="136"/>
              <w:rPr>
                <w:rFonts w:eastAsia="等线"/>
              </w:rPr>
            </w:pPr>
            <w:r>
              <w:rPr>
                <w:rFonts w:hint="eastAsia" w:eastAsia="等线"/>
              </w:rPr>
              <w:t>2</w:t>
            </w:r>
          </w:p>
        </w:tc>
        <w:tc>
          <w:tcPr>
            <w:tcW w:w="778" w:type="pct"/>
            <w:vMerge w:val="continue"/>
            <w:shd w:val="clear" w:color="auto" w:fill="auto"/>
            <w:vAlign w:val="center"/>
          </w:tcPr>
          <w:p>
            <w:pPr>
              <w:pStyle w:val="136"/>
            </w:pPr>
          </w:p>
        </w:tc>
        <w:tc>
          <w:tcPr>
            <w:tcW w:w="772" w:type="pct"/>
            <w:vMerge w:val="continue"/>
            <w:shd w:val="clear" w:color="auto" w:fill="auto"/>
            <w:vAlign w:val="center"/>
          </w:tcPr>
          <w:p>
            <w:pPr>
              <w:pStyle w:val="136"/>
            </w:pPr>
          </w:p>
        </w:tc>
        <w:tc>
          <w:tcPr>
            <w:tcW w:w="743" w:type="pct"/>
            <w:vMerge w:val="continue"/>
            <w:shd w:val="clear" w:color="auto" w:fill="auto"/>
            <w:vAlign w:val="center"/>
          </w:tcPr>
          <w:p>
            <w:pPr>
              <w:pStyle w:val="136"/>
            </w:pPr>
          </w:p>
        </w:tc>
        <w:tc>
          <w:tcPr>
            <w:tcW w:w="1083" w:type="pct"/>
          </w:tcPr>
          <w:p>
            <w:pPr>
              <w:pStyle w:val="136"/>
            </w:pPr>
            <w:r>
              <w:rPr>
                <w:rFonts w:hint="eastAsia"/>
              </w:rPr>
              <w:t>系统可靠性</w:t>
            </w:r>
          </w:p>
        </w:tc>
        <w:tc>
          <w:tcPr>
            <w:tcW w:w="1041" w:type="pct"/>
            <w:shd w:val="clear" w:color="auto" w:fill="auto"/>
            <w:vAlign w:val="center"/>
          </w:tcPr>
          <w:p>
            <w:pPr>
              <w:pStyle w:val="136"/>
            </w:pPr>
            <w:r>
              <w:rPr>
                <w:rFonts w:hint="eastAsia"/>
              </w:rPr>
              <w:t>100%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583" w:type="pct"/>
            <w:shd w:val="clear" w:color="auto" w:fill="auto"/>
            <w:vAlign w:val="center"/>
          </w:tcPr>
          <w:p>
            <w:pPr>
              <w:pStyle w:val="136"/>
              <w:rPr>
                <w:rFonts w:eastAsia="等线"/>
              </w:rPr>
            </w:pPr>
            <w:r>
              <w:rPr>
                <w:rFonts w:hint="eastAsia" w:eastAsia="等线"/>
              </w:rPr>
              <w:t>3</w:t>
            </w:r>
          </w:p>
        </w:tc>
        <w:tc>
          <w:tcPr>
            <w:tcW w:w="778" w:type="pct"/>
            <w:vMerge w:val="continue"/>
            <w:shd w:val="clear" w:color="auto" w:fill="auto"/>
            <w:vAlign w:val="center"/>
          </w:tcPr>
          <w:p>
            <w:pPr>
              <w:pStyle w:val="136"/>
            </w:pPr>
          </w:p>
        </w:tc>
        <w:tc>
          <w:tcPr>
            <w:tcW w:w="772" w:type="pct"/>
            <w:vMerge w:val="continue"/>
            <w:shd w:val="clear" w:color="auto" w:fill="auto"/>
            <w:vAlign w:val="center"/>
          </w:tcPr>
          <w:p>
            <w:pPr>
              <w:pStyle w:val="136"/>
            </w:pPr>
          </w:p>
        </w:tc>
        <w:tc>
          <w:tcPr>
            <w:tcW w:w="743" w:type="pct"/>
            <w:vMerge w:val="continue"/>
            <w:shd w:val="clear" w:color="auto" w:fill="auto"/>
            <w:vAlign w:val="center"/>
          </w:tcPr>
          <w:p>
            <w:pPr>
              <w:pStyle w:val="136"/>
            </w:pPr>
          </w:p>
        </w:tc>
        <w:tc>
          <w:tcPr>
            <w:tcW w:w="1083" w:type="pct"/>
          </w:tcPr>
          <w:p>
            <w:pPr>
              <w:pStyle w:val="136"/>
            </w:pPr>
            <w:r>
              <w:rPr>
                <w:rFonts w:hint="eastAsia"/>
              </w:rPr>
              <w:t>软件测试达标</w:t>
            </w:r>
          </w:p>
        </w:tc>
        <w:tc>
          <w:tcPr>
            <w:tcW w:w="1041" w:type="pct"/>
            <w:shd w:val="clear" w:color="auto" w:fill="auto"/>
            <w:vAlign w:val="center"/>
          </w:tcPr>
          <w:p>
            <w:pPr>
              <w:pStyle w:val="136"/>
            </w:pPr>
            <w:r>
              <w:rPr>
                <w:rFonts w:hint="eastAsia"/>
              </w:rPr>
              <w:t>通过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583" w:type="pct"/>
            <w:shd w:val="clear" w:color="auto" w:fill="auto"/>
            <w:vAlign w:val="center"/>
          </w:tcPr>
          <w:p>
            <w:pPr>
              <w:pStyle w:val="136"/>
              <w:rPr>
                <w:rFonts w:eastAsia="等线"/>
              </w:rPr>
            </w:pPr>
            <w:r>
              <w:rPr>
                <w:rFonts w:hint="eastAsia" w:eastAsia="等线"/>
              </w:rPr>
              <w:t>4</w:t>
            </w:r>
          </w:p>
        </w:tc>
        <w:tc>
          <w:tcPr>
            <w:tcW w:w="778" w:type="pct"/>
            <w:vMerge w:val="continue"/>
            <w:shd w:val="clear" w:color="auto" w:fill="auto"/>
            <w:vAlign w:val="center"/>
          </w:tcPr>
          <w:p>
            <w:pPr>
              <w:pStyle w:val="136"/>
            </w:pPr>
          </w:p>
        </w:tc>
        <w:tc>
          <w:tcPr>
            <w:tcW w:w="772" w:type="pct"/>
            <w:vMerge w:val="continue"/>
            <w:shd w:val="clear" w:color="auto" w:fill="auto"/>
            <w:vAlign w:val="center"/>
          </w:tcPr>
          <w:p>
            <w:pPr>
              <w:pStyle w:val="136"/>
            </w:pPr>
          </w:p>
        </w:tc>
        <w:tc>
          <w:tcPr>
            <w:tcW w:w="743" w:type="pct"/>
            <w:vMerge w:val="continue"/>
            <w:shd w:val="clear" w:color="auto" w:fill="auto"/>
            <w:vAlign w:val="center"/>
          </w:tcPr>
          <w:p>
            <w:pPr>
              <w:pStyle w:val="136"/>
            </w:pPr>
          </w:p>
        </w:tc>
        <w:tc>
          <w:tcPr>
            <w:tcW w:w="1083" w:type="pct"/>
          </w:tcPr>
          <w:p>
            <w:pPr>
              <w:pStyle w:val="136"/>
            </w:pPr>
            <w:r>
              <w:rPr>
                <w:rFonts w:hint="eastAsia"/>
              </w:rPr>
              <w:t>密码测试达标</w:t>
            </w:r>
          </w:p>
        </w:tc>
        <w:tc>
          <w:tcPr>
            <w:tcW w:w="1041" w:type="pct"/>
            <w:shd w:val="clear" w:color="auto" w:fill="auto"/>
            <w:vAlign w:val="center"/>
          </w:tcPr>
          <w:p>
            <w:pPr>
              <w:pStyle w:val="136"/>
            </w:pPr>
            <w:r>
              <w:rPr>
                <w:rFonts w:hint="eastAsia"/>
              </w:rPr>
              <w:t>通过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583" w:type="pct"/>
            <w:shd w:val="clear" w:color="auto" w:fill="auto"/>
            <w:vAlign w:val="center"/>
          </w:tcPr>
          <w:p>
            <w:pPr>
              <w:pStyle w:val="136"/>
              <w:rPr>
                <w:rFonts w:eastAsia="等线"/>
              </w:rPr>
            </w:pPr>
            <w:r>
              <w:rPr>
                <w:rFonts w:hint="eastAsia" w:eastAsia="等线"/>
              </w:rPr>
              <w:t>5</w:t>
            </w:r>
          </w:p>
        </w:tc>
        <w:tc>
          <w:tcPr>
            <w:tcW w:w="778" w:type="pct"/>
            <w:vMerge w:val="continue"/>
            <w:shd w:val="clear" w:color="auto" w:fill="auto"/>
            <w:vAlign w:val="center"/>
          </w:tcPr>
          <w:p>
            <w:pPr>
              <w:pStyle w:val="136"/>
            </w:pPr>
          </w:p>
        </w:tc>
        <w:tc>
          <w:tcPr>
            <w:tcW w:w="772" w:type="pct"/>
            <w:vMerge w:val="continue"/>
            <w:shd w:val="clear" w:color="auto" w:fill="auto"/>
            <w:vAlign w:val="center"/>
          </w:tcPr>
          <w:p>
            <w:pPr>
              <w:pStyle w:val="136"/>
            </w:pPr>
          </w:p>
        </w:tc>
        <w:tc>
          <w:tcPr>
            <w:tcW w:w="743" w:type="pct"/>
            <w:vMerge w:val="continue"/>
            <w:shd w:val="clear" w:color="auto" w:fill="auto"/>
            <w:vAlign w:val="center"/>
          </w:tcPr>
          <w:p>
            <w:pPr>
              <w:pStyle w:val="136"/>
            </w:pPr>
          </w:p>
        </w:tc>
        <w:tc>
          <w:tcPr>
            <w:tcW w:w="1083" w:type="pct"/>
          </w:tcPr>
          <w:p>
            <w:pPr>
              <w:pStyle w:val="136"/>
            </w:pPr>
            <w:r>
              <w:rPr>
                <w:rFonts w:hint="eastAsia"/>
              </w:rPr>
              <w:t>网络安全等级达标</w:t>
            </w:r>
          </w:p>
        </w:tc>
        <w:tc>
          <w:tcPr>
            <w:tcW w:w="1041" w:type="pct"/>
            <w:shd w:val="clear" w:color="auto" w:fill="auto"/>
            <w:vAlign w:val="center"/>
          </w:tcPr>
          <w:p>
            <w:pPr>
              <w:pStyle w:val="136"/>
            </w:pPr>
            <w:r>
              <w:rPr>
                <w:rFonts w:hint="eastAsia"/>
              </w:rPr>
              <w:t>通过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583" w:type="pct"/>
            <w:shd w:val="clear" w:color="auto" w:fill="auto"/>
            <w:vAlign w:val="center"/>
          </w:tcPr>
          <w:p>
            <w:pPr>
              <w:pStyle w:val="136"/>
              <w:rPr>
                <w:rFonts w:eastAsia="等线"/>
              </w:rPr>
            </w:pPr>
            <w:r>
              <w:rPr>
                <w:rFonts w:hint="eastAsia" w:eastAsia="等线"/>
              </w:rPr>
              <w:t>6</w:t>
            </w:r>
          </w:p>
        </w:tc>
        <w:tc>
          <w:tcPr>
            <w:tcW w:w="778" w:type="pct"/>
            <w:vMerge w:val="continue"/>
            <w:shd w:val="clear" w:color="auto" w:fill="auto"/>
            <w:vAlign w:val="center"/>
          </w:tcPr>
          <w:p>
            <w:pPr>
              <w:pStyle w:val="136"/>
            </w:pPr>
          </w:p>
        </w:tc>
        <w:tc>
          <w:tcPr>
            <w:tcW w:w="772" w:type="pct"/>
            <w:vMerge w:val="continue"/>
            <w:shd w:val="clear" w:color="auto" w:fill="auto"/>
            <w:vAlign w:val="center"/>
          </w:tcPr>
          <w:p>
            <w:pPr>
              <w:pStyle w:val="136"/>
            </w:pPr>
          </w:p>
        </w:tc>
        <w:tc>
          <w:tcPr>
            <w:tcW w:w="743" w:type="pct"/>
            <w:vMerge w:val="continue"/>
            <w:shd w:val="clear" w:color="auto" w:fill="auto"/>
            <w:vAlign w:val="center"/>
          </w:tcPr>
          <w:p>
            <w:pPr>
              <w:pStyle w:val="136"/>
            </w:pPr>
          </w:p>
        </w:tc>
        <w:tc>
          <w:tcPr>
            <w:tcW w:w="1083" w:type="pct"/>
          </w:tcPr>
          <w:p>
            <w:pPr>
              <w:pStyle w:val="136"/>
            </w:pPr>
            <w:r>
              <w:rPr>
                <w:rFonts w:hint="eastAsia"/>
              </w:rPr>
              <w:t>安全测试达标</w:t>
            </w:r>
          </w:p>
        </w:tc>
        <w:tc>
          <w:tcPr>
            <w:tcW w:w="1041" w:type="pct"/>
            <w:shd w:val="clear" w:color="auto" w:fill="auto"/>
            <w:vAlign w:val="center"/>
          </w:tcPr>
          <w:p>
            <w:pPr>
              <w:pStyle w:val="136"/>
            </w:pPr>
            <w:r>
              <w:rPr>
                <w:rFonts w:hint="eastAsia"/>
              </w:rPr>
              <w:t>通过</w:t>
            </w:r>
          </w:p>
        </w:tc>
      </w:tr>
    </w:tbl>
    <w:p/>
    <w:p>
      <w:pPr>
        <w:pStyle w:val="4"/>
      </w:pPr>
      <w:r>
        <w:rPr>
          <w:rFonts w:hint="eastAsia"/>
        </w:rPr>
        <w:t>市规划资源局地质子系统</w:t>
      </w:r>
    </w:p>
    <w:tbl>
      <w:tblPr>
        <w:tblStyle w:val="35"/>
        <w:tblW w:w="526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015"/>
        <w:gridCol w:w="1310"/>
        <w:gridCol w:w="1617"/>
        <w:gridCol w:w="1148"/>
        <w:gridCol w:w="2049"/>
        <w:gridCol w:w="183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tblHeader/>
          <w:jc w:val="center"/>
        </w:trPr>
        <w:tc>
          <w:tcPr>
            <w:tcW w:w="1296" w:type="pct"/>
            <w:gridSpan w:val="2"/>
            <w:shd w:val="clear" w:color="auto" w:fill="EEECE1" w:themeFill="background2"/>
            <w:vAlign w:val="center"/>
          </w:tcPr>
          <w:p>
            <w:pPr>
              <w:pStyle w:val="136"/>
            </w:pPr>
            <w:r>
              <w:rPr>
                <w:rFonts w:hint="eastAsia"/>
              </w:rPr>
              <w:t>技术目标</w:t>
            </w:r>
          </w:p>
        </w:tc>
        <w:tc>
          <w:tcPr>
            <w:tcW w:w="3704" w:type="pct"/>
            <w:gridSpan w:val="4"/>
            <w:shd w:val="clear" w:color="auto" w:fill="EEECE1" w:themeFill="background2"/>
          </w:tcPr>
          <w:p>
            <w:pPr>
              <w:pStyle w:val="136"/>
            </w:pPr>
            <w:r>
              <w:rPr>
                <w:rFonts w:hint="eastAsia"/>
              </w:rPr>
              <w:t>通过合理的技术选型，统筹系统处理能力和响应速度，提高系统的可扩展性、可维护性和安全性，满足项目性能指标、保障系统正常运行，降低后期维护成本。</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tblHeader/>
          <w:jc w:val="center"/>
        </w:trPr>
        <w:tc>
          <w:tcPr>
            <w:tcW w:w="566" w:type="pct"/>
            <w:shd w:val="clear" w:color="auto" w:fill="EEECE1" w:themeFill="background2"/>
            <w:vAlign w:val="center"/>
          </w:tcPr>
          <w:p>
            <w:pPr>
              <w:pStyle w:val="136"/>
            </w:pPr>
            <w:r>
              <w:rPr>
                <w:rFonts w:hint="eastAsia"/>
              </w:rPr>
              <w:t>序号</w:t>
            </w:r>
          </w:p>
        </w:tc>
        <w:tc>
          <w:tcPr>
            <w:tcW w:w="730" w:type="pct"/>
            <w:shd w:val="clear" w:color="auto" w:fill="EEECE1" w:themeFill="background2"/>
            <w:vAlign w:val="center"/>
          </w:tcPr>
          <w:p>
            <w:pPr>
              <w:pStyle w:val="136"/>
            </w:pPr>
            <w:r>
              <w:rPr>
                <w:rFonts w:hint="eastAsia"/>
              </w:rPr>
              <w:t>一级指标</w:t>
            </w:r>
          </w:p>
        </w:tc>
        <w:tc>
          <w:tcPr>
            <w:tcW w:w="901" w:type="pct"/>
            <w:shd w:val="clear" w:color="auto" w:fill="EEECE1" w:themeFill="background2"/>
            <w:vAlign w:val="center"/>
          </w:tcPr>
          <w:p>
            <w:pPr>
              <w:pStyle w:val="136"/>
            </w:pPr>
            <w:r>
              <w:rPr>
                <w:rFonts w:hint="eastAsia"/>
              </w:rPr>
              <w:t>二级指标</w:t>
            </w:r>
          </w:p>
        </w:tc>
        <w:tc>
          <w:tcPr>
            <w:tcW w:w="640" w:type="pct"/>
            <w:shd w:val="clear" w:color="auto" w:fill="EEECE1" w:themeFill="background2"/>
            <w:vAlign w:val="center"/>
          </w:tcPr>
          <w:p>
            <w:pPr>
              <w:pStyle w:val="136"/>
            </w:pPr>
            <w:r>
              <w:rPr>
                <w:rFonts w:hint="eastAsia"/>
              </w:rPr>
              <w:t>三级指标</w:t>
            </w:r>
          </w:p>
        </w:tc>
        <w:tc>
          <w:tcPr>
            <w:tcW w:w="1142" w:type="pct"/>
            <w:shd w:val="clear" w:color="auto" w:fill="EEECE1" w:themeFill="background2"/>
          </w:tcPr>
          <w:p>
            <w:pPr>
              <w:pStyle w:val="136"/>
            </w:pPr>
            <w:r>
              <w:rPr>
                <w:rFonts w:hint="eastAsia"/>
              </w:rPr>
              <w:t>四级指标</w:t>
            </w:r>
          </w:p>
        </w:tc>
        <w:tc>
          <w:tcPr>
            <w:tcW w:w="1021" w:type="pct"/>
            <w:shd w:val="clear" w:color="auto" w:fill="EEECE1" w:themeFill="background2"/>
            <w:vAlign w:val="center"/>
          </w:tcPr>
          <w:p>
            <w:pPr>
              <w:pStyle w:val="136"/>
            </w:pPr>
            <w:r>
              <w:rPr>
                <w:rFonts w:hint="eastAsia"/>
              </w:rPr>
              <w:t>指标值</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566" w:type="pct"/>
            <w:shd w:val="clear" w:color="auto" w:fill="auto"/>
            <w:vAlign w:val="center"/>
          </w:tcPr>
          <w:p>
            <w:pPr>
              <w:pStyle w:val="136"/>
              <w:rPr>
                <w:rFonts w:eastAsia="等线"/>
              </w:rPr>
            </w:pPr>
            <w:r>
              <w:rPr>
                <w:rFonts w:eastAsia="等线"/>
              </w:rPr>
              <w:t>1</w:t>
            </w:r>
          </w:p>
        </w:tc>
        <w:tc>
          <w:tcPr>
            <w:tcW w:w="730" w:type="pct"/>
            <w:vMerge w:val="restart"/>
            <w:shd w:val="clear" w:color="auto" w:fill="auto"/>
            <w:vAlign w:val="center"/>
          </w:tcPr>
          <w:p>
            <w:pPr>
              <w:pStyle w:val="136"/>
            </w:pPr>
            <w:r>
              <w:rPr>
                <w:rFonts w:hint="eastAsia"/>
              </w:rPr>
              <w:t>通用指标</w:t>
            </w:r>
          </w:p>
        </w:tc>
        <w:tc>
          <w:tcPr>
            <w:tcW w:w="901" w:type="pct"/>
            <w:vMerge w:val="restart"/>
            <w:shd w:val="clear" w:color="auto" w:fill="auto"/>
            <w:vAlign w:val="center"/>
          </w:tcPr>
          <w:p>
            <w:pPr>
              <w:pStyle w:val="136"/>
            </w:pPr>
            <w:r>
              <w:rPr>
                <w:rFonts w:hint="eastAsia"/>
              </w:rPr>
              <w:t>产出指标</w:t>
            </w:r>
          </w:p>
        </w:tc>
        <w:tc>
          <w:tcPr>
            <w:tcW w:w="640" w:type="pct"/>
            <w:vMerge w:val="restart"/>
            <w:shd w:val="clear" w:color="auto" w:fill="auto"/>
            <w:vAlign w:val="center"/>
          </w:tcPr>
          <w:p>
            <w:pPr>
              <w:pStyle w:val="136"/>
            </w:pPr>
            <w:r>
              <w:rPr>
                <w:rFonts w:hint="eastAsia"/>
              </w:rPr>
              <w:t>产出数量</w:t>
            </w:r>
          </w:p>
        </w:tc>
        <w:tc>
          <w:tcPr>
            <w:tcW w:w="1142" w:type="pct"/>
          </w:tcPr>
          <w:p>
            <w:pPr>
              <w:pStyle w:val="136"/>
            </w:pPr>
            <w:r>
              <w:rPr>
                <w:rFonts w:hint="eastAsia"/>
              </w:rPr>
              <w:t>软件开发完成率</w:t>
            </w:r>
          </w:p>
        </w:tc>
        <w:tc>
          <w:tcPr>
            <w:tcW w:w="1021" w:type="pct"/>
            <w:shd w:val="clear" w:color="auto" w:fill="auto"/>
            <w:vAlign w:val="center"/>
          </w:tcPr>
          <w:p>
            <w:pPr>
              <w:pStyle w:val="136"/>
            </w:pPr>
            <w:r>
              <w:rPr>
                <w:rFonts w:hint="eastAsia"/>
              </w:rPr>
              <w:t>100%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566" w:type="pct"/>
            <w:shd w:val="clear" w:color="auto" w:fill="auto"/>
            <w:vAlign w:val="center"/>
          </w:tcPr>
          <w:p>
            <w:pPr>
              <w:pStyle w:val="136"/>
              <w:rPr>
                <w:rFonts w:eastAsia="等线"/>
              </w:rPr>
            </w:pPr>
            <w:r>
              <w:rPr>
                <w:rFonts w:hint="eastAsia" w:eastAsia="等线"/>
              </w:rPr>
              <w:t>2</w:t>
            </w:r>
          </w:p>
        </w:tc>
        <w:tc>
          <w:tcPr>
            <w:tcW w:w="730" w:type="pct"/>
            <w:vMerge w:val="continue"/>
            <w:shd w:val="clear" w:color="auto" w:fill="auto"/>
            <w:vAlign w:val="center"/>
          </w:tcPr>
          <w:p>
            <w:pPr>
              <w:pStyle w:val="136"/>
            </w:pPr>
          </w:p>
        </w:tc>
        <w:tc>
          <w:tcPr>
            <w:tcW w:w="901" w:type="pct"/>
            <w:vMerge w:val="continue"/>
            <w:shd w:val="clear" w:color="auto" w:fill="auto"/>
            <w:vAlign w:val="center"/>
          </w:tcPr>
          <w:p>
            <w:pPr>
              <w:pStyle w:val="136"/>
            </w:pPr>
          </w:p>
        </w:tc>
        <w:tc>
          <w:tcPr>
            <w:tcW w:w="640" w:type="pct"/>
            <w:vMerge w:val="continue"/>
            <w:shd w:val="clear" w:color="auto" w:fill="auto"/>
            <w:vAlign w:val="center"/>
          </w:tcPr>
          <w:p>
            <w:pPr>
              <w:pStyle w:val="136"/>
            </w:pPr>
          </w:p>
        </w:tc>
        <w:tc>
          <w:tcPr>
            <w:tcW w:w="1142" w:type="pct"/>
          </w:tcPr>
          <w:p>
            <w:pPr>
              <w:pStyle w:val="136"/>
            </w:pPr>
            <w:r>
              <w:rPr>
                <w:rFonts w:hint="eastAsia"/>
              </w:rPr>
              <w:t>系统可靠性</w:t>
            </w:r>
          </w:p>
        </w:tc>
        <w:tc>
          <w:tcPr>
            <w:tcW w:w="1021" w:type="pct"/>
            <w:shd w:val="clear" w:color="auto" w:fill="auto"/>
            <w:vAlign w:val="center"/>
          </w:tcPr>
          <w:p>
            <w:pPr>
              <w:pStyle w:val="136"/>
            </w:pPr>
            <w:r>
              <w:rPr>
                <w:rFonts w:hint="eastAsia"/>
              </w:rPr>
              <w:t>100%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566" w:type="pct"/>
            <w:shd w:val="clear" w:color="auto" w:fill="auto"/>
            <w:vAlign w:val="center"/>
          </w:tcPr>
          <w:p>
            <w:pPr>
              <w:pStyle w:val="136"/>
              <w:rPr>
                <w:rFonts w:eastAsia="等线"/>
              </w:rPr>
            </w:pPr>
            <w:r>
              <w:rPr>
                <w:rFonts w:hint="eastAsia" w:eastAsia="等线"/>
              </w:rPr>
              <w:t>3</w:t>
            </w:r>
          </w:p>
        </w:tc>
        <w:tc>
          <w:tcPr>
            <w:tcW w:w="730" w:type="pct"/>
            <w:vMerge w:val="continue"/>
            <w:shd w:val="clear" w:color="auto" w:fill="auto"/>
            <w:vAlign w:val="center"/>
          </w:tcPr>
          <w:p>
            <w:pPr>
              <w:pStyle w:val="136"/>
            </w:pPr>
          </w:p>
        </w:tc>
        <w:tc>
          <w:tcPr>
            <w:tcW w:w="901" w:type="pct"/>
            <w:vMerge w:val="continue"/>
            <w:shd w:val="clear" w:color="auto" w:fill="auto"/>
            <w:vAlign w:val="center"/>
          </w:tcPr>
          <w:p>
            <w:pPr>
              <w:pStyle w:val="136"/>
            </w:pPr>
          </w:p>
        </w:tc>
        <w:tc>
          <w:tcPr>
            <w:tcW w:w="640" w:type="pct"/>
            <w:vMerge w:val="continue"/>
            <w:shd w:val="clear" w:color="auto" w:fill="auto"/>
            <w:vAlign w:val="center"/>
          </w:tcPr>
          <w:p>
            <w:pPr>
              <w:pStyle w:val="136"/>
            </w:pPr>
          </w:p>
        </w:tc>
        <w:tc>
          <w:tcPr>
            <w:tcW w:w="1142" w:type="pct"/>
          </w:tcPr>
          <w:p>
            <w:pPr>
              <w:pStyle w:val="136"/>
            </w:pPr>
            <w:r>
              <w:rPr>
                <w:rFonts w:hint="eastAsia"/>
              </w:rPr>
              <w:t>软件测试达标</w:t>
            </w:r>
          </w:p>
        </w:tc>
        <w:tc>
          <w:tcPr>
            <w:tcW w:w="1021" w:type="pct"/>
            <w:shd w:val="clear" w:color="auto" w:fill="auto"/>
            <w:vAlign w:val="center"/>
          </w:tcPr>
          <w:p>
            <w:pPr>
              <w:pStyle w:val="136"/>
            </w:pPr>
            <w:r>
              <w:rPr>
                <w:rFonts w:hint="eastAsia"/>
              </w:rPr>
              <w:t>通过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566" w:type="pct"/>
            <w:shd w:val="clear" w:color="auto" w:fill="auto"/>
            <w:vAlign w:val="center"/>
          </w:tcPr>
          <w:p>
            <w:pPr>
              <w:pStyle w:val="136"/>
              <w:rPr>
                <w:rFonts w:eastAsia="等线"/>
              </w:rPr>
            </w:pPr>
            <w:r>
              <w:rPr>
                <w:rFonts w:hint="eastAsia" w:eastAsia="等线"/>
              </w:rPr>
              <w:t>4</w:t>
            </w:r>
          </w:p>
        </w:tc>
        <w:tc>
          <w:tcPr>
            <w:tcW w:w="730" w:type="pct"/>
            <w:vMerge w:val="continue"/>
            <w:shd w:val="clear" w:color="auto" w:fill="auto"/>
            <w:vAlign w:val="center"/>
          </w:tcPr>
          <w:p>
            <w:pPr>
              <w:pStyle w:val="136"/>
            </w:pPr>
          </w:p>
        </w:tc>
        <w:tc>
          <w:tcPr>
            <w:tcW w:w="901" w:type="pct"/>
            <w:vMerge w:val="continue"/>
            <w:shd w:val="clear" w:color="auto" w:fill="auto"/>
            <w:vAlign w:val="center"/>
          </w:tcPr>
          <w:p>
            <w:pPr>
              <w:pStyle w:val="136"/>
            </w:pPr>
          </w:p>
        </w:tc>
        <w:tc>
          <w:tcPr>
            <w:tcW w:w="640" w:type="pct"/>
            <w:vMerge w:val="continue"/>
            <w:shd w:val="clear" w:color="auto" w:fill="auto"/>
            <w:vAlign w:val="center"/>
          </w:tcPr>
          <w:p>
            <w:pPr>
              <w:pStyle w:val="136"/>
            </w:pPr>
          </w:p>
        </w:tc>
        <w:tc>
          <w:tcPr>
            <w:tcW w:w="1142" w:type="pct"/>
          </w:tcPr>
          <w:p>
            <w:pPr>
              <w:pStyle w:val="136"/>
            </w:pPr>
            <w:r>
              <w:rPr>
                <w:rFonts w:hint="eastAsia"/>
              </w:rPr>
              <w:t>密码测试达标</w:t>
            </w:r>
          </w:p>
        </w:tc>
        <w:tc>
          <w:tcPr>
            <w:tcW w:w="1021" w:type="pct"/>
            <w:shd w:val="clear" w:color="auto" w:fill="auto"/>
            <w:vAlign w:val="center"/>
          </w:tcPr>
          <w:p>
            <w:pPr>
              <w:pStyle w:val="136"/>
            </w:pPr>
            <w:r>
              <w:rPr>
                <w:rFonts w:hint="eastAsia"/>
              </w:rPr>
              <w:t>通过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566" w:type="pct"/>
            <w:shd w:val="clear" w:color="auto" w:fill="auto"/>
            <w:vAlign w:val="center"/>
          </w:tcPr>
          <w:p>
            <w:pPr>
              <w:pStyle w:val="136"/>
              <w:rPr>
                <w:rFonts w:eastAsia="等线"/>
              </w:rPr>
            </w:pPr>
            <w:r>
              <w:rPr>
                <w:rFonts w:hint="eastAsia" w:eastAsia="等线"/>
              </w:rPr>
              <w:t>5</w:t>
            </w:r>
          </w:p>
        </w:tc>
        <w:tc>
          <w:tcPr>
            <w:tcW w:w="730" w:type="pct"/>
            <w:vMerge w:val="continue"/>
            <w:shd w:val="clear" w:color="auto" w:fill="auto"/>
            <w:vAlign w:val="center"/>
          </w:tcPr>
          <w:p>
            <w:pPr>
              <w:pStyle w:val="136"/>
            </w:pPr>
          </w:p>
        </w:tc>
        <w:tc>
          <w:tcPr>
            <w:tcW w:w="901" w:type="pct"/>
            <w:vMerge w:val="continue"/>
            <w:shd w:val="clear" w:color="auto" w:fill="auto"/>
            <w:vAlign w:val="center"/>
          </w:tcPr>
          <w:p>
            <w:pPr>
              <w:pStyle w:val="136"/>
            </w:pPr>
          </w:p>
        </w:tc>
        <w:tc>
          <w:tcPr>
            <w:tcW w:w="640" w:type="pct"/>
            <w:vMerge w:val="continue"/>
            <w:shd w:val="clear" w:color="auto" w:fill="auto"/>
            <w:vAlign w:val="center"/>
          </w:tcPr>
          <w:p>
            <w:pPr>
              <w:pStyle w:val="136"/>
            </w:pPr>
          </w:p>
        </w:tc>
        <w:tc>
          <w:tcPr>
            <w:tcW w:w="1142" w:type="pct"/>
          </w:tcPr>
          <w:p>
            <w:pPr>
              <w:pStyle w:val="136"/>
            </w:pPr>
            <w:r>
              <w:rPr>
                <w:rFonts w:hint="eastAsia"/>
              </w:rPr>
              <w:t>网络安全等级达标</w:t>
            </w:r>
          </w:p>
        </w:tc>
        <w:tc>
          <w:tcPr>
            <w:tcW w:w="1021" w:type="pct"/>
            <w:shd w:val="clear" w:color="auto" w:fill="auto"/>
            <w:vAlign w:val="center"/>
          </w:tcPr>
          <w:p>
            <w:pPr>
              <w:pStyle w:val="136"/>
            </w:pPr>
            <w:r>
              <w:rPr>
                <w:rFonts w:hint="eastAsia"/>
              </w:rPr>
              <w:t>通过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566" w:type="pct"/>
            <w:shd w:val="clear" w:color="auto" w:fill="auto"/>
            <w:vAlign w:val="center"/>
          </w:tcPr>
          <w:p>
            <w:pPr>
              <w:pStyle w:val="136"/>
              <w:rPr>
                <w:rFonts w:eastAsia="等线"/>
              </w:rPr>
            </w:pPr>
            <w:r>
              <w:rPr>
                <w:rFonts w:hint="eastAsia" w:eastAsia="等线"/>
              </w:rPr>
              <w:t>6</w:t>
            </w:r>
          </w:p>
        </w:tc>
        <w:tc>
          <w:tcPr>
            <w:tcW w:w="730" w:type="pct"/>
            <w:vMerge w:val="continue"/>
            <w:shd w:val="clear" w:color="auto" w:fill="auto"/>
            <w:vAlign w:val="center"/>
          </w:tcPr>
          <w:p>
            <w:pPr>
              <w:pStyle w:val="136"/>
            </w:pPr>
          </w:p>
        </w:tc>
        <w:tc>
          <w:tcPr>
            <w:tcW w:w="901" w:type="pct"/>
            <w:vMerge w:val="continue"/>
            <w:shd w:val="clear" w:color="auto" w:fill="auto"/>
            <w:vAlign w:val="center"/>
          </w:tcPr>
          <w:p>
            <w:pPr>
              <w:pStyle w:val="136"/>
            </w:pPr>
          </w:p>
        </w:tc>
        <w:tc>
          <w:tcPr>
            <w:tcW w:w="640" w:type="pct"/>
            <w:vMerge w:val="continue"/>
            <w:shd w:val="clear" w:color="auto" w:fill="auto"/>
            <w:vAlign w:val="center"/>
          </w:tcPr>
          <w:p>
            <w:pPr>
              <w:pStyle w:val="136"/>
            </w:pPr>
          </w:p>
        </w:tc>
        <w:tc>
          <w:tcPr>
            <w:tcW w:w="1142" w:type="pct"/>
          </w:tcPr>
          <w:p>
            <w:pPr>
              <w:pStyle w:val="136"/>
            </w:pPr>
            <w:r>
              <w:rPr>
                <w:rFonts w:hint="eastAsia"/>
              </w:rPr>
              <w:t>安全测试达标</w:t>
            </w:r>
          </w:p>
        </w:tc>
        <w:tc>
          <w:tcPr>
            <w:tcW w:w="1021" w:type="pct"/>
            <w:shd w:val="clear" w:color="auto" w:fill="auto"/>
            <w:vAlign w:val="center"/>
          </w:tcPr>
          <w:p>
            <w:pPr>
              <w:pStyle w:val="136"/>
            </w:pPr>
            <w:r>
              <w:rPr>
                <w:rFonts w:hint="eastAsia"/>
              </w:rPr>
              <w:t>通过</w:t>
            </w:r>
          </w:p>
        </w:tc>
      </w:tr>
    </w:tbl>
    <w:p>
      <w:pPr>
        <w:ind w:firstLine="0" w:firstLineChars="0"/>
      </w:pPr>
    </w:p>
    <w:p/>
    <w:p>
      <w:pPr>
        <w:pStyle w:val="2"/>
      </w:pPr>
      <w:bookmarkStart w:id="11" w:name="_Toc47536676"/>
      <w:bookmarkEnd w:id="11"/>
      <w:bookmarkStart w:id="12" w:name="_Toc47533288"/>
      <w:bookmarkEnd w:id="12"/>
      <w:bookmarkStart w:id="13" w:name="_Toc47536304"/>
      <w:bookmarkEnd w:id="13"/>
      <w:bookmarkStart w:id="14" w:name="_Toc47537166"/>
      <w:bookmarkEnd w:id="14"/>
      <w:bookmarkStart w:id="15" w:name="_Toc47532923"/>
      <w:bookmarkEnd w:id="15"/>
      <w:bookmarkStart w:id="16" w:name="_Toc47539102"/>
      <w:bookmarkEnd w:id="16"/>
      <w:r>
        <w:rPr>
          <w:rFonts w:hint="eastAsia"/>
        </w:rPr>
        <w:t>项目建设内容</w:t>
      </w:r>
    </w:p>
    <w:p>
      <w:pPr>
        <w:pStyle w:val="139"/>
      </w:pPr>
      <w:r>
        <w:rPr>
          <w:rFonts w:hint="eastAsia"/>
        </w:rPr>
        <w:t>主要建设内容</w:t>
      </w:r>
    </w:p>
    <w:p>
      <w:pPr>
        <w:pStyle w:val="137"/>
      </w:pPr>
      <w:r>
        <w:rPr>
          <w:rFonts w:hint="eastAsia"/>
        </w:rPr>
        <w:t>空间底板大系统</w:t>
      </w:r>
    </w:p>
    <w:p>
      <w:pPr>
        <w:pStyle w:val="138"/>
      </w:pPr>
      <w:r>
        <w:rPr>
          <w:rFonts w:hint="eastAsia"/>
        </w:rPr>
        <w:t>需要实现的建设内容包括测绘事项管理与服务升级改造、基础测绘升级改造、权属调查升级改造、现状调查升级改造、外业举证调查移动端建设等。</w:t>
      </w:r>
    </w:p>
    <w:p>
      <w:pPr>
        <w:pStyle w:val="140"/>
      </w:pPr>
      <w:r>
        <w:rPr>
          <w:rFonts w:hint="eastAsia"/>
        </w:rPr>
        <w:t>测绘事项管理与服务升级</w:t>
      </w:r>
    </w:p>
    <w:p>
      <w:pPr>
        <w:pStyle w:val="138"/>
      </w:pPr>
      <w:r>
        <w:rPr>
          <w:rFonts w:hint="eastAsia"/>
        </w:rPr>
        <w:t>一是建立具有“多测合一”资质的测绘单位名录，按照“非禁即入”的原则，持有规划资源管理部门颁发的测绘资质证书，且具备工程测量、界线与不动产测绘专业类别的测绘服务机构自动纳入名录。</w:t>
      </w:r>
    </w:p>
    <w:p>
      <w:pPr>
        <w:pStyle w:val="138"/>
      </w:pPr>
      <w:r>
        <w:rPr>
          <w:rFonts w:hint="eastAsia"/>
        </w:rPr>
        <w:t>二是动态管理“多测合一”服务机构名录，对名录的准确性（具备工程测量、界线与不动产测绘专业类别）、动态性（动态管理）都有较高要求。</w:t>
      </w:r>
    </w:p>
    <w:p>
      <w:pPr>
        <w:pStyle w:val="138"/>
      </w:pPr>
      <w:r>
        <w:rPr>
          <w:rFonts w:hint="eastAsia"/>
        </w:rPr>
        <w:t>三是测绘服务机构作业限制，测绘服务机构应在测绘资质等级许可的作业限制范围内从事测绘活动，这也代表需要获取并管理测绘机构的测绘资质信息、测绘作业证信息。</w:t>
      </w:r>
    </w:p>
    <w:p>
      <w:pPr>
        <w:pStyle w:val="138"/>
      </w:pPr>
      <w:r>
        <w:rPr>
          <w:rFonts w:hint="eastAsia"/>
        </w:rPr>
        <w:t>四是加强“多测合一”成果质量监督检查，“多测合一”的测绘结果纳入“双随机、一公开”监管模式中，实现守信激励和失信惩戒机制，将质量监督检查的结果纳入单位信用评价体系中，实现质量与信用的正向循环。</w:t>
      </w:r>
    </w:p>
    <w:p>
      <w:pPr>
        <w:pStyle w:val="138"/>
      </w:pPr>
      <w:r>
        <w:rPr>
          <w:rFonts w:hint="eastAsia"/>
        </w:rPr>
        <w:t>五是加快测绘行业信用体系建设，逐步构建守信激励和失信惩戒机制，对纳入“多测合一”名录的测绘服务机构和从业人员实行信用分级分类管理，建立信用档案。</w:t>
      </w:r>
    </w:p>
    <w:p>
      <w:pPr>
        <w:pStyle w:val="140"/>
      </w:pPr>
      <w:r>
        <w:rPr>
          <w:rFonts w:hint="eastAsia"/>
        </w:rPr>
        <w:t>基础测绘升级改造</w:t>
      </w:r>
    </w:p>
    <w:p>
      <w:pPr>
        <w:pStyle w:val="138"/>
      </w:pPr>
      <w:r>
        <w:rPr>
          <w:rFonts w:hint="eastAsia"/>
        </w:rPr>
        <w:t>一是</w:t>
      </w:r>
      <w:r>
        <w:t>多测合一流程优化</w:t>
      </w:r>
      <w:r>
        <w:rPr>
          <w:rFonts w:hint="eastAsia"/>
        </w:rPr>
        <w:t>，包括扩展“多测合一”定义范围，将原来狭义的竣工验收阶段多测合一扩展为包括：立项、用地、规划许可阶段的土地勘测定界、施工许可阶段的开工放样复验检测；竣工验收阶段的“多测合一”；扩展“一证多验”业务范围，扩展“多测合一”的业务从原来的仓库等低风险类型扩展至商业、办公、保障性住房项目，意味着对“多测合一”的管理颗粒度从工规证提升至建筑物单体，对任务的创建、数据的上报等，都提出了更高的要求。</w:t>
      </w:r>
    </w:p>
    <w:p>
      <w:pPr>
        <w:pStyle w:val="138"/>
      </w:pPr>
      <w:r>
        <w:rPr>
          <w:rFonts w:hint="eastAsia"/>
        </w:rPr>
        <w:t>二是</w:t>
      </w:r>
      <w:r>
        <w:t>多测合一成果数据管理</w:t>
      </w:r>
      <w:r>
        <w:rPr>
          <w:rFonts w:hint="eastAsia"/>
        </w:rPr>
        <w:t>，在现有的多测合一成果管理功能基础之上，为满足“一证多验”、“多证合验”等业务办理、管理的要求，需要进一步提高数据精度、升级相关数据标准、优化不同业务间数据转换的机制、加强数据检查</w:t>
      </w:r>
    </w:p>
    <w:p>
      <w:pPr>
        <w:pStyle w:val="138"/>
      </w:pPr>
      <w:r>
        <w:rPr>
          <w:rFonts w:hint="eastAsia"/>
        </w:rPr>
        <w:t>三是</w:t>
      </w:r>
      <w:r>
        <w:t>多测合一成果数据归集</w:t>
      </w:r>
      <w:r>
        <w:rPr>
          <w:rFonts w:hint="eastAsia"/>
        </w:rPr>
        <w:t>，在大数据中心、市规划资源局已有数据共享的基础上，针对“多测合一”扩展数据共享类目、优化数据共享流程、完善各业务间的信息交互机制、提高数据质量</w:t>
      </w:r>
    </w:p>
    <w:p>
      <w:pPr>
        <w:pStyle w:val="140"/>
      </w:pPr>
      <w:r>
        <w:rPr>
          <w:rFonts w:hint="eastAsia"/>
        </w:rPr>
        <w:t>权属调查升级改造</w:t>
      </w:r>
    </w:p>
    <w:p>
      <w:pPr>
        <w:pStyle w:val="138"/>
      </w:pPr>
      <w:r>
        <w:rPr>
          <w:rFonts w:hint="eastAsia"/>
        </w:rPr>
        <w:t>一是勘测定界优化，实现</w:t>
      </w:r>
      <w:r>
        <w:t>审批图形补录</w:t>
      </w:r>
      <w:r>
        <w:rPr>
          <w:rFonts w:hint="eastAsia"/>
        </w:rPr>
        <w:t>、</w:t>
      </w:r>
      <w:r>
        <w:t>集体土地所有权登记成果应用控制</w:t>
      </w:r>
      <w:r>
        <w:rPr>
          <w:rFonts w:hint="eastAsia"/>
        </w:rPr>
        <w:t>、</w:t>
      </w:r>
      <w:r>
        <w:t>勘测定界报部服务</w:t>
      </w:r>
      <w:r>
        <w:rPr>
          <w:rFonts w:hint="eastAsia"/>
        </w:rPr>
        <w:t>、</w:t>
      </w:r>
      <w:r>
        <w:t>制图服务</w:t>
      </w:r>
      <w:r>
        <w:rPr>
          <w:rFonts w:hint="eastAsia"/>
        </w:rPr>
        <w:t>、</w:t>
      </w:r>
      <w:r>
        <w:t>底板下载服务</w:t>
      </w:r>
      <w:r>
        <w:rPr>
          <w:rFonts w:hint="eastAsia"/>
        </w:rPr>
        <w:t>、</w:t>
      </w:r>
      <w:r>
        <w:t>勘测定界通用分析</w:t>
      </w:r>
      <w:r>
        <w:rPr>
          <w:rFonts w:hint="eastAsia"/>
        </w:rPr>
        <w:t>、</w:t>
      </w:r>
      <w:r>
        <w:t>执法勘测定界专用分析</w:t>
      </w:r>
      <w:r>
        <w:rPr>
          <w:rFonts w:hint="eastAsia"/>
        </w:rPr>
        <w:t>等功能</w:t>
      </w:r>
    </w:p>
    <w:p>
      <w:pPr>
        <w:pStyle w:val="138"/>
      </w:pPr>
      <w:r>
        <w:rPr>
          <w:rFonts w:hint="eastAsia"/>
        </w:rPr>
        <w:t>二是地籍变更模块优化，在原有地籍变更模块的基础上，从项目监管、历史案件查询、立案补推、地图查询和地图制图等方面对地籍变更相关功能进行优化。项目监管主要实现对于地籍变更案件进行类型、变更状态、节点、经办人、受理时间等信息进行组合查询，便于监管人员掌握项目案件的办理进度。历史档案查询基于历史图形和项目附件，对已办结案件进行追踪。立案补推主要针对新老系统切换和并行期间造成的上游业务未自动立案的情况，需要用户根据合同号或划拨决定书号进行人工补推立案。单项业务办理时看到的地图浏览界面仅会展示当前业务相关业务图层，仅支持比较单一的查询和制图，通过权属调查地图查询和制图可以实现组合条件的业务数据穿透查询及综合制图。</w:t>
      </w:r>
    </w:p>
    <w:p>
      <w:pPr>
        <w:pStyle w:val="140"/>
      </w:pPr>
      <w:r>
        <w:rPr>
          <w:rFonts w:hint="eastAsia"/>
        </w:rPr>
        <w:t>现状调查升级改造</w:t>
      </w:r>
    </w:p>
    <w:p>
      <w:pPr>
        <w:pStyle w:val="138"/>
      </w:pPr>
      <w:r>
        <w:rPr>
          <w:rFonts w:hint="eastAsia"/>
        </w:rPr>
        <w:t>一是智能套合挂接服务，统一调查、耕保、执法监测入口，整合所有变化源头，保证所有变化线索可在第一时间获知。建设线索统一辅助甄别工具，以标记批文、地类、区位等各类业务标签，作为业务判别的参考数据，以明确违法违规图斑位置，以便于后续的地类调查确认工作</w:t>
      </w:r>
    </w:p>
    <w:p>
      <w:pPr>
        <w:pStyle w:val="138"/>
      </w:pPr>
      <w:r>
        <w:rPr>
          <w:rFonts w:hint="eastAsia"/>
        </w:rPr>
        <w:t>二是动态监测调查升级改造，增设线索甄别与分析流程。通过提供调查范围甄别功能，提高范围甄别准确性。增加是否外业判断功能，对于无法通过影像确认地类的数据，可直接发送外业调查，对于无需进行调查的任务可直接完成审核确认</w:t>
      </w:r>
      <w:r>
        <w:t xml:space="preserve"> </w:t>
      </w:r>
    </w:p>
    <w:p>
      <w:pPr>
        <w:pStyle w:val="140"/>
      </w:pPr>
      <w:r>
        <w:rPr>
          <w:rFonts w:hint="eastAsia"/>
        </w:rPr>
        <w:t>外业举证调查</w:t>
      </w:r>
    </w:p>
    <w:p>
      <w:pPr>
        <w:pStyle w:val="138"/>
      </w:pPr>
      <w:r>
        <w:rPr>
          <w:rFonts w:hint="eastAsia"/>
        </w:rPr>
        <w:t>通过外业举证调查移动端应用建设，实现外业现场调查工作的任务派发、任务管理、业务管理、任务签派和用户管理等功能，助力外业工作人员迅速、精准地发觉、认定与处置违法违规行为，提升信息互联互通的成果，全方位提升执法工作的效率与效能。外业举证调查移动端应用建设需包括外业业务池、业务模块管理、外业消息通知、外业工作台、外业自主发现、外业任务管理、外业任务签派（分任务）、外业现场调查（分业务）、外业个人中心和外业用户管理等模块。</w:t>
      </w:r>
    </w:p>
    <w:p>
      <w:pPr>
        <w:pStyle w:val="138"/>
      </w:pPr>
      <w:r>
        <w:rPr>
          <w:rFonts w:hint="eastAsia"/>
        </w:rPr>
        <w:t>一是外业业务池，为实现业务模块化管理，需</w:t>
      </w:r>
      <w:r>
        <w:t>支持</w:t>
      </w:r>
      <w:r>
        <w:rPr>
          <w:rFonts w:hint="eastAsia"/>
        </w:rPr>
        <w:t>将每个业务对应的应用模块注册到移动APP，包括业务包括土地利用现状年度变更调查、土地利用现状日常调查、测量标志点巡查、执法巡查、执法线索核查等模块。</w:t>
      </w:r>
    </w:p>
    <w:p>
      <w:pPr>
        <w:pStyle w:val="138"/>
      </w:pPr>
      <w:r>
        <w:rPr>
          <w:rFonts w:hint="eastAsia"/>
        </w:rPr>
        <w:t>二是业务模块管理，为支撑用户快速便捷的进行业务管理，需建设业务模块管理，支持用户根据实际业务需求选择首页展示的业务模块，并支持排序、增加、删除等操作。</w:t>
      </w:r>
    </w:p>
    <w:p>
      <w:pPr>
        <w:pStyle w:val="138"/>
      </w:pPr>
      <w:r>
        <w:rPr>
          <w:rFonts w:hint="eastAsia"/>
        </w:rPr>
        <w:t>三是外业消息通知，为方便外业人员了解个人任务办理的审核情况、预警情况，需建设外业消息通知模块，包括接收后台推送消息和外业消息通知等功能。</w:t>
      </w:r>
    </w:p>
    <w:p>
      <w:pPr>
        <w:pStyle w:val="138"/>
      </w:pPr>
      <w:r>
        <w:rPr>
          <w:rFonts w:hint="eastAsia"/>
        </w:rPr>
        <w:t>四是外业工作台，为实现外业任务流转与管理，需建设外业工作台，汇总待办、在办、已办任务。需支持查看用户权限范围内所有待办、在办、已办任务，并能进行任务筛选与排序。</w:t>
      </w:r>
    </w:p>
    <w:p>
      <w:pPr>
        <w:pStyle w:val="138"/>
      </w:pPr>
      <w:r>
        <w:rPr>
          <w:rFonts w:hint="eastAsia"/>
        </w:rPr>
        <w:t>五是外业自主发现，为了支撑用户在各类业务实施过程中的自主发现，支持现场人员主动发现调查案件，建立调查范围，需建设图斑勾画、业务归口、现场描述、成果缓存、成果提交、任务删除等功能。</w:t>
      </w:r>
    </w:p>
    <w:p>
      <w:pPr>
        <w:pStyle w:val="138"/>
      </w:pPr>
      <w:r>
        <w:rPr>
          <w:rFonts w:hint="eastAsia"/>
        </w:rPr>
        <w:t>六是外业任务管理，为支持用户实现具体外业任务的事项管理，需建设外业任务管理模块，具体建设包括任务列表、任务检索查询、分类筛选、任务定位、任务导航和历史调查记录等功能。</w:t>
      </w:r>
    </w:p>
    <w:p>
      <w:pPr>
        <w:pStyle w:val="138"/>
      </w:pPr>
      <w:r>
        <w:rPr>
          <w:rFonts w:hint="eastAsia"/>
        </w:rPr>
        <w:t>七是外业任务签派（分任务），为了高效管理外业任务的签派，需围绕任务派发管理、签收，建设外业任务签派（分任务）模块，需建设任务派发、单任务签收、批量任务签收、图选签收、任务强签、不调查标记、任务退回和任务撤回等功能。</w:t>
      </w:r>
    </w:p>
    <w:p>
      <w:pPr>
        <w:pStyle w:val="138"/>
      </w:pPr>
      <w:r>
        <w:rPr>
          <w:rFonts w:hint="eastAsia"/>
        </w:rPr>
        <w:t>八是外业现场调查（分业务），为了支撑用户对外业现场调查（分业务）任务的空间管理、详情查看与分析应用，需建设外业现场调查（分业务）模块，包括调查范围展示、调查数据空间分析、现场调查图形分析、现场调查图形查询、调查图斑图形信息、调查图斑属性信息、项目信息关联展示、属性信息录入、多媒体信息采集、调查结果提交、调查数据浏览和任务信息缓存等功能。</w:t>
      </w:r>
    </w:p>
    <w:p>
      <w:pPr>
        <w:pStyle w:val="138"/>
      </w:pPr>
      <w:r>
        <w:rPr>
          <w:rFonts w:hint="eastAsia"/>
        </w:rPr>
        <w:t>九是外业个人中心，为了实现用户对个人任务、信息等的管理，需建设外业个人中心模块，包括我的信息、我的数据和我的反馈等功能。</w:t>
      </w:r>
    </w:p>
    <w:p>
      <w:pPr>
        <w:pStyle w:val="138"/>
      </w:pPr>
      <w:r>
        <w:rPr>
          <w:rFonts w:hint="eastAsia"/>
        </w:rPr>
        <w:t>十是外业用户管理，为进行外业用户的有效管理，确保信息安全提升用户体验和维护秩序，需建设外业用户管理模块，包括移动用户注册、用户信息管理、用户鉴权、资源管理和资源赋权等功能。</w:t>
      </w:r>
    </w:p>
    <w:p>
      <w:pPr>
        <w:pStyle w:val="137"/>
      </w:pPr>
      <w:r>
        <w:rPr>
          <w:rFonts w:hint="eastAsia"/>
        </w:rPr>
        <w:t>市规划资源局地质子系统</w:t>
      </w:r>
    </w:p>
    <w:p>
      <w:pPr>
        <w:pStyle w:val="138"/>
        <w:rPr>
          <w:lang w:val="en-US"/>
        </w:rPr>
      </w:pPr>
      <w:r>
        <w:rPr>
          <w:rFonts w:hint="eastAsia"/>
        </w:rPr>
        <w:t>本项目主要建设</w:t>
      </w:r>
      <w:r>
        <w:t>内容包括</w:t>
      </w:r>
      <w:r>
        <w:rPr>
          <w:rFonts w:hint="eastAsia"/>
        </w:rPr>
        <w:t>对原有业务系统进行</w:t>
      </w:r>
      <w:r>
        <w:rPr>
          <w:rFonts w:hint="eastAsia"/>
          <w:lang w:val="en-US"/>
        </w:rPr>
        <w:t>地质灾害防治单位资质审批，地质资料汇交，</w:t>
      </w:r>
      <w:r>
        <w:rPr>
          <w:rFonts w:hint="eastAsia"/>
        </w:rPr>
        <w:t>基础工具更新迭代</w:t>
      </w:r>
      <w:r>
        <w:rPr>
          <w:rFonts w:hint="eastAsia"/>
          <w:lang w:val="en-US"/>
        </w:rPr>
        <w:t>模块</w:t>
      </w:r>
      <w:r>
        <w:rPr>
          <w:rFonts w:hint="eastAsia"/>
        </w:rPr>
        <w:t>升级改造，增加城市地质灾害风险防范</w:t>
      </w:r>
      <w:r>
        <w:rPr>
          <w:rFonts w:hint="eastAsia"/>
          <w:lang w:val="en-US"/>
        </w:rPr>
        <w:t>,地质业务成果数据管理功能模块。</w:t>
      </w:r>
    </w:p>
    <w:p>
      <w:pPr>
        <w:pStyle w:val="140"/>
      </w:pPr>
      <w:r>
        <w:rPr>
          <w:rFonts w:hint="eastAsia"/>
        </w:rPr>
        <w:t>新增城市地质灾害风险防范</w:t>
      </w:r>
    </w:p>
    <w:p>
      <w:pPr>
        <w:pStyle w:val="141"/>
      </w:pPr>
      <w:r>
        <w:rPr>
          <w:rFonts w:hint="eastAsia"/>
        </w:rPr>
        <w:t>将各外部系统生产的地面沉降、地下水、地下水开采回灌数据和基坑等地质数据进行归集、融合分析，建立风险预警模型和评价指标体系。对风险防控预警进行优化，提高风险防控预警的及时性，加快预警防范工作的速度，及时发布地质安全风险预警和提醒。</w:t>
      </w:r>
    </w:p>
    <w:p>
      <w:pPr>
        <w:pStyle w:val="140"/>
      </w:pPr>
      <w:r>
        <w:rPr>
          <w:rFonts w:hint="eastAsia"/>
        </w:rPr>
        <w:t>新增地质业务成果数据管理</w:t>
      </w:r>
    </w:p>
    <w:p>
      <w:pPr>
        <w:pStyle w:val="141"/>
      </w:pPr>
      <w:r>
        <w:rPr>
          <w:rFonts w:hint="eastAsia"/>
        </w:rPr>
        <w:t>地质地矿相关成果数据在局内的数据共享包括了业务材料归集、电子证照数据归集、外网信息公示公告推送，公共数据归集的数据归集模块，实现地质数据共享。</w:t>
      </w:r>
    </w:p>
    <w:p>
      <w:pPr>
        <w:pStyle w:val="140"/>
      </w:pPr>
      <w:r>
        <w:rPr>
          <w:rFonts w:hint="eastAsia"/>
        </w:rPr>
        <w:t>地质灾害防治单位资质审批改造</w:t>
      </w:r>
    </w:p>
    <w:p>
      <w:pPr>
        <w:pStyle w:val="141"/>
      </w:pPr>
      <w:r>
        <w:rPr>
          <w:rFonts w:hint="eastAsia"/>
        </w:rPr>
        <w:t>根据党中央、国务院“放管服”改革要求,压减资质等级和类别,下放审批权限,优化审批服务,加强事中事后监管,认真做好资质审批各有关事项落实工作,尽快优化升级资质申报、审批有关系统信息化建设, 制定明确的审批工作规则和完善的审批服务指南。</w:t>
      </w:r>
    </w:p>
    <w:p>
      <w:pPr>
        <w:pStyle w:val="140"/>
      </w:pPr>
      <w:r>
        <w:rPr>
          <w:rFonts w:hint="eastAsia"/>
        </w:rPr>
        <w:t>地质资料汇交改造</w:t>
      </w:r>
    </w:p>
    <w:p>
      <w:pPr>
        <w:pStyle w:val="141"/>
      </w:pPr>
      <w:r>
        <w:t>为加强对本市地质资料汇交、保管和利用的监督管理，充分发挥地质资料的作用，保护地质资料汇交人的合法权益，根据《自然资源部办公厅关于进一步规范地质资料汇交管理的通知》明确汇交范围，制定汇交标准，依靠信息化手段将汇交数据进行校验，将汇交数据进行落地。</w:t>
      </w:r>
    </w:p>
    <w:p>
      <w:pPr>
        <w:pStyle w:val="140"/>
      </w:pPr>
      <w:r>
        <w:rPr>
          <w:rFonts w:hint="eastAsia"/>
        </w:rPr>
        <w:t>基础工具更新迭代</w:t>
      </w:r>
    </w:p>
    <w:p>
      <w:pPr>
        <w:pStyle w:val="141"/>
      </w:pPr>
      <w:r>
        <w:rPr>
          <w:rFonts w:hint="eastAsia"/>
        </w:rPr>
        <w:t>涵盖地质子系统数据汇交图形质检功能更新与图形分区域更新功能优化升级。</w:t>
      </w:r>
    </w:p>
    <w:p>
      <w:pPr>
        <w:pStyle w:val="139"/>
      </w:pPr>
      <w:r>
        <w:rPr>
          <w:rFonts w:hint="eastAsia"/>
        </w:rPr>
        <w:t>软件开发清单</w:t>
      </w:r>
    </w:p>
    <w:p>
      <w:pPr>
        <w:pStyle w:val="137"/>
      </w:pPr>
      <w:r>
        <w:rPr>
          <w:rFonts w:hint="eastAsia"/>
        </w:rPr>
        <w:t>空间底板大系统</w:t>
      </w:r>
    </w:p>
    <w:tbl>
      <w:tblPr>
        <w:tblStyle w:val="3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175"/>
        <w:gridCol w:w="3254"/>
        <w:gridCol w:w="3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blHeader/>
        </w:trPr>
        <w:tc>
          <w:tcPr>
            <w:tcW w:w="396" w:type="pct"/>
            <w:shd w:val="clear" w:color="000000" w:fill="808080"/>
            <w:vAlign w:val="center"/>
          </w:tcPr>
          <w:p>
            <w:pPr>
              <w:pStyle w:val="142"/>
            </w:pPr>
            <w:r>
              <w:rPr>
                <w:rFonts w:hint="eastAsia"/>
              </w:rPr>
              <w:t>一级应用模块</w:t>
            </w:r>
          </w:p>
        </w:tc>
        <w:tc>
          <w:tcPr>
            <w:tcW w:w="689" w:type="pct"/>
            <w:shd w:val="clear" w:color="000000" w:fill="808080"/>
            <w:vAlign w:val="center"/>
          </w:tcPr>
          <w:p>
            <w:pPr>
              <w:pStyle w:val="142"/>
            </w:pPr>
            <w:r>
              <w:rPr>
                <w:rFonts w:hint="eastAsia"/>
              </w:rPr>
              <w:t>二级应用模块</w:t>
            </w:r>
          </w:p>
        </w:tc>
        <w:tc>
          <w:tcPr>
            <w:tcW w:w="1908" w:type="pct"/>
            <w:shd w:val="clear" w:color="000000" w:fill="808080"/>
            <w:vAlign w:val="center"/>
          </w:tcPr>
          <w:p>
            <w:pPr>
              <w:pStyle w:val="142"/>
            </w:pPr>
            <w:r>
              <w:rPr>
                <w:rFonts w:hint="eastAsia"/>
              </w:rPr>
              <w:t>功能点</w:t>
            </w:r>
          </w:p>
        </w:tc>
        <w:tc>
          <w:tcPr>
            <w:tcW w:w="2007" w:type="pct"/>
            <w:shd w:val="clear" w:color="000000" w:fill="808080"/>
            <w:vAlign w:val="center"/>
          </w:tcPr>
          <w:p>
            <w:pPr>
              <w:pStyle w:val="142"/>
            </w:pPr>
            <w:r>
              <w:rPr>
                <w:rFonts w:hint="eastAsia"/>
              </w:rPr>
              <w:t>功能描述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restart"/>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测绘事项管理与服务升级改造</w:t>
            </w:r>
          </w:p>
        </w:tc>
        <w:tc>
          <w:tcPr>
            <w:tcW w:w="689" w:type="pct"/>
            <w:vMerge w:val="restar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从业主体基本信息管理</w:t>
            </w: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测绘机构信息变更申报</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该功能允许测绘机构作为从业主体，在发生信息变更时，主动发起信息变更申报流程，以确保相关信息的准确性和实时性。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测绘机构基本信息变更审核</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该功能主要用于对测绘机构提交的基本信息变更申请进行审核。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测绘资质单位基本信息获取</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该功能旨在与自然资源部测绘资质审批管理系统进行对接，同步新增或更新大测调系统中的从业主体信息，确保信息的准确性和实时性。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restar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测绘资质信息管理</w:t>
            </w: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测绘资质证书电子证照生成</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系统提供测绘资质证书电子证照生成功能，实现证书信息的电子化管理和存储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测绘资质证书电子证照推送证照库</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为方便测绘机构使用，生成的测绘资质证书的电子版将推送电子证照库，以便在“一网通办”进行亮证。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restar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测绘作业证信息管理</w:t>
            </w: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测绘作业证信息获取</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该功能旨在与自然资源部测绘作业证审批系统对接，确保信息的准确性和实时性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测绘作业证电子证照生成</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根据获取的测绘作业证信息，系统生成电子证照信息同步至从业主体库中，实现证书信息的电子化管理和存储。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测绘作业证信息更新</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系统提供测绘作业证信息更新功能，实现证书信息的电子化管理和存储。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测绘作业证电子证照推送证照库</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为方便测绘机构的作业人员使用，生成的测绘作业证证书的电子版将推送电子证照库。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restart"/>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基础测绘升级改造</w:t>
            </w:r>
          </w:p>
        </w:tc>
        <w:tc>
          <w:tcPr>
            <w:tcW w:w="689" w:type="pct"/>
            <w:vMerge w:val="restar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多测合一流程优化</w:t>
            </w: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多测合一任务创建优化</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在原有的多测合一任务创建基础上，按“一证多验”和“多证一验”的业务要求进行升级整合。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多测合一、测算合一基础数据包下载</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在原有流程中增加任务基础数据包下载，用于测绘单位数据制作过程中对数据结果进行自检以及与已入库数据对齐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多测合一报告在线签证</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为提升效率与规范性，对原有的多测合一报告生成制度进行优化升级。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多测合一报告修正</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在多测报告签章后，测绘单位或“大项目”如发现报告存在质量问题，均可以要求调整报告。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restar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多测合一成果数据管理</w:t>
            </w: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测绘成果数据检查</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通过人机结合的方式，对各类定界成果进行数据审核。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测绘成果数据管理</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测绘成果数据管理主要指对多测合一涉及的多类测绘业务产出的测绘成果进行成果质量、成果标准的管理、成果形式的管理。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多维度统计查询</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多测合一统计查询包括测绘机构质量统计、多测合一数据统计分析。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测绘成果监管</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测绘成果监管模块主要是质检人员对多测合一成果进行抽样检查，并计入行业信用计分。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restar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多测合一成果数据归集</w:t>
            </w: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成果办结通知</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多测合一测绘成果穿插在建设项目管理全过程，对建设项目的立项、开工、竣工都有着重要作用，故而为保证业务的正常办理，多测成果办结信息需及时推送至后道业务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成果数据推送</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将成果数据进行共享推送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restart"/>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权属调查升级改造</w:t>
            </w:r>
          </w:p>
        </w:tc>
        <w:tc>
          <w:tcPr>
            <w:tcW w:w="689" w:type="pct"/>
            <w:vMerge w:val="restar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审批图形补录</w:t>
            </w: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立案受理</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受理权属调查案件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补录图形上传及分析</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上传补录图形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业务审核</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区级初步处理之后，对补录数据的精确性与合法性进行全面深入的核查。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大土地审核结果交互</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 xml:space="preserve">接口对接在这个流程中扮演着桥梁角色，确保了不同系统间数据的无缝流转和高效处理。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restar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集体土地所有权登记成果应用控制</w:t>
            </w: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立案基础数据检查</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查询集体土地所有权数据是否存在已完成预变更未进行正式变更的情况。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实施测绘节点限制</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实施测绘节点限制处理预变更范围内的所有权数据问题。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restar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勘测定界报部服务</w:t>
            </w: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测绘数据转入共享库</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将勘测定界报告数据转换为统一的数据结构并写入共享库。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坐标点转换</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将界址点数据从城建坐标系转换到国家2000坐标系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数据获取接口</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支持报部数据申请及数据结果查询和下载功能。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制图服务</w:t>
            </w: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勘测定界案件制图</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实现用户界面操作、调用地图服务、地籍图的自动生成与标准化、以及最终文件的导出。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restar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底板下载服务</w:t>
            </w: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底板下载优化</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在原有底板数据下载的基础上增加了如下业务图层下载。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基础数据重新下载</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系统通过监测本案件已下载数据在共享库数据的变化情况。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restar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勘测定界通用分析</w:t>
            </w: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基础底板数据入库</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系统通过调用通用底板要素下载接口，下载任务范围内的基础数据要素，并按照新的数据标准转换翻译后入库，并按照数据标准打包为GIS格式数据，提供文件链接，以便于任务执行人员下载并参考。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基础底板数据检查</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实现对下载好的基础底板数据进行图形检查并自动修复，以及对于存在问题的部分进行明显提示的功能。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数据预检</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在入库时检查底板数据的属性，展示数据属性检查结果。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数据预检</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实现用户从地图上发现错误数据，查看属性的功能。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底板数据分析</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分析依据业务规则，基于数据的某个字段值、计算逻辑、空间关系等对数据进行分析，根据规则编写数据处理逻辑，对数据进行筛选、计算、分类等。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底板数据编辑</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底板数据编辑允许用户结合地图，输入或修改相关的属性数据，实现表单编辑功能。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底板数据导出功能</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系统完成底板数据预分析后，将分析成果放入资源树中，可由用户进行手动下载。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权属面/地类面生成与质检</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实现导入导出权属/地类、上传权属面/地类面检查等功能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生成权属地类图斑</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系统自动对权属面和地类面进行叠加分析，得到分析结果。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权属面/地类面复核</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对系统自动生成的权属面/地类面数据进行审查和验证，确保其准确无误、符合法规要求及实际状况，合规。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权属面/地类面对比分析</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设计界面方便用户对比不同区域的权属面/地类面。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补正材料上传</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补正材料上传支持将系统内没有的所有权地块、使用权宗地、农转用批文、征地批文、土地储备批文、供地方案批文、供地实施批文、临时用地批文等数据进行数据补充。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补正材料质检功能</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补正材料质检功能是对提交的修正或补充材料进行全面质量检查的过程，确保这些材料在内容准确性、格式合规性、信息完整性等方面达到既定标准。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勘测定界结果审核</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有审核权限的用户，可结合资源树挂载着权属面底板数据、权属面过程数据、地类面底板数据、地类面过程数据、补正材料和手簿资料和地图对比页面对项目的的权属面、地类面和权属地类图斑进行业务审核。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界址点生成</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界址点根据用户选择的边界确认范围的规划用地边界类型生成，系统存储自动生成的界址点信息，包括坐标、界址点号、规划用地边界类型等。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权属调查报告生成</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权属调查报告的生成，系统提供编辑基本信息和按行政界线或者按权属两种生成权属调查报告的方式，并展示报告范围内所有的区、镇。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restar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执法勘测定界专用分析</w:t>
            </w: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现场情况上传</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对比一般勘测定界，执法勘测定界专用分析还需要上传违法范围，以满足执法业务需求，在报告里展示现场情况。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建筑物违法情况上传</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对比一般勘测定界，执法勘测定界专用分析还需要上传违法建筑物，以满足执法业务需求，在报告里展示建筑物违法情况。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生成执法地类面</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根据执法发送的消息里的违法时点，以上一年度的土地利用现状数据为输入数据，根据执法的业务规则生成地类面。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执法地类面复核</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对于系统自动生成的地类面成果数据，用户可在页面选择修改土地利用现状数据的年份，重新生成地类面，也可以导出在线下调整后再上传。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restar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地籍变更任务立项</w:t>
            </w: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任务创建（宅基地）</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本次功能是在原地籍变更业务流程上，新增宅基地地籍变更任务的创建工作，具体包括宅基地地籍变更任务受理、宅基地调查任务数据获取、宅基地地籍变更基础数据获取、变更范围内登记信息检查以及调查机构派发等，确保地籍变更工作的顺利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立案补推</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为确保已立案任务的正常进行，新增大测调系统提供未在大测调系统自动立案的地籍变更补推接口。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宗地自动落图</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系统自动把供地实施/征地与项目范围内的基础数据切割，根据业务规则填写属性和mod表，生成自动落图成果数据包，供用户下载。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外部图形上传分析</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对于系统无法自动生成变更后宗地的案件，支持用户将变更后的宗地成果数据进行上传后，系统对上传的宗地成果数据进行全面的质量检查。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宗地登记信息维护</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开发接口，将户最新登记信息反写到中间表，读取户最新登记消息并更新使用权宗地层上的土地最新登记信息。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地籍变更案件非正常结案</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在处理地籍变更案件时，当用户认为某个案件不需要进行地籍变更并希望进行非正常结案时，系统提供一种明确且不可逆的操作来支持这一需求。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地籍变更挂起箱</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在处理地籍变更案件时，系统设计了挂起功能，确保了数据变更的透明性和流程的可控性。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变更图形分析（宅基地）</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变更图形分析（宅基地）功能需要获取宅基地地籍变更任务所需的基础数据和宅基地调查数据，为后续工作提供数据支持。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restar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楼盘表管理（逻辑幢、层、室关联）</w:t>
            </w: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宅基地楼盘信息新增</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新增宅基地楼盘信息，包括调查数据和基础数据经过图形分析后需要新增的属性数据。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宅基地楼盘信息数据对应</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将宅基地楼盘信息与相关数据进行对应，确保数据的准确性。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宅基地楼盘信息数据挂接</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宅基地楼盘信息数据挂接功能中，用户可根据实际情况，人工挂接楼盘数据。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宅基地楼盘信息数据注销</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对落在宅基地调查数据地范围内，有登记信息的楼盘信息进行人工注销，确保数据的准确性。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地籍变更任务核查</w:t>
            </w: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数据检查（宅基地）</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数据检查（宅基地）功能对宅基地地籍变更数据进行空间检查和属性检查，确保变更后的地籍数据在空间及属性上的准确性图形分析。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restar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地籍房地一体变更</w:t>
            </w: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宅基地地籍变更预变更</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在正式变更前，对宅基地地籍变更进行预变更，确保变更的正确性。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生成地籍号确认单</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根据宅基地地籍变更任务的相关数据和任务流程信息，生成地籍号确认单。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宅基地地籍变更正式变更</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对经过预变更确认无误的地籍变更进行正式变更，确保地籍数据的准确性。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宅基地变更成果确认审核表</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根据宅基地地籍变更任务的相关数据和任务流程信息，生成宅基地变更成果确认审核表。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restar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地籍变更任务管理</w:t>
            </w: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任务查询</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所有在系统立案的地籍变更项目都可以根据不同过滤条件查询。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宅基地任务统计</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提供全市宅基地变更任务统计功能，便于项目管理人员了解任务执行情况。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地图查询</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权属调查相关业务图层可在图层列表查看，图层按照国家标准配色。系统提供地图查询功能，用户可以单点或拉框穿透查询。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组织机构修改</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用户可以根据业务需求构建组织机构代码表，修改后自动发送到该调查机构的待办箱。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地籍变更案件异常提示</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地籍变更在补充合同立案的时候，需在测调系统里面查一下，之前的主合同是否已办结，如果没有办结，需要提示用户。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restart"/>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现状调查升级改造</w:t>
            </w:r>
          </w:p>
        </w:tc>
        <w:tc>
          <w:tcPr>
            <w:tcW w:w="689" w:type="pct"/>
            <w:vMerge w:val="restar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统一套合挂接服务</w:t>
            </w: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甄别任务启动（监听&amp;多来源）</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系统提供统一套合/挂接任务生成功能。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待套合图形预处理</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对待套合数据进行数据预处理，完成图形修复工作。确保图形在后续的处理过程中可以生成正确的矢量数据。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数据套合标记</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系统将待套合图形与选取的套合图层进行空间标记，记录相关业务信息。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套合图形制作</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依照选取的参数（是否拆分图形），进行成果图形的制作。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线索挂接标记</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系统将需要挂接的线索与日常调查的线索图形逐一比对，若线索图形重叠面积达一半以上，记录本年度已调查完成的线索ID作为成果数据写入共享库中，辅助各业务系统调取线索最终调查信息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服务结果推送管理</w:t>
            </w: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套合挂接结果数据共享</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系统提供套合结果的共享管理功能。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restar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土地监测任务立项</w:t>
            </w: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线索批量上传</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将测绘院提取的季度监测图斑，转换成为大机可以识别和入库的格式，确保数据的精度，完成季度监测图斑的线索信息转入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待处理范围生成</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利用统一套合工具，对线索数据进行初步分析与筛选，找出管理范围外的待甄别数据。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范围性质智能甄别</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 xml:space="preserve">系统针对重叠情况给出标识信息，并标注自动甄别结果，以便于用户对线索图斑做出是否合法判断。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监测任务自动立项</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完成智能甄别及耕地占用分析后，由系统自动生成监测任务，按照线索——范围——图斑组织三级结构并立项，每个线索形成一个监测任务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restar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调查范围人工甄别</w:t>
            </w: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待甄别地图展示（图层、影像）</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系统展示待甄别范围的影像及范围图层，用户可依据影像及范围的预判地类确认甄别意见。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甄别结论人工调整</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 xml:space="preserve">系统提供人工甄别意见调整功能，用户可调整范围的甄别结论以及人工甄别意见并保存。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内/外业调查分件</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 xml:space="preserve">为加快调查进度，在进行外业调查前进行系统分件，以减少调查工作量。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restar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待调查图斑举证调查</w:t>
            </w: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内业辅助调查</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由内业人员通过影像确认调查地类。系统提供监测图斑信息管理、核查信息输入、核查信息分析处理、核查结果信息输出等功能。其中,核查信息包含通过GPS获取的变更界线空间位置信息和权属属性信息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外业举证调查推送</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系统自动将内网的案件信息派发至指定用户的手机APP上。即通过对接新调查APP功能，建立新的数据传输接口，实现服务端与APP端的数据交互，从而促进外业调查效率。对接外业举证调查数据推送接口推送信息主要包括调查范围、调查成果、调查结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外业调查数据接收</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通过线上方式实现调查数据的自动化接收。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调查数据成果质检</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对调查成果数据的质量进行检查管理，并将业务质检成果进行输出，质检内容涵盖业务质检与图形质检。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内业调查数据审核</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利用遥感影像、实地互联网+举证照片、用地管理信息等相关资料，对土地调查数据库中图斑的地类、边界、范围的准确性实现人机交互对比核查，检查土地调查数据库中的地类与举证照片和遥感影像的一致性,确保土地调查成果的真实性和准确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举证调查图斑成果生成</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自动生成举证调查图斑的地类调查及权属调查成果数据，可对检查结果中的图元进行交互跳转定位，方便用户进行查看和修改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restar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调查完成图斑推送管理</w:t>
            </w: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成果数据共享</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将调查成果数据通过共享服务写入共享库中。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成果数据疑似违法标记</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系统提供成果数据疑似违法标记功能对于推送执法的调查任务，根据范围下最大面积的图斑，若为非农非粮类型的，标记图斑的违法类型。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成果数据管理范围内外分析</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系统根据甄别规则，将变化范围与审批范围进行分析，自动执行甄别，并对线索图斑做出是否合法判断，生成调查地块后，用户可以对调查地块的范围类型进行预分类标记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restart"/>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外业举证调查移动端应用</w:t>
            </w:r>
          </w:p>
        </w:tc>
        <w:tc>
          <w:tcPr>
            <w:tcW w:w="689" w:type="pct"/>
            <w:vMerge w:val="restart"/>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外业业务池</w:t>
            </w: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业务模块注册</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业务模块注册，可以将每个业务对应的应用模块注册到移动APP。覆盖业务包括土地利用现状年度变更调查、土地利用现状日常调查、测量标志点巡查、执法巡查、执法线索核查等模块的注册，实现业务模块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业务模块管理</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业务模块管理支持用户选择首页展示的业务模块，并根据用户实际需求可对业务模块进行排序、增加、删除等操作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restart"/>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外业消息通知</w:t>
            </w: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接收后台推送消息</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用户可根据任务推送消息在任务列表中选择签收任务，外业审核时认定举证信息有疑问或者有误时，可以退回重新举证，在移动端会提示反馈消息，外业人员可根据消息进行重新举证；任务在临近时间期限会有任务超时预警消息，提醒工作人员抓紧时间进行现场举证；同时APP会对内部新闻进行推送，供使用者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消息管理</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消息管理模块支持用户直接查看、管理收到的所有消息，主要功能有：消息概览、消息列表、清楚未读等。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外业工作台</w:t>
            </w: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待办、在办、已办任务汇总</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支持查看用户权限范围内所有待办、在办、已办任务。并按业务进行过滤，支持按案件据当前位置的距离进行排序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restart"/>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外业自主发现</w:t>
            </w: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图斑勾画</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年度变更调查、季度变更调查、执法等模块的外业用户可以通过自主发现入口，在地图中选中目标位置并勾画出相对应的图斑范围形状，点击完成，系统跳转到图斑举证-图斑信息页面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业务归口</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选择采集模板，快速进行业务属性填报。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现场描述</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现场描述，即利用勾画图斑信息，对违法案件做出描述，若用户在调查过程中，发现此地存在违法用地等情况存在，可上传违法图斑信息，进行举证，以便后续处理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成果缓存</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支持用户通过点击保存按钮，将图斑举证的成果保存到本地，以供后续业务使用。支持查看当前存储占用情况，以列表形式查看已被缓存成果的基本信息。用户可以手动清除已缓存数据，删除本机已提交的照片等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成果提交</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成果提交功能支持用户通过点击提交按钮，将采集到的成果上传到服务器，大测调及执法业务系统可通过约定接口获取对应成果信息。当一个范围下的所有调查图斑均已提交，该范围业务状态改为待审核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任务删除</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若是用户有任务删除需求，支持在已办任务里通过点击删除按钮，将自己权限内上传提交的任务成果删除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restart"/>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外业任务管理（分业务）</w:t>
            </w: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任务列表</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任务列表显示权限范围内每种状态下的所有任务清单和此任务下面包含的所有项目以及图斑。在地图模式下，支持以地图撒点形式在地图上查看权限范围内业务任务清单，列表操作与地图联动。在具体任务页可填写现场具体信息并且提交相应的举证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任务检索查询</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支持对任务的检索查询，可通过关键词在搜索框查询自己需要的任务案件。支持多维度任务检索查询，也可根据任务的区域、业务类型进行任务的检索查询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分类筛选</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可以根据区域、业务进行任务的过滤或者选择，支持根据任务时限和任务与当前位置的距离进行任务排序。筛选功能仅作用于当前列表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任务定位</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若用户需要确认当前任务位置信息，支持在地图中快速定位当前图斑位置，用户点击单个任务（范围）的定位按钮，系统会在内置天地图中自动缩放到该任务对应的目标区域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任务导航</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任务列表提供目标图斑导航功能，支持调用移动设备自带第三方导航工具（包含高德、百度、腾讯地图等）进行路线导航，规划到达任务点路线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历史调查记录</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支持查看该调查范围历史调查记录。也可查看指定任务历史节点信息，包括下发信息、签收信息、在办信息、办结信息等。实现对历史信息的全掌握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restart"/>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外业任务签派（分业务）</w:t>
            </w: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任务派发</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机构管理员可以对自己所属机构下，同时自己具有权限区域的任务进行派发。主要功能有：待派单任务查看、自动分配任务、人工分配任务等。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单任务签收</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系统中通常有多个任务，当该级别管理员需要签收自己权限职责范围内的任务，即可在任务列表中对满足待签收条件的某条记录进行签收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批量任务签收</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支持通过按键触发批量选择模式后，选择多条满足待签收条件的任务进行批量签收，可以节省时间，一键批量任务签收，满足用户多线程处理业务需求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图选签收</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用户通过按键触发图选签收模式后，系统自动打开地图，用户将地图放大到目标区域后可以通过在地图上绘制范围，选择区域内符合待签收条件的任务进行批量签收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任务强签</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支持签收已被别人签收在办但未提交成果的任务，任务将由他人的待办变为自己本人的待办并继承已有采集成果，该操作完成后同时会向原签收人发送消息通知。仅可对同一机构下自己也具备权限的任务进行强签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不调查标记</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该功能主要解决两个相邻图斑为同一地类，点击不调查操作，避免重复举证。用户通过点击单个任务（范围）的不调查按钮，确认后该任务即被标记为不调查状态，被标记为不调查状态的任务下的图斑及其他信息将不被提交到内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任务退回</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支持将已签收任务退回至待办池，使其重新可被签收。用户仅可对自己已签收且未提交的任务进行退回，包括逐个退回及批量退回。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任务撤回</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管理员审批之前，用户若是出现对任务进行增加、删除、修改等需求，支持仅可以对本人已办的范围进行撤回，包括逐个撤回及批量撤回两种。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restart"/>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外业现场调查（分业务）</w:t>
            </w: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调查范围展示</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用于外业显示调查范围，除状态可以由外业人员设置为不调查外，不需要填写和调查范围有关的信息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调查数据空间分析</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将外业现场调查业务数据，如规划数据、土地数据、建管数据等与三调数据进行空间叠加，比较业务数据与三调数据的差异，发现潜在的问题或者不一致性，辅助现场调查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现场调查图形分析</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在手机上可以绘制图形，新建一个图斑，形成自主发现的案件，可以将图斑信息关联到案件所属系统中，并添加其他相关信息，如案件标题、描述、地理位置等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现场调查图形查询</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提供批文号、项目名称等业务查询功能，并支持在当前位置周边范围内的相关业务查询，同时，还可以在图形上点击地块，获得其规划、土地、建管等相关信息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调查图斑图形信息展示</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用于外业显示调查图斑图形信息展示，支持显示图斑的形状、位置、四至范围等空间信息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调查图斑属性信息展示</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用于外业显示调查图斑属性信息，支持显示图斑的编号、序号、面积等信息，用户可以直观查询到该图斑的基础信息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项目信息关联展示</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用于外业显示项目信息关联信息，可以展示该图斑所关联的项目信息名称、所属系统、项目规模和项目建设阶段等项目属性信息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属性信息录入</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用户手动填写现场基本情况的属性信息。不同业务对应不同的采集表单，同时控制必填项。对于枚举字段提供标准字典表供选择，字典列表同时检索，简化现场信息录入工作，保证采集结果标准规范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多媒体信息采集</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按要求现场拍照举证，每次拍照结果自动实时保存，同时按照标准进行压缩处理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调查结果提交</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用户完成举证信息填写及照片拍摄后，APP自动检查属性信息是否存在必填项为空情况，自动检查采集的照片是否满足设定数量要求，自动检查一个任务采集的照片对图斑的覆盖角度是否满足要求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调查数据浏览</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支持对规划、土地、建管等业务相关的外业调查数据进行浏览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任务信息缓存</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支持查看当前存储占用情况，以列表形式查看已被缓存数据基本信息。支持缓存或更新已缓存数据，用户可以手动清除已缓存数据，删除本机已提交的照片等数据。系统定期自动清理已缓存数据，避免敏感信息堆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restart"/>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外业个人中心</w:t>
            </w: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我的信息</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支持查看、维护个人基本信息，包括账号、昵称、电话、所属机构、所属部门、证件等信息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我的数据</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支持查看当前存储占用情况，以列表形式查看已被缓存数据基本信息。支持缓存或更新已缓存数据，用户可以手动清除已缓存数据，删除本机已提交的照片等数据。系统定期自动清理已缓存数据，避免敏感信息堆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我的反馈</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为用户提供快速反馈回复的入口，根据用户的反馈提升APP的功能，以提高系统的易用性和体验性。支持用户在线反馈针对系统功能相关意见，查看历史反馈的意见清单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restart"/>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外业用户管理</w:t>
            </w: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移动用户注册</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支持对区局及街镇的外业调查人员注册内页数据看板。用户登录时，内页数据看板会完成对用户登录的登录鉴权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用户信息管理</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实现对用户的新建、删除、修改、IP绑定设置、服务管理权限、服务访问设置、机构授权、模块授权。此外，可对用户情况进行查询，通过用户名、姓名、用户职称和用户类型等关键字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用户鉴权</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在平台中，在通过用户身份认证的前提下，通过对不同用户及相应角色的功能和权限的控制，实现不同用户角色的系统功能和专题数据订制，即用户的权限管理，从而不需要通过代码修改，直接实现“零代码”系统功能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资源管理</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实现系统资源的管理维护，包括：维护组织机构及其多级下属机构，维护组织机构下人员基本信息，维护空间管理区域信息，维护业务信息，维护空间数据资源信息，维护系统各功能资源信息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689"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资源赋权</w:t>
            </w: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实现角色管理，支持将各类资源权限组织为不同角色。通过为组织赋予不同角色实现在不同业务场景下具备不同的权限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asciiTheme="minorEastAsia" w:hAnsiTheme="minorEastAsia" w:eastAsiaTheme="minorEastAsia"/>
                <w:color w:val="000000"/>
                <w:sz w:val="21"/>
                <w:szCs w:val="21"/>
              </w:rPr>
              <w:t>密码应用改造</w:t>
            </w:r>
          </w:p>
        </w:tc>
        <w:tc>
          <w:tcPr>
            <w:tcW w:w="689" w:type="pct"/>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1908"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2007"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olor w:val="000000"/>
                <w:sz w:val="21"/>
                <w:szCs w:val="21"/>
              </w:rPr>
              <w:t>包括用户身份认证机制模块、业务重要数据安全传输模块、服务器虚拟机设备日志/访问控制信息完整性模块、重要可执行程序签名验签模块等应用功能软件开发。</w:t>
            </w:r>
          </w:p>
        </w:tc>
      </w:tr>
    </w:tbl>
    <w:p>
      <w:pPr>
        <w:pStyle w:val="137"/>
      </w:pPr>
      <w:r>
        <w:rPr>
          <w:rFonts w:hint="eastAsia"/>
        </w:rPr>
        <w:t>市规划资源局地质子系统</w:t>
      </w:r>
    </w:p>
    <w:tbl>
      <w:tblPr>
        <w:tblStyle w:val="3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6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396" w:type="pct"/>
            <w:shd w:val="clear" w:color="auto" w:fill="7F7F7F" w:themeFill="background1" w:themeFillShade="80"/>
            <w:vAlign w:val="center"/>
          </w:tcPr>
          <w:p>
            <w:pPr>
              <w:pStyle w:val="142"/>
            </w:pPr>
            <w:r>
              <w:rPr>
                <w:rFonts w:hint="eastAsia"/>
              </w:rPr>
              <w:t>应用模块</w:t>
            </w:r>
          </w:p>
        </w:tc>
        <w:tc>
          <w:tcPr>
            <w:tcW w:w="748" w:type="pct"/>
            <w:shd w:val="clear" w:color="auto" w:fill="7F7F7F" w:themeFill="background1" w:themeFillShade="80"/>
            <w:vAlign w:val="center"/>
          </w:tcPr>
          <w:p>
            <w:pPr>
              <w:pStyle w:val="142"/>
            </w:pPr>
            <w:r>
              <w:rPr>
                <w:rFonts w:hint="eastAsia"/>
              </w:rPr>
              <w:t>功能点</w:t>
            </w:r>
          </w:p>
        </w:tc>
        <w:tc>
          <w:tcPr>
            <w:tcW w:w="3856" w:type="pct"/>
            <w:shd w:val="clear" w:color="auto" w:fill="7F7F7F" w:themeFill="background1" w:themeFillShade="80"/>
            <w:vAlign w:val="center"/>
          </w:tcPr>
          <w:p>
            <w:pPr>
              <w:pStyle w:val="142"/>
            </w:pPr>
            <w:r>
              <w:rPr>
                <w:rFonts w:hint="eastAsia"/>
              </w:rPr>
              <w:t>功能描述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restart"/>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城市地质灾害风险防范</w:t>
            </w:r>
          </w:p>
        </w:tc>
        <w:tc>
          <w:tcPr>
            <w:tcW w:w="748" w:type="pct"/>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地质灾害危险性评估监管</w:t>
            </w:r>
          </w:p>
        </w:tc>
        <w:tc>
          <w:tcPr>
            <w:tcW w:w="3856"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为加强地质灾害危险性评估，通过业务系统实现地质灾害危险性评估数据的业务审批监管；并与“大项目”系统中建设工程规划许可证审批数据中相关数据内容，实现地质灾害危险性评估项目信息与建设工程规划许可证审批数据的比对校验；根据申报材料递交以及基本信息填报，完成地质灾害危险性评估报告的材料归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748" w:type="pct"/>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地质灾害危险性评估比对</w:t>
            </w:r>
          </w:p>
        </w:tc>
        <w:tc>
          <w:tcPr>
            <w:tcW w:w="3856"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根据地质灾害危险性评估矢量数据与在建工程矢量数据进行成果比对，根据比对结果确定在建工程的影响范围，确定危险性评估等级，生成该项工程地质灾害危险性评估报告。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748" w:type="pct"/>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地质灾害危险性评估成果</w:t>
            </w:r>
          </w:p>
        </w:tc>
        <w:tc>
          <w:tcPr>
            <w:tcW w:w="3856"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地质灾害危险性评估的成果中包含的地理位置、地形地貌、地质构造、工程地质特征、地质灾害类型等内容，对土地利用、城市建设、防灾减灾措施的制定以及应急相应计划的制定都具有极重要的意义；更是建设工程规划许可证在核发过程中的评估和参考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748" w:type="pct"/>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地质安全风险预警模型</w:t>
            </w:r>
          </w:p>
        </w:tc>
        <w:tc>
          <w:tcPr>
            <w:tcW w:w="3856"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建立涉及地质安全风险要素的多源数据接口，为地质安全风险预警模型的构建和应用提供数据支撑。（2）制定涉及地质安全风险要素多源数据的数据标准，并按数据标准要求更新图形质检工具，经图形质检工具质检合格后，纳入城市地质大数据主题库。（3）根据地面沉降、地下水以及其他地质安全风险要素监测数据的评价基准构建地质安全风险预警模型。（4）根据地质安全风险预警模型制定城市地质安全风险要素的评价指标体系，指导地面沉降、地下水及其他地质安全风险要素监测数据的融合分析，实现地质数据的进一步监管，增强地质数据的风险防控能力。（5）基于大量的历史数据，通过回归分析等统计方法来推断分析未来地质灾害状况。（6）通过城市地质安全风险预警模型和评价指标体系发现异常的，实时推送涉及城市地质灾害风险防范相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748" w:type="pct"/>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地下水、基坑数据预警检测</w:t>
            </w:r>
          </w:p>
        </w:tc>
        <w:tc>
          <w:tcPr>
            <w:tcW w:w="3856"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与外部系统建立数据接口，进行数据的互联互通，将各个系统所生产的地下水开采回灌数据和基坑监测等数据进行归集。（2）统一地下水开采回灌数据和基坑检测数据标准，并按数据标准要求更新图形质检工具，经图形质检工具质检合格后，纳入城市地质大数据主题库。（3）基于地下水、基坑数据为变量制定在建工程及周边区域塌陷风险预警模型，进行风险预警的实时监测。（4）在建工程及周边区域存在塌陷风险的，实时推送在建工程建设单位、施工单位以及城市应急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748" w:type="pct"/>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山体边坡检测</w:t>
            </w:r>
          </w:p>
        </w:tc>
        <w:tc>
          <w:tcPr>
            <w:tcW w:w="3856"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为更加全面了解山体边坡情况，加强山体滑坡、边坡塌陷等灾害的管控，保障人民和生命财产安全；通过增加监测山体、山体监测点位等方式，扩大山体边坡监测范围。原山体边坡监测仅包含辰山山体监测，需增加小衡山山体边坡监测，并在大屏应用场景增加山体监测版面可切换查看山体监测点位情况以及设备使用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748" w:type="pct"/>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增加山体边坡监测设施类型</w:t>
            </w:r>
          </w:p>
        </w:tc>
        <w:tc>
          <w:tcPr>
            <w:tcW w:w="3856"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(1)山体边坡监测由原来单一的裂缝监测指标拓展为倾斜角监测、普适性监测、形变监测等检测指标；实现山体的多角度多维度的立体化监测。</w:t>
            </w:r>
            <w:r>
              <w:rPr>
                <w:rFonts w:hint="eastAsia" w:cs="宋体" w:asciiTheme="minorEastAsia" w:hAnsiTheme="minorEastAsia" w:eastAsiaTheme="minorEastAsia"/>
                <w:color w:val="000000"/>
                <w:kern w:val="0"/>
                <w:sz w:val="21"/>
                <w:szCs w:val="21"/>
              </w:rPr>
              <w:br w:type="textWrapping"/>
            </w:r>
            <w:r>
              <w:rPr>
                <w:rFonts w:hint="eastAsia" w:cs="宋体" w:asciiTheme="minorEastAsia" w:hAnsiTheme="minorEastAsia" w:eastAsiaTheme="minorEastAsia"/>
                <w:color w:val="000000"/>
                <w:kern w:val="0"/>
                <w:sz w:val="21"/>
                <w:szCs w:val="21"/>
              </w:rPr>
              <w:t>(2)基于原监测设施，对现有山体增加了20个监测设施，提高了山体边坡的监测效率和监测精度。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748" w:type="pct"/>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裂缝数据获取及利用</w:t>
            </w:r>
          </w:p>
        </w:tc>
        <w:tc>
          <w:tcPr>
            <w:tcW w:w="3856"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与裂缝数据主管部门裂缝监测接口对接，对监测数据进行深入的分析，以评估裂缝的变化趋势、预测未来的裂缝发展情况，并为地质灾害防治提供科学依据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restart"/>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地质灾害防治单位资质审批</w:t>
            </w:r>
          </w:p>
        </w:tc>
        <w:tc>
          <w:tcPr>
            <w:tcW w:w="748" w:type="pct"/>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地质灾害防治单位资质事项调整</w:t>
            </w:r>
          </w:p>
        </w:tc>
        <w:tc>
          <w:tcPr>
            <w:tcW w:w="3856"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根据自然资源部印发的《自然资源部办公厅关于贯彻落实〈地质灾害防治单位资质管理办法〉的通知》，地质灾害防治单位资质类别由原来的地质灾害危险性评估单位资质、地质灾害治理工程勘查单位资质、地质灾害治理工程设计单位资质、地质灾害治理工程施工单位资质、地质灾害治理工程监理单位资质 5 项资质，整合为为地质灾害评估和治理工程勘查设计资质、地质灾害治理工程施工资质、地质灾害治理工程监理资质 3 项资质，资质等级减压为甲乙两级。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748" w:type="pct"/>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单位资质数据获取</w:t>
            </w:r>
          </w:p>
        </w:tc>
        <w:tc>
          <w:tcPr>
            <w:tcW w:w="3856"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地质灾害防治单位资质审批数据由一网通办发起，在业务系统进行流程审批。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748" w:type="pct"/>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单位资质审批流转</w:t>
            </w:r>
          </w:p>
        </w:tc>
        <w:tc>
          <w:tcPr>
            <w:tcW w:w="3856"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调整资质内容展示与流程优化。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748" w:type="pct"/>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资质审批证书部省联动</w:t>
            </w:r>
          </w:p>
        </w:tc>
        <w:tc>
          <w:tcPr>
            <w:tcW w:w="3856"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在单位资质审批过程中，需在部系统中进行单位资质的初步核查，通过核查的资质单位，可进行资质证书编号的申请，系统将根据部系统生成的证书编号生成资质证书文件。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748" w:type="pct"/>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资质证书模板调整</w:t>
            </w:r>
          </w:p>
        </w:tc>
        <w:tc>
          <w:tcPr>
            <w:tcW w:w="3856"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证书模板调整与增加证书有效性核验。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restart"/>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地质业务成果数据管理</w:t>
            </w:r>
          </w:p>
        </w:tc>
        <w:tc>
          <w:tcPr>
            <w:tcW w:w="748" w:type="pct"/>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资质信息外网公示</w:t>
            </w:r>
          </w:p>
        </w:tc>
        <w:tc>
          <w:tcPr>
            <w:tcW w:w="3856"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部系统中核查通过的资质单位，将申请资质的公示文件以及公示附件材料推送至局公示系统进行公示，公示期满后无异议的单位可继续进行资质申请。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748" w:type="pct"/>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资质信息外网公告</w:t>
            </w:r>
          </w:p>
        </w:tc>
        <w:tc>
          <w:tcPr>
            <w:tcW w:w="3856"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资质事项类型的申请，在流程流转结束后需将申请单位信息推送至局公告系统，进行资质审批的公告、以及企业信息名录栏目进行企业信息的公告。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748" w:type="pct"/>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资质证书电子证照数据推送</w:t>
            </w:r>
          </w:p>
        </w:tc>
        <w:tc>
          <w:tcPr>
            <w:tcW w:w="3856"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为确保资质单位申请资质证书的有效性，资质信息需推送市局电子证照库，进行电子证照有效备案，推送证照库后申报人可在一网通办电子证照库中查看证照信息以及证照有效性。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748" w:type="pct"/>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资质审批流程推送</w:t>
            </w:r>
          </w:p>
        </w:tc>
        <w:tc>
          <w:tcPr>
            <w:tcW w:w="3856"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地质灾害防治单位资质审批数据在业务系统流程流转结束后，需将案件审批办理情况反馈至一网通办；并将审批结果材料回传至办件库，提供申请单位下载。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748" w:type="pct"/>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地质资料汇交流程数据推送</w:t>
            </w:r>
          </w:p>
        </w:tc>
        <w:tc>
          <w:tcPr>
            <w:tcW w:w="3856"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地质资料汇交流程审批完成后，需将审批结果信息以及签章后的汇交凭证文件回传至建设单位或勘查单位办件库。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748" w:type="pct"/>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地质公共信用数据推送</w:t>
            </w:r>
          </w:p>
        </w:tc>
        <w:tc>
          <w:tcPr>
            <w:tcW w:w="3856"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基于公共信用信息收集标准，应当按照本市公共信用信息目录要求及时、准确、完整地提供公共信用信息。为做好公共信用信息共享、发布和服务工作，需将地质相关公共信息推送至“双公示”系统；实现地质业务数据的自动推送，完成与大数据“双公示”系统的互联互通，以及历史数据的补充推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748" w:type="pct"/>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数据上链数据推送</w:t>
            </w:r>
          </w:p>
        </w:tc>
        <w:tc>
          <w:tcPr>
            <w:tcW w:w="3856"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原来的地质灾害危险性评估单位资质、地质灾害治理工程勘查单位资质、地质灾害治理工程设计单位资质、地质灾害治理工程施工单位资质、地质灾害治</w:t>
            </w:r>
            <w:r>
              <w:rPr>
                <w:rFonts w:hint="eastAsia" w:cs="宋体" w:asciiTheme="minorEastAsia" w:hAnsiTheme="minorEastAsia" w:eastAsiaTheme="minorEastAsia"/>
                <w:color w:val="000000"/>
                <w:kern w:val="0"/>
                <w:sz w:val="21"/>
                <w:szCs w:val="21"/>
              </w:rPr>
              <w:br w:type="textWrapping"/>
            </w:r>
            <w:r>
              <w:rPr>
                <w:rFonts w:hint="eastAsia" w:cs="宋体" w:asciiTheme="minorEastAsia" w:hAnsiTheme="minorEastAsia" w:eastAsiaTheme="minorEastAsia"/>
                <w:color w:val="000000"/>
                <w:kern w:val="0"/>
                <w:sz w:val="21"/>
                <w:szCs w:val="21"/>
              </w:rPr>
              <w:t>理工程监理单位资质 5 项资质编目撤销；新增地质灾害评估和治理工程勘查设计资质、地质灾害治理工程施工资质、地质灾害治理工程监理资质 3 项资质编码。并增加甲、乙两级单位资质编目。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restart"/>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地质资料汇交</w:t>
            </w:r>
          </w:p>
        </w:tc>
        <w:tc>
          <w:tcPr>
            <w:tcW w:w="748" w:type="pct"/>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地质资料汇交申报</w:t>
            </w:r>
          </w:p>
        </w:tc>
        <w:tc>
          <w:tcPr>
            <w:tcW w:w="3856"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基于原外网申报、内网审批的流程，为满足地质资料汇交数据完整性，需对汇交内容、汇交流程进行优化调整。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748" w:type="pct"/>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工规证数据获取</w:t>
            </w:r>
          </w:p>
        </w:tc>
        <w:tc>
          <w:tcPr>
            <w:tcW w:w="3856"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工规证数据获取、校验与查看。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748" w:type="pct"/>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汇交凭证文号核发</w:t>
            </w:r>
          </w:p>
        </w:tc>
        <w:tc>
          <w:tcPr>
            <w:tcW w:w="3856"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汇交凭证号生成：原功能中只生成新的汇交凭证号；先调整为已进行部分区段汇交的工程规划许可证，新区段汇交时可沿用已汇交工程规划许可证的汇交凭证编号，基于已汇交数据发放汇交凭证；新区段汇交的工程规划许可证，也可生成新的汇交凭证编号，发放新汇交凭证；并增加新老凭证号生成限制，确保不同时生成新老凭证文号。</w:t>
            </w:r>
            <w:r>
              <w:rPr>
                <w:rFonts w:hint="eastAsia" w:cs="宋体" w:asciiTheme="minorEastAsia" w:hAnsiTheme="minorEastAsia" w:eastAsiaTheme="minorEastAsia"/>
                <w:color w:val="000000"/>
                <w:kern w:val="0"/>
                <w:sz w:val="21"/>
                <w:szCs w:val="21"/>
              </w:rPr>
              <w:br w:type="textWrapping"/>
            </w:r>
            <w:r>
              <w:rPr>
                <w:rFonts w:hint="eastAsia" w:cs="宋体" w:asciiTheme="minorEastAsia" w:hAnsiTheme="minorEastAsia" w:eastAsiaTheme="minorEastAsia"/>
                <w:color w:val="000000"/>
                <w:kern w:val="0"/>
                <w:sz w:val="21"/>
                <w:szCs w:val="21"/>
              </w:rPr>
              <w:t>(2)汇交凭证文件生成：汇交凭证文件中项目名称、成果地质资料名称需带入关联的汇交项目信息；汇交文号需根据实际生成的文号，带入新文号或者已发放的文号。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748" w:type="pct"/>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汇交材料生成及存档</w:t>
            </w:r>
          </w:p>
        </w:tc>
        <w:tc>
          <w:tcPr>
            <w:tcW w:w="3856"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基于本次升级改造项目WPS服务接入成果，通过调取WPS接口服务，对需要生成的汇交文件进行在线编辑，保存后可存储到案件资源树中；保存后的文件通过调取WPS接口进行在线预览。保存后的文档需进行文档编辑限制，不可进行二次编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748" w:type="pct"/>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在线文档适配性改造</w:t>
            </w:r>
          </w:p>
        </w:tc>
        <w:tc>
          <w:tcPr>
            <w:tcW w:w="3856"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基于WPS服务接入功能，为满足当前业务生成在线文档的使用、及文档保存打开的流畅性，需进行在线文档的适配性改造。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748" w:type="pct"/>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质检文件自动获取</w:t>
            </w:r>
          </w:p>
        </w:tc>
        <w:tc>
          <w:tcPr>
            <w:tcW w:w="3856"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(1)质检文件自动获取：原功能中质检材料需手动上传一个质检数据库文件，功能升级为内网受理时自动获取一网通办申报时上传的MDB数据库文件，同时保留经办人本地上传功能；</w:t>
            </w:r>
            <w:r>
              <w:rPr>
                <w:rFonts w:hint="eastAsia" w:cs="宋体" w:asciiTheme="minorEastAsia" w:hAnsiTheme="minorEastAsia" w:eastAsiaTheme="minorEastAsia"/>
                <w:color w:val="000000"/>
                <w:kern w:val="0"/>
                <w:sz w:val="21"/>
                <w:szCs w:val="21"/>
              </w:rPr>
              <w:br w:type="textWrapping"/>
            </w:r>
            <w:r>
              <w:rPr>
                <w:rFonts w:hint="eastAsia" w:cs="宋体" w:asciiTheme="minorEastAsia" w:hAnsiTheme="minorEastAsia" w:eastAsiaTheme="minorEastAsia"/>
                <w:color w:val="000000"/>
                <w:kern w:val="0"/>
                <w:sz w:val="21"/>
                <w:szCs w:val="21"/>
              </w:rPr>
              <w:t>(2)多文件上传：基于工程规划许可证会存在多个数据库的情况，系统增加了多数据库文件上传质检的功能。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748" w:type="pct"/>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统一取号管理</w:t>
            </w:r>
          </w:p>
        </w:tc>
        <w:tc>
          <w:tcPr>
            <w:tcW w:w="3856"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(1)凭证号生成规则调整：为统一汇交凭证号生成样式，将原生成规则统一调整为沪地资凭〔2024〕0001号格式</w:t>
            </w:r>
            <w:r>
              <w:rPr>
                <w:rFonts w:hint="eastAsia" w:cs="宋体" w:asciiTheme="minorEastAsia" w:hAnsiTheme="minorEastAsia" w:eastAsiaTheme="minorEastAsia"/>
                <w:color w:val="000000"/>
                <w:kern w:val="0"/>
                <w:sz w:val="21"/>
                <w:szCs w:val="21"/>
              </w:rPr>
              <w:br w:type="textWrapping"/>
            </w:r>
            <w:r>
              <w:rPr>
                <w:rFonts w:hint="eastAsia" w:cs="宋体" w:asciiTheme="minorEastAsia" w:hAnsiTheme="minorEastAsia" w:eastAsiaTheme="minorEastAsia"/>
                <w:color w:val="000000"/>
                <w:kern w:val="0"/>
                <w:sz w:val="21"/>
                <w:szCs w:val="21"/>
              </w:rPr>
              <w:t>(2)取号接口开发：工程规划许可证中工程项目的类型由建设单位或勘察单位由地质系统进行审批，并生成汇交文号和汇交凭证；对于非工程项目的类型项目新增汇交凭证文号生成接口。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748" w:type="pct"/>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汇交凭证结果归集</w:t>
            </w:r>
          </w:p>
        </w:tc>
        <w:tc>
          <w:tcPr>
            <w:tcW w:w="3856"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汇交凭证文件作为工程规划许可证综合验收的办件要素，在案件流转结束后，新增汇交凭证结果推送功能，将地质资料汇交结果推送至“大项目”系统，为在建工程竣工验收提供申请要素。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restart"/>
            <w:shd w:val="clear" w:color="auto" w:fill="auto"/>
            <w:vAlign w:val="center"/>
          </w:tcPr>
          <w:p>
            <w:pPr>
              <w:widowControl/>
              <w:spacing w:line="240" w:lineRule="auto"/>
              <w:ind w:firstLine="0" w:firstLineChars="0"/>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基础工具更新迭代</w:t>
            </w:r>
          </w:p>
        </w:tc>
        <w:tc>
          <w:tcPr>
            <w:tcW w:w="748" w:type="pct"/>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地质资料汇交图形质检</w:t>
            </w:r>
          </w:p>
        </w:tc>
        <w:tc>
          <w:tcPr>
            <w:tcW w:w="3856"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地质资料汇交中的MDB数据库文件，需先进行质检，质检通过后方可进行入图形库的操作。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Merge w:val="continue"/>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748" w:type="pct"/>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图形分区域更新</w:t>
            </w:r>
          </w:p>
        </w:tc>
        <w:tc>
          <w:tcPr>
            <w:tcW w:w="3856"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(1)应用性图件现有更新逻辑为全图层更新，部分图层存在部分区域更新的情况。系统增加局部地块的入库、图形状态更新、图形删除功能；</w:t>
            </w:r>
            <w:r>
              <w:rPr>
                <w:rFonts w:hint="eastAsia" w:cs="宋体" w:asciiTheme="minorEastAsia" w:hAnsiTheme="minorEastAsia" w:eastAsiaTheme="minorEastAsia"/>
                <w:color w:val="000000"/>
                <w:kern w:val="0"/>
                <w:sz w:val="21"/>
                <w:szCs w:val="21"/>
              </w:rPr>
              <w:br w:type="textWrapping"/>
            </w:r>
            <w:r>
              <w:rPr>
                <w:rFonts w:hint="eastAsia" w:cs="宋体" w:asciiTheme="minorEastAsia" w:hAnsiTheme="minorEastAsia" w:eastAsiaTheme="minorEastAsia"/>
                <w:color w:val="000000"/>
                <w:kern w:val="0"/>
                <w:sz w:val="21"/>
                <w:szCs w:val="21"/>
              </w:rPr>
              <w:t>(2)提供原区域地块图形的处理功能，将原区域地块推送至历史状态，确保现势图层展示中仅保留当前入库数据内容。</w:t>
            </w:r>
            <w:r>
              <w:rPr>
                <w:rFonts w:hint="eastAsia" w:cs="宋体" w:asciiTheme="minorEastAsia" w:hAnsiTheme="minorEastAsia" w:eastAsiaTheme="minorEastAsia"/>
                <w:color w:val="000000"/>
                <w:kern w:val="0"/>
                <w:sz w:val="21"/>
                <w:szCs w:val="21"/>
              </w:rPr>
              <w:br w:type="textWrapping"/>
            </w:r>
            <w:r>
              <w:rPr>
                <w:rFonts w:hint="eastAsia" w:cs="宋体" w:asciiTheme="minorEastAsia" w:hAnsiTheme="minorEastAsia" w:eastAsiaTheme="minorEastAsia"/>
                <w:color w:val="000000"/>
                <w:kern w:val="0"/>
                <w:sz w:val="21"/>
                <w:szCs w:val="21"/>
              </w:rPr>
              <w:t>(3)增加历史图层展示，对原区域地块提供查看功能。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6" w:type="pct"/>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密码应用改造</w:t>
            </w:r>
          </w:p>
        </w:tc>
        <w:tc>
          <w:tcPr>
            <w:tcW w:w="748" w:type="pct"/>
            <w:shd w:val="clear" w:color="auto" w:fill="auto"/>
            <w:noWrap/>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p>
        </w:tc>
        <w:tc>
          <w:tcPr>
            <w:tcW w:w="3856" w:type="pct"/>
            <w:shd w:val="clear" w:color="auto" w:fill="auto"/>
            <w:vAlign w:val="center"/>
          </w:tcPr>
          <w:p>
            <w:pPr>
              <w:widowControl/>
              <w:spacing w:line="240" w:lineRule="auto"/>
              <w:ind w:firstLine="0" w:firstLineChars="0"/>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包括用户身份认证机制模块、业务重要数据安全传输模块、服务器虚拟机设备日志/访问控制信息完整性模块、重要可执行程序签名验签模块等应用功能软件开发。</w:t>
            </w:r>
          </w:p>
        </w:tc>
      </w:tr>
    </w:tbl>
    <w:p>
      <w:pPr>
        <w:pStyle w:val="143"/>
      </w:pPr>
      <w:bookmarkStart w:id="17" w:name="_Toc63785502"/>
      <w:r>
        <w:t>其他功能性要求：自动快照归档，统一查询</w:t>
      </w:r>
    </w:p>
    <w:p>
      <w:pPr>
        <w:pStyle w:val="143"/>
      </w:pPr>
      <w:r>
        <w:t>在各业务流程的最终节点，按规范标准对相关业务信息、流程信息自动生成快照和并纳入统一存储，并在业务系统增加快照浏览入口，调用统一快照浏览页面。</w:t>
      </w:r>
    </w:p>
    <w:p>
      <w:pPr>
        <w:pStyle w:val="2"/>
      </w:pPr>
      <w:r>
        <w:rPr>
          <w:rFonts w:hint="eastAsia"/>
        </w:rPr>
        <w:t>电子政务云资源需求</w:t>
      </w:r>
      <w:bookmarkEnd w:id="17"/>
    </w:p>
    <w:p>
      <w:pPr>
        <w:rPr>
          <w:rFonts w:ascii="仿宋" w:hAnsi="仿宋"/>
          <w:bCs/>
        </w:rPr>
      </w:pPr>
      <w:r>
        <w:rPr>
          <w:rFonts w:hint="eastAsia" w:ascii="仿宋" w:hAnsi="仿宋"/>
          <w:bCs/>
        </w:rPr>
        <w:t>本项目继续使用现有电子政务云资源。</w:t>
      </w:r>
    </w:p>
    <w:p>
      <w:pPr>
        <w:pStyle w:val="2"/>
      </w:pPr>
      <w:bookmarkStart w:id="18" w:name="_Toc63785503"/>
      <w:r>
        <w:rPr>
          <w:rFonts w:hint="eastAsia"/>
        </w:rPr>
        <w:t>其他工作要求</w:t>
      </w:r>
      <w:bookmarkEnd w:id="18"/>
    </w:p>
    <w:p>
      <w:pPr>
        <w:keepNext/>
        <w:keepLines/>
        <w:numPr>
          <w:ilvl w:val="1"/>
          <w:numId w:val="4"/>
        </w:numPr>
        <w:tabs>
          <w:tab w:val="left" w:pos="360"/>
        </w:tabs>
        <w:spacing w:before="120" w:line="240" w:lineRule="auto"/>
        <w:ind w:left="0" w:firstLine="0" w:firstLineChars="0"/>
        <w:outlineLvl w:val="1"/>
        <w:rPr>
          <w:rFonts w:ascii="仿宋" w:hAnsi="仿宋"/>
          <w:b/>
          <w:vanish/>
          <w:color w:val="000000"/>
          <w:sz w:val="28"/>
          <w:szCs w:val="20"/>
        </w:rPr>
      </w:pPr>
      <w:bookmarkStart w:id="19" w:name="_Toc63151871"/>
      <w:bookmarkEnd w:id="19"/>
      <w:bookmarkStart w:id="20" w:name="_Toc61968111"/>
      <w:bookmarkEnd w:id="20"/>
      <w:bookmarkStart w:id="21" w:name="_Toc63785439"/>
      <w:bookmarkEnd w:id="21"/>
      <w:bookmarkStart w:id="22" w:name="_Toc63785504"/>
      <w:bookmarkEnd w:id="22"/>
      <w:bookmarkStart w:id="23" w:name="_Toc63762370"/>
      <w:bookmarkEnd w:id="23"/>
      <w:bookmarkStart w:id="24" w:name="_Toc62209488"/>
      <w:bookmarkEnd w:id="24"/>
      <w:bookmarkStart w:id="25" w:name="_Toc63585480"/>
      <w:bookmarkEnd w:id="25"/>
      <w:bookmarkStart w:id="26" w:name="_Toc62219358"/>
      <w:bookmarkEnd w:id="26"/>
    </w:p>
    <w:p>
      <w:pPr>
        <w:pStyle w:val="3"/>
      </w:pPr>
      <w:bookmarkStart w:id="27" w:name="_Toc63785505"/>
      <w:r>
        <w:rPr>
          <w:rFonts w:hint="eastAsia"/>
        </w:rPr>
        <w:t>售后服务要求</w:t>
      </w:r>
      <w:bookmarkEnd w:id="27"/>
    </w:p>
    <w:p>
      <w:pPr>
        <w:pStyle w:val="143"/>
      </w:pPr>
      <w:r>
        <w:rPr>
          <w:rFonts w:hint="eastAsia"/>
        </w:rPr>
        <w:t>本项目从系统验收通过之日起1年内提供</w:t>
      </w:r>
      <w:r>
        <w:t>7*24小时免费技术支持</w:t>
      </w:r>
      <w:r>
        <w:rPr>
          <w:rFonts w:hint="eastAsia"/>
        </w:rPr>
        <w:t>和售后服务，1年后进入有偿维护期。</w:t>
      </w:r>
    </w:p>
    <w:p>
      <w:pPr>
        <w:pStyle w:val="143"/>
      </w:pPr>
      <w:r>
        <w:rPr>
          <w:rFonts w:hint="eastAsia"/>
        </w:rPr>
        <w:t>在质量保证期内，供应商将按照售后服务的承诺提供保修和运行维护服务，如果厂商对信息系统中软、硬件设备等产品中的部分保修期超过上述期限的，则按照厂商的规定进行免费保修。</w:t>
      </w:r>
    </w:p>
    <w:p>
      <w:pPr>
        <w:pStyle w:val="143"/>
      </w:pPr>
      <w:r>
        <w:rPr>
          <w:rFonts w:hint="eastAsia"/>
        </w:rPr>
        <w:t>在质量保证期内，供应商负责信息系统的运行维护工作，确保信息系统安全、稳定、可靠地运行。本项目涉及的运行维护工作范围为：</w:t>
      </w:r>
    </w:p>
    <w:p>
      <w:pPr>
        <w:pStyle w:val="5"/>
      </w:pPr>
      <w:r>
        <w:t xml:space="preserve"> </w:t>
      </w:r>
      <w:r>
        <w:rPr>
          <w:rFonts w:hint="eastAsia"/>
        </w:rPr>
        <w:t>日常的应用维护服务</w:t>
      </w:r>
    </w:p>
    <w:p>
      <w:pPr>
        <w:pStyle w:val="143"/>
      </w:pPr>
      <w:r>
        <w:rPr>
          <w:rFonts w:hint="eastAsia"/>
        </w:rPr>
        <w:t>供应商在接到相关的日常维护要求后，诊断问题，分别提供各类日常维护服务，并将维修结果及时回复。提供的日常服务包括：</w:t>
      </w:r>
    </w:p>
    <w:p>
      <w:pPr>
        <w:pStyle w:val="144"/>
        <w:ind w:firstLine="480"/>
      </w:pPr>
      <w:r>
        <w:rPr>
          <w:rFonts w:hint="eastAsia"/>
        </w:rPr>
        <w:t>供应商应设立专门的技术支持小组，指派专人常驻现场，为建设单位提供全面专业的技术支持。</w:t>
      </w:r>
    </w:p>
    <w:p>
      <w:pPr>
        <w:pStyle w:val="144"/>
        <w:ind w:firstLine="480"/>
      </w:pPr>
      <w:r>
        <w:rPr>
          <w:rFonts w:hint="eastAsia"/>
        </w:rPr>
        <w:t>对应用系统提供相关技术咨询、系统调整、应用升级、性能调优和定期（每月）检测维护的服务。</w:t>
      </w:r>
    </w:p>
    <w:p>
      <w:pPr>
        <w:pStyle w:val="144"/>
        <w:ind w:firstLine="480"/>
      </w:pPr>
      <w:r>
        <w:rPr>
          <w:rFonts w:hint="eastAsia"/>
        </w:rPr>
        <w:t>提供</w:t>
      </w:r>
      <w:r>
        <w:t>7</w:t>
      </w:r>
      <w:r>
        <w:rPr>
          <w:rFonts w:hint="eastAsia"/>
        </w:rPr>
        <w:t>*24*365小时专人电话支持服务。对于应用系统故障情况，查找原因，提出解决方案，并工作至故障消除，完全恢复正常服务为止。</w:t>
      </w:r>
    </w:p>
    <w:p>
      <w:pPr>
        <w:pStyle w:val="144"/>
        <w:ind w:firstLine="480"/>
      </w:pPr>
      <w:r>
        <w:rPr>
          <w:rFonts w:hint="eastAsia"/>
        </w:rPr>
        <w:t>无推诿承诺。即无论由于哪一方产生的问题而使系统发生不正常情况时，在得到通知后，项目开发小组与公司立刻响应派工程师到场，全力配合厂商和其他供应商，使系统尽快恢复正常。</w:t>
      </w:r>
    </w:p>
    <w:p>
      <w:pPr>
        <w:pStyle w:val="144"/>
        <w:ind w:firstLine="480"/>
      </w:pPr>
      <w:r>
        <w:rPr>
          <w:rFonts w:hint="eastAsia"/>
        </w:rPr>
        <w:t>保修期结束前，进行一次全面检查，任何与要求不符的缺陷将由项目开发小组与公司负责修理，在修理之后，将缺陷原因、修理内容、完成修理及恢复正常的时间和日期等制成报告，报告一式两份；如在保修期结束时仍未完成修理的，则保修期自动顺延到修理工作完成之后。</w:t>
      </w:r>
    </w:p>
    <w:p>
      <w:pPr>
        <w:pStyle w:val="5"/>
        <w:rPr>
          <w:sz w:val="24"/>
          <w:szCs w:val="24"/>
        </w:rPr>
      </w:pPr>
      <w:r>
        <w:rPr>
          <w:rFonts w:hint="eastAsia"/>
          <w:sz w:val="24"/>
          <w:szCs w:val="24"/>
        </w:rPr>
        <w:t>应用系统功能调整服务</w:t>
      </w:r>
    </w:p>
    <w:p>
      <w:pPr>
        <w:ind w:firstLine="470" w:firstLineChars="196"/>
        <w:rPr>
          <w:rFonts w:ascii="仿宋" w:hAnsi="仿宋"/>
        </w:rPr>
      </w:pPr>
      <w:r>
        <w:rPr>
          <w:rFonts w:hint="eastAsia" w:ascii="仿宋" w:hAnsi="仿宋"/>
        </w:rPr>
        <w:t>供应商在接到相关业务部门书面形式描述的部分更改要求后，与相关业务部门一起对需求进行确认，并对应用系统修改功能的实现提出书面的方案，由相关业务部门协调对应用修改方案进行确认并反馈给维护单位。</w:t>
      </w:r>
    </w:p>
    <w:p>
      <w:pPr>
        <w:ind w:firstLine="470" w:firstLineChars="196"/>
        <w:rPr>
          <w:rFonts w:ascii="仿宋" w:hAnsi="仿宋"/>
          <w:b/>
        </w:rPr>
      </w:pPr>
      <w:r>
        <w:rPr>
          <w:rFonts w:hint="eastAsia" w:ascii="仿宋" w:hAnsi="仿宋"/>
        </w:rPr>
        <w:t>由于业务调整，维护单位需要对应用系统进行相应的功能调整服务。提供的服务包括：</w:t>
      </w:r>
    </w:p>
    <w:p>
      <w:pPr>
        <w:pStyle w:val="145"/>
      </w:pPr>
      <w:r>
        <w:rPr>
          <w:rFonts w:hint="eastAsia"/>
        </w:rPr>
        <w:t>应用方案的提出和论证：结合系统原来设计的结构和总体框架，对变化的需求或增加的需求进行可行性分析，整理并提出可行的方案，并与业务部门或其他用户一起对方案进行论证和确认。</w:t>
      </w:r>
    </w:p>
    <w:p>
      <w:pPr>
        <w:pStyle w:val="145"/>
      </w:pPr>
      <w:r>
        <w:rPr>
          <w:rFonts w:hint="eastAsia"/>
        </w:rPr>
        <w:t>修改应用系统相关的技术文档：根据应用修改的实际情况变更相关的应用技术文档，包括需求文档、分析设计文档、测试文档、使用手册。</w:t>
      </w:r>
    </w:p>
    <w:p>
      <w:pPr>
        <w:pStyle w:val="145"/>
      </w:pPr>
      <w:r>
        <w:rPr>
          <w:rFonts w:hint="eastAsia"/>
        </w:rPr>
        <w:t>应用实现包括对应用程序进行修改或增加功能，对实际运行的数据库结构进行修改，修改数据的复制逻辑，修改、调整相关的字典设置，应用系统功能的测试。</w:t>
      </w:r>
    </w:p>
    <w:p>
      <w:pPr>
        <w:pStyle w:val="145"/>
      </w:pPr>
      <w:r>
        <w:rPr>
          <w:rFonts w:hint="eastAsia"/>
        </w:rPr>
        <w:t>调整后功能推广包括版本的升级、编写功能更新的说明、必要的用户培训、功能试用期间的支持。</w:t>
      </w:r>
    </w:p>
    <w:p>
      <w:pPr>
        <w:pStyle w:val="5"/>
        <w:rPr>
          <w:sz w:val="24"/>
          <w:szCs w:val="24"/>
        </w:rPr>
      </w:pPr>
      <w:r>
        <w:rPr>
          <w:rFonts w:hint="eastAsia"/>
          <w:sz w:val="24"/>
          <w:szCs w:val="24"/>
        </w:rPr>
        <w:t>系统接口支持配合服务</w:t>
      </w:r>
    </w:p>
    <w:p>
      <w:pPr>
        <w:pStyle w:val="143"/>
      </w:pPr>
      <w:r>
        <w:rPr>
          <w:rFonts w:hint="eastAsia"/>
        </w:rPr>
        <w:t>由其他公司承担开发并需要与本系统衔接的系统，供应商提供接口部分的技术支持和相关部分的实施配合。</w:t>
      </w:r>
    </w:p>
    <w:p>
      <w:pPr>
        <w:pStyle w:val="3"/>
      </w:pPr>
      <w:bookmarkStart w:id="28" w:name="_Toc63785506"/>
      <w:r>
        <w:rPr>
          <w:rFonts w:hint="eastAsia"/>
        </w:rPr>
        <w:t>应急响应要求</w:t>
      </w:r>
      <w:bookmarkEnd w:id="28"/>
    </w:p>
    <w:p>
      <w:pPr>
        <w:pStyle w:val="143"/>
      </w:pPr>
      <w:r>
        <w:rPr>
          <w:rFonts w:hint="eastAsia"/>
        </w:rPr>
        <w:t>供应商对系统故障应能够实时响应，若系统发生故障，接到通知后</w:t>
      </w:r>
      <w:r>
        <w:t>30分钟之内响应，专业工程师2小时内到达现场</w:t>
      </w:r>
      <w:r>
        <w:rPr>
          <w:rFonts w:hint="eastAsia"/>
        </w:rPr>
        <w:t>。特殊故障与客户沟通协商后，按照协商的方式制定解决方案并进行处理。</w:t>
      </w:r>
    </w:p>
    <w:p>
      <w:pPr>
        <w:pStyle w:val="143"/>
      </w:pPr>
      <w:r>
        <w:rPr>
          <w:rFonts w:hint="eastAsia"/>
        </w:rPr>
        <w:t>具体故障级别及对应的应急响应要求如下：</w:t>
      </w:r>
    </w:p>
    <w:p>
      <w:pPr>
        <w:pStyle w:val="143"/>
      </w:pPr>
      <w:r>
        <w:rPr>
          <w:rFonts w:hint="eastAsia"/>
        </w:rPr>
        <w:t>一级故障：在</w:t>
      </w:r>
      <w:r>
        <w:t>1小时内确诊，总故障解决时间不超过4小时。</w:t>
      </w:r>
    </w:p>
    <w:p>
      <w:pPr>
        <w:pStyle w:val="143"/>
      </w:pPr>
      <w:r>
        <w:rPr>
          <w:rFonts w:hint="eastAsia"/>
        </w:rPr>
        <w:t>二级故障：在</w:t>
      </w:r>
      <w:r>
        <w:t>2小时内确诊，并在4小时内由专家到达现场确诊并解决，总故障解决时间不超过8小时；</w:t>
      </w:r>
    </w:p>
    <w:p>
      <w:pPr>
        <w:pStyle w:val="143"/>
      </w:pPr>
      <w:r>
        <w:rPr>
          <w:rFonts w:hint="eastAsia"/>
        </w:rPr>
        <w:t>三、四级故障：在</w:t>
      </w:r>
      <w:r>
        <w:t>4小时内确诊故障，总故障解决时间不超过16小时。</w:t>
      </w:r>
    </w:p>
    <w:p>
      <w:pPr>
        <w:pStyle w:val="3"/>
      </w:pPr>
      <w:bookmarkStart w:id="29" w:name="_Toc63785507"/>
      <w:r>
        <w:rPr>
          <w:rFonts w:hint="eastAsia"/>
        </w:rPr>
        <w:t>培训要求</w:t>
      </w:r>
      <w:bookmarkEnd w:id="29"/>
    </w:p>
    <w:p>
      <w:r>
        <w:rPr>
          <w:rFonts w:hint="eastAsia"/>
        </w:rPr>
        <w:t>对系统使用单位提供业务操作培训，应提供详细培训方案。</w:t>
      </w:r>
    </w:p>
    <w:p>
      <w:r>
        <w:rPr>
          <w:rFonts w:hint="eastAsia"/>
        </w:rPr>
        <w:t>(1)在12个月的质量保证期内，提供2次与项目相关的必要培训。</w:t>
      </w:r>
    </w:p>
    <w:p>
      <w:r>
        <w:rPr>
          <w:rFonts w:hint="eastAsia"/>
        </w:rPr>
        <w:t>(2)供应商需要开展分层次的人员培训工作，每次培训后应对参加培训人员进行测试，评估培训成果。培训应具有培训教材、培训环境和高水平的培训讲师。</w:t>
      </w:r>
    </w:p>
    <w:p>
      <w:r>
        <w:rPr>
          <w:rFonts w:hint="eastAsia"/>
        </w:rPr>
        <w:t>(3)供应商应提供一般用户的基础操作培训和部门信息管理员的日常应用维护的培训，确保用户对象能够掌握对应的操作技能。</w:t>
      </w:r>
    </w:p>
    <w:p>
      <w:pPr>
        <w:pStyle w:val="3"/>
      </w:pPr>
      <w:bookmarkStart w:id="30" w:name="_Toc63785508"/>
      <w:r>
        <w:rPr>
          <w:rFonts w:hint="eastAsia"/>
        </w:rPr>
        <w:t>验收要求</w:t>
      </w:r>
      <w:bookmarkEnd w:id="30"/>
    </w:p>
    <w:p>
      <w:pPr>
        <w:rPr>
          <w:szCs w:val="21"/>
        </w:rPr>
      </w:pPr>
      <w:r>
        <w:rPr>
          <w:rFonts w:hint="eastAsia"/>
          <w:szCs w:val="21"/>
        </w:rPr>
        <w:t>本项目按下述方式开展验收。</w:t>
      </w:r>
    </w:p>
    <w:p>
      <w:pPr>
        <w:rPr>
          <w:szCs w:val="21"/>
        </w:rPr>
      </w:pPr>
      <w:r>
        <w:rPr>
          <w:rFonts w:hint="eastAsia"/>
          <w:szCs w:val="21"/>
        </w:rPr>
        <w:t>（</w:t>
      </w:r>
      <w:r>
        <w:rPr>
          <w:szCs w:val="21"/>
        </w:rPr>
        <w:t>1）验收分初验和终验。</w:t>
      </w:r>
    </w:p>
    <w:p>
      <w:pPr>
        <w:rPr>
          <w:szCs w:val="21"/>
        </w:rPr>
      </w:pPr>
      <w:r>
        <w:rPr>
          <w:rFonts w:hint="eastAsia"/>
          <w:szCs w:val="21"/>
        </w:rPr>
        <w:t>（</w:t>
      </w:r>
      <w:r>
        <w:rPr>
          <w:szCs w:val="21"/>
        </w:rPr>
        <w:t>2）初验前，供应商须完成软件开发、软硬件安装和信息系统的调试等，并对本项目进行功能和运行检测，确保所有信息系统功能模块能够正常运行且已达到本项目约定的各类标准要求。供应商应以书面形式向招标方递交初验通知书。招标方应当在接到通知后的5个工作日内确定初验的具体日期，由双方按照本项目的约定完成本项目的初验。招标方有权委托第三方检测机构进行验收，对此供应商应当配合。</w:t>
      </w:r>
    </w:p>
    <w:p>
      <w:pPr>
        <w:rPr>
          <w:szCs w:val="21"/>
        </w:rPr>
      </w:pPr>
      <w:r>
        <w:rPr>
          <w:rFonts w:hint="eastAsia"/>
          <w:szCs w:val="21"/>
        </w:rPr>
        <w:t>（</w:t>
      </w:r>
      <w:r>
        <w:rPr>
          <w:szCs w:val="21"/>
        </w:rPr>
        <w:t>3）初验时，供应商须提供软件文档包括《用户需求说明书》、《系统概要设计说明书》、《系统详细设计说明书》、</w:t>
      </w:r>
      <w:r>
        <w:rPr>
          <w:rFonts w:hint="eastAsia"/>
          <w:szCs w:val="21"/>
        </w:rPr>
        <w:t>《三方功能需求确认单》、</w:t>
      </w:r>
      <w:r>
        <w:rPr>
          <w:szCs w:val="21"/>
        </w:rPr>
        <w:t>《测试报告》、《用户使用手册》、《系统部署文档》等）及可安装的程序运行文件。所交付的文档与文件应当是可供自然人阅读的书面和电子文档。软件文档及可安装的程序运行文件验收通过后，视为初验通过。如有缺陷，招标方应向供应商出具书面报告，陈述需要改进的缺陷。供应商应立即严格依照招标方的书面报告中的要求改进缺陷，并再次进行初验。</w:t>
      </w:r>
    </w:p>
    <w:p>
      <w:pPr>
        <w:rPr>
          <w:szCs w:val="21"/>
        </w:rPr>
      </w:pPr>
      <w:r>
        <w:rPr>
          <w:rFonts w:hint="eastAsia"/>
          <w:szCs w:val="21"/>
        </w:rPr>
        <w:t>（</w:t>
      </w:r>
      <w:r>
        <w:rPr>
          <w:szCs w:val="21"/>
        </w:rPr>
        <w:t>4）自初验通过之日起，招标方享有供应商免费提供的</w:t>
      </w:r>
      <w:r>
        <w:rPr>
          <w:rFonts w:hint="eastAsia"/>
          <w:szCs w:val="21"/>
        </w:rPr>
        <w:t>3个月</w:t>
      </w:r>
      <w:r>
        <w:rPr>
          <w:szCs w:val="21"/>
        </w:rPr>
        <w:t>的信息系统试运行现场驻场服务期。该期间内，供应商应当按照招标方的要求提供现场技术支持服务，解决信息系统试运行期间可能出现的各类问题，或进一步提高与完善信息系统运行水平。</w:t>
      </w:r>
    </w:p>
    <w:p>
      <w:pPr>
        <w:rPr>
          <w:szCs w:val="21"/>
        </w:rPr>
      </w:pPr>
      <w:r>
        <w:rPr>
          <w:rFonts w:hint="eastAsia"/>
          <w:szCs w:val="21"/>
        </w:rPr>
        <w:t>（</w:t>
      </w:r>
      <w:r>
        <w:rPr>
          <w:szCs w:val="21"/>
        </w:rPr>
        <w:t>5）初验通过且信息系统试运行期已经达到本项目约定的时间，经供应商确认信息系统具备正常运行条件，且信息系统通过运行测试，供应商应以书面形式通知招标方信息系统已准备就绪等待终验。招标方在收到终验通知后发起组织专家验收会。</w:t>
      </w:r>
    </w:p>
    <w:p>
      <w:pPr>
        <w:rPr>
          <w:szCs w:val="21"/>
        </w:rPr>
      </w:pPr>
      <w:r>
        <w:rPr>
          <w:rFonts w:hint="eastAsia"/>
          <w:szCs w:val="21"/>
        </w:rPr>
        <w:t>（6</w:t>
      </w:r>
      <w:r>
        <w:rPr>
          <w:szCs w:val="21"/>
        </w:rPr>
        <w:t>）如果属于供应商原因致使本项目未能通过终验，供应商应当排除缺陷，直至本项目完全符合验收标准，由上述情形而产生的相关费用应由供应商自行承担。</w:t>
      </w:r>
    </w:p>
    <w:p>
      <w:pPr>
        <w:rPr>
          <w:szCs w:val="21"/>
        </w:rPr>
      </w:pPr>
      <w:r>
        <w:rPr>
          <w:rFonts w:hint="eastAsia"/>
          <w:szCs w:val="21"/>
        </w:rPr>
        <w:t>（7</w:t>
      </w:r>
      <w:r>
        <w:rPr>
          <w:szCs w:val="21"/>
        </w:rPr>
        <w:t>）如果由于招标方原因导致本项目在终验通过前出现故障或问题，供应商应及时配合排除该方面的故障或问题。</w:t>
      </w:r>
    </w:p>
    <w:p>
      <w:pPr>
        <w:rPr>
          <w:szCs w:val="21"/>
        </w:rPr>
      </w:pPr>
      <w:r>
        <w:rPr>
          <w:rFonts w:hint="eastAsia"/>
          <w:szCs w:val="21"/>
        </w:rPr>
        <w:t>（8</w:t>
      </w:r>
      <w:r>
        <w:rPr>
          <w:szCs w:val="21"/>
        </w:rPr>
        <w:t>）如本项目连续3次验收未通过（含初验未通过或终验未通过），招标方有权解除项目，并有权依照本项目约定的违约条款追究供应商的违约责任。</w:t>
      </w:r>
    </w:p>
    <w:p>
      <w:pPr>
        <w:pStyle w:val="3"/>
      </w:pPr>
      <w:bookmarkStart w:id="31" w:name="_Toc63785509"/>
      <w:r>
        <w:rPr>
          <w:rFonts w:hint="eastAsia"/>
        </w:rPr>
        <w:t>进度要求</w:t>
      </w:r>
      <w:bookmarkEnd w:id="31"/>
    </w:p>
    <w:p>
      <w:r>
        <w:rPr>
          <w:rFonts w:hint="eastAsia"/>
        </w:rPr>
        <w:t>投标人应根据建设内容，分阶段制定合理的时间进度，并且应根据招标方要求进行调整和细化。</w:t>
      </w:r>
    </w:p>
    <w:p>
      <w:pPr>
        <w:pStyle w:val="143"/>
      </w:pPr>
      <w:bookmarkStart w:id="32" w:name="_Toc63785510"/>
      <w:r>
        <w:rPr>
          <w:rFonts w:hint="eastAsia"/>
        </w:rPr>
        <w:t>总建设周期为自合同签订之日起至202</w:t>
      </w:r>
      <w:r>
        <w:t>5</w:t>
      </w:r>
      <w:r>
        <w:rPr>
          <w:rFonts w:hint="eastAsia"/>
        </w:rPr>
        <w:t>年11月30日，分为4个阶段。</w:t>
      </w:r>
    </w:p>
    <w:p>
      <w:pPr>
        <w:pStyle w:val="143"/>
      </w:pPr>
      <w:r>
        <w:rPr>
          <w:rFonts w:hint="eastAsia"/>
        </w:rPr>
        <w:t>第一阶段完成规划设计工作；</w:t>
      </w:r>
    </w:p>
    <w:p>
      <w:pPr>
        <w:pStyle w:val="143"/>
      </w:pPr>
      <w:r>
        <w:rPr>
          <w:rFonts w:hint="eastAsia"/>
        </w:rPr>
        <w:t>第二阶段完成项目开发测试工作；</w:t>
      </w:r>
    </w:p>
    <w:p>
      <w:pPr>
        <w:pStyle w:val="143"/>
      </w:pPr>
      <w:r>
        <w:rPr>
          <w:rFonts w:hint="eastAsia"/>
        </w:rPr>
        <w:t>第三阶段完成项目试运行（</w:t>
      </w:r>
      <w:r>
        <w:t>1</w:t>
      </w:r>
      <w:r>
        <w:rPr>
          <w:rFonts w:hint="eastAsia"/>
        </w:rPr>
        <w:t>个月）和迭代开发工作；</w:t>
      </w:r>
    </w:p>
    <w:p>
      <w:pPr>
        <w:pStyle w:val="143"/>
      </w:pPr>
      <w:r>
        <w:rPr>
          <w:rFonts w:hint="eastAsia"/>
        </w:rPr>
        <w:t>第四阶段于202</w:t>
      </w:r>
      <w:r>
        <w:t>5</w:t>
      </w:r>
      <w:r>
        <w:rPr>
          <w:rFonts w:hint="eastAsia"/>
        </w:rPr>
        <w:t>年11月30日前完成项目验收工作。</w:t>
      </w:r>
    </w:p>
    <w:p>
      <w:pPr>
        <w:pStyle w:val="3"/>
      </w:pPr>
      <w:r>
        <w:rPr>
          <w:rFonts w:hint="eastAsia"/>
        </w:rPr>
        <w:t>项目团队及驻场人员要求</w:t>
      </w:r>
      <w:bookmarkEnd w:id="32"/>
    </w:p>
    <w:p>
      <w:r>
        <w:t>1</w:t>
      </w:r>
      <w:r>
        <w:rPr>
          <w:rFonts w:hint="eastAsia"/>
        </w:rPr>
        <w:t>．</w:t>
      </w:r>
      <w:r>
        <w:t>投标人须具有稳定的在职技术保障力量，能够提供及时的技术支援或服务，应针对本项目提供不少于</w:t>
      </w:r>
      <w:r>
        <w:rPr>
          <w:rFonts w:hint="eastAsia"/>
        </w:rPr>
        <w:t>10</w:t>
      </w:r>
      <w:r>
        <w:t>人的项目服务团队（包括项目经理、产品经理、技术负责人、研发等），投标单位的相关服务人员需具备相应的服务能力，需提供相关证明。</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6"/>
        <w:gridCol w:w="2690"/>
        <w:gridCol w:w="1134"/>
        <w:gridCol w:w="1882"/>
        <w:gridCol w:w="1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0" w:type="auto"/>
            <w:shd w:val="clear" w:color="auto" w:fill="auto"/>
            <w:noWrap/>
            <w:vAlign w:val="center"/>
          </w:tcPr>
          <w:p>
            <w:pPr>
              <w:widowControl/>
              <w:spacing w:line="240" w:lineRule="auto"/>
              <w:ind w:firstLine="0" w:firstLineChars="0"/>
              <w:jc w:val="center"/>
              <w:rPr>
                <w:b/>
              </w:rPr>
            </w:pPr>
            <w:r>
              <w:rPr>
                <w:rFonts w:hint="eastAsia"/>
                <w:b/>
              </w:rPr>
              <w:t>角色</w:t>
            </w:r>
          </w:p>
        </w:tc>
        <w:tc>
          <w:tcPr>
            <w:tcW w:w="2690" w:type="dxa"/>
            <w:shd w:val="clear" w:color="auto" w:fill="auto"/>
            <w:noWrap/>
            <w:vAlign w:val="center"/>
          </w:tcPr>
          <w:p>
            <w:pPr>
              <w:widowControl/>
              <w:spacing w:line="240" w:lineRule="auto"/>
              <w:ind w:firstLine="0" w:firstLineChars="0"/>
              <w:jc w:val="center"/>
              <w:rPr>
                <w:b/>
              </w:rPr>
            </w:pPr>
            <w:r>
              <w:rPr>
                <w:rFonts w:hint="eastAsia"/>
                <w:b/>
              </w:rPr>
              <w:t>主要职责</w:t>
            </w:r>
          </w:p>
        </w:tc>
        <w:tc>
          <w:tcPr>
            <w:tcW w:w="1134" w:type="dxa"/>
            <w:shd w:val="clear" w:color="auto" w:fill="auto"/>
            <w:noWrap/>
            <w:vAlign w:val="center"/>
          </w:tcPr>
          <w:p>
            <w:pPr>
              <w:widowControl/>
              <w:spacing w:line="240" w:lineRule="auto"/>
              <w:ind w:firstLine="0" w:firstLineChars="0"/>
              <w:jc w:val="center"/>
              <w:rPr>
                <w:b/>
              </w:rPr>
            </w:pPr>
            <w:r>
              <w:rPr>
                <w:rFonts w:hint="eastAsia"/>
                <w:b/>
              </w:rPr>
              <w:t>人员数量</w:t>
            </w:r>
          </w:p>
        </w:tc>
        <w:tc>
          <w:tcPr>
            <w:tcW w:w="1882" w:type="dxa"/>
            <w:vAlign w:val="center"/>
          </w:tcPr>
          <w:p>
            <w:pPr>
              <w:widowControl/>
              <w:spacing w:line="240" w:lineRule="auto"/>
              <w:ind w:firstLine="0" w:firstLineChars="0"/>
              <w:jc w:val="center"/>
              <w:rPr>
                <w:b/>
              </w:rPr>
            </w:pPr>
            <w:r>
              <w:rPr>
                <w:rFonts w:hint="eastAsia"/>
                <w:b/>
              </w:rPr>
              <w:t>人员要求</w:t>
            </w:r>
          </w:p>
        </w:tc>
        <w:tc>
          <w:tcPr>
            <w:tcW w:w="0" w:type="auto"/>
            <w:shd w:val="clear" w:color="auto" w:fill="auto"/>
            <w:noWrap/>
            <w:vAlign w:val="center"/>
          </w:tcPr>
          <w:p>
            <w:pPr>
              <w:widowControl/>
              <w:spacing w:line="240" w:lineRule="auto"/>
              <w:ind w:firstLine="0" w:firstLineChars="0"/>
              <w:jc w:val="center"/>
              <w:rPr>
                <w:b/>
              </w:rPr>
            </w:pPr>
            <w:r>
              <w:rPr>
                <w:rFonts w:hint="eastAsia"/>
                <w:b/>
              </w:rPr>
              <w:t>驻场要求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pPr>
              <w:widowControl/>
              <w:spacing w:line="240" w:lineRule="auto"/>
              <w:ind w:firstLine="0" w:firstLineChars="0"/>
              <w:jc w:val="center"/>
            </w:pPr>
            <w:r>
              <w:rPr>
                <w:rFonts w:hint="eastAsia"/>
              </w:rPr>
              <w:t>项目经理</w:t>
            </w:r>
          </w:p>
        </w:tc>
        <w:tc>
          <w:tcPr>
            <w:tcW w:w="2690" w:type="dxa"/>
            <w:shd w:val="clear" w:color="auto" w:fill="auto"/>
            <w:vAlign w:val="center"/>
          </w:tcPr>
          <w:p>
            <w:pPr>
              <w:widowControl/>
              <w:spacing w:line="240" w:lineRule="auto"/>
              <w:ind w:firstLine="0" w:firstLineChars="0"/>
              <w:jc w:val="center"/>
            </w:pPr>
            <w:r>
              <w:rPr>
                <w:rFonts w:hint="eastAsia"/>
              </w:rPr>
              <w:t>负责项目质量和进度控制</w:t>
            </w:r>
          </w:p>
        </w:tc>
        <w:tc>
          <w:tcPr>
            <w:tcW w:w="1134" w:type="dxa"/>
            <w:shd w:val="clear" w:color="auto" w:fill="auto"/>
            <w:noWrap/>
            <w:vAlign w:val="center"/>
          </w:tcPr>
          <w:p>
            <w:pPr>
              <w:widowControl/>
              <w:spacing w:line="240" w:lineRule="auto"/>
              <w:ind w:firstLine="0" w:firstLineChars="0"/>
              <w:jc w:val="center"/>
            </w:pPr>
            <w:r>
              <w:rPr>
                <w:rFonts w:hint="eastAsia"/>
              </w:rPr>
              <w:t>1人</w:t>
            </w:r>
          </w:p>
        </w:tc>
        <w:tc>
          <w:tcPr>
            <w:tcW w:w="1882" w:type="dxa"/>
            <w:vAlign w:val="center"/>
          </w:tcPr>
          <w:p>
            <w:pPr>
              <w:widowControl/>
              <w:spacing w:line="240" w:lineRule="auto"/>
              <w:ind w:firstLine="0" w:firstLineChars="0"/>
              <w:jc w:val="center"/>
            </w:pPr>
            <w:r>
              <w:rPr>
                <w:rFonts w:hint="eastAsia"/>
              </w:rPr>
              <w:t>具备</w:t>
            </w:r>
            <w:r>
              <w:t>信息系统项目管理师</w:t>
            </w:r>
            <w:r>
              <w:rPr>
                <w:rFonts w:hint="eastAsia"/>
              </w:rPr>
              <w:t>资质证书</w:t>
            </w:r>
          </w:p>
        </w:tc>
        <w:tc>
          <w:tcPr>
            <w:tcW w:w="0" w:type="auto"/>
            <w:shd w:val="clear" w:color="auto" w:fill="auto"/>
            <w:noWrap/>
            <w:vAlign w:val="center"/>
          </w:tcPr>
          <w:p>
            <w:pPr>
              <w:widowControl/>
              <w:spacing w:line="240" w:lineRule="auto"/>
              <w:ind w:firstLine="0" w:firstLineChars="0"/>
              <w:jc w:val="center"/>
            </w:pPr>
            <w:r>
              <w:rPr>
                <w:rFonts w:hint="eastAsia"/>
              </w:rPr>
              <w:t>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pPr>
              <w:widowControl/>
              <w:spacing w:line="240" w:lineRule="auto"/>
              <w:ind w:firstLine="0" w:firstLineChars="0"/>
              <w:jc w:val="center"/>
            </w:pPr>
            <w:r>
              <w:rPr>
                <w:rFonts w:hint="eastAsia"/>
              </w:rPr>
              <w:t>产品经理</w:t>
            </w:r>
          </w:p>
        </w:tc>
        <w:tc>
          <w:tcPr>
            <w:tcW w:w="2690" w:type="dxa"/>
            <w:shd w:val="clear" w:color="auto" w:fill="auto"/>
            <w:vAlign w:val="center"/>
          </w:tcPr>
          <w:p>
            <w:pPr>
              <w:widowControl/>
              <w:spacing w:line="240" w:lineRule="auto"/>
              <w:ind w:firstLine="0" w:firstLineChars="0"/>
              <w:jc w:val="center"/>
            </w:pPr>
            <w:r>
              <w:rPr>
                <w:rFonts w:hint="eastAsia"/>
              </w:rPr>
              <w:t>负责项目需求评估与产品设计</w:t>
            </w:r>
          </w:p>
        </w:tc>
        <w:tc>
          <w:tcPr>
            <w:tcW w:w="1134" w:type="dxa"/>
            <w:shd w:val="clear" w:color="auto" w:fill="auto"/>
            <w:noWrap/>
            <w:vAlign w:val="center"/>
          </w:tcPr>
          <w:p>
            <w:pPr>
              <w:widowControl/>
              <w:spacing w:line="240" w:lineRule="auto"/>
              <w:ind w:firstLine="0" w:firstLineChars="0"/>
              <w:jc w:val="center"/>
            </w:pPr>
            <w:r>
              <w:rPr>
                <w:rFonts w:hint="eastAsia"/>
              </w:rPr>
              <w:t>1人</w:t>
            </w:r>
          </w:p>
        </w:tc>
        <w:tc>
          <w:tcPr>
            <w:tcW w:w="1882" w:type="dxa"/>
            <w:vAlign w:val="center"/>
          </w:tcPr>
          <w:p>
            <w:pPr>
              <w:widowControl/>
              <w:spacing w:line="240" w:lineRule="auto"/>
              <w:ind w:firstLine="0" w:firstLineChars="0"/>
              <w:jc w:val="center"/>
            </w:pPr>
            <w:r>
              <w:rPr>
                <w:rFonts w:hint="eastAsia"/>
              </w:rPr>
              <w:t>具备</w:t>
            </w:r>
            <w:r>
              <w:t>信息系统项目管理师</w:t>
            </w:r>
            <w:r>
              <w:rPr>
                <w:rFonts w:hint="eastAsia"/>
              </w:rPr>
              <w:t>资质证书</w:t>
            </w:r>
          </w:p>
        </w:tc>
        <w:tc>
          <w:tcPr>
            <w:tcW w:w="0" w:type="auto"/>
            <w:shd w:val="clear" w:color="auto" w:fill="auto"/>
            <w:noWrap/>
            <w:vAlign w:val="center"/>
          </w:tcPr>
          <w:p>
            <w:pPr>
              <w:widowControl/>
              <w:spacing w:line="240" w:lineRule="auto"/>
              <w:ind w:firstLine="0" w:firstLineChars="0"/>
              <w:jc w:val="center"/>
            </w:pPr>
            <w:r>
              <w:rPr>
                <w:rFonts w:hint="eastAsia"/>
              </w:rPr>
              <w:t>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pPr>
              <w:widowControl/>
              <w:spacing w:line="240" w:lineRule="auto"/>
              <w:ind w:firstLine="0" w:firstLineChars="0"/>
              <w:jc w:val="center"/>
            </w:pPr>
            <w:r>
              <w:rPr>
                <w:rFonts w:hint="eastAsia"/>
              </w:rPr>
              <w:t>技术负责人</w:t>
            </w:r>
          </w:p>
        </w:tc>
        <w:tc>
          <w:tcPr>
            <w:tcW w:w="2690" w:type="dxa"/>
            <w:shd w:val="clear" w:color="auto" w:fill="auto"/>
            <w:noWrap/>
            <w:vAlign w:val="center"/>
          </w:tcPr>
          <w:p>
            <w:pPr>
              <w:widowControl/>
              <w:spacing w:line="240" w:lineRule="auto"/>
              <w:ind w:firstLine="0" w:firstLineChars="0"/>
              <w:jc w:val="center"/>
            </w:pPr>
            <w:r>
              <w:rPr>
                <w:rFonts w:hint="eastAsia"/>
              </w:rPr>
              <w:t>负责项目设计及框架建设</w:t>
            </w:r>
          </w:p>
        </w:tc>
        <w:tc>
          <w:tcPr>
            <w:tcW w:w="1134" w:type="dxa"/>
            <w:shd w:val="clear" w:color="auto" w:fill="auto"/>
            <w:noWrap/>
            <w:vAlign w:val="center"/>
          </w:tcPr>
          <w:p>
            <w:pPr>
              <w:widowControl/>
              <w:spacing w:line="240" w:lineRule="auto"/>
              <w:ind w:firstLine="0" w:firstLineChars="0"/>
              <w:jc w:val="center"/>
            </w:pPr>
            <w:r>
              <w:rPr>
                <w:rFonts w:hint="eastAsia"/>
              </w:rPr>
              <w:t>1人</w:t>
            </w:r>
          </w:p>
        </w:tc>
        <w:tc>
          <w:tcPr>
            <w:tcW w:w="1882" w:type="dxa"/>
            <w:vAlign w:val="center"/>
          </w:tcPr>
          <w:p>
            <w:pPr>
              <w:widowControl/>
              <w:spacing w:line="240" w:lineRule="auto"/>
              <w:ind w:firstLine="0" w:firstLineChars="0"/>
              <w:jc w:val="center"/>
            </w:pPr>
            <w:r>
              <w:rPr>
                <w:rFonts w:hint="eastAsia"/>
              </w:rPr>
              <w:t>具备类似项目设计及框架建设经验</w:t>
            </w:r>
          </w:p>
        </w:tc>
        <w:tc>
          <w:tcPr>
            <w:tcW w:w="0" w:type="auto"/>
            <w:shd w:val="clear" w:color="auto" w:fill="auto"/>
            <w:noWrap/>
            <w:vAlign w:val="center"/>
          </w:tcPr>
          <w:p>
            <w:pPr>
              <w:widowControl/>
              <w:spacing w:line="240" w:lineRule="auto"/>
              <w:ind w:firstLine="0" w:firstLineChars="0"/>
              <w:jc w:val="center"/>
            </w:pPr>
            <w:r>
              <w:rPr>
                <w:rFonts w:hint="eastAsia"/>
              </w:rPr>
              <w:t>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pPr>
              <w:widowControl/>
              <w:spacing w:line="240" w:lineRule="auto"/>
              <w:ind w:firstLine="0" w:firstLineChars="0"/>
              <w:jc w:val="center"/>
            </w:pPr>
            <w:r>
              <w:rPr>
                <w:rFonts w:hint="eastAsia"/>
              </w:rPr>
              <w:t>研发</w:t>
            </w:r>
          </w:p>
        </w:tc>
        <w:tc>
          <w:tcPr>
            <w:tcW w:w="2690" w:type="dxa"/>
            <w:shd w:val="clear" w:color="auto" w:fill="auto"/>
            <w:noWrap/>
            <w:vAlign w:val="center"/>
          </w:tcPr>
          <w:p>
            <w:pPr>
              <w:widowControl/>
              <w:spacing w:line="240" w:lineRule="auto"/>
              <w:ind w:firstLine="0" w:firstLineChars="0"/>
              <w:jc w:val="center"/>
            </w:pPr>
            <w:r>
              <w:rPr>
                <w:rFonts w:hint="eastAsia"/>
              </w:rPr>
              <w:t>负责项目具体开发与实施</w:t>
            </w:r>
          </w:p>
        </w:tc>
        <w:tc>
          <w:tcPr>
            <w:tcW w:w="1134" w:type="dxa"/>
            <w:shd w:val="clear" w:color="auto" w:fill="auto"/>
            <w:noWrap/>
            <w:vAlign w:val="center"/>
          </w:tcPr>
          <w:p>
            <w:pPr>
              <w:widowControl/>
              <w:spacing w:line="240" w:lineRule="auto"/>
              <w:ind w:firstLine="0" w:firstLineChars="0"/>
              <w:jc w:val="center"/>
            </w:pPr>
            <w:r>
              <w:rPr>
                <w:rFonts w:hint="eastAsia"/>
              </w:rPr>
              <w:t>6人</w:t>
            </w:r>
          </w:p>
        </w:tc>
        <w:tc>
          <w:tcPr>
            <w:tcW w:w="1882" w:type="dxa"/>
            <w:vAlign w:val="center"/>
          </w:tcPr>
          <w:p>
            <w:pPr>
              <w:widowControl/>
              <w:spacing w:line="240" w:lineRule="auto"/>
              <w:ind w:firstLine="0" w:firstLineChars="0"/>
              <w:jc w:val="center"/>
            </w:pPr>
            <w:r>
              <w:rPr>
                <w:rFonts w:hint="eastAsia"/>
              </w:rPr>
              <w:t>具备类似信息系统开发经验</w:t>
            </w:r>
          </w:p>
        </w:tc>
        <w:tc>
          <w:tcPr>
            <w:tcW w:w="0" w:type="auto"/>
            <w:shd w:val="clear" w:color="auto" w:fill="auto"/>
            <w:noWrap/>
            <w:vAlign w:val="center"/>
          </w:tcPr>
          <w:p>
            <w:pPr>
              <w:widowControl/>
              <w:spacing w:line="240" w:lineRule="auto"/>
              <w:ind w:firstLine="0" w:firstLineChars="0"/>
              <w:jc w:val="center"/>
            </w:pPr>
            <w:r>
              <w:rPr>
                <w:rFonts w:hint="eastAsia"/>
              </w:rPr>
              <w:t>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pPr>
              <w:widowControl/>
              <w:spacing w:line="240" w:lineRule="auto"/>
              <w:ind w:firstLine="0" w:firstLineChars="0"/>
              <w:jc w:val="center"/>
            </w:pPr>
            <w:r>
              <w:rPr>
                <w:rFonts w:hint="eastAsia"/>
              </w:rPr>
              <w:t>质量管理</w:t>
            </w:r>
          </w:p>
        </w:tc>
        <w:tc>
          <w:tcPr>
            <w:tcW w:w="2690" w:type="dxa"/>
            <w:shd w:val="clear" w:color="auto" w:fill="auto"/>
            <w:noWrap/>
            <w:vAlign w:val="center"/>
          </w:tcPr>
          <w:p>
            <w:pPr>
              <w:widowControl/>
              <w:spacing w:line="240" w:lineRule="auto"/>
              <w:ind w:firstLine="0" w:firstLineChars="0"/>
              <w:jc w:val="center"/>
            </w:pPr>
            <w:r>
              <w:rPr>
                <w:rFonts w:hint="eastAsia"/>
              </w:rPr>
              <w:t>负责项目质量管理及质量控制</w:t>
            </w:r>
          </w:p>
        </w:tc>
        <w:tc>
          <w:tcPr>
            <w:tcW w:w="1134" w:type="dxa"/>
            <w:shd w:val="clear" w:color="auto" w:fill="auto"/>
            <w:noWrap/>
            <w:vAlign w:val="center"/>
          </w:tcPr>
          <w:p>
            <w:pPr>
              <w:widowControl/>
              <w:spacing w:line="240" w:lineRule="auto"/>
              <w:ind w:firstLine="0" w:firstLineChars="0"/>
              <w:jc w:val="center"/>
            </w:pPr>
            <w:r>
              <w:rPr>
                <w:rFonts w:hint="eastAsia"/>
              </w:rPr>
              <w:t>1人</w:t>
            </w:r>
          </w:p>
        </w:tc>
        <w:tc>
          <w:tcPr>
            <w:tcW w:w="1882" w:type="dxa"/>
            <w:vAlign w:val="center"/>
          </w:tcPr>
          <w:p>
            <w:pPr>
              <w:widowControl/>
              <w:spacing w:line="240" w:lineRule="auto"/>
              <w:ind w:firstLine="0" w:firstLineChars="0"/>
              <w:jc w:val="center"/>
            </w:pPr>
            <w:r>
              <w:rPr>
                <w:rFonts w:hint="eastAsia"/>
              </w:rPr>
              <w:t>具备类似信息系统质量管理经验</w:t>
            </w:r>
          </w:p>
        </w:tc>
        <w:tc>
          <w:tcPr>
            <w:tcW w:w="0" w:type="auto"/>
            <w:shd w:val="clear" w:color="auto" w:fill="auto"/>
            <w:noWrap/>
            <w:vAlign w:val="center"/>
          </w:tcPr>
          <w:p>
            <w:pPr>
              <w:widowControl/>
              <w:spacing w:line="240" w:lineRule="auto"/>
              <w:ind w:firstLine="0" w:firstLineChars="0"/>
              <w:jc w:val="center"/>
            </w:pPr>
            <w:r>
              <w:rPr>
                <w:rFonts w:hint="eastAsia"/>
              </w:rPr>
              <w:t>不驻场</w:t>
            </w:r>
          </w:p>
        </w:tc>
      </w:tr>
    </w:tbl>
    <w:p>
      <w:r>
        <w:t>2</w:t>
      </w:r>
      <w:r>
        <w:rPr>
          <w:rFonts w:hint="eastAsia"/>
        </w:rPr>
        <w:t>．</w:t>
      </w:r>
      <w:r>
        <w:t>投标人应针对本项目提供不少于</w:t>
      </w:r>
      <w:r>
        <w:rPr>
          <w:rFonts w:hint="eastAsia"/>
        </w:rPr>
        <w:t>4</w:t>
      </w:r>
      <w:r>
        <w:t>人的质保期间支撑团队（其中技术经理</w:t>
      </w:r>
      <w:r>
        <w:rPr>
          <w:rFonts w:hint="eastAsia"/>
        </w:rPr>
        <w:t>1</w:t>
      </w:r>
      <w:r>
        <w:t>人，产品经理</w:t>
      </w:r>
      <w:r>
        <w:rPr>
          <w:rFonts w:hint="eastAsia"/>
        </w:rPr>
        <w:t>1</w:t>
      </w:r>
      <w:r>
        <w:t>人，技术工程师不少于</w:t>
      </w:r>
      <w:r>
        <w:rPr>
          <w:rFonts w:hint="eastAsia"/>
        </w:rPr>
        <w:t>2</w:t>
      </w:r>
      <w:r>
        <w:t>人）；投标人的相关服务人员需具备相应的服务能力，需提供相关证明（最近一个季度依法缴纳社保费的证明）。</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6"/>
        <w:gridCol w:w="2706"/>
        <w:gridCol w:w="1177"/>
        <w:gridCol w:w="2052"/>
        <w:gridCol w:w="1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pPr>
              <w:widowControl/>
              <w:spacing w:line="240" w:lineRule="auto"/>
              <w:ind w:firstLine="0" w:firstLineChars="0"/>
              <w:jc w:val="center"/>
              <w:rPr>
                <w:b/>
              </w:rPr>
            </w:pPr>
            <w:r>
              <w:rPr>
                <w:rFonts w:hint="eastAsia"/>
                <w:b/>
              </w:rPr>
              <w:t>角色</w:t>
            </w:r>
          </w:p>
        </w:tc>
        <w:tc>
          <w:tcPr>
            <w:tcW w:w="0" w:type="auto"/>
            <w:shd w:val="clear" w:color="auto" w:fill="auto"/>
            <w:noWrap/>
            <w:vAlign w:val="center"/>
          </w:tcPr>
          <w:p>
            <w:pPr>
              <w:widowControl/>
              <w:spacing w:line="240" w:lineRule="auto"/>
              <w:ind w:firstLine="0" w:firstLineChars="0"/>
              <w:jc w:val="center"/>
              <w:rPr>
                <w:b/>
              </w:rPr>
            </w:pPr>
            <w:r>
              <w:rPr>
                <w:rFonts w:hint="eastAsia"/>
                <w:b/>
              </w:rPr>
              <w:t>主要职责</w:t>
            </w:r>
          </w:p>
        </w:tc>
        <w:tc>
          <w:tcPr>
            <w:tcW w:w="0" w:type="auto"/>
            <w:shd w:val="clear" w:color="auto" w:fill="auto"/>
            <w:noWrap/>
            <w:vAlign w:val="center"/>
          </w:tcPr>
          <w:p>
            <w:pPr>
              <w:widowControl/>
              <w:spacing w:line="240" w:lineRule="auto"/>
              <w:ind w:firstLine="0" w:firstLineChars="0"/>
              <w:jc w:val="center"/>
              <w:rPr>
                <w:b/>
              </w:rPr>
            </w:pPr>
            <w:r>
              <w:rPr>
                <w:rFonts w:hint="eastAsia"/>
                <w:b/>
              </w:rPr>
              <w:t>人员数量</w:t>
            </w:r>
          </w:p>
        </w:tc>
        <w:tc>
          <w:tcPr>
            <w:tcW w:w="0" w:type="auto"/>
            <w:vAlign w:val="center"/>
          </w:tcPr>
          <w:p>
            <w:pPr>
              <w:widowControl/>
              <w:spacing w:line="240" w:lineRule="auto"/>
              <w:ind w:firstLine="0" w:firstLineChars="0"/>
              <w:jc w:val="center"/>
              <w:rPr>
                <w:b/>
              </w:rPr>
            </w:pPr>
            <w:r>
              <w:rPr>
                <w:rFonts w:hint="eastAsia"/>
                <w:b/>
              </w:rPr>
              <w:t>人员要求</w:t>
            </w:r>
          </w:p>
        </w:tc>
        <w:tc>
          <w:tcPr>
            <w:tcW w:w="0" w:type="auto"/>
            <w:shd w:val="clear" w:color="auto" w:fill="auto"/>
            <w:noWrap/>
            <w:vAlign w:val="center"/>
          </w:tcPr>
          <w:p>
            <w:pPr>
              <w:widowControl/>
              <w:spacing w:line="240" w:lineRule="auto"/>
              <w:ind w:firstLine="0" w:firstLineChars="0"/>
              <w:jc w:val="center"/>
              <w:rPr>
                <w:b/>
              </w:rPr>
            </w:pPr>
            <w:r>
              <w:rPr>
                <w:rFonts w:hint="eastAsia"/>
                <w:b/>
              </w:rPr>
              <w:t>驻场要求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pPr>
              <w:widowControl/>
              <w:spacing w:line="240" w:lineRule="auto"/>
              <w:ind w:firstLine="0" w:firstLineChars="0"/>
              <w:jc w:val="center"/>
            </w:pPr>
            <w:r>
              <w:rPr>
                <w:rFonts w:hint="eastAsia"/>
              </w:rPr>
              <w:t>项目经理</w:t>
            </w:r>
          </w:p>
        </w:tc>
        <w:tc>
          <w:tcPr>
            <w:tcW w:w="0" w:type="auto"/>
            <w:shd w:val="clear" w:color="auto" w:fill="auto"/>
            <w:vAlign w:val="center"/>
          </w:tcPr>
          <w:p>
            <w:pPr>
              <w:widowControl/>
              <w:spacing w:line="240" w:lineRule="auto"/>
              <w:ind w:firstLine="0" w:firstLineChars="0"/>
              <w:jc w:val="center"/>
            </w:pPr>
            <w:r>
              <w:rPr>
                <w:rFonts w:hint="eastAsia"/>
              </w:rPr>
              <w:t>负责项目质量和进度控制</w:t>
            </w:r>
          </w:p>
        </w:tc>
        <w:tc>
          <w:tcPr>
            <w:tcW w:w="0" w:type="auto"/>
            <w:shd w:val="clear" w:color="auto" w:fill="auto"/>
            <w:noWrap/>
            <w:vAlign w:val="center"/>
          </w:tcPr>
          <w:p>
            <w:pPr>
              <w:widowControl/>
              <w:spacing w:line="240" w:lineRule="auto"/>
              <w:ind w:firstLine="0" w:firstLineChars="0"/>
              <w:jc w:val="center"/>
            </w:pPr>
            <w:r>
              <w:rPr>
                <w:rFonts w:hint="eastAsia"/>
              </w:rPr>
              <w:t>1人</w:t>
            </w:r>
          </w:p>
        </w:tc>
        <w:tc>
          <w:tcPr>
            <w:tcW w:w="0" w:type="auto"/>
            <w:vAlign w:val="center"/>
          </w:tcPr>
          <w:p>
            <w:pPr>
              <w:widowControl/>
              <w:spacing w:line="240" w:lineRule="auto"/>
              <w:ind w:firstLine="0" w:firstLineChars="0"/>
              <w:jc w:val="center"/>
            </w:pPr>
            <w:r>
              <w:rPr>
                <w:rFonts w:hint="eastAsia"/>
              </w:rPr>
              <w:t>具备</w:t>
            </w:r>
            <w:r>
              <w:t>信息系统项目管理师</w:t>
            </w:r>
            <w:r>
              <w:rPr>
                <w:rFonts w:hint="eastAsia"/>
              </w:rPr>
              <w:t>资质证书</w:t>
            </w:r>
          </w:p>
        </w:tc>
        <w:tc>
          <w:tcPr>
            <w:tcW w:w="0" w:type="auto"/>
            <w:shd w:val="clear" w:color="auto" w:fill="auto"/>
            <w:noWrap/>
            <w:vAlign w:val="center"/>
          </w:tcPr>
          <w:p>
            <w:pPr>
              <w:widowControl/>
              <w:spacing w:line="240" w:lineRule="auto"/>
              <w:ind w:firstLine="0" w:firstLineChars="0"/>
              <w:jc w:val="center"/>
            </w:pPr>
            <w:r>
              <w:rPr>
                <w:rFonts w:hint="eastAsia"/>
              </w:rPr>
              <w:t>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pPr>
              <w:widowControl/>
              <w:spacing w:line="240" w:lineRule="auto"/>
              <w:ind w:firstLine="0" w:firstLineChars="0"/>
              <w:jc w:val="center"/>
            </w:pPr>
            <w:r>
              <w:rPr>
                <w:rFonts w:hint="eastAsia"/>
              </w:rPr>
              <w:t>产品经理</w:t>
            </w:r>
          </w:p>
        </w:tc>
        <w:tc>
          <w:tcPr>
            <w:tcW w:w="0" w:type="auto"/>
            <w:shd w:val="clear" w:color="auto" w:fill="auto"/>
            <w:vAlign w:val="center"/>
          </w:tcPr>
          <w:p>
            <w:pPr>
              <w:widowControl/>
              <w:spacing w:line="240" w:lineRule="auto"/>
              <w:ind w:firstLine="0" w:firstLineChars="0"/>
              <w:jc w:val="center"/>
            </w:pPr>
            <w:r>
              <w:rPr>
                <w:rFonts w:hint="eastAsia"/>
              </w:rPr>
              <w:t>负责项目需求评估与产品设计</w:t>
            </w:r>
          </w:p>
        </w:tc>
        <w:tc>
          <w:tcPr>
            <w:tcW w:w="0" w:type="auto"/>
            <w:shd w:val="clear" w:color="auto" w:fill="auto"/>
            <w:noWrap/>
            <w:vAlign w:val="center"/>
          </w:tcPr>
          <w:p>
            <w:pPr>
              <w:widowControl/>
              <w:spacing w:line="240" w:lineRule="auto"/>
              <w:ind w:firstLine="0" w:firstLineChars="0"/>
              <w:jc w:val="center"/>
            </w:pPr>
            <w:r>
              <w:rPr>
                <w:rFonts w:hint="eastAsia"/>
              </w:rPr>
              <w:t>1人</w:t>
            </w:r>
          </w:p>
        </w:tc>
        <w:tc>
          <w:tcPr>
            <w:tcW w:w="0" w:type="auto"/>
            <w:vAlign w:val="center"/>
          </w:tcPr>
          <w:p>
            <w:pPr>
              <w:widowControl/>
              <w:spacing w:line="240" w:lineRule="auto"/>
              <w:ind w:firstLine="0" w:firstLineChars="0"/>
              <w:jc w:val="center"/>
            </w:pPr>
            <w:r>
              <w:rPr>
                <w:rFonts w:hint="eastAsia"/>
              </w:rPr>
              <w:t>具备</w:t>
            </w:r>
            <w:r>
              <w:t>信息系统项目管理师</w:t>
            </w:r>
            <w:r>
              <w:rPr>
                <w:rFonts w:hint="eastAsia"/>
              </w:rPr>
              <w:t>资质证书</w:t>
            </w:r>
          </w:p>
        </w:tc>
        <w:tc>
          <w:tcPr>
            <w:tcW w:w="0" w:type="auto"/>
            <w:shd w:val="clear" w:color="auto" w:fill="auto"/>
            <w:noWrap/>
            <w:vAlign w:val="center"/>
          </w:tcPr>
          <w:p>
            <w:pPr>
              <w:widowControl/>
              <w:spacing w:line="240" w:lineRule="auto"/>
              <w:ind w:firstLine="0" w:firstLineChars="0"/>
              <w:jc w:val="center"/>
            </w:pPr>
            <w:r>
              <w:rPr>
                <w:rFonts w:hint="eastAsia"/>
              </w:rPr>
              <w:t>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pPr>
              <w:widowControl/>
              <w:spacing w:line="240" w:lineRule="auto"/>
              <w:ind w:firstLine="0" w:firstLineChars="0"/>
              <w:jc w:val="center"/>
            </w:pPr>
            <w:r>
              <w:rPr>
                <w:rFonts w:hint="eastAsia"/>
              </w:rPr>
              <w:t>技术工程师</w:t>
            </w:r>
          </w:p>
        </w:tc>
        <w:tc>
          <w:tcPr>
            <w:tcW w:w="0" w:type="auto"/>
            <w:shd w:val="clear" w:color="auto" w:fill="auto"/>
            <w:noWrap/>
            <w:vAlign w:val="center"/>
          </w:tcPr>
          <w:p>
            <w:pPr>
              <w:widowControl/>
              <w:spacing w:line="240" w:lineRule="auto"/>
              <w:ind w:firstLine="0" w:firstLineChars="0"/>
              <w:jc w:val="center"/>
            </w:pPr>
            <w:r>
              <w:rPr>
                <w:rFonts w:hint="eastAsia"/>
              </w:rPr>
              <w:t>负责项目运行维护</w:t>
            </w:r>
          </w:p>
        </w:tc>
        <w:tc>
          <w:tcPr>
            <w:tcW w:w="0" w:type="auto"/>
            <w:shd w:val="clear" w:color="auto" w:fill="auto"/>
            <w:noWrap/>
            <w:vAlign w:val="center"/>
          </w:tcPr>
          <w:p>
            <w:pPr>
              <w:widowControl/>
              <w:spacing w:line="240" w:lineRule="auto"/>
              <w:ind w:firstLine="0" w:firstLineChars="0"/>
              <w:jc w:val="center"/>
            </w:pPr>
            <w:r>
              <w:t>2</w:t>
            </w:r>
            <w:r>
              <w:rPr>
                <w:rFonts w:hint="eastAsia"/>
              </w:rPr>
              <w:t>人</w:t>
            </w:r>
          </w:p>
        </w:tc>
        <w:tc>
          <w:tcPr>
            <w:tcW w:w="0" w:type="auto"/>
            <w:vAlign w:val="center"/>
          </w:tcPr>
          <w:p>
            <w:pPr>
              <w:widowControl/>
              <w:spacing w:line="240" w:lineRule="auto"/>
              <w:ind w:firstLine="0" w:firstLineChars="0"/>
              <w:jc w:val="center"/>
            </w:pPr>
            <w:r>
              <w:rPr>
                <w:rFonts w:cs="仿宋"/>
              </w:rPr>
              <w:t>具备类似项目维护经验</w:t>
            </w:r>
          </w:p>
        </w:tc>
        <w:tc>
          <w:tcPr>
            <w:tcW w:w="0" w:type="auto"/>
            <w:shd w:val="clear" w:color="auto" w:fill="auto"/>
            <w:noWrap/>
            <w:vAlign w:val="center"/>
          </w:tcPr>
          <w:p>
            <w:pPr>
              <w:widowControl/>
              <w:spacing w:line="240" w:lineRule="auto"/>
              <w:ind w:firstLine="0" w:firstLineChars="0"/>
              <w:jc w:val="center"/>
            </w:pPr>
            <w:r>
              <w:rPr>
                <w:rFonts w:hint="eastAsia"/>
              </w:rPr>
              <w:t>驻场</w:t>
            </w:r>
          </w:p>
        </w:tc>
      </w:tr>
    </w:tbl>
    <w:p>
      <w:pPr>
        <w:pStyle w:val="3"/>
      </w:pPr>
      <w:bookmarkStart w:id="33" w:name="_Toc63785511"/>
      <w:r>
        <w:t>等级保护要求</w:t>
      </w:r>
      <w:bookmarkEnd w:id="33"/>
    </w:p>
    <w:p>
      <w:pPr>
        <w:pStyle w:val="143"/>
      </w:pPr>
      <w:r>
        <w:rPr>
          <w:rFonts w:hint="eastAsia"/>
        </w:rPr>
        <w:t>本项目应满足三级等保的安全规范要求。供应商应配合第三方测评机构完成等保测评工作。</w:t>
      </w:r>
    </w:p>
    <w:p>
      <w:pPr>
        <w:pStyle w:val="3"/>
      </w:pPr>
      <w:r>
        <w:rPr>
          <w:rFonts w:hint="eastAsia"/>
        </w:rPr>
        <w:t>商业密码应用需求</w:t>
      </w:r>
    </w:p>
    <w:p>
      <w:pPr>
        <w:pStyle w:val="143"/>
      </w:pPr>
      <w:bookmarkStart w:id="34" w:name="_Toc63785512"/>
      <w:r>
        <w:rPr>
          <w:rFonts w:hint="eastAsia"/>
        </w:rPr>
        <w:t>本项目应满足GB/T 39786-2021《信息安全技术 信息系统密码应用基本要求》第三级信息系统要求。供应商应免费协助建设单位向上海市大数据中心申请商业密码应用的相关资源。供应商应配合第三方测评机构完成商用密码测评工作。</w:t>
      </w:r>
    </w:p>
    <w:tbl>
      <w:tblPr>
        <w:tblStyle w:val="3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09"/>
        <w:gridCol w:w="2837"/>
        <w:gridCol w:w="3236"/>
        <w:gridCol w:w="154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tblHeader/>
          <w:jc w:val="center"/>
        </w:trPr>
        <w:tc>
          <w:tcPr>
            <w:tcW w:w="510" w:type="pct"/>
            <w:shd w:val="clear" w:color="auto" w:fill="7F7F7F" w:themeFill="background1" w:themeFillShade="80"/>
            <w:vAlign w:val="center"/>
          </w:tcPr>
          <w:p>
            <w:pPr>
              <w:pStyle w:val="136"/>
              <w:ind w:firstLine="482"/>
              <w:jc w:val="center"/>
              <w:rPr>
                <w:rFonts w:ascii="宋体" w:hAnsi="宋体" w:eastAsia="宋体" w:cs="Times New Roman"/>
                <w:b/>
                <w:szCs w:val="21"/>
              </w:rPr>
            </w:pPr>
            <w:r>
              <w:rPr>
                <w:rFonts w:hint="eastAsia" w:ascii="宋体" w:hAnsi="宋体" w:eastAsia="宋体" w:cs="Times New Roman"/>
                <w:b/>
                <w:szCs w:val="21"/>
              </w:rPr>
              <w:t>安全层面</w:t>
            </w:r>
          </w:p>
        </w:tc>
        <w:tc>
          <w:tcPr>
            <w:tcW w:w="1671" w:type="pct"/>
            <w:shd w:val="clear" w:color="auto" w:fill="7F7F7F" w:themeFill="background1" w:themeFillShade="80"/>
            <w:vAlign w:val="center"/>
          </w:tcPr>
          <w:p>
            <w:pPr>
              <w:pStyle w:val="136"/>
              <w:ind w:firstLine="482"/>
              <w:jc w:val="center"/>
              <w:rPr>
                <w:rFonts w:ascii="宋体" w:hAnsi="宋体" w:eastAsia="宋体" w:cs="Times New Roman"/>
                <w:b/>
                <w:szCs w:val="21"/>
              </w:rPr>
            </w:pPr>
            <w:r>
              <w:rPr>
                <w:rFonts w:hint="eastAsia" w:ascii="宋体" w:hAnsi="宋体" w:eastAsia="宋体" w:cs="Times New Roman"/>
                <w:b/>
                <w:szCs w:val="21"/>
              </w:rPr>
              <w:t>指标要求</w:t>
            </w:r>
          </w:p>
        </w:tc>
        <w:tc>
          <w:tcPr>
            <w:tcW w:w="1905" w:type="pct"/>
            <w:shd w:val="clear" w:color="auto" w:fill="7F7F7F" w:themeFill="background1" w:themeFillShade="80"/>
            <w:vAlign w:val="center"/>
          </w:tcPr>
          <w:p>
            <w:pPr>
              <w:pStyle w:val="136"/>
              <w:ind w:firstLine="482"/>
              <w:jc w:val="center"/>
              <w:rPr>
                <w:rFonts w:ascii="宋体" w:hAnsi="宋体" w:eastAsia="宋体" w:cs="Times New Roman"/>
                <w:b/>
                <w:szCs w:val="21"/>
              </w:rPr>
            </w:pPr>
            <w:r>
              <w:rPr>
                <w:rFonts w:hint="eastAsia" w:ascii="宋体" w:hAnsi="宋体" w:eastAsia="宋体" w:cs="Times New Roman"/>
                <w:b/>
                <w:szCs w:val="21"/>
              </w:rPr>
              <w:t>系统密码应用需求</w:t>
            </w:r>
          </w:p>
        </w:tc>
        <w:tc>
          <w:tcPr>
            <w:tcW w:w="914" w:type="pct"/>
            <w:shd w:val="clear" w:color="auto" w:fill="7F7F7F" w:themeFill="background1" w:themeFillShade="80"/>
            <w:vAlign w:val="center"/>
          </w:tcPr>
          <w:p>
            <w:pPr>
              <w:pStyle w:val="136"/>
              <w:ind w:firstLine="482"/>
              <w:jc w:val="center"/>
              <w:rPr>
                <w:rFonts w:ascii="宋体" w:hAnsi="宋体" w:eastAsia="宋体" w:cs="Times New Roman"/>
                <w:b/>
                <w:szCs w:val="21"/>
              </w:rPr>
            </w:pPr>
            <w:r>
              <w:rPr>
                <w:rFonts w:hint="eastAsia" w:ascii="宋体" w:hAnsi="宋体" w:eastAsia="宋体" w:cs="Times New Roman"/>
                <w:b/>
                <w:szCs w:val="21"/>
              </w:rPr>
              <w:t>不适用说明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510" w:type="pct"/>
            <w:vMerge w:val="restart"/>
            <w:vAlign w:val="center"/>
          </w:tcPr>
          <w:p>
            <w:pPr>
              <w:pStyle w:val="136"/>
              <w:rPr>
                <w:rFonts w:ascii="宋体" w:hAnsi="宋体" w:eastAsia="宋体" w:cs="Times New Roman"/>
                <w:bCs/>
                <w:szCs w:val="21"/>
              </w:rPr>
            </w:pPr>
            <w:r>
              <w:rPr>
                <w:rFonts w:hint="eastAsia" w:ascii="宋体" w:hAnsi="宋体" w:eastAsia="宋体" w:cs="Times New Roman"/>
                <w:bCs/>
                <w:szCs w:val="21"/>
              </w:rPr>
              <w:t>物理和环境安全</w:t>
            </w:r>
          </w:p>
        </w:tc>
        <w:tc>
          <w:tcPr>
            <w:tcW w:w="1671" w:type="pct"/>
            <w:vAlign w:val="center"/>
          </w:tcPr>
          <w:p>
            <w:pPr>
              <w:pStyle w:val="136"/>
              <w:rPr>
                <w:rFonts w:ascii="宋体" w:hAnsi="宋体" w:eastAsia="宋体" w:cs="Times New Roman"/>
                <w:bCs/>
                <w:szCs w:val="21"/>
              </w:rPr>
            </w:pPr>
            <w:r>
              <w:rPr>
                <w:rFonts w:hint="eastAsia" w:ascii="宋体" w:hAnsi="宋体" w:eastAsia="宋体" w:cs="Times New Roman"/>
                <w:bCs/>
                <w:szCs w:val="21"/>
              </w:rPr>
              <w:t>身份鉴别</w:t>
            </w:r>
          </w:p>
        </w:tc>
        <w:tc>
          <w:tcPr>
            <w:tcW w:w="1905" w:type="pct"/>
            <w:vAlign w:val="center"/>
          </w:tcPr>
          <w:p>
            <w:pPr>
              <w:pStyle w:val="136"/>
              <w:rPr>
                <w:rFonts w:ascii="宋体" w:hAnsi="宋体" w:eastAsia="宋体" w:cs="Times New Roman"/>
                <w:bCs/>
                <w:szCs w:val="21"/>
              </w:rPr>
            </w:pPr>
            <w:r>
              <w:rPr>
                <w:rFonts w:hint="eastAsia" w:ascii="宋体" w:hAnsi="宋体" w:eastAsia="宋体" w:cs="Times New Roman"/>
                <w:bCs/>
                <w:szCs w:val="21"/>
              </w:rPr>
              <w:t>确认进入机房人员身份的真实性，防止假冒人员进入。</w:t>
            </w:r>
          </w:p>
        </w:tc>
        <w:tc>
          <w:tcPr>
            <w:tcW w:w="914" w:type="pct"/>
            <w:vAlign w:val="center"/>
          </w:tcPr>
          <w:p>
            <w:pPr>
              <w:pStyle w:val="136"/>
              <w:rPr>
                <w:rFonts w:ascii="宋体" w:hAnsi="宋体" w:eastAsia="宋体" w:cs="Times New Roman"/>
                <w:bCs/>
                <w:szCs w:val="21"/>
              </w:rPr>
            </w:pPr>
            <w:r>
              <w:rPr>
                <w:rFonts w:hint="eastAsia" w:ascii="宋体" w:hAnsi="宋体" w:eastAsia="宋体" w:cs="Times New Roman"/>
                <w:bCs/>
                <w:szCs w:val="21"/>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jc w:val="center"/>
        </w:trPr>
        <w:tc>
          <w:tcPr>
            <w:tcW w:w="510" w:type="pct"/>
            <w:vMerge w:val="continue"/>
            <w:vAlign w:val="center"/>
          </w:tcPr>
          <w:p>
            <w:pPr>
              <w:pStyle w:val="136"/>
              <w:rPr>
                <w:rFonts w:ascii="宋体" w:hAnsi="宋体" w:eastAsia="宋体" w:cs="Times New Roman"/>
                <w:bCs/>
                <w:szCs w:val="21"/>
              </w:rPr>
            </w:pPr>
          </w:p>
        </w:tc>
        <w:tc>
          <w:tcPr>
            <w:tcW w:w="1671" w:type="pct"/>
            <w:vAlign w:val="center"/>
          </w:tcPr>
          <w:p>
            <w:pPr>
              <w:pStyle w:val="136"/>
              <w:rPr>
                <w:rFonts w:ascii="宋体" w:hAnsi="宋体" w:eastAsia="宋体" w:cs="Times New Roman"/>
                <w:bCs/>
                <w:szCs w:val="21"/>
              </w:rPr>
            </w:pPr>
            <w:r>
              <w:rPr>
                <w:rFonts w:hint="eastAsia" w:ascii="宋体" w:hAnsi="宋体" w:eastAsia="宋体" w:cs="Times New Roman"/>
                <w:bCs/>
                <w:szCs w:val="21"/>
              </w:rPr>
              <w:t>电子门禁记录数据完整性</w:t>
            </w:r>
          </w:p>
        </w:tc>
        <w:tc>
          <w:tcPr>
            <w:tcW w:w="1905" w:type="pct"/>
            <w:vMerge w:val="restart"/>
            <w:vAlign w:val="center"/>
          </w:tcPr>
          <w:p>
            <w:pPr>
              <w:pStyle w:val="136"/>
              <w:rPr>
                <w:rFonts w:ascii="宋体" w:hAnsi="宋体" w:eastAsia="宋体" w:cs="Times New Roman"/>
                <w:bCs/>
                <w:szCs w:val="21"/>
              </w:rPr>
            </w:pPr>
            <w:r>
              <w:rPr>
                <w:rFonts w:hint="eastAsia" w:ascii="宋体" w:hAnsi="宋体" w:eastAsia="宋体" w:cs="Times New Roman"/>
                <w:bCs/>
                <w:szCs w:val="21"/>
              </w:rPr>
              <w:t>保护电子门禁系统进出记录和视频监控音像记录的完整性，防止被非授权篡改。</w:t>
            </w:r>
          </w:p>
        </w:tc>
        <w:tc>
          <w:tcPr>
            <w:tcW w:w="914" w:type="pct"/>
            <w:vMerge w:val="restart"/>
            <w:vAlign w:val="center"/>
          </w:tcPr>
          <w:p>
            <w:pPr>
              <w:pStyle w:val="136"/>
              <w:rPr>
                <w:rFonts w:ascii="宋体" w:hAnsi="宋体" w:eastAsia="宋体" w:cs="Times New Roman"/>
                <w:bCs/>
                <w:szCs w:val="21"/>
              </w:rPr>
            </w:pPr>
            <w:r>
              <w:rPr>
                <w:rFonts w:hint="eastAsia" w:ascii="宋体" w:hAnsi="宋体" w:eastAsia="宋体" w:cs="Times New Roman"/>
                <w:bCs/>
                <w:szCs w:val="21"/>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jc w:val="center"/>
        </w:trPr>
        <w:tc>
          <w:tcPr>
            <w:tcW w:w="510" w:type="pct"/>
            <w:vMerge w:val="continue"/>
            <w:vAlign w:val="center"/>
          </w:tcPr>
          <w:p>
            <w:pPr>
              <w:pStyle w:val="136"/>
              <w:rPr>
                <w:rFonts w:ascii="宋体" w:hAnsi="宋体" w:eastAsia="宋体" w:cs="Times New Roman"/>
                <w:bCs/>
                <w:szCs w:val="21"/>
              </w:rPr>
            </w:pPr>
          </w:p>
        </w:tc>
        <w:tc>
          <w:tcPr>
            <w:tcW w:w="1671" w:type="pct"/>
            <w:vAlign w:val="center"/>
          </w:tcPr>
          <w:p>
            <w:pPr>
              <w:pStyle w:val="136"/>
              <w:rPr>
                <w:rFonts w:ascii="宋体" w:hAnsi="宋体" w:eastAsia="宋体" w:cs="Times New Roman"/>
                <w:bCs/>
                <w:szCs w:val="21"/>
              </w:rPr>
            </w:pPr>
            <w:r>
              <w:rPr>
                <w:rFonts w:hint="eastAsia" w:ascii="宋体" w:hAnsi="宋体" w:eastAsia="宋体" w:cs="Times New Roman"/>
                <w:bCs/>
                <w:szCs w:val="21"/>
              </w:rPr>
              <w:t>视频监控记录数据完整性</w:t>
            </w:r>
          </w:p>
        </w:tc>
        <w:tc>
          <w:tcPr>
            <w:tcW w:w="1905" w:type="pct"/>
            <w:vMerge w:val="continue"/>
            <w:vAlign w:val="center"/>
          </w:tcPr>
          <w:p>
            <w:pPr>
              <w:pStyle w:val="136"/>
              <w:rPr>
                <w:rFonts w:ascii="宋体" w:hAnsi="宋体" w:eastAsia="宋体" w:cs="Times New Roman"/>
                <w:bCs/>
                <w:szCs w:val="21"/>
              </w:rPr>
            </w:pPr>
          </w:p>
        </w:tc>
        <w:tc>
          <w:tcPr>
            <w:tcW w:w="914" w:type="pct"/>
            <w:vMerge w:val="continue"/>
            <w:vAlign w:val="center"/>
          </w:tcPr>
          <w:p>
            <w:pPr>
              <w:pStyle w:val="136"/>
              <w:rPr>
                <w:rFonts w:ascii="宋体" w:hAnsi="宋体" w:eastAsia="宋体" w:cs="Times New Roman"/>
                <w:bCs/>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510" w:type="pct"/>
            <w:vMerge w:val="continue"/>
            <w:vAlign w:val="center"/>
          </w:tcPr>
          <w:p>
            <w:pPr>
              <w:pStyle w:val="136"/>
              <w:rPr>
                <w:rFonts w:ascii="宋体" w:hAnsi="宋体" w:eastAsia="宋体" w:cs="Times New Roman"/>
                <w:bCs/>
                <w:szCs w:val="21"/>
              </w:rPr>
            </w:pPr>
          </w:p>
        </w:tc>
        <w:tc>
          <w:tcPr>
            <w:tcW w:w="1671" w:type="pct"/>
            <w:vAlign w:val="center"/>
          </w:tcPr>
          <w:p>
            <w:pPr>
              <w:pStyle w:val="136"/>
              <w:rPr>
                <w:rFonts w:ascii="宋体" w:hAnsi="宋体" w:eastAsia="宋体" w:cs="Times New Roman"/>
                <w:bCs/>
                <w:szCs w:val="21"/>
              </w:rPr>
            </w:pPr>
            <w:r>
              <w:rPr>
                <w:rFonts w:hint="eastAsia" w:ascii="宋体" w:hAnsi="宋体" w:eastAsia="宋体" w:cs="Times New Roman"/>
                <w:bCs/>
                <w:szCs w:val="21"/>
              </w:rPr>
              <w:t>密码产品</w:t>
            </w:r>
          </w:p>
        </w:tc>
        <w:tc>
          <w:tcPr>
            <w:tcW w:w="1905" w:type="pct"/>
            <w:vAlign w:val="center"/>
          </w:tcPr>
          <w:p>
            <w:pPr>
              <w:pStyle w:val="136"/>
              <w:rPr>
                <w:rFonts w:ascii="宋体" w:hAnsi="宋体" w:eastAsia="宋体" w:cs="Times New Roman"/>
                <w:bCs/>
                <w:szCs w:val="21"/>
              </w:rPr>
            </w:pPr>
            <w:r>
              <w:rPr>
                <w:rFonts w:hint="eastAsia" w:ascii="宋体" w:hAnsi="宋体" w:eastAsia="宋体" w:cs="Times New Roman"/>
                <w:bCs/>
                <w:szCs w:val="21"/>
              </w:rPr>
              <w:t>采用的密码产品应达到</w:t>
            </w:r>
            <w:r>
              <w:rPr>
                <w:rFonts w:ascii="宋体" w:hAnsi="宋体" w:eastAsia="宋体" w:cs="Times New Roman"/>
                <w:bCs/>
                <w:szCs w:val="21"/>
              </w:rPr>
              <w:t>GB/T 37092</w:t>
            </w:r>
            <w:r>
              <w:rPr>
                <w:rFonts w:hint="eastAsia" w:ascii="宋体" w:hAnsi="宋体" w:eastAsia="宋体" w:cs="Times New Roman"/>
                <w:bCs/>
                <w:szCs w:val="21"/>
              </w:rPr>
              <w:t>-2018二级及以上安全要求。</w:t>
            </w:r>
          </w:p>
        </w:tc>
        <w:tc>
          <w:tcPr>
            <w:tcW w:w="914" w:type="pct"/>
            <w:vAlign w:val="center"/>
          </w:tcPr>
          <w:p>
            <w:pPr>
              <w:pStyle w:val="136"/>
              <w:rPr>
                <w:rFonts w:ascii="宋体" w:hAnsi="宋体" w:eastAsia="宋体" w:cs="Times New Roman"/>
                <w:bCs/>
                <w:szCs w:val="21"/>
              </w:rPr>
            </w:pPr>
            <w:r>
              <w:rPr>
                <w:rFonts w:hint="eastAsia" w:ascii="宋体" w:hAnsi="宋体" w:eastAsia="宋体" w:cs="Times New Roman"/>
                <w:bCs/>
                <w:szCs w:val="21"/>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510" w:type="pct"/>
            <w:vMerge w:val="restart"/>
            <w:vAlign w:val="center"/>
          </w:tcPr>
          <w:p>
            <w:pPr>
              <w:pStyle w:val="136"/>
              <w:rPr>
                <w:rFonts w:ascii="宋体" w:hAnsi="宋体" w:eastAsia="宋体" w:cs="Times New Roman"/>
                <w:bCs/>
                <w:szCs w:val="21"/>
              </w:rPr>
            </w:pPr>
            <w:r>
              <w:rPr>
                <w:rFonts w:hint="eastAsia" w:ascii="宋体" w:hAnsi="宋体" w:eastAsia="宋体" w:cs="Times New Roman"/>
                <w:bCs/>
                <w:szCs w:val="21"/>
              </w:rPr>
              <w:t>网络和通信安全</w:t>
            </w:r>
          </w:p>
        </w:tc>
        <w:tc>
          <w:tcPr>
            <w:tcW w:w="1671" w:type="pct"/>
            <w:vAlign w:val="center"/>
          </w:tcPr>
          <w:p>
            <w:pPr>
              <w:pStyle w:val="136"/>
              <w:rPr>
                <w:rFonts w:ascii="宋体" w:hAnsi="宋体" w:eastAsia="宋体" w:cs="Times New Roman"/>
                <w:bCs/>
                <w:szCs w:val="21"/>
              </w:rPr>
            </w:pPr>
            <w:r>
              <w:rPr>
                <w:rFonts w:hint="eastAsia" w:ascii="宋体" w:hAnsi="宋体" w:eastAsia="宋体" w:cs="Times New Roman"/>
                <w:bCs/>
                <w:szCs w:val="21"/>
              </w:rPr>
              <w:t>身份鉴别</w:t>
            </w:r>
          </w:p>
        </w:tc>
        <w:tc>
          <w:tcPr>
            <w:tcW w:w="1905" w:type="pct"/>
            <w:vAlign w:val="center"/>
          </w:tcPr>
          <w:p>
            <w:pPr>
              <w:pStyle w:val="136"/>
              <w:rPr>
                <w:rFonts w:ascii="宋体" w:hAnsi="宋体" w:eastAsia="宋体" w:cs="Times New Roman"/>
                <w:bCs/>
                <w:szCs w:val="21"/>
              </w:rPr>
            </w:pPr>
            <w:r>
              <w:rPr>
                <w:rFonts w:hint="eastAsia" w:ascii="宋体" w:hAnsi="宋体" w:eastAsia="宋体" w:cs="Times New Roman"/>
                <w:bCs/>
                <w:szCs w:val="21"/>
              </w:rPr>
              <w:t>确保互联网和政务外网用户访问网络接入区、运维人员访问统一管理区、业务服务区和数据灾备区交互时通信实体身份的真实性，防止与假冒实体进行通信。</w:t>
            </w:r>
          </w:p>
        </w:tc>
        <w:tc>
          <w:tcPr>
            <w:tcW w:w="914" w:type="pct"/>
            <w:vAlign w:val="center"/>
          </w:tcPr>
          <w:p>
            <w:pPr>
              <w:pStyle w:val="136"/>
              <w:rPr>
                <w:rFonts w:ascii="宋体" w:hAnsi="宋体" w:eastAsia="宋体" w:cs="Times New Roman"/>
                <w:bCs/>
                <w:szCs w:val="21"/>
              </w:rPr>
            </w:pPr>
            <w:r>
              <w:rPr>
                <w:rFonts w:hint="eastAsia" w:ascii="宋体" w:hAnsi="宋体" w:eastAsia="宋体" w:cs="Times New Roman"/>
                <w:bCs/>
                <w:szCs w:val="21"/>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80" w:hRule="exact"/>
          <w:jc w:val="center"/>
        </w:trPr>
        <w:tc>
          <w:tcPr>
            <w:tcW w:w="510" w:type="pct"/>
            <w:vMerge w:val="continue"/>
            <w:vAlign w:val="center"/>
          </w:tcPr>
          <w:p>
            <w:pPr>
              <w:pStyle w:val="136"/>
              <w:rPr>
                <w:rFonts w:ascii="宋体" w:hAnsi="宋体" w:eastAsia="宋体" w:cs="Times New Roman"/>
                <w:bCs/>
                <w:szCs w:val="21"/>
              </w:rPr>
            </w:pPr>
          </w:p>
        </w:tc>
        <w:tc>
          <w:tcPr>
            <w:tcW w:w="1671" w:type="pct"/>
            <w:vAlign w:val="center"/>
          </w:tcPr>
          <w:p>
            <w:pPr>
              <w:pStyle w:val="136"/>
              <w:rPr>
                <w:rFonts w:ascii="宋体" w:hAnsi="宋体" w:eastAsia="宋体" w:cs="Times New Roman"/>
                <w:bCs/>
                <w:szCs w:val="21"/>
              </w:rPr>
            </w:pPr>
            <w:r>
              <w:rPr>
                <w:rFonts w:hint="eastAsia" w:ascii="宋体" w:hAnsi="宋体" w:eastAsia="宋体" w:cs="Times New Roman"/>
                <w:bCs/>
                <w:szCs w:val="21"/>
              </w:rPr>
              <w:t>通信数据完整性</w:t>
            </w:r>
          </w:p>
        </w:tc>
        <w:tc>
          <w:tcPr>
            <w:tcW w:w="1905" w:type="pct"/>
            <w:vMerge w:val="restart"/>
            <w:vAlign w:val="center"/>
          </w:tcPr>
          <w:p>
            <w:pPr>
              <w:pStyle w:val="136"/>
              <w:rPr>
                <w:rFonts w:ascii="宋体" w:hAnsi="宋体" w:eastAsia="宋体" w:cs="Times New Roman"/>
                <w:bCs/>
                <w:szCs w:val="21"/>
              </w:rPr>
            </w:pPr>
            <w:r>
              <w:rPr>
                <w:rFonts w:hint="eastAsia" w:ascii="宋体" w:hAnsi="宋体" w:eastAsia="宋体" w:cs="Times New Roman"/>
                <w:bCs/>
                <w:szCs w:val="21"/>
              </w:rPr>
              <w:t>保护通信过程中业务数据、运维数据、灾备数据的完整性和机密性，防止数据被非授权篡改，防止重要数据泄露。</w:t>
            </w:r>
          </w:p>
        </w:tc>
        <w:tc>
          <w:tcPr>
            <w:tcW w:w="914" w:type="pct"/>
            <w:vAlign w:val="center"/>
          </w:tcPr>
          <w:p>
            <w:pPr>
              <w:pStyle w:val="136"/>
              <w:rPr>
                <w:rFonts w:ascii="宋体" w:hAnsi="宋体" w:eastAsia="宋体" w:cs="Times New Roman"/>
                <w:bCs/>
                <w:szCs w:val="21"/>
              </w:rPr>
            </w:pPr>
            <w:r>
              <w:rPr>
                <w:rFonts w:hint="eastAsia" w:ascii="宋体" w:hAnsi="宋体" w:eastAsia="宋体" w:cs="Times New Roman"/>
                <w:bCs/>
                <w:szCs w:val="21"/>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80" w:hRule="exact"/>
          <w:jc w:val="center"/>
        </w:trPr>
        <w:tc>
          <w:tcPr>
            <w:tcW w:w="510" w:type="pct"/>
            <w:vMerge w:val="continue"/>
            <w:vAlign w:val="center"/>
          </w:tcPr>
          <w:p>
            <w:pPr>
              <w:pStyle w:val="136"/>
              <w:rPr>
                <w:rFonts w:ascii="宋体" w:hAnsi="宋体" w:eastAsia="宋体" w:cs="Times New Roman"/>
                <w:bCs/>
                <w:szCs w:val="21"/>
              </w:rPr>
            </w:pPr>
          </w:p>
        </w:tc>
        <w:tc>
          <w:tcPr>
            <w:tcW w:w="1671" w:type="pct"/>
            <w:vAlign w:val="center"/>
          </w:tcPr>
          <w:p>
            <w:pPr>
              <w:pStyle w:val="136"/>
              <w:rPr>
                <w:rFonts w:ascii="宋体" w:hAnsi="宋体" w:eastAsia="宋体" w:cs="Times New Roman"/>
                <w:bCs/>
                <w:szCs w:val="21"/>
              </w:rPr>
            </w:pPr>
            <w:r>
              <w:rPr>
                <w:rFonts w:hint="eastAsia" w:ascii="宋体" w:hAnsi="宋体" w:eastAsia="宋体" w:cs="Times New Roman"/>
                <w:bCs/>
                <w:szCs w:val="21"/>
              </w:rPr>
              <w:t>通信过程中重要数据的机密性</w:t>
            </w:r>
          </w:p>
        </w:tc>
        <w:tc>
          <w:tcPr>
            <w:tcW w:w="1905" w:type="pct"/>
            <w:vMerge w:val="continue"/>
            <w:vAlign w:val="center"/>
          </w:tcPr>
          <w:p>
            <w:pPr>
              <w:pStyle w:val="136"/>
              <w:rPr>
                <w:rFonts w:ascii="宋体" w:hAnsi="宋体" w:eastAsia="宋体" w:cs="Times New Roman"/>
                <w:bCs/>
                <w:szCs w:val="21"/>
              </w:rPr>
            </w:pPr>
          </w:p>
        </w:tc>
        <w:tc>
          <w:tcPr>
            <w:tcW w:w="914" w:type="pct"/>
            <w:vAlign w:val="center"/>
          </w:tcPr>
          <w:p>
            <w:pPr>
              <w:pStyle w:val="136"/>
              <w:rPr>
                <w:rFonts w:ascii="宋体" w:hAnsi="宋体" w:eastAsia="宋体" w:cs="Times New Roman"/>
                <w:bCs/>
                <w:szCs w:val="21"/>
              </w:rPr>
            </w:pPr>
            <w:r>
              <w:rPr>
                <w:rFonts w:hint="eastAsia" w:ascii="宋体" w:hAnsi="宋体" w:eastAsia="宋体" w:cs="Times New Roman"/>
                <w:bCs/>
                <w:szCs w:val="21"/>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510" w:type="pct"/>
            <w:vMerge w:val="continue"/>
            <w:vAlign w:val="center"/>
          </w:tcPr>
          <w:p>
            <w:pPr>
              <w:pStyle w:val="136"/>
              <w:rPr>
                <w:rFonts w:ascii="宋体" w:hAnsi="宋体" w:eastAsia="宋体" w:cs="Times New Roman"/>
                <w:bCs/>
                <w:szCs w:val="21"/>
              </w:rPr>
            </w:pPr>
          </w:p>
        </w:tc>
        <w:tc>
          <w:tcPr>
            <w:tcW w:w="1671" w:type="pct"/>
            <w:vAlign w:val="center"/>
          </w:tcPr>
          <w:p>
            <w:pPr>
              <w:pStyle w:val="136"/>
              <w:rPr>
                <w:rFonts w:ascii="宋体" w:hAnsi="宋体" w:eastAsia="宋体" w:cs="Times New Roman"/>
                <w:bCs/>
                <w:szCs w:val="21"/>
              </w:rPr>
            </w:pPr>
            <w:r>
              <w:rPr>
                <w:rFonts w:hint="eastAsia" w:ascii="宋体" w:hAnsi="宋体" w:eastAsia="宋体" w:cs="Times New Roman"/>
                <w:bCs/>
                <w:szCs w:val="21"/>
              </w:rPr>
              <w:t>网络边界访问控制信息的完整性</w:t>
            </w:r>
            <w:r>
              <w:rPr>
                <w:rFonts w:ascii="宋体" w:hAnsi="宋体" w:eastAsia="宋体" w:cs="Times New Roman"/>
                <w:bCs/>
                <w:szCs w:val="21"/>
              </w:rPr>
              <w:t xml:space="preserve"> </w:t>
            </w:r>
          </w:p>
        </w:tc>
        <w:tc>
          <w:tcPr>
            <w:tcW w:w="1905" w:type="pct"/>
            <w:vAlign w:val="center"/>
          </w:tcPr>
          <w:p>
            <w:pPr>
              <w:pStyle w:val="136"/>
              <w:rPr>
                <w:rFonts w:ascii="宋体" w:hAnsi="宋体" w:eastAsia="宋体" w:cs="Times New Roman"/>
                <w:bCs/>
                <w:szCs w:val="21"/>
              </w:rPr>
            </w:pPr>
            <w:r>
              <w:rPr>
                <w:rFonts w:hint="eastAsia" w:ascii="宋体" w:hAnsi="宋体" w:eastAsia="宋体" w:cs="Times New Roman"/>
                <w:bCs/>
                <w:szCs w:val="21"/>
              </w:rPr>
              <w:t>保护互联网和政务外网用户访问网络接入区、管理员访问统一管理区、业务服务区和数据灾备区交互的网络边界设备中访问控制信息的完整性，防止被非授权篡改。</w:t>
            </w:r>
          </w:p>
        </w:tc>
        <w:tc>
          <w:tcPr>
            <w:tcW w:w="914" w:type="pct"/>
            <w:vAlign w:val="center"/>
          </w:tcPr>
          <w:p>
            <w:pPr>
              <w:pStyle w:val="136"/>
              <w:rPr>
                <w:rFonts w:ascii="宋体" w:hAnsi="宋体" w:eastAsia="宋体" w:cs="Times New Roman"/>
                <w:bCs/>
                <w:szCs w:val="21"/>
              </w:rPr>
            </w:pPr>
            <w:r>
              <w:rPr>
                <w:rFonts w:hint="eastAsia" w:ascii="宋体" w:hAnsi="宋体" w:eastAsia="宋体" w:cs="Times New Roman"/>
                <w:bCs/>
                <w:szCs w:val="21"/>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510" w:type="pct"/>
            <w:vMerge w:val="continue"/>
            <w:vAlign w:val="center"/>
          </w:tcPr>
          <w:p>
            <w:pPr>
              <w:pStyle w:val="136"/>
              <w:rPr>
                <w:rFonts w:ascii="宋体" w:hAnsi="宋体" w:eastAsia="宋体" w:cs="Times New Roman"/>
                <w:bCs/>
                <w:szCs w:val="21"/>
              </w:rPr>
            </w:pPr>
          </w:p>
        </w:tc>
        <w:tc>
          <w:tcPr>
            <w:tcW w:w="1671" w:type="pct"/>
            <w:vAlign w:val="center"/>
          </w:tcPr>
          <w:p>
            <w:pPr>
              <w:pStyle w:val="136"/>
              <w:rPr>
                <w:rFonts w:ascii="宋体" w:hAnsi="宋体" w:eastAsia="宋体" w:cs="Times New Roman"/>
                <w:bCs/>
                <w:szCs w:val="21"/>
              </w:rPr>
            </w:pPr>
            <w:r>
              <w:rPr>
                <w:rFonts w:hint="eastAsia" w:ascii="宋体" w:hAnsi="宋体" w:eastAsia="宋体" w:cs="Times New Roman"/>
                <w:bCs/>
                <w:szCs w:val="21"/>
              </w:rPr>
              <w:t>密码服务</w:t>
            </w:r>
          </w:p>
        </w:tc>
        <w:tc>
          <w:tcPr>
            <w:tcW w:w="1905" w:type="pct"/>
            <w:vAlign w:val="center"/>
          </w:tcPr>
          <w:p>
            <w:pPr>
              <w:pStyle w:val="136"/>
              <w:rPr>
                <w:rFonts w:ascii="宋体" w:hAnsi="宋体" w:eastAsia="宋体" w:cs="Times New Roman"/>
                <w:bCs/>
                <w:szCs w:val="21"/>
              </w:rPr>
            </w:pPr>
            <w:r>
              <w:rPr>
                <w:rFonts w:hint="eastAsia" w:ascii="宋体" w:hAnsi="宋体" w:eastAsia="宋体" w:cs="Times New Roman"/>
                <w:bCs/>
                <w:szCs w:val="21"/>
              </w:rPr>
              <w:t>采用的数字证书由具备资质的电子认证服务机构签发。</w:t>
            </w:r>
          </w:p>
        </w:tc>
        <w:tc>
          <w:tcPr>
            <w:tcW w:w="914" w:type="pct"/>
            <w:vAlign w:val="center"/>
          </w:tcPr>
          <w:p>
            <w:pPr>
              <w:pStyle w:val="136"/>
              <w:rPr>
                <w:rFonts w:ascii="宋体" w:hAnsi="宋体" w:eastAsia="宋体" w:cs="Times New Roman"/>
                <w:bCs/>
                <w:szCs w:val="21"/>
              </w:rPr>
            </w:pPr>
            <w:r>
              <w:rPr>
                <w:rFonts w:hint="eastAsia" w:ascii="宋体" w:hAnsi="宋体" w:eastAsia="宋体" w:cs="Times New Roman"/>
                <w:bCs/>
                <w:szCs w:val="21"/>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510" w:type="pct"/>
            <w:vMerge w:val="continue"/>
            <w:vAlign w:val="center"/>
          </w:tcPr>
          <w:p>
            <w:pPr>
              <w:pStyle w:val="136"/>
              <w:rPr>
                <w:rFonts w:ascii="宋体" w:hAnsi="宋体" w:eastAsia="宋体" w:cs="Times New Roman"/>
                <w:bCs/>
                <w:szCs w:val="21"/>
              </w:rPr>
            </w:pPr>
          </w:p>
        </w:tc>
        <w:tc>
          <w:tcPr>
            <w:tcW w:w="1671" w:type="pct"/>
            <w:vAlign w:val="center"/>
          </w:tcPr>
          <w:p>
            <w:pPr>
              <w:pStyle w:val="136"/>
              <w:rPr>
                <w:rFonts w:ascii="宋体" w:hAnsi="宋体" w:eastAsia="宋体" w:cs="Times New Roman"/>
                <w:bCs/>
                <w:szCs w:val="21"/>
              </w:rPr>
            </w:pPr>
            <w:r>
              <w:rPr>
                <w:rFonts w:hint="eastAsia" w:ascii="宋体" w:hAnsi="宋体" w:eastAsia="宋体" w:cs="Times New Roman"/>
                <w:bCs/>
                <w:szCs w:val="21"/>
              </w:rPr>
              <w:t>密码产品</w:t>
            </w:r>
          </w:p>
        </w:tc>
        <w:tc>
          <w:tcPr>
            <w:tcW w:w="1905" w:type="pct"/>
            <w:vAlign w:val="center"/>
          </w:tcPr>
          <w:p>
            <w:pPr>
              <w:pStyle w:val="136"/>
              <w:rPr>
                <w:rFonts w:ascii="宋体" w:hAnsi="宋体" w:eastAsia="宋体" w:cs="Times New Roman"/>
                <w:bCs/>
                <w:szCs w:val="21"/>
              </w:rPr>
            </w:pPr>
            <w:r>
              <w:rPr>
                <w:rFonts w:hint="eastAsia" w:ascii="宋体" w:hAnsi="宋体" w:eastAsia="宋体" w:cs="Times New Roman"/>
                <w:bCs/>
                <w:szCs w:val="21"/>
              </w:rPr>
              <w:t>采用的密码产品应达到</w:t>
            </w:r>
            <w:r>
              <w:rPr>
                <w:rFonts w:ascii="宋体" w:hAnsi="宋体" w:eastAsia="宋体" w:cs="Times New Roman"/>
                <w:bCs/>
                <w:szCs w:val="21"/>
              </w:rPr>
              <w:t>GB/T 37092</w:t>
            </w:r>
            <w:r>
              <w:rPr>
                <w:rFonts w:hint="eastAsia" w:ascii="宋体" w:hAnsi="宋体" w:eastAsia="宋体" w:cs="Times New Roman"/>
                <w:bCs/>
                <w:szCs w:val="21"/>
              </w:rPr>
              <w:t>-2018二级及以上安全要求。</w:t>
            </w:r>
          </w:p>
        </w:tc>
        <w:tc>
          <w:tcPr>
            <w:tcW w:w="914" w:type="pct"/>
            <w:vAlign w:val="center"/>
          </w:tcPr>
          <w:p>
            <w:pPr>
              <w:pStyle w:val="136"/>
              <w:rPr>
                <w:rFonts w:ascii="宋体" w:hAnsi="宋体" w:eastAsia="宋体" w:cs="Times New Roman"/>
                <w:bCs/>
                <w:szCs w:val="21"/>
              </w:rPr>
            </w:pPr>
            <w:r>
              <w:rPr>
                <w:rFonts w:hint="eastAsia" w:ascii="宋体" w:hAnsi="宋体" w:eastAsia="宋体" w:cs="Times New Roman"/>
                <w:bCs/>
                <w:szCs w:val="21"/>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510" w:type="pct"/>
            <w:vMerge w:val="restart"/>
            <w:vAlign w:val="center"/>
          </w:tcPr>
          <w:p>
            <w:pPr>
              <w:pStyle w:val="136"/>
              <w:rPr>
                <w:rFonts w:ascii="宋体" w:hAnsi="宋体" w:eastAsia="宋体" w:cs="Times New Roman"/>
                <w:bCs/>
                <w:szCs w:val="21"/>
              </w:rPr>
            </w:pPr>
            <w:r>
              <w:rPr>
                <w:rFonts w:hint="eastAsia" w:ascii="宋体" w:hAnsi="宋体" w:eastAsia="宋体" w:cs="Times New Roman"/>
                <w:bCs/>
                <w:szCs w:val="21"/>
              </w:rPr>
              <w:t>设备和计算安全</w:t>
            </w:r>
          </w:p>
        </w:tc>
        <w:tc>
          <w:tcPr>
            <w:tcW w:w="1671" w:type="pct"/>
            <w:vAlign w:val="center"/>
          </w:tcPr>
          <w:p>
            <w:pPr>
              <w:pStyle w:val="136"/>
              <w:rPr>
                <w:rFonts w:ascii="宋体" w:hAnsi="宋体" w:eastAsia="宋体" w:cs="Times New Roman"/>
                <w:bCs/>
                <w:szCs w:val="21"/>
              </w:rPr>
            </w:pPr>
            <w:r>
              <w:rPr>
                <w:rFonts w:hint="eastAsia" w:ascii="宋体" w:hAnsi="宋体" w:eastAsia="宋体" w:cs="Times New Roman"/>
                <w:bCs/>
                <w:szCs w:val="21"/>
              </w:rPr>
              <w:t>身份鉴别</w:t>
            </w:r>
          </w:p>
        </w:tc>
        <w:tc>
          <w:tcPr>
            <w:tcW w:w="1905" w:type="pct"/>
            <w:vAlign w:val="center"/>
          </w:tcPr>
          <w:p>
            <w:pPr>
              <w:pStyle w:val="136"/>
              <w:rPr>
                <w:rFonts w:ascii="宋体" w:hAnsi="宋体" w:eastAsia="宋体" w:cs="Times New Roman"/>
                <w:bCs/>
                <w:szCs w:val="21"/>
              </w:rPr>
            </w:pPr>
            <w:r>
              <w:rPr>
                <w:rFonts w:hint="eastAsia" w:ascii="宋体" w:hAnsi="宋体" w:eastAsia="宋体" w:cs="Times New Roman"/>
                <w:bCs/>
                <w:szCs w:val="21"/>
              </w:rPr>
              <w:t>管理员通过远程运维管理终端访问堡垒机时，对其</w:t>
            </w:r>
            <w:r>
              <w:rPr>
                <w:rFonts w:ascii="宋体" w:hAnsi="宋体" w:eastAsia="宋体" w:cs="Times New Roman"/>
                <w:bCs/>
                <w:szCs w:val="21"/>
              </w:rPr>
              <w:t>身份真实性进行识别和确认，防止假冒人员登录</w:t>
            </w:r>
            <w:r>
              <w:rPr>
                <w:rFonts w:hint="eastAsia" w:ascii="宋体" w:hAnsi="宋体" w:eastAsia="宋体" w:cs="Times New Roman"/>
                <w:bCs/>
                <w:szCs w:val="21"/>
              </w:rPr>
              <w:t>。</w:t>
            </w:r>
          </w:p>
        </w:tc>
        <w:tc>
          <w:tcPr>
            <w:tcW w:w="914" w:type="pct"/>
            <w:vAlign w:val="center"/>
          </w:tcPr>
          <w:p>
            <w:pPr>
              <w:pStyle w:val="136"/>
              <w:rPr>
                <w:rFonts w:ascii="宋体" w:hAnsi="宋体" w:eastAsia="宋体" w:cs="Times New Roman"/>
                <w:bCs/>
                <w:szCs w:val="21"/>
              </w:rPr>
            </w:pPr>
            <w:r>
              <w:rPr>
                <w:rFonts w:ascii="宋体" w:hAnsi="宋体" w:eastAsia="宋体" w:cs="Times New Roman"/>
                <w:bCs/>
                <w:szCs w:val="21"/>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510" w:type="pct"/>
            <w:vMerge w:val="continue"/>
            <w:vAlign w:val="center"/>
          </w:tcPr>
          <w:p>
            <w:pPr>
              <w:pStyle w:val="136"/>
              <w:rPr>
                <w:rFonts w:ascii="宋体" w:hAnsi="宋体" w:eastAsia="宋体" w:cs="Times New Roman"/>
                <w:bCs/>
                <w:szCs w:val="21"/>
              </w:rPr>
            </w:pPr>
          </w:p>
        </w:tc>
        <w:tc>
          <w:tcPr>
            <w:tcW w:w="1671" w:type="pct"/>
            <w:vAlign w:val="center"/>
          </w:tcPr>
          <w:p>
            <w:pPr>
              <w:pStyle w:val="136"/>
              <w:rPr>
                <w:rFonts w:ascii="宋体" w:hAnsi="宋体" w:eastAsia="宋体" w:cs="Times New Roman"/>
                <w:bCs/>
                <w:szCs w:val="21"/>
              </w:rPr>
            </w:pPr>
            <w:r>
              <w:rPr>
                <w:rFonts w:hint="eastAsia" w:ascii="宋体" w:hAnsi="宋体" w:eastAsia="宋体" w:cs="Times New Roman"/>
                <w:bCs/>
                <w:szCs w:val="21"/>
              </w:rPr>
              <w:t>远程管理通道安全</w:t>
            </w:r>
          </w:p>
        </w:tc>
        <w:tc>
          <w:tcPr>
            <w:tcW w:w="1905" w:type="pct"/>
            <w:vAlign w:val="center"/>
          </w:tcPr>
          <w:p>
            <w:pPr>
              <w:pStyle w:val="136"/>
              <w:rPr>
                <w:rFonts w:ascii="宋体" w:hAnsi="宋体" w:eastAsia="宋体" w:cs="Times New Roman"/>
                <w:bCs/>
                <w:szCs w:val="21"/>
              </w:rPr>
            </w:pPr>
            <w:r>
              <w:rPr>
                <w:rFonts w:ascii="宋体" w:hAnsi="宋体" w:eastAsia="宋体" w:cs="Times New Roman"/>
                <w:bCs/>
                <w:szCs w:val="21"/>
              </w:rPr>
              <w:t>在远程</w:t>
            </w:r>
            <w:r>
              <w:rPr>
                <w:rFonts w:hint="eastAsia" w:ascii="宋体" w:hAnsi="宋体" w:eastAsia="宋体" w:cs="Times New Roman"/>
                <w:bCs/>
                <w:szCs w:val="21"/>
              </w:rPr>
              <w:t>运维</w:t>
            </w:r>
            <w:r>
              <w:rPr>
                <w:rFonts w:ascii="宋体" w:hAnsi="宋体" w:eastAsia="宋体" w:cs="Times New Roman"/>
                <w:bCs/>
                <w:szCs w:val="21"/>
              </w:rPr>
              <w:t>管理时，对</w:t>
            </w:r>
            <w:r>
              <w:rPr>
                <w:rFonts w:hint="eastAsia" w:ascii="宋体" w:hAnsi="宋体" w:eastAsia="宋体" w:cs="Times New Roman"/>
                <w:bCs/>
                <w:szCs w:val="21"/>
              </w:rPr>
              <w:t>运维</w:t>
            </w:r>
            <w:r>
              <w:rPr>
                <w:rFonts w:ascii="宋体" w:hAnsi="宋体" w:eastAsia="宋体" w:cs="Times New Roman"/>
                <w:bCs/>
                <w:szCs w:val="21"/>
              </w:rPr>
              <w:t>管理</w:t>
            </w:r>
            <w:r>
              <w:rPr>
                <w:rFonts w:hint="eastAsia" w:ascii="宋体" w:hAnsi="宋体" w:eastAsia="宋体" w:cs="Times New Roman"/>
                <w:bCs/>
                <w:szCs w:val="21"/>
              </w:rPr>
              <w:t>通道进行</w:t>
            </w:r>
            <w:r>
              <w:rPr>
                <w:rFonts w:ascii="宋体" w:hAnsi="宋体" w:eastAsia="宋体" w:cs="Times New Roman"/>
                <w:bCs/>
                <w:szCs w:val="21"/>
              </w:rPr>
              <w:t>保护，防止鉴别信息泄漏</w:t>
            </w:r>
            <w:r>
              <w:rPr>
                <w:rFonts w:hint="eastAsia" w:ascii="宋体" w:hAnsi="宋体" w:eastAsia="宋体" w:cs="Times New Roman"/>
                <w:bCs/>
                <w:szCs w:val="21"/>
              </w:rPr>
              <w:t>。</w:t>
            </w:r>
          </w:p>
        </w:tc>
        <w:tc>
          <w:tcPr>
            <w:tcW w:w="914" w:type="pct"/>
            <w:vAlign w:val="center"/>
          </w:tcPr>
          <w:p>
            <w:pPr>
              <w:pStyle w:val="136"/>
              <w:rPr>
                <w:rFonts w:ascii="宋体" w:hAnsi="宋体" w:eastAsia="宋体" w:cs="Times New Roman"/>
                <w:bCs/>
                <w:szCs w:val="21"/>
              </w:rPr>
            </w:pPr>
            <w:r>
              <w:rPr>
                <w:rFonts w:ascii="宋体" w:hAnsi="宋体" w:eastAsia="宋体" w:cs="Times New Roman"/>
                <w:bCs/>
                <w:szCs w:val="21"/>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510" w:type="pct"/>
            <w:vMerge w:val="continue"/>
            <w:vAlign w:val="center"/>
          </w:tcPr>
          <w:p>
            <w:pPr>
              <w:pStyle w:val="136"/>
              <w:rPr>
                <w:rFonts w:ascii="宋体" w:hAnsi="宋体" w:eastAsia="宋体" w:cs="Times New Roman"/>
                <w:bCs/>
                <w:szCs w:val="21"/>
              </w:rPr>
            </w:pPr>
          </w:p>
        </w:tc>
        <w:tc>
          <w:tcPr>
            <w:tcW w:w="1671" w:type="pct"/>
            <w:vAlign w:val="center"/>
          </w:tcPr>
          <w:p>
            <w:pPr>
              <w:pStyle w:val="136"/>
              <w:rPr>
                <w:rFonts w:ascii="宋体" w:hAnsi="宋体" w:eastAsia="宋体" w:cs="Times New Roman"/>
                <w:bCs/>
                <w:szCs w:val="21"/>
              </w:rPr>
            </w:pPr>
            <w:r>
              <w:rPr>
                <w:rFonts w:hint="eastAsia" w:ascii="宋体" w:hAnsi="宋体" w:eastAsia="宋体" w:cs="Times New Roman"/>
                <w:bCs/>
                <w:szCs w:val="21"/>
              </w:rPr>
              <w:t>系统资源访问控制信息完整性</w:t>
            </w:r>
          </w:p>
        </w:tc>
        <w:tc>
          <w:tcPr>
            <w:tcW w:w="1905" w:type="pct"/>
            <w:vAlign w:val="center"/>
          </w:tcPr>
          <w:p>
            <w:pPr>
              <w:pStyle w:val="136"/>
              <w:rPr>
                <w:rFonts w:ascii="宋体" w:hAnsi="宋体" w:eastAsia="宋体" w:cs="Times New Roman"/>
                <w:bCs/>
                <w:szCs w:val="21"/>
              </w:rPr>
            </w:pPr>
            <w:r>
              <w:rPr>
                <w:rFonts w:ascii="宋体" w:hAnsi="宋体" w:eastAsia="宋体" w:cs="Times New Roman"/>
                <w:bCs/>
                <w:szCs w:val="21"/>
              </w:rPr>
              <w:t>保护系统中服务器</w:t>
            </w:r>
            <w:r>
              <w:rPr>
                <w:rFonts w:hint="eastAsia" w:ascii="宋体" w:hAnsi="宋体" w:eastAsia="宋体" w:cs="Times New Roman"/>
                <w:bCs/>
                <w:szCs w:val="21"/>
              </w:rPr>
              <w:t>、数据库、密码产品</w:t>
            </w:r>
            <w:r>
              <w:rPr>
                <w:rFonts w:ascii="宋体" w:hAnsi="宋体" w:eastAsia="宋体" w:cs="Times New Roman"/>
                <w:bCs/>
                <w:szCs w:val="21"/>
              </w:rPr>
              <w:t>等设备访问控制信息的完整性，防止被非授权篡改</w:t>
            </w:r>
            <w:r>
              <w:rPr>
                <w:rFonts w:hint="eastAsia" w:ascii="宋体" w:hAnsi="宋体" w:eastAsia="宋体" w:cs="Times New Roman"/>
                <w:bCs/>
                <w:szCs w:val="21"/>
              </w:rPr>
              <w:t>。</w:t>
            </w:r>
          </w:p>
        </w:tc>
        <w:tc>
          <w:tcPr>
            <w:tcW w:w="914" w:type="pct"/>
            <w:vAlign w:val="center"/>
          </w:tcPr>
          <w:p>
            <w:pPr>
              <w:pStyle w:val="136"/>
              <w:rPr>
                <w:rFonts w:ascii="宋体" w:hAnsi="宋体" w:eastAsia="宋体" w:cs="Times New Roman"/>
                <w:bCs/>
                <w:szCs w:val="21"/>
              </w:rPr>
            </w:pPr>
            <w:r>
              <w:rPr>
                <w:rFonts w:ascii="宋体" w:hAnsi="宋体" w:eastAsia="宋体" w:cs="Times New Roman"/>
                <w:bCs/>
                <w:szCs w:val="21"/>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510" w:type="pct"/>
            <w:vMerge w:val="continue"/>
            <w:vAlign w:val="center"/>
          </w:tcPr>
          <w:p>
            <w:pPr>
              <w:pStyle w:val="136"/>
              <w:rPr>
                <w:rFonts w:ascii="宋体" w:hAnsi="宋体" w:eastAsia="宋体" w:cs="Times New Roman"/>
                <w:bCs/>
                <w:szCs w:val="21"/>
              </w:rPr>
            </w:pPr>
          </w:p>
        </w:tc>
        <w:tc>
          <w:tcPr>
            <w:tcW w:w="1671" w:type="pct"/>
            <w:vAlign w:val="center"/>
          </w:tcPr>
          <w:p>
            <w:pPr>
              <w:pStyle w:val="136"/>
              <w:rPr>
                <w:rFonts w:ascii="宋体" w:hAnsi="宋体" w:eastAsia="宋体" w:cs="Times New Roman"/>
                <w:bCs/>
                <w:szCs w:val="21"/>
              </w:rPr>
            </w:pPr>
            <w:r>
              <w:rPr>
                <w:rFonts w:hint="eastAsia" w:ascii="宋体" w:hAnsi="宋体" w:eastAsia="宋体" w:cs="Times New Roman"/>
                <w:bCs/>
                <w:szCs w:val="21"/>
              </w:rPr>
              <w:t>日志记录完整性</w:t>
            </w:r>
          </w:p>
        </w:tc>
        <w:tc>
          <w:tcPr>
            <w:tcW w:w="1905" w:type="pct"/>
            <w:vAlign w:val="center"/>
          </w:tcPr>
          <w:p>
            <w:pPr>
              <w:pStyle w:val="136"/>
              <w:rPr>
                <w:rFonts w:ascii="宋体" w:hAnsi="宋体" w:eastAsia="宋体" w:cs="Times New Roman"/>
                <w:bCs/>
                <w:szCs w:val="21"/>
              </w:rPr>
            </w:pPr>
            <w:r>
              <w:rPr>
                <w:rFonts w:ascii="宋体" w:hAnsi="宋体" w:eastAsia="宋体" w:cs="Times New Roman"/>
                <w:bCs/>
                <w:szCs w:val="21"/>
              </w:rPr>
              <w:t>保护系统中服务器</w:t>
            </w:r>
            <w:r>
              <w:rPr>
                <w:rFonts w:hint="eastAsia" w:ascii="宋体" w:hAnsi="宋体" w:eastAsia="宋体" w:cs="Times New Roman"/>
                <w:bCs/>
                <w:szCs w:val="21"/>
              </w:rPr>
              <w:t>、数据库、密码产品</w:t>
            </w:r>
            <w:r>
              <w:rPr>
                <w:rFonts w:ascii="宋体" w:hAnsi="宋体" w:eastAsia="宋体" w:cs="Times New Roman"/>
                <w:bCs/>
                <w:szCs w:val="21"/>
              </w:rPr>
              <w:t>等设备日志记录的完整性，防止被非授权篡改</w:t>
            </w:r>
            <w:r>
              <w:rPr>
                <w:rFonts w:hint="eastAsia" w:ascii="宋体" w:hAnsi="宋体" w:eastAsia="宋体" w:cs="Times New Roman"/>
                <w:bCs/>
                <w:szCs w:val="21"/>
              </w:rPr>
              <w:t>。</w:t>
            </w:r>
          </w:p>
        </w:tc>
        <w:tc>
          <w:tcPr>
            <w:tcW w:w="914" w:type="pct"/>
            <w:vAlign w:val="center"/>
          </w:tcPr>
          <w:p>
            <w:pPr>
              <w:pStyle w:val="136"/>
              <w:rPr>
                <w:rFonts w:ascii="宋体" w:hAnsi="宋体" w:eastAsia="宋体" w:cs="Times New Roman"/>
                <w:bCs/>
                <w:szCs w:val="21"/>
              </w:rPr>
            </w:pPr>
            <w:r>
              <w:rPr>
                <w:rFonts w:ascii="宋体" w:hAnsi="宋体" w:eastAsia="宋体" w:cs="Times New Roman"/>
                <w:bCs/>
                <w:szCs w:val="21"/>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510" w:type="pct"/>
            <w:vMerge w:val="continue"/>
            <w:vAlign w:val="center"/>
          </w:tcPr>
          <w:p>
            <w:pPr>
              <w:pStyle w:val="136"/>
              <w:rPr>
                <w:rFonts w:ascii="宋体" w:hAnsi="宋体" w:eastAsia="宋体" w:cs="Times New Roman"/>
                <w:bCs/>
                <w:szCs w:val="21"/>
              </w:rPr>
            </w:pPr>
          </w:p>
        </w:tc>
        <w:tc>
          <w:tcPr>
            <w:tcW w:w="1671" w:type="pct"/>
            <w:vAlign w:val="center"/>
          </w:tcPr>
          <w:p>
            <w:pPr>
              <w:pStyle w:val="136"/>
              <w:rPr>
                <w:rFonts w:ascii="宋体" w:hAnsi="宋体" w:eastAsia="宋体" w:cs="Times New Roman"/>
                <w:bCs/>
                <w:szCs w:val="21"/>
              </w:rPr>
            </w:pPr>
            <w:r>
              <w:rPr>
                <w:rFonts w:hint="eastAsia" w:ascii="宋体" w:hAnsi="宋体" w:eastAsia="宋体" w:cs="Times New Roman"/>
                <w:bCs/>
                <w:szCs w:val="21"/>
              </w:rPr>
              <w:t>重要可执行程序完整性、</w:t>
            </w:r>
          </w:p>
          <w:p>
            <w:pPr>
              <w:pStyle w:val="136"/>
              <w:rPr>
                <w:rFonts w:ascii="宋体" w:hAnsi="宋体" w:eastAsia="宋体" w:cs="Times New Roman"/>
                <w:bCs/>
                <w:szCs w:val="21"/>
              </w:rPr>
            </w:pPr>
            <w:r>
              <w:rPr>
                <w:rFonts w:hint="eastAsia" w:ascii="宋体" w:hAnsi="宋体" w:eastAsia="宋体" w:cs="Times New Roman"/>
                <w:bCs/>
                <w:szCs w:val="21"/>
              </w:rPr>
              <w:t>来源真实性</w:t>
            </w:r>
          </w:p>
        </w:tc>
        <w:tc>
          <w:tcPr>
            <w:tcW w:w="1905" w:type="pct"/>
            <w:vAlign w:val="center"/>
          </w:tcPr>
          <w:p>
            <w:pPr>
              <w:pStyle w:val="136"/>
              <w:rPr>
                <w:rFonts w:ascii="宋体" w:hAnsi="宋体" w:eastAsia="宋体" w:cs="Times New Roman"/>
                <w:bCs/>
                <w:szCs w:val="21"/>
              </w:rPr>
            </w:pPr>
            <w:r>
              <w:rPr>
                <w:rFonts w:ascii="宋体" w:hAnsi="宋体" w:eastAsia="宋体" w:cs="Times New Roman"/>
                <w:bCs/>
                <w:szCs w:val="21"/>
              </w:rPr>
              <w:t>保护</w:t>
            </w:r>
            <w:r>
              <w:rPr>
                <w:rFonts w:hint="eastAsia" w:ascii="宋体" w:hAnsi="宋体" w:eastAsia="宋体" w:cs="Times New Roman"/>
                <w:bCs/>
                <w:szCs w:val="21"/>
              </w:rPr>
              <w:t>应用</w:t>
            </w:r>
            <w:r>
              <w:rPr>
                <w:rFonts w:ascii="宋体" w:hAnsi="宋体" w:eastAsia="宋体" w:cs="Times New Roman"/>
                <w:bCs/>
                <w:szCs w:val="21"/>
              </w:rPr>
              <w:t>服务器等设备中重要可执行程序的完整性</w:t>
            </w:r>
            <w:r>
              <w:rPr>
                <w:rFonts w:hint="eastAsia" w:ascii="宋体" w:hAnsi="宋体" w:eastAsia="宋体" w:cs="Times New Roman"/>
                <w:bCs/>
                <w:szCs w:val="21"/>
              </w:rPr>
              <w:t>和来源真实性</w:t>
            </w:r>
            <w:r>
              <w:rPr>
                <w:rFonts w:ascii="宋体" w:hAnsi="宋体" w:eastAsia="宋体" w:cs="Times New Roman"/>
                <w:bCs/>
                <w:szCs w:val="21"/>
              </w:rPr>
              <w:t>，防止被非授权篡改</w:t>
            </w:r>
            <w:r>
              <w:rPr>
                <w:rFonts w:hint="eastAsia" w:ascii="宋体" w:hAnsi="宋体" w:eastAsia="宋体" w:cs="Times New Roman"/>
                <w:bCs/>
                <w:szCs w:val="21"/>
              </w:rPr>
              <w:t>。</w:t>
            </w:r>
          </w:p>
        </w:tc>
        <w:tc>
          <w:tcPr>
            <w:tcW w:w="914" w:type="pct"/>
            <w:vAlign w:val="center"/>
          </w:tcPr>
          <w:p>
            <w:pPr>
              <w:pStyle w:val="136"/>
              <w:rPr>
                <w:rFonts w:ascii="宋体" w:hAnsi="宋体" w:eastAsia="宋体" w:cs="Times New Roman"/>
                <w:bCs/>
                <w:szCs w:val="21"/>
              </w:rPr>
            </w:pPr>
            <w:r>
              <w:rPr>
                <w:rFonts w:ascii="宋体" w:hAnsi="宋体" w:eastAsia="宋体" w:cs="Times New Roman"/>
                <w:bCs/>
                <w:szCs w:val="21"/>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510" w:type="pct"/>
            <w:vMerge w:val="continue"/>
            <w:vAlign w:val="center"/>
          </w:tcPr>
          <w:p>
            <w:pPr>
              <w:pStyle w:val="136"/>
              <w:rPr>
                <w:rFonts w:ascii="宋体" w:hAnsi="宋体" w:eastAsia="宋体" w:cs="Times New Roman"/>
                <w:bCs/>
                <w:szCs w:val="21"/>
              </w:rPr>
            </w:pPr>
          </w:p>
        </w:tc>
        <w:tc>
          <w:tcPr>
            <w:tcW w:w="1671" w:type="pct"/>
            <w:vAlign w:val="center"/>
          </w:tcPr>
          <w:p>
            <w:pPr>
              <w:pStyle w:val="136"/>
              <w:rPr>
                <w:rFonts w:ascii="宋体" w:hAnsi="宋体" w:eastAsia="宋体" w:cs="Times New Roman"/>
                <w:bCs/>
                <w:szCs w:val="21"/>
              </w:rPr>
            </w:pPr>
            <w:r>
              <w:rPr>
                <w:rFonts w:hint="eastAsia" w:ascii="宋体" w:hAnsi="宋体" w:eastAsia="宋体" w:cs="Times New Roman"/>
                <w:bCs/>
                <w:szCs w:val="21"/>
              </w:rPr>
              <w:t>密码产品</w:t>
            </w:r>
          </w:p>
        </w:tc>
        <w:tc>
          <w:tcPr>
            <w:tcW w:w="1905" w:type="pct"/>
            <w:vAlign w:val="center"/>
          </w:tcPr>
          <w:p>
            <w:pPr>
              <w:pStyle w:val="136"/>
              <w:rPr>
                <w:rFonts w:ascii="宋体" w:hAnsi="宋体" w:eastAsia="宋体" w:cs="Times New Roman"/>
                <w:bCs/>
                <w:szCs w:val="21"/>
              </w:rPr>
            </w:pPr>
            <w:r>
              <w:rPr>
                <w:rFonts w:hint="eastAsia" w:ascii="宋体" w:hAnsi="宋体" w:eastAsia="宋体" w:cs="Times New Roman"/>
                <w:bCs/>
                <w:szCs w:val="21"/>
              </w:rPr>
              <w:t>采用的密码产品应达到</w:t>
            </w:r>
            <w:r>
              <w:rPr>
                <w:rFonts w:ascii="宋体" w:hAnsi="宋体" w:eastAsia="宋体" w:cs="Times New Roman"/>
                <w:bCs/>
                <w:szCs w:val="21"/>
              </w:rPr>
              <w:t>GB/T 37092</w:t>
            </w:r>
            <w:r>
              <w:rPr>
                <w:rFonts w:hint="eastAsia" w:ascii="宋体" w:hAnsi="宋体" w:eastAsia="宋体" w:cs="Times New Roman"/>
                <w:bCs/>
                <w:szCs w:val="21"/>
              </w:rPr>
              <w:t>-2018二级及以上安全要求。</w:t>
            </w:r>
          </w:p>
        </w:tc>
        <w:tc>
          <w:tcPr>
            <w:tcW w:w="914" w:type="pct"/>
            <w:vAlign w:val="center"/>
          </w:tcPr>
          <w:p>
            <w:pPr>
              <w:pStyle w:val="136"/>
              <w:rPr>
                <w:rFonts w:ascii="宋体" w:hAnsi="宋体" w:eastAsia="宋体" w:cs="Times New Roman"/>
                <w:bCs/>
                <w:szCs w:val="21"/>
              </w:rPr>
            </w:pPr>
            <w:r>
              <w:rPr>
                <w:rFonts w:hint="eastAsia" w:ascii="宋体" w:hAnsi="宋体" w:eastAsia="宋体" w:cs="Times New Roman"/>
                <w:bCs/>
                <w:szCs w:val="21"/>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510" w:type="pct"/>
            <w:vMerge w:val="restart"/>
            <w:vAlign w:val="center"/>
          </w:tcPr>
          <w:p>
            <w:pPr>
              <w:pStyle w:val="136"/>
              <w:rPr>
                <w:rFonts w:ascii="宋体" w:hAnsi="宋体" w:eastAsia="宋体" w:cs="Times New Roman"/>
                <w:bCs/>
                <w:szCs w:val="21"/>
              </w:rPr>
            </w:pPr>
            <w:r>
              <w:rPr>
                <w:rFonts w:hint="eastAsia" w:ascii="宋体" w:hAnsi="宋体" w:eastAsia="宋体" w:cs="Times New Roman"/>
                <w:bCs/>
                <w:szCs w:val="21"/>
              </w:rPr>
              <w:t>应用和数据安全</w:t>
            </w:r>
          </w:p>
        </w:tc>
        <w:tc>
          <w:tcPr>
            <w:tcW w:w="1671" w:type="pct"/>
            <w:vAlign w:val="center"/>
          </w:tcPr>
          <w:p>
            <w:pPr>
              <w:pStyle w:val="136"/>
              <w:rPr>
                <w:rFonts w:ascii="宋体" w:hAnsi="宋体" w:eastAsia="宋体" w:cs="Times New Roman"/>
                <w:bCs/>
                <w:szCs w:val="21"/>
              </w:rPr>
            </w:pPr>
            <w:r>
              <w:rPr>
                <w:rFonts w:hint="eastAsia" w:ascii="宋体" w:hAnsi="宋体" w:eastAsia="宋体" w:cs="Times New Roman"/>
                <w:bCs/>
                <w:szCs w:val="21"/>
              </w:rPr>
              <w:t>身份鉴别</w:t>
            </w:r>
          </w:p>
        </w:tc>
        <w:tc>
          <w:tcPr>
            <w:tcW w:w="1905" w:type="pct"/>
            <w:vAlign w:val="center"/>
          </w:tcPr>
          <w:p>
            <w:pPr>
              <w:pStyle w:val="136"/>
              <w:rPr>
                <w:rFonts w:ascii="宋体" w:hAnsi="宋体" w:eastAsia="宋体" w:cs="Times New Roman"/>
                <w:bCs/>
                <w:szCs w:val="21"/>
              </w:rPr>
            </w:pPr>
            <w:r>
              <w:rPr>
                <w:rFonts w:ascii="宋体" w:hAnsi="宋体" w:eastAsia="宋体" w:cs="Times New Roman"/>
                <w:bCs/>
                <w:szCs w:val="21"/>
              </w:rPr>
              <w:t>确认</w:t>
            </w:r>
            <w:r>
              <w:rPr>
                <w:rFonts w:hint="eastAsia" w:ascii="宋体" w:hAnsi="宋体" w:eastAsia="宋体" w:cs="Times New Roman"/>
                <w:bCs/>
                <w:szCs w:val="21"/>
              </w:rPr>
              <w:t>应用系统</w:t>
            </w:r>
            <w:r>
              <w:rPr>
                <w:rFonts w:ascii="宋体" w:hAnsi="宋体" w:eastAsia="宋体" w:cs="Times New Roman"/>
                <w:bCs/>
                <w:szCs w:val="21"/>
              </w:rPr>
              <w:t>用户身份的真实性，防止假冒人员登录</w:t>
            </w:r>
            <w:r>
              <w:rPr>
                <w:rFonts w:hint="eastAsia" w:ascii="宋体" w:hAnsi="宋体" w:eastAsia="宋体" w:cs="Times New Roman"/>
                <w:bCs/>
                <w:szCs w:val="21"/>
              </w:rPr>
              <w:t>。</w:t>
            </w:r>
          </w:p>
        </w:tc>
        <w:tc>
          <w:tcPr>
            <w:tcW w:w="914" w:type="pct"/>
            <w:vAlign w:val="center"/>
          </w:tcPr>
          <w:p>
            <w:pPr>
              <w:pStyle w:val="136"/>
              <w:rPr>
                <w:rFonts w:ascii="宋体" w:hAnsi="宋体" w:eastAsia="宋体" w:cs="Times New Roman"/>
                <w:bCs/>
                <w:szCs w:val="21"/>
              </w:rPr>
            </w:pPr>
            <w:r>
              <w:rPr>
                <w:rFonts w:ascii="宋体" w:hAnsi="宋体" w:eastAsia="宋体" w:cs="Times New Roman"/>
                <w:bCs/>
                <w:szCs w:val="21"/>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510" w:type="pct"/>
            <w:vMerge w:val="continue"/>
            <w:vAlign w:val="center"/>
          </w:tcPr>
          <w:p>
            <w:pPr>
              <w:pStyle w:val="136"/>
              <w:rPr>
                <w:rFonts w:ascii="宋体" w:hAnsi="宋体" w:eastAsia="宋体" w:cs="Times New Roman"/>
                <w:bCs/>
                <w:szCs w:val="21"/>
              </w:rPr>
            </w:pPr>
          </w:p>
        </w:tc>
        <w:tc>
          <w:tcPr>
            <w:tcW w:w="1671" w:type="pct"/>
            <w:vAlign w:val="center"/>
          </w:tcPr>
          <w:p>
            <w:pPr>
              <w:pStyle w:val="136"/>
              <w:rPr>
                <w:rFonts w:ascii="宋体" w:hAnsi="宋体" w:eastAsia="宋体" w:cs="Times New Roman"/>
                <w:bCs/>
                <w:szCs w:val="21"/>
              </w:rPr>
            </w:pPr>
            <w:r>
              <w:rPr>
                <w:rFonts w:hint="eastAsia" w:ascii="宋体" w:hAnsi="宋体" w:eastAsia="宋体" w:cs="Times New Roman"/>
                <w:bCs/>
                <w:szCs w:val="21"/>
              </w:rPr>
              <w:t>访问控制信息完整性</w:t>
            </w:r>
          </w:p>
        </w:tc>
        <w:tc>
          <w:tcPr>
            <w:tcW w:w="1905" w:type="pct"/>
            <w:vAlign w:val="center"/>
          </w:tcPr>
          <w:p>
            <w:pPr>
              <w:pStyle w:val="136"/>
              <w:rPr>
                <w:rFonts w:ascii="宋体" w:hAnsi="宋体" w:eastAsia="宋体" w:cs="Times New Roman"/>
                <w:bCs/>
                <w:szCs w:val="21"/>
              </w:rPr>
            </w:pPr>
            <w:r>
              <w:rPr>
                <w:rFonts w:ascii="宋体" w:hAnsi="宋体" w:eastAsia="宋体" w:cs="Times New Roman"/>
                <w:bCs/>
                <w:szCs w:val="21"/>
              </w:rPr>
              <w:t>对</w:t>
            </w:r>
            <w:r>
              <w:rPr>
                <w:rFonts w:hint="eastAsia" w:ascii="宋体" w:hAnsi="宋体" w:eastAsia="宋体" w:cs="Times New Roman"/>
                <w:bCs/>
                <w:szCs w:val="21"/>
              </w:rPr>
              <w:t>应用系统</w:t>
            </w:r>
            <w:r>
              <w:rPr>
                <w:rFonts w:ascii="宋体" w:hAnsi="宋体" w:eastAsia="宋体" w:cs="Times New Roman"/>
                <w:bCs/>
                <w:szCs w:val="21"/>
              </w:rPr>
              <w:t>的访问权限控制列表进行完整性保护，防止被非授权篡改</w:t>
            </w:r>
            <w:r>
              <w:rPr>
                <w:rFonts w:hint="eastAsia" w:ascii="宋体" w:hAnsi="宋体" w:eastAsia="宋体" w:cs="Times New Roman"/>
                <w:bCs/>
                <w:szCs w:val="21"/>
              </w:rPr>
              <w:t>。</w:t>
            </w:r>
          </w:p>
        </w:tc>
        <w:tc>
          <w:tcPr>
            <w:tcW w:w="914" w:type="pct"/>
            <w:vAlign w:val="center"/>
          </w:tcPr>
          <w:p>
            <w:pPr>
              <w:pStyle w:val="136"/>
              <w:rPr>
                <w:rFonts w:ascii="宋体" w:hAnsi="宋体" w:eastAsia="宋体" w:cs="Times New Roman"/>
                <w:bCs/>
                <w:szCs w:val="21"/>
              </w:rPr>
            </w:pPr>
            <w:r>
              <w:rPr>
                <w:rFonts w:ascii="宋体" w:hAnsi="宋体" w:eastAsia="宋体" w:cs="Times New Roman"/>
                <w:bCs/>
                <w:szCs w:val="21"/>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80" w:hRule="exact"/>
          <w:jc w:val="center"/>
        </w:trPr>
        <w:tc>
          <w:tcPr>
            <w:tcW w:w="510" w:type="pct"/>
            <w:vMerge w:val="continue"/>
            <w:vAlign w:val="center"/>
          </w:tcPr>
          <w:p>
            <w:pPr>
              <w:pStyle w:val="136"/>
              <w:rPr>
                <w:rFonts w:ascii="宋体" w:hAnsi="宋体" w:eastAsia="宋体" w:cs="Times New Roman"/>
                <w:bCs/>
                <w:szCs w:val="21"/>
              </w:rPr>
            </w:pPr>
          </w:p>
        </w:tc>
        <w:tc>
          <w:tcPr>
            <w:tcW w:w="1671" w:type="pct"/>
            <w:vAlign w:val="center"/>
          </w:tcPr>
          <w:p>
            <w:pPr>
              <w:pStyle w:val="136"/>
              <w:rPr>
                <w:rFonts w:ascii="宋体" w:hAnsi="宋体" w:eastAsia="宋体" w:cs="Times New Roman"/>
                <w:bCs/>
                <w:szCs w:val="21"/>
              </w:rPr>
            </w:pPr>
            <w:r>
              <w:rPr>
                <w:rFonts w:hint="eastAsia" w:ascii="宋体" w:hAnsi="宋体" w:eastAsia="宋体" w:cs="Times New Roman"/>
                <w:bCs/>
                <w:szCs w:val="21"/>
              </w:rPr>
              <w:t>数据传输机密性</w:t>
            </w:r>
          </w:p>
        </w:tc>
        <w:tc>
          <w:tcPr>
            <w:tcW w:w="1905" w:type="pct"/>
            <w:vMerge w:val="restart"/>
            <w:vAlign w:val="center"/>
          </w:tcPr>
          <w:p>
            <w:pPr>
              <w:pStyle w:val="136"/>
              <w:rPr>
                <w:rFonts w:ascii="宋体" w:hAnsi="宋体" w:eastAsia="宋体" w:cs="Times New Roman"/>
                <w:bCs/>
                <w:szCs w:val="21"/>
              </w:rPr>
            </w:pPr>
            <w:r>
              <w:rPr>
                <w:rFonts w:hint="eastAsia" w:ascii="宋体" w:hAnsi="宋体" w:eastAsia="宋体" w:cs="Times New Roman"/>
                <w:bCs/>
                <w:szCs w:val="21"/>
              </w:rPr>
              <w:t>保护政务外网、互联网客户端与服务端之间传输和存储的用户登录身份鉴别信息、业务数据等重要数据的机密性和完整性，防止数据泄露给非授权的个人、进程等。保护系统业务日志数据的完整性，防止该数据被非授权篡改。</w:t>
            </w:r>
          </w:p>
        </w:tc>
        <w:tc>
          <w:tcPr>
            <w:tcW w:w="914" w:type="pct"/>
            <w:vMerge w:val="restart"/>
            <w:vAlign w:val="center"/>
          </w:tcPr>
          <w:p>
            <w:pPr>
              <w:pStyle w:val="136"/>
              <w:rPr>
                <w:rFonts w:ascii="宋体" w:hAnsi="宋体" w:eastAsia="宋体" w:cs="Times New Roman"/>
                <w:bCs/>
                <w:szCs w:val="21"/>
              </w:rPr>
            </w:pPr>
            <w:r>
              <w:rPr>
                <w:rFonts w:hint="eastAsia" w:ascii="宋体" w:hAnsi="宋体" w:eastAsia="宋体" w:cs="Times New Roman"/>
                <w:bCs/>
                <w:szCs w:val="21"/>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80" w:hRule="exact"/>
          <w:jc w:val="center"/>
        </w:trPr>
        <w:tc>
          <w:tcPr>
            <w:tcW w:w="510" w:type="pct"/>
            <w:vMerge w:val="continue"/>
            <w:vAlign w:val="center"/>
          </w:tcPr>
          <w:p>
            <w:pPr>
              <w:pStyle w:val="136"/>
              <w:rPr>
                <w:rFonts w:ascii="宋体" w:hAnsi="宋体" w:eastAsia="宋体" w:cs="Times New Roman"/>
                <w:bCs/>
                <w:szCs w:val="21"/>
              </w:rPr>
            </w:pPr>
          </w:p>
        </w:tc>
        <w:tc>
          <w:tcPr>
            <w:tcW w:w="1671" w:type="pct"/>
            <w:vAlign w:val="center"/>
          </w:tcPr>
          <w:p>
            <w:pPr>
              <w:pStyle w:val="136"/>
              <w:rPr>
                <w:rFonts w:ascii="宋体" w:hAnsi="宋体" w:eastAsia="宋体" w:cs="Times New Roman"/>
                <w:bCs/>
                <w:szCs w:val="21"/>
              </w:rPr>
            </w:pPr>
            <w:r>
              <w:rPr>
                <w:rFonts w:hint="eastAsia" w:ascii="宋体" w:hAnsi="宋体" w:eastAsia="宋体" w:cs="Times New Roman"/>
                <w:bCs/>
                <w:szCs w:val="21"/>
              </w:rPr>
              <w:t>数据存储机密性</w:t>
            </w:r>
          </w:p>
        </w:tc>
        <w:tc>
          <w:tcPr>
            <w:tcW w:w="1905" w:type="pct"/>
            <w:vMerge w:val="continue"/>
            <w:vAlign w:val="center"/>
          </w:tcPr>
          <w:p>
            <w:pPr>
              <w:pStyle w:val="136"/>
              <w:rPr>
                <w:rFonts w:ascii="宋体" w:hAnsi="宋体" w:eastAsia="宋体" w:cs="Times New Roman"/>
                <w:bCs/>
                <w:szCs w:val="21"/>
              </w:rPr>
            </w:pPr>
          </w:p>
        </w:tc>
        <w:tc>
          <w:tcPr>
            <w:tcW w:w="914" w:type="pct"/>
            <w:vMerge w:val="continue"/>
            <w:vAlign w:val="center"/>
          </w:tcPr>
          <w:p>
            <w:pPr>
              <w:pStyle w:val="136"/>
              <w:rPr>
                <w:rFonts w:ascii="宋体" w:hAnsi="宋体" w:eastAsia="宋体" w:cs="Times New Roman"/>
                <w:bCs/>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80" w:hRule="exact"/>
          <w:jc w:val="center"/>
        </w:trPr>
        <w:tc>
          <w:tcPr>
            <w:tcW w:w="510" w:type="pct"/>
            <w:vMerge w:val="continue"/>
            <w:vAlign w:val="center"/>
          </w:tcPr>
          <w:p>
            <w:pPr>
              <w:pStyle w:val="136"/>
              <w:rPr>
                <w:rFonts w:ascii="宋体" w:hAnsi="宋体" w:eastAsia="宋体" w:cs="Times New Roman"/>
                <w:bCs/>
                <w:szCs w:val="21"/>
              </w:rPr>
            </w:pPr>
          </w:p>
        </w:tc>
        <w:tc>
          <w:tcPr>
            <w:tcW w:w="1671" w:type="pct"/>
            <w:vAlign w:val="center"/>
          </w:tcPr>
          <w:p>
            <w:pPr>
              <w:pStyle w:val="136"/>
              <w:rPr>
                <w:rFonts w:ascii="宋体" w:hAnsi="宋体" w:eastAsia="宋体" w:cs="Times New Roman"/>
                <w:bCs/>
                <w:szCs w:val="21"/>
              </w:rPr>
            </w:pPr>
            <w:r>
              <w:rPr>
                <w:rFonts w:hint="eastAsia" w:ascii="宋体" w:hAnsi="宋体" w:eastAsia="宋体" w:cs="Times New Roman"/>
                <w:bCs/>
                <w:szCs w:val="21"/>
              </w:rPr>
              <w:t>数据传输完整性</w:t>
            </w:r>
          </w:p>
        </w:tc>
        <w:tc>
          <w:tcPr>
            <w:tcW w:w="1905" w:type="pct"/>
            <w:vMerge w:val="continue"/>
            <w:vAlign w:val="center"/>
          </w:tcPr>
          <w:p>
            <w:pPr>
              <w:pStyle w:val="136"/>
              <w:rPr>
                <w:rFonts w:ascii="宋体" w:hAnsi="宋体" w:eastAsia="宋体" w:cs="Times New Roman"/>
                <w:bCs/>
                <w:szCs w:val="21"/>
              </w:rPr>
            </w:pPr>
          </w:p>
        </w:tc>
        <w:tc>
          <w:tcPr>
            <w:tcW w:w="914" w:type="pct"/>
            <w:vMerge w:val="continue"/>
            <w:vAlign w:val="center"/>
          </w:tcPr>
          <w:p>
            <w:pPr>
              <w:pStyle w:val="136"/>
              <w:rPr>
                <w:rFonts w:ascii="宋体" w:hAnsi="宋体" w:eastAsia="宋体" w:cs="Times New Roman"/>
                <w:bCs/>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80" w:hRule="exact"/>
          <w:jc w:val="center"/>
        </w:trPr>
        <w:tc>
          <w:tcPr>
            <w:tcW w:w="510" w:type="pct"/>
            <w:vMerge w:val="continue"/>
            <w:vAlign w:val="center"/>
          </w:tcPr>
          <w:p>
            <w:pPr>
              <w:pStyle w:val="136"/>
              <w:rPr>
                <w:rFonts w:ascii="宋体" w:hAnsi="宋体" w:eastAsia="宋体" w:cs="Times New Roman"/>
                <w:bCs/>
                <w:szCs w:val="21"/>
              </w:rPr>
            </w:pPr>
          </w:p>
        </w:tc>
        <w:tc>
          <w:tcPr>
            <w:tcW w:w="1671" w:type="pct"/>
            <w:vAlign w:val="center"/>
          </w:tcPr>
          <w:p>
            <w:pPr>
              <w:pStyle w:val="136"/>
              <w:rPr>
                <w:rFonts w:ascii="宋体" w:hAnsi="宋体" w:eastAsia="宋体" w:cs="Times New Roman"/>
                <w:bCs/>
                <w:szCs w:val="21"/>
              </w:rPr>
            </w:pPr>
            <w:r>
              <w:rPr>
                <w:rFonts w:hint="eastAsia" w:ascii="宋体" w:hAnsi="宋体" w:eastAsia="宋体" w:cs="Times New Roman"/>
                <w:bCs/>
                <w:szCs w:val="21"/>
              </w:rPr>
              <w:t>数据存储完整性</w:t>
            </w:r>
          </w:p>
        </w:tc>
        <w:tc>
          <w:tcPr>
            <w:tcW w:w="1905" w:type="pct"/>
            <w:vMerge w:val="continue"/>
            <w:vAlign w:val="center"/>
          </w:tcPr>
          <w:p>
            <w:pPr>
              <w:pStyle w:val="136"/>
              <w:rPr>
                <w:rFonts w:ascii="宋体" w:hAnsi="宋体" w:eastAsia="宋体" w:cs="Times New Roman"/>
                <w:bCs/>
                <w:szCs w:val="21"/>
              </w:rPr>
            </w:pPr>
          </w:p>
        </w:tc>
        <w:tc>
          <w:tcPr>
            <w:tcW w:w="914" w:type="pct"/>
            <w:vMerge w:val="continue"/>
            <w:vAlign w:val="center"/>
          </w:tcPr>
          <w:p>
            <w:pPr>
              <w:pStyle w:val="136"/>
              <w:rPr>
                <w:rFonts w:ascii="宋体" w:hAnsi="宋体" w:eastAsia="宋体" w:cs="Times New Roman"/>
                <w:bCs/>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510" w:type="pct"/>
            <w:vMerge w:val="continue"/>
            <w:vAlign w:val="center"/>
          </w:tcPr>
          <w:p>
            <w:pPr>
              <w:pStyle w:val="136"/>
              <w:rPr>
                <w:rFonts w:ascii="宋体" w:hAnsi="宋体" w:eastAsia="宋体" w:cs="Times New Roman"/>
                <w:bCs/>
                <w:szCs w:val="21"/>
              </w:rPr>
            </w:pPr>
          </w:p>
        </w:tc>
        <w:tc>
          <w:tcPr>
            <w:tcW w:w="1671" w:type="pct"/>
            <w:vAlign w:val="center"/>
          </w:tcPr>
          <w:p>
            <w:pPr>
              <w:pStyle w:val="136"/>
              <w:rPr>
                <w:rFonts w:ascii="宋体" w:hAnsi="宋体" w:eastAsia="宋体" w:cs="Times New Roman"/>
                <w:bCs/>
                <w:szCs w:val="21"/>
              </w:rPr>
            </w:pPr>
            <w:r>
              <w:rPr>
                <w:rFonts w:hint="eastAsia" w:ascii="宋体" w:hAnsi="宋体" w:eastAsia="宋体" w:cs="Times New Roman"/>
                <w:bCs/>
                <w:szCs w:val="21"/>
              </w:rPr>
              <w:t>不可否认性</w:t>
            </w:r>
          </w:p>
        </w:tc>
        <w:tc>
          <w:tcPr>
            <w:tcW w:w="1905" w:type="pct"/>
            <w:vAlign w:val="center"/>
          </w:tcPr>
          <w:p>
            <w:pPr>
              <w:pStyle w:val="136"/>
              <w:rPr>
                <w:rFonts w:ascii="宋体" w:hAnsi="宋体" w:eastAsia="宋体" w:cs="Times New Roman"/>
                <w:bCs/>
                <w:szCs w:val="21"/>
              </w:rPr>
            </w:pPr>
            <w:r>
              <w:rPr>
                <w:rFonts w:ascii="宋体" w:hAnsi="宋体" w:eastAsia="宋体" w:cs="Times New Roman"/>
                <w:bCs/>
                <w:szCs w:val="21"/>
              </w:rPr>
              <w:t>保护</w:t>
            </w:r>
            <w:r>
              <w:rPr>
                <w:rFonts w:hint="eastAsia" w:ascii="宋体" w:hAnsi="宋体" w:eastAsia="宋体" w:cs="Times New Roman"/>
                <w:bCs/>
                <w:szCs w:val="21"/>
              </w:rPr>
              <w:t>系统中业务</w:t>
            </w:r>
            <w:r>
              <w:rPr>
                <w:rFonts w:ascii="宋体" w:hAnsi="宋体" w:eastAsia="宋体" w:cs="Times New Roman"/>
                <w:bCs/>
                <w:szCs w:val="21"/>
              </w:rPr>
              <w:t>数据发送和接收操作的不可否认性，确保发送方和接收方对已经发生的操作行为无法否认</w:t>
            </w:r>
            <w:r>
              <w:rPr>
                <w:rFonts w:hint="eastAsia" w:ascii="宋体" w:hAnsi="宋体" w:eastAsia="宋体" w:cs="Times New Roman"/>
                <w:bCs/>
                <w:szCs w:val="21"/>
              </w:rPr>
              <w:t>。</w:t>
            </w:r>
          </w:p>
        </w:tc>
        <w:tc>
          <w:tcPr>
            <w:tcW w:w="914" w:type="pct"/>
            <w:vAlign w:val="center"/>
          </w:tcPr>
          <w:p>
            <w:pPr>
              <w:pStyle w:val="136"/>
              <w:rPr>
                <w:rFonts w:ascii="宋体" w:hAnsi="宋体" w:eastAsia="宋体" w:cs="Times New Roman"/>
                <w:bCs/>
                <w:szCs w:val="21"/>
              </w:rPr>
            </w:pPr>
            <w:r>
              <w:rPr>
                <w:rFonts w:hint="eastAsia" w:ascii="宋体" w:hAnsi="宋体" w:eastAsia="宋体" w:cs="Times New Roman"/>
                <w:bCs/>
                <w:szCs w:val="21"/>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510" w:type="pct"/>
            <w:vMerge w:val="continue"/>
            <w:vAlign w:val="center"/>
          </w:tcPr>
          <w:p>
            <w:pPr>
              <w:pStyle w:val="136"/>
              <w:rPr>
                <w:rFonts w:ascii="宋体" w:hAnsi="宋体" w:eastAsia="宋体" w:cs="Times New Roman"/>
                <w:bCs/>
                <w:szCs w:val="21"/>
              </w:rPr>
            </w:pPr>
          </w:p>
        </w:tc>
        <w:tc>
          <w:tcPr>
            <w:tcW w:w="1671" w:type="pct"/>
            <w:vAlign w:val="center"/>
          </w:tcPr>
          <w:p>
            <w:pPr>
              <w:pStyle w:val="136"/>
              <w:rPr>
                <w:rFonts w:ascii="宋体" w:hAnsi="宋体" w:eastAsia="宋体" w:cs="Times New Roman"/>
                <w:bCs/>
                <w:szCs w:val="21"/>
              </w:rPr>
            </w:pPr>
            <w:r>
              <w:rPr>
                <w:rFonts w:hint="eastAsia" w:ascii="宋体" w:hAnsi="宋体" w:eastAsia="宋体" w:cs="Times New Roman"/>
                <w:bCs/>
                <w:szCs w:val="21"/>
              </w:rPr>
              <w:t>密码服务</w:t>
            </w:r>
          </w:p>
        </w:tc>
        <w:tc>
          <w:tcPr>
            <w:tcW w:w="1905" w:type="pct"/>
            <w:vAlign w:val="center"/>
          </w:tcPr>
          <w:p>
            <w:pPr>
              <w:pStyle w:val="136"/>
              <w:rPr>
                <w:rFonts w:ascii="宋体" w:hAnsi="宋体" w:eastAsia="宋体" w:cs="Times New Roman"/>
                <w:bCs/>
                <w:szCs w:val="21"/>
              </w:rPr>
            </w:pPr>
            <w:r>
              <w:rPr>
                <w:rFonts w:hint="eastAsia" w:ascii="宋体" w:hAnsi="宋体" w:eastAsia="宋体" w:cs="Times New Roman"/>
                <w:bCs/>
                <w:szCs w:val="21"/>
              </w:rPr>
              <w:t>采用的数字证书由具备资质的电子认证服务机构签发。</w:t>
            </w:r>
          </w:p>
        </w:tc>
        <w:tc>
          <w:tcPr>
            <w:tcW w:w="914" w:type="pct"/>
            <w:vAlign w:val="center"/>
          </w:tcPr>
          <w:p>
            <w:pPr>
              <w:pStyle w:val="136"/>
              <w:rPr>
                <w:rFonts w:ascii="宋体" w:hAnsi="宋体" w:eastAsia="宋体" w:cs="Times New Roman"/>
                <w:bCs/>
                <w:szCs w:val="21"/>
              </w:rPr>
            </w:pPr>
            <w:r>
              <w:rPr>
                <w:rFonts w:hint="eastAsia" w:ascii="宋体" w:hAnsi="宋体" w:eastAsia="宋体" w:cs="Times New Roman"/>
                <w:bCs/>
                <w:szCs w:val="21"/>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510" w:type="pct"/>
            <w:vMerge w:val="continue"/>
            <w:vAlign w:val="center"/>
          </w:tcPr>
          <w:p>
            <w:pPr>
              <w:pStyle w:val="136"/>
              <w:rPr>
                <w:rFonts w:ascii="宋体" w:hAnsi="宋体" w:eastAsia="宋体" w:cs="Times New Roman"/>
                <w:bCs/>
                <w:szCs w:val="21"/>
              </w:rPr>
            </w:pPr>
          </w:p>
        </w:tc>
        <w:tc>
          <w:tcPr>
            <w:tcW w:w="1671" w:type="pct"/>
            <w:vAlign w:val="center"/>
          </w:tcPr>
          <w:p>
            <w:pPr>
              <w:pStyle w:val="136"/>
              <w:rPr>
                <w:rFonts w:ascii="宋体" w:hAnsi="宋体" w:eastAsia="宋体" w:cs="Times New Roman"/>
                <w:bCs/>
                <w:szCs w:val="21"/>
              </w:rPr>
            </w:pPr>
            <w:r>
              <w:rPr>
                <w:rFonts w:hint="eastAsia" w:ascii="宋体" w:hAnsi="宋体" w:eastAsia="宋体" w:cs="Times New Roman"/>
                <w:bCs/>
                <w:szCs w:val="21"/>
              </w:rPr>
              <w:t>密码产品</w:t>
            </w:r>
          </w:p>
        </w:tc>
        <w:tc>
          <w:tcPr>
            <w:tcW w:w="1905" w:type="pct"/>
            <w:vAlign w:val="center"/>
          </w:tcPr>
          <w:p>
            <w:pPr>
              <w:pStyle w:val="136"/>
              <w:rPr>
                <w:rFonts w:ascii="宋体" w:hAnsi="宋体" w:eastAsia="宋体" w:cs="Times New Roman"/>
                <w:bCs/>
                <w:szCs w:val="21"/>
              </w:rPr>
            </w:pPr>
            <w:r>
              <w:rPr>
                <w:rFonts w:hint="eastAsia" w:ascii="宋体" w:hAnsi="宋体" w:eastAsia="宋体" w:cs="Times New Roman"/>
                <w:bCs/>
                <w:szCs w:val="21"/>
              </w:rPr>
              <w:t>采用的密码产品，应达到</w:t>
            </w:r>
            <w:r>
              <w:rPr>
                <w:rFonts w:ascii="宋体" w:hAnsi="宋体" w:eastAsia="宋体" w:cs="Times New Roman"/>
                <w:bCs/>
                <w:szCs w:val="21"/>
              </w:rPr>
              <w:t>GB/T 37092</w:t>
            </w:r>
            <w:r>
              <w:rPr>
                <w:rFonts w:hint="eastAsia" w:ascii="宋体" w:hAnsi="宋体" w:eastAsia="宋体" w:cs="Times New Roman"/>
                <w:bCs/>
                <w:szCs w:val="21"/>
              </w:rPr>
              <w:t>-2018二级及以上安全要求。</w:t>
            </w:r>
          </w:p>
        </w:tc>
        <w:tc>
          <w:tcPr>
            <w:tcW w:w="914" w:type="pct"/>
            <w:vAlign w:val="center"/>
          </w:tcPr>
          <w:p>
            <w:pPr>
              <w:pStyle w:val="136"/>
              <w:rPr>
                <w:rFonts w:ascii="宋体" w:hAnsi="宋体" w:eastAsia="宋体" w:cs="Times New Roman"/>
                <w:bCs/>
                <w:szCs w:val="21"/>
              </w:rPr>
            </w:pPr>
            <w:r>
              <w:rPr>
                <w:rFonts w:hint="eastAsia" w:ascii="宋体" w:hAnsi="宋体" w:eastAsia="宋体" w:cs="Times New Roman"/>
                <w:bCs/>
                <w:szCs w:val="21"/>
              </w:rPr>
              <w:t>无</w:t>
            </w:r>
          </w:p>
        </w:tc>
      </w:tr>
    </w:tbl>
    <w:p>
      <w:pPr>
        <w:pStyle w:val="143"/>
      </w:pPr>
    </w:p>
    <w:p>
      <w:pPr>
        <w:pStyle w:val="3"/>
      </w:pPr>
      <w:r>
        <w:rPr>
          <w:rFonts w:hint="eastAsia"/>
        </w:rPr>
        <w:t>技术文件要求</w:t>
      </w:r>
    </w:p>
    <w:p>
      <w:r>
        <w:rPr>
          <w:rFonts w:hint="eastAsia"/>
        </w:rPr>
        <w:t>投标人提供的书面技术资料应能确保系统正常运行所需的管理、运营及维护有关的全套文件。技术文件应该全面、完整、详细。投标人提供的技术文件包括但不限于以下文档：</w:t>
      </w:r>
    </w:p>
    <w:p>
      <w:pPr>
        <w:pStyle w:val="143"/>
      </w:pPr>
      <w:r>
        <w:rPr>
          <w:rFonts w:hint="eastAsia"/>
        </w:rPr>
        <w:t>1．</w:t>
      </w:r>
      <w:r>
        <w:t xml:space="preserve">系统说明文件； </w:t>
      </w:r>
    </w:p>
    <w:p>
      <w:pPr>
        <w:pStyle w:val="143"/>
      </w:pPr>
      <w:r>
        <w:rPr>
          <w:rFonts w:hint="eastAsia"/>
        </w:rPr>
        <w:t>2．</w:t>
      </w:r>
      <w:r>
        <w:t xml:space="preserve">技术手册(安装、测试、操作、维护、故障排除等)； </w:t>
      </w:r>
    </w:p>
    <w:p>
      <w:pPr>
        <w:pStyle w:val="143"/>
      </w:pPr>
      <w:r>
        <w:rPr>
          <w:rFonts w:hint="eastAsia"/>
        </w:rPr>
        <w:t>3．</w:t>
      </w:r>
      <w:r>
        <w:t>项目文档，应该包括：</w:t>
      </w:r>
    </w:p>
    <w:p>
      <w:pPr>
        <w:pStyle w:val="143"/>
      </w:pPr>
      <w:r>
        <w:rPr>
          <w:rFonts w:hint="eastAsia"/>
        </w:rPr>
        <w:t>（1）方案报审文档，包括实施技术方案等</w:t>
      </w:r>
    </w:p>
    <w:p>
      <w:pPr>
        <w:pStyle w:val="143"/>
      </w:pPr>
      <w:r>
        <w:rPr>
          <w:rFonts w:hint="eastAsia"/>
        </w:rPr>
        <w:t>（2）需求报审文档，包括《</w:t>
      </w:r>
      <w:r>
        <w:t>软件需求说明书</w:t>
      </w:r>
      <w:r>
        <w:rPr>
          <w:rFonts w:hint="eastAsia"/>
        </w:rPr>
        <w:t>》</w:t>
      </w:r>
      <w:r>
        <w:t>等</w:t>
      </w:r>
    </w:p>
    <w:p>
      <w:pPr>
        <w:pStyle w:val="143"/>
      </w:pPr>
      <w:r>
        <w:rPr>
          <w:rFonts w:hint="eastAsia"/>
        </w:rPr>
        <w:t>（</w:t>
      </w:r>
      <w:r>
        <w:t>3</w:t>
      </w:r>
      <w:r>
        <w:rPr>
          <w:rFonts w:hint="eastAsia"/>
        </w:rPr>
        <w:t>）设计报审文档，包括《系统设计说明书》（概要设计</w:t>
      </w:r>
      <w:r>
        <w:t>/详细设计）、《数据库设计说明书》（概要设计/详细设计）等</w:t>
      </w:r>
    </w:p>
    <w:p>
      <w:pPr>
        <w:pStyle w:val="143"/>
      </w:pPr>
      <w:r>
        <w:rPr>
          <w:rFonts w:hint="eastAsia"/>
        </w:rPr>
        <w:t>（</w:t>
      </w:r>
      <w:r>
        <w:t>4</w:t>
      </w:r>
      <w:r>
        <w:rPr>
          <w:rFonts w:hint="eastAsia"/>
        </w:rPr>
        <w:t>）测试方案报审文档，包括测试方案、测试计划、测试用例等</w:t>
      </w:r>
    </w:p>
    <w:p>
      <w:pPr>
        <w:pStyle w:val="143"/>
      </w:pPr>
      <w:r>
        <w:rPr>
          <w:rFonts w:hint="eastAsia"/>
        </w:rPr>
        <w:t>（</w:t>
      </w:r>
      <w:r>
        <w:t>5</w:t>
      </w:r>
      <w:r>
        <w:rPr>
          <w:rFonts w:hint="eastAsia"/>
        </w:rPr>
        <w:t>）培训报审文档（包括用户培训方案</w:t>
      </w:r>
      <w:r>
        <w:t>/计划等）、培训小结文档（包括培训记录、培训用户报告等）</w:t>
      </w:r>
    </w:p>
    <w:p>
      <w:pPr>
        <w:pStyle w:val="143"/>
      </w:pPr>
      <w:r>
        <w:rPr>
          <w:rFonts w:hint="eastAsia"/>
        </w:rPr>
        <w:t>（</w:t>
      </w:r>
      <w:r>
        <w:t>6</w:t>
      </w:r>
      <w:r>
        <w:rPr>
          <w:rFonts w:hint="eastAsia"/>
        </w:rPr>
        <w:t>）试运行报审文档（包括试运行方案</w:t>
      </w:r>
      <w:r>
        <w:t>/计划等）、试运行小结文档（包括问题记录、试运行用户报告等）</w:t>
      </w:r>
    </w:p>
    <w:p>
      <w:pPr>
        <w:pStyle w:val="143"/>
      </w:pPr>
      <w:r>
        <w:rPr>
          <w:rFonts w:hint="eastAsia"/>
        </w:rPr>
        <w:t>（</w:t>
      </w:r>
      <w:r>
        <w:t>7</w:t>
      </w:r>
      <w:r>
        <w:rPr>
          <w:rFonts w:hint="eastAsia"/>
        </w:rPr>
        <w:t>）项目总结报告</w:t>
      </w:r>
    </w:p>
    <w:p>
      <w:pPr>
        <w:pStyle w:val="143"/>
      </w:pPr>
      <w:r>
        <w:rPr>
          <w:rFonts w:hint="eastAsia"/>
        </w:rPr>
        <w:t>（</w:t>
      </w:r>
      <w:r>
        <w:t>8</w:t>
      </w:r>
      <w:r>
        <w:rPr>
          <w:rFonts w:hint="eastAsia"/>
        </w:rPr>
        <w:t>）软件功能清单对照表</w:t>
      </w:r>
    </w:p>
    <w:p>
      <w:pPr>
        <w:pStyle w:val="143"/>
      </w:pPr>
      <w:r>
        <w:t>4</w:t>
      </w:r>
      <w:r>
        <w:rPr>
          <w:rFonts w:hint="eastAsia"/>
        </w:rPr>
        <w:t>．用户使用</w:t>
      </w:r>
      <w:r>
        <w:t>/评价报告</w:t>
      </w:r>
    </w:p>
    <w:p>
      <w:pPr>
        <w:pStyle w:val="143"/>
      </w:pPr>
      <w:r>
        <w:rPr>
          <w:rFonts w:hint="eastAsia"/>
        </w:rPr>
        <w:t>提供全套技术文件纸介质</w:t>
      </w:r>
      <w:r>
        <w:t>3套以及电子文件1套。</w:t>
      </w:r>
    </w:p>
    <w:p>
      <w:pPr>
        <w:pStyle w:val="2"/>
      </w:pPr>
      <w:r>
        <w:rPr>
          <w:rFonts w:hint="eastAsia"/>
        </w:rPr>
        <w:t>供应商管理要求</w:t>
      </w:r>
      <w:bookmarkEnd w:id="34"/>
    </w:p>
    <w:p>
      <w:pPr>
        <w:pStyle w:val="80"/>
        <w:numPr>
          <w:ilvl w:val="0"/>
          <w:numId w:val="5"/>
        </w:numPr>
        <w:ind w:firstLine="480"/>
        <w:rPr>
          <w:rFonts w:hint="eastAsia"/>
          <w:sz w:val="24"/>
          <w:szCs w:val="24"/>
          <w:lang w:eastAsia="zh-CN"/>
        </w:rPr>
      </w:pPr>
      <w:r>
        <w:rPr>
          <w:rFonts w:hint="eastAsia"/>
          <w:sz w:val="24"/>
          <w:szCs w:val="24"/>
        </w:rPr>
        <w:t>供应商具有信息安全管理体系认证信息安全管理体系认证（ISO 27001或GB/T 22080）、质量管理体系认证（ISO9001或GB/T19001）、信息技术服务管理体系认证（ISO20000）的</w:t>
      </w:r>
      <w:r>
        <w:rPr>
          <w:rFonts w:hint="eastAsia"/>
          <w:sz w:val="24"/>
          <w:szCs w:val="24"/>
          <w:lang w:eastAsia="zh-CN"/>
        </w:rPr>
        <w:t>优先考虑。</w:t>
      </w:r>
    </w:p>
    <w:p>
      <w:pPr>
        <w:pStyle w:val="80"/>
        <w:numPr>
          <w:ilvl w:val="0"/>
          <w:numId w:val="5"/>
        </w:numPr>
        <w:ind w:firstLine="480"/>
        <w:rPr>
          <w:sz w:val="24"/>
          <w:szCs w:val="24"/>
        </w:rPr>
      </w:pPr>
      <w:r>
        <w:rPr>
          <w:rFonts w:hint="eastAsia"/>
          <w:sz w:val="24"/>
          <w:szCs w:val="24"/>
        </w:rPr>
        <w:t>在项目实施期间，中标人应严格执行国家、地方、行业有关本项目业务管理和安全作业的法律、法规和制度并按规定承担相应的费用。中标人因违反规定等原因造成的一切损失和责任由中标人自行承担。</w:t>
      </w:r>
    </w:p>
    <w:p>
      <w:pPr>
        <w:pStyle w:val="80"/>
        <w:numPr>
          <w:ilvl w:val="0"/>
          <w:numId w:val="5"/>
        </w:numPr>
        <w:ind w:firstLine="480"/>
        <w:rPr>
          <w:sz w:val="24"/>
          <w:szCs w:val="24"/>
        </w:rPr>
      </w:pPr>
      <w:r>
        <w:rPr>
          <w:rFonts w:hint="eastAsia"/>
          <w:sz w:val="24"/>
          <w:szCs w:val="24"/>
        </w:rPr>
        <w:t>中标人在投标书中承诺并经招标人认定的项目负责人及专业技术人员必须是本单位职工（在本单位缴纳社会保障金）和该项目实施现场的实际操作者，应具有类似本项目的实施经验，并应在软件应用调研、安装、试运行等期间常驻项目现场。未经采购人同意，中标人不得调换或撤离上述人员。如采购人认为有必要，可要求中标人对上述人员中的部分人员作出更好的调整。</w:t>
      </w:r>
    </w:p>
    <w:p>
      <w:pPr>
        <w:pStyle w:val="80"/>
        <w:numPr>
          <w:ilvl w:val="0"/>
          <w:numId w:val="5"/>
        </w:numPr>
        <w:ind w:firstLine="480"/>
        <w:rPr>
          <w:sz w:val="24"/>
          <w:szCs w:val="24"/>
        </w:rPr>
      </w:pPr>
      <w:r>
        <w:rPr>
          <w:rFonts w:hint="eastAsia"/>
          <w:sz w:val="24"/>
          <w:szCs w:val="24"/>
        </w:rPr>
        <w:t>中标人在项目实施期间，应按项目实际进度与环节落实所对应项目整体及各环节管理工作，按照规范做好项目实施期间相关管理与实施记录。</w:t>
      </w:r>
    </w:p>
    <w:p>
      <w:pPr>
        <w:pStyle w:val="80"/>
        <w:numPr>
          <w:ilvl w:val="0"/>
          <w:numId w:val="5"/>
        </w:numPr>
        <w:ind w:firstLine="480"/>
        <w:rPr>
          <w:sz w:val="24"/>
          <w:szCs w:val="24"/>
        </w:rPr>
      </w:pPr>
      <w:r>
        <w:rPr>
          <w:rFonts w:hint="eastAsia"/>
          <w:sz w:val="24"/>
          <w:szCs w:val="24"/>
        </w:rPr>
        <w:t>参与本项目的工作人员应严格遵循采购人的安全制度，保障采购人资料和设备的安全。中标方如需进入采购人机房工作，只能在采购人规定的工作区域内对项目涉及的设备进行操作，严禁触动与项目无关的任何设备（包括任何操作行为），如需跨区操作必须得到采购人项目联系人确认。</w:t>
      </w:r>
    </w:p>
    <w:p>
      <w:pPr>
        <w:pStyle w:val="80"/>
        <w:numPr>
          <w:ilvl w:val="0"/>
          <w:numId w:val="5"/>
        </w:numPr>
        <w:ind w:firstLine="480"/>
        <w:rPr>
          <w:sz w:val="24"/>
          <w:szCs w:val="24"/>
        </w:rPr>
      </w:pPr>
      <w:r>
        <w:rPr>
          <w:rFonts w:hint="eastAsia"/>
          <w:sz w:val="24"/>
          <w:szCs w:val="24"/>
        </w:rPr>
        <w:t>中标人在项目实施期间必须遵守采购人的规章制度并提供实施人员名单。</w:t>
      </w:r>
    </w:p>
    <w:p>
      <w:pPr>
        <w:pStyle w:val="80"/>
        <w:numPr>
          <w:ilvl w:val="0"/>
          <w:numId w:val="5"/>
        </w:numPr>
        <w:ind w:firstLine="480"/>
        <w:rPr>
          <w:sz w:val="24"/>
          <w:szCs w:val="24"/>
        </w:rPr>
      </w:pPr>
      <w:r>
        <w:rPr>
          <w:rFonts w:hint="eastAsia"/>
          <w:sz w:val="24"/>
          <w:szCs w:val="24"/>
        </w:rPr>
        <w:t>各投标人在投标文件中要结合本项目的特点和采购人上述的具体要求制定相应的管理措施，并在报价中列支相应的费用清单，投标人报价中未列支上述费用清单的，上述费用视为已包含在投标人的投标总报价中。</w:t>
      </w:r>
    </w:p>
    <w:p>
      <w:pPr>
        <w:pStyle w:val="80"/>
        <w:numPr>
          <w:ilvl w:val="0"/>
          <w:numId w:val="5"/>
        </w:numPr>
        <w:ind w:firstLine="480"/>
      </w:pPr>
      <w:r>
        <w:rPr>
          <w:rFonts w:hint="eastAsia"/>
          <w:sz w:val="24"/>
          <w:szCs w:val="24"/>
        </w:rPr>
        <w:t>本项目软件开发及调试将纳入采购人的管理范围，中标人在此过程中须服从上述单位的管理协调。</w:t>
      </w:r>
    </w:p>
    <w:p>
      <w:pPr>
        <w:pStyle w:val="2"/>
      </w:pPr>
      <w:bookmarkStart w:id="35" w:name="_Toc63785513"/>
      <w:r>
        <w:rPr>
          <w:rFonts w:hint="eastAsia"/>
        </w:rPr>
        <w:t>关于转让和分包的规定</w:t>
      </w:r>
    </w:p>
    <w:p>
      <w:pPr>
        <w:pStyle w:val="143"/>
      </w:pPr>
      <w:r>
        <w:rPr>
          <w:rFonts w:hint="eastAsia"/>
        </w:rPr>
        <w:t>本项目不得转让、不得分包。</w:t>
      </w:r>
    </w:p>
    <w:p>
      <w:pPr>
        <w:pStyle w:val="2"/>
      </w:pPr>
      <w:r>
        <w:rPr>
          <w:rFonts w:hint="eastAsia"/>
        </w:rPr>
        <w:t>知识产权及保密要求</w:t>
      </w:r>
      <w:bookmarkEnd w:id="35"/>
    </w:p>
    <w:p>
      <w:pPr>
        <w:ind w:firstLine="482"/>
        <w:rPr>
          <w:b/>
        </w:rPr>
      </w:pPr>
      <w:r>
        <w:rPr>
          <w:b/>
        </w:rPr>
        <w:t>1、中标人数据、文件、资料知识产权</w:t>
      </w:r>
    </w:p>
    <w:p>
      <w:r>
        <w:rPr>
          <w:rFonts w:hint="eastAsia"/>
        </w:rPr>
        <w:t>中标人保证其所提供的服务和交付的成果以及在履行本项目义务中使用到的所有数据、文件、信息不会引起任何第三方在专利权、著作权、商标权等知识产权方面向采购人或采购人的关联方及合作方（包括但不限于采购人的主管单位和采购人的合作单位等）发出侵权指控或提出索赔。若有，中标人应负责与第三方解决纠纷，若因此导致采购人损失的，采购人有权要求中标人赔偿采购人因此遭受的全部损失，包括但不限于直接损失、间接损失、诉讼费／仲裁费、律师费、公证费、鉴定费等。</w:t>
      </w:r>
    </w:p>
    <w:p>
      <w:r>
        <w:rPr>
          <w:rFonts w:hint="eastAsia"/>
        </w:rPr>
        <w:t>中标人因履行本项目而产生的所有成果的知识产权等权利均归采购人所有，中标人应配合采购人进行相关权利登记或申请。未经采购人书面同意，中标人不得以任何形式使用或许可他人使用本项目成果的相关内容，不得擅自对外公开发表或向任何第三方透露。</w:t>
      </w:r>
    </w:p>
    <w:p>
      <w:r>
        <w:rPr>
          <w:rFonts w:hint="eastAsia"/>
        </w:rPr>
        <w:t>在不影响上述条款规定的由采购人取得所有成果的知识产权的前提下，双方因履行本项目而被授权接触或使用对方之知识产权（包括但不限于商标、专利、著作权等），和/或任何其他相关资料、数据等涉及的任何权利，均不视为向另一方转让上述权利或在本项目范围外授权许可另一方使用上述权利，上述权利仍应属于提供方，并仅可使用于本项目，被授权接触或使用方未经提供方书面同意，不得擅自挪作他用。</w:t>
      </w:r>
    </w:p>
    <w:p>
      <w:pPr>
        <w:ind w:firstLine="482"/>
        <w:rPr>
          <w:b/>
        </w:rPr>
      </w:pPr>
      <w:r>
        <w:rPr>
          <w:b/>
        </w:rPr>
        <w:t>2、项目保密要求</w:t>
      </w:r>
    </w:p>
    <w:p>
      <w:r>
        <w:rPr>
          <w:rFonts w:hint="eastAsia"/>
        </w:rPr>
        <w:t>中标人因履行本项目而知悉的所有数据、信息和资料（包括但不限于账号信息、图表、文字、计算过程、任何形式的文件、访谈记录、现场实测数据、采购人相关工作程序等）以及因履行本项目而形成的数据、信息和任何形式的工作成果，均是采购人要求保密的信息。未经采购人书面同意，中标人不得对外泄露采购人要求保密的信息，不得用于其他用途，否则中标人需承担由此引起的法律责任和经济责任，包括但不限于直接损失、间接损失、律师费、诉讼费/仲裁费、调查费、公证费等。</w:t>
      </w:r>
    </w:p>
    <w:p>
      <w:r>
        <w:rPr>
          <w:rFonts w:hint="eastAsia"/>
        </w:rPr>
        <w:t>中标人应采取必要的有效措施保证其参与本项目的人员（包括中标人聘用的人员、借调的人员、实习的人员）无论是在职或离职后，以及中标人的合作方无论是合作中或合作终止后，都能够履行本项目约定的保密义务。若中标人人员或中标人合作方违反保密规定，中标人应承担连带责任。</w:t>
      </w:r>
    </w:p>
    <w:p>
      <w:r>
        <w:rPr>
          <w:rFonts w:hint="eastAsia"/>
        </w:rPr>
        <w:t>中标人（含中标人参与本项目的人员以及其合作方）未经采购方书面许可，不得以任何形式自行使用或以任何方式向第三方披露、转让、授权、出售与本项目有关的技术成果、计算机软件、源代码、策划文档、技术诀窍、秘密信息、技术资料和其他文件。</w:t>
      </w:r>
    </w:p>
    <w:p>
      <w:r>
        <w:rPr>
          <w:rFonts w:hint="eastAsia"/>
        </w:rPr>
        <w:t>以上内容的保密期限自中标人知悉保密信息起始至保密信息被合法公开之日止。</w:t>
      </w:r>
    </w:p>
    <w:p>
      <w:pPr>
        <w:ind w:firstLine="482"/>
        <w:rPr>
          <w:b/>
        </w:rPr>
      </w:pPr>
      <w:r>
        <w:rPr>
          <w:b/>
        </w:rPr>
        <w:t>3、临时账号等使用要求</w:t>
      </w:r>
    </w:p>
    <w:p>
      <w:r>
        <w:rPr>
          <w:rFonts w:hint="eastAsia"/>
        </w:rPr>
        <w:t>中标人对采购人提拱的临时使用账号要保密，不得公开，对组件开发的账号密码需进行加密，避免信息安全的泄露。未经采购人的同意不得利用采购人的网络及平台进行短信、彩信、微信发送</w:t>
      </w:r>
      <w:r>
        <w:t>,造成的一切后果由中标人负责。</w:t>
      </w:r>
    </w:p>
    <w:p>
      <w:pPr>
        <w:pStyle w:val="2"/>
      </w:pPr>
      <w:bookmarkStart w:id="36" w:name="_Toc65170093"/>
      <w:r>
        <w:t>项目的变更、解除和终止</w:t>
      </w:r>
    </w:p>
    <w:p>
      <w:r>
        <w:rPr>
          <w:rFonts w:hint="eastAsia"/>
        </w:rPr>
        <w:t>如果中标人丧失履约能力、发生资不抵债或进入破产程序，采购人可在任何时候以书面形式通知中标人终止本项目的执行而不给予中标人补偿。该终止本项目将不损害或影响采购人已经采取或将要采取任何行动或补救措施的权利。</w:t>
      </w:r>
    </w:p>
    <w:p>
      <w:r>
        <w:rPr>
          <w:rFonts w:hint="eastAsia"/>
        </w:rPr>
        <w:t>如遇国家、行业管理部门等机构的有关标准和规定调整的，导致本项目内容须做相应调整时，双方应按照公平、合理的原则共同协商修改本项目对应的合同的相关条款。</w:t>
      </w:r>
    </w:p>
    <w:p>
      <w:pPr>
        <w:pStyle w:val="2"/>
      </w:pPr>
      <w:r>
        <w:rPr>
          <w:rFonts w:hint="eastAsia"/>
        </w:rPr>
        <w:t>违约责任</w:t>
      </w:r>
      <w:bookmarkEnd w:id="36"/>
    </w:p>
    <w:p>
      <w:r>
        <w:t>1、如中标人未按约定的时间或服务标准完成建设工作，采购人可要求中标人在规定的时间内采取补救措施。中标人还应向采购人支付本项目费用总额30%的违约金，违约金不足以弥补采购人损失的，采购人有权要求中标人赔偿超过部分。</w:t>
      </w:r>
    </w:p>
    <w:p>
      <w:r>
        <w:t>2、因中标人违反保密义务或知识产权约定的，采购人有权要求中标人支付本项目费用总额30%的违约金，违约金不足以弥补采购人损失的，采购人有权要求中标人赔偿超过部分。若中标人违反保密义务，采购人还有权立即单方解除合同而不承担任何违约责任。</w:t>
      </w:r>
    </w:p>
    <w:p>
      <w:r>
        <w:t>3、中标人有其他违反本项目合同约定的行为，中标人应当支付本项目总价款金额的20%作为违约金，违约金不足以弥补采购人损失的，采购人有权要求中标人赔偿超过部分。</w:t>
      </w:r>
    </w:p>
    <w:p>
      <w:r>
        <w:t>4、中标人有下列情形之一，采购人有权解除合同：</w:t>
      </w:r>
    </w:p>
    <w:p>
      <w:r>
        <w:rPr>
          <w:rFonts w:hint="eastAsia"/>
        </w:rPr>
        <w:t>（1</w:t>
      </w:r>
      <w:r>
        <w:t>）因中标人服务质量问题导致采购人无法实现目的；</w:t>
      </w:r>
    </w:p>
    <w:p>
      <w:r>
        <w:rPr>
          <w:rFonts w:hint="eastAsia"/>
        </w:rPr>
        <w:t>（2</w:t>
      </w:r>
      <w:r>
        <w:t>）擅自转让或者分包其应履行的义务的；</w:t>
      </w:r>
    </w:p>
    <w:p>
      <w:r>
        <w:rPr>
          <w:rFonts w:hint="eastAsia"/>
        </w:rPr>
        <w:t>（3</w:t>
      </w:r>
      <w:r>
        <w:t>）违反或者未履行本项目合同约定的其他相关义务，且在采购人要求的合理时间内未能纠正的。</w:t>
      </w:r>
    </w:p>
    <w:p>
      <w:pPr>
        <w:pStyle w:val="2"/>
      </w:pPr>
      <w:bookmarkStart w:id="37" w:name="_Toc63785514"/>
      <w:r>
        <w:rPr>
          <w:rFonts w:hint="eastAsia"/>
        </w:rPr>
        <w:t>付款</w:t>
      </w:r>
      <w:bookmarkEnd w:id="37"/>
      <w:r>
        <w:rPr>
          <w:rFonts w:hint="eastAsia"/>
        </w:rPr>
        <w:t>方式</w:t>
      </w:r>
    </w:p>
    <w:p>
      <w:pPr>
        <w:pStyle w:val="143"/>
      </w:pPr>
      <w:bookmarkStart w:id="38" w:name="PO_付款方法9"/>
      <w:r>
        <w:rPr>
          <w:rFonts w:hint="eastAsia"/>
        </w:rPr>
        <w:t>本项目分两期进行付款</w:t>
      </w:r>
    </w:p>
    <w:p>
      <w:pPr>
        <w:pStyle w:val="143"/>
      </w:pPr>
      <w:r>
        <w:rPr>
          <w:rFonts w:hint="eastAsia"/>
        </w:rPr>
        <w:t>a.合同签订生效后 10个工作日内，支付合同总价款的70%；</w:t>
      </w:r>
    </w:p>
    <w:p>
      <w:pPr>
        <w:pStyle w:val="143"/>
      </w:pPr>
      <w:r>
        <w:rPr>
          <w:rFonts w:hint="eastAsia"/>
        </w:rPr>
        <w:t>b.通过最终验收后 10个工作日内，支付合同尾款。</w:t>
      </w:r>
    </w:p>
    <w:p>
      <w:pPr>
        <w:pStyle w:val="143"/>
      </w:pPr>
      <w:r>
        <w:rPr>
          <w:rFonts w:hint="eastAsia"/>
        </w:rPr>
        <w:t>付款条件备注：服务提供方应当在采购方每次付款前提前至少10个工作日向采购方提供有效发票。</w:t>
      </w:r>
      <w:bookmarkEnd w:id="38"/>
    </w:p>
    <w:p>
      <w:pPr>
        <w:pStyle w:val="143"/>
      </w:pPr>
    </w:p>
    <w:sectPr>
      <w:footerReference r:id="rId11" w:type="first"/>
      <w:pgSz w:w="11906" w:h="16838"/>
      <w:pgMar w:top="1134" w:right="1797" w:bottom="1135" w:left="1797" w:header="340" w:footer="7" w:gutter="0"/>
      <w:pgNumType w:start="1"/>
      <w:cols w:space="720" w:num="1"/>
      <w:titlePg/>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方正书宋_GBK">
    <w:panose1 w:val="02000000000000000000"/>
    <w:charset w:val="86"/>
    <w:family w:val="auto"/>
    <w:pitch w:val="default"/>
    <w:sig w:usb0="00000001" w:usb1="08000000" w:usb2="0000000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1F00FF" w:csb1="FFFF0000"/>
  </w:font>
  <w:font w:name="方正黑体_GBK">
    <w:panose1 w:val="02000000000000000000"/>
    <w:charset w:val="86"/>
    <w:family w:val="auto"/>
    <w:pitch w:val="default"/>
    <w:sig w:usb0="00000001" w:usb1="08000000" w:usb2="00000000" w:usb3="00000000" w:csb0="00040000" w:csb1="00000000"/>
  </w:font>
  <w:font w:name="Cambria">
    <w:panose1 w:val="02040503050406030204"/>
    <w:charset w:val="00"/>
    <w:family w:val="roman"/>
    <w:pitch w:val="default"/>
    <w:sig w:usb0="A00002EF" w:usb1="4000004B" w:usb2="00000000" w:usb3="00000000" w:csb0="2000009F" w:csb1="00000000"/>
  </w:font>
  <w:font w:name="等线">
    <w:altName w:val="Arial Unicode MS"/>
    <w:panose1 w:val="02010600030101010101"/>
    <w:charset w:val="86"/>
    <w:family w:val="auto"/>
    <w:pitch w:val="default"/>
    <w:sig w:usb0="00000000" w:usb1="00000000" w:usb2="00000016" w:usb3="00000000" w:csb0="0004000F" w:csb1="00000000"/>
  </w:font>
  <w:font w:name="Calibri Light">
    <w:altName w:val="Century Gothic"/>
    <w:panose1 w:val="020F0302020204030204"/>
    <w:charset w:val="00"/>
    <w:family w:val="swiss"/>
    <w:pitch w:val="default"/>
    <w:sig w:usb0="00000000" w:usb1="00000000" w:usb2="00000009" w:usb3="00000000" w:csb0="000001FF" w:csb1="00000000"/>
  </w:font>
  <w:font w:name="Century Gothic">
    <w:panose1 w:val="020B0502020202020204"/>
    <w:charset w:val="00"/>
    <w:family w:val="auto"/>
    <w:pitch w:val="default"/>
    <w:sig w:usb0="00000287" w:usb1="00000000" w:usb2="00000000" w:usb3="00000000" w:csb0="2000009F" w:csb1="DFD70000"/>
  </w:font>
  <w:font w:name="等线 Light">
    <w:altName w:val="書體坊顏體㊣"/>
    <w:panose1 w:val="02010600030101010101"/>
    <w:charset w:val="86"/>
    <w:family w:val="auto"/>
    <w:pitch w:val="default"/>
    <w:sig w:usb0="00000000" w:usb1="00000000" w:usb2="00000016" w:usb3="00000000" w:csb0="0004000F" w:csb1="00000000"/>
  </w:font>
  <w:font w:name="書體坊顏體㊣">
    <w:panose1 w:val="02010600030101010101"/>
    <w:charset w:val="86"/>
    <w:family w:val="auto"/>
    <w:pitch w:val="default"/>
    <w:sig w:usb0="00000001" w:usb1="080E0000" w:usb2="00000000" w:usb3="00000000" w:csb0="00040000" w:csb1="00000000"/>
  </w:font>
  <w:font w:name="time">
    <w:altName w:val="演示斜黑体"/>
    <w:panose1 w:val="00000000000000000000"/>
    <w:charset w:val="00"/>
    <w:family w:val="roman"/>
    <w:pitch w:val="default"/>
    <w:sig w:usb0="00000000" w:usb1="00000000" w:usb2="00000000" w:usb3="00000000" w:csb0="00040001" w:csb1="00000000"/>
  </w:font>
  <w:font w:name="演示斜黑体">
    <w:panose1 w:val="00000A08000000000000"/>
    <w:charset w:val="86"/>
    <w:family w:val="auto"/>
    <w:pitch w:val="default"/>
    <w:sig w:usb0="00000001" w:usb1="00000000" w:usb2="00000000" w:usb3="00000000" w:csb0="00040000" w:csb1="00000000"/>
  </w:font>
  <w:font w:name="Microsoft YaHei UI">
    <w:altName w:val="微软雅黑"/>
    <w:panose1 w:val="020B0503020204020204"/>
    <w:charset w:val="86"/>
    <w:family w:val="swiss"/>
    <w:pitch w:val="default"/>
    <w:sig w:usb0="00000000" w:usb1="00000000" w:usb2="00000016" w:usb3="00000000" w:csb0="0004001F" w:csb1="00000000"/>
  </w:font>
  <w:font w:name="微软雅黑">
    <w:panose1 w:val="020B0503020204020204"/>
    <w:charset w:val="86"/>
    <w:family w:val="auto"/>
    <w:pitch w:val="default"/>
    <w:sig w:usb0="80000287" w:usb1="2A0F3C52" w:usb2="00000016" w:usb3="00000000" w:csb0="0004001F" w:csb1="00000000"/>
  </w:font>
  <w:font w:name="Microsoft Sans Serif">
    <w:panose1 w:val="020B0604020202020204"/>
    <w:charset w:val="00"/>
    <w:family w:val="swiss"/>
    <w:pitch w:val="default"/>
    <w:sig w:usb0="61007BDF" w:usb1="80000000" w:usb2="00000008" w:usb3="00000000" w:csb0="200101FF" w:csb1="2028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jc w:val="center"/>
    </w:pPr>
    <w:r>
      <w:fldChar w:fldCharType="begin"/>
    </w:r>
    <w:r>
      <w:instrText xml:space="preserve">PAGE   \* MERGEFORMAT</w:instrText>
    </w:r>
    <w:r>
      <w:fldChar w:fldCharType="separate"/>
    </w:r>
    <w:r>
      <w:rPr>
        <w:lang w:val="zh-CN"/>
      </w:rPr>
      <w:t>2</w:t>
    </w:r>
    <w:r>
      <w:rPr>
        <w:lang w:val="zh-CN"/>
      </w:rPr>
      <w:fldChar w:fldCharType="end"/>
    </w: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jc w:val="center"/>
      <w:rPr>
        <w:lang w:val="zh-CN"/>
      </w:rPr>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BCC7CA"/>
    <w:multiLevelType w:val="singleLevel"/>
    <w:tmpl w:val="8ABCC7CA"/>
    <w:lvl w:ilvl="0" w:tentative="0">
      <w:start w:val="1"/>
      <w:numFmt w:val="decimal"/>
      <w:lvlText w:val="%1)"/>
      <w:lvlJc w:val="left"/>
      <w:pPr>
        <w:ind w:left="425" w:hanging="425"/>
      </w:pPr>
      <w:rPr>
        <w:rFonts w:hint="default"/>
      </w:rPr>
    </w:lvl>
  </w:abstractNum>
  <w:abstractNum w:abstractNumId="1">
    <w:nsid w:val="9FE729CF"/>
    <w:multiLevelType w:val="singleLevel"/>
    <w:tmpl w:val="9FE729CF"/>
    <w:lvl w:ilvl="0" w:tentative="0">
      <w:start w:val="1"/>
      <w:numFmt w:val="decimal"/>
      <w:suff w:val="nothing"/>
      <w:lvlText w:val="%1、"/>
      <w:lvlJc w:val="left"/>
    </w:lvl>
  </w:abstractNum>
  <w:abstractNum w:abstractNumId="2">
    <w:nsid w:val="22AF5309"/>
    <w:multiLevelType w:val="multilevel"/>
    <w:tmpl w:val="22AF5309"/>
    <w:lvl w:ilvl="0" w:tentative="0">
      <w:start w:val="1"/>
      <w:numFmt w:val="decimal"/>
      <w:lvlText w:val="%1."/>
      <w:lvlJc w:val="left"/>
      <w:pPr>
        <w:ind w:left="920" w:hanging="440"/>
      </w:pPr>
      <w:rPr>
        <w:rFonts w:ascii="仿宋" w:hAnsi="仿宋" w:eastAsia="仿宋"/>
        <w:b w:val="0"/>
        <w:bCs w:val="0"/>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3">
    <w:nsid w:val="6350366A"/>
    <w:multiLevelType w:val="multilevel"/>
    <w:tmpl w:val="6350366A"/>
    <w:lvl w:ilvl="0" w:tentative="0">
      <w:start w:val="1"/>
      <w:numFmt w:val="none"/>
      <w:pStyle w:val="112"/>
      <w:lvlText w:val="%1●　"/>
      <w:lvlJc w:val="left"/>
      <w:pPr>
        <w:tabs>
          <w:tab w:val="left" w:pos="760"/>
        </w:tabs>
        <w:ind w:left="717" w:hanging="317"/>
      </w:pPr>
      <w:rPr>
        <w:rFonts w:hint="eastAsia" w:ascii="宋体" w:hAnsi="Times New Roman" w:eastAsia="宋体"/>
        <w:b w:val="0"/>
        <w:i w:val="0"/>
        <w:position w:val="4"/>
        <w:sz w:val="13"/>
      </w:rPr>
    </w:lvl>
    <w:lvl w:ilvl="1" w:tentative="0">
      <w:start w:val="1"/>
      <w:numFmt w:val="lowerLetter"/>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A2F4AB3"/>
    <w:multiLevelType w:val="multilevel"/>
    <w:tmpl w:val="6A2F4AB3"/>
    <w:lvl w:ilvl="0" w:tentative="0">
      <w:start w:val="1"/>
      <w:numFmt w:val="chineseCountingThousand"/>
      <w:pStyle w:val="2"/>
      <w:suff w:val="nothing"/>
      <w:lvlText w:val="%1、"/>
      <w:lvlJc w:val="left"/>
      <w:pPr>
        <w:ind w:left="425" w:hanging="425"/>
      </w:pPr>
      <w:rPr>
        <w:rFonts w:hint="eastAsia"/>
        <w:sz w:val="32"/>
        <w:szCs w:val="32"/>
      </w:rPr>
    </w:lvl>
    <w:lvl w:ilvl="1" w:tentative="0">
      <w:start w:val="1"/>
      <w:numFmt w:val="decimal"/>
      <w:pStyle w:val="3"/>
      <w:isLgl/>
      <w:suff w:val="nothing"/>
      <w:lvlText w:val="%1.%2、"/>
      <w:lvlJc w:val="left"/>
      <w:pPr>
        <w:ind w:left="1135" w:hanging="567"/>
      </w:pPr>
    </w:lvl>
    <w:lvl w:ilvl="2" w:tentative="0">
      <w:start w:val="1"/>
      <w:numFmt w:val="decimal"/>
      <w:pStyle w:val="4"/>
      <w:isLgl/>
      <w:suff w:val="nothing"/>
      <w:lvlText w:val="%1.%2.%3、"/>
      <w:lvlJc w:val="left"/>
      <w:pPr>
        <w:ind w:left="1069" w:hanging="1069"/>
      </w:pPr>
      <w:rPr>
        <w:rFonts w:hint="default" w:ascii="宋体" w:hAnsi="宋体" w:eastAsia="宋体" w:cs="Arial"/>
      </w:rPr>
    </w:lvl>
    <w:lvl w:ilvl="3" w:tentative="0">
      <w:start w:val="1"/>
      <w:numFmt w:val="decimal"/>
      <w:pStyle w:val="5"/>
      <w:isLgl/>
      <w:suff w:val="nothing"/>
      <w:lvlText w:val="%1.%2.%3.%4、"/>
      <w:lvlJc w:val="left"/>
      <w:pPr>
        <w:ind w:left="3403" w:hanging="851"/>
      </w:pPr>
    </w:lvl>
    <w:lvl w:ilvl="4" w:tentative="0">
      <w:start w:val="1"/>
      <w:numFmt w:val="decimal"/>
      <w:pStyle w:val="6"/>
      <w:isLgl/>
      <w:suff w:val="nothing"/>
      <w:lvlText w:val="%1.%2.%3.%4.%5、"/>
      <w:lvlJc w:val="left"/>
      <w:pPr>
        <w:ind w:left="3544" w:hanging="992"/>
      </w:pPr>
      <w:rPr>
        <w:rFonts w:hint="eastAsia"/>
      </w:rPr>
    </w:lvl>
    <w:lvl w:ilvl="5" w:tentative="0">
      <w:start w:val="1"/>
      <w:numFmt w:val="decimal"/>
      <w:pStyle w:val="7"/>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0C0"/>
    <w:rsid w:val="0000005A"/>
    <w:rsid w:val="00000AED"/>
    <w:rsid w:val="00003516"/>
    <w:rsid w:val="0000380E"/>
    <w:rsid w:val="00005AFD"/>
    <w:rsid w:val="00006563"/>
    <w:rsid w:val="000074F1"/>
    <w:rsid w:val="00007A41"/>
    <w:rsid w:val="00007DA7"/>
    <w:rsid w:val="00012EF0"/>
    <w:rsid w:val="000156DE"/>
    <w:rsid w:val="000165AD"/>
    <w:rsid w:val="000179E9"/>
    <w:rsid w:val="00020C18"/>
    <w:rsid w:val="00021EE6"/>
    <w:rsid w:val="0002280E"/>
    <w:rsid w:val="00022C74"/>
    <w:rsid w:val="00025122"/>
    <w:rsid w:val="000252D5"/>
    <w:rsid w:val="00026997"/>
    <w:rsid w:val="00027A64"/>
    <w:rsid w:val="00032D27"/>
    <w:rsid w:val="00035325"/>
    <w:rsid w:val="00035D5B"/>
    <w:rsid w:val="000378D0"/>
    <w:rsid w:val="00037F2C"/>
    <w:rsid w:val="00042C2A"/>
    <w:rsid w:val="000430EC"/>
    <w:rsid w:val="000447CB"/>
    <w:rsid w:val="00047915"/>
    <w:rsid w:val="00047D06"/>
    <w:rsid w:val="00050FBD"/>
    <w:rsid w:val="0005107A"/>
    <w:rsid w:val="0005192C"/>
    <w:rsid w:val="00052929"/>
    <w:rsid w:val="0005299F"/>
    <w:rsid w:val="000541D7"/>
    <w:rsid w:val="000545C0"/>
    <w:rsid w:val="0005586D"/>
    <w:rsid w:val="00056C0E"/>
    <w:rsid w:val="000574A8"/>
    <w:rsid w:val="000574F8"/>
    <w:rsid w:val="00057A49"/>
    <w:rsid w:val="0006231F"/>
    <w:rsid w:val="00062A05"/>
    <w:rsid w:val="00062EE6"/>
    <w:rsid w:val="0006344E"/>
    <w:rsid w:val="000649E6"/>
    <w:rsid w:val="0006794B"/>
    <w:rsid w:val="00067DCA"/>
    <w:rsid w:val="00070063"/>
    <w:rsid w:val="0007087A"/>
    <w:rsid w:val="000710EC"/>
    <w:rsid w:val="00072237"/>
    <w:rsid w:val="00072ABE"/>
    <w:rsid w:val="00080B39"/>
    <w:rsid w:val="00083950"/>
    <w:rsid w:val="0008452F"/>
    <w:rsid w:val="00084E8E"/>
    <w:rsid w:val="00085A68"/>
    <w:rsid w:val="00090625"/>
    <w:rsid w:val="00090948"/>
    <w:rsid w:val="00091CD1"/>
    <w:rsid w:val="0009460E"/>
    <w:rsid w:val="000951D4"/>
    <w:rsid w:val="000A2146"/>
    <w:rsid w:val="000A2930"/>
    <w:rsid w:val="000A3276"/>
    <w:rsid w:val="000A3C35"/>
    <w:rsid w:val="000A3E30"/>
    <w:rsid w:val="000A5876"/>
    <w:rsid w:val="000A61D0"/>
    <w:rsid w:val="000A6C67"/>
    <w:rsid w:val="000A6DB8"/>
    <w:rsid w:val="000A7596"/>
    <w:rsid w:val="000B0A87"/>
    <w:rsid w:val="000B11A8"/>
    <w:rsid w:val="000B1959"/>
    <w:rsid w:val="000B2E1C"/>
    <w:rsid w:val="000B384E"/>
    <w:rsid w:val="000B4459"/>
    <w:rsid w:val="000B4B46"/>
    <w:rsid w:val="000B5363"/>
    <w:rsid w:val="000B53BA"/>
    <w:rsid w:val="000B642F"/>
    <w:rsid w:val="000B6C99"/>
    <w:rsid w:val="000C3F3C"/>
    <w:rsid w:val="000C5A75"/>
    <w:rsid w:val="000C75F7"/>
    <w:rsid w:val="000D0AB2"/>
    <w:rsid w:val="000D225C"/>
    <w:rsid w:val="000D36F2"/>
    <w:rsid w:val="000D4B26"/>
    <w:rsid w:val="000D74DB"/>
    <w:rsid w:val="000E24D6"/>
    <w:rsid w:val="000E6072"/>
    <w:rsid w:val="000E6D61"/>
    <w:rsid w:val="000E7A23"/>
    <w:rsid w:val="000F1C29"/>
    <w:rsid w:val="000F1E9E"/>
    <w:rsid w:val="000F2B10"/>
    <w:rsid w:val="000F3F72"/>
    <w:rsid w:val="000F766E"/>
    <w:rsid w:val="001055B2"/>
    <w:rsid w:val="001068F0"/>
    <w:rsid w:val="00106AB8"/>
    <w:rsid w:val="00106C9E"/>
    <w:rsid w:val="00106E16"/>
    <w:rsid w:val="0010768B"/>
    <w:rsid w:val="00111701"/>
    <w:rsid w:val="00112A29"/>
    <w:rsid w:val="001167F6"/>
    <w:rsid w:val="00116C86"/>
    <w:rsid w:val="00121ACF"/>
    <w:rsid w:val="00121D8F"/>
    <w:rsid w:val="00122037"/>
    <w:rsid w:val="0012210C"/>
    <w:rsid w:val="00122A7F"/>
    <w:rsid w:val="00123F98"/>
    <w:rsid w:val="001242A5"/>
    <w:rsid w:val="00124531"/>
    <w:rsid w:val="00126EDF"/>
    <w:rsid w:val="00127BBE"/>
    <w:rsid w:val="00131D52"/>
    <w:rsid w:val="001329C1"/>
    <w:rsid w:val="00132C16"/>
    <w:rsid w:val="00136320"/>
    <w:rsid w:val="00136FFA"/>
    <w:rsid w:val="00137AC6"/>
    <w:rsid w:val="00145512"/>
    <w:rsid w:val="001465BD"/>
    <w:rsid w:val="00147B45"/>
    <w:rsid w:val="00150803"/>
    <w:rsid w:val="00151D83"/>
    <w:rsid w:val="0015312A"/>
    <w:rsid w:val="001546C9"/>
    <w:rsid w:val="00154FAE"/>
    <w:rsid w:val="00155E77"/>
    <w:rsid w:val="00156A70"/>
    <w:rsid w:val="00157783"/>
    <w:rsid w:val="00160A61"/>
    <w:rsid w:val="00160FC0"/>
    <w:rsid w:val="00162C1F"/>
    <w:rsid w:val="0016429B"/>
    <w:rsid w:val="00164525"/>
    <w:rsid w:val="00164C50"/>
    <w:rsid w:val="00165CB2"/>
    <w:rsid w:val="00166203"/>
    <w:rsid w:val="00166767"/>
    <w:rsid w:val="001707CB"/>
    <w:rsid w:val="00171477"/>
    <w:rsid w:val="00172A1A"/>
    <w:rsid w:val="00173251"/>
    <w:rsid w:val="00176BED"/>
    <w:rsid w:val="0017759D"/>
    <w:rsid w:val="001804A5"/>
    <w:rsid w:val="00181C94"/>
    <w:rsid w:val="00182C84"/>
    <w:rsid w:val="00184B8B"/>
    <w:rsid w:val="00187031"/>
    <w:rsid w:val="001905B0"/>
    <w:rsid w:val="00191EA4"/>
    <w:rsid w:val="00192B6C"/>
    <w:rsid w:val="00192C30"/>
    <w:rsid w:val="0019381E"/>
    <w:rsid w:val="00194CF5"/>
    <w:rsid w:val="0019503C"/>
    <w:rsid w:val="00195D94"/>
    <w:rsid w:val="00196F7B"/>
    <w:rsid w:val="001971CB"/>
    <w:rsid w:val="0019795C"/>
    <w:rsid w:val="001A053A"/>
    <w:rsid w:val="001A22A2"/>
    <w:rsid w:val="001A2971"/>
    <w:rsid w:val="001A3D52"/>
    <w:rsid w:val="001A460A"/>
    <w:rsid w:val="001A4A4C"/>
    <w:rsid w:val="001A6ED9"/>
    <w:rsid w:val="001B0230"/>
    <w:rsid w:val="001B13AB"/>
    <w:rsid w:val="001B3907"/>
    <w:rsid w:val="001B3B49"/>
    <w:rsid w:val="001B4907"/>
    <w:rsid w:val="001B4DC5"/>
    <w:rsid w:val="001B5505"/>
    <w:rsid w:val="001C2180"/>
    <w:rsid w:val="001C29CC"/>
    <w:rsid w:val="001C3217"/>
    <w:rsid w:val="001C3B98"/>
    <w:rsid w:val="001C6007"/>
    <w:rsid w:val="001C6028"/>
    <w:rsid w:val="001C6365"/>
    <w:rsid w:val="001C7F57"/>
    <w:rsid w:val="001D0E79"/>
    <w:rsid w:val="001D6049"/>
    <w:rsid w:val="001D7339"/>
    <w:rsid w:val="001E2750"/>
    <w:rsid w:val="001E3C14"/>
    <w:rsid w:val="001E4343"/>
    <w:rsid w:val="001E52BB"/>
    <w:rsid w:val="001E660A"/>
    <w:rsid w:val="001F05D6"/>
    <w:rsid w:val="001F5B0A"/>
    <w:rsid w:val="001F640F"/>
    <w:rsid w:val="001F6794"/>
    <w:rsid w:val="001F6F65"/>
    <w:rsid w:val="002002DF"/>
    <w:rsid w:val="00203A6F"/>
    <w:rsid w:val="00205646"/>
    <w:rsid w:val="002063F7"/>
    <w:rsid w:val="002129E5"/>
    <w:rsid w:val="00212AA4"/>
    <w:rsid w:val="00212E13"/>
    <w:rsid w:val="002163C8"/>
    <w:rsid w:val="002179FE"/>
    <w:rsid w:val="00220CC0"/>
    <w:rsid w:val="00221A36"/>
    <w:rsid w:val="00223296"/>
    <w:rsid w:val="0022329B"/>
    <w:rsid w:val="002240F7"/>
    <w:rsid w:val="0022486F"/>
    <w:rsid w:val="00225314"/>
    <w:rsid w:val="00225DF4"/>
    <w:rsid w:val="00226C70"/>
    <w:rsid w:val="00230C8A"/>
    <w:rsid w:val="00231EB3"/>
    <w:rsid w:val="00231F98"/>
    <w:rsid w:val="002324F8"/>
    <w:rsid w:val="002348B0"/>
    <w:rsid w:val="00235CDC"/>
    <w:rsid w:val="00237E76"/>
    <w:rsid w:val="00240BBE"/>
    <w:rsid w:val="00241525"/>
    <w:rsid w:val="00241D87"/>
    <w:rsid w:val="00242907"/>
    <w:rsid w:val="00243C55"/>
    <w:rsid w:val="00243D5E"/>
    <w:rsid w:val="002451EC"/>
    <w:rsid w:val="00245ED4"/>
    <w:rsid w:val="00246B41"/>
    <w:rsid w:val="0025002B"/>
    <w:rsid w:val="002500DE"/>
    <w:rsid w:val="00252457"/>
    <w:rsid w:val="00252581"/>
    <w:rsid w:val="002535B5"/>
    <w:rsid w:val="002538CB"/>
    <w:rsid w:val="002542BD"/>
    <w:rsid w:val="00257672"/>
    <w:rsid w:val="0025774E"/>
    <w:rsid w:val="00257D64"/>
    <w:rsid w:val="0026340A"/>
    <w:rsid w:val="002654EA"/>
    <w:rsid w:val="002704EA"/>
    <w:rsid w:val="0027061A"/>
    <w:rsid w:val="002719CC"/>
    <w:rsid w:val="002730C5"/>
    <w:rsid w:val="0027337C"/>
    <w:rsid w:val="002750DD"/>
    <w:rsid w:val="0027602B"/>
    <w:rsid w:val="00277F5E"/>
    <w:rsid w:val="00280084"/>
    <w:rsid w:val="00280490"/>
    <w:rsid w:val="002860B8"/>
    <w:rsid w:val="0029206E"/>
    <w:rsid w:val="00293382"/>
    <w:rsid w:val="00294F51"/>
    <w:rsid w:val="002958E5"/>
    <w:rsid w:val="002A2342"/>
    <w:rsid w:val="002A279E"/>
    <w:rsid w:val="002A4FA3"/>
    <w:rsid w:val="002B3606"/>
    <w:rsid w:val="002B3D80"/>
    <w:rsid w:val="002B4402"/>
    <w:rsid w:val="002B4946"/>
    <w:rsid w:val="002B4C41"/>
    <w:rsid w:val="002B588D"/>
    <w:rsid w:val="002C1839"/>
    <w:rsid w:val="002C214A"/>
    <w:rsid w:val="002C28E8"/>
    <w:rsid w:val="002C3027"/>
    <w:rsid w:val="002C674D"/>
    <w:rsid w:val="002C7648"/>
    <w:rsid w:val="002C7DC4"/>
    <w:rsid w:val="002D0821"/>
    <w:rsid w:val="002D1929"/>
    <w:rsid w:val="002D1B73"/>
    <w:rsid w:val="002D3CB0"/>
    <w:rsid w:val="002D4800"/>
    <w:rsid w:val="002D5B21"/>
    <w:rsid w:val="002D6F6D"/>
    <w:rsid w:val="002E1FE6"/>
    <w:rsid w:val="002E2EA7"/>
    <w:rsid w:val="002E36D2"/>
    <w:rsid w:val="002E748B"/>
    <w:rsid w:val="002F2002"/>
    <w:rsid w:val="002F335D"/>
    <w:rsid w:val="002F4E32"/>
    <w:rsid w:val="002F503F"/>
    <w:rsid w:val="002F51DD"/>
    <w:rsid w:val="002F5D08"/>
    <w:rsid w:val="002F6895"/>
    <w:rsid w:val="002F6D13"/>
    <w:rsid w:val="003038D3"/>
    <w:rsid w:val="003049C7"/>
    <w:rsid w:val="00304DCF"/>
    <w:rsid w:val="00305F0E"/>
    <w:rsid w:val="0030667A"/>
    <w:rsid w:val="003106DE"/>
    <w:rsid w:val="00311530"/>
    <w:rsid w:val="00312D31"/>
    <w:rsid w:val="00315216"/>
    <w:rsid w:val="0031691C"/>
    <w:rsid w:val="00317AEF"/>
    <w:rsid w:val="00317F49"/>
    <w:rsid w:val="0032089B"/>
    <w:rsid w:val="00323450"/>
    <w:rsid w:val="00323D93"/>
    <w:rsid w:val="0032489B"/>
    <w:rsid w:val="0032525B"/>
    <w:rsid w:val="00326A7A"/>
    <w:rsid w:val="00326FEE"/>
    <w:rsid w:val="003315D7"/>
    <w:rsid w:val="00334DE6"/>
    <w:rsid w:val="0033536D"/>
    <w:rsid w:val="003353FF"/>
    <w:rsid w:val="003366D2"/>
    <w:rsid w:val="00337C79"/>
    <w:rsid w:val="00337FEF"/>
    <w:rsid w:val="0034084C"/>
    <w:rsid w:val="00340D5E"/>
    <w:rsid w:val="003420B5"/>
    <w:rsid w:val="00343646"/>
    <w:rsid w:val="00344CCB"/>
    <w:rsid w:val="00345897"/>
    <w:rsid w:val="00351BFC"/>
    <w:rsid w:val="0035575E"/>
    <w:rsid w:val="003565B4"/>
    <w:rsid w:val="00362E75"/>
    <w:rsid w:val="003631AA"/>
    <w:rsid w:val="003632D5"/>
    <w:rsid w:val="00363575"/>
    <w:rsid w:val="00364EF9"/>
    <w:rsid w:val="00367579"/>
    <w:rsid w:val="0036795B"/>
    <w:rsid w:val="00370A29"/>
    <w:rsid w:val="003722F9"/>
    <w:rsid w:val="00372349"/>
    <w:rsid w:val="00372CBC"/>
    <w:rsid w:val="00373A61"/>
    <w:rsid w:val="00374BDE"/>
    <w:rsid w:val="00376B39"/>
    <w:rsid w:val="003772C0"/>
    <w:rsid w:val="00377BAC"/>
    <w:rsid w:val="00380142"/>
    <w:rsid w:val="00380558"/>
    <w:rsid w:val="00381D3C"/>
    <w:rsid w:val="0038223E"/>
    <w:rsid w:val="00382D92"/>
    <w:rsid w:val="00385AEF"/>
    <w:rsid w:val="003860EA"/>
    <w:rsid w:val="0038781A"/>
    <w:rsid w:val="0039080B"/>
    <w:rsid w:val="0039326E"/>
    <w:rsid w:val="00394E22"/>
    <w:rsid w:val="003967A4"/>
    <w:rsid w:val="00397FA3"/>
    <w:rsid w:val="003A1596"/>
    <w:rsid w:val="003A317E"/>
    <w:rsid w:val="003A345B"/>
    <w:rsid w:val="003A49EE"/>
    <w:rsid w:val="003A674D"/>
    <w:rsid w:val="003A7123"/>
    <w:rsid w:val="003B102E"/>
    <w:rsid w:val="003B2167"/>
    <w:rsid w:val="003B5F5D"/>
    <w:rsid w:val="003B62C8"/>
    <w:rsid w:val="003C0C62"/>
    <w:rsid w:val="003C12DC"/>
    <w:rsid w:val="003C2CDA"/>
    <w:rsid w:val="003D000A"/>
    <w:rsid w:val="003D31E9"/>
    <w:rsid w:val="003D544E"/>
    <w:rsid w:val="003D5980"/>
    <w:rsid w:val="003E0842"/>
    <w:rsid w:val="003E13B0"/>
    <w:rsid w:val="003E2580"/>
    <w:rsid w:val="003E3DEE"/>
    <w:rsid w:val="003E3EBB"/>
    <w:rsid w:val="003E4A4C"/>
    <w:rsid w:val="003E4CBA"/>
    <w:rsid w:val="003E4D2F"/>
    <w:rsid w:val="003E4EDC"/>
    <w:rsid w:val="003E599D"/>
    <w:rsid w:val="003E5C81"/>
    <w:rsid w:val="003E6965"/>
    <w:rsid w:val="003F00E8"/>
    <w:rsid w:val="003F1936"/>
    <w:rsid w:val="003F1BDD"/>
    <w:rsid w:val="003F3BA3"/>
    <w:rsid w:val="003F3BD5"/>
    <w:rsid w:val="003F400E"/>
    <w:rsid w:val="003F6A0A"/>
    <w:rsid w:val="003F6F35"/>
    <w:rsid w:val="003F7768"/>
    <w:rsid w:val="00400E8C"/>
    <w:rsid w:val="004017DC"/>
    <w:rsid w:val="00401B53"/>
    <w:rsid w:val="00402668"/>
    <w:rsid w:val="00404FEC"/>
    <w:rsid w:val="0040534D"/>
    <w:rsid w:val="00405FAD"/>
    <w:rsid w:val="004117AB"/>
    <w:rsid w:val="00412B2F"/>
    <w:rsid w:val="00415281"/>
    <w:rsid w:val="00415716"/>
    <w:rsid w:val="0041604D"/>
    <w:rsid w:val="00417842"/>
    <w:rsid w:val="00417A6E"/>
    <w:rsid w:val="004220AB"/>
    <w:rsid w:val="0042285D"/>
    <w:rsid w:val="004240AA"/>
    <w:rsid w:val="00427D2B"/>
    <w:rsid w:val="00430B13"/>
    <w:rsid w:val="00430CE5"/>
    <w:rsid w:val="0043153C"/>
    <w:rsid w:val="00431D0F"/>
    <w:rsid w:val="0043481C"/>
    <w:rsid w:val="00444307"/>
    <w:rsid w:val="0044436F"/>
    <w:rsid w:val="004443EB"/>
    <w:rsid w:val="00444432"/>
    <w:rsid w:val="00444673"/>
    <w:rsid w:val="0044621E"/>
    <w:rsid w:val="00447BF1"/>
    <w:rsid w:val="00450BA4"/>
    <w:rsid w:val="004511FC"/>
    <w:rsid w:val="00456784"/>
    <w:rsid w:val="00456DCA"/>
    <w:rsid w:val="00461140"/>
    <w:rsid w:val="004611DB"/>
    <w:rsid w:val="004658B0"/>
    <w:rsid w:val="0046614B"/>
    <w:rsid w:val="00467FD7"/>
    <w:rsid w:val="00470073"/>
    <w:rsid w:val="004730F8"/>
    <w:rsid w:val="00474353"/>
    <w:rsid w:val="00474555"/>
    <w:rsid w:val="004750F4"/>
    <w:rsid w:val="00476CB1"/>
    <w:rsid w:val="00480A48"/>
    <w:rsid w:val="00482501"/>
    <w:rsid w:val="00482E7D"/>
    <w:rsid w:val="00484395"/>
    <w:rsid w:val="004865FB"/>
    <w:rsid w:val="00486C03"/>
    <w:rsid w:val="00491AB3"/>
    <w:rsid w:val="00497A33"/>
    <w:rsid w:val="004A1112"/>
    <w:rsid w:val="004A1DA0"/>
    <w:rsid w:val="004A1F20"/>
    <w:rsid w:val="004A2393"/>
    <w:rsid w:val="004A3569"/>
    <w:rsid w:val="004A452A"/>
    <w:rsid w:val="004A5F2C"/>
    <w:rsid w:val="004A6E4F"/>
    <w:rsid w:val="004A720D"/>
    <w:rsid w:val="004B00D0"/>
    <w:rsid w:val="004B6084"/>
    <w:rsid w:val="004B7AE0"/>
    <w:rsid w:val="004C0BC4"/>
    <w:rsid w:val="004C260D"/>
    <w:rsid w:val="004C2D47"/>
    <w:rsid w:val="004C4357"/>
    <w:rsid w:val="004C4477"/>
    <w:rsid w:val="004C5730"/>
    <w:rsid w:val="004C6397"/>
    <w:rsid w:val="004C668F"/>
    <w:rsid w:val="004C682B"/>
    <w:rsid w:val="004D142C"/>
    <w:rsid w:val="004D29F7"/>
    <w:rsid w:val="004D36D8"/>
    <w:rsid w:val="004D4C5C"/>
    <w:rsid w:val="004D5AB0"/>
    <w:rsid w:val="004D5EAE"/>
    <w:rsid w:val="004D7A0E"/>
    <w:rsid w:val="004E06E7"/>
    <w:rsid w:val="004E0AE3"/>
    <w:rsid w:val="004E20D3"/>
    <w:rsid w:val="004E2C82"/>
    <w:rsid w:val="004E4FAE"/>
    <w:rsid w:val="004E62C7"/>
    <w:rsid w:val="004E68FF"/>
    <w:rsid w:val="004E7A1B"/>
    <w:rsid w:val="004F0B7F"/>
    <w:rsid w:val="004F1193"/>
    <w:rsid w:val="004F11DC"/>
    <w:rsid w:val="004F2124"/>
    <w:rsid w:val="004F271B"/>
    <w:rsid w:val="004F3A52"/>
    <w:rsid w:val="004F449F"/>
    <w:rsid w:val="004F4E7E"/>
    <w:rsid w:val="004F63AB"/>
    <w:rsid w:val="004F6B76"/>
    <w:rsid w:val="004F6C7C"/>
    <w:rsid w:val="004F7F1A"/>
    <w:rsid w:val="004F7FBB"/>
    <w:rsid w:val="0050296F"/>
    <w:rsid w:val="00502F8C"/>
    <w:rsid w:val="005042B3"/>
    <w:rsid w:val="005045AB"/>
    <w:rsid w:val="00507D43"/>
    <w:rsid w:val="005103F2"/>
    <w:rsid w:val="00510E2C"/>
    <w:rsid w:val="00511FDC"/>
    <w:rsid w:val="005124C6"/>
    <w:rsid w:val="00513EBC"/>
    <w:rsid w:val="00514CE1"/>
    <w:rsid w:val="00517155"/>
    <w:rsid w:val="00517DB3"/>
    <w:rsid w:val="005200DC"/>
    <w:rsid w:val="005200F2"/>
    <w:rsid w:val="0052369D"/>
    <w:rsid w:val="005271DB"/>
    <w:rsid w:val="00530D2F"/>
    <w:rsid w:val="0053487C"/>
    <w:rsid w:val="005356E1"/>
    <w:rsid w:val="00536A8B"/>
    <w:rsid w:val="00540418"/>
    <w:rsid w:val="00541A96"/>
    <w:rsid w:val="00541C6A"/>
    <w:rsid w:val="00542C54"/>
    <w:rsid w:val="00546A43"/>
    <w:rsid w:val="00546C70"/>
    <w:rsid w:val="00547258"/>
    <w:rsid w:val="00550CF0"/>
    <w:rsid w:val="005559FE"/>
    <w:rsid w:val="005560D6"/>
    <w:rsid w:val="00556D07"/>
    <w:rsid w:val="005611F2"/>
    <w:rsid w:val="00561734"/>
    <w:rsid w:val="00561952"/>
    <w:rsid w:val="00564B9A"/>
    <w:rsid w:val="00565694"/>
    <w:rsid w:val="00566DD6"/>
    <w:rsid w:val="005714EF"/>
    <w:rsid w:val="00571CEC"/>
    <w:rsid w:val="00572FCE"/>
    <w:rsid w:val="005750DB"/>
    <w:rsid w:val="005759FC"/>
    <w:rsid w:val="00575B85"/>
    <w:rsid w:val="00576DB9"/>
    <w:rsid w:val="0057738F"/>
    <w:rsid w:val="005805E4"/>
    <w:rsid w:val="0058202F"/>
    <w:rsid w:val="00584221"/>
    <w:rsid w:val="00584EB6"/>
    <w:rsid w:val="00586B68"/>
    <w:rsid w:val="0058774E"/>
    <w:rsid w:val="005878CF"/>
    <w:rsid w:val="00590CA0"/>
    <w:rsid w:val="00595B01"/>
    <w:rsid w:val="00596D98"/>
    <w:rsid w:val="005979A5"/>
    <w:rsid w:val="005A0021"/>
    <w:rsid w:val="005A017B"/>
    <w:rsid w:val="005A10B2"/>
    <w:rsid w:val="005A189A"/>
    <w:rsid w:val="005A2AEC"/>
    <w:rsid w:val="005A412D"/>
    <w:rsid w:val="005A5212"/>
    <w:rsid w:val="005B002D"/>
    <w:rsid w:val="005B0FFF"/>
    <w:rsid w:val="005B19AF"/>
    <w:rsid w:val="005B258C"/>
    <w:rsid w:val="005B61DD"/>
    <w:rsid w:val="005B6735"/>
    <w:rsid w:val="005B7831"/>
    <w:rsid w:val="005C0CD6"/>
    <w:rsid w:val="005C12D9"/>
    <w:rsid w:val="005C2146"/>
    <w:rsid w:val="005C309D"/>
    <w:rsid w:val="005C544B"/>
    <w:rsid w:val="005C5916"/>
    <w:rsid w:val="005C5AEE"/>
    <w:rsid w:val="005C774A"/>
    <w:rsid w:val="005D3734"/>
    <w:rsid w:val="005D4F16"/>
    <w:rsid w:val="005D5A53"/>
    <w:rsid w:val="005D5DA0"/>
    <w:rsid w:val="005D7FBD"/>
    <w:rsid w:val="005E19B4"/>
    <w:rsid w:val="005E1D6B"/>
    <w:rsid w:val="005E227A"/>
    <w:rsid w:val="005E2CF8"/>
    <w:rsid w:val="005E3126"/>
    <w:rsid w:val="005E7075"/>
    <w:rsid w:val="005E75A7"/>
    <w:rsid w:val="005F38E2"/>
    <w:rsid w:val="005F3EE6"/>
    <w:rsid w:val="005F6736"/>
    <w:rsid w:val="00602C10"/>
    <w:rsid w:val="00602EBD"/>
    <w:rsid w:val="00604CF2"/>
    <w:rsid w:val="00606DFF"/>
    <w:rsid w:val="00606FB7"/>
    <w:rsid w:val="00610533"/>
    <w:rsid w:val="006110F6"/>
    <w:rsid w:val="00611FA1"/>
    <w:rsid w:val="00612522"/>
    <w:rsid w:val="00612DA6"/>
    <w:rsid w:val="0061365B"/>
    <w:rsid w:val="006138B6"/>
    <w:rsid w:val="00614652"/>
    <w:rsid w:val="00614BC6"/>
    <w:rsid w:val="00614E33"/>
    <w:rsid w:val="006158B8"/>
    <w:rsid w:val="0061706D"/>
    <w:rsid w:val="006173DA"/>
    <w:rsid w:val="00617EF9"/>
    <w:rsid w:val="00620295"/>
    <w:rsid w:val="00622F8E"/>
    <w:rsid w:val="00626AC8"/>
    <w:rsid w:val="00627912"/>
    <w:rsid w:val="0063195F"/>
    <w:rsid w:val="00636C0A"/>
    <w:rsid w:val="00637EC6"/>
    <w:rsid w:val="0064240C"/>
    <w:rsid w:val="00642FF5"/>
    <w:rsid w:val="006430FB"/>
    <w:rsid w:val="00643992"/>
    <w:rsid w:val="00644DBC"/>
    <w:rsid w:val="00645A12"/>
    <w:rsid w:val="00646FE6"/>
    <w:rsid w:val="006474CD"/>
    <w:rsid w:val="00647744"/>
    <w:rsid w:val="006479A0"/>
    <w:rsid w:val="006500D9"/>
    <w:rsid w:val="00652664"/>
    <w:rsid w:val="00653B54"/>
    <w:rsid w:val="006541A3"/>
    <w:rsid w:val="00654FAD"/>
    <w:rsid w:val="00655C9F"/>
    <w:rsid w:val="00655DA0"/>
    <w:rsid w:val="006567FF"/>
    <w:rsid w:val="00656867"/>
    <w:rsid w:val="0066109F"/>
    <w:rsid w:val="00664B26"/>
    <w:rsid w:val="0066596B"/>
    <w:rsid w:val="00670295"/>
    <w:rsid w:val="006704F5"/>
    <w:rsid w:val="00672894"/>
    <w:rsid w:val="00674B47"/>
    <w:rsid w:val="0067609E"/>
    <w:rsid w:val="00677749"/>
    <w:rsid w:val="00680E07"/>
    <w:rsid w:val="00682B9D"/>
    <w:rsid w:val="00683806"/>
    <w:rsid w:val="00686AF9"/>
    <w:rsid w:val="006910C0"/>
    <w:rsid w:val="00691954"/>
    <w:rsid w:val="0069320E"/>
    <w:rsid w:val="00693D13"/>
    <w:rsid w:val="00694300"/>
    <w:rsid w:val="00694F58"/>
    <w:rsid w:val="006955BC"/>
    <w:rsid w:val="006959E2"/>
    <w:rsid w:val="00696920"/>
    <w:rsid w:val="00697EB9"/>
    <w:rsid w:val="006A20D4"/>
    <w:rsid w:val="006A268D"/>
    <w:rsid w:val="006A350F"/>
    <w:rsid w:val="006A3957"/>
    <w:rsid w:val="006A39A4"/>
    <w:rsid w:val="006A41D6"/>
    <w:rsid w:val="006A669D"/>
    <w:rsid w:val="006A6BDE"/>
    <w:rsid w:val="006A6E41"/>
    <w:rsid w:val="006B012F"/>
    <w:rsid w:val="006B27CF"/>
    <w:rsid w:val="006B41BD"/>
    <w:rsid w:val="006B43F4"/>
    <w:rsid w:val="006B5678"/>
    <w:rsid w:val="006B62B2"/>
    <w:rsid w:val="006C1C57"/>
    <w:rsid w:val="006C5760"/>
    <w:rsid w:val="006C6D6F"/>
    <w:rsid w:val="006D0D78"/>
    <w:rsid w:val="006D1128"/>
    <w:rsid w:val="006D2848"/>
    <w:rsid w:val="006D30E0"/>
    <w:rsid w:val="006D5521"/>
    <w:rsid w:val="006D5FE9"/>
    <w:rsid w:val="006D6CBB"/>
    <w:rsid w:val="006D76A9"/>
    <w:rsid w:val="006D77F4"/>
    <w:rsid w:val="006E0898"/>
    <w:rsid w:val="006E41CD"/>
    <w:rsid w:val="006F3BEC"/>
    <w:rsid w:val="00703C00"/>
    <w:rsid w:val="007057CC"/>
    <w:rsid w:val="007066F2"/>
    <w:rsid w:val="00706AE5"/>
    <w:rsid w:val="0070740A"/>
    <w:rsid w:val="00711F93"/>
    <w:rsid w:val="00712940"/>
    <w:rsid w:val="0071428C"/>
    <w:rsid w:val="00715A16"/>
    <w:rsid w:val="007164B0"/>
    <w:rsid w:val="007166FF"/>
    <w:rsid w:val="0072129B"/>
    <w:rsid w:val="007260CC"/>
    <w:rsid w:val="00726543"/>
    <w:rsid w:val="007266FC"/>
    <w:rsid w:val="00732971"/>
    <w:rsid w:val="0073353E"/>
    <w:rsid w:val="00736633"/>
    <w:rsid w:val="00741EE7"/>
    <w:rsid w:val="00743A79"/>
    <w:rsid w:val="007444D4"/>
    <w:rsid w:val="0074594D"/>
    <w:rsid w:val="007459F3"/>
    <w:rsid w:val="00746E35"/>
    <w:rsid w:val="007470E2"/>
    <w:rsid w:val="0075232F"/>
    <w:rsid w:val="00753132"/>
    <w:rsid w:val="007550B3"/>
    <w:rsid w:val="00760451"/>
    <w:rsid w:val="0077182A"/>
    <w:rsid w:val="00771913"/>
    <w:rsid w:val="00772718"/>
    <w:rsid w:val="00775BCF"/>
    <w:rsid w:val="007818AA"/>
    <w:rsid w:val="00783140"/>
    <w:rsid w:val="007838B6"/>
    <w:rsid w:val="00783E77"/>
    <w:rsid w:val="007906F1"/>
    <w:rsid w:val="0079243D"/>
    <w:rsid w:val="00794A9B"/>
    <w:rsid w:val="0079583B"/>
    <w:rsid w:val="00795E96"/>
    <w:rsid w:val="00796602"/>
    <w:rsid w:val="00797185"/>
    <w:rsid w:val="007976B7"/>
    <w:rsid w:val="00797A7E"/>
    <w:rsid w:val="00797D6F"/>
    <w:rsid w:val="007A7A7F"/>
    <w:rsid w:val="007B014B"/>
    <w:rsid w:val="007B0D88"/>
    <w:rsid w:val="007B306F"/>
    <w:rsid w:val="007B4714"/>
    <w:rsid w:val="007B4E82"/>
    <w:rsid w:val="007C1996"/>
    <w:rsid w:val="007C3773"/>
    <w:rsid w:val="007C3F1F"/>
    <w:rsid w:val="007D2D0D"/>
    <w:rsid w:val="007D3325"/>
    <w:rsid w:val="007D3818"/>
    <w:rsid w:val="007D6B22"/>
    <w:rsid w:val="007D6DC5"/>
    <w:rsid w:val="007D7425"/>
    <w:rsid w:val="007E320E"/>
    <w:rsid w:val="007E3280"/>
    <w:rsid w:val="007E4A02"/>
    <w:rsid w:val="007E5373"/>
    <w:rsid w:val="007E595C"/>
    <w:rsid w:val="007E59A5"/>
    <w:rsid w:val="007F2186"/>
    <w:rsid w:val="007F29C0"/>
    <w:rsid w:val="007F3B8C"/>
    <w:rsid w:val="007F41D0"/>
    <w:rsid w:val="007F4B8B"/>
    <w:rsid w:val="007F5957"/>
    <w:rsid w:val="007F70B6"/>
    <w:rsid w:val="007F74CA"/>
    <w:rsid w:val="00800F1E"/>
    <w:rsid w:val="0080195A"/>
    <w:rsid w:val="0080239C"/>
    <w:rsid w:val="00802841"/>
    <w:rsid w:val="008037D5"/>
    <w:rsid w:val="00805447"/>
    <w:rsid w:val="008054FA"/>
    <w:rsid w:val="0080717A"/>
    <w:rsid w:val="00807DFA"/>
    <w:rsid w:val="0081009F"/>
    <w:rsid w:val="00810152"/>
    <w:rsid w:val="008115AB"/>
    <w:rsid w:val="00812D2C"/>
    <w:rsid w:val="008159F4"/>
    <w:rsid w:val="008167C1"/>
    <w:rsid w:val="008167C6"/>
    <w:rsid w:val="00816B8F"/>
    <w:rsid w:val="00820331"/>
    <w:rsid w:val="00820BF5"/>
    <w:rsid w:val="008212B1"/>
    <w:rsid w:val="0082155A"/>
    <w:rsid w:val="0082209F"/>
    <w:rsid w:val="008223C2"/>
    <w:rsid w:val="008250A2"/>
    <w:rsid w:val="00825D64"/>
    <w:rsid w:val="0082650B"/>
    <w:rsid w:val="008301CE"/>
    <w:rsid w:val="008312E3"/>
    <w:rsid w:val="00831D5B"/>
    <w:rsid w:val="00832DD6"/>
    <w:rsid w:val="00832F0C"/>
    <w:rsid w:val="008336F2"/>
    <w:rsid w:val="008345D9"/>
    <w:rsid w:val="008347CB"/>
    <w:rsid w:val="00835647"/>
    <w:rsid w:val="00836E11"/>
    <w:rsid w:val="00837A2E"/>
    <w:rsid w:val="00841558"/>
    <w:rsid w:val="00842A68"/>
    <w:rsid w:val="008435BA"/>
    <w:rsid w:val="0084558B"/>
    <w:rsid w:val="0084654A"/>
    <w:rsid w:val="00847654"/>
    <w:rsid w:val="00851064"/>
    <w:rsid w:val="00855543"/>
    <w:rsid w:val="008566B3"/>
    <w:rsid w:val="008576B7"/>
    <w:rsid w:val="00857F7B"/>
    <w:rsid w:val="00863DA1"/>
    <w:rsid w:val="008654A6"/>
    <w:rsid w:val="00865D86"/>
    <w:rsid w:val="00870495"/>
    <w:rsid w:val="00870EA1"/>
    <w:rsid w:val="008710C5"/>
    <w:rsid w:val="00874438"/>
    <w:rsid w:val="00874E75"/>
    <w:rsid w:val="008767F3"/>
    <w:rsid w:val="00876CEF"/>
    <w:rsid w:val="00877342"/>
    <w:rsid w:val="008803C3"/>
    <w:rsid w:val="00881450"/>
    <w:rsid w:val="008817C7"/>
    <w:rsid w:val="00881875"/>
    <w:rsid w:val="008848A3"/>
    <w:rsid w:val="00884AF1"/>
    <w:rsid w:val="00885F7A"/>
    <w:rsid w:val="00890712"/>
    <w:rsid w:val="00890D81"/>
    <w:rsid w:val="00892955"/>
    <w:rsid w:val="00893628"/>
    <w:rsid w:val="008941EB"/>
    <w:rsid w:val="0089545A"/>
    <w:rsid w:val="00895A02"/>
    <w:rsid w:val="008A01EE"/>
    <w:rsid w:val="008A0DAC"/>
    <w:rsid w:val="008A3B78"/>
    <w:rsid w:val="008A4166"/>
    <w:rsid w:val="008A7DBF"/>
    <w:rsid w:val="008B136C"/>
    <w:rsid w:val="008B55EF"/>
    <w:rsid w:val="008B6910"/>
    <w:rsid w:val="008C0B5C"/>
    <w:rsid w:val="008C1343"/>
    <w:rsid w:val="008C3912"/>
    <w:rsid w:val="008C5598"/>
    <w:rsid w:val="008C69EA"/>
    <w:rsid w:val="008C6F8B"/>
    <w:rsid w:val="008C7AB7"/>
    <w:rsid w:val="008C7FB4"/>
    <w:rsid w:val="008D2C8C"/>
    <w:rsid w:val="008D3040"/>
    <w:rsid w:val="008D3392"/>
    <w:rsid w:val="008D3ECD"/>
    <w:rsid w:val="008D5C03"/>
    <w:rsid w:val="008D7580"/>
    <w:rsid w:val="008D7C35"/>
    <w:rsid w:val="008E5698"/>
    <w:rsid w:val="008E5733"/>
    <w:rsid w:val="008E77D2"/>
    <w:rsid w:val="008E78FD"/>
    <w:rsid w:val="008F199D"/>
    <w:rsid w:val="008F38A0"/>
    <w:rsid w:val="008F39C9"/>
    <w:rsid w:val="008F5114"/>
    <w:rsid w:val="008F5EB5"/>
    <w:rsid w:val="008F678C"/>
    <w:rsid w:val="008F75A7"/>
    <w:rsid w:val="008F7E5A"/>
    <w:rsid w:val="00900A7F"/>
    <w:rsid w:val="009036EE"/>
    <w:rsid w:val="00905815"/>
    <w:rsid w:val="00905D1D"/>
    <w:rsid w:val="0091016D"/>
    <w:rsid w:val="00910C98"/>
    <w:rsid w:val="00911910"/>
    <w:rsid w:val="00912A58"/>
    <w:rsid w:val="00913908"/>
    <w:rsid w:val="00913D26"/>
    <w:rsid w:val="0091438B"/>
    <w:rsid w:val="009147E3"/>
    <w:rsid w:val="00920FD2"/>
    <w:rsid w:val="00923A43"/>
    <w:rsid w:val="0092439C"/>
    <w:rsid w:val="0092498E"/>
    <w:rsid w:val="00925B91"/>
    <w:rsid w:val="009301BA"/>
    <w:rsid w:val="00934461"/>
    <w:rsid w:val="00934F7E"/>
    <w:rsid w:val="00936A1C"/>
    <w:rsid w:val="00943E35"/>
    <w:rsid w:val="00945278"/>
    <w:rsid w:val="0094658D"/>
    <w:rsid w:val="00947678"/>
    <w:rsid w:val="00947878"/>
    <w:rsid w:val="009504C2"/>
    <w:rsid w:val="0095254A"/>
    <w:rsid w:val="0095273B"/>
    <w:rsid w:val="009559E1"/>
    <w:rsid w:val="009568D5"/>
    <w:rsid w:val="00957CD3"/>
    <w:rsid w:val="0096269B"/>
    <w:rsid w:val="009639BC"/>
    <w:rsid w:val="00963FB0"/>
    <w:rsid w:val="00964C86"/>
    <w:rsid w:val="00965E82"/>
    <w:rsid w:val="009664BB"/>
    <w:rsid w:val="009669F8"/>
    <w:rsid w:val="00966F89"/>
    <w:rsid w:val="00973B5D"/>
    <w:rsid w:val="0097755E"/>
    <w:rsid w:val="00981467"/>
    <w:rsid w:val="00981C24"/>
    <w:rsid w:val="009852F6"/>
    <w:rsid w:val="00985DE5"/>
    <w:rsid w:val="00986254"/>
    <w:rsid w:val="00986661"/>
    <w:rsid w:val="0098729E"/>
    <w:rsid w:val="00990067"/>
    <w:rsid w:val="00992977"/>
    <w:rsid w:val="009937D4"/>
    <w:rsid w:val="00993C78"/>
    <w:rsid w:val="009948C7"/>
    <w:rsid w:val="00995850"/>
    <w:rsid w:val="0099796C"/>
    <w:rsid w:val="009A194E"/>
    <w:rsid w:val="009A1EA2"/>
    <w:rsid w:val="009A209E"/>
    <w:rsid w:val="009A3FD7"/>
    <w:rsid w:val="009A6652"/>
    <w:rsid w:val="009A6BC4"/>
    <w:rsid w:val="009A74FD"/>
    <w:rsid w:val="009B25D8"/>
    <w:rsid w:val="009B42E3"/>
    <w:rsid w:val="009B4AF1"/>
    <w:rsid w:val="009B5859"/>
    <w:rsid w:val="009C6D07"/>
    <w:rsid w:val="009C7CEC"/>
    <w:rsid w:val="009D154D"/>
    <w:rsid w:val="009D18EF"/>
    <w:rsid w:val="009D3BE8"/>
    <w:rsid w:val="009D44E0"/>
    <w:rsid w:val="009D573B"/>
    <w:rsid w:val="009D59A0"/>
    <w:rsid w:val="009D716A"/>
    <w:rsid w:val="009E1AC4"/>
    <w:rsid w:val="009E20B8"/>
    <w:rsid w:val="009E29A0"/>
    <w:rsid w:val="009E41B5"/>
    <w:rsid w:val="009E55D7"/>
    <w:rsid w:val="009E627C"/>
    <w:rsid w:val="009F110B"/>
    <w:rsid w:val="009F1498"/>
    <w:rsid w:val="009F1E9F"/>
    <w:rsid w:val="009F3793"/>
    <w:rsid w:val="009F54F2"/>
    <w:rsid w:val="00A0056B"/>
    <w:rsid w:val="00A01657"/>
    <w:rsid w:val="00A01C65"/>
    <w:rsid w:val="00A0213D"/>
    <w:rsid w:val="00A04C73"/>
    <w:rsid w:val="00A0679A"/>
    <w:rsid w:val="00A07A2B"/>
    <w:rsid w:val="00A12375"/>
    <w:rsid w:val="00A125B8"/>
    <w:rsid w:val="00A13124"/>
    <w:rsid w:val="00A15370"/>
    <w:rsid w:val="00A156AB"/>
    <w:rsid w:val="00A16B8D"/>
    <w:rsid w:val="00A21293"/>
    <w:rsid w:val="00A2134B"/>
    <w:rsid w:val="00A21623"/>
    <w:rsid w:val="00A220EB"/>
    <w:rsid w:val="00A22302"/>
    <w:rsid w:val="00A25F1B"/>
    <w:rsid w:val="00A325F3"/>
    <w:rsid w:val="00A33103"/>
    <w:rsid w:val="00A33294"/>
    <w:rsid w:val="00A35DCB"/>
    <w:rsid w:val="00A3690E"/>
    <w:rsid w:val="00A37751"/>
    <w:rsid w:val="00A406B1"/>
    <w:rsid w:val="00A4113E"/>
    <w:rsid w:val="00A42435"/>
    <w:rsid w:val="00A438BA"/>
    <w:rsid w:val="00A446FD"/>
    <w:rsid w:val="00A46F46"/>
    <w:rsid w:val="00A52CB6"/>
    <w:rsid w:val="00A52F99"/>
    <w:rsid w:val="00A538BB"/>
    <w:rsid w:val="00A54164"/>
    <w:rsid w:val="00A55277"/>
    <w:rsid w:val="00A56737"/>
    <w:rsid w:val="00A60002"/>
    <w:rsid w:val="00A603D8"/>
    <w:rsid w:val="00A60AE2"/>
    <w:rsid w:val="00A61834"/>
    <w:rsid w:val="00A618B0"/>
    <w:rsid w:val="00A62790"/>
    <w:rsid w:val="00A6291F"/>
    <w:rsid w:val="00A63F53"/>
    <w:rsid w:val="00A7111E"/>
    <w:rsid w:val="00A74078"/>
    <w:rsid w:val="00A755B6"/>
    <w:rsid w:val="00A75B1A"/>
    <w:rsid w:val="00A80ED4"/>
    <w:rsid w:val="00A816C4"/>
    <w:rsid w:val="00A82981"/>
    <w:rsid w:val="00A84D26"/>
    <w:rsid w:val="00A86F10"/>
    <w:rsid w:val="00A87AF2"/>
    <w:rsid w:val="00A90B23"/>
    <w:rsid w:val="00A93193"/>
    <w:rsid w:val="00A93C2B"/>
    <w:rsid w:val="00A94556"/>
    <w:rsid w:val="00A974CB"/>
    <w:rsid w:val="00AA1EAC"/>
    <w:rsid w:val="00AA45E2"/>
    <w:rsid w:val="00AA7AC1"/>
    <w:rsid w:val="00AB3153"/>
    <w:rsid w:val="00AB6327"/>
    <w:rsid w:val="00AB6B8F"/>
    <w:rsid w:val="00AC0C65"/>
    <w:rsid w:val="00AC0FB2"/>
    <w:rsid w:val="00AC3721"/>
    <w:rsid w:val="00AC41C6"/>
    <w:rsid w:val="00AC70C7"/>
    <w:rsid w:val="00AC76B7"/>
    <w:rsid w:val="00AD0223"/>
    <w:rsid w:val="00AD123A"/>
    <w:rsid w:val="00AD15FF"/>
    <w:rsid w:val="00AD1AA5"/>
    <w:rsid w:val="00AD2920"/>
    <w:rsid w:val="00AD2CD5"/>
    <w:rsid w:val="00AD2DFC"/>
    <w:rsid w:val="00AD38C4"/>
    <w:rsid w:val="00AD5A4A"/>
    <w:rsid w:val="00AD60EE"/>
    <w:rsid w:val="00AD6A2B"/>
    <w:rsid w:val="00AD73D4"/>
    <w:rsid w:val="00AE1EA2"/>
    <w:rsid w:val="00AE2874"/>
    <w:rsid w:val="00AE2BA2"/>
    <w:rsid w:val="00AE2F98"/>
    <w:rsid w:val="00AE3602"/>
    <w:rsid w:val="00AE5342"/>
    <w:rsid w:val="00AE5987"/>
    <w:rsid w:val="00AE6472"/>
    <w:rsid w:val="00AF1345"/>
    <w:rsid w:val="00AF38A8"/>
    <w:rsid w:val="00AF63EB"/>
    <w:rsid w:val="00B016D2"/>
    <w:rsid w:val="00B018EC"/>
    <w:rsid w:val="00B05AD0"/>
    <w:rsid w:val="00B060C7"/>
    <w:rsid w:val="00B11AB7"/>
    <w:rsid w:val="00B12213"/>
    <w:rsid w:val="00B13710"/>
    <w:rsid w:val="00B22881"/>
    <w:rsid w:val="00B23EFC"/>
    <w:rsid w:val="00B24B72"/>
    <w:rsid w:val="00B25DB8"/>
    <w:rsid w:val="00B2656C"/>
    <w:rsid w:val="00B266E6"/>
    <w:rsid w:val="00B3094D"/>
    <w:rsid w:val="00B30B04"/>
    <w:rsid w:val="00B311BC"/>
    <w:rsid w:val="00B31810"/>
    <w:rsid w:val="00B31C10"/>
    <w:rsid w:val="00B3446D"/>
    <w:rsid w:val="00B34652"/>
    <w:rsid w:val="00B34F89"/>
    <w:rsid w:val="00B358C8"/>
    <w:rsid w:val="00B36185"/>
    <w:rsid w:val="00B3662F"/>
    <w:rsid w:val="00B373CD"/>
    <w:rsid w:val="00B377C8"/>
    <w:rsid w:val="00B400B8"/>
    <w:rsid w:val="00B404DE"/>
    <w:rsid w:val="00B40765"/>
    <w:rsid w:val="00B4232D"/>
    <w:rsid w:val="00B42682"/>
    <w:rsid w:val="00B43065"/>
    <w:rsid w:val="00B44784"/>
    <w:rsid w:val="00B449D0"/>
    <w:rsid w:val="00B456AB"/>
    <w:rsid w:val="00B46C2A"/>
    <w:rsid w:val="00B47E8B"/>
    <w:rsid w:val="00B51C67"/>
    <w:rsid w:val="00B53F86"/>
    <w:rsid w:val="00B53FDC"/>
    <w:rsid w:val="00B55431"/>
    <w:rsid w:val="00B55CAE"/>
    <w:rsid w:val="00B576C6"/>
    <w:rsid w:val="00B615F2"/>
    <w:rsid w:val="00B61A28"/>
    <w:rsid w:val="00B65C6D"/>
    <w:rsid w:val="00B66B06"/>
    <w:rsid w:val="00B67294"/>
    <w:rsid w:val="00B67862"/>
    <w:rsid w:val="00B70634"/>
    <w:rsid w:val="00B70BE4"/>
    <w:rsid w:val="00B73880"/>
    <w:rsid w:val="00B73CF1"/>
    <w:rsid w:val="00B745B3"/>
    <w:rsid w:val="00B7599D"/>
    <w:rsid w:val="00B7648F"/>
    <w:rsid w:val="00B76E13"/>
    <w:rsid w:val="00B771EE"/>
    <w:rsid w:val="00B7765B"/>
    <w:rsid w:val="00B77B4B"/>
    <w:rsid w:val="00B80060"/>
    <w:rsid w:val="00B80ABC"/>
    <w:rsid w:val="00B814C2"/>
    <w:rsid w:val="00B900FE"/>
    <w:rsid w:val="00B9064C"/>
    <w:rsid w:val="00BA0A14"/>
    <w:rsid w:val="00BA228D"/>
    <w:rsid w:val="00BA398D"/>
    <w:rsid w:val="00BA39D3"/>
    <w:rsid w:val="00BA5C56"/>
    <w:rsid w:val="00BA776F"/>
    <w:rsid w:val="00BB0C0D"/>
    <w:rsid w:val="00BB0D69"/>
    <w:rsid w:val="00BB366E"/>
    <w:rsid w:val="00BB3AF0"/>
    <w:rsid w:val="00BB4F70"/>
    <w:rsid w:val="00BB67FF"/>
    <w:rsid w:val="00BC11B9"/>
    <w:rsid w:val="00BC138C"/>
    <w:rsid w:val="00BC14CF"/>
    <w:rsid w:val="00BC1659"/>
    <w:rsid w:val="00BC2C91"/>
    <w:rsid w:val="00BC3A9C"/>
    <w:rsid w:val="00BC5288"/>
    <w:rsid w:val="00BC5ED1"/>
    <w:rsid w:val="00BC6A71"/>
    <w:rsid w:val="00BC6B2F"/>
    <w:rsid w:val="00BD0637"/>
    <w:rsid w:val="00BD08A8"/>
    <w:rsid w:val="00BD1BAC"/>
    <w:rsid w:val="00BD1FA8"/>
    <w:rsid w:val="00BD25A6"/>
    <w:rsid w:val="00BD4C95"/>
    <w:rsid w:val="00BD65FC"/>
    <w:rsid w:val="00BD7660"/>
    <w:rsid w:val="00BE0666"/>
    <w:rsid w:val="00BE0D31"/>
    <w:rsid w:val="00BE24B9"/>
    <w:rsid w:val="00BE2AE8"/>
    <w:rsid w:val="00BE2D55"/>
    <w:rsid w:val="00BE38DD"/>
    <w:rsid w:val="00BE4AB1"/>
    <w:rsid w:val="00BF16C3"/>
    <w:rsid w:val="00BF283B"/>
    <w:rsid w:val="00BF38E0"/>
    <w:rsid w:val="00BF44FA"/>
    <w:rsid w:val="00BF57E1"/>
    <w:rsid w:val="00C003B4"/>
    <w:rsid w:val="00C00A5F"/>
    <w:rsid w:val="00C042E0"/>
    <w:rsid w:val="00C051D9"/>
    <w:rsid w:val="00C06333"/>
    <w:rsid w:val="00C06F68"/>
    <w:rsid w:val="00C075BA"/>
    <w:rsid w:val="00C10A3A"/>
    <w:rsid w:val="00C11E20"/>
    <w:rsid w:val="00C15D16"/>
    <w:rsid w:val="00C20015"/>
    <w:rsid w:val="00C247DD"/>
    <w:rsid w:val="00C25B43"/>
    <w:rsid w:val="00C26A54"/>
    <w:rsid w:val="00C3261C"/>
    <w:rsid w:val="00C3318B"/>
    <w:rsid w:val="00C33C20"/>
    <w:rsid w:val="00C35362"/>
    <w:rsid w:val="00C357EA"/>
    <w:rsid w:val="00C379F8"/>
    <w:rsid w:val="00C37A1C"/>
    <w:rsid w:val="00C42323"/>
    <w:rsid w:val="00C4316E"/>
    <w:rsid w:val="00C453A9"/>
    <w:rsid w:val="00C456A0"/>
    <w:rsid w:val="00C465D5"/>
    <w:rsid w:val="00C4756A"/>
    <w:rsid w:val="00C47C39"/>
    <w:rsid w:val="00C50649"/>
    <w:rsid w:val="00C50E1F"/>
    <w:rsid w:val="00C51484"/>
    <w:rsid w:val="00C51C09"/>
    <w:rsid w:val="00C52BB6"/>
    <w:rsid w:val="00C53471"/>
    <w:rsid w:val="00C53551"/>
    <w:rsid w:val="00C55143"/>
    <w:rsid w:val="00C5611B"/>
    <w:rsid w:val="00C5695E"/>
    <w:rsid w:val="00C57A8C"/>
    <w:rsid w:val="00C61528"/>
    <w:rsid w:val="00C63457"/>
    <w:rsid w:val="00C64964"/>
    <w:rsid w:val="00C6631E"/>
    <w:rsid w:val="00C67473"/>
    <w:rsid w:val="00C67AA4"/>
    <w:rsid w:val="00C7148C"/>
    <w:rsid w:val="00C72192"/>
    <w:rsid w:val="00C732E5"/>
    <w:rsid w:val="00C73D0B"/>
    <w:rsid w:val="00C75017"/>
    <w:rsid w:val="00C765B4"/>
    <w:rsid w:val="00C813EA"/>
    <w:rsid w:val="00C81496"/>
    <w:rsid w:val="00C82CE6"/>
    <w:rsid w:val="00C82E22"/>
    <w:rsid w:val="00C85144"/>
    <w:rsid w:val="00C86738"/>
    <w:rsid w:val="00C86A27"/>
    <w:rsid w:val="00C91517"/>
    <w:rsid w:val="00C925F4"/>
    <w:rsid w:val="00C929BD"/>
    <w:rsid w:val="00C931A2"/>
    <w:rsid w:val="00C965E4"/>
    <w:rsid w:val="00CA02E1"/>
    <w:rsid w:val="00CA15DA"/>
    <w:rsid w:val="00CA224E"/>
    <w:rsid w:val="00CA41C5"/>
    <w:rsid w:val="00CA42B7"/>
    <w:rsid w:val="00CA4A53"/>
    <w:rsid w:val="00CA51F5"/>
    <w:rsid w:val="00CB218A"/>
    <w:rsid w:val="00CB225A"/>
    <w:rsid w:val="00CB69E6"/>
    <w:rsid w:val="00CB761B"/>
    <w:rsid w:val="00CB7E33"/>
    <w:rsid w:val="00CC13DF"/>
    <w:rsid w:val="00CC1EEE"/>
    <w:rsid w:val="00CC562B"/>
    <w:rsid w:val="00CC6C15"/>
    <w:rsid w:val="00CC7FCF"/>
    <w:rsid w:val="00CD2749"/>
    <w:rsid w:val="00CD2A60"/>
    <w:rsid w:val="00CD306F"/>
    <w:rsid w:val="00CD3971"/>
    <w:rsid w:val="00CD3DAB"/>
    <w:rsid w:val="00CE0DF1"/>
    <w:rsid w:val="00CE3408"/>
    <w:rsid w:val="00CE3786"/>
    <w:rsid w:val="00CE4027"/>
    <w:rsid w:val="00CE47CC"/>
    <w:rsid w:val="00CE68F6"/>
    <w:rsid w:val="00CE7E27"/>
    <w:rsid w:val="00CF22AC"/>
    <w:rsid w:val="00CF2F0A"/>
    <w:rsid w:val="00CF79E8"/>
    <w:rsid w:val="00D015AA"/>
    <w:rsid w:val="00D021B8"/>
    <w:rsid w:val="00D03D90"/>
    <w:rsid w:val="00D04024"/>
    <w:rsid w:val="00D043EB"/>
    <w:rsid w:val="00D06705"/>
    <w:rsid w:val="00D06A9B"/>
    <w:rsid w:val="00D0750D"/>
    <w:rsid w:val="00D07DD8"/>
    <w:rsid w:val="00D1038F"/>
    <w:rsid w:val="00D10BF7"/>
    <w:rsid w:val="00D10FEB"/>
    <w:rsid w:val="00D140A0"/>
    <w:rsid w:val="00D167F0"/>
    <w:rsid w:val="00D203D1"/>
    <w:rsid w:val="00D2057A"/>
    <w:rsid w:val="00D21D98"/>
    <w:rsid w:val="00D2317F"/>
    <w:rsid w:val="00D231A9"/>
    <w:rsid w:val="00D24391"/>
    <w:rsid w:val="00D2472B"/>
    <w:rsid w:val="00D250B7"/>
    <w:rsid w:val="00D253DD"/>
    <w:rsid w:val="00D26FFA"/>
    <w:rsid w:val="00D3215D"/>
    <w:rsid w:val="00D33352"/>
    <w:rsid w:val="00D347D9"/>
    <w:rsid w:val="00D35565"/>
    <w:rsid w:val="00D36A19"/>
    <w:rsid w:val="00D40DCF"/>
    <w:rsid w:val="00D41075"/>
    <w:rsid w:val="00D41A6A"/>
    <w:rsid w:val="00D41C76"/>
    <w:rsid w:val="00D41DD8"/>
    <w:rsid w:val="00D4222C"/>
    <w:rsid w:val="00D425CE"/>
    <w:rsid w:val="00D42F40"/>
    <w:rsid w:val="00D4396C"/>
    <w:rsid w:val="00D4446F"/>
    <w:rsid w:val="00D44B55"/>
    <w:rsid w:val="00D45490"/>
    <w:rsid w:val="00D457B8"/>
    <w:rsid w:val="00D457E1"/>
    <w:rsid w:val="00D47BEB"/>
    <w:rsid w:val="00D50487"/>
    <w:rsid w:val="00D50563"/>
    <w:rsid w:val="00D50F50"/>
    <w:rsid w:val="00D5235F"/>
    <w:rsid w:val="00D52F50"/>
    <w:rsid w:val="00D55A98"/>
    <w:rsid w:val="00D56B49"/>
    <w:rsid w:val="00D6053F"/>
    <w:rsid w:val="00D6073D"/>
    <w:rsid w:val="00D618D6"/>
    <w:rsid w:val="00D62426"/>
    <w:rsid w:val="00D62804"/>
    <w:rsid w:val="00D70F55"/>
    <w:rsid w:val="00D70FA5"/>
    <w:rsid w:val="00D74171"/>
    <w:rsid w:val="00D7474C"/>
    <w:rsid w:val="00D8032C"/>
    <w:rsid w:val="00D80CE2"/>
    <w:rsid w:val="00D83080"/>
    <w:rsid w:val="00D84D5F"/>
    <w:rsid w:val="00D851E2"/>
    <w:rsid w:val="00D8710C"/>
    <w:rsid w:val="00D87FFA"/>
    <w:rsid w:val="00D91419"/>
    <w:rsid w:val="00D92A09"/>
    <w:rsid w:val="00D92D2A"/>
    <w:rsid w:val="00D92EEC"/>
    <w:rsid w:val="00D93470"/>
    <w:rsid w:val="00D9395F"/>
    <w:rsid w:val="00D93D55"/>
    <w:rsid w:val="00D941FA"/>
    <w:rsid w:val="00D94B59"/>
    <w:rsid w:val="00D95315"/>
    <w:rsid w:val="00D95EAB"/>
    <w:rsid w:val="00DA0B39"/>
    <w:rsid w:val="00DA1203"/>
    <w:rsid w:val="00DA2316"/>
    <w:rsid w:val="00DA25E0"/>
    <w:rsid w:val="00DA2700"/>
    <w:rsid w:val="00DA3001"/>
    <w:rsid w:val="00DA3C5D"/>
    <w:rsid w:val="00DA3EFF"/>
    <w:rsid w:val="00DA6CA1"/>
    <w:rsid w:val="00DA7769"/>
    <w:rsid w:val="00DB08C6"/>
    <w:rsid w:val="00DB1BC2"/>
    <w:rsid w:val="00DB1CBB"/>
    <w:rsid w:val="00DB31ED"/>
    <w:rsid w:val="00DB4124"/>
    <w:rsid w:val="00DB4511"/>
    <w:rsid w:val="00DB4F0C"/>
    <w:rsid w:val="00DB7E35"/>
    <w:rsid w:val="00DC0176"/>
    <w:rsid w:val="00DC043F"/>
    <w:rsid w:val="00DC093E"/>
    <w:rsid w:val="00DC0E29"/>
    <w:rsid w:val="00DC0E7A"/>
    <w:rsid w:val="00DC2A65"/>
    <w:rsid w:val="00DC2A86"/>
    <w:rsid w:val="00DC3631"/>
    <w:rsid w:val="00DC37F7"/>
    <w:rsid w:val="00DC6F54"/>
    <w:rsid w:val="00DD0C00"/>
    <w:rsid w:val="00DD0F8C"/>
    <w:rsid w:val="00DD116C"/>
    <w:rsid w:val="00DD23D5"/>
    <w:rsid w:val="00DD2AF1"/>
    <w:rsid w:val="00DD2FFE"/>
    <w:rsid w:val="00DD46DA"/>
    <w:rsid w:val="00DD6072"/>
    <w:rsid w:val="00DD62BE"/>
    <w:rsid w:val="00DD77D9"/>
    <w:rsid w:val="00DD7CA4"/>
    <w:rsid w:val="00DE167C"/>
    <w:rsid w:val="00DE3B70"/>
    <w:rsid w:val="00DE5813"/>
    <w:rsid w:val="00DF10B1"/>
    <w:rsid w:val="00DF1FDA"/>
    <w:rsid w:val="00DF3DD0"/>
    <w:rsid w:val="00DF4D50"/>
    <w:rsid w:val="00DF538C"/>
    <w:rsid w:val="00E007C7"/>
    <w:rsid w:val="00E021C2"/>
    <w:rsid w:val="00E024A3"/>
    <w:rsid w:val="00E0423D"/>
    <w:rsid w:val="00E057B5"/>
    <w:rsid w:val="00E0581E"/>
    <w:rsid w:val="00E079C5"/>
    <w:rsid w:val="00E07CBD"/>
    <w:rsid w:val="00E07F56"/>
    <w:rsid w:val="00E10A16"/>
    <w:rsid w:val="00E1112F"/>
    <w:rsid w:val="00E12ABD"/>
    <w:rsid w:val="00E1318F"/>
    <w:rsid w:val="00E13B3B"/>
    <w:rsid w:val="00E13E29"/>
    <w:rsid w:val="00E16857"/>
    <w:rsid w:val="00E16C3A"/>
    <w:rsid w:val="00E20651"/>
    <w:rsid w:val="00E2107C"/>
    <w:rsid w:val="00E21E70"/>
    <w:rsid w:val="00E224DE"/>
    <w:rsid w:val="00E23DCE"/>
    <w:rsid w:val="00E26363"/>
    <w:rsid w:val="00E272A4"/>
    <w:rsid w:val="00E305F9"/>
    <w:rsid w:val="00E306AC"/>
    <w:rsid w:val="00E30C64"/>
    <w:rsid w:val="00E315D8"/>
    <w:rsid w:val="00E34446"/>
    <w:rsid w:val="00E3633B"/>
    <w:rsid w:val="00E36870"/>
    <w:rsid w:val="00E374E1"/>
    <w:rsid w:val="00E417AB"/>
    <w:rsid w:val="00E43D48"/>
    <w:rsid w:val="00E4542D"/>
    <w:rsid w:val="00E45BE0"/>
    <w:rsid w:val="00E46CAD"/>
    <w:rsid w:val="00E47521"/>
    <w:rsid w:val="00E4760C"/>
    <w:rsid w:val="00E507A6"/>
    <w:rsid w:val="00E5375C"/>
    <w:rsid w:val="00E561AD"/>
    <w:rsid w:val="00E57FAF"/>
    <w:rsid w:val="00E60BA9"/>
    <w:rsid w:val="00E63510"/>
    <w:rsid w:val="00E635EA"/>
    <w:rsid w:val="00E655E5"/>
    <w:rsid w:val="00E65F4E"/>
    <w:rsid w:val="00E662E0"/>
    <w:rsid w:val="00E67D5D"/>
    <w:rsid w:val="00E713FD"/>
    <w:rsid w:val="00E71C7A"/>
    <w:rsid w:val="00E73119"/>
    <w:rsid w:val="00E73E1E"/>
    <w:rsid w:val="00E767FF"/>
    <w:rsid w:val="00E81CCD"/>
    <w:rsid w:val="00E82355"/>
    <w:rsid w:val="00E84C91"/>
    <w:rsid w:val="00E84E60"/>
    <w:rsid w:val="00E8556E"/>
    <w:rsid w:val="00E86B2D"/>
    <w:rsid w:val="00E86F4D"/>
    <w:rsid w:val="00E87D08"/>
    <w:rsid w:val="00E90D0E"/>
    <w:rsid w:val="00E91B2D"/>
    <w:rsid w:val="00E92FCA"/>
    <w:rsid w:val="00E93E83"/>
    <w:rsid w:val="00E95CAA"/>
    <w:rsid w:val="00E974CC"/>
    <w:rsid w:val="00EA0A39"/>
    <w:rsid w:val="00EA0EB2"/>
    <w:rsid w:val="00EA236F"/>
    <w:rsid w:val="00EA3023"/>
    <w:rsid w:val="00EA3E49"/>
    <w:rsid w:val="00EA3FC8"/>
    <w:rsid w:val="00EA5B8C"/>
    <w:rsid w:val="00EA7ABA"/>
    <w:rsid w:val="00EB0DC9"/>
    <w:rsid w:val="00EB1383"/>
    <w:rsid w:val="00EB252D"/>
    <w:rsid w:val="00EB29FA"/>
    <w:rsid w:val="00EB2CCE"/>
    <w:rsid w:val="00EB385F"/>
    <w:rsid w:val="00EB3E49"/>
    <w:rsid w:val="00EB5FC3"/>
    <w:rsid w:val="00EB6DA9"/>
    <w:rsid w:val="00EC0108"/>
    <w:rsid w:val="00EC1561"/>
    <w:rsid w:val="00EC462E"/>
    <w:rsid w:val="00EC6CD8"/>
    <w:rsid w:val="00EC786F"/>
    <w:rsid w:val="00ED1866"/>
    <w:rsid w:val="00ED3134"/>
    <w:rsid w:val="00ED38E2"/>
    <w:rsid w:val="00ED5C44"/>
    <w:rsid w:val="00ED635B"/>
    <w:rsid w:val="00EE742D"/>
    <w:rsid w:val="00EF0A22"/>
    <w:rsid w:val="00EF1267"/>
    <w:rsid w:val="00EF180C"/>
    <w:rsid w:val="00EF3B6B"/>
    <w:rsid w:val="00EF4B43"/>
    <w:rsid w:val="00EF6750"/>
    <w:rsid w:val="00EF770B"/>
    <w:rsid w:val="00F02836"/>
    <w:rsid w:val="00F02FB5"/>
    <w:rsid w:val="00F0534E"/>
    <w:rsid w:val="00F05C30"/>
    <w:rsid w:val="00F10F1B"/>
    <w:rsid w:val="00F14179"/>
    <w:rsid w:val="00F15786"/>
    <w:rsid w:val="00F167C5"/>
    <w:rsid w:val="00F20B5A"/>
    <w:rsid w:val="00F21F0B"/>
    <w:rsid w:val="00F236AB"/>
    <w:rsid w:val="00F24EA4"/>
    <w:rsid w:val="00F27087"/>
    <w:rsid w:val="00F2773C"/>
    <w:rsid w:val="00F300B3"/>
    <w:rsid w:val="00F30DB9"/>
    <w:rsid w:val="00F30FB8"/>
    <w:rsid w:val="00F31D68"/>
    <w:rsid w:val="00F33152"/>
    <w:rsid w:val="00F338F2"/>
    <w:rsid w:val="00F349D3"/>
    <w:rsid w:val="00F3533E"/>
    <w:rsid w:val="00F35B84"/>
    <w:rsid w:val="00F37592"/>
    <w:rsid w:val="00F402B5"/>
    <w:rsid w:val="00F4072F"/>
    <w:rsid w:val="00F42839"/>
    <w:rsid w:val="00F44CC0"/>
    <w:rsid w:val="00F450BA"/>
    <w:rsid w:val="00F4684B"/>
    <w:rsid w:val="00F46BE9"/>
    <w:rsid w:val="00F47C3B"/>
    <w:rsid w:val="00F506CA"/>
    <w:rsid w:val="00F53A7A"/>
    <w:rsid w:val="00F54FCD"/>
    <w:rsid w:val="00F5785C"/>
    <w:rsid w:val="00F649E7"/>
    <w:rsid w:val="00F65E3C"/>
    <w:rsid w:val="00F67076"/>
    <w:rsid w:val="00F677FA"/>
    <w:rsid w:val="00F7115A"/>
    <w:rsid w:val="00F717AA"/>
    <w:rsid w:val="00F72714"/>
    <w:rsid w:val="00F72C59"/>
    <w:rsid w:val="00F744C3"/>
    <w:rsid w:val="00F75EE2"/>
    <w:rsid w:val="00F75F69"/>
    <w:rsid w:val="00F76014"/>
    <w:rsid w:val="00F802D3"/>
    <w:rsid w:val="00F80F94"/>
    <w:rsid w:val="00F81BA2"/>
    <w:rsid w:val="00F823A4"/>
    <w:rsid w:val="00F8412F"/>
    <w:rsid w:val="00F84791"/>
    <w:rsid w:val="00F85995"/>
    <w:rsid w:val="00F85FC5"/>
    <w:rsid w:val="00F86C22"/>
    <w:rsid w:val="00F90CB3"/>
    <w:rsid w:val="00F912A2"/>
    <w:rsid w:val="00F913A3"/>
    <w:rsid w:val="00F925C3"/>
    <w:rsid w:val="00FA0109"/>
    <w:rsid w:val="00FA458B"/>
    <w:rsid w:val="00FA5EC5"/>
    <w:rsid w:val="00FA7016"/>
    <w:rsid w:val="00FA7174"/>
    <w:rsid w:val="00FA793D"/>
    <w:rsid w:val="00FB020E"/>
    <w:rsid w:val="00FB0F17"/>
    <w:rsid w:val="00FB4B9D"/>
    <w:rsid w:val="00FB50ED"/>
    <w:rsid w:val="00FB6E18"/>
    <w:rsid w:val="00FC144B"/>
    <w:rsid w:val="00FC2169"/>
    <w:rsid w:val="00FC28E2"/>
    <w:rsid w:val="00FC3BF6"/>
    <w:rsid w:val="00FC3D22"/>
    <w:rsid w:val="00FC6FE1"/>
    <w:rsid w:val="00FD0C3D"/>
    <w:rsid w:val="00FD2F6B"/>
    <w:rsid w:val="00FE064A"/>
    <w:rsid w:val="00FE0B55"/>
    <w:rsid w:val="00FE1E98"/>
    <w:rsid w:val="00FE2452"/>
    <w:rsid w:val="00FE5469"/>
    <w:rsid w:val="00FE66C2"/>
    <w:rsid w:val="00FE684A"/>
    <w:rsid w:val="00FE6F23"/>
    <w:rsid w:val="00FF0F8C"/>
    <w:rsid w:val="00FF408B"/>
    <w:rsid w:val="00FF43E1"/>
    <w:rsid w:val="00FF4855"/>
    <w:rsid w:val="00FF54E4"/>
    <w:rsid w:val="03430854"/>
    <w:rsid w:val="039F5FA6"/>
    <w:rsid w:val="09305ADA"/>
    <w:rsid w:val="0E8013B7"/>
    <w:rsid w:val="10D604C6"/>
    <w:rsid w:val="11B515E0"/>
    <w:rsid w:val="13A53267"/>
    <w:rsid w:val="13F970D2"/>
    <w:rsid w:val="14AA4136"/>
    <w:rsid w:val="163A420B"/>
    <w:rsid w:val="17EED6EB"/>
    <w:rsid w:val="19413B26"/>
    <w:rsid w:val="1C6D3688"/>
    <w:rsid w:val="1CC63D0A"/>
    <w:rsid w:val="1DC2081A"/>
    <w:rsid w:val="1DD94266"/>
    <w:rsid w:val="1F9D0947"/>
    <w:rsid w:val="1FFB29C6"/>
    <w:rsid w:val="22AF3620"/>
    <w:rsid w:val="22E70AD4"/>
    <w:rsid w:val="24F1508D"/>
    <w:rsid w:val="266F634F"/>
    <w:rsid w:val="291059EA"/>
    <w:rsid w:val="2BBF12EC"/>
    <w:rsid w:val="2BC649D9"/>
    <w:rsid w:val="2DBA421B"/>
    <w:rsid w:val="3515160D"/>
    <w:rsid w:val="3C7D00D8"/>
    <w:rsid w:val="3CA06C0C"/>
    <w:rsid w:val="3EA25851"/>
    <w:rsid w:val="3F6C3757"/>
    <w:rsid w:val="405D6A10"/>
    <w:rsid w:val="41DA6594"/>
    <w:rsid w:val="444C1A75"/>
    <w:rsid w:val="44A3526F"/>
    <w:rsid w:val="44B032F4"/>
    <w:rsid w:val="457D25F7"/>
    <w:rsid w:val="468341CD"/>
    <w:rsid w:val="472C2589"/>
    <w:rsid w:val="4A760AEB"/>
    <w:rsid w:val="4F3162CA"/>
    <w:rsid w:val="50D95873"/>
    <w:rsid w:val="526102AF"/>
    <w:rsid w:val="528444DA"/>
    <w:rsid w:val="537745D5"/>
    <w:rsid w:val="552306F6"/>
    <w:rsid w:val="56E352D5"/>
    <w:rsid w:val="57E435FE"/>
    <w:rsid w:val="582D0655"/>
    <w:rsid w:val="5951205C"/>
    <w:rsid w:val="59D079E8"/>
    <w:rsid w:val="59D40847"/>
    <w:rsid w:val="5AE37F25"/>
    <w:rsid w:val="5CB23D47"/>
    <w:rsid w:val="5FAF09C4"/>
    <w:rsid w:val="608C4642"/>
    <w:rsid w:val="62795572"/>
    <w:rsid w:val="64DD6417"/>
    <w:rsid w:val="66004745"/>
    <w:rsid w:val="6A567F20"/>
    <w:rsid w:val="6CD97953"/>
    <w:rsid w:val="6CE7D507"/>
    <w:rsid w:val="6ED30FD7"/>
    <w:rsid w:val="6FDF09B9"/>
    <w:rsid w:val="6FF7D12E"/>
    <w:rsid w:val="727D78FD"/>
    <w:rsid w:val="72DEAC7E"/>
    <w:rsid w:val="73CC655F"/>
    <w:rsid w:val="75957445"/>
    <w:rsid w:val="75D01AE1"/>
    <w:rsid w:val="77524363"/>
    <w:rsid w:val="77B917B5"/>
    <w:rsid w:val="77FF9D62"/>
    <w:rsid w:val="78703975"/>
    <w:rsid w:val="7AF67F9F"/>
    <w:rsid w:val="7BE420FD"/>
    <w:rsid w:val="7BFB8EA9"/>
    <w:rsid w:val="7CDE8250"/>
    <w:rsid w:val="7D0D296B"/>
    <w:rsid w:val="7D4E0B54"/>
    <w:rsid w:val="7D503E78"/>
    <w:rsid w:val="7E0160D4"/>
    <w:rsid w:val="7E18A066"/>
    <w:rsid w:val="7FFA7CC8"/>
    <w:rsid w:val="ADFF26DA"/>
    <w:rsid w:val="BF39AB9E"/>
    <w:rsid w:val="CEED36F4"/>
    <w:rsid w:val="FFEC05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35"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0" w:firstLineChars="200"/>
      <w:jc w:val="both"/>
    </w:pPr>
    <w:rPr>
      <w:rFonts w:ascii="宋体" w:hAnsi="宋体" w:eastAsia="仿宋" w:cs="Times New Roman"/>
      <w:kern w:val="2"/>
      <w:sz w:val="24"/>
      <w:szCs w:val="24"/>
      <w:lang w:val="en-US" w:eastAsia="zh-CN" w:bidi="ar-SA"/>
    </w:rPr>
  </w:style>
  <w:style w:type="paragraph" w:styleId="2">
    <w:name w:val="heading 1"/>
    <w:basedOn w:val="1"/>
    <w:next w:val="1"/>
    <w:link w:val="75"/>
    <w:qFormat/>
    <w:uiPriority w:val="0"/>
    <w:pPr>
      <w:keepNext/>
      <w:keepLines/>
      <w:numPr>
        <w:ilvl w:val="0"/>
        <w:numId w:val="1"/>
      </w:numPr>
      <w:spacing w:before="120" w:after="120"/>
      <w:ind w:firstLine="0" w:firstLineChars="0"/>
      <w:outlineLvl w:val="0"/>
    </w:pPr>
    <w:rPr>
      <w:rFonts w:eastAsia="黑体"/>
      <w:b/>
      <w:bCs/>
      <w:kern w:val="44"/>
      <w:sz w:val="32"/>
      <w:szCs w:val="28"/>
    </w:rPr>
  </w:style>
  <w:style w:type="paragraph" w:styleId="3">
    <w:name w:val="heading 2"/>
    <w:basedOn w:val="1"/>
    <w:next w:val="1"/>
    <w:link w:val="88"/>
    <w:qFormat/>
    <w:uiPriority w:val="0"/>
    <w:pPr>
      <w:keepNext/>
      <w:keepLines/>
      <w:numPr>
        <w:ilvl w:val="1"/>
        <w:numId w:val="1"/>
      </w:numPr>
      <w:spacing w:before="120" w:after="120"/>
      <w:ind w:firstLine="0" w:firstLineChars="0"/>
      <w:outlineLvl w:val="1"/>
    </w:pPr>
    <w:rPr>
      <w:b/>
      <w:bCs/>
      <w:sz w:val="30"/>
      <w:szCs w:val="32"/>
    </w:rPr>
  </w:style>
  <w:style w:type="paragraph" w:styleId="4">
    <w:name w:val="heading 3"/>
    <w:basedOn w:val="1"/>
    <w:next w:val="1"/>
    <w:link w:val="81"/>
    <w:qFormat/>
    <w:uiPriority w:val="0"/>
    <w:pPr>
      <w:keepNext/>
      <w:keepLines/>
      <w:numPr>
        <w:ilvl w:val="2"/>
        <w:numId w:val="1"/>
      </w:numPr>
      <w:spacing w:before="120" w:after="120"/>
      <w:ind w:firstLine="0" w:firstLineChars="0"/>
      <w:outlineLvl w:val="2"/>
    </w:pPr>
    <w:rPr>
      <w:b/>
      <w:bCs/>
      <w:sz w:val="28"/>
      <w:szCs w:val="28"/>
    </w:rPr>
  </w:style>
  <w:style w:type="paragraph" w:styleId="5">
    <w:name w:val="heading 4"/>
    <w:basedOn w:val="1"/>
    <w:next w:val="1"/>
    <w:link w:val="58"/>
    <w:qFormat/>
    <w:uiPriority w:val="0"/>
    <w:pPr>
      <w:keepNext/>
      <w:keepLines/>
      <w:numPr>
        <w:ilvl w:val="3"/>
        <w:numId w:val="1"/>
      </w:numPr>
      <w:spacing w:before="120" w:after="120"/>
      <w:ind w:left="851" w:firstLine="0" w:firstLineChars="0"/>
      <w:outlineLvl w:val="3"/>
    </w:pPr>
    <w:rPr>
      <w:b/>
      <w:bCs/>
      <w:sz w:val="30"/>
      <w:szCs w:val="30"/>
    </w:rPr>
  </w:style>
  <w:style w:type="paragraph" w:styleId="6">
    <w:name w:val="heading 5"/>
    <w:basedOn w:val="1"/>
    <w:next w:val="1"/>
    <w:link w:val="86"/>
    <w:qFormat/>
    <w:uiPriority w:val="0"/>
    <w:pPr>
      <w:keepNext/>
      <w:keepLines/>
      <w:numPr>
        <w:ilvl w:val="4"/>
        <w:numId w:val="1"/>
      </w:numPr>
      <w:spacing w:before="120" w:after="120"/>
      <w:ind w:left="0" w:firstLine="0" w:firstLineChars="0"/>
      <w:outlineLvl w:val="4"/>
    </w:pPr>
    <w:rPr>
      <w:b/>
      <w:bCs/>
      <w:szCs w:val="28"/>
    </w:rPr>
  </w:style>
  <w:style w:type="paragraph" w:styleId="7">
    <w:name w:val="heading 6"/>
    <w:basedOn w:val="1"/>
    <w:next w:val="1"/>
    <w:link w:val="99"/>
    <w:qFormat/>
    <w:uiPriority w:val="9"/>
    <w:pPr>
      <w:keepNext/>
      <w:keepLines/>
      <w:numPr>
        <w:ilvl w:val="5"/>
        <w:numId w:val="1"/>
      </w:numPr>
      <w:spacing w:before="120" w:after="120"/>
      <w:ind w:firstLine="0" w:firstLineChars="0"/>
      <w:outlineLvl w:val="5"/>
    </w:pPr>
    <w:rPr>
      <w:rFonts w:ascii="Cambria" w:hAnsi="Cambria"/>
      <w:b/>
      <w:bCs/>
    </w:rPr>
  </w:style>
  <w:style w:type="paragraph" w:styleId="8">
    <w:name w:val="heading 7"/>
    <w:basedOn w:val="1"/>
    <w:next w:val="1"/>
    <w:link w:val="72"/>
    <w:qFormat/>
    <w:uiPriority w:val="9"/>
    <w:pPr>
      <w:keepNext/>
      <w:keepLines/>
      <w:spacing w:before="240" w:after="64" w:line="319" w:lineRule="auto"/>
      <w:ind w:firstLine="0" w:firstLineChars="0"/>
      <w:outlineLvl w:val="6"/>
    </w:pPr>
    <w:rPr>
      <w:rFonts w:ascii="Times New Roman" w:hAnsi="Times New Roman"/>
      <w:b/>
      <w:bCs/>
      <w:sz w:val="21"/>
    </w:rPr>
  </w:style>
  <w:style w:type="paragraph" w:styleId="9">
    <w:name w:val="heading 8"/>
    <w:basedOn w:val="1"/>
    <w:next w:val="1"/>
    <w:link w:val="98"/>
    <w:qFormat/>
    <w:uiPriority w:val="9"/>
    <w:pPr>
      <w:keepNext/>
      <w:keepLines/>
      <w:spacing w:before="240" w:after="64" w:line="319" w:lineRule="auto"/>
      <w:ind w:firstLine="0" w:firstLineChars="0"/>
      <w:outlineLvl w:val="7"/>
    </w:pPr>
    <w:rPr>
      <w:rFonts w:ascii="Cambria" w:hAnsi="Cambria"/>
      <w:sz w:val="21"/>
    </w:rPr>
  </w:style>
  <w:style w:type="paragraph" w:styleId="10">
    <w:name w:val="heading 9"/>
    <w:basedOn w:val="1"/>
    <w:next w:val="1"/>
    <w:link w:val="48"/>
    <w:qFormat/>
    <w:uiPriority w:val="9"/>
    <w:pPr>
      <w:keepNext/>
      <w:keepLines/>
      <w:spacing w:before="240" w:after="64" w:line="319" w:lineRule="auto"/>
      <w:ind w:firstLine="0" w:firstLineChars="0"/>
      <w:outlineLvl w:val="8"/>
    </w:pPr>
    <w:rPr>
      <w:rFonts w:ascii="Cambria" w:hAnsi="Cambria"/>
      <w:sz w:val="21"/>
      <w:szCs w:val="21"/>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rPr>
      <w:rFonts w:ascii="等线" w:hAnsi="等线" w:eastAsia="等线"/>
      <w:szCs w:val="22"/>
    </w:rPr>
  </w:style>
  <w:style w:type="paragraph" w:styleId="12">
    <w:name w:val="Normal Indent"/>
    <w:basedOn w:val="1"/>
    <w:unhideWhenUsed/>
    <w:qFormat/>
    <w:uiPriority w:val="99"/>
    <w:pPr>
      <w:spacing w:line="240" w:lineRule="auto"/>
      <w:ind w:firstLine="420"/>
    </w:pPr>
    <w:rPr>
      <w:rFonts w:ascii="Calibri" w:hAnsi="Calibri"/>
      <w:sz w:val="21"/>
    </w:rPr>
  </w:style>
  <w:style w:type="paragraph" w:styleId="13">
    <w:name w:val="caption"/>
    <w:basedOn w:val="1"/>
    <w:next w:val="1"/>
    <w:link w:val="54"/>
    <w:qFormat/>
    <w:uiPriority w:val="35"/>
    <w:pPr>
      <w:spacing w:afterLines="50"/>
      <w:ind w:firstLine="200"/>
    </w:pPr>
    <w:rPr>
      <w:rFonts w:ascii="Arial" w:hAnsi="Arial" w:eastAsia="黑体"/>
      <w:sz w:val="20"/>
      <w:szCs w:val="20"/>
    </w:rPr>
  </w:style>
  <w:style w:type="paragraph" w:styleId="14">
    <w:name w:val="Document Map"/>
    <w:basedOn w:val="1"/>
    <w:link w:val="91"/>
    <w:qFormat/>
    <w:uiPriority w:val="0"/>
    <w:rPr>
      <w:rFonts w:hAnsi="Times New Roman"/>
      <w:sz w:val="18"/>
      <w:szCs w:val="18"/>
    </w:rPr>
  </w:style>
  <w:style w:type="paragraph" w:styleId="15">
    <w:name w:val="annotation text"/>
    <w:basedOn w:val="1"/>
    <w:link w:val="45"/>
    <w:qFormat/>
    <w:uiPriority w:val="99"/>
    <w:pPr>
      <w:jc w:val="left"/>
    </w:pPr>
    <w:rPr>
      <w:rFonts w:ascii="Times New Roman" w:hAnsi="Times New Roman"/>
      <w:sz w:val="28"/>
    </w:rPr>
  </w:style>
  <w:style w:type="paragraph" w:styleId="16">
    <w:name w:val="Body Text"/>
    <w:basedOn w:val="1"/>
    <w:link w:val="59"/>
    <w:unhideWhenUsed/>
    <w:qFormat/>
    <w:uiPriority w:val="0"/>
    <w:pPr>
      <w:spacing w:after="120" w:line="240" w:lineRule="auto"/>
      <w:ind w:firstLine="0" w:firstLineChars="0"/>
    </w:pPr>
    <w:rPr>
      <w:rFonts w:ascii="Times New Roman" w:hAnsi="Times New Roman"/>
      <w:sz w:val="21"/>
    </w:rPr>
  </w:style>
  <w:style w:type="paragraph" w:styleId="17">
    <w:name w:val="Body Text Indent"/>
    <w:basedOn w:val="1"/>
    <w:link w:val="85"/>
    <w:qFormat/>
    <w:uiPriority w:val="0"/>
    <w:pPr>
      <w:spacing w:after="120"/>
      <w:ind w:firstLine="200"/>
    </w:pPr>
    <w:rPr>
      <w:rFonts w:ascii="Times New Roman" w:hAnsi="Times New Roman"/>
      <w:sz w:val="21"/>
      <w:szCs w:val="20"/>
    </w:rPr>
  </w:style>
  <w:style w:type="paragraph" w:styleId="18">
    <w:name w:val="toc 5"/>
    <w:basedOn w:val="1"/>
    <w:next w:val="1"/>
    <w:unhideWhenUsed/>
    <w:qFormat/>
    <w:uiPriority w:val="39"/>
    <w:pPr>
      <w:ind w:left="1680" w:leftChars="800"/>
    </w:pPr>
    <w:rPr>
      <w:rFonts w:ascii="等线" w:hAnsi="等线" w:eastAsia="等线"/>
      <w:szCs w:val="22"/>
    </w:rPr>
  </w:style>
  <w:style w:type="paragraph" w:styleId="19">
    <w:name w:val="toc 3"/>
    <w:basedOn w:val="1"/>
    <w:next w:val="1"/>
    <w:qFormat/>
    <w:uiPriority w:val="39"/>
    <w:pPr>
      <w:tabs>
        <w:tab w:val="right" w:leader="dot" w:pos="8302"/>
      </w:tabs>
      <w:ind w:left="840" w:leftChars="400"/>
    </w:pPr>
  </w:style>
  <w:style w:type="paragraph" w:styleId="20">
    <w:name w:val="Plain Text"/>
    <w:basedOn w:val="1"/>
    <w:link w:val="66"/>
    <w:qFormat/>
    <w:uiPriority w:val="0"/>
    <w:pPr>
      <w:spacing w:line="240" w:lineRule="auto"/>
      <w:ind w:firstLine="0" w:firstLineChars="0"/>
    </w:pPr>
    <w:rPr>
      <w:rFonts w:hAnsi="Courier New"/>
      <w:sz w:val="21"/>
      <w:szCs w:val="20"/>
    </w:rPr>
  </w:style>
  <w:style w:type="paragraph" w:styleId="21">
    <w:name w:val="toc 8"/>
    <w:basedOn w:val="1"/>
    <w:next w:val="1"/>
    <w:unhideWhenUsed/>
    <w:qFormat/>
    <w:uiPriority w:val="39"/>
    <w:pPr>
      <w:ind w:left="2940" w:leftChars="1400"/>
    </w:pPr>
    <w:rPr>
      <w:rFonts w:ascii="等线" w:hAnsi="等线" w:eastAsia="等线"/>
      <w:szCs w:val="22"/>
    </w:rPr>
  </w:style>
  <w:style w:type="paragraph" w:styleId="22">
    <w:name w:val="Date"/>
    <w:basedOn w:val="1"/>
    <w:next w:val="1"/>
    <w:link w:val="47"/>
    <w:qFormat/>
    <w:uiPriority w:val="0"/>
    <w:pPr>
      <w:ind w:left="100" w:leftChars="2500"/>
    </w:pPr>
    <w:rPr>
      <w:rFonts w:ascii="Times New Roman" w:hAnsi="Times New Roman"/>
      <w:sz w:val="21"/>
    </w:rPr>
  </w:style>
  <w:style w:type="paragraph" w:styleId="23">
    <w:name w:val="Balloon Text"/>
    <w:basedOn w:val="1"/>
    <w:link w:val="96"/>
    <w:qFormat/>
    <w:uiPriority w:val="0"/>
    <w:rPr>
      <w:rFonts w:ascii="Times New Roman" w:hAnsi="Times New Roman"/>
      <w:sz w:val="18"/>
      <w:szCs w:val="18"/>
    </w:rPr>
  </w:style>
  <w:style w:type="paragraph" w:styleId="24">
    <w:name w:val="footer"/>
    <w:basedOn w:val="1"/>
    <w:link w:val="89"/>
    <w:qFormat/>
    <w:uiPriority w:val="99"/>
    <w:pPr>
      <w:tabs>
        <w:tab w:val="center" w:pos="4153"/>
        <w:tab w:val="right" w:pos="8306"/>
      </w:tabs>
      <w:snapToGrid w:val="0"/>
      <w:jc w:val="center"/>
    </w:pPr>
    <w:rPr>
      <w:rFonts w:ascii="Times New Roman" w:hAnsi="Times New Roman"/>
      <w:sz w:val="18"/>
      <w:szCs w:val="18"/>
    </w:rPr>
  </w:style>
  <w:style w:type="paragraph" w:styleId="25">
    <w:name w:val="header"/>
    <w:basedOn w:val="1"/>
    <w:link w:val="97"/>
    <w:qFormat/>
    <w:uiPriority w:val="99"/>
    <w:pPr>
      <w:pBdr>
        <w:bottom w:val="single" w:color="auto" w:sz="4" w:space="0"/>
      </w:pBdr>
      <w:tabs>
        <w:tab w:val="center" w:pos="4153"/>
        <w:tab w:val="right" w:pos="8306"/>
      </w:tabs>
      <w:snapToGrid w:val="0"/>
      <w:jc w:val="center"/>
    </w:pPr>
    <w:rPr>
      <w:rFonts w:ascii="Times New Roman" w:hAnsi="Times New Roman"/>
      <w:sz w:val="18"/>
      <w:szCs w:val="18"/>
    </w:rPr>
  </w:style>
  <w:style w:type="paragraph" w:styleId="26">
    <w:name w:val="toc 1"/>
    <w:basedOn w:val="1"/>
    <w:next w:val="1"/>
    <w:qFormat/>
    <w:uiPriority w:val="39"/>
  </w:style>
  <w:style w:type="paragraph" w:styleId="27">
    <w:name w:val="toc 4"/>
    <w:basedOn w:val="1"/>
    <w:next w:val="1"/>
    <w:unhideWhenUsed/>
    <w:qFormat/>
    <w:uiPriority w:val="39"/>
    <w:pPr>
      <w:ind w:left="1260" w:leftChars="600"/>
    </w:pPr>
    <w:rPr>
      <w:rFonts w:ascii="等线" w:hAnsi="等线" w:eastAsia="等线"/>
      <w:szCs w:val="22"/>
    </w:rPr>
  </w:style>
  <w:style w:type="paragraph" w:styleId="28">
    <w:name w:val="Subtitle"/>
    <w:basedOn w:val="1"/>
    <w:next w:val="1"/>
    <w:link w:val="87"/>
    <w:qFormat/>
    <w:uiPriority w:val="0"/>
    <w:pPr>
      <w:spacing w:before="240" w:after="60" w:line="312" w:lineRule="auto"/>
      <w:jc w:val="center"/>
      <w:outlineLvl w:val="1"/>
    </w:pPr>
    <w:rPr>
      <w:rFonts w:ascii="Calibri Light" w:hAnsi="Calibri Light"/>
      <w:b/>
      <w:bCs/>
      <w:kern w:val="28"/>
      <w:sz w:val="32"/>
      <w:szCs w:val="32"/>
    </w:rPr>
  </w:style>
  <w:style w:type="paragraph" w:styleId="29">
    <w:name w:val="toc 6"/>
    <w:basedOn w:val="1"/>
    <w:next w:val="1"/>
    <w:unhideWhenUsed/>
    <w:qFormat/>
    <w:uiPriority w:val="39"/>
    <w:pPr>
      <w:ind w:left="2100" w:leftChars="1000"/>
    </w:pPr>
    <w:rPr>
      <w:rFonts w:ascii="等线" w:hAnsi="等线" w:eastAsia="等线"/>
      <w:szCs w:val="22"/>
    </w:rPr>
  </w:style>
  <w:style w:type="paragraph" w:styleId="30">
    <w:name w:val="toc 2"/>
    <w:basedOn w:val="1"/>
    <w:next w:val="1"/>
    <w:qFormat/>
    <w:uiPriority w:val="39"/>
    <w:pPr>
      <w:tabs>
        <w:tab w:val="right" w:leader="dot" w:pos="8302"/>
      </w:tabs>
      <w:ind w:left="420" w:leftChars="200"/>
    </w:pPr>
  </w:style>
  <w:style w:type="paragraph" w:styleId="31">
    <w:name w:val="toc 9"/>
    <w:basedOn w:val="1"/>
    <w:next w:val="1"/>
    <w:unhideWhenUsed/>
    <w:qFormat/>
    <w:uiPriority w:val="39"/>
    <w:pPr>
      <w:ind w:left="3360" w:leftChars="1600"/>
    </w:pPr>
    <w:rPr>
      <w:rFonts w:ascii="等线" w:hAnsi="等线" w:eastAsia="等线"/>
      <w:szCs w:val="22"/>
    </w:rPr>
  </w:style>
  <w:style w:type="paragraph" w:styleId="32">
    <w:name w:val="Normal (Web)"/>
    <w:basedOn w:val="1"/>
    <w:qFormat/>
    <w:uiPriority w:val="99"/>
    <w:pPr>
      <w:widowControl/>
      <w:spacing w:before="100" w:after="100"/>
      <w:jc w:val="left"/>
    </w:pPr>
    <w:rPr>
      <w:rFonts w:hint="eastAsia" w:ascii="Arial Unicode MS" w:hAnsi="Arial Unicode MS" w:eastAsia="Arial Unicode MS"/>
      <w:kern w:val="0"/>
    </w:rPr>
  </w:style>
  <w:style w:type="paragraph" w:styleId="33">
    <w:name w:val="Title"/>
    <w:basedOn w:val="1"/>
    <w:next w:val="1"/>
    <w:link w:val="95"/>
    <w:qFormat/>
    <w:uiPriority w:val="0"/>
    <w:pPr>
      <w:spacing w:before="240" w:after="60" w:line="960" w:lineRule="auto"/>
      <w:jc w:val="center"/>
    </w:pPr>
    <w:rPr>
      <w:rFonts w:ascii="Cambria" w:hAnsi="Cambria" w:eastAsia="黑体"/>
      <w:b/>
      <w:bCs/>
      <w:sz w:val="52"/>
      <w:szCs w:val="32"/>
    </w:rPr>
  </w:style>
  <w:style w:type="paragraph" w:styleId="34">
    <w:name w:val="annotation subject"/>
    <w:basedOn w:val="15"/>
    <w:next w:val="15"/>
    <w:link w:val="83"/>
    <w:qFormat/>
    <w:uiPriority w:val="0"/>
    <w:rPr>
      <w:b/>
      <w:bCs/>
      <w:sz w:val="21"/>
    </w:rPr>
  </w:style>
  <w:style w:type="table" w:styleId="36">
    <w:name w:val="Table Grid"/>
    <w:basedOn w:val="35"/>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page number"/>
    <w:basedOn w:val="37"/>
    <w:qFormat/>
    <w:uiPriority w:val="0"/>
  </w:style>
  <w:style w:type="character" w:styleId="39">
    <w:name w:val="FollowedHyperlink"/>
    <w:unhideWhenUsed/>
    <w:qFormat/>
    <w:uiPriority w:val="99"/>
    <w:rPr>
      <w:color w:val="954F72"/>
      <w:u w:val="single"/>
    </w:rPr>
  </w:style>
  <w:style w:type="character" w:styleId="40">
    <w:name w:val="Hyperlink"/>
    <w:qFormat/>
    <w:uiPriority w:val="99"/>
    <w:rPr>
      <w:color w:val="0000FF"/>
      <w:u w:val="single"/>
    </w:rPr>
  </w:style>
  <w:style w:type="character" w:styleId="41">
    <w:name w:val="annotation reference"/>
    <w:qFormat/>
    <w:uiPriority w:val="99"/>
    <w:rPr>
      <w:sz w:val="21"/>
      <w:szCs w:val="21"/>
    </w:rPr>
  </w:style>
  <w:style w:type="character" w:customStyle="1" w:styleId="42">
    <w:name w:val="标题 3 字符1"/>
    <w:qFormat/>
    <w:uiPriority w:val="0"/>
    <w:rPr>
      <w:rFonts w:ascii="宋体" w:hAnsi="宋体"/>
      <w:b/>
      <w:bCs/>
      <w:kern w:val="2"/>
      <w:sz w:val="28"/>
      <w:szCs w:val="28"/>
    </w:rPr>
  </w:style>
  <w:style w:type="character" w:customStyle="1" w:styleId="43">
    <w:name w:val="首行缩进正文 Char"/>
    <w:link w:val="44"/>
    <w:qFormat/>
    <w:uiPriority w:val="0"/>
    <w:rPr>
      <w:kern w:val="2"/>
      <w:sz w:val="24"/>
    </w:rPr>
  </w:style>
  <w:style w:type="paragraph" w:customStyle="1" w:styleId="44">
    <w:name w:val="首行缩进正文"/>
    <w:basedOn w:val="1"/>
    <w:link w:val="43"/>
    <w:qFormat/>
    <w:uiPriority w:val="0"/>
    <w:pPr>
      <w:widowControl/>
      <w:adjustRightInd w:val="0"/>
      <w:snapToGrid w:val="0"/>
      <w:spacing w:afterLines="50" w:line="276" w:lineRule="auto"/>
      <w:ind w:firstLine="420" w:firstLineChars="0"/>
      <w:jc w:val="left"/>
    </w:pPr>
    <w:rPr>
      <w:rFonts w:ascii="Times New Roman" w:hAnsi="Times New Roman"/>
      <w:szCs w:val="20"/>
    </w:rPr>
  </w:style>
  <w:style w:type="character" w:customStyle="1" w:styleId="45">
    <w:name w:val="批注文字 字符1"/>
    <w:link w:val="15"/>
    <w:qFormat/>
    <w:uiPriority w:val="99"/>
    <w:rPr>
      <w:rFonts w:eastAsia="仿宋"/>
      <w:kern w:val="2"/>
      <w:sz w:val="28"/>
      <w:szCs w:val="24"/>
    </w:rPr>
  </w:style>
  <w:style w:type="character" w:customStyle="1" w:styleId="46">
    <w:name w:val="日期 字符"/>
    <w:semiHidden/>
    <w:qFormat/>
    <w:uiPriority w:val="99"/>
    <w:rPr>
      <w:rFonts w:ascii="宋体" w:hAnsi="宋体"/>
      <w:kern w:val="2"/>
      <w:sz w:val="24"/>
      <w:szCs w:val="24"/>
    </w:rPr>
  </w:style>
  <w:style w:type="character" w:customStyle="1" w:styleId="47">
    <w:name w:val="日期 字符1"/>
    <w:link w:val="22"/>
    <w:qFormat/>
    <w:uiPriority w:val="0"/>
    <w:rPr>
      <w:kern w:val="2"/>
      <w:sz w:val="21"/>
      <w:szCs w:val="24"/>
    </w:rPr>
  </w:style>
  <w:style w:type="character" w:customStyle="1" w:styleId="48">
    <w:name w:val="标题 9 字符"/>
    <w:link w:val="10"/>
    <w:qFormat/>
    <w:uiPriority w:val="9"/>
    <w:rPr>
      <w:rFonts w:ascii="Cambria" w:hAnsi="Cambria"/>
      <w:kern w:val="2"/>
      <w:sz w:val="21"/>
      <w:szCs w:val="21"/>
    </w:rPr>
  </w:style>
  <w:style w:type="character" w:customStyle="1" w:styleId="49">
    <w:name w:val="未处理的提及1"/>
    <w:unhideWhenUsed/>
    <w:qFormat/>
    <w:uiPriority w:val="99"/>
    <w:rPr>
      <w:color w:val="605E5C"/>
      <w:shd w:val="clear" w:color="auto" w:fill="E1DFDD"/>
    </w:rPr>
  </w:style>
  <w:style w:type="character" w:customStyle="1" w:styleId="50">
    <w:name w:val="标题 1 字符"/>
    <w:qFormat/>
    <w:uiPriority w:val="9"/>
    <w:rPr>
      <w:rFonts w:ascii="宋体" w:hAnsi="宋体"/>
      <w:b/>
      <w:bCs/>
      <w:kern w:val="44"/>
      <w:sz w:val="44"/>
      <w:szCs w:val="44"/>
    </w:rPr>
  </w:style>
  <w:style w:type="character" w:customStyle="1" w:styleId="51">
    <w:name w:val="标题 3 字符"/>
    <w:semiHidden/>
    <w:qFormat/>
    <w:uiPriority w:val="9"/>
    <w:rPr>
      <w:rFonts w:ascii="宋体" w:hAnsi="宋体"/>
      <w:b/>
      <w:bCs/>
      <w:kern w:val="2"/>
      <w:sz w:val="32"/>
      <w:szCs w:val="32"/>
    </w:rPr>
  </w:style>
  <w:style w:type="character" w:customStyle="1" w:styleId="52">
    <w:name w:val="页脚 字符"/>
    <w:qFormat/>
    <w:uiPriority w:val="99"/>
  </w:style>
  <w:style w:type="character" w:customStyle="1" w:styleId="53">
    <w:name w:val="标题 5 字符"/>
    <w:semiHidden/>
    <w:qFormat/>
    <w:uiPriority w:val="9"/>
    <w:rPr>
      <w:rFonts w:ascii="宋体" w:hAnsi="宋体"/>
      <w:b/>
      <w:bCs/>
      <w:kern w:val="2"/>
      <w:sz w:val="28"/>
      <w:szCs w:val="28"/>
    </w:rPr>
  </w:style>
  <w:style w:type="character" w:customStyle="1" w:styleId="54">
    <w:name w:val="题注 字符"/>
    <w:link w:val="13"/>
    <w:qFormat/>
    <w:locked/>
    <w:uiPriority w:val="35"/>
    <w:rPr>
      <w:rFonts w:ascii="Arial" w:hAnsi="Arial" w:eastAsia="黑体"/>
      <w:kern w:val="2"/>
    </w:rPr>
  </w:style>
  <w:style w:type="character" w:customStyle="1" w:styleId="55">
    <w:name w:val="标题 2 字符"/>
    <w:semiHidden/>
    <w:qFormat/>
    <w:uiPriority w:val="9"/>
    <w:rPr>
      <w:rFonts w:ascii="等线 Light" w:hAnsi="等线 Light" w:eastAsia="等线 Light" w:cs="Times New Roman"/>
      <w:b/>
      <w:bCs/>
      <w:kern w:val="2"/>
      <w:sz w:val="32"/>
      <w:szCs w:val="32"/>
    </w:rPr>
  </w:style>
  <w:style w:type="character" w:customStyle="1" w:styleId="56">
    <w:name w:val="纯文本 字符"/>
    <w:qFormat/>
    <w:uiPriority w:val="0"/>
    <w:rPr>
      <w:rFonts w:ascii="宋体" w:hAnsi="Courier New" w:cs="Courier New"/>
      <w:kern w:val="2"/>
      <w:sz w:val="21"/>
      <w:szCs w:val="21"/>
    </w:rPr>
  </w:style>
  <w:style w:type="character" w:customStyle="1" w:styleId="57">
    <w:name w:val="列表段落 字符"/>
    <w:qFormat/>
    <w:uiPriority w:val="34"/>
    <w:rPr>
      <w:kern w:val="2"/>
      <w:sz w:val="21"/>
      <w:szCs w:val="22"/>
    </w:rPr>
  </w:style>
  <w:style w:type="character" w:customStyle="1" w:styleId="58">
    <w:name w:val="标题 4 字符1"/>
    <w:link w:val="5"/>
    <w:qFormat/>
    <w:uiPriority w:val="0"/>
    <w:rPr>
      <w:rFonts w:ascii="宋体" w:hAnsi="宋体" w:eastAsia="仿宋"/>
      <w:b/>
      <w:bCs/>
      <w:kern w:val="2"/>
      <w:sz w:val="30"/>
      <w:szCs w:val="30"/>
    </w:rPr>
  </w:style>
  <w:style w:type="character" w:customStyle="1" w:styleId="59">
    <w:name w:val="正文文本 字符"/>
    <w:link w:val="16"/>
    <w:qFormat/>
    <w:uiPriority w:val="0"/>
    <w:rPr>
      <w:kern w:val="2"/>
      <w:sz w:val="21"/>
      <w:szCs w:val="24"/>
    </w:rPr>
  </w:style>
  <w:style w:type="character" w:customStyle="1" w:styleId="60">
    <w:name w:val="列表段落 字符1"/>
    <w:link w:val="61"/>
    <w:qFormat/>
    <w:uiPriority w:val="34"/>
    <w:rPr>
      <w:kern w:val="2"/>
      <w:sz w:val="21"/>
      <w:szCs w:val="24"/>
    </w:rPr>
  </w:style>
  <w:style w:type="paragraph" w:styleId="61">
    <w:name w:val="List Paragraph"/>
    <w:basedOn w:val="1"/>
    <w:link w:val="60"/>
    <w:qFormat/>
    <w:uiPriority w:val="34"/>
    <w:pPr>
      <w:ind w:firstLine="420"/>
    </w:pPr>
    <w:rPr>
      <w:rFonts w:ascii="Times New Roman" w:hAnsi="Times New Roman"/>
      <w:sz w:val="21"/>
    </w:rPr>
  </w:style>
  <w:style w:type="character" w:customStyle="1" w:styleId="62">
    <w:name w:val="font21"/>
    <w:qFormat/>
    <w:uiPriority w:val="0"/>
    <w:rPr>
      <w:rFonts w:ascii="Calibri" w:hAnsi="Calibri" w:cs="Calibri"/>
      <w:color w:val="000000"/>
      <w:sz w:val="21"/>
      <w:szCs w:val="21"/>
      <w:u w:val="none"/>
    </w:rPr>
  </w:style>
  <w:style w:type="character" w:customStyle="1" w:styleId="63">
    <w:name w:val="*正文 Char"/>
    <w:link w:val="64"/>
    <w:qFormat/>
    <w:uiPriority w:val="0"/>
    <w:rPr>
      <w:rFonts w:ascii="time" w:hAnsi="time"/>
      <w:sz w:val="24"/>
      <w:szCs w:val="24"/>
      <w:lang w:bidi="en-US"/>
    </w:rPr>
  </w:style>
  <w:style w:type="paragraph" w:customStyle="1" w:styleId="64">
    <w:name w:val="*正文"/>
    <w:basedOn w:val="1"/>
    <w:link w:val="63"/>
    <w:qFormat/>
    <w:uiPriority w:val="0"/>
    <w:pPr>
      <w:widowControl/>
      <w:ind w:firstLine="200"/>
      <w:contextualSpacing/>
    </w:pPr>
    <w:rPr>
      <w:rFonts w:ascii="time" w:hAnsi="time"/>
      <w:kern w:val="0"/>
      <w:lang w:bidi="en-US"/>
    </w:rPr>
  </w:style>
  <w:style w:type="character" w:customStyle="1" w:styleId="65">
    <w:name w:val="正文文本缩进 字符"/>
    <w:semiHidden/>
    <w:qFormat/>
    <w:uiPriority w:val="99"/>
    <w:rPr>
      <w:rFonts w:ascii="宋体" w:hAnsi="宋体"/>
      <w:kern w:val="2"/>
      <w:sz w:val="24"/>
      <w:szCs w:val="24"/>
    </w:rPr>
  </w:style>
  <w:style w:type="character" w:customStyle="1" w:styleId="66">
    <w:name w:val="纯文本 字符1"/>
    <w:link w:val="20"/>
    <w:qFormat/>
    <w:locked/>
    <w:uiPriority w:val="0"/>
    <w:rPr>
      <w:rFonts w:ascii="宋体" w:hAnsi="Courier New"/>
      <w:kern w:val="2"/>
      <w:sz w:val="21"/>
    </w:rPr>
  </w:style>
  <w:style w:type="character" w:customStyle="1" w:styleId="67">
    <w:name w:val="my正文 Char"/>
    <w:link w:val="68"/>
    <w:qFormat/>
    <w:uiPriority w:val="0"/>
    <w:rPr>
      <w:kern w:val="2"/>
      <w:sz w:val="21"/>
      <w:szCs w:val="24"/>
    </w:rPr>
  </w:style>
  <w:style w:type="paragraph" w:customStyle="1" w:styleId="68">
    <w:name w:val="my正文"/>
    <w:basedOn w:val="1"/>
    <w:link w:val="67"/>
    <w:qFormat/>
    <w:uiPriority w:val="0"/>
    <w:pPr>
      <w:spacing w:line="240" w:lineRule="auto"/>
      <w:ind w:firstLine="0" w:firstLineChars="0"/>
    </w:pPr>
    <w:rPr>
      <w:rFonts w:ascii="Times New Roman" w:hAnsi="Times New Roman"/>
      <w:sz w:val="21"/>
    </w:rPr>
  </w:style>
  <w:style w:type="character" w:customStyle="1" w:styleId="69">
    <w:name w:val="正文2 字符"/>
    <w:link w:val="70"/>
    <w:qFormat/>
    <w:uiPriority w:val="0"/>
    <w:rPr>
      <w:kern w:val="2"/>
      <w:sz w:val="21"/>
      <w:szCs w:val="24"/>
    </w:rPr>
  </w:style>
  <w:style w:type="paragraph" w:customStyle="1" w:styleId="70">
    <w:name w:val="正文2"/>
    <w:basedOn w:val="1"/>
    <w:link w:val="69"/>
    <w:qFormat/>
    <w:uiPriority w:val="0"/>
    <w:pPr>
      <w:ind w:firstLine="420"/>
    </w:pPr>
    <w:rPr>
      <w:rFonts w:ascii="Times New Roman" w:hAnsi="Times New Roman"/>
      <w:sz w:val="21"/>
    </w:rPr>
  </w:style>
  <w:style w:type="character" w:customStyle="1" w:styleId="71">
    <w:name w:val="font41"/>
    <w:qFormat/>
    <w:uiPriority w:val="0"/>
    <w:rPr>
      <w:rFonts w:hint="eastAsia" w:ascii="宋体" w:hAnsi="宋体" w:eastAsia="宋体" w:cs="宋体"/>
      <w:color w:val="000000"/>
      <w:sz w:val="21"/>
      <w:szCs w:val="21"/>
      <w:u w:val="none"/>
    </w:rPr>
  </w:style>
  <w:style w:type="character" w:customStyle="1" w:styleId="72">
    <w:name w:val="标题 7 字符"/>
    <w:link w:val="8"/>
    <w:qFormat/>
    <w:uiPriority w:val="9"/>
    <w:rPr>
      <w:b/>
      <w:bCs/>
      <w:kern w:val="2"/>
      <w:sz w:val="21"/>
      <w:szCs w:val="24"/>
    </w:rPr>
  </w:style>
  <w:style w:type="character" w:customStyle="1" w:styleId="73">
    <w:name w:val="批注框文本 字符"/>
    <w:semiHidden/>
    <w:qFormat/>
    <w:uiPriority w:val="99"/>
    <w:rPr>
      <w:rFonts w:ascii="宋体" w:hAnsi="宋体"/>
      <w:kern w:val="2"/>
      <w:sz w:val="18"/>
      <w:szCs w:val="18"/>
    </w:rPr>
  </w:style>
  <w:style w:type="character" w:customStyle="1" w:styleId="74">
    <w:name w:val="副标题 Char1"/>
    <w:qFormat/>
    <w:uiPriority w:val="0"/>
    <w:rPr>
      <w:rFonts w:ascii="Calibri Light" w:hAnsi="Calibri Light" w:cs="Times New Roman"/>
      <w:b/>
      <w:bCs/>
      <w:kern w:val="28"/>
      <w:sz w:val="32"/>
      <w:szCs w:val="32"/>
    </w:rPr>
  </w:style>
  <w:style w:type="character" w:customStyle="1" w:styleId="75">
    <w:name w:val="标题 1 字符1"/>
    <w:link w:val="2"/>
    <w:qFormat/>
    <w:uiPriority w:val="0"/>
    <w:rPr>
      <w:rFonts w:ascii="宋体" w:hAnsi="宋体" w:eastAsia="黑体"/>
      <w:b/>
      <w:bCs/>
      <w:kern w:val="44"/>
      <w:sz w:val="32"/>
      <w:szCs w:val="28"/>
    </w:rPr>
  </w:style>
  <w:style w:type="character" w:customStyle="1" w:styleId="76">
    <w:name w:val="批注文字 字符"/>
    <w:qFormat/>
    <w:uiPriority w:val="99"/>
    <w:rPr>
      <w:rFonts w:ascii="宋体" w:hAnsi="宋体"/>
      <w:kern w:val="2"/>
      <w:sz w:val="24"/>
      <w:szCs w:val="24"/>
    </w:rPr>
  </w:style>
  <w:style w:type="character" w:customStyle="1" w:styleId="77">
    <w:name w:val="文档结构图 字符"/>
    <w:semiHidden/>
    <w:qFormat/>
    <w:uiPriority w:val="99"/>
    <w:rPr>
      <w:rFonts w:ascii="Microsoft YaHei UI" w:hAnsi="宋体" w:eastAsia="Microsoft YaHei UI"/>
      <w:kern w:val="2"/>
      <w:sz w:val="18"/>
      <w:szCs w:val="18"/>
    </w:rPr>
  </w:style>
  <w:style w:type="character" w:customStyle="1" w:styleId="78">
    <w:name w:val="标题 6 字符"/>
    <w:semiHidden/>
    <w:qFormat/>
    <w:uiPriority w:val="9"/>
    <w:rPr>
      <w:rFonts w:ascii="等线 Light" w:hAnsi="等线 Light" w:eastAsia="等线 Light" w:cs="Times New Roman"/>
      <w:b/>
      <w:bCs/>
      <w:kern w:val="2"/>
      <w:sz w:val="24"/>
      <w:szCs w:val="24"/>
    </w:rPr>
  </w:style>
  <w:style w:type="character" w:customStyle="1" w:styleId="79">
    <w:name w:val="正文正文2 Char"/>
    <w:link w:val="80"/>
    <w:qFormat/>
    <w:uiPriority w:val="0"/>
    <w:rPr>
      <w:rFonts w:ascii="宋体" w:hAnsi="宋体"/>
      <w:kern w:val="2"/>
      <w:sz w:val="21"/>
      <w:szCs w:val="21"/>
    </w:rPr>
  </w:style>
  <w:style w:type="paragraph" w:customStyle="1" w:styleId="80">
    <w:name w:val="正文正文2"/>
    <w:basedOn w:val="1"/>
    <w:link w:val="79"/>
    <w:qFormat/>
    <w:uiPriority w:val="0"/>
    <w:pPr>
      <w:ind w:firstLine="460"/>
    </w:pPr>
    <w:rPr>
      <w:sz w:val="21"/>
      <w:szCs w:val="21"/>
    </w:rPr>
  </w:style>
  <w:style w:type="character" w:customStyle="1" w:styleId="81">
    <w:name w:val="标题 3 字符2"/>
    <w:link w:val="4"/>
    <w:qFormat/>
    <w:uiPriority w:val="0"/>
    <w:rPr>
      <w:rFonts w:ascii="宋体" w:hAnsi="宋体"/>
      <w:b/>
      <w:bCs/>
      <w:kern w:val="2"/>
      <w:sz w:val="28"/>
      <w:szCs w:val="28"/>
    </w:rPr>
  </w:style>
  <w:style w:type="character" w:customStyle="1" w:styleId="82">
    <w:name w:val="标题 4 字符"/>
    <w:semiHidden/>
    <w:qFormat/>
    <w:uiPriority w:val="9"/>
    <w:rPr>
      <w:rFonts w:ascii="等线 Light" w:hAnsi="等线 Light" w:eastAsia="等线 Light" w:cs="Times New Roman"/>
      <w:b/>
      <w:bCs/>
      <w:kern w:val="2"/>
      <w:sz w:val="28"/>
      <w:szCs w:val="28"/>
    </w:rPr>
  </w:style>
  <w:style w:type="character" w:customStyle="1" w:styleId="83">
    <w:name w:val="批注主题 字符1"/>
    <w:link w:val="34"/>
    <w:qFormat/>
    <w:uiPriority w:val="0"/>
    <w:rPr>
      <w:rFonts w:eastAsia="仿宋"/>
      <w:b/>
      <w:bCs/>
      <w:kern w:val="2"/>
      <w:sz w:val="21"/>
      <w:szCs w:val="24"/>
    </w:rPr>
  </w:style>
  <w:style w:type="character" w:customStyle="1" w:styleId="84">
    <w:name w:val="页眉 字符"/>
    <w:semiHidden/>
    <w:qFormat/>
    <w:uiPriority w:val="99"/>
    <w:rPr>
      <w:rFonts w:ascii="宋体" w:hAnsi="宋体"/>
      <w:kern w:val="2"/>
      <w:sz w:val="18"/>
      <w:szCs w:val="18"/>
    </w:rPr>
  </w:style>
  <w:style w:type="character" w:customStyle="1" w:styleId="85">
    <w:name w:val="正文文本缩进 字符1"/>
    <w:link w:val="17"/>
    <w:qFormat/>
    <w:uiPriority w:val="0"/>
    <w:rPr>
      <w:kern w:val="2"/>
      <w:sz w:val="21"/>
    </w:rPr>
  </w:style>
  <w:style w:type="character" w:customStyle="1" w:styleId="86">
    <w:name w:val="标题 5 字符1"/>
    <w:link w:val="6"/>
    <w:qFormat/>
    <w:uiPriority w:val="0"/>
    <w:rPr>
      <w:rFonts w:ascii="宋体" w:hAnsi="宋体"/>
      <w:b/>
      <w:bCs/>
      <w:kern w:val="2"/>
      <w:sz w:val="24"/>
      <w:szCs w:val="28"/>
    </w:rPr>
  </w:style>
  <w:style w:type="character" w:customStyle="1" w:styleId="87">
    <w:name w:val="副标题 字符1"/>
    <w:link w:val="28"/>
    <w:qFormat/>
    <w:uiPriority w:val="0"/>
    <w:rPr>
      <w:rFonts w:ascii="Calibri Light" w:hAnsi="Calibri Light"/>
      <w:b/>
      <w:bCs/>
      <w:kern w:val="28"/>
      <w:sz w:val="32"/>
      <w:szCs w:val="32"/>
    </w:rPr>
  </w:style>
  <w:style w:type="character" w:customStyle="1" w:styleId="88">
    <w:name w:val="标题 2 字符1"/>
    <w:link w:val="3"/>
    <w:qFormat/>
    <w:uiPriority w:val="0"/>
    <w:rPr>
      <w:rFonts w:ascii="宋体" w:hAnsi="宋体" w:eastAsia="仿宋"/>
      <w:b/>
      <w:bCs/>
      <w:kern w:val="2"/>
      <w:sz w:val="30"/>
      <w:szCs w:val="32"/>
    </w:rPr>
  </w:style>
  <w:style w:type="character" w:customStyle="1" w:styleId="89">
    <w:name w:val="页脚 字符1"/>
    <w:link w:val="24"/>
    <w:qFormat/>
    <w:uiPriority w:val="99"/>
    <w:rPr>
      <w:kern w:val="2"/>
      <w:sz w:val="18"/>
      <w:szCs w:val="18"/>
    </w:rPr>
  </w:style>
  <w:style w:type="character" w:customStyle="1" w:styleId="90">
    <w:name w:val="批注主题 字符"/>
    <w:semiHidden/>
    <w:qFormat/>
    <w:uiPriority w:val="99"/>
    <w:rPr>
      <w:rFonts w:ascii="宋体" w:hAnsi="宋体"/>
      <w:b/>
      <w:bCs/>
      <w:kern w:val="2"/>
      <w:sz w:val="24"/>
      <w:szCs w:val="24"/>
    </w:rPr>
  </w:style>
  <w:style w:type="character" w:customStyle="1" w:styleId="91">
    <w:name w:val="文档结构图 字符1"/>
    <w:link w:val="14"/>
    <w:qFormat/>
    <w:uiPriority w:val="0"/>
    <w:rPr>
      <w:rFonts w:ascii="宋体"/>
      <w:kern w:val="2"/>
      <w:sz w:val="18"/>
      <w:szCs w:val="18"/>
    </w:rPr>
  </w:style>
  <w:style w:type="character" w:customStyle="1" w:styleId="92">
    <w:name w:val="font31"/>
    <w:qFormat/>
    <w:uiPriority w:val="0"/>
    <w:rPr>
      <w:rFonts w:hint="eastAsia" w:ascii="宋体" w:hAnsi="宋体" w:eastAsia="宋体" w:cs="宋体"/>
      <w:color w:val="000000"/>
      <w:sz w:val="21"/>
      <w:szCs w:val="21"/>
      <w:u w:val="none"/>
    </w:rPr>
  </w:style>
  <w:style w:type="character" w:customStyle="1" w:styleId="93">
    <w:name w:val="标准正文 Char"/>
    <w:link w:val="94"/>
    <w:qFormat/>
    <w:uiPriority w:val="0"/>
    <w:rPr>
      <w:rFonts w:ascii="Arial" w:hAnsi="Arial"/>
      <w:kern w:val="2"/>
      <w:sz w:val="24"/>
    </w:rPr>
  </w:style>
  <w:style w:type="paragraph" w:customStyle="1" w:styleId="94">
    <w:name w:val="标准正文"/>
    <w:basedOn w:val="17"/>
    <w:link w:val="93"/>
    <w:qFormat/>
    <w:uiPriority w:val="0"/>
    <w:pPr>
      <w:spacing w:before="60" w:after="60"/>
      <w:ind w:firstLine="482" w:firstLineChars="0"/>
    </w:pPr>
    <w:rPr>
      <w:rFonts w:ascii="Arial" w:hAnsi="Arial"/>
      <w:sz w:val="24"/>
    </w:rPr>
  </w:style>
  <w:style w:type="character" w:customStyle="1" w:styleId="95">
    <w:name w:val="标题 字符1"/>
    <w:link w:val="33"/>
    <w:qFormat/>
    <w:uiPriority w:val="0"/>
    <w:rPr>
      <w:rFonts w:ascii="Cambria" w:hAnsi="Cambria" w:eastAsia="黑体"/>
      <w:b/>
      <w:bCs/>
      <w:kern w:val="2"/>
      <w:sz w:val="52"/>
      <w:szCs w:val="32"/>
    </w:rPr>
  </w:style>
  <w:style w:type="character" w:customStyle="1" w:styleId="96">
    <w:name w:val="批注框文本 字符1"/>
    <w:link w:val="23"/>
    <w:qFormat/>
    <w:uiPriority w:val="0"/>
    <w:rPr>
      <w:kern w:val="2"/>
      <w:sz w:val="18"/>
      <w:szCs w:val="18"/>
    </w:rPr>
  </w:style>
  <w:style w:type="character" w:customStyle="1" w:styleId="97">
    <w:name w:val="页眉 字符1"/>
    <w:link w:val="25"/>
    <w:qFormat/>
    <w:uiPriority w:val="99"/>
    <w:rPr>
      <w:kern w:val="2"/>
      <w:sz w:val="18"/>
      <w:szCs w:val="18"/>
    </w:rPr>
  </w:style>
  <w:style w:type="character" w:customStyle="1" w:styleId="98">
    <w:name w:val="标题 8 字符"/>
    <w:link w:val="9"/>
    <w:qFormat/>
    <w:uiPriority w:val="9"/>
    <w:rPr>
      <w:rFonts w:ascii="Cambria" w:hAnsi="Cambria"/>
      <w:kern w:val="2"/>
      <w:sz w:val="21"/>
      <w:szCs w:val="24"/>
    </w:rPr>
  </w:style>
  <w:style w:type="character" w:customStyle="1" w:styleId="99">
    <w:name w:val="标题 6 字符1"/>
    <w:link w:val="7"/>
    <w:qFormat/>
    <w:uiPriority w:val="0"/>
    <w:rPr>
      <w:rFonts w:ascii="Cambria" w:hAnsi="Cambria"/>
      <w:b/>
      <w:bCs/>
      <w:kern w:val="2"/>
      <w:sz w:val="24"/>
      <w:szCs w:val="24"/>
    </w:rPr>
  </w:style>
  <w:style w:type="character" w:customStyle="1" w:styleId="100">
    <w:name w:val="标题 字符"/>
    <w:qFormat/>
    <w:uiPriority w:val="10"/>
    <w:rPr>
      <w:rFonts w:ascii="等线 Light" w:hAnsi="等线 Light" w:eastAsia="等线 Light" w:cs="Times New Roman"/>
      <w:b/>
      <w:bCs/>
      <w:kern w:val="2"/>
      <w:sz w:val="32"/>
      <w:szCs w:val="32"/>
    </w:rPr>
  </w:style>
  <w:style w:type="character" w:customStyle="1" w:styleId="101">
    <w:name w:val="副标题 字符"/>
    <w:qFormat/>
    <w:uiPriority w:val="11"/>
    <w:rPr>
      <w:rFonts w:ascii="等线" w:hAnsi="等线" w:eastAsia="等线" w:cs="Times New Roman"/>
      <w:b/>
      <w:bCs/>
      <w:kern w:val="28"/>
      <w:sz w:val="32"/>
      <w:szCs w:val="32"/>
    </w:rPr>
  </w:style>
  <w:style w:type="paragraph" w:customStyle="1" w:styleId="102">
    <w:name w:val="xl72"/>
    <w:basedOn w:val="1"/>
    <w:qFormat/>
    <w:uiPriority w:val="0"/>
    <w:pPr>
      <w:widowControl/>
      <w:spacing w:before="100" w:beforeAutospacing="1" w:after="100" w:afterAutospacing="1" w:line="240" w:lineRule="auto"/>
      <w:ind w:firstLine="0" w:firstLineChars="0"/>
      <w:jc w:val="center"/>
    </w:pPr>
    <w:rPr>
      <w:rFonts w:cs="宋体"/>
      <w:kern w:val="0"/>
    </w:rPr>
  </w:style>
  <w:style w:type="paragraph" w:customStyle="1" w:styleId="103">
    <w:name w:val="正文（深信服）"/>
    <w:qFormat/>
    <w:uiPriority w:val="0"/>
    <w:pPr>
      <w:spacing w:line="360" w:lineRule="auto"/>
      <w:ind w:firstLine="420"/>
    </w:pPr>
    <w:rPr>
      <w:rFonts w:ascii="Arial" w:hAnsi="Arial" w:eastAsia="宋体" w:cs="Times New Roman"/>
      <w:sz w:val="24"/>
      <w:szCs w:val="21"/>
      <w:shd w:val="clear" w:color="auto" w:fill="FFFFFF"/>
      <w:lang w:val="en-US" w:eastAsia="zh-CN" w:bidi="ar-SA"/>
    </w:rPr>
  </w:style>
  <w:style w:type="paragraph" w:customStyle="1" w:styleId="104">
    <w:name w:val="xl70"/>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05">
    <w:name w:val="_Style 2"/>
    <w:basedOn w:val="2"/>
    <w:next w:val="1"/>
    <w:qFormat/>
    <w:uiPriority w:val="39"/>
    <w:pPr>
      <w:widowControl/>
      <w:numPr>
        <w:numId w:val="0"/>
      </w:numPr>
      <w:spacing w:before="480" w:after="0" w:line="276" w:lineRule="auto"/>
      <w:jc w:val="left"/>
      <w:outlineLvl w:val="9"/>
    </w:pPr>
    <w:rPr>
      <w:rFonts w:ascii="Cambria" w:hAnsi="Cambria" w:eastAsia="宋体"/>
      <w:color w:val="365F91"/>
      <w:kern w:val="0"/>
      <w:sz w:val="28"/>
    </w:rPr>
  </w:style>
  <w:style w:type="paragraph" w:customStyle="1" w:styleId="106">
    <w:name w:val="正文缩进1"/>
    <w:basedOn w:val="1"/>
    <w:qFormat/>
    <w:uiPriority w:val="0"/>
    <w:pPr>
      <w:spacing w:line="240" w:lineRule="auto"/>
      <w:ind w:firstLine="420"/>
    </w:pPr>
    <w:rPr>
      <w:rFonts w:ascii="Times New Roman" w:hAnsi="Times New Roman"/>
      <w:sz w:val="21"/>
      <w:szCs w:val="20"/>
    </w:rPr>
  </w:style>
  <w:style w:type="paragraph" w:customStyle="1" w:styleId="107">
    <w:name w:val="xl68"/>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08">
    <w:name w:val="前言、引言标题"/>
    <w:next w:val="1"/>
    <w:qFormat/>
    <w:uiPriority w:val="99"/>
    <w:pPr>
      <w:shd w:val="clear" w:color="FFFFFF" w:fill="FFFFFF"/>
      <w:tabs>
        <w:tab w:val="left" w:pos="425"/>
      </w:tabs>
      <w:spacing w:before="640" w:after="560"/>
      <w:jc w:val="center"/>
      <w:outlineLvl w:val="0"/>
    </w:pPr>
    <w:rPr>
      <w:rFonts w:ascii="黑体" w:hAnsi="Times New Roman" w:eastAsia="黑体" w:cs="Times New Roman"/>
      <w:sz w:val="32"/>
      <w:lang w:val="en-US" w:eastAsia="zh-CN" w:bidi="ar-SA"/>
    </w:rPr>
  </w:style>
  <w:style w:type="paragraph" w:customStyle="1" w:styleId="109">
    <w:name w:val="Indent Normal"/>
    <w:basedOn w:val="1"/>
    <w:qFormat/>
    <w:uiPriority w:val="0"/>
    <w:pPr>
      <w:ind w:firstLine="150" w:firstLineChars="150"/>
    </w:pPr>
  </w:style>
  <w:style w:type="paragraph" w:customStyle="1" w:styleId="110">
    <w:name w:val="msonormal"/>
    <w:basedOn w:val="1"/>
    <w:qFormat/>
    <w:uiPriority w:val="0"/>
    <w:pPr>
      <w:widowControl/>
      <w:spacing w:before="100" w:beforeAutospacing="1" w:after="100" w:afterAutospacing="1" w:line="240" w:lineRule="auto"/>
      <w:ind w:firstLine="0" w:firstLineChars="0"/>
      <w:jc w:val="left"/>
    </w:pPr>
    <w:rPr>
      <w:rFonts w:cs="宋体"/>
      <w:kern w:val="0"/>
    </w:rPr>
  </w:style>
  <w:style w:type="paragraph" w:customStyle="1" w:styleId="111">
    <w:name w:val="正文 缩进2字符"/>
    <w:basedOn w:val="1"/>
    <w:qFormat/>
    <w:uiPriority w:val="0"/>
    <w:pPr>
      <w:spacing w:afterLines="50" w:line="240" w:lineRule="auto"/>
      <w:ind w:firstLine="0" w:firstLineChars="0"/>
    </w:pPr>
    <w:rPr>
      <w:rFonts w:ascii="Times New Roman" w:hAnsi="Times New Roman" w:cs="宋体"/>
      <w:sz w:val="21"/>
      <w:szCs w:val="20"/>
    </w:rPr>
  </w:style>
  <w:style w:type="paragraph" w:customStyle="1" w:styleId="112">
    <w:name w:val="列项●（二级）"/>
    <w:qFormat/>
    <w:uiPriority w:val="0"/>
    <w:pPr>
      <w:numPr>
        <w:ilvl w:val="0"/>
        <w:numId w:val="2"/>
      </w:numPr>
      <w:tabs>
        <w:tab w:val="left" w:pos="840"/>
      </w:tabs>
      <w:ind w:left="600" w:leftChars="400" w:hanging="200" w:hangingChars="200"/>
      <w:jc w:val="both"/>
    </w:pPr>
    <w:rPr>
      <w:rFonts w:ascii="宋体" w:hAnsi="Times New Roman" w:eastAsia="宋体" w:cs="Times New Roman"/>
      <w:sz w:val="21"/>
      <w:lang w:val="en-US" w:eastAsia="zh-CN" w:bidi="ar-SA"/>
    </w:rPr>
  </w:style>
  <w:style w:type="paragraph" w:customStyle="1" w:styleId="113">
    <w:name w:val="助手文本"/>
    <w:basedOn w:val="1"/>
    <w:qFormat/>
    <w:uiPriority w:val="0"/>
    <w:pPr>
      <w:autoSpaceDE w:val="0"/>
      <w:autoSpaceDN w:val="0"/>
      <w:adjustRightInd w:val="0"/>
      <w:spacing w:beforeLines="50" w:afterLines="50"/>
      <w:ind w:left="14" w:firstLine="434"/>
      <w:textAlignment w:val="baseline"/>
    </w:pPr>
    <w:rPr>
      <w:rFonts w:ascii="楷体_GB2312" w:eastAsia="楷体_GB2312"/>
      <w:kern w:val="0"/>
      <w:szCs w:val="20"/>
      <w:u w:val="single"/>
    </w:rPr>
  </w:style>
  <w:style w:type="paragraph" w:customStyle="1" w:styleId="114">
    <w:name w:val="xl67"/>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15">
    <w:name w:val="段"/>
    <w:qFormat/>
    <w:uiPriority w:val="0"/>
    <w:pPr>
      <w:autoSpaceDE w:val="0"/>
      <w:autoSpaceDN w:val="0"/>
      <w:ind w:firstLine="200" w:firstLineChars="200"/>
      <w:jc w:val="both"/>
    </w:pPr>
    <w:rPr>
      <w:rFonts w:ascii="宋体" w:hAnsi="Times New Roman" w:eastAsia="宋体" w:cs="Calibri"/>
      <w:sz w:val="21"/>
      <w:lang w:val="en-US" w:eastAsia="zh-CN" w:bidi="ar-SA"/>
    </w:rPr>
  </w:style>
  <w:style w:type="paragraph" w:customStyle="1" w:styleId="11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宋体"/>
      <w:kern w:val="0"/>
    </w:rPr>
  </w:style>
  <w:style w:type="paragraph" w:customStyle="1" w:styleId="117">
    <w:name w:val="Char Char Char Char Char Char1 Char"/>
    <w:basedOn w:val="1"/>
    <w:qFormat/>
    <w:uiPriority w:val="0"/>
    <w:pPr>
      <w:widowControl/>
      <w:spacing w:after="160" w:line="240" w:lineRule="exact"/>
      <w:jc w:val="left"/>
    </w:pPr>
  </w:style>
  <w:style w:type="paragraph" w:customStyle="1" w:styleId="118">
    <w:name w:val="PM_Body"/>
    <w:basedOn w:val="1"/>
    <w:qFormat/>
    <w:locked/>
    <w:uiPriority w:val="0"/>
    <w:rPr>
      <w:szCs w:val="21"/>
    </w:rPr>
  </w:style>
  <w:style w:type="paragraph" w:customStyle="1" w:styleId="119">
    <w:name w:val="Char Char1"/>
    <w:basedOn w:val="1"/>
    <w:qFormat/>
    <w:uiPriority w:val="0"/>
    <w:pPr>
      <w:widowControl/>
      <w:spacing w:before="120" w:after="120"/>
    </w:pPr>
    <w:rPr>
      <w:rFonts w:ascii="Times New Roman" w:hAnsi="Times New Roman" w:cs="宋体"/>
    </w:rPr>
  </w:style>
  <w:style w:type="paragraph" w:customStyle="1" w:styleId="120">
    <w:name w:val="xl71"/>
    <w:basedOn w:val="1"/>
    <w:qFormat/>
    <w:uiPriority w:val="0"/>
    <w:pPr>
      <w:widowControl/>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21">
    <w:name w:val="修订1"/>
    <w:unhideWhenUsed/>
    <w:qFormat/>
    <w:uiPriority w:val="99"/>
    <w:rPr>
      <w:rFonts w:ascii="宋体" w:hAnsi="宋体" w:eastAsia="宋体" w:cs="Times New Roman"/>
      <w:kern w:val="2"/>
      <w:sz w:val="24"/>
      <w:szCs w:val="24"/>
      <w:lang w:val="en-US" w:eastAsia="zh-CN" w:bidi="ar-SA"/>
    </w:rPr>
  </w:style>
  <w:style w:type="paragraph" w:customStyle="1" w:styleId="122">
    <w:name w:val="列出段落2"/>
    <w:basedOn w:val="1"/>
    <w:qFormat/>
    <w:uiPriority w:val="0"/>
    <w:pPr>
      <w:spacing w:line="240" w:lineRule="auto"/>
      <w:ind w:firstLine="420"/>
    </w:pPr>
    <w:rPr>
      <w:rFonts w:ascii="等线" w:hAnsi="等线" w:eastAsia="等线" w:cs="等线"/>
      <w:sz w:val="21"/>
      <w:szCs w:val="21"/>
    </w:rPr>
  </w:style>
  <w:style w:type="paragraph" w:customStyle="1" w:styleId="123">
    <w:name w:val="xl69"/>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kern w:val="0"/>
      <w:sz w:val="18"/>
      <w:szCs w:val="18"/>
    </w:rPr>
  </w:style>
  <w:style w:type="paragraph" w:customStyle="1" w:styleId="12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25">
    <w:name w:val="文档正文文本（中安网脉）"/>
    <w:basedOn w:val="1"/>
    <w:qFormat/>
    <w:uiPriority w:val="0"/>
    <w:pPr>
      <w:ind w:firstLine="200"/>
    </w:pPr>
    <w:rPr>
      <w:rFonts w:ascii="Times New Roman" w:hAnsi="Times New Roman" w:eastAsia="仿宋_GB2312"/>
      <w:color w:val="000000"/>
      <w:szCs w:val="28"/>
    </w:rPr>
  </w:style>
  <w:style w:type="paragraph" w:customStyle="1" w:styleId="126">
    <w:name w:val="xl6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27">
    <w:name w:val="正文样式"/>
    <w:unhideWhenUsed/>
    <w:qFormat/>
    <w:uiPriority w:val="0"/>
    <w:pPr>
      <w:widowControl w:val="0"/>
      <w:adjustRightInd w:val="0"/>
      <w:snapToGrid w:val="0"/>
      <w:spacing w:line="360" w:lineRule="auto"/>
      <w:ind w:firstLine="200" w:firstLineChars="200"/>
      <w:jc w:val="both"/>
    </w:pPr>
    <w:rPr>
      <w:rFonts w:ascii="Times New Roman" w:hAnsi="Times New Roman" w:eastAsia="宋体" w:cs="Times New Roman"/>
      <w:bCs/>
      <w:snapToGrid w:val="0"/>
      <w:sz w:val="24"/>
      <w:szCs w:val="44"/>
      <w:lang w:val="en-US" w:eastAsia="zh-CN" w:bidi="ar-SA"/>
    </w:rPr>
  </w:style>
  <w:style w:type="paragraph" w:customStyle="1" w:styleId="128">
    <w:name w:val="样式 行距: 1.5 倍行距 首行缩进:  2 字符"/>
    <w:basedOn w:val="1"/>
    <w:qFormat/>
    <w:uiPriority w:val="0"/>
    <w:pPr>
      <w:ind w:firstLine="560"/>
      <w:jc w:val="left"/>
    </w:pPr>
    <w:rPr>
      <w:rFonts w:ascii="仿宋" w:hAnsi="仿宋" w:cs="宋体"/>
      <w:sz w:val="28"/>
      <w:szCs w:val="20"/>
    </w:rPr>
  </w:style>
  <w:style w:type="paragraph" w:customStyle="1" w:styleId="129">
    <w:name w:val="TOC 标题1"/>
    <w:basedOn w:val="2"/>
    <w:next w:val="1"/>
    <w:qFormat/>
    <w:uiPriority w:val="39"/>
    <w:pPr>
      <w:widowControl/>
      <w:numPr>
        <w:numId w:val="0"/>
      </w:numPr>
      <w:spacing w:before="480" w:after="0" w:line="276" w:lineRule="auto"/>
      <w:jc w:val="left"/>
      <w:outlineLvl w:val="9"/>
    </w:pPr>
    <w:rPr>
      <w:rFonts w:ascii="Cambria" w:hAnsi="Cambria" w:eastAsia="宋体"/>
      <w:color w:val="365F91"/>
      <w:kern w:val="0"/>
      <w:sz w:val="28"/>
    </w:rPr>
  </w:style>
  <w:style w:type="table" w:customStyle="1" w:styleId="130">
    <w:name w:val="!我的表格1"/>
    <w:basedOn w:val="3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
    <w:name w:val="网格型1"/>
    <w:basedOn w:val="35"/>
    <w:unhideWhenUsed/>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2">
    <w:name w:val="标题 1 Char"/>
    <w:qFormat/>
    <w:uiPriority w:val="0"/>
    <w:rPr>
      <w:rFonts w:ascii="宋体" w:hAnsi="宋体" w:eastAsia="黑体"/>
      <w:b/>
      <w:bCs/>
      <w:kern w:val="44"/>
      <w:sz w:val="32"/>
      <w:szCs w:val="28"/>
    </w:rPr>
  </w:style>
  <w:style w:type="character" w:customStyle="1" w:styleId="133">
    <w:name w:val="纯文本 Char2"/>
    <w:qFormat/>
    <w:uiPriority w:val="0"/>
    <w:rPr>
      <w:rFonts w:ascii="宋体" w:hAnsi="宋体" w:eastAsia="宋体" w:cs="Times New Roman"/>
      <w:color w:val="000000"/>
      <w:kern w:val="0"/>
      <w:sz w:val="24"/>
      <w:szCs w:val="24"/>
    </w:rPr>
  </w:style>
  <w:style w:type="paragraph" w:customStyle="1" w:styleId="134">
    <w:name w:val="可研正文"/>
    <w:basedOn w:val="1"/>
    <w:link w:val="135"/>
    <w:qFormat/>
    <w:uiPriority w:val="0"/>
    <w:pPr>
      <w:ind w:firstLine="200"/>
    </w:pPr>
    <w:rPr>
      <w:rFonts w:ascii="仿宋" w:hAnsi="仿宋"/>
      <w:sz w:val="28"/>
      <w:szCs w:val="28"/>
      <w:lang w:val="zh-CN"/>
    </w:rPr>
  </w:style>
  <w:style w:type="character" w:customStyle="1" w:styleId="135">
    <w:name w:val="可研正文 Char"/>
    <w:link w:val="134"/>
    <w:qFormat/>
    <w:uiPriority w:val="0"/>
    <w:rPr>
      <w:rFonts w:ascii="仿宋" w:hAnsi="仿宋" w:eastAsia="仿宋"/>
      <w:kern w:val="2"/>
      <w:sz w:val="28"/>
      <w:szCs w:val="28"/>
      <w:lang w:val="zh-CN"/>
    </w:rPr>
  </w:style>
  <w:style w:type="paragraph" w:customStyle="1" w:styleId="136">
    <w:name w:val="表正文"/>
    <w:qFormat/>
    <w:uiPriority w:val="0"/>
    <w:rPr>
      <w:rFonts w:ascii="Times New Roman" w:hAnsi="Times New Roman" w:eastAsia="仿宋" w:cstheme="minorBidi"/>
      <w:kern w:val="2"/>
      <w:sz w:val="21"/>
      <w:szCs w:val="24"/>
      <w:lang w:val="en-US" w:eastAsia="zh-CN" w:bidi="ar-SA"/>
    </w:rPr>
  </w:style>
  <w:style w:type="paragraph" w:customStyle="1" w:styleId="137">
    <w:name w:val="样式 标题 3 + 微软雅黑 小四"/>
    <w:basedOn w:val="4"/>
    <w:qFormat/>
    <w:uiPriority w:val="0"/>
    <w:rPr>
      <w:rFonts w:ascii="微软雅黑" w:hAnsi="微软雅黑"/>
      <w:sz w:val="24"/>
    </w:rPr>
  </w:style>
  <w:style w:type="paragraph" w:customStyle="1" w:styleId="138">
    <w:name w:val="样式 可研正文 + 微软雅黑 小四 黑色 首行缩进:  2 字符"/>
    <w:basedOn w:val="134"/>
    <w:qFormat/>
    <w:uiPriority w:val="0"/>
    <w:pPr>
      <w:ind w:firstLine="480"/>
    </w:pPr>
    <w:rPr>
      <w:rFonts w:ascii="微软雅黑" w:hAnsi="微软雅黑" w:cs="宋体"/>
      <w:color w:val="000000"/>
      <w:sz w:val="24"/>
      <w:szCs w:val="20"/>
    </w:rPr>
  </w:style>
  <w:style w:type="paragraph" w:customStyle="1" w:styleId="139">
    <w:name w:val="样式 标题 2 + 微软雅黑 小四"/>
    <w:basedOn w:val="3"/>
    <w:qFormat/>
    <w:uiPriority w:val="0"/>
    <w:rPr>
      <w:rFonts w:ascii="微软雅黑" w:hAnsi="微软雅黑"/>
    </w:rPr>
  </w:style>
  <w:style w:type="paragraph" w:customStyle="1" w:styleId="140">
    <w:name w:val="样式 标题 4 + 微软雅黑 小四"/>
    <w:basedOn w:val="5"/>
    <w:qFormat/>
    <w:uiPriority w:val="0"/>
    <w:rPr>
      <w:rFonts w:ascii="微软雅黑" w:hAnsi="微软雅黑"/>
      <w:sz w:val="24"/>
    </w:rPr>
  </w:style>
  <w:style w:type="paragraph" w:customStyle="1" w:styleId="141">
    <w:name w:val="样式 可研正文 + 微软雅黑 小四 首行缩进:  2 字符"/>
    <w:basedOn w:val="134"/>
    <w:qFormat/>
    <w:uiPriority w:val="0"/>
    <w:pPr>
      <w:ind w:firstLine="480"/>
    </w:pPr>
    <w:rPr>
      <w:rFonts w:ascii="微软雅黑" w:hAnsi="微软雅黑" w:cs="宋体"/>
      <w:sz w:val="24"/>
      <w:szCs w:val="20"/>
    </w:rPr>
  </w:style>
  <w:style w:type="paragraph" w:customStyle="1" w:styleId="142">
    <w:name w:val="样式 +中文正文 (宋体) 五号 加粗 黑色 居中 行距: 单倍行距 首行缩进:  0 字符"/>
    <w:basedOn w:val="1"/>
    <w:qFormat/>
    <w:uiPriority w:val="0"/>
    <w:pPr>
      <w:spacing w:line="240" w:lineRule="auto"/>
      <w:ind w:firstLine="0" w:firstLineChars="0"/>
      <w:jc w:val="center"/>
    </w:pPr>
    <w:rPr>
      <w:rFonts w:cs="宋体" w:asciiTheme="minorEastAsia" w:hAnsiTheme="minorEastAsia"/>
      <w:b/>
      <w:bCs/>
      <w:color w:val="000000"/>
      <w:kern w:val="0"/>
      <w:sz w:val="21"/>
      <w:szCs w:val="20"/>
    </w:rPr>
  </w:style>
  <w:style w:type="paragraph" w:customStyle="1" w:styleId="143">
    <w:name w:val="样式 正文缩进1 + 宋体 小四 首行缩进:  2 字符 行距: 1.5 倍行距"/>
    <w:basedOn w:val="106"/>
    <w:qFormat/>
    <w:uiPriority w:val="0"/>
    <w:pPr>
      <w:spacing w:line="360" w:lineRule="auto"/>
      <w:ind w:firstLine="480"/>
    </w:pPr>
    <w:rPr>
      <w:rFonts w:ascii="宋体" w:hAnsi="宋体" w:cs="宋体"/>
      <w:sz w:val="24"/>
    </w:rPr>
  </w:style>
  <w:style w:type="paragraph" w:customStyle="1" w:styleId="144">
    <w:name w:val="样式 正文缩进1 + 宋体 小四 行距: 1.5 倍行距"/>
    <w:basedOn w:val="106"/>
    <w:qFormat/>
    <w:uiPriority w:val="0"/>
    <w:pPr>
      <w:spacing w:line="360" w:lineRule="auto"/>
    </w:pPr>
    <w:rPr>
      <w:rFonts w:ascii="宋体" w:hAnsi="宋体" w:cs="宋体"/>
      <w:sz w:val="24"/>
    </w:rPr>
  </w:style>
  <w:style w:type="paragraph" w:customStyle="1" w:styleId="145">
    <w:name w:val="样式 首行缩进:  0 字符"/>
    <w:basedOn w:val="1"/>
    <w:qFormat/>
    <w:uiPriority w:val="0"/>
    <w:pPr>
      <w:ind w:firstLine="0" w:firstLineChars="0"/>
    </w:pPr>
    <w:rPr>
      <w:rFonts w:cs="宋体"/>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0D08A84C-4F2E-4945-A916-B5D5D4370C59}">
  <ds:schemaRefs/>
</ds:datastoreItem>
</file>

<file path=docProps/app.xml><?xml version="1.0" encoding="utf-8"?>
<Properties xmlns="http://schemas.openxmlformats.org/officeDocument/2006/extended-properties" xmlns:vt="http://schemas.openxmlformats.org/officeDocument/2006/docPropsVTypes">
  <Template>Normal.dotm</Template>
  <Pages>46</Pages>
  <Words>4767</Words>
  <Characters>27178</Characters>
  <Lines>226</Lines>
  <Paragraphs>63</Paragraphs>
  <TotalTime>83</TotalTime>
  <ScaleCrop>false</ScaleCrop>
  <LinksUpToDate>false</LinksUpToDate>
  <CharactersWithSpaces>31882</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2024-12-25T17:19:00Z</dcterms:created>
  <dc:creator>gtig_tzb</dc:creator>
  <cp:lastModifiedBy>高际航</cp:lastModifiedBy>
  <cp:lastPrinted>2020-08-07T20:08:00Z</cp:lastPrinted>
  <dcterms:modified xsi:type="dcterms:W3CDTF">2025-01-15T15:14:54Z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2FA7C92E9EB17CD76A608767FD2BBF6D_43</vt:lpwstr>
  </property>
</Properties>
</file>