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E2C95">
      <w:pPr>
        <w:pStyle w:val="4"/>
        <w:spacing w:before="313" w:line="360" w:lineRule="auto"/>
        <w:ind w:left="40"/>
        <w:jc w:val="center"/>
        <w:outlineLvl w:val="0"/>
        <w:rPr>
          <w:b/>
          <w:bCs/>
          <w:color w:val="auto"/>
          <w:spacing w:val="12"/>
          <w:sz w:val="32"/>
          <w:szCs w:val="32"/>
          <w:lang w:eastAsia="zh-CN"/>
        </w:rPr>
      </w:pPr>
      <w:r>
        <w:rPr>
          <w:b/>
          <w:bCs/>
          <w:color w:val="auto"/>
          <w:spacing w:val="12"/>
          <w:sz w:val="32"/>
          <w:szCs w:val="32"/>
          <w:lang w:eastAsia="zh-CN"/>
        </w:rPr>
        <w:t>上海工艺美术职业学院</w:t>
      </w:r>
      <w:r>
        <w:rPr>
          <w:rFonts w:hint="eastAsia"/>
          <w:b/>
          <w:bCs/>
          <w:color w:val="auto"/>
          <w:spacing w:val="12"/>
          <w:sz w:val="32"/>
          <w:szCs w:val="32"/>
          <w:lang w:eastAsia="zh-CN"/>
        </w:rPr>
        <w:t>2</w:t>
      </w:r>
      <w:r>
        <w:rPr>
          <w:b/>
          <w:bCs/>
          <w:color w:val="auto"/>
          <w:spacing w:val="12"/>
          <w:sz w:val="32"/>
          <w:szCs w:val="32"/>
          <w:lang w:eastAsia="zh-CN"/>
        </w:rPr>
        <w:t>025年</w:t>
      </w:r>
      <w:r>
        <w:rPr>
          <w:rFonts w:hint="eastAsia"/>
          <w:b/>
          <w:bCs/>
          <w:color w:val="auto"/>
          <w:spacing w:val="12"/>
          <w:sz w:val="32"/>
          <w:szCs w:val="32"/>
          <w:lang w:eastAsia="zh-CN"/>
        </w:rPr>
        <w:t>宿舍家具采购需求</w:t>
      </w:r>
    </w:p>
    <w:p w14:paraId="6D9FF050">
      <w:pPr>
        <w:pStyle w:val="4"/>
        <w:numPr>
          <w:ilvl w:val="0"/>
          <w:numId w:val="1"/>
        </w:numPr>
        <w:spacing w:before="313" w:line="360" w:lineRule="auto"/>
        <w:outlineLvl w:val="0"/>
        <w:rPr>
          <w:b/>
          <w:bCs/>
          <w:snapToGrid/>
          <w:color w:val="auto"/>
          <w:sz w:val="21"/>
          <w:szCs w:val="21"/>
          <w:lang w:eastAsia="zh-CN"/>
        </w:rPr>
      </w:pPr>
      <w:r>
        <w:rPr>
          <w:rFonts w:hint="eastAsia"/>
          <w:b/>
          <w:bCs/>
          <w:color w:val="auto"/>
          <w:spacing w:val="12"/>
          <w:sz w:val="21"/>
          <w:szCs w:val="21"/>
          <w:lang w:eastAsia="zh-CN"/>
        </w:rPr>
        <w:t>项目背景</w:t>
      </w:r>
    </w:p>
    <w:p w14:paraId="2DDFC6DE">
      <w:pPr>
        <w:spacing w:line="360" w:lineRule="auto"/>
        <w:ind w:firstLine="420" w:firstLineChars="200"/>
        <w:textAlignment w:val="auto"/>
        <w:rPr>
          <w:rFonts w:cs="宋体"/>
          <w:color w:val="auto"/>
          <w:lang w:eastAsia="zh-CN"/>
        </w:rPr>
      </w:pPr>
      <w:r>
        <w:rPr>
          <w:rFonts w:hint="eastAsia" w:cs="宋体"/>
          <w:color w:val="auto"/>
          <w:lang w:eastAsia="zh-CN"/>
        </w:rPr>
        <w:t>（一）项目名称：上海工艺美术职业学院2</w:t>
      </w:r>
      <w:r>
        <w:rPr>
          <w:rFonts w:cs="宋体"/>
          <w:color w:val="auto"/>
          <w:lang w:eastAsia="zh-CN"/>
        </w:rPr>
        <w:t>025年</w:t>
      </w:r>
      <w:r>
        <w:rPr>
          <w:rFonts w:hint="eastAsia" w:cs="宋体"/>
          <w:color w:val="auto"/>
          <w:lang w:eastAsia="zh-CN"/>
        </w:rPr>
        <w:t>宿舍家具采购项目</w:t>
      </w:r>
    </w:p>
    <w:p w14:paraId="7ACB3AFB">
      <w:pPr>
        <w:spacing w:line="360" w:lineRule="auto"/>
        <w:ind w:firstLine="420" w:firstLineChars="200"/>
        <w:textAlignment w:val="auto"/>
        <w:rPr>
          <w:rFonts w:cs="宋体"/>
          <w:color w:val="auto"/>
          <w:lang w:eastAsia="zh-CN"/>
        </w:rPr>
      </w:pPr>
      <w:r>
        <w:rPr>
          <w:rFonts w:hint="eastAsia" w:cs="宋体"/>
          <w:color w:val="auto"/>
          <w:lang w:eastAsia="zh-CN"/>
        </w:rPr>
        <w:t>（二）送货安装地点：</w:t>
      </w:r>
      <w:r>
        <w:rPr>
          <w:rFonts w:hint="eastAsia" w:ascii="宋体" w:hAnsi="宋体" w:cs="Helvetica"/>
          <w:color w:val="auto"/>
          <w:shd w:val="clear" w:color="auto" w:fill="FFFFFF"/>
          <w:lang w:eastAsia="zh-CN"/>
        </w:rPr>
        <w:t>上海市嘉定区嘉行公路</w:t>
      </w:r>
      <w:r>
        <w:rPr>
          <w:rFonts w:hint="eastAsia" w:ascii="宋体" w:hAnsi="宋体" w:cs="Helvetica"/>
          <w:color w:val="auto"/>
          <w:lang w:eastAsia="zh-CN"/>
        </w:rPr>
        <w:t>851号</w:t>
      </w:r>
    </w:p>
    <w:p w14:paraId="799EC215">
      <w:pPr>
        <w:pStyle w:val="18"/>
        <w:spacing w:line="360" w:lineRule="auto"/>
        <w:ind w:left="420" w:firstLine="0" w:firstLineChars="0"/>
        <w:textAlignment w:val="auto"/>
        <w:rPr>
          <w:rFonts w:ascii="宋体" w:hAnsi="宋体"/>
          <w:b/>
          <w:color w:val="auto"/>
          <w:lang w:eastAsia="zh-CN"/>
        </w:rPr>
      </w:pPr>
      <w:r>
        <w:rPr>
          <w:rFonts w:hint="eastAsia" w:cs="宋体"/>
          <w:color w:val="auto"/>
          <w:lang w:eastAsia="zh-CN"/>
        </w:rPr>
        <w:t>（三）预算金额及最高限价：5</w:t>
      </w:r>
      <w:r>
        <w:rPr>
          <w:rFonts w:cs="宋体"/>
          <w:color w:val="auto"/>
          <w:lang w:eastAsia="zh-CN"/>
        </w:rPr>
        <w:t>67.74万元</w:t>
      </w:r>
    </w:p>
    <w:p w14:paraId="51130EFC">
      <w:pPr>
        <w:pStyle w:val="4"/>
        <w:spacing w:before="44" w:line="360" w:lineRule="auto"/>
        <w:ind w:firstLine="420" w:firstLineChars="200"/>
        <w:jc w:val="both"/>
        <w:rPr>
          <w:color w:val="auto"/>
          <w:sz w:val="21"/>
          <w:szCs w:val="21"/>
          <w:lang w:eastAsia="zh-CN"/>
        </w:rPr>
      </w:pPr>
    </w:p>
    <w:p w14:paraId="4B2C0E2A">
      <w:pPr>
        <w:pStyle w:val="4"/>
        <w:spacing w:before="44" w:line="360" w:lineRule="auto"/>
        <w:ind w:left="50" w:firstLine="422" w:firstLineChars="200"/>
        <w:jc w:val="both"/>
        <w:outlineLvl w:val="0"/>
        <w:rPr>
          <w:b/>
          <w:bCs/>
          <w:color w:val="auto"/>
          <w:sz w:val="21"/>
          <w:szCs w:val="21"/>
          <w:lang w:eastAsia="zh-CN"/>
        </w:rPr>
      </w:pPr>
      <w:r>
        <w:rPr>
          <w:rFonts w:hint="eastAsia"/>
          <w:b/>
          <w:bCs/>
          <w:color w:val="auto"/>
          <w:sz w:val="21"/>
          <w:szCs w:val="21"/>
          <w:lang w:eastAsia="zh-CN"/>
        </w:rPr>
        <w:t>二、需执行的国家相关标准、行业标准或其他标准、规范</w:t>
      </w:r>
    </w:p>
    <w:p w14:paraId="170D983C">
      <w:pPr>
        <w:pStyle w:val="5"/>
        <w:ind w:left="0" w:leftChars="0" w:firstLine="422" w:firstLineChars="200"/>
        <w:outlineLvl w:val="1"/>
        <w:rPr>
          <w:rFonts w:ascii="宋体" w:hAnsi="宋体" w:eastAsia="宋体" w:cs="宋体"/>
          <w:b/>
          <w:bCs/>
          <w:color w:val="auto"/>
          <w:sz w:val="21"/>
          <w:szCs w:val="21"/>
          <w:lang w:eastAsia="zh-CN"/>
        </w:rPr>
      </w:pPr>
      <w:bookmarkStart w:id="0" w:name="_Toc8379"/>
      <w:bookmarkStart w:id="1" w:name="_Toc25898_WPSOffice_Level2"/>
      <w:r>
        <w:rPr>
          <w:rFonts w:hint="eastAsia" w:ascii="宋体" w:hAnsi="宋体" w:eastAsia="宋体" w:cs="宋体"/>
          <w:b/>
          <w:bCs/>
          <w:color w:val="auto"/>
          <w:sz w:val="21"/>
          <w:szCs w:val="21"/>
          <w:lang w:eastAsia="zh-CN"/>
        </w:rPr>
        <w:t>（一）强制性标准</w:t>
      </w:r>
      <w:bookmarkEnd w:id="0"/>
      <w:bookmarkEnd w:id="1"/>
    </w:p>
    <w:p w14:paraId="1D82FBD5">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18583-2008《室内装饰装修材料 胶粘剂中有害物质限量》；</w:t>
      </w:r>
    </w:p>
    <w:p w14:paraId="499377D3">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6566-2023 《建筑材料放射性核素限量》；</w:t>
      </w:r>
    </w:p>
    <w:p w14:paraId="33EB375D">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18584-2024《家具中有害物质限量》；</w:t>
      </w:r>
    </w:p>
    <w:p w14:paraId="0A89E3E8">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18580-2017《室内装饰装修材料人造板及其制品中甲醛释放限量》；</w:t>
      </w:r>
    </w:p>
    <w:p w14:paraId="1CD62871">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18581-2020《木器涂料中有害物质限量》；</w:t>
      </w:r>
    </w:p>
    <w:p w14:paraId="127CD450">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28481-2012《塑料家具中有害物质限量》。</w:t>
      </w:r>
    </w:p>
    <w:p w14:paraId="62CDB682">
      <w:pPr>
        <w:pStyle w:val="5"/>
        <w:ind w:left="0" w:leftChars="0" w:firstLine="422" w:firstLineChars="200"/>
        <w:rPr>
          <w:rFonts w:ascii="宋体" w:hAnsi="宋体" w:eastAsia="宋体" w:cs="宋体"/>
          <w:b/>
          <w:color w:val="auto"/>
          <w:sz w:val="21"/>
          <w:szCs w:val="21"/>
          <w:lang w:eastAsia="zh-CN"/>
        </w:rPr>
      </w:pPr>
      <w:bookmarkStart w:id="2" w:name="_Toc25730_WPSOffice_Level2"/>
      <w:bookmarkStart w:id="3" w:name="_Toc227555682"/>
      <w:bookmarkStart w:id="4" w:name="_Toc16007"/>
      <w:r>
        <w:rPr>
          <w:rFonts w:hint="eastAsia" w:ascii="宋体" w:hAnsi="宋体" w:eastAsia="宋体" w:cs="宋体"/>
          <w:b/>
          <w:color w:val="auto"/>
          <w:sz w:val="21"/>
          <w:szCs w:val="21"/>
          <w:lang w:eastAsia="zh-CN"/>
        </w:rPr>
        <w:t>（二）质量及技术标准</w:t>
      </w:r>
      <w:bookmarkEnd w:id="2"/>
      <w:bookmarkEnd w:id="3"/>
      <w:bookmarkEnd w:id="4"/>
    </w:p>
    <w:p w14:paraId="7E031968">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2741-2013《学生公寓多功能家具》；</w:t>
      </w:r>
    </w:p>
    <w:p w14:paraId="6FE7E368">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35601-2024《绿色产品评价 人造板和木质地板》；</w:t>
      </w:r>
    </w:p>
    <w:p w14:paraId="67CE2E4B">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QB/T 2189-2013《家具五金 杯状暗铰链》；</w:t>
      </w:r>
    </w:p>
    <w:p w14:paraId="473B4132">
      <w:pPr>
        <w:pStyle w:val="5"/>
        <w:ind w:left="0" w:leftChars="0" w:firstLine="420" w:firstLineChars="200"/>
        <w:rPr>
          <w:color w:val="auto"/>
          <w:lang w:eastAsia="zh-CN"/>
        </w:rPr>
      </w:pPr>
      <w:r>
        <w:rPr>
          <w:rFonts w:hint="eastAsia" w:ascii="宋体" w:hAnsi="宋体" w:eastAsia="宋体" w:cs="宋体"/>
          <w:color w:val="auto"/>
          <w:sz w:val="21"/>
          <w:szCs w:val="21"/>
          <w:lang w:eastAsia="zh-CN"/>
        </w:rPr>
        <w:t>GB/T 2454-2013《家具五金 抽屉导轨》；</w:t>
      </w:r>
    </w:p>
    <w:p w14:paraId="3BA1A668">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3325-2024《金属家具通用技术条件》；</w:t>
      </w:r>
    </w:p>
    <w:p w14:paraId="179B7327">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QB/T 2280-2016《办公家具 办公椅》；</w:t>
      </w:r>
    </w:p>
    <w:p w14:paraId="001BF08D">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35607-2024《绿色产品评价 家具》；</w:t>
      </w:r>
    </w:p>
    <w:p w14:paraId="4079FB24">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3324-2024《木家具通用技术条件》；</w:t>
      </w:r>
    </w:p>
    <w:p w14:paraId="397CE5E0">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HG/T 2006-2006（2017） 《热固性粉末涂料标准》</w:t>
      </w:r>
    </w:p>
    <w:p w14:paraId="5168F2BF">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39600-2021 《人造板及其制品甲醛释放量分级》</w:t>
      </w:r>
    </w:p>
    <w:p w14:paraId="0AC57FAE">
      <w:pPr>
        <w:pStyle w:val="5"/>
        <w:ind w:left="0"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GB/T 4071《课桌椅检测标准》</w:t>
      </w:r>
    </w:p>
    <w:p w14:paraId="780848B3">
      <w:pPr>
        <w:pStyle w:val="5"/>
        <w:ind w:left="0" w:leftChars="0"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及其他与本次采购的家具相关的现行最新标准；采购需求内所涉及到的标准若与现行标准冲突，均以现行的最新版本为准。</w:t>
      </w:r>
    </w:p>
    <w:p w14:paraId="5F489643">
      <w:pPr>
        <w:rPr>
          <w:color w:val="auto"/>
          <w:lang w:eastAsia="zh-CN"/>
        </w:rPr>
      </w:pPr>
    </w:p>
    <w:p w14:paraId="3B3003E8">
      <w:pPr>
        <w:rPr>
          <w:rFonts w:ascii="宋体" w:hAnsi="宋体" w:eastAsia="宋体" w:cs="宋体"/>
          <w:color w:val="auto"/>
          <w:lang w:eastAsia="zh-CN"/>
        </w:rPr>
      </w:pPr>
    </w:p>
    <w:p w14:paraId="2A69B65E">
      <w:pPr>
        <w:rPr>
          <w:rFonts w:ascii="宋体" w:hAnsi="宋体" w:eastAsia="宋体" w:cs="宋体"/>
          <w:color w:val="auto"/>
          <w:lang w:eastAsia="zh-CN"/>
        </w:rPr>
      </w:pPr>
    </w:p>
    <w:p w14:paraId="7CE90A3C">
      <w:pPr>
        <w:rPr>
          <w:color w:val="auto"/>
          <w:lang w:eastAsia="zh-CN"/>
        </w:rPr>
      </w:pPr>
    </w:p>
    <w:p w14:paraId="5E646077">
      <w:pPr>
        <w:rPr>
          <w:rFonts w:ascii="宋体" w:hAnsi="宋体" w:eastAsia="宋体" w:cs="宋体"/>
          <w:color w:val="auto"/>
          <w:lang w:eastAsia="zh-CN"/>
        </w:rPr>
      </w:pPr>
    </w:p>
    <w:p w14:paraId="13E91253">
      <w:pPr>
        <w:rPr>
          <w:rFonts w:ascii="宋体" w:hAnsi="宋体" w:eastAsia="宋体" w:cs="宋体"/>
          <w:color w:val="auto"/>
          <w:lang w:eastAsia="zh-CN"/>
        </w:rPr>
      </w:pPr>
    </w:p>
    <w:p w14:paraId="6B44DC3A">
      <w:pPr>
        <w:rPr>
          <w:rFonts w:ascii="宋体" w:hAnsi="宋体" w:eastAsia="宋体" w:cs="宋体"/>
          <w:color w:val="auto"/>
          <w:lang w:eastAsia="zh-CN"/>
        </w:rPr>
      </w:pPr>
    </w:p>
    <w:p w14:paraId="0DD8C29B">
      <w:pPr>
        <w:rPr>
          <w:rFonts w:ascii="宋体" w:hAnsi="宋体" w:eastAsia="宋体" w:cs="宋体"/>
          <w:color w:val="auto"/>
          <w:lang w:eastAsia="zh-CN"/>
        </w:rPr>
      </w:pPr>
    </w:p>
    <w:p w14:paraId="063AD006">
      <w:pPr>
        <w:rPr>
          <w:rFonts w:ascii="宋体" w:hAnsi="宋体" w:eastAsia="宋体" w:cs="宋体"/>
          <w:color w:val="auto"/>
          <w:lang w:eastAsia="zh-CN"/>
        </w:rPr>
      </w:pPr>
    </w:p>
    <w:p w14:paraId="20F3724F">
      <w:pPr>
        <w:rPr>
          <w:rFonts w:ascii="宋体" w:hAnsi="宋体" w:eastAsia="宋体" w:cs="宋体"/>
          <w:color w:val="auto"/>
          <w:lang w:eastAsia="zh-CN"/>
        </w:rPr>
      </w:pPr>
    </w:p>
    <w:p w14:paraId="334AF338">
      <w:pPr>
        <w:rPr>
          <w:rFonts w:ascii="宋体" w:hAnsi="宋体" w:eastAsia="宋体" w:cs="宋体"/>
          <w:color w:val="auto"/>
          <w:lang w:eastAsia="zh-CN"/>
        </w:rPr>
      </w:pPr>
    </w:p>
    <w:p w14:paraId="42DF473A">
      <w:pPr>
        <w:rPr>
          <w:rFonts w:ascii="宋体" w:hAnsi="宋体" w:eastAsia="宋体" w:cs="宋体"/>
          <w:color w:val="auto"/>
          <w:lang w:eastAsia="zh-CN"/>
        </w:rPr>
      </w:pPr>
    </w:p>
    <w:p w14:paraId="4EB8BF48">
      <w:pPr>
        <w:rPr>
          <w:rFonts w:ascii="宋体" w:hAnsi="宋体" w:eastAsia="宋体" w:cs="宋体"/>
          <w:color w:val="auto"/>
          <w:lang w:eastAsia="zh-CN"/>
        </w:rPr>
      </w:pPr>
    </w:p>
    <w:p w14:paraId="23EB98D2">
      <w:pPr>
        <w:rPr>
          <w:rFonts w:ascii="宋体" w:hAnsi="宋体" w:eastAsia="宋体" w:cs="宋体"/>
          <w:color w:val="auto"/>
          <w:lang w:eastAsia="zh-CN"/>
        </w:rPr>
      </w:pPr>
    </w:p>
    <w:p w14:paraId="4C2AEDBC">
      <w:pPr>
        <w:rPr>
          <w:rFonts w:ascii="宋体" w:hAnsi="宋体" w:eastAsia="宋体" w:cs="宋体"/>
          <w:color w:val="auto"/>
          <w:lang w:eastAsia="zh-CN"/>
        </w:rPr>
      </w:pPr>
    </w:p>
    <w:p w14:paraId="64AFFC04">
      <w:pPr>
        <w:rPr>
          <w:rFonts w:ascii="宋体" w:hAnsi="宋体" w:eastAsia="宋体" w:cs="宋体"/>
          <w:color w:val="auto"/>
          <w:lang w:eastAsia="zh-CN"/>
        </w:rPr>
      </w:pPr>
    </w:p>
    <w:p w14:paraId="6D3071EB">
      <w:pPr>
        <w:rPr>
          <w:color w:val="auto"/>
          <w:lang w:eastAsia="zh-CN"/>
        </w:rPr>
      </w:pPr>
    </w:p>
    <w:p w14:paraId="696DB1D4">
      <w:pPr>
        <w:numPr>
          <w:ilvl w:val="0"/>
          <w:numId w:val="2"/>
        </w:numPr>
        <w:spacing w:before="120" w:line="360" w:lineRule="auto"/>
        <w:textAlignment w:val="auto"/>
        <w:outlineLvl w:val="0"/>
        <w:rPr>
          <w:rFonts w:ascii="宋体" w:hAnsi="宋体" w:eastAsia="宋体" w:cs="宋体"/>
          <w:b/>
          <w:bCs/>
          <w:color w:val="auto"/>
          <w:lang w:eastAsia="zh-CN"/>
        </w:rPr>
      </w:pPr>
      <w:r>
        <w:rPr>
          <w:rFonts w:hint="eastAsia" w:ascii="宋体" w:hAnsi="宋体" w:eastAsia="宋体" w:cs="宋体"/>
          <w:b/>
          <w:bCs/>
          <w:color w:val="auto"/>
          <w:spacing w:val="-2"/>
          <w:lang w:eastAsia="zh-CN"/>
        </w:rPr>
        <w:t>采购品目分类、参考样式、规格、预算、基本组成、质量标准等要求</w:t>
      </w:r>
    </w:p>
    <w:p w14:paraId="48CD37B3">
      <w:pPr>
        <w:rPr>
          <w:color w:val="auto"/>
          <w:lang w:eastAsia="zh-CN"/>
        </w:rPr>
      </w:pPr>
    </w:p>
    <w:tbl>
      <w:tblPr>
        <w:tblStyle w:val="10"/>
        <w:tblW w:w="19703" w:type="dxa"/>
        <w:tblInd w:w="0" w:type="dxa"/>
        <w:tblLayout w:type="fixed"/>
        <w:tblCellMar>
          <w:top w:w="0" w:type="dxa"/>
          <w:left w:w="108" w:type="dxa"/>
          <w:bottom w:w="0" w:type="dxa"/>
          <w:right w:w="108" w:type="dxa"/>
        </w:tblCellMar>
      </w:tblPr>
      <w:tblGrid>
        <w:gridCol w:w="743"/>
        <w:gridCol w:w="1354"/>
        <w:gridCol w:w="2593"/>
        <w:gridCol w:w="878"/>
        <w:gridCol w:w="5099"/>
        <w:gridCol w:w="9036"/>
      </w:tblGrid>
      <w:tr w14:paraId="125FF5A8">
        <w:tblPrEx>
          <w:tblCellMar>
            <w:top w:w="0" w:type="dxa"/>
            <w:left w:w="108" w:type="dxa"/>
            <w:bottom w:w="0" w:type="dxa"/>
            <w:right w:w="108" w:type="dxa"/>
          </w:tblCellMar>
        </w:tblPrEx>
        <w:trPr>
          <w:trHeight w:val="630" w:hRule="atLeast"/>
        </w:trPr>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14:paraId="657B6385">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序号</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14:paraId="47CB4CFC">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名称</w:t>
            </w:r>
          </w:p>
        </w:tc>
        <w:tc>
          <w:tcPr>
            <w:tcW w:w="2593" w:type="dxa"/>
            <w:tcBorders>
              <w:top w:val="single" w:color="auto" w:sz="4" w:space="0"/>
              <w:left w:val="single" w:color="auto" w:sz="4" w:space="0"/>
              <w:bottom w:val="single" w:color="auto" w:sz="4" w:space="0"/>
              <w:right w:val="single" w:color="auto" w:sz="4" w:space="0"/>
            </w:tcBorders>
            <w:shd w:val="clear" w:color="auto" w:fill="auto"/>
            <w:vAlign w:val="center"/>
          </w:tcPr>
          <w:p w14:paraId="1D57DFFC">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规格</w:t>
            </w:r>
          </w:p>
        </w:tc>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14:paraId="17404681">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数量</w:t>
            </w:r>
          </w:p>
        </w:tc>
        <w:tc>
          <w:tcPr>
            <w:tcW w:w="5099" w:type="dxa"/>
            <w:tcBorders>
              <w:top w:val="single" w:color="auto" w:sz="4" w:space="0"/>
              <w:left w:val="single" w:color="auto" w:sz="4" w:space="0"/>
              <w:bottom w:val="single" w:color="auto" w:sz="4" w:space="0"/>
              <w:right w:val="single" w:color="auto" w:sz="4" w:space="0"/>
            </w:tcBorders>
            <w:shd w:val="clear" w:color="auto" w:fill="auto"/>
            <w:vAlign w:val="center"/>
          </w:tcPr>
          <w:p w14:paraId="078C5BA7">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款式</w:t>
            </w:r>
          </w:p>
        </w:tc>
        <w:tc>
          <w:tcPr>
            <w:tcW w:w="9036" w:type="dxa"/>
            <w:tcBorders>
              <w:top w:val="single" w:color="auto" w:sz="4" w:space="0"/>
              <w:left w:val="single" w:color="auto" w:sz="4" w:space="0"/>
              <w:bottom w:val="single" w:color="auto" w:sz="4" w:space="0"/>
              <w:right w:val="single" w:color="auto" w:sz="4" w:space="0"/>
            </w:tcBorders>
            <w:shd w:val="clear" w:color="auto" w:fill="auto"/>
            <w:vAlign w:val="center"/>
          </w:tcPr>
          <w:p w14:paraId="44D47A25">
            <w:pPr>
              <w:jc w:val="center"/>
              <w:textAlignment w:val="center"/>
              <w:rPr>
                <w:rFonts w:ascii="等线" w:hAnsi="等线" w:eastAsia="等线" w:cs="等线"/>
                <w:b/>
                <w:bCs/>
                <w:color w:val="auto"/>
                <w:sz w:val="28"/>
                <w:szCs w:val="28"/>
              </w:rPr>
            </w:pPr>
            <w:r>
              <w:rPr>
                <w:rFonts w:hint="eastAsia" w:ascii="等线" w:hAnsi="等线" w:eastAsia="等线" w:cs="等线"/>
                <w:b/>
                <w:bCs/>
                <w:color w:val="auto"/>
                <w:sz w:val="28"/>
                <w:szCs w:val="28"/>
                <w:lang w:eastAsia="zh-CN" w:bidi="ar"/>
              </w:rPr>
              <w:t>材质说明</w:t>
            </w:r>
          </w:p>
        </w:tc>
      </w:tr>
      <w:tr w14:paraId="6B190136">
        <w:tblPrEx>
          <w:tblCellMar>
            <w:top w:w="0" w:type="dxa"/>
            <w:left w:w="108" w:type="dxa"/>
            <w:bottom w:w="0" w:type="dxa"/>
            <w:right w:w="108" w:type="dxa"/>
          </w:tblCellMar>
        </w:tblPrEx>
        <w:trPr>
          <w:gridAfter w:val="5"/>
          <w:wAfter w:w="18960" w:type="dxa"/>
          <w:trHeight w:val="90" w:hRule="atLeast"/>
        </w:trPr>
        <w:tc>
          <w:tcPr>
            <w:tcW w:w="743" w:type="dxa"/>
            <w:tcBorders>
              <w:top w:val="single" w:color="auto" w:sz="4" w:space="0"/>
              <w:left w:val="single" w:color="000000" w:sz="4" w:space="0"/>
              <w:bottom w:val="single" w:color="000000" w:sz="4" w:space="0"/>
              <w:right w:val="single" w:color="000000" w:sz="4" w:space="0"/>
            </w:tcBorders>
          </w:tcPr>
          <w:p w14:paraId="6AF73581">
            <w:pPr>
              <w:jc w:val="center"/>
              <w:textAlignment w:val="center"/>
              <w:rPr>
                <w:rFonts w:ascii="等线" w:hAnsi="等线" w:eastAsia="等线" w:cs="等线"/>
                <w:b/>
                <w:bCs/>
                <w:color w:val="auto"/>
                <w:sz w:val="36"/>
                <w:szCs w:val="36"/>
                <w:lang w:eastAsia="zh-CN" w:bidi="ar"/>
              </w:rPr>
            </w:pPr>
          </w:p>
        </w:tc>
      </w:tr>
      <w:tr w14:paraId="21354DF9">
        <w:tblPrEx>
          <w:tblCellMar>
            <w:top w:w="0" w:type="dxa"/>
            <w:left w:w="108" w:type="dxa"/>
            <w:bottom w:w="0" w:type="dxa"/>
            <w:right w:w="108" w:type="dxa"/>
          </w:tblCellMar>
        </w:tblPrEx>
        <w:trPr>
          <w:trHeight w:val="6786"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3E6D">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EF05">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学生公寓床</w:t>
            </w: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ABC1">
            <w:pPr>
              <w:jc w:val="center"/>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三人连体规格</w:t>
            </w:r>
          </w:p>
          <w:p w14:paraId="0F2777DC">
            <w:pPr>
              <w:jc w:val="center"/>
              <w:textAlignment w:val="center"/>
              <w:rPr>
                <w:rFonts w:ascii="等线" w:hAnsi="等线" w:eastAsia="等线" w:cs="等线"/>
                <w:color w:val="auto"/>
                <w:sz w:val="24"/>
                <w:szCs w:val="24"/>
                <w:lang w:eastAsia="zh-CN" w:bidi="ar"/>
              </w:rPr>
            </w:pPr>
          </w:p>
          <w:p w14:paraId="41201952">
            <w:pPr>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学生公寓B楼1</w:t>
            </w:r>
            <w:r>
              <w:rPr>
                <w:rFonts w:ascii="等线" w:hAnsi="等线" w:eastAsia="等线" w:cs="等线"/>
                <w:color w:val="auto"/>
                <w:sz w:val="24"/>
                <w:szCs w:val="24"/>
                <w:lang w:eastAsia="zh-CN" w:bidi="ar"/>
              </w:rPr>
              <w:t>01</w:t>
            </w:r>
            <w:r>
              <w:rPr>
                <w:rFonts w:hint="eastAsia" w:ascii="等线" w:hAnsi="等线" w:eastAsia="等线" w:cs="等线"/>
                <w:color w:val="auto"/>
                <w:sz w:val="24"/>
                <w:szCs w:val="24"/>
                <w:lang w:eastAsia="zh-CN" w:bidi="ar"/>
              </w:rPr>
              <w:t>间6</w:t>
            </w:r>
            <w:r>
              <w:rPr>
                <w:rFonts w:ascii="等线" w:hAnsi="等线" w:eastAsia="等线" w:cs="等线"/>
                <w:color w:val="auto"/>
                <w:sz w:val="24"/>
                <w:szCs w:val="24"/>
                <w:lang w:eastAsia="zh-CN" w:bidi="ar"/>
              </w:rPr>
              <w:t>06</w:t>
            </w:r>
            <w:r>
              <w:rPr>
                <w:rFonts w:hint="eastAsia" w:ascii="等线" w:hAnsi="等线" w:eastAsia="等线" w:cs="等线"/>
                <w:color w:val="auto"/>
                <w:sz w:val="24"/>
                <w:szCs w:val="24"/>
                <w:lang w:eastAsia="zh-CN" w:bidi="ar"/>
              </w:rPr>
              <w:t>个床位、学生公寓C楼1</w:t>
            </w:r>
            <w:r>
              <w:rPr>
                <w:rFonts w:ascii="等线" w:hAnsi="等线" w:eastAsia="等线" w:cs="等线"/>
                <w:color w:val="auto"/>
                <w:sz w:val="24"/>
                <w:szCs w:val="24"/>
                <w:lang w:eastAsia="zh-CN" w:bidi="ar"/>
              </w:rPr>
              <w:t>01</w:t>
            </w:r>
            <w:r>
              <w:rPr>
                <w:rFonts w:hint="eastAsia" w:ascii="等线" w:hAnsi="等线" w:eastAsia="等线" w:cs="等线"/>
                <w:color w:val="auto"/>
                <w:sz w:val="24"/>
                <w:szCs w:val="24"/>
                <w:lang w:eastAsia="zh-CN" w:bidi="ar"/>
              </w:rPr>
              <w:t>间6</w:t>
            </w:r>
            <w:r>
              <w:rPr>
                <w:rFonts w:ascii="等线" w:hAnsi="等线" w:eastAsia="等线" w:cs="等线"/>
                <w:color w:val="auto"/>
                <w:sz w:val="24"/>
                <w:szCs w:val="24"/>
                <w:lang w:eastAsia="zh-CN" w:bidi="ar"/>
              </w:rPr>
              <w:t>06</w:t>
            </w:r>
            <w:r>
              <w:rPr>
                <w:rFonts w:hint="eastAsia" w:ascii="等线" w:hAnsi="等线" w:eastAsia="等线" w:cs="等线"/>
                <w:color w:val="auto"/>
                <w:sz w:val="24"/>
                <w:szCs w:val="24"/>
                <w:lang w:eastAsia="zh-CN" w:bidi="ar"/>
              </w:rPr>
              <w:t>个床位：</w:t>
            </w:r>
            <w:r>
              <w:rPr>
                <w:rFonts w:ascii="等线" w:hAnsi="等线" w:eastAsia="等线" w:cs="等线"/>
                <w:color w:val="auto"/>
                <w:sz w:val="24"/>
                <w:szCs w:val="24"/>
                <w:lang w:eastAsia="zh-CN" w:bidi="ar"/>
              </w:rPr>
              <w:t>6000</w:t>
            </w:r>
            <w:r>
              <w:rPr>
                <w:rFonts w:hint="eastAsia" w:ascii="等线" w:hAnsi="等线" w:eastAsia="等线" w:cs="等线"/>
                <w:color w:val="auto"/>
                <w:sz w:val="24"/>
                <w:szCs w:val="24"/>
                <w:lang w:eastAsia="zh-CN" w:bidi="ar"/>
              </w:rPr>
              <w:t>*900*2200/300</w:t>
            </w:r>
            <w:r>
              <w:rPr>
                <w:rFonts w:ascii="等线" w:hAnsi="等线" w:eastAsia="等线" w:cs="等线"/>
                <w:color w:val="auto"/>
                <w:sz w:val="24"/>
                <w:szCs w:val="24"/>
                <w:lang w:eastAsia="zh-CN" w:bidi="ar"/>
              </w:rPr>
              <w:t xml:space="preserve">0  </w:t>
            </w:r>
          </w:p>
          <w:p w14:paraId="3003501F">
            <w:pP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bidi="ar"/>
              </w:rPr>
              <w:t>学生公寓J楼1</w:t>
            </w:r>
            <w:r>
              <w:rPr>
                <w:rFonts w:ascii="等线" w:hAnsi="等线" w:eastAsia="等线" w:cs="等线"/>
                <w:color w:val="auto"/>
                <w:sz w:val="24"/>
                <w:szCs w:val="24"/>
                <w:lang w:eastAsia="zh-CN" w:bidi="ar"/>
              </w:rPr>
              <w:t>15</w:t>
            </w:r>
            <w:r>
              <w:rPr>
                <w:rFonts w:hint="eastAsia" w:ascii="等线" w:hAnsi="等线" w:eastAsia="等线" w:cs="等线"/>
                <w:color w:val="auto"/>
                <w:sz w:val="24"/>
                <w:szCs w:val="24"/>
                <w:lang w:eastAsia="zh-CN" w:bidi="ar"/>
              </w:rPr>
              <w:t>间6</w:t>
            </w:r>
            <w:r>
              <w:rPr>
                <w:rFonts w:ascii="等线" w:hAnsi="等线" w:eastAsia="等线" w:cs="等线"/>
                <w:color w:val="auto"/>
                <w:sz w:val="24"/>
                <w:szCs w:val="24"/>
                <w:lang w:eastAsia="zh-CN" w:bidi="ar"/>
              </w:rPr>
              <w:t>90</w:t>
            </w:r>
            <w:r>
              <w:rPr>
                <w:rFonts w:hint="eastAsia" w:ascii="等线" w:hAnsi="等线" w:eastAsia="等线" w:cs="等线"/>
                <w:color w:val="auto"/>
                <w:sz w:val="24"/>
                <w:szCs w:val="24"/>
                <w:lang w:eastAsia="zh-CN" w:bidi="ar"/>
              </w:rPr>
              <w:t>个床位：5864*900*2200/300</w:t>
            </w:r>
            <w:r>
              <w:rPr>
                <w:rFonts w:ascii="等线" w:hAnsi="等线" w:eastAsia="等线" w:cs="等线"/>
                <w:color w:val="auto"/>
                <w:sz w:val="24"/>
                <w:szCs w:val="24"/>
                <w:lang w:eastAsia="zh-CN" w:bidi="ar"/>
              </w:rPr>
              <w:t>0</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953E7">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1</w:t>
            </w:r>
            <w:r>
              <w:rPr>
                <w:rFonts w:hint="eastAsia" w:ascii="宋体" w:hAnsi="宋体" w:eastAsia="宋体" w:cs="宋体"/>
                <w:color w:val="auto"/>
                <w:sz w:val="24"/>
                <w:szCs w:val="24"/>
                <w:lang w:eastAsia="zh-CN" w:bidi="ar"/>
              </w:rPr>
              <w:t>902</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42DC">
            <w:pPr>
              <w:textAlignment w:val="center"/>
              <w:rPr>
                <w:color w:val="auto"/>
                <w:lang w:eastAsia="zh-CN"/>
              </w:rPr>
            </w:pPr>
            <w:r>
              <w:rPr>
                <w:color w:val="auto"/>
                <w:lang w:eastAsia="zh-CN"/>
              </w:rPr>
              <w:drawing>
                <wp:inline distT="0" distB="0" distL="114300" distR="114300">
                  <wp:extent cx="3135630" cy="1748155"/>
                  <wp:effectExtent l="0" t="0" r="1270"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3135630" cy="1748155"/>
                          </a:xfrm>
                          <a:prstGeom prst="rect">
                            <a:avLst/>
                          </a:prstGeom>
                          <a:noFill/>
                          <a:ln>
                            <a:noFill/>
                          </a:ln>
                        </pic:spPr>
                      </pic:pic>
                    </a:graphicData>
                  </a:graphic>
                </wp:inline>
              </w:drawing>
            </w:r>
          </w:p>
          <w:p w14:paraId="21D7E01B">
            <w:pPr>
              <w:textAlignment w:val="center"/>
              <w:rPr>
                <w:rFonts w:ascii="等线" w:hAnsi="等线" w:eastAsia="等线" w:cs="等线"/>
                <w:color w:val="auto"/>
                <w:sz w:val="24"/>
                <w:szCs w:val="24"/>
              </w:rPr>
            </w:pPr>
            <w:r>
              <w:rPr>
                <w:color w:val="auto"/>
                <w:lang w:eastAsia="zh-CN"/>
              </w:rPr>
              <w:drawing>
                <wp:inline distT="0" distB="0" distL="114300" distR="114300">
                  <wp:extent cx="3140710" cy="1845945"/>
                  <wp:effectExtent l="0" t="0" r="8890" b="825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tretch>
                            <a:fillRect/>
                          </a:stretch>
                        </pic:blipFill>
                        <pic:spPr>
                          <a:xfrm>
                            <a:off x="0" y="0"/>
                            <a:ext cx="3140710" cy="1845945"/>
                          </a:xfrm>
                          <a:prstGeom prst="rect">
                            <a:avLst/>
                          </a:prstGeom>
                          <a:noFill/>
                          <a:ln>
                            <a:noFill/>
                          </a:ln>
                        </pic:spPr>
                      </pic:pic>
                    </a:graphicData>
                  </a:graphic>
                </wp:inline>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0E66">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三连体上床下柜组合床</w:t>
            </w:r>
          </w:p>
          <w:p w14:paraId="13111F2F">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1.钢制部分：</w:t>
            </w:r>
          </w:p>
          <w:p w14:paraId="1F1A2924">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（1）尺寸要求：上床下桌6000×900×2950mm。</w:t>
            </w:r>
          </w:p>
          <w:p w14:paraId="25EF0F3E">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2）立柱：边立柱采用≥280*1.5mm优质冷轧钢板，经过成型辊压制形成中空闭合型材管材。为达到美观耐用的效果，同时考虑到防碰撞设计，立柱正面的外边角设计成半径≥R38.2的圆弧形状，正面圆弧上须有≥3条R3.2凹槽≥4条加强筋，以增加立柱的强度。立面成型后立柱≥76mm*76mm，喷塑前的材料厚度应≥1.3mm。制作立柱时需严格要求进行。床立柱表面经优质环保氧聚酯塑粉静电喷塑处理.立柱内侧采用内直角造型，木家具牢牢卡在立柱之间，结构须稳固；外侧呈扇形。</w:t>
            </w:r>
          </w:p>
          <w:p w14:paraId="4F1F8CC3">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（3）前床梃：102×42×1.3mm高频焊接封口型材管，须为优质冷轧钢板经成型线轧制而成，带两根加强筋；床梃下部为圆边，上部为直边使连接件与前床梃齐平整体美观，下部为圆弧造型。</w:t>
            </w:r>
          </w:p>
          <w:p w14:paraId="11C40F2E">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（4）后床梃：102×42×1.3mm高频焊接封口型材管，下方为圆边，上方为直边，且设计有一缺口，方便床铺板的安装。型材成型方式为优质冷轧钢板经成型线轧制而成。</w:t>
            </w:r>
          </w:p>
          <w:p w14:paraId="48C4916C">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5）中间立柱采用≥278*1.3mm优质冷轧钢板，经成型辊压线轧制成形成中空闭合型材管材，立面成型后尺寸≥102*39mm，成型后横梁正面须有4条梯形加强凹槽≥5条加强筋，加强凹槽宽度≥12mm深度≥2mm以增加横梁的强度，封闭式型材立柱，木家具牢牢卡在立柱之间.</w:t>
            </w:r>
          </w:p>
          <w:p w14:paraId="2743F3DD">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 xml:space="preserve">（6）公寓床卡式连接件：采用优质冷轧钢板经冲床折弯成型，连接件隐藏在立柱管内，壁厚≥2mm，正面连接处无焊接痕迹及工艺孔。 </w:t>
            </w:r>
          </w:p>
          <w:p w14:paraId="37A7CF26">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（7）床头立柱上拉换采用采用102*38*1.2mm封闭管，一侧须带四条加强筋凹槽≥5条加强筋，加强筋需外侧可见.立柱下拉换：30×60×1.2mm方管；床换：42×42×1.2mm三角管5根；防潮钢架：50×30×1.2mm扁管。</w:t>
            </w:r>
          </w:p>
          <w:p w14:paraId="30776396">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8）前护栏：弧形部分采用25mm×40mm×≥1.2mm优质D型管弯制，横杆和竖杆采用25mm×25mm×1.2mm方管，弧形部分须插入长横梁进行焊接，保证护栏安全，护栏下部内嵌中空吹塑护栏板（带滑动视察窗），中空护栏板规格：1320mm×190mm×25mm，护栏板背面标注有被褥永久性安全警示标识，带储物功能，方便学生放置书本、文具等物品，置物盒内空为长 300mm（±5mm）×宽 40mm（±5mm）；外部需有名牌卡槽宽100mm（±2mm）×高60mm（±2mm），方便记录学生信息，外部中间有可贴校徽直径≥120mm的圆形卡槽；护栏整体长度≥1400mm，高度≥350mm。为了整体设计美观大方，护栏板与视察窗做拼色处理。</w:t>
            </w:r>
          </w:p>
          <w:p w14:paraId="5AC4A7A3">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（9）蚊帐架：采用≥Φ19mm*1.2mm圆管，蚊帐杆连接处采用塑料连接件，有效避免金属间碰撞摩擦的声音。蚊帐架内侧立柱间增加一根≥20*20*1.2方管，方管上串有不少于6个尼龙材质挂钩 .</w:t>
            </w:r>
          </w:p>
          <w:p w14:paraId="02B18FC2">
            <w:pPr>
              <w:spacing w:after="240"/>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bidi="ar"/>
              </w:rPr>
              <w:t xml:space="preserve">（10）公寓床外挂式爬梯：采用30*50*1.5mm压花管，黑退钢管，床梯踏板：采用450*165*25.底部采用优质冷轧钢板冲压成型，上面采用注塑包边18厚实木多层板，床梯踏步设置合理防滑纹路，踏步下方采用钢板稳固支撑。且踏步与钢管连接不少于8颗螺丝以确保安全牢固。                                                                                                                                      （11）床板：采用HDPE（高密度聚乙烯）材质一体中空吹塑成型1920*818*18mm，有至少55个透气孔(直径10-25mm)，且至少有8颗预埋螺帽方便与床撑固定防止滑动，具有防虫、防潮、防霉变、安全无味环保等特点。                                                      </w:t>
            </w:r>
            <w:r>
              <w:rPr>
                <w:rStyle w:val="20"/>
                <w:rFonts w:hint="default"/>
                <w:color w:val="auto"/>
                <w:lang w:eastAsia="zh-CN" w:bidi="ar"/>
              </w:rPr>
              <w:t>（12）钢管焊接采用二氧化碳保护焊新工艺，要求满焊，焊接表面波纹均匀，焊接处无夹渣、气孔、汗瘤、焊丝咬边和飞溅，无脱焊、虚焊、焊穿等现象，贴角焊缝厚度＞3mm；各钢件经规范的除油、除锈及酸洗磷化工艺处理后，通过粉末喷涂设备进行静电热固性粉末喷塑，塑粉选用优质环氧树脂粉末涂料（塑粉符合HG/T 2006-2006（2017） 热固性粉末涂料国家标准，四种可溶性重金属（铅、镉、铬、汞）的有害物质限量检测达到检测标准（即：可溶性铅≤90mg/kg,可溶性镉≤75mg/kg,可溶性铬≤60mg/kg,可溶性汞≤60mg/kg</w:t>
            </w:r>
            <w:r>
              <w:rPr>
                <w:rFonts w:hint="eastAsia" w:ascii="等线" w:hAnsi="等线" w:eastAsia="等线" w:cs="等线"/>
                <w:color w:val="auto"/>
                <w:sz w:val="24"/>
                <w:szCs w:val="24"/>
                <w:lang w:eastAsia="zh-CN" w:bidi="ar"/>
              </w:rPr>
              <w:t>工艺喷涂要求：表面除锈镀层要求：涂饰前零部件的表面应光滑、平整，不得有开裂、脱焊、漏焊、焊渣或飞边、尖角、毛刺等可能造成机械伤害的缺陷。表面至少须经过“除油—水洗—酸洗—除锈—清洗—中和—磷化—水洗—烘干”处理，预备处理后表面无氧化皮、锈蚀、粘砂等其他杂质. 喷涂要求：采用热固性粉末，喷涂的表面光滑平整，色泽均匀，喷涂层无漏喷、起泡、模糊、划痕或碰伤等缺陷</w:t>
            </w:r>
          </w:p>
        </w:tc>
      </w:tr>
      <w:tr w14:paraId="1654445A">
        <w:tblPrEx>
          <w:tblCellMar>
            <w:top w:w="0" w:type="dxa"/>
            <w:left w:w="108" w:type="dxa"/>
            <w:bottom w:w="0" w:type="dxa"/>
            <w:right w:w="108" w:type="dxa"/>
          </w:tblCellMar>
        </w:tblPrEx>
        <w:trPr>
          <w:trHeight w:val="4309"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DD9A">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8F54">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组合柜</w:t>
            </w: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A6D2">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见图稿</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09F28">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1</w:t>
            </w:r>
            <w:r>
              <w:rPr>
                <w:rFonts w:hint="eastAsia" w:ascii="宋体" w:hAnsi="宋体" w:eastAsia="宋体" w:cs="宋体"/>
                <w:color w:val="auto"/>
                <w:sz w:val="24"/>
                <w:szCs w:val="24"/>
                <w:lang w:eastAsia="zh-CN" w:bidi="ar"/>
              </w:rPr>
              <w:t>902</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723C">
            <w:pPr>
              <w:textAlignment w:val="center"/>
              <w:rPr>
                <w:color w:val="auto"/>
              </w:rPr>
            </w:pPr>
          </w:p>
          <w:p w14:paraId="608ACB3C">
            <w:pPr>
              <w:textAlignment w:val="center"/>
              <w:rPr>
                <w:color w:val="auto"/>
                <w:lang w:eastAsia="zh-CN"/>
              </w:rPr>
            </w:pPr>
            <w:r>
              <w:rPr>
                <w:color w:val="auto"/>
                <w:lang w:eastAsia="zh-CN"/>
              </w:rPr>
              <w:drawing>
                <wp:inline distT="0" distB="0" distL="114300" distR="114300">
                  <wp:extent cx="3135630" cy="1748155"/>
                  <wp:effectExtent l="0" t="0" r="1270" b="44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3135630" cy="1748155"/>
                          </a:xfrm>
                          <a:prstGeom prst="rect">
                            <a:avLst/>
                          </a:prstGeom>
                          <a:noFill/>
                          <a:ln>
                            <a:noFill/>
                          </a:ln>
                        </pic:spPr>
                      </pic:pic>
                    </a:graphicData>
                  </a:graphic>
                </wp:inline>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5EF0">
            <w:pPr>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 xml:space="preserve">组合柜： 写字桌:板材内芯环保E0级三聚氰胺饰面多层板（板材符合GB/T39600-2021人造板及其制品甲醛释放量分级且甲醛释放量＜0.05mg/m³),桌面不低于25mm，其余不低于18mm，抽屉底板采用不低于5mm的E0级双饰面多层板。采用不低于2.0mm优质PVC封边条，优质环保热熔胶，新型全自动封边机，对板材截面进行封边，利用排钻钻孔，优质锌合金连接。 </w:t>
            </w:r>
          </w:p>
          <w:p w14:paraId="45CF73FF">
            <w:pPr>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 xml:space="preserve">衣柜：柜体采用不低于18mm的环保E0级三聚氰胺饰面多层板。采用不低于2.0mm优质PVC封边条，优质环保热熔胶，新型全自动封边机，对板材截面进行封边，利用排钻钻孔，优质锌合金连接,采用优质五金配件。内含两块活动层板。                                       </w:t>
            </w:r>
          </w:p>
          <w:p w14:paraId="5EB660A4">
            <w:pP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bidi="ar"/>
              </w:rPr>
              <w:t>衣柜门使用拉手和锁舌一体的锌合金拉手锁座，拉手可外加挂锁，拉手柄为圆形φ≥48mm，拉手柄外部中心须有凹槽可贴φ≥19 mm校徽。为了保障日常使用的安全性，避免学生被外露的锁舌碰伤，在开门时锁舌需与拉手同轴转动，柜门打开后锁舌不露出门边。需整体设计合理，方便使用。（厂家自行设计或提供同类产品，需满足上述功能）。</w:t>
            </w:r>
          </w:p>
        </w:tc>
      </w:tr>
      <w:tr w14:paraId="249D1A14">
        <w:tblPrEx>
          <w:tblCellMar>
            <w:top w:w="0" w:type="dxa"/>
            <w:left w:w="108" w:type="dxa"/>
            <w:bottom w:w="0" w:type="dxa"/>
            <w:right w:w="108" w:type="dxa"/>
          </w:tblCellMar>
        </w:tblPrEx>
        <w:trPr>
          <w:trHeight w:val="2548"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838D">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3</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30D5">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椅子</w:t>
            </w: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4CE0">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430*450*865mm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8F73C">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1</w:t>
            </w:r>
            <w:r>
              <w:rPr>
                <w:rFonts w:hint="eastAsia" w:ascii="宋体" w:hAnsi="宋体" w:eastAsia="宋体" w:cs="宋体"/>
                <w:color w:val="auto"/>
                <w:sz w:val="24"/>
                <w:szCs w:val="24"/>
                <w:lang w:eastAsia="zh-CN" w:bidi="ar"/>
              </w:rPr>
              <w:t>902</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772A">
            <w:pPr>
              <w:jc w:val="cente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rPr>
              <w:drawing>
                <wp:inline distT="0" distB="0" distL="114300" distR="114300">
                  <wp:extent cx="1219200" cy="1466850"/>
                  <wp:effectExtent l="0" t="0" r="0" b="0"/>
                  <wp:docPr id="4" name="图片 4" descr="5508dc4865ab1ce77d25e4dc8161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08dc4865ab1ce77d25e4dc81613f4"/>
                          <pic:cNvPicPr>
                            <a:picLocks noChangeAspect="1"/>
                          </pic:cNvPicPr>
                        </pic:nvPicPr>
                        <pic:blipFill>
                          <a:blip r:embed="rId8"/>
                          <a:stretch>
                            <a:fillRect/>
                          </a:stretch>
                        </pic:blipFill>
                        <pic:spPr>
                          <a:xfrm>
                            <a:off x="0" y="0"/>
                            <a:ext cx="1219200" cy="1466850"/>
                          </a:xfrm>
                          <a:prstGeom prst="rect">
                            <a:avLst/>
                          </a:prstGeom>
                        </pic:spPr>
                      </pic:pic>
                    </a:graphicData>
                  </a:graphic>
                </wp:inline>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0C2E">
            <w:pPr>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椅架采用不低于40mm*20mm *1.5mm椭圆管，不低于φ25mm*1.5mm，20mm*20mm *1.2mm方管，所用管材符合国家标准，管件采用二氧化碳气体保护焊工艺；钢管表面经过除油、除锈、磷化处理、静电喷塑，管材无裂缝、叠层，弯管处弧形圆滑一致，波纹高低≤0.4mm；焊接部位要平整、光滑、无裂缝、无错位、无虚焊；喷塑部位无漏喷、气泡、桔皮、杂质等现象，颜色要求一致；所有管材切面需打磨光滑并配塑料防护盖。坐靠板采用符合E0级标准12mm厚多层板，贴优质防火板，甲醛释放量≤0.050mg/L，周边倒R1角和环保清水封闭漆。安全考虑，所有边角都应倒圆倒角。</w:t>
            </w:r>
          </w:p>
        </w:tc>
      </w:tr>
      <w:tr w14:paraId="733C9298">
        <w:trPr>
          <w:gridAfter w:val="5"/>
          <w:wAfter w:w="18960" w:type="dxa"/>
          <w:trHeight w:val="616" w:hRule="atLeast"/>
        </w:trPr>
        <w:tc>
          <w:tcPr>
            <w:tcW w:w="743" w:type="dxa"/>
            <w:tcBorders>
              <w:top w:val="single" w:color="000000" w:sz="4" w:space="0"/>
              <w:left w:val="single" w:color="000000" w:sz="4" w:space="0"/>
              <w:bottom w:val="single" w:color="000000" w:sz="4" w:space="0"/>
              <w:right w:val="single" w:color="000000" w:sz="4" w:space="0"/>
            </w:tcBorders>
          </w:tcPr>
          <w:p w14:paraId="067763AF">
            <w:pPr>
              <w:jc w:val="center"/>
              <w:textAlignment w:val="center"/>
              <w:rPr>
                <w:rFonts w:ascii="等线" w:hAnsi="等线" w:eastAsia="等线" w:cs="等线"/>
                <w:b/>
                <w:bCs/>
                <w:color w:val="auto"/>
                <w:sz w:val="36"/>
                <w:szCs w:val="36"/>
                <w:lang w:eastAsia="zh-CN" w:bidi="ar"/>
              </w:rPr>
            </w:pPr>
          </w:p>
        </w:tc>
      </w:tr>
      <w:tr w14:paraId="2E306D11">
        <w:tblPrEx>
          <w:tblCellMar>
            <w:top w:w="0" w:type="dxa"/>
            <w:left w:w="108" w:type="dxa"/>
            <w:bottom w:w="0" w:type="dxa"/>
            <w:right w:w="108" w:type="dxa"/>
          </w:tblCellMar>
        </w:tblPrEx>
        <w:trPr>
          <w:trHeight w:val="8909"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5DC2">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4</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A79E">
            <w:pPr>
              <w:jc w:val="center"/>
              <w:textAlignment w:val="center"/>
              <w:rPr>
                <w:rFonts w:ascii="等线" w:hAnsi="等线" w:eastAsia="等线" w:cs="等线"/>
                <w:color w:val="auto"/>
                <w:sz w:val="24"/>
                <w:szCs w:val="24"/>
              </w:rPr>
            </w:pPr>
            <w:bookmarkStart w:id="5" w:name="_Hlk184366731"/>
            <w:r>
              <w:rPr>
                <w:rFonts w:hint="eastAsia" w:ascii="等线" w:hAnsi="等线" w:eastAsia="等线" w:cs="等线"/>
                <w:color w:val="auto"/>
                <w:sz w:val="24"/>
                <w:szCs w:val="24"/>
                <w:lang w:eastAsia="zh-CN" w:bidi="ar"/>
              </w:rPr>
              <w:t>单人床</w:t>
            </w:r>
            <w:bookmarkEnd w:id="5"/>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5684">
            <w:pPr>
              <w:jc w:val="center"/>
              <w:textAlignment w:val="center"/>
              <w:rPr>
                <w:rFonts w:ascii="等线" w:hAnsi="等线" w:eastAsia="等线" w:cs="等线"/>
                <w:color w:val="auto"/>
                <w:sz w:val="24"/>
                <w:szCs w:val="24"/>
              </w:rPr>
            </w:pPr>
            <w:bookmarkStart w:id="6" w:name="_Hlk184366748"/>
            <w:r>
              <w:rPr>
                <w:rFonts w:hint="eastAsia" w:ascii="等线" w:hAnsi="等线" w:eastAsia="等线" w:cs="等线"/>
                <w:color w:val="auto"/>
                <w:sz w:val="24"/>
                <w:szCs w:val="24"/>
                <w:lang w:eastAsia="zh-CN" w:bidi="ar"/>
              </w:rPr>
              <w:t>1980*1000*870</w:t>
            </w:r>
            <w:bookmarkEnd w:id="6"/>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475D">
            <w:pPr>
              <w:jc w:val="center"/>
              <w:textAlignment w:val="center"/>
              <w:rPr>
                <w:rFonts w:ascii="等线" w:hAnsi="等线" w:eastAsia="等线" w:cs="等线"/>
                <w:color w:val="auto"/>
                <w:sz w:val="24"/>
                <w:szCs w:val="24"/>
              </w:rPr>
            </w:pPr>
            <w:r>
              <w:rPr>
                <w:rFonts w:ascii="等线" w:hAnsi="等线" w:eastAsia="等线" w:cs="等线"/>
                <w:color w:val="auto"/>
                <w:sz w:val="24"/>
                <w:szCs w:val="24"/>
                <w:lang w:eastAsia="zh-CN" w:bidi="ar"/>
              </w:rPr>
              <w:t>9</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8ECE">
            <w:pPr>
              <w:textAlignment w:val="center"/>
              <w:rPr>
                <w:rFonts w:ascii="等线" w:hAnsi="等线" w:eastAsia="等线" w:cs="等线"/>
                <w:color w:val="auto"/>
                <w:sz w:val="24"/>
                <w:szCs w:val="24"/>
              </w:rPr>
            </w:pPr>
            <w:r>
              <w:rPr>
                <w:rFonts w:hint="eastAsia" w:ascii="等线" w:hAnsi="等线" w:eastAsia="等线" w:cs="等线"/>
                <w:color w:val="auto"/>
                <w:sz w:val="24"/>
                <w:szCs w:val="24"/>
                <w:bdr w:val="single" w:color="000000" w:sz="4" w:space="0"/>
                <w:lang w:eastAsia="zh-CN"/>
              </w:rPr>
              <w:drawing>
                <wp:anchor distT="0" distB="0" distL="114300" distR="114300" simplePos="0" relativeHeight="251661312" behindDoc="0" locked="0" layoutInCell="1" allowOverlap="1">
                  <wp:simplePos x="0" y="0"/>
                  <wp:positionH relativeFrom="column">
                    <wp:posOffset>38735</wp:posOffset>
                  </wp:positionH>
                  <wp:positionV relativeFrom="paragraph">
                    <wp:posOffset>-356235</wp:posOffset>
                  </wp:positionV>
                  <wp:extent cx="3112770" cy="3458845"/>
                  <wp:effectExtent l="0" t="0" r="11430" b="8255"/>
                  <wp:wrapNone/>
                  <wp:docPr id="10" name="图片_1"/>
                  <wp:cNvGraphicFramePr/>
                  <a:graphic xmlns:a="http://schemas.openxmlformats.org/drawingml/2006/main">
                    <a:graphicData uri="http://schemas.openxmlformats.org/drawingml/2006/picture">
                      <pic:pic xmlns:pic="http://schemas.openxmlformats.org/drawingml/2006/picture">
                        <pic:nvPicPr>
                          <pic:cNvPr id="10" name="图片_1"/>
                          <pic:cNvPicPr/>
                        </pic:nvPicPr>
                        <pic:blipFill>
                          <a:blip r:embed="rId9"/>
                          <a:stretch>
                            <a:fillRect/>
                          </a:stretch>
                        </pic:blipFill>
                        <pic:spPr>
                          <a:xfrm>
                            <a:off x="0" y="0"/>
                            <a:ext cx="3112770" cy="3458845"/>
                          </a:xfrm>
                          <a:prstGeom prst="rect">
                            <a:avLst/>
                          </a:prstGeom>
                          <a:noFill/>
                          <a:ln>
                            <a:noFill/>
                          </a:ln>
                        </pic:spPr>
                      </pic:pic>
                    </a:graphicData>
                  </a:graphic>
                </wp:anchor>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8A0C">
            <w:pPr>
              <w:spacing w:after="240"/>
              <w:textAlignment w:val="center"/>
              <w:rPr>
                <w:rFonts w:ascii="等线" w:hAnsi="等线" w:eastAsia="等线" w:cs="等线"/>
                <w:color w:val="auto"/>
                <w:sz w:val="24"/>
                <w:szCs w:val="24"/>
                <w:lang w:eastAsia="zh-CN" w:bidi="ar"/>
              </w:rPr>
            </w:pPr>
            <w:r>
              <w:rPr>
                <w:rFonts w:hint="eastAsia" w:ascii="等线" w:hAnsi="等线" w:eastAsia="等线" w:cs="等线"/>
                <w:color w:val="auto"/>
                <w:sz w:val="24"/>
                <w:szCs w:val="24"/>
                <w:lang w:eastAsia="zh-CN" w:bidi="ar"/>
              </w:rPr>
              <w:t>一、公寓床架</w:t>
            </w:r>
          </w:p>
          <w:p w14:paraId="51937F83">
            <w:pPr>
              <w:spacing w:after="240"/>
              <w:textAlignment w:val="center"/>
              <w:rPr>
                <w:rStyle w:val="20"/>
                <w:rFonts w:hint="default"/>
                <w:color w:val="auto"/>
                <w:lang w:eastAsia="zh-CN" w:bidi="ar"/>
              </w:rPr>
            </w:pPr>
            <w:r>
              <w:rPr>
                <w:rFonts w:hint="eastAsia" w:ascii="等线" w:hAnsi="等线" w:eastAsia="等线" w:cs="等线"/>
                <w:color w:val="auto"/>
                <w:sz w:val="24"/>
                <w:szCs w:val="24"/>
                <w:lang w:eastAsia="zh-CN" w:bidi="ar"/>
              </w:rPr>
              <w:t>（1）立柱：边立柱采用≥280*1.5mm优质冷轧钢板，经过成型辊压制形成中空闭合型材管材。为达到美观耐用的效果，同时考虑到防碰撞设计，立柱正面的外边角设计成半径≥R38.2的圆弧形状，正面圆弧上须有≥3条R3.2凹槽≥4条加强筋，以增加立柱的强度。立面成型后立柱≥76mm*76mm，喷塑前的材料厚度应≥1.2mm。制作立柱时需严格要求进行。床立柱表面经优质环保氧聚酯塑粉静电喷塑处理。立柱内侧采用内直角造型，结构须稳固；外侧呈扇形</w:t>
            </w:r>
            <w:r>
              <w:rPr>
                <w:rStyle w:val="20"/>
                <w:rFonts w:hint="default"/>
                <w:color w:val="auto"/>
                <w:lang w:eastAsia="zh-CN" w:bidi="ar"/>
              </w:rPr>
              <w:t>。</w:t>
            </w:r>
            <w:r>
              <w:rPr>
                <w:rFonts w:hint="eastAsia" w:ascii="等线" w:hAnsi="等线" w:eastAsia="等线" w:cs="等线"/>
                <w:color w:val="auto"/>
                <w:sz w:val="24"/>
                <w:szCs w:val="24"/>
                <w:lang w:eastAsia="zh-CN" w:bidi="ar"/>
              </w:rPr>
              <w:t xml:space="preserve">前后床梃：102×42×1.3mm高频焊接封口型材管，须为优质冷轧钢板经成型线轧制而成，带两根加强筋；床梃下部为圆边，上部为直边使连接件与前床梃齐平整体美观，下部为圆弧造型蚊帐架：采用≥Φ19mm*1.2mm圆管，蚊帐杆连接处采用塑料连接件，有效避免金属间碰撞摩擦的声音。蚊帐架内侧立柱间增加一根≥20*20*1.2方管，方管上串有不少于6个尼龙材质挂钩床板：采用HDPE（高密度聚乙烯）材质一体中空吹塑成型1920*818*18厚，有至少55个透气孔（直径10-25mm)，且至少有8颗预埋螺帽方便与床撑固定防止滑动，具有防虫、防潮、防霉变、安全无味环保等特点。                                                    </w:t>
            </w:r>
          </w:p>
          <w:p w14:paraId="2FA18A3A">
            <w:pPr>
              <w:spacing w:after="240"/>
              <w:textAlignment w:val="center"/>
              <w:rPr>
                <w:rStyle w:val="20"/>
                <w:rFonts w:hint="default"/>
                <w:color w:val="auto"/>
                <w:lang w:eastAsia="zh-CN" w:bidi="ar"/>
              </w:rPr>
            </w:pPr>
            <w:r>
              <w:rPr>
                <w:rStyle w:val="20"/>
                <w:rFonts w:hint="default"/>
                <w:color w:val="auto"/>
                <w:lang w:eastAsia="zh-CN" w:bidi="ar"/>
              </w:rPr>
              <w:t>（2）钢材采用优质品牌钢材，符合GB/T3325最新标准且管材、金属喷塑涂层理化经测试合格，硬度≥H，冲击强度(冲击高度400mm，无剥落、裂纹、皱纹)，耐腐蚀（100h，溶液中样板上划道两侧3mm以外无鼓泡、无锈迹、剥落、起皱、变色和失光等现象）</w:t>
            </w:r>
          </w:p>
          <w:p w14:paraId="1B6A9D52">
            <w:pPr>
              <w:spacing w:after="240"/>
              <w:textAlignment w:val="center"/>
              <w:rPr>
                <w:rStyle w:val="20"/>
                <w:rFonts w:hint="default"/>
                <w:color w:val="auto"/>
                <w:lang w:eastAsia="zh-CN" w:bidi="ar"/>
              </w:rPr>
            </w:pPr>
            <w:r>
              <w:rPr>
                <w:rStyle w:val="20"/>
                <w:rFonts w:hint="default"/>
                <w:color w:val="auto"/>
                <w:lang w:eastAsia="zh-CN" w:bidi="ar"/>
              </w:rPr>
              <w:t>（3）钢管焊接采用二氧化碳保护焊新工艺，要求满焊，焊接表面波纹均匀，焊接处无夹渣、气孔、汗瘤、焊丝咬边和飞溅，无脱焊、虚焊、焊穿等现象，贴角焊缝厚度＞3mm；各钢件经规范的除油、除锈及酸洗磷化工艺处理后，通过粉末喷涂设备进行静电热固性粉末喷塑，塑粉选用优质环氧树脂粉末涂料（塑粉符合HG/T 2006-2006（2017） 热固性粉末涂料国家标准，四种可溶性重金属（铅、镉、铬、汞）的有害物质限量检测达到检测标准（即：可溶性铅≤90mg/kg,可溶性镉≤75mg/kg,可溶性铬≤60mg/kg,可溶性汞≤60mg/kg</w:t>
            </w:r>
          </w:p>
        </w:tc>
      </w:tr>
      <w:tr w14:paraId="486CB2FE">
        <w:tblPrEx>
          <w:tblCellMar>
            <w:top w:w="0" w:type="dxa"/>
            <w:left w:w="108" w:type="dxa"/>
            <w:bottom w:w="0" w:type="dxa"/>
            <w:right w:w="108" w:type="dxa"/>
          </w:tblCellMar>
        </w:tblPrEx>
        <w:trPr>
          <w:trHeight w:val="3000"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C114">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8840">
            <w:pPr>
              <w:jc w:val="center"/>
              <w:textAlignment w:val="center"/>
              <w:rPr>
                <w:rFonts w:ascii="等线" w:hAnsi="等线" w:eastAsia="等线" w:cs="等线"/>
                <w:color w:val="auto"/>
                <w:sz w:val="24"/>
                <w:szCs w:val="24"/>
              </w:rPr>
            </w:pPr>
            <w:bookmarkStart w:id="7" w:name="_Hlk184366778"/>
            <w:r>
              <w:rPr>
                <w:rFonts w:hint="eastAsia" w:ascii="等线" w:hAnsi="等线" w:eastAsia="等线" w:cs="等线"/>
                <w:color w:val="auto"/>
                <w:sz w:val="24"/>
                <w:szCs w:val="24"/>
                <w:lang w:eastAsia="zh-CN" w:bidi="ar"/>
              </w:rPr>
              <w:t>衣柜</w:t>
            </w:r>
            <w:bookmarkEnd w:id="7"/>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2153">
            <w:pPr>
              <w:jc w:val="center"/>
              <w:textAlignment w:val="center"/>
              <w:rPr>
                <w:rFonts w:ascii="等线" w:hAnsi="等线" w:eastAsia="等线" w:cs="等线"/>
                <w:color w:val="auto"/>
                <w:sz w:val="24"/>
                <w:szCs w:val="24"/>
              </w:rPr>
            </w:pPr>
            <w:bookmarkStart w:id="8" w:name="_Hlk184366791"/>
            <w:r>
              <w:rPr>
                <w:rFonts w:hint="eastAsia" w:ascii="等线" w:hAnsi="等线" w:eastAsia="等线" w:cs="等线"/>
                <w:color w:val="auto"/>
                <w:sz w:val="24"/>
                <w:szCs w:val="24"/>
                <w:lang w:eastAsia="zh-CN" w:bidi="ar"/>
              </w:rPr>
              <w:t>700*600*1800</w:t>
            </w:r>
            <w:bookmarkEnd w:id="8"/>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C667">
            <w:pPr>
              <w:jc w:val="center"/>
              <w:textAlignment w:val="center"/>
              <w:rPr>
                <w:rFonts w:ascii="等线" w:hAnsi="等线" w:eastAsia="等线" w:cs="等线"/>
                <w:color w:val="auto"/>
                <w:sz w:val="24"/>
                <w:szCs w:val="24"/>
              </w:rPr>
            </w:pPr>
            <w:r>
              <w:rPr>
                <w:rFonts w:ascii="等线" w:hAnsi="等线" w:eastAsia="等线" w:cs="等线"/>
                <w:color w:val="auto"/>
                <w:sz w:val="24"/>
                <w:szCs w:val="24"/>
                <w:lang w:eastAsia="zh-CN" w:bidi="ar"/>
              </w:rPr>
              <w:t>9</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1DCC">
            <w:pPr>
              <w:textAlignment w:val="center"/>
              <w:rPr>
                <w:rFonts w:ascii="等线" w:hAnsi="等线" w:eastAsia="等线" w:cs="等线"/>
                <w:color w:val="auto"/>
                <w:sz w:val="24"/>
                <w:szCs w:val="24"/>
              </w:rPr>
            </w:pPr>
            <w:r>
              <w:rPr>
                <w:rFonts w:hint="eastAsia" w:ascii="等线" w:hAnsi="等线" w:eastAsia="等线" w:cs="等线"/>
                <w:color w:val="auto"/>
                <w:sz w:val="24"/>
                <w:szCs w:val="24"/>
                <w:bdr w:val="single" w:color="000000" w:sz="4" w:space="0"/>
                <w:lang w:eastAsia="zh-CN"/>
              </w:rPr>
              <w:drawing>
                <wp:anchor distT="0" distB="0" distL="114300" distR="114300" simplePos="0" relativeHeight="251662336" behindDoc="0" locked="0" layoutInCell="1" allowOverlap="1">
                  <wp:simplePos x="0" y="0"/>
                  <wp:positionH relativeFrom="column">
                    <wp:posOffset>652145</wp:posOffset>
                  </wp:positionH>
                  <wp:positionV relativeFrom="paragraph">
                    <wp:posOffset>67310</wp:posOffset>
                  </wp:positionV>
                  <wp:extent cx="1269365" cy="1789430"/>
                  <wp:effectExtent l="0" t="0" r="6985" b="1270"/>
                  <wp:wrapNone/>
                  <wp:docPr id="11" name="图片_2"/>
                  <wp:cNvGraphicFramePr/>
                  <a:graphic xmlns:a="http://schemas.openxmlformats.org/drawingml/2006/main">
                    <a:graphicData uri="http://schemas.openxmlformats.org/drawingml/2006/picture">
                      <pic:pic xmlns:pic="http://schemas.openxmlformats.org/drawingml/2006/picture">
                        <pic:nvPicPr>
                          <pic:cNvPr id="11" name="图片_2"/>
                          <pic:cNvPicPr/>
                        </pic:nvPicPr>
                        <pic:blipFill>
                          <a:blip r:embed="rId10"/>
                          <a:stretch>
                            <a:fillRect/>
                          </a:stretch>
                        </pic:blipFill>
                        <pic:spPr>
                          <a:xfrm>
                            <a:off x="0" y="0"/>
                            <a:ext cx="1269365" cy="1789430"/>
                          </a:xfrm>
                          <a:prstGeom prst="rect">
                            <a:avLst/>
                          </a:prstGeom>
                          <a:noFill/>
                          <a:ln>
                            <a:noFill/>
                          </a:ln>
                        </pic:spPr>
                      </pic:pic>
                    </a:graphicData>
                  </a:graphic>
                </wp:anchor>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B94E">
            <w:pP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bidi="ar"/>
              </w:rPr>
              <w:t>柜体采用不低于18mm环保E0级三聚氰胺饰面多层板（</w:t>
            </w:r>
            <w:bookmarkStart w:id="13" w:name="_GoBack"/>
            <w:bookmarkEnd w:id="13"/>
            <w:r>
              <w:rPr>
                <w:rFonts w:hint="eastAsia" w:ascii="等线" w:hAnsi="等线" w:eastAsia="等线" w:cs="等线"/>
                <w:color w:val="auto"/>
                <w:sz w:val="24"/>
                <w:szCs w:val="24"/>
                <w:lang w:eastAsia="zh-CN" w:bidi="ar"/>
              </w:rPr>
              <w:t>板材符合GB/T39600-2021人造板及其制品甲醛释放量分级且甲醛释放量＜0.05mg/m³。背板采用16mm厚E0级双饰面多层板。采用2.0mm优质PVC封边条，优质环保热熔胶(总挥发性有机物≤ 100g/L,符合 GB18582-2008室内装饰装修材料胶粘剂中有害物质限量，新型全自动封边机，对板材截面进行封边，利用排钻钻孔，优质锌合金连接,衣柜经重新分区设计，长挂衣及短挂衣区域，抽屉区（内抽分格，内衣及贵重物品）、储物区、被褥区。做到空间最大化利用。五金件：优质阻尼铰链（门铰链需符合 QB/T 2189-2013(2017)家具五金杯状暗铰链中过载垂直、水平静载荷、功能中垂直、水平静载荷及耐腐蚀要求）</w:t>
            </w:r>
          </w:p>
        </w:tc>
      </w:tr>
      <w:tr w14:paraId="3A5EBE14">
        <w:tblPrEx>
          <w:tblCellMar>
            <w:top w:w="0" w:type="dxa"/>
            <w:left w:w="108" w:type="dxa"/>
            <w:bottom w:w="0" w:type="dxa"/>
            <w:right w:w="108" w:type="dxa"/>
          </w:tblCellMar>
        </w:tblPrEx>
        <w:trPr>
          <w:trHeight w:val="3019"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B4E0">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EB88">
            <w:pPr>
              <w:jc w:val="center"/>
              <w:textAlignment w:val="center"/>
              <w:rPr>
                <w:rFonts w:ascii="等线" w:hAnsi="等线" w:eastAsia="等线" w:cs="等线"/>
                <w:color w:val="auto"/>
                <w:sz w:val="24"/>
                <w:szCs w:val="24"/>
              </w:rPr>
            </w:pPr>
            <w:bookmarkStart w:id="9" w:name="_Hlk184366859"/>
            <w:r>
              <w:rPr>
                <w:rFonts w:hint="eastAsia" w:ascii="等线" w:hAnsi="等线" w:eastAsia="等线" w:cs="等线"/>
                <w:color w:val="auto"/>
                <w:sz w:val="24"/>
                <w:szCs w:val="24"/>
                <w:lang w:eastAsia="zh-CN" w:bidi="ar"/>
              </w:rPr>
              <w:t>写字桌</w:t>
            </w:r>
            <w:bookmarkEnd w:id="9"/>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0327">
            <w:pPr>
              <w:jc w:val="center"/>
              <w:textAlignment w:val="center"/>
              <w:rPr>
                <w:rFonts w:ascii="等线" w:hAnsi="等线" w:eastAsia="等线" w:cs="等线"/>
                <w:color w:val="auto"/>
                <w:sz w:val="24"/>
                <w:szCs w:val="24"/>
              </w:rPr>
            </w:pPr>
            <w:bookmarkStart w:id="10" w:name="_Hlk184366870"/>
            <w:r>
              <w:rPr>
                <w:rFonts w:hint="eastAsia" w:ascii="等线" w:hAnsi="等线" w:eastAsia="等线" w:cs="等线"/>
                <w:color w:val="auto"/>
                <w:sz w:val="24"/>
                <w:szCs w:val="24"/>
                <w:lang w:eastAsia="zh-CN" w:bidi="ar"/>
              </w:rPr>
              <w:t>1200*600*1800</w:t>
            </w:r>
            <w:bookmarkEnd w:id="10"/>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6FFB">
            <w:pPr>
              <w:jc w:val="center"/>
              <w:textAlignment w:val="center"/>
              <w:rPr>
                <w:rFonts w:ascii="等线" w:hAnsi="等线" w:eastAsia="等线" w:cs="等线"/>
                <w:color w:val="auto"/>
                <w:sz w:val="24"/>
                <w:szCs w:val="24"/>
              </w:rPr>
            </w:pPr>
            <w:r>
              <w:rPr>
                <w:rFonts w:ascii="等线" w:hAnsi="等线" w:eastAsia="等线" w:cs="等线"/>
                <w:color w:val="auto"/>
                <w:sz w:val="24"/>
                <w:szCs w:val="24"/>
                <w:lang w:eastAsia="zh-CN" w:bidi="ar"/>
              </w:rPr>
              <w:t>9</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325A">
            <w:pPr>
              <w:textAlignment w:val="center"/>
              <w:rPr>
                <w:rFonts w:ascii="等线" w:hAnsi="等线" w:eastAsia="等线" w:cs="等线"/>
                <w:color w:val="auto"/>
                <w:sz w:val="24"/>
                <w:szCs w:val="24"/>
              </w:rPr>
            </w:pPr>
            <w:r>
              <w:rPr>
                <w:rFonts w:hint="eastAsia" w:ascii="等线" w:hAnsi="等线" w:eastAsia="等线" w:cs="等线"/>
                <w:color w:val="auto"/>
                <w:sz w:val="24"/>
                <w:szCs w:val="24"/>
                <w:bdr w:val="single" w:color="000000" w:sz="4" w:space="0"/>
                <w:lang w:eastAsia="zh-CN"/>
              </w:rPr>
              <w:drawing>
                <wp:anchor distT="0" distB="0" distL="114300" distR="114300" simplePos="0" relativeHeight="251663360" behindDoc="0" locked="0" layoutInCell="1" allowOverlap="1">
                  <wp:simplePos x="0" y="0"/>
                  <wp:positionH relativeFrom="column">
                    <wp:posOffset>655320</wp:posOffset>
                  </wp:positionH>
                  <wp:positionV relativeFrom="paragraph">
                    <wp:posOffset>53340</wp:posOffset>
                  </wp:positionV>
                  <wp:extent cx="1275080" cy="1743075"/>
                  <wp:effectExtent l="0" t="0" r="5080" b="9525"/>
                  <wp:wrapNone/>
                  <wp:docPr id="12" name="图片_3"/>
                  <wp:cNvGraphicFramePr/>
                  <a:graphic xmlns:a="http://schemas.openxmlformats.org/drawingml/2006/main">
                    <a:graphicData uri="http://schemas.openxmlformats.org/drawingml/2006/picture">
                      <pic:pic xmlns:pic="http://schemas.openxmlformats.org/drawingml/2006/picture">
                        <pic:nvPicPr>
                          <pic:cNvPr id="12" name="图片_3"/>
                          <pic:cNvPicPr/>
                        </pic:nvPicPr>
                        <pic:blipFill>
                          <a:blip r:embed="rId11"/>
                          <a:stretch>
                            <a:fillRect/>
                          </a:stretch>
                        </pic:blipFill>
                        <pic:spPr>
                          <a:xfrm>
                            <a:off x="0" y="0"/>
                            <a:ext cx="1275080" cy="1743075"/>
                          </a:xfrm>
                          <a:prstGeom prst="rect">
                            <a:avLst/>
                          </a:prstGeom>
                          <a:noFill/>
                          <a:ln>
                            <a:noFill/>
                          </a:ln>
                        </pic:spPr>
                      </pic:pic>
                    </a:graphicData>
                  </a:graphic>
                </wp:anchor>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3369">
            <w:pP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bidi="ar"/>
              </w:rPr>
              <w:t>板材内芯环保E0级三聚氰胺饰面多层板（板材符合GB/T39600-2021人造板及其制品甲醛释放量分级且甲醛释放量＜0.05mg/m³,),桌面不低于25mm，其余不低于18mm，抽屉底板采用不低于5mmE0级双饰面多层板。采用不低于2.0mm优质PVC封边条，优质环保热熔胶(总挥发性有机物≤ 100g/L,符合 GB18582-2008室内装饰装修材料胶粘剂中有害物质限量，新型全自动封边机，对板材截面进行封边，利用排钻钻孔，优质锌合金连接。五金件:优质阻尼三节静音导轨（三节导轨需符合QB/T2454-2013家具五金 抽屉导轨中过载要求、猛关、猛开要求）,优质阻尼铰链（门铰链需符合 QB/T 2189-2013(2017)家具五金杯状暗铰链中过载垂直、水平静载荷、功能中垂直、水平静载荷及耐腐蚀要求）</w:t>
            </w:r>
          </w:p>
        </w:tc>
      </w:tr>
      <w:tr w14:paraId="56265C94">
        <w:tblPrEx>
          <w:tblCellMar>
            <w:top w:w="0" w:type="dxa"/>
            <w:left w:w="108" w:type="dxa"/>
            <w:bottom w:w="0" w:type="dxa"/>
            <w:right w:w="108" w:type="dxa"/>
          </w:tblCellMar>
        </w:tblPrEx>
        <w:trPr>
          <w:trHeight w:val="1999"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8D00">
            <w:pPr>
              <w:jc w:val="cente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7</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B163">
            <w:pPr>
              <w:jc w:val="center"/>
              <w:textAlignment w:val="center"/>
              <w:rPr>
                <w:rFonts w:ascii="等线" w:hAnsi="等线" w:eastAsia="等线" w:cs="等线"/>
                <w:color w:val="auto"/>
                <w:sz w:val="24"/>
                <w:szCs w:val="24"/>
              </w:rPr>
            </w:pPr>
            <w:bookmarkStart w:id="11" w:name="_Hlk184366891"/>
            <w:r>
              <w:rPr>
                <w:rFonts w:hint="eastAsia" w:ascii="等线" w:hAnsi="等线" w:eastAsia="等线" w:cs="等线"/>
                <w:color w:val="auto"/>
                <w:sz w:val="24"/>
                <w:szCs w:val="24"/>
                <w:lang w:eastAsia="zh-CN" w:bidi="ar"/>
              </w:rPr>
              <w:t>椅子</w:t>
            </w:r>
            <w:bookmarkEnd w:id="11"/>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9F9F">
            <w:pPr>
              <w:jc w:val="center"/>
              <w:textAlignment w:val="center"/>
              <w:rPr>
                <w:rFonts w:ascii="等线" w:hAnsi="等线" w:eastAsia="等线" w:cs="等线"/>
                <w:color w:val="auto"/>
                <w:sz w:val="24"/>
                <w:szCs w:val="24"/>
              </w:rPr>
            </w:pPr>
            <w:bookmarkStart w:id="12" w:name="_Hlk184366906"/>
            <w:r>
              <w:rPr>
                <w:rFonts w:hint="eastAsia" w:ascii="等线" w:hAnsi="等线" w:eastAsia="等线" w:cs="等线"/>
                <w:color w:val="auto"/>
                <w:sz w:val="24"/>
                <w:szCs w:val="24"/>
                <w:lang w:eastAsia="zh-CN" w:bidi="ar"/>
              </w:rPr>
              <w:t>430*450*865mm</w:t>
            </w:r>
            <w:bookmarkEnd w:id="12"/>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2BDEA">
            <w:pPr>
              <w:jc w:val="center"/>
              <w:textAlignment w:val="center"/>
              <w:rPr>
                <w:rFonts w:ascii="宋体" w:hAnsi="宋体" w:eastAsia="宋体" w:cs="宋体"/>
                <w:color w:val="auto"/>
                <w:sz w:val="24"/>
                <w:szCs w:val="24"/>
              </w:rPr>
            </w:pPr>
            <w:r>
              <w:rPr>
                <w:rFonts w:ascii="宋体" w:hAnsi="宋体" w:eastAsia="宋体" w:cs="宋体"/>
                <w:color w:val="auto"/>
                <w:sz w:val="24"/>
                <w:szCs w:val="24"/>
                <w:lang w:eastAsia="zh-CN" w:bidi="ar"/>
              </w:rPr>
              <w:t>9</w:t>
            </w: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F32A">
            <w:pPr>
              <w:jc w:val="center"/>
              <w:textAlignment w:val="center"/>
              <w:rPr>
                <w:rFonts w:ascii="等线" w:hAnsi="等线" w:eastAsia="等线" w:cs="等线"/>
                <w:color w:val="auto"/>
                <w:sz w:val="24"/>
                <w:szCs w:val="24"/>
                <w:lang w:eastAsia="zh-CN"/>
              </w:rPr>
            </w:pPr>
            <w:r>
              <w:rPr>
                <w:rFonts w:hint="eastAsia" w:ascii="等线" w:hAnsi="等线" w:eastAsia="等线" w:cs="等线"/>
                <w:color w:val="auto"/>
                <w:sz w:val="24"/>
                <w:szCs w:val="24"/>
                <w:lang w:eastAsia="zh-CN"/>
              </w:rPr>
              <w:drawing>
                <wp:inline distT="0" distB="0" distL="114300" distR="114300">
                  <wp:extent cx="1219200" cy="1466850"/>
                  <wp:effectExtent l="0" t="0" r="0" b="0"/>
                  <wp:docPr id="6" name="图片 6" descr="5508dc4865ab1ce77d25e4dc8161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08dc4865ab1ce77d25e4dc81613f4"/>
                          <pic:cNvPicPr>
                            <a:picLocks noChangeAspect="1"/>
                          </pic:cNvPicPr>
                        </pic:nvPicPr>
                        <pic:blipFill>
                          <a:blip r:embed="rId8"/>
                          <a:stretch>
                            <a:fillRect/>
                          </a:stretch>
                        </pic:blipFill>
                        <pic:spPr>
                          <a:xfrm>
                            <a:off x="0" y="0"/>
                            <a:ext cx="1219200" cy="1466850"/>
                          </a:xfrm>
                          <a:prstGeom prst="rect">
                            <a:avLst/>
                          </a:prstGeom>
                        </pic:spPr>
                      </pic:pic>
                    </a:graphicData>
                  </a:graphic>
                </wp:inline>
              </w:drawing>
            </w: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4CA5">
            <w:pPr>
              <w:textAlignment w:val="center"/>
              <w:rPr>
                <w:rFonts w:ascii="等线" w:hAnsi="等线" w:eastAsia="等线" w:cs="等线"/>
                <w:color w:val="auto"/>
                <w:sz w:val="24"/>
                <w:szCs w:val="24"/>
              </w:rPr>
            </w:pPr>
            <w:r>
              <w:rPr>
                <w:rFonts w:hint="eastAsia" w:ascii="等线" w:hAnsi="等线" w:eastAsia="等线" w:cs="等线"/>
                <w:color w:val="auto"/>
                <w:sz w:val="24"/>
                <w:szCs w:val="24"/>
                <w:lang w:eastAsia="zh-CN" w:bidi="ar"/>
              </w:rPr>
              <w:t>椅架采用不低于40mm*20mm *1.5mm椭圆管，不低于φ25mm*1.5mm，20mm*20mm *1.2mm方管，所用管材符合国家标准，管件采用二氧化碳气体保护焊工艺；钢管表面经过除油、除锈、磷化处理、静电喷塑，管材无裂缝、叠层，弯管处弧形圆滑一致，波纹高低≤0.4mm；焊接部位要平整、光滑、无裂缝、无错位、无虚焊；喷塑部位无漏喷、气泡、桔皮、杂质等现象，颜色要求一致；所有管材切面需打磨光滑并配塑料防护盖。坐靠板采用符合E0级标准12mm厚多层板，贴优质防火板，甲醛释放量≤0.050mg/m³，周边倒R1角和环保清水封闭漆。安全考虑，所有边角都应倒圆倒角</w:t>
            </w:r>
          </w:p>
        </w:tc>
      </w:tr>
      <w:tr w14:paraId="2B3A8AE7">
        <w:tblPrEx>
          <w:tblCellMar>
            <w:top w:w="0" w:type="dxa"/>
            <w:left w:w="108" w:type="dxa"/>
            <w:bottom w:w="0" w:type="dxa"/>
            <w:right w:w="108" w:type="dxa"/>
          </w:tblCellMar>
        </w:tblPrEx>
        <w:trPr>
          <w:trHeight w:val="911" w:hRule="atLeast"/>
        </w:trPr>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C19C">
            <w:pPr>
              <w:jc w:val="center"/>
              <w:textAlignment w:val="center"/>
              <w:rPr>
                <w:rFonts w:ascii="等线" w:hAnsi="等线" w:eastAsia="等线" w:cs="等线"/>
                <w:color w:val="auto"/>
                <w:sz w:val="24"/>
                <w:szCs w:val="24"/>
                <w:lang w:eastAsia="zh-CN" w:bidi="ar"/>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664D">
            <w:pPr>
              <w:jc w:val="center"/>
              <w:textAlignment w:val="center"/>
              <w:rPr>
                <w:rFonts w:ascii="等线" w:hAnsi="等线" w:eastAsia="等线" w:cs="等线"/>
                <w:color w:val="auto"/>
                <w:sz w:val="24"/>
                <w:szCs w:val="24"/>
                <w:lang w:eastAsia="zh-CN" w:bidi="ar"/>
              </w:rPr>
            </w:pPr>
          </w:p>
        </w:tc>
        <w:tc>
          <w:tcPr>
            <w:tcW w:w="2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A140">
            <w:pPr>
              <w:jc w:val="center"/>
              <w:textAlignment w:val="center"/>
              <w:rPr>
                <w:rFonts w:ascii="等线" w:hAnsi="等线" w:eastAsia="等线" w:cs="等线"/>
                <w:color w:val="auto"/>
                <w:sz w:val="24"/>
                <w:szCs w:val="24"/>
                <w:lang w:eastAsia="zh-CN" w:bidi="ar"/>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4B048">
            <w:pPr>
              <w:jc w:val="center"/>
              <w:textAlignment w:val="center"/>
              <w:rPr>
                <w:rFonts w:ascii="宋体" w:hAnsi="宋体" w:eastAsia="宋体" w:cs="宋体"/>
                <w:color w:val="auto"/>
                <w:sz w:val="24"/>
                <w:szCs w:val="24"/>
                <w:lang w:eastAsia="zh-CN" w:bidi="ar"/>
              </w:rPr>
            </w:pPr>
          </w:p>
        </w:tc>
        <w:tc>
          <w:tcPr>
            <w:tcW w:w="5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CB43">
            <w:pPr>
              <w:textAlignment w:val="center"/>
              <w:rPr>
                <w:rFonts w:ascii="等线" w:hAnsi="等线" w:eastAsia="等线" w:cs="等线"/>
                <w:color w:val="auto"/>
                <w:sz w:val="24"/>
                <w:szCs w:val="24"/>
                <w:bdr w:val="single" w:color="000000" w:sz="4" w:space="0"/>
                <w:lang w:eastAsia="zh-CN"/>
              </w:rPr>
            </w:pPr>
          </w:p>
        </w:tc>
        <w:tc>
          <w:tcPr>
            <w:tcW w:w="9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F8D9">
            <w:pPr>
              <w:textAlignment w:val="center"/>
              <w:rPr>
                <w:rFonts w:ascii="等线" w:hAnsi="等线" w:eastAsia="等线" w:cs="等线"/>
                <w:color w:val="auto"/>
                <w:sz w:val="24"/>
                <w:szCs w:val="24"/>
                <w:lang w:eastAsia="zh-CN" w:bidi="ar"/>
              </w:rPr>
            </w:pPr>
          </w:p>
        </w:tc>
      </w:tr>
    </w:tbl>
    <w:p w14:paraId="02F3F7A9">
      <w:pPr>
        <w:pStyle w:val="2"/>
        <w:rPr>
          <w:color w:val="auto"/>
          <w:lang w:eastAsia="zh-CN"/>
        </w:rPr>
      </w:pPr>
      <w:r>
        <w:rPr>
          <w:color w:val="auto"/>
          <w:lang w:eastAsia="zh-CN"/>
        </w:rPr>
        <w:t>注：</w:t>
      </w:r>
    </w:p>
    <w:p w14:paraId="4E17983A">
      <w:pPr>
        <w:pStyle w:val="2"/>
        <w:rPr>
          <w:color w:val="auto"/>
          <w:lang w:eastAsia="zh-CN"/>
        </w:rPr>
      </w:pPr>
      <w:r>
        <w:rPr>
          <w:color w:val="auto"/>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2DE3BD64">
      <w:pPr>
        <w:pStyle w:val="2"/>
        <w:rPr>
          <w:color w:val="auto"/>
          <w:lang w:eastAsia="zh-CN"/>
        </w:rPr>
      </w:pPr>
      <w:r>
        <w:rPr>
          <w:color w:val="auto"/>
          <w:lang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5B224AB4">
      <w:pPr>
        <w:pStyle w:val="2"/>
        <w:rPr>
          <w:color w:val="auto"/>
          <w:lang w:eastAsia="zh-CN"/>
        </w:rPr>
      </w:pPr>
      <w:r>
        <w:rPr>
          <w:color w:val="auto"/>
          <w:lang w:eastAsia="zh-CN"/>
        </w:rPr>
        <w:t>3）项目需求中指出的技术标准与规范如有更新，应以最新的标准规范实施。</w:t>
      </w:r>
    </w:p>
    <w:p w14:paraId="79376F25">
      <w:pPr>
        <w:pStyle w:val="2"/>
        <w:rPr>
          <w:color w:val="auto"/>
          <w:lang w:eastAsia="zh-CN"/>
        </w:rPr>
      </w:pPr>
      <w:r>
        <w:rPr>
          <w:color w:val="auto"/>
          <w:lang w:eastAsia="zh-CN"/>
        </w:rPr>
        <w:t>4）所有采购家具产品，均需经使用方确认最终的色样方可采购或制作。</w:t>
      </w:r>
    </w:p>
    <w:p w14:paraId="56DCB752">
      <w:pPr>
        <w:spacing w:line="360" w:lineRule="auto"/>
        <w:rPr>
          <w:color w:val="auto"/>
          <w:lang w:eastAsia="zh-CN"/>
        </w:rPr>
      </w:pPr>
    </w:p>
    <w:p w14:paraId="74C22C27">
      <w:pPr>
        <w:spacing w:line="360" w:lineRule="auto"/>
        <w:rPr>
          <w:color w:val="auto"/>
          <w:lang w:eastAsia="zh-CN"/>
        </w:rPr>
      </w:pPr>
    </w:p>
    <w:p w14:paraId="56CC4C7D">
      <w:pPr>
        <w:spacing w:line="360" w:lineRule="auto"/>
        <w:rPr>
          <w:color w:val="auto"/>
          <w:lang w:eastAsia="zh-CN"/>
        </w:rPr>
      </w:pPr>
    </w:p>
    <w:p w14:paraId="0CF8C47E">
      <w:pPr>
        <w:spacing w:line="360" w:lineRule="auto"/>
        <w:rPr>
          <w:color w:val="auto"/>
          <w:lang w:eastAsia="zh-CN"/>
        </w:rPr>
      </w:pPr>
    </w:p>
    <w:p w14:paraId="238DC5A1">
      <w:pPr>
        <w:spacing w:line="360" w:lineRule="auto"/>
        <w:rPr>
          <w:color w:val="auto"/>
          <w:lang w:eastAsia="zh-CN"/>
        </w:rPr>
      </w:pPr>
    </w:p>
    <w:p w14:paraId="62A3FCC1">
      <w:pPr>
        <w:spacing w:line="360" w:lineRule="auto"/>
        <w:rPr>
          <w:rFonts w:ascii="宋体" w:hAnsi="宋体" w:eastAsia="宋体" w:cs="宋体"/>
          <w:b/>
          <w:bCs/>
          <w:color w:val="auto"/>
          <w:sz w:val="32"/>
          <w:szCs w:val="32"/>
          <w:lang w:eastAsia="zh-CN"/>
        </w:rPr>
      </w:pPr>
    </w:p>
    <w:p w14:paraId="6F1E7024">
      <w:pPr>
        <w:spacing w:line="360" w:lineRule="auto"/>
        <w:rPr>
          <w:rFonts w:ascii="宋体" w:hAnsi="宋体" w:eastAsia="宋体" w:cs="宋体"/>
          <w:b/>
          <w:bCs/>
          <w:color w:val="auto"/>
          <w:sz w:val="32"/>
          <w:szCs w:val="32"/>
          <w:lang w:eastAsia="zh-CN"/>
        </w:rPr>
      </w:pPr>
    </w:p>
    <w:p w14:paraId="32C4787F">
      <w:pPr>
        <w:spacing w:line="360" w:lineRule="auto"/>
        <w:rPr>
          <w:rFonts w:ascii="宋体" w:hAnsi="宋体" w:eastAsia="宋体" w:cs="宋体"/>
          <w:b/>
          <w:bCs/>
          <w:color w:val="auto"/>
          <w:sz w:val="32"/>
          <w:szCs w:val="32"/>
          <w:lang w:eastAsia="zh-CN"/>
        </w:rPr>
      </w:pPr>
    </w:p>
    <w:p w14:paraId="3F32D1C4">
      <w:pPr>
        <w:spacing w:line="360" w:lineRule="auto"/>
        <w:rPr>
          <w:rFonts w:ascii="宋体" w:hAnsi="宋体" w:eastAsia="宋体" w:cs="宋体"/>
          <w:b/>
          <w:bCs/>
          <w:color w:val="auto"/>
          <w:sz w:val="32"/>
          <w:szCs w:val="32"/>
          <w:lang w:eastAsia="zh-CN"/>
        </w:rPr>
      </w:pPr>
    </w:p>
    <w:p w14:paraId="77FDFB6E">
      <w:pPr>
        <w:spacing w:line="360" w:lineRule="auto"/>
        <w:rPr>
          <w:rFonts w:ascii="宋体" w:hAnsi="宋体" w:eastAsia="宋体" w:cs="宋体"/>
          <w:b/>
          <w:bCs/>
          <w:color w:val="auto"/>
          <w:sz w:val="32"/>
          <w:szCs w:val="32"/>
          <w:lang w:eastAsia="zh-CN"/>
        </w:rPr>
      </w:pPr>
    </w:p>
    <w:p w14:paraId="484E1287">
      <w:pPr>
        <w:spacing w:line="360" w:lineRule="auto"/>
        <w:rPr>
          <w:rFonts w:ascii="宋体" w:hAnsi="宋体" w:eastAsia="宋体" w:cs="宋体"/>
          <w:b/>
          <w:bCs/>
          <w:color w:val="auto"/>
          <w:sz w:val="32"/>
          <w:szCs w:val="32"/>
          <w:lang w:eastAsia="zh-CN"/>
        </w:rPr>
      </w:pPr>
    </w:p>
    <w:p w14:paraId="334E6137">
      <w:pPr>
        <w:spacing w:line="360" w:lineRule="auto"/>
        <w:rPr>
          <w:rFonts w:ascii="宋体" w:hAnsi="宋体" w:eastAsia="宋体" w:cs="宋体"/>
          <w:b/>
          <w:bCs/>
          <w:color w:val="auto"/>
          <w:sz w:val="32"/>
          <w:szCs w:val="32"/>
          <w:lang w:eastAsia="zh-CN"/>
        </w:rPr>
      </w:pPr>
    </w:p>
    <w:p w14:paraId="2CA6A1B2">
      <w:pPr>
        <w:spacing w:line="360" w:lineRule="auto"/>
        <w:rPr>
          <w:rFonts w:ascii="宋体" w:hAnsi="宋体" w:eastAsia="宋体" w:cs="宋体"/>
          <w:b/>
          <w:bCs/>
          <w:color w:val="auto"/>
          <w:sz w:val="32"/>
          <w:szCs w:val="32"/>
          <w:lang w:eastAsia="zh-CN"/>
        </w:rPr>
      </w:pPr>
    </w:p>
    <w:p w14:paraId="4EF4EFB1">
      <w:pPr>
        <w:spacing w:line="360" w:lineRule="auto"/>
        <w:rPr>
          <w:rFonts w:ascii="宋体" w:hAnsi="宋体" w:eastAsia="宋体" w:cs="宋体"/>
          <w:b/>
          <w:bCs/>
          <w:color w:val="auto"/>
          <w:sz w:val="32"/>
          <w:szCs w:val="32"/>
          <w:lang w:eastAsia="zh-CN"/>
        </w:rPr>
      </w:pPr>
    </w:p>
    <w:p w14:paraId="6AEB2F97">
      <w:pPr>
        <w:spacing w:line="360" w:lineRule="auto"/>
        <w:rPr>
          <w:rFonts w:ascii="宋体" w:hAnsi="宋体" w:eastAsia="宋体" w:cs="宋体"/>
          <w:b/>
          <w:bCs/>
          <w:color w:val="auto"/>
          <w:sz w:val="32"/>
          <w:szCs w:val="32"/>
          <w:lang w:eastAsia="zh-CN"/>
        </w:rPr>
      </w:pPr>
    </w:p>
    <w:p w14:paraId="5C316159">
      <w:pPr>
        <w:spacing w:line="360" w:lineRule="auto"/>
        <w:rPr>
          <w:rFonts w:ascii="宋体" w:hAnsi="宋体" w:eastAsia="宋体" w:cs="宋体"/>
          <w:b/>
          <w:bCs/>
          <w:color w:val="auto"/>
          <w:sz w:val="32"/>
          <w:szCs w:val="32"/>
          <w:lang w:eastAsia="zh-CN"/>
        </w:rPr>
      </w:pPr>
    </w:p>
    <w:p w14:paraId="544D10B2">
      <w:pPr>
        <w:spacing w:line="360" w:lineRule="auto"/>
        <w:rPr>
          <w:rFonts w:ascii="宋体" w:hAnsi="宋体" w:eastAsia="宋体" w:cs="宋体"/>
          <w:b/>
          <w:bCs/>
          <w:color w:val="auto"/>
          <w:sz w:val="32"/>
          <w:szCs w:val="32"/>
          <w:lang w:eastAsia="zh-CN"/>
        </w:rPr>
      </w:pPr>
    </w:p>
    <w:p w14:paraId="315364B8">
      <w:pPr>
        <w:spacing w:line="360" w:lineRule="auto"/>
        <w:rPr>
          <w:rFonts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空间平面图和家具图稿参考：</w:t>
      </w:r>
    </w:p>
    <w:p w14:paraId="57A7C716">
      <w:pPr>
        <w:spacing w:line="360" w:lineRule="auto"/>
        <w:jc w:val="center"/>
        <w:rPr>
          <w:rFonts w:ascii="宋体" w:hAnsi="宋体" w:eastAsia="宋体" w:cs="宋体"/>
          <w:b/>
          <w:bCs/>
          <w:color w:val="auto"/>
          <w:sz w:val="32"/>
          <w:szCs w:val="32"/>
          <w:lang w:eastAsia="zh-CN"/>
        </w:rPr>
      </w:pPr>
    </w:p>
    <w:p w14:paraId="5FD1BACD">
      <w:pPr>
        <w:spacing w:line="360" w:lineRule="auto"/>
        <w:rPr>
          <w:rFonts w:ascii="宋体" w:hAnsi="宋体" w:eastAsia="宋体" w:cs="宋体"/>
          <w:b/>
          <w:bCs/>
          <w:color w:val="auto"/>
          <w:sz w:val="32"/>
          <w:szCs w:val="32"/>
          <w:lang w:eastAsia="zh-CN"/>
        </w:rPr>
      </w:pPr>
      <w:r>
        <w:rPr>
          <w:color w:val="auto"/>
          <w:lang w:eastAsia="zh-CN"/>
        </w:rPr>
        <w:drawing>
          <wp:inline distT="0" distB="0" distL="114300" distR="114300">
            <wp:extent cx="11884025" cy="6831330"/>
            <wp:effectExtent l="0" t="0" r="3175"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11884025" cy="6831330"/>
                    </a:xfrm>
                    <a:prstGeom prst="rect">
                      <a:avLst/>
                    </a:prstGeom>
                    <a:noFill/>
                    <a:ln>
                      <a:noFill/>
                    </a:ln>
                  </pic:spPr>
                </pic:pic>
              </a:graphicData>
            </a:graphic>
          </wp:inline>
        </w:drawing>
      </w:r>
    </w:p>
    <w:p w14:paraId="7A2A2B0A">
      <w:pPr>
        <w:spacing w:line="360" w:lineRule="auto"/>
        <w:jc w:val="center"/>
        <w:rPr>
          <w:rFonts w:ascii="宋体" w:hAnsi="宋体" w:eastAsia="宋体" w:cs="宋体"/>
          <w:b/>
          <w:bCs/>
          <w:color w:val="auto"/>
          <w:sz w:val="32"/>
          <w:szCs w:val="32"/>
          <w:lang w:eastAsia="zh-CN"/>
        </w:rPr>
      </w:pPr>
      <w:r>
        <w:rPr>
          <w:color w:val="auto"/>
          <w:lang w:eastAsia="zh-CN"/>
        </w:rPr>
        <w:drawing>
          <wp:inline distT="0" distB="0" distL="114300" distR="114300">
            <wp:extent cx="12777470" cy="7965440"/>
            <wp:effectExtent l="0" t="0" r="5080" b="165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12777470" cy="7965440"/>
                    </a:xfrm>
                    <a:prstGeom prst="rect">
                      <a:avLst/>
                    </a:prstGeom>
                    <a:noFill/>
                    <a:ln>
                      <a:noFill/>
                    </a:ln>
                  </pic:spPr>
                </pic:pic>
              </a:graphicData>
            </a:graphic>
          </wp:inline>
        </w:drawing>
      </w:r>
    </w:p>
    <w:p w14:paraId="40619488">
      <w:pPr>
        <w:spacing w:line="360" w:lineRule="auto"/>
        <w:jc w:val="center"/>
        <w:rPr>
          <w:rFonts w:ascii="宋体" w:hAnsi="宋体" w:eastAsia="宋体" w:cs="宋体"/>
          <w:b/>
          <w:bCs/>
          <w:color w:val="auto"/>
          <w:sz w:val="32"/>
          <w:szCs w:val="32"/>
          <w:lang w:eastAsia="zh-CN"/>
        </w:rPr>
      </w:pPr>
    </w:p>
    <w:p w14:paraId="5C4039B6">
      <w:pPr>
        <w:spacing w:line="360" w:lineRule="auto"/>
        <w:jc w:val="center"/>
        <w:rPr>
          <w:rFonts w:ascii="宋体" w:hAnsi="宋体" w:eastAsia="宋体" w:cs="宋体"/>
          <w:b/>
          <w:bCs/>
          <w:color w:val="auto"/>
          <w:sz w:val="32"/>
          <w:szCs w:val="32"/>
          <w:lang w:eastAsia="zh-CN"/>
        </w:rPr>
      </w:pPr>
    </w:p>
    <w:p w14:paraId="4D7C24F6">
      <w:pPr>
        <w:spacing w:line="360" w:lineRule="auto"/>
        <w:jc w:val="center"/>
        <w:rPr>
          <w:rFonts w:ascii="宋体" w:hAnsi="宋体" w:eastAsia="宋体" w:cs="宋体"/>
          <w:b/>
          <w:bCs/>
          <w:color w:val="auto"/>
          <w:sz w:val="32"/>
          <w:szCs w:val="32"/>
          <w:lang w:eastAsia="zh-CN"/>
        </w:rPr>
      </w:pPr>
    </w:p>
    <w:p w14:paraId="0C9A7266">
      <w:pPr>
        <w:spacing w:line="360" w:lineRule="auto"/>
        <w:jc w:val="center"/>
        <w:rPr>
          <w:rFonts w:ascii="宋体" w:hAnsi="宋体" w:eastAsia="宋体" w:cs="宋体"/>
          <w:b/>
          <w:bCs/>
          <w:color w:val="auto"/>
          <w:sz w:val="32"/>
          <w:szCs w:val="32"/>
          <w:lang w:eastAsia="zh-CN"/>
        </w:rPr>
      </w:pPr>
    </w:p>
    <w:p w14:paraId="4FFB8C9B">
      <w:pPr>
        <w:spacing w:line="360" w:lineRule="auto"/>
        <w:jc w:val="center"/>
        <w:rPr>
          <w:rFonts w:ascii="宋体" w:hAnsi="宋体" w:eastAsia="宋体" w:cs="宋体"/>
          <w:b/>
          <w:bCs/>
          <w:color w:val="auto"/>
          <w:sz w:val="32"/>
          <w:szCs w:val="32"/>
          <w:lang w:eastAsia="zh-CN"/>
        </w:rPr>
      </w:pPr>
    </w:p>
    <w:p w14:paraId="6605A29D">
      <w:pPr>
        <w:spacing w:line="360" w:lineRule="auto"/>
        <w:jc w:val="center"/>
        <w:rPr>
          <w:rFonts w:ascii="宋体" w:hAnsi="宋体" w:eastAsia="宋体" w:cs="宋体"/>
          <w:b/>
          <w:bCs/>
          <w:color w:val="auto"/>
          <w:sz w:val="32"/>
          <w:szCs w:val="32"/>
          <w:lang w:eastAsia="zh-CN"/>
        </w:rPr>
      </w:pPr>
    </w:p>
    <w:p w14:paraId="31CADAD9">
      <w:pPr>
        <w:spacing w:line="360" w:lineRule="auto"/>
        <w:jc w:val="center"/>
        <w:rPr>
          <w:rFonts w:ascii="宋体" w:hAnsi="宋体" w:eastAsia="宋体" w:cs="宋体"/>
          <w:b/>
          <w:bCs/>
          <w:color w:val="auto"/>
          <w:sz w:val="32"/>
          <w:szCs w:val="32"/>
          <w:lang w:eastAsia="zh-CN"/>
        </w:rPr>
      </w:pPr>
    </w:p>
    <w:p w14:paraId="515A775A">
      <w:pPr>
        <w:spacing w:line="360" w:lineRule="auto"/>
        <w:jc w:val="center"/>
        <w:rPr>
          <w:rFonts w:ascii="宋体" w:hAnsi="宋体" w:eastAsia="宋体" w:cs="宋体"/>
          <w:b/>
          <w:bCs/>
          <w:color w:val="auto"/>
          <w:sz w:val="32"/>
          <w:szCs w:val="32"/>
          <w:lang w:eastAsia="zh-CN"/>
        </w:rPr>
      </w:pPr>
    </w:p>
    <w:p w14:paraId="6CBDBC9D">
      <w:pPr>
        <w:spacing w:line="360" w:lineRule="auto"/>
        <w:jc w:val="center"/>
        <w:rPr>
          <w:rFonts w:ascii="宋体" w:hAnsi="宋体" w:eastAsia="宋体" w:cs="宋体"/>
          <w:b/>
          <w:bCs/>
          <w:color w:val="auto"/>
          <w:sz w:val="32"/>
          <w:szCs w:val="32"/>
          <w:lang w:eastAsia="zh-CN"/>
        </w:rPr>
      </w:pPr>
      <w:r>
        <w:rPr>
          <w:color w:val="auto"/>
          <w:lang w:eastAsia="zh-CN"/>
        </w:rPr>
        <w:drawing>
          <wp:inline distT="0" distB="0" distL="114300" distR="114300">
            <wp:extent cx="10040620" cy="6732905"/>
            <wp:effectExtent l="0" t="0" r="17780" b="1079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4"/>
                    <a:stretch>
                      <a:fillRect/>
                    </a:stretch>
                  </pic:blipFill>
                  <pic:spPr>
                    <a:xfrm>
                      <a:off x="0" y="0"/>
                      <a:ext cx="10040620" cy="6732905"/>
                    </a:xfrm>
                    <a:prstGeom prst="rect">
                      <a:avLst/>
                    </a:prstGeom>
                    <a:noFill/>
                    <a:ln>
                      <a:noFill/>
                    </a:ln>
                  </pic:spPr>
                </pic:pic>
              </a:graphicData>
            </a:graphic>
          </wp:inline>
        </w:drawing>
      </w:r>
    </w:p>
    <w:p w14:paraId="7FE7364E">
      <w:pPr>
        <w:spacing w:line="360" w:lineRule="auto"/>
        <w:jc w:val="center"/>
        <w:rPr>
          <w:rFonts w:ascii="宋体" w:hAnsi="宋体" w:eastAsia="宋体" w:cs="宋体"/>
          <w:b/>
          <w:bCs/>
          <w:color w:val="auto"/>
          <w:sz w:val="32"/>
          <w:szCs w:val="32"/>
          <w:lang w:eastAsia="zh-CN"/>
        </w:rPr>
      </w:pPr>
    </w:p>
    <w:p w14:paraId="13DE69AF">
      <w:pPr>
        <w:spacing w:line="360" w:lineRule="auto"/>
        <w:rPr>
          <w:rFonts w:ascii="宋体" w:hAnsi="宋体" w:eastAsia="宋体" w:cs="宋体"/>
          <w:b/>
          <w:bCs/>
          <w:color w:val="auto"/>
          <w:sz w:val="32"/>
          <w:szCs w:val="32"/>
          <w:lang w:eastAsia="zh-CN"/>
        </w:rPr>
      </w:pPr>
    </w:p>
    <w:p w14:paraId="5ECE790F">
      <w:pPr>
        <w:spacing w:line="360" w:lineRule="auto"/>
        <w:rPr>
          <w:rFonts w:ascii="宋体" w:hAnsi="宋体" w:eastAsia="宋体" w:cs="宋体"/>
          <w:b/>
          <w:bCs/>
          <w:color w:val="auto"/>
          <w:sz w:val="32"/>
          <w:szCs w:val="32"/>
          <w:lang w:eastAsia="zh-CN"/>
        </w:rPr>
      </w:pPr>
    </w:p>
    <w:p w14:paraId="2CA3B854">
      <w:pPr>
        <w:spacing w:line="360" w:lineRule="auto"/>
        <w:rPr>
          <w:rFonts w:ascii="宋体" w:hAnsi="宋体" w:eastAsia="宋体" w:cs="宋体"/>
          <w:b/>
          <w:bCs/>
          <w:color w:val="auto"/>
          <w:sz w:val="32"/>
          <w:szCs w:val="32"/>
          <w:lang w:eastAsia="zh-CN"/>
        </w:rPr>
      </w:pPr>
    </w:p>
    <w:p w14:paraId="101D4037">
      <w:pPr>
        <w:spacing w:line="360" w:lineRule="auto"/>
        <w:jc w:val="center"/>
        <w:rPr>
          <w:rFonts w:ascii="宋体" w:hAnsi="宋体" w:eastAsia="宋体" w:cs="宋体"/>
          <w:b/>
          <w:bCs/>
          <w:color w:val="auto"/>
          <w:sz w:val="32"/>
          <w:szCs w:val="32"/>
          <w:lang w:eastAsia="zh-CN"/>
        </w:rPr>
      </w:pPr>
      <w:r>
        <w:rPr>
          <w:rFonts w:ascii="宋体" w:hAnsi="宋体" w:eastAsia="宋体" w:cs="宋体"/>
          <w:b/>
          <w:bCs/>
          <w:color w:val="auto"/>
          <w:sz w:val="32"/>
          <w:szCs w:val="32"/>
          <w:lang w:eastAsia="zh-CN"/>
        </w:rPr>
        <w:drawing>
          <wp:inline distT="0" distB="0" distL="114300" distR="114300">
            <wp:extent cx="13212445" cy="7430135"/>
            <wp:effectExtent l="0" t="0" r="8255" b="18415"/>
            <wp:docPr id="3" name="图片 3" descr="d424de3f94bad48d8647eb702cde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424de3f94bad48d8647eb702cde3ec"/>
                    <pic:cNvPicPr>
                      <a:picLocks noChangeAspect="1"/>
                    </pic:cNvPicPr>
                  </pic:nvPicPr>
                  <pic:blipFill>
                    <a:blip r:embed="rId15"/>
                    <a:srcRect l="9074" r="4858" b="17559"/>
                    <a:stretch>
                      <a:fillRect/>
                    </a:stretch>
                  </pic:blipFill>
                  <pic:spPr>
                    <a:xfrm>
                      <a:off x="0" y="0"/>
                      <a:ext cx="13212445" cy="7430135"/>
                    </a:xfrm>
                    <a:prstGeom prst="rect">
                      <a:avLst/>
                    </a:prstGeom>
                  </pic:spPr>
                </pic:pic>
              </a:graphicData>
            </a:graphic>
          </wp:inline>
        </w:drawing>
      </w:r>
    </w:p>
    <w:p w14:paraId="5951CE2D">
      <w:pPr>
        <w:spacing w:line="360" w:lineRule="auto"/>
        <w:jc w:val="center"/>
        <w:rPr>
          <w:rFonts w:ascii="宋体" w:hAnsi="宋体" w:cs="宋体"/>
          <w:b/>
          <w:bCs/>
          <w:color w:val="auto"/>
          <w:sz w:val="32"/>
          <w:szCs w:val="32"/>
          <w:lang w:eastAsia="zh-CN"/>
        </w:rPr>
      </w:pPr>
      <w:r>
        <w:rPr>
          <w:color w:val="auto"/>
          <w:lang w:eastAsia="zh-CN"/>
        </w:rPr>
        <w:drawing>
          <wp:inline distT="0" distB="0" distL="114300" distR="114300">
            <wp:extent cx="9473565" cy="9246235"/>
            <wp:effectExtent l="0" t="0" r="13335" b="1206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grayscl/>
                    </a:blip>
                    <a:stretch>
                      <a:fillRect/>
                    </a:stretch>
                  </pic:blipFill>
                  <pic:spPr>
                    <a:xfrm>
                      <a:off x="0" y="0"/>
                      <a:ext cx="9473565" cy="9246235"/>
                    </a:xfrm>
                    <a:prstGeom prst="rect">
                      <a:avLst/>
                    </a:prstGeom>
                    <a:noFill/>
                    <a:ln>
                      <a:noFill/>
                    </a:ln>
                  </pic:spPr>
                </pic:pic>
              </a:graphicData>
            </a:graphic>
          </wp:inline>
        </w:drawing>
      </w:r>
      <w:r>
        <w:rPr>
          <w:rFonts w:hint="eastAsia" w:ascii="宋体" w:hAnsi="宋体" w:cs="宋体"/>
          <w:b/>
          <w:bCs/>
          <w:color w:val="auto"/>
          <w:sz w:val="32"/>
          <w:szCs w:val="32"/>
          <w:lang w:eastAsia="zh-CN"/>
        </w:rPr>
        <w:drawing>
          <wp:inline distT="0" distB="0" distL="114300" distR="114300">
            <wp:extent cx="13084810" cy="5057775"/>
            <wp:effectExtent l="0" t="0" r="2540" b="9525"/>
            <wp:docPr id="5" name="图片 5" descr="27bd0b908c875041317fac3ef595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bd0b908c875041317fac3ef5956c4"/>
                    <pic:cNvPicPr>
                      <a:picLocks noChangeAspect="1"/>
                    </pic:cNvPicPr>
                  </pic:nvPicPr>
                  <pic:blipFill>
                    <a:blip r:embed="rId17"/>
                    <a:srcRect l="10159" t="24213" r="7230" b="21400"/>
                    <a:stretch>
                      <a:fillRect/>
                    </a:stretch>
                  </pic:blipFill>
                  <pic:spPr>
                    <a:xfrm>
                      <a:off x="0" y="0"/>
                      <a:ext cx="13084810" cy="5057775"/>
                    </a:xfrm>
                    <a:prstGeom prst="rect">
                      <a:avLst/>
                    </a:prstGeom>
                  </pic:spPr>
                </pic:pic>
              </a:graphicData>
            </a:graphic>
          </wp:inline>
        </w:drawing>
      </w:r>
    </w:p>
    <w:p w14:paraId="3512F547">
      <w:pPr>
        <w:spacing w:line="360" w:lineRule="auto"/>
        <w:rPr>
          <w:color w:val="auto"/>
          <w:lang w:eastAsia="zh-CN"/>
        </w:rPr>
      </w:pPr>
      <w:r>
        <w:rPr>
          <w:color w:val="auto"/>
          <w:lang w:eastAsia="zh-CN"/>
        </w:rPr>
        <w:drawing>
          <wp:anchor distT="0" distB="0" distL="114300" distR="114300" simplePos="0" relativeHeight="251660288" behindDoc="0" locked="0" layoutInCell="1" allowOverlap="1">
            <wp:simplePos x="0" y="0"/>
            <wp:positionH relativeFrom="column">
              <wp:posOffset>7025640</wp:posOffset>
            </wp:positionH>
            <wp:positionV relativeFrom="paragraph">
              <wp:posOffset>1482725</wp:posOffset>
            </wp:positionV>
            <wp:extent cx="6170930" cy="6329045"/>
            <wp:effectExtent l="0" t="0" r="1270" b="14605"/>
            <wp:wrapNone/>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8"/>
                    <a:stretch>
                      <a:fillRect/>
                    </a:stretch>
                  </pic:blipFill>
                  <pic:spPr>
                    <a:xfrm>
                      <a:off x="0" y="0"/>
                      <a:ext cx="6170930" cy="6329045"/>
                    </a:xfrm>
                    <a:prstGeom prst="rect">
                      <a:avLst/>
                    </a:prstGeom>
                    <a:noFill/>
                    <a:ln>
                      <a:noFill/>
                    </a:ln>
                  </pic:spPr>
                </pic:pic>
              </a:graphicData>
            </a:graphic>
          </wp:anchor>
        </w:drawing>
      </w:r>
      <w:r>
        <w:rPr>
          <w:color w:val="auto"/>
          <w:lang w:eastAsia="zh-CN"/>
        </w:rPr>
        <w:drawing>
          <wp:inline distT="0" distB="0" distL="114300" distR="114300">
            <wp:extent cx="6713855" cy="5504815"/>
            <wp:effectExtent l="0" t="0" r="1079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6713855" cy="5504815"/>
                    </a:xfrm>
                    <a:prstGeom prst="rect">
                      <a:avLst/>
                    </a:prstGeom>
                    <a:noFill/>
                    <a:ln>
                      <a:noFill/>
                    </a:ln>
                  </pic:spPr>
                </pic:pic>
              </a:graphicData>
            </a:graphic>
          </wp:inline>
        </w:drawing>
      </w:r>
      <w:r>
        <w:rPr>
          <w:color w:val="auto"/>
          <w:lang w:eastAsia="zh-CN"/>
        </w:rPr>
        <w:drawing>
          <wp:inline distT="0" distB="0" distL="114300" distR="114300">
            <wp:extent cx="6829425" cy="3000375"/>
            <wp:effectExtent l="0" t="0" r="952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tretch>
                      <a:fillRect/>
                    </a:stretch>
                  </pic:blipFill>
                  <pic:spPr>
                    <a:xfrm>
                      <a:off x="0" y="0"/>
                      <a:ext cx="6829425" cy="3000375"/>
                    </a:xfrm>
                    <a:prstGeom prst="rect">
                      <a:avLst/>
                    </a:prstGeom>
                    <a:noFill/>
                    <a:ln>
                      <a:noFill/>
                    </a:ln>
                  </pic:spPr>
                </pic:pic>
              </a:graphicData>
            </a:graphic>
          </wp:inline>
        </w:drawing>
      </w:r>
    </w:p>
    <w:p w14:paraId="600F83A5">
      <w:pPr>
        <w:spacing w:line="360" w:lineRule="auto"/>
        <w:rPr>
          <w:color w:val="auto"/>
          <w:lang w:eastAsia="zh-CN"/>
        </w:rPr>
      </w:pPr>
    </w:p>
    <w:p w14:paraId="3F60155F">
      <w:pPr>
        <w:spacing w:line="360" w:lineRule="auto"/>
        <w:rPr>
          <w:color w:val="auto"/>
          <w:lang w:eastAsia="zh-CN"/>
        </w:rPr>
      </w:pPr>
    </w:p>
    <w:p w14:paraId="7B9E15EA">
      <w:pPr>
        <w:spacing w:line="360" w:lineRule="auto"/>
        <w:rPr>
          <w:rFonts w:ascii="宋体" w:hAnsi="宋体" w:eastAsia="宋体" w:cs="宋体"/>
          <w:b/>
          <w:bCs/>
          <w:color w:val="auto"/>
          <w:sz w:val="32"/>
          <w:szCs w:val="32"/>
          <w:lang w:eastAsia="zh-CN"/>
        </w:rPr>
      </w:pPr>
    </w:p>
    <w:p w14:paraId="4097BEFF">
      <w:pPr>
        <w:spacing w:line="360" w:lineRule="auto"/>
        <w:rPr>
          <w:rFonts w:ascii="宋体" w:hAnsi="宋体" w:eastAsia="宋体" w:cs="宋体"/>
          <w:b/>
          <w:bCs/>
          <w:color w:val="auto"/>
          <w:sz w:val="32"/>
          <w:szCs w:val="32"/>
          <w:lang w:eastAsia="zh-CN"/>
        </w:rPr>
      </w:pPr>
    </w:p>
    <w:p w14:paraId="34FE66AD">
      <w:pPr>
        <w:spacing w:line="360" w:lineRule="auto"/>
        <w:rPr>
          <w:rFonts w:ascii="宋体" w:hAnsi="宋体" w:eastAsia="宋体" w:cs="宋体"/>
          <w:b/>
          <w:bCs/>
          <w:color w:val="auto"/>
          <w:sz w:val="32"/>
          <w:szCs w:val="32"/>
          <w:lang w:eastAsia="zh-CN"/>
        </w:rPr>
      </w:pPr>
    </w:p>
    <w:p w14:paraId="4638DEFA">
      <w:pPr>
        <w:spacing w:line="360" w:lineRule="auto"/>
        <w:jc w:val="center"/>
        <w:rPr>
          <w:rFonts w:ascii="宋体" w:hAnsi="宋体" w:eastAsia="宋体" w:cs="宋体"/>
          <w:b/>
          <w:bCs/>
          <w:color w:val="auto"/>
          <w:sz w:val="32"/>
          <w:szCs w:val="32"/>
          <w:lang w:eastAsia="zh-CN"/>
        </w:rPr>
      </w:pPr>
      <w:r>
        <w:rPr>
          <w:rFonts w:ascii="宋体" w:hAnsi="宋体" w:eastAsia="宋体" w:cs="宋体"/>
          <w:b/>
          <w:bCs/>
          <w:color w:val="auto"/>
          <w:sz w:val="32"/>
          <w:szCs w:val="32"/>
          <w:lang w:eastAsia="zh-CN"/>
        </w:rPr>
        <w:drawing>
          <wp:inline distT="0" distB="0" distL="114300" distR="114300">
            <wp:extent cx="12216765" cy="8456930"/>
            <wp:effectExtent l="0" t="0" r="13335" b="1270"/>
            <wp:docPr id="8" name="图片 8" descr="b69c721dedd476201f664a56e06a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9c721dedd476201f664a56e06a450"/>
                    <pic:cNvPicPr>
                      <a:picLocks noChangeAspect="1"/>
                    </pic:cNvPicPr>
                  </pic:nvPicPr>
                  <pic:blipFill>
                    <a:blip r:embed="rId21"/>
                    <a:stretch>
                      <a:fillRect/>
                    </a:stretch>
                  </pic:blipFill>
                  <pic:spPr>
                    <a:xfrm>
                      <a:off x="0" y="0"/>
                      <a:ext cx="12216765" cy="8456930"/>
                    </a:xfrm>
                    <a:prstGeom prst="rect">
                      <a:avLst/>
                    </a:prstGeom>
                  </pic:spPr>
                </pic:pic>
              </a:graphicData>
            </a:graphic>
          </wp:inline>
        </w:drawing>
      </w:r>
    </w:p>
    <w:p w14:paraId="604ED282">
      <w:pPr>
        <w:spacing w:line="360" w:lineRule="auto"/>
        <w:jc w:val="center"/>
        <w:rPr>
          <w:color w:val="auto"/>
        </w:rPr>
      </w:pPr>
      <w:r>
        <w:rPr>
          <w:color w:val="auto"/>
          <w:lang w:eastAsia="zh-CN"/>
        </w:rPr>
        <w:drawing>
          <wp:inline distT="0" distB="0" distL="114300" distR="114300">
            <wp:extent cx="12654915" cy="8642350"/>
            <wp:effectExtent l="0" t="0" r="13335" b="635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12654915" cy="8642350"/>
                    </a:xfrm>
                    <a:prstGeom prst="rect">
                      <a:avLst/>
                    </a:prstGeom>
                    <a:noFill/>
                    <a:ln>
                      <a:noFill/>
                    </a:ln>
                  </pic:spPr>
                </pic:pic>
              </a:graphicData>
            </a:graphic>
          </wp:inline>
        </w:drawing>
      </w:r>
      <w:r>
        <w:rPr>
          <w:color w:val="auto"/>
          <w:lang w:eastAsia="zh-CN"/>
        </w:rPr>
        <w:drawing>
          <wp:inline distT="0" distB="0" distL="114300" distR="114300">
            <wp:extent cx="12346940" cy="8484870"/>
            <wp:effectExtent l="0" t="0" r="16510" b="1143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12346940" cy="8484870"/>
                    </a:xfrm>
                    <a:prstGeom prst="rect">
                      <a:avLst/>
                    </a:prstGeom>
                    <a:noFill/>
                    <a:ln>
                      <a:noFill/>
                    </a:ln>
                  </pic:spPr>
                </pic:pic>
              </a:graphicData>
            </a:graphic>
          </wp:inline>
        </w:drawing>
      </w:r>
    </w:p>
    <w:p w14:paraId="3BCD8E48">
      <w:pPr>
        <w:spacing w:line="360" w:lineRule="auto"/>
        <w:rPr>
          <w:rFonts w:ascii="宋体" w:hAnsi="宋体" w:eastAsia="宋体" w:cs="宋体"/>
          <w:b/>
          <w:bCs/>
          <w:color w:val="auto"/>
          <w:sz w:val="32"/>
          <w:szCs w:val="32"/>
          <w:lang w:eastAsia="zh-CN"/>
        </w:rPr>
      </w:pPr>
    </w:p>
    <w:p w14:paraId="66AECCC6">
      <w:pPr>
        <w:spacing w:line="360" w:lineRule="auto"/>
        <w:rPr>
          <w:color w:val="auto"/>
        </w:rPr>
      </w:pPr>
    </w:p>
    <w:p w14:paraId="2B243025">
      <w:pPr>
        <w:spacing w:line="360" w:lineRule="auto"/>
        <w:rPr>
          <w:color w:val="auto"/>
          <w:lang w:eastAsia="zh-CN"/>
        </w:rPr>
        <w:sectPr>
          <w:footerReference r:id="rId3" w:type="default"/>
          <w:pgSz w:w="23810" w:h="16840"/>
          <w:pgMar w:top="400" w:right="3571" w:bottom="0" w:left="1515" w:header="0" w:footer="0" w:gutter="0"/>
          <w:cols w:space="720" w:num="1"/>
        </w:sectPr>
      </w:pPr>
    </w:p>
    <w:p w14:paraId="7DA874AF">
      <w:pPr>
        <w:spacing w:before="123" w:line="360" w:lineRule="auto"/>
        <w:outlineLvl w:val="0"/>
        <w:rPr>
          <w:rFonts w:ascii="宋体" w:hAnsi="宋体" w:eastAsia="宋体" w:cs="宋体"/>
          <w:color w:val="auto"/>
          <w:lang w:eastAsia="zh-CN"/>
        </w:rPr>
      </w:pPr>
      <w:r>
        <w:rPr>
          <w:rFonts w:hint="eastAsia" w:ascii="宋体" w:hAnsi="宋体" w:eastAsia="宋体" w:cs="宋体"/>
          <w:b/>
          <w:bCs/>
          <w:color w:val="auto"/>
          <w:lang w:eastAsia="zh-CN"/>
        </w:rPr>
        <w:t>四、材料要求</w:t>
      </w:r>
    </w:p>
    <w:p w14:paraId="6C3B4902">
      <w:pPr>
        <w:spacing w:line="360" w:lineRule="auto"/>
        <w:ind w:firstLine="283" w:firstLineChars="135"/>
        <w:rPr>
          <w:rFonts w:ascii="宋体" w:hAnsi="宋体"/>
          <w:color w:val="auto"/>
          <w:lang w:eastAsia="zh-CN"/>
        </w:rPr>
      </w:pPr>
    </w:p>
    <w:p w14:paraId="023B4728">
      <w:pPr>
        <w:spacing w:line="360" w:lineRule="auto"/>
        <w:outlineLvl w:val="1"/>
        <w:rPr>
          <w:rFonts w:ascii="宋体" w:hAnsi="宋体"/>
          <w:b/>
          <w:bCs/>
          <w:color w:val="auto"/>
          <w:lang w:eastAsia="zh-CN"/>
        </w:rPr>
      </w:pPr>
      <w:r>
        <w:rPr>
          <w:rFonts w:hint="eastAsia" w:ascii="宋体" w:hAnsi="宋体"/>
          <w:b/>
          <w:bCs/>
          <w:color w:val="auto"/>
          <w:lang w:eastAsia="zh-CN"/>
        </w:rPr>
        <w:t>1.主要材料检测报告清单：</w:t>
      </w:r>
    </w:p>
    <w:p w14:paraId="79E335C6">
      <w:pPr>
        <w:spacing w:line="360" w:lineRule="auto"/>
        <w:ind w:firstLine="420"/>
        <w:rPr>
          <w:rFonts w:ascii="宋体" w:hAnsi="宋体"/>
          <w:color w:val="auto"/>
          <w:lang w:eastAsia="zh-CN"/>
        </w:rPr>
      </w:pPr>
      <w:r>
        <w:rPr>
          <w:rFonts w:hint="eastAsia" w:ascii="宋体" w:hAnsi="宋体"/>
          <w:color w:val="auto"/>
          <w:lang w:eastAsia="zh-CN"/>
        </w:rPr>
        <w:t>(1).饰面多层板：符合GB/T 15102、GB/T 35601、GB/T 39600要求，其中，静曲强度≥14Mpa，板面握螺钉力≥1400N、甲醛释放量≤0.05mg/m³。苯、甲苯、二甲苯均未检出，TVOC≤30μg/m³。</w:t>
      </w:r>
    </w:p>
    <w:p w14:paraId="06A38E19">
      <w:pPr>
        <w:spacing w:line="360" w:lineRule="auto"/>
        <w:ind w:firstLine="420"/>
        <w:rPr>
          <w:rFonts w:ascii="宋体" w:hAnsi="宋体"/>
          <w:color w:val="auto"/>
          <w:lang w:eastAsia="zh-CN"/>
        </w:rPr>
      </w:pPr>
      <w:r>
        <w:rPr>
          <w:rFonts w:hint="eastAsia" w:ascii="宋体" w:hAnsi="宋体"/>
          <w:color w:val="auto"/>
          <w:lang w:eastAsia="zh-CN"/>
        </w:rPr>
        <w:t>(2).封边条：符合QB/T4463-2013，可迁移元素(可溶性重金展)：铅(Pb)≤90mg/kg、镉（Cd）≤75mg/kg、铬Cr≤60mg/kg，汞(Hg)≤60mg/kg、砷(AS)≤25mg/kg、钡(Ba)≤1000mg/kg、锑(Sb)≤60mg/kg、硒(Se)≤500mg/kg，邻苯二甲酸酯DBP、BBP、DEHP、DNOP、DINP、DIDP)的总量≤0.1%要求。不含多溴联苯(PBB)及多溴联苯醚(PBDE)）</w:t>
      </w:r>
    </w:p>
    <w:p w14:paraId="2E1C7C55">
      <w:pPr>
        <w:spacing w:line="360" w:lineRule="auto"/>
        <w:ind w:firstLine="420"/>
        <w:rPr>
          <w:rFonts w:ascii="宋体" w:hAnsi="宋体"/>
          <w:color w:val="auto"/>
          <w:lang w:eastAsia="zh-CN"/>
        </w:rPr>
      </w:pPr>
      <w:r>
        <w:rPr>
          <w:rFonts w:hint="eastAsia" w:ascii="宋体" w:hAnsi="宋体"/>
          <w:color w:val="auto"/>
          <w:lang w:eastAsia="zh-CN"/>
        </w:rPr>
        <w:t>(3).环保封边胶：符合GB18583-2008《室内装饰装修材料胶粘剂中有害物质限量》总挥发性有机物≤100g/L。</w:t>
      </w:r>
    </w:p>
    <w:p w14:paraId="43F3454F">
      <w:pPr>
        <w:spacing w:line="360" w:lineRule="auto"/>
        <w:ind w:firstLine="420"/>
        <w:rPr>
          <w:rFonts w:ascii="宋体" w:hAnsi="宋体"/>
          <w:color w:val="auto"/>
          <w:lang w:eastAsia="zh-CN"/>
        </w:rPr>
      </w:pPr>
      <w:r>
        <w:rPr>
          <w:rFonts w:hint="eastAsia" w:ascii="宋体" w:hAnsi="宋体"/>
          <w:color w:val="auto"/>
          <w:lang w:eastAsia="zh-CN"/>
        </w:rPr>
        <w:t>(4).冷轧钢板：符合GB/T3325-2024《金属家具通用技术条件》 附着力：应不低于2级；硬度：≥2H 级；抗冲击强度达到：冲击高度 400mm 应无剥落、裂纹、皱纹；耐腐蚀性：100h内，观察在溶液中样板上划道两侧3mm以外，应无鼓泡产生，100h后，检查划道两侧3mm以外，应无锈迹、剥落、起皱、变色和失光等现象。</w:t>
      </w:r>
    </w:p>
    <w:p w14:paraId="3B2CA861">
      <w:pPr>
        <w:spacing w:line="360" w:lineRule="auto"/>
        <w:ind w:firstLine="420"/>
        <w:rPr>
          <w:rFonts w:ascii="宋体" w:hAnsi="宋体"/>
          <w:color w:val="auto"/>
          <w:lang w:eastAsia="zh-CN"/>
        </w:rPr>
      </w:pPr>
      <w:r>
        <w:rPr>
          <w:rFonts w:hint="eastAsia" w:ascii="宋体" w:hAnsi="宋体"/>
          <w:color w:val="auto"/>
          <w:lang w:eastAsia="zh-CN"/>
        </w:rPr>
        <w:t>(5).钢管：符合QB/T 3826-1999《轻工产品金属镀层和化学处理层的耐腐蚀试验方法中性盐雾试验(NSS)法》连续喷雾24H镀层基本保护等级达到8级及以上、耐腐蚀等级达到8级及以上。</w:t>
      </w:r>
    </w:p>
    <w:p w14:paraId="0F1A0744">
      <w:pPr>
        <w:spacing w:line="360" w:lineRule="auto"/>
        <w:ind w:firstLine="420"/>
        <w:rPr>
          <w:rFonts w:ascii="宋体" w:hAnsi="宋体"/>
          <w:color w:val="auto"/>
          <w:lang w:eastAsia="zh-CN"/>
        </w:rPr>
      </w:pPr>
      <w:r>
        <w:rPr>
          <w:rFonts w:hint="eastAsia" w:ascii="宋体" w:hAnsi="宋体"/>
          <w:color w:val="auto"/>
          <w:lang w:eastAsia="zh-CN"/>
        </w:rPr>
        <w:t>(6).顶盖：符合GB28481-2012《塑料家具中有害物质限量》重金属可溶性铅镉铬汞均≤5mg/kg ；多溴联苯≤6mg/kg，多溴二苯醚≤20mg/kg；多环芳烃（苯并【α】 芘≤0.6mg/kg，16种多环芳烃（PAH）总量≤3mg/kg）；邻苯二甲酸酯（DBP、BBP、DEHP、DNOP、DINP、DIDP）均未检出。</w:t>
      </w:r>
    </w:p>
    <w:p w14:paraId="59F90ECB">
      <w:pPr>
        <w:spacing w:line="360" w:lineRule="auto"/>
        <w:ind w:firstLine="420"/>
        <w:rPr>
          <w:rFonts w:ascii="宋体" w:hAnsi="宋体"/>
          <w:color w:val="auto"/>
          <w:lang w:eastAsia="zh-CN"/>
        </w:rPr>
      </w:pPr>
      <w:r>
        <w:rPr>
          <w:rFonts w:hint="eastAsia" w:ascii="宋体" w:hAnsi="宋体"/>
          <w:color w:val="auto"/>
          <w:lang w:eastAsia="zh-CN"/>
        </w:rPr>
        <w:t>(7).水性底漆：符合GB 18581-2020《木器涂料中有害物质限量》、HJ2537-2014《环境标准产品技术要求 水性涂料》，VOC含量≤13g/L；甲醛含量≤5mg/kg；乙二醇醚及醚酯总和含量≤14mg/kg；苯系物总和含量≤27mg/kg；烷基酚聚氧乙烯醚总和含量≤100mg/kg；总铅含量≤2mg/kg, 可溶性镉（Cd）≤0.25mg/kg、可溶性铬(Cr)≤2mg/kg、可溶性汞(Hg)≤0.04mg/kg。</w:t>
      </w:r>
    </w:p>
    <w:p w14:paraId="4BE2FCD7">
      <w:pPr>
        <w:spacing w:line="360" w:lineRule="auto"/>
        <w:ind w:firstLine="420"/>
        <w:rPr>
          <w:rFonts w:ascii="宋体" w:hAnsi="宋体"/>
          <w:color w:val="auto"/>
          <w:lang w:eastAsia="zh-CN"/>
        </w:rPr>
      </w:pPr>
      <w:r>
        <w:rPr>
          <w:rFonts w:hint="eastAsia" w:ascii="宋体" w:hAnsi="宋体"/>
          <w:color w:val="auto"/>
          <w:lang w:eastAsia="zh-CN"/>
        </w:rPr>
        <w:t>(8).三合一连接件：符合GB/T 28203-2011标准，其中三合一偏心连接件偏心体抗压强度≥280N，三合一偏心连接件预埋螺母抗拉强度应 ≥600N，三合一偏心连接件中连接螺杆螺纹与预埋螺母的抗拉强度应 ≥800N，三合一偏心连接件中偏心体与连接螺杆的扭矩≥10N·m。</w:t>
      </w:r>
    </w:p>
    <w:p w14:paraId="7C5ECE39">
      <w:pPr>
        <w:spacing w:line="360" w:lineRule="auto"/>
        <w:ind w:firstLine="420"/>
        <w:rPr>
          <w:rFonts w:ascii="微软雅黑" w:hAnsi="微软雅黑" w:eastAsia="微软雅黑"/>
          <w:color w:val="auto"/>
          <w:sz w:val="28"/>
          <w:szCs w:val="28"/>
          <w:lang w:eastAsia="zh-CN"/>
        </w:rPr>
      </w:pPr>
      <w:r>
        <w:rPr>
          <w:rFonts w:hint="eastAsia" w:ascii="宋体" w:hAnsi="宋体"/>
          <w:color w:val="auto"/>
          <w:lang w:eastAsia="zh-CN"/>
        </w:rPr>
        <w:t>(9).阻尼三节静音导轨：QB/T 2454-2013-过载要求：猛关或猛开；拉出安全性；耐腐蚀要求，</w:t>
      </w:r>
      <w:r>
        <w:rPr>
          <w:rFonts w:ascii="宋体" w:hAnsi="宋体"/>
          <w:color w:val="auto"/>
          <w:lang w:eastAsia="zh-CN"/>
        </w:rPr>
        <w:t>耐久性达到≥12万次的要求。</w:t>
      </w:r>
    </w:p>
    <w:p w14:paraId="71A25314">
      <w:pPr>
        <w:spacing w:line="360" w:lineRule="auto"/>
        <w:ind w:firstLine="420"/>
        <w:rPr>
          <w:rFonts w:hint="eastAsia" w:ascii="宋体" w:hAnsi="宋体"/>
          <w:color w:val="auto"/>
          <w:lang w:eastAsia="zh-CN"/>
        </w:rPr>
      </w:pPr>
      <w:r>
        <w:rPr>
          <w:rFonts w:hint="eastAsia" w:ascii="宋体" w:hAnsi="宋体"/>
          <w:color w:val="auto"/>
          <w:lang w:eastAsia="zh-CN"/>
        </w:rPr>
        <w:t>(10).铰链：符合QB/T2189-2013《家具五金杯状暗铰链》标准，耐久性≥12万次开合无损；符合垂直静载荷、水平静载荷、耐久性、下沉量的标准要求。</w:t>
      </w:r>
    </w:p>
    <w:p w14:paraId="16659578">
      <w:pPr>
        <w:spacing w:line="360" w:lineRule="auto"/>
        <w:ind w:firstLine="420"/>
        <w:rPr>
          <w:rFonts w:hint="eastAsia" w:ascii="宋体" w:hAnsi="宋体"/>
          <w:color w:val="auto"/>
          <w:lang w:eastAsia="zh-CN"/>
        </w:rPr>
      </w:pPr>
    </w:p>
    <w:p w14:paraId="19039E67">
      <w:pPr>
        <w:spacing w:line="360" w:lineRule="auto"/>
        <w:rPr>
          <w:rFonts w:hint="eastAsia" w:ascii="宋体" w:hAnsi="宋体" w:eastAsia="宋体" w:cs="宋体"/>
          <w:color w:val="auto"/>
          <w:sz w:val="21"/>
          <w:szCs w:val="21"/>
          <w:highlight w:val="none"/>
          <w:lang w:eastAsia="zh-CN"/>
        </w:rPr>
      </w:pPr>
      <w:r>
        <w:rPr>
          <w:rFonts w:hint="eastAsia" w:ascii="宋体" w:hAnsi="宋体"/>
          <w:b/>
          <w:bCs/>
          <w:color w:val="auto"/>
          <w:sz w:val="24"/>
          <w:lang w:val="en-US" w:eastAsia="zh-CN"/>
        </w:rPr>
        <w:t>备注：</w:t>
      </w:r>
      <w:r>
        <w:rPr>
          <w:rFonts w:hint="eastAsia" w:ascii="宋体" w:hAnsi="宋体" w:eastAsia="宋体" w:cs="宋体"/>
          <w:color w:val="auto"/>
          <w:sz w:val="21"/>
          <w:szCs w:val="21"/>
          <w:highlight w:val="none"/>
          <w:lang w:eastAsia="zh-CN"/>
        </w:rPr>
        <w:t>1、上述原材料要求如与“三、采购品目分类、参考样式、规格、基本组成、质量标准等要求”不一致，以上述要求为准，检测报告原件备查；</w:t>
      </w:r>
    </w:p>
    <w:p w14:paraId="0943AA0F">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2、针对不同叫法的同一原材料，其检测报告均予认可（如名称不一致，需注明需求中对应的原材料名称）。</w:t>
      </w:r>
    </w:p>
    <w:p w14:paraId="349624FA">
      <w:pPr>
        <w:spacing w:line="360" w:lineRule="auto"/>
        <w:ind w:firstLine="0"/>
        <w:rPr>
          <w:rFonts w:hint="eastAsia" w:ascii="宋体" w:hAnsi="宋体"/>
          <w:color w:val="auto"/>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color w:val="auto"/>
          <w:vertAlign w:val="baseline"/>
          <w:lang w:eastAsia="zh-CN"/>
        </w:rPr>
        <w:t>检测报告上的委托单位(受检单位) 名称必须与投标人或投标产品的生产厂家或原材料生产厂家一致。报告签发时间不早于 2024年 1 月 1日。投标人需提供承诺函，承诺货物生产过程中，拟投入的原材料不低于上述检测报告结果，未提供承诺函及相应检测报告者“主要原材料质量”不得分。</w:t>
      </w:r>
    </w:p>
    <w:p w14:paraId="085D27AF">
      <w:pPr>
        <w:spacing w:line="360" w:lineRule="auto"/>
        <w:rPr>
          <w:rFonts w:ascii="宋体" w:hAnsi="宋体"/>
          <w:color w:val="auto"/>
          <w:lang w:eastAsia="zh-CN"/>
        </w:rPr>
      </w:pPr>
    </w:p>
    <w:p w14:paraId="0E202E1B">
      <w:pPr>
        <w:spacing w:line="360" w:lineRule="auto"/>
        <w:rPr>
          <w:rFonts w:ascii="宋体" w:hAnsi="宋体" w:eastAsia="宋体" w:cs="宋体"/>
          <w:color w:val="auto"/>
          <w:lang w:eastAsia="zh-CN"/>
        </w:rPr>
      </w:pPr>
    </w:p>
    <w:p w14:paraId="6A454848">
      <w:pPr>
        <w:spacing w:line="360" w:lineRule="auto"/>
        <w:rPr>
          <w:rFonts w:ascii="宋体" w:hAnsi="宋体" w:eastAsia="宋体" w:cs="宋体"/>
          <w:color w:val="auto"/>
          <w:lang w:eastAsia="zh-CN"/>
        </w:rPr>
      </w:pPr>
    </w:p>
    <w:p w14:paraId="2BED8F42">
      <w:pPr>
        <w:spacing w:line="360" w:lineRule="auto"/>
        <w:rPr>
          <w:rFonts w:ascii="宋体" w:hAnsi="宋体" w:eastAsia="宋体" w:cs="宋体"/>
          <w:color w:val="auto"/>
          <w:lang w:eastAsia="zh-CN"/>
        </w:rPr>
      </w:pPr>
    </w:p>
    <w:p w14:paraId="56EA9C6B">
      <w:pPr>
        <w:spacing w:line="360" w:lineRule="auto"/>
        <w:rPr>
          <w:rFonts w:ascii="宋体" w:hAnsi="宋体" w:eastAsia="宋体" w:cs="宋体"/>
          <w:color w:val="auto"/>
          <w:lang w:eastAsia="zh-CN"/>
        </w:rPr>
      </w:pPr>
    </w:p>
    <w:p w14:paraId="66FC6014">
      <w:pPr>
        <w:spacing w:line="360" w:lineRule="auto"/>
        <w:rPr>
          <w:rFonts w:ascii="宋体" w:hAnsi="宋体" w:eastAsia="宋体" w:cs="宋体"/>
          <w:color w:val="auto"/>
          <w:lang w:eastAsia="zh-CN"/>
        </w:rPr>
      </w:pPr>
    </w:p>
    <w:p w14:paraId="72EA2FB2">
      <w:pPr>
        <w:spacing w:line="360" w:lineRule="auto"/>
        <w:rPr>
          <w:rFonts w:ascii="宋体" w:hAnsi="宋体" w:eastAsia="宋体" w:cs="宋体"/>
          <w:color w:val="auto"/>
          <w:lang w:eastAsia="zh-CN"/>
        </w:rPr>
      </w:pPr>
    </w:p>
    <w:p w14:paraId="44240B92">
      <w:pPr>
        <w:spacing w:line="360" w:lineRule="auto"/>
        <w:rPr>
          <w:rFonts w:ascii="宋体" w:hAnsi="宋体" w:eastAsia="宋体" w:cs="宋体"/>
          <w:color w:val="auto"/>
          <w:lang w:eastAsia="zh-CN"/>
        </w:rPr>
      </w:pPr>
    </w:p>
    <w:p w14:paraId="5E74E6D8">
      <w:pPr>
        <w:spacing w:line="360" w:lineRule="auto"/>
        <w:rPr>
          <w:rFonts w:ascii="宋体" w:hAnsi="宋体" w:eastAsia="宋体" w:cs="宋体"/>
          <w:color w:val="auto"/>
          <w:lang w:eastAsia="zh-CN"/>
        </w:rPr>
        <w:sectPr>
          <w:pgSz w:w="23810" w:h="16840"/>
          <w:pgMar w:top="400" w:right="3571" w:bottom="0" w:left="1495" w:header="0" w:footer="0" w:gutter="0"/>
          <w:cols w:space="720" w:num="1"/>
        </w:sectPr>
      </w:pPr>
    </w:p>
    <w:p w14:paraId="35261AD2">
      <w:pPr>
        <w:spacing w:before="130" w:line="360" w:lineRule="auto"/>
        <w:outlineLvl w:val="0"/>
        <w:rPr>
          <w:rFonts w:ascii="宋体" w:hAnsi="宋体" w:eastAsia="宋体" w:cs="宋体"/>
          <w:b/>
          <w:bCs/>
          <w:color w:val="auto"/>
          <w:lang w:eastAsia="zh-CN"/>
        </w:rPr>
      </w:pPr>
      <w:r>
        <w:rPr>
          <w:rFonts w:hint="eastAsia" w:ascii="宋体" w:hAnsi="宋体" w:eastAsia="宋体" w:cs="宋体"/>
          <w:b/>
          <w:bCs/>
          <w:color w:val="auto"/>
          <w:lang w:eastAsia="zh-CN"/>
        </w:rPr>
        <w:t>五、样品要求</w:t>
      </w:r>
    </w:p>
    <w:p w14:paraId="0FBAE5CA">
      <w:pPr>
        <w:pStyle w:val="6"/>
        <w:spacing w:line="360" w:lineRule="auto"/>
        <w:outlineLvl w:val="1"/>
        <w:rPr>
          <w:rFonts w:hAnsi="宋体"/>
          <w:color w:val="auto"/>
          <w:lang w:eastAsia="zh-CN"/>
        </w:rPr>
      </w:pPr>
      <w:r>
        <w:rPr>
          <w:rFonts w:hint="eastAsia" w:hAnsi="宋体"/>
          <w:color w:val="auto"/>
          <w:lang w:eastAsia="zh-CN"/>
        </w:rPr>
        <w:t>样品清单如下：</w:t>
      </w:r>
    </w:p>
    <w:p w14:paraId="3BCC911B">
      <w:pPr>
        <w:pStyle w:val="6"/>
        <w:spacing w:line="360" w:lineRule="auto"/>
        <w:outlineLvl w:val="1"/>
        <w:rPr>
          <w:rFonts w:hAnsi="宋体"/>
          <w:color w:val="auto"/>
          <w:lang w:eastAsia="zh-CN"/>
        </w:rPr>
      </w:pPr>
    </w:p>
    <w:tbl>
      <w:tblPr>
        <w:tblStyle w:val="10"/>
        <w:tblW w:w="18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4441"/>
        <w:gridCol w:w="8876"/>
        <w:gridCol w:w="4336"/>
      </w:tblGrid>
      <w:tr w14:paraId="346E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91" w:type="dxa"/>
          </w:tcPr>
          <w:p w14:paraId="0A5FB284">
            <w:pPr>
              <w:pStyle w:val="6"/>
              <w:spacing w:line="360" w:lineRule="auto"/>
              <w:jc w:val="center"/>
              <w:outlineLvl w:val="0"/>
              <w:rPr>
                <w:rFonts w:hAnsi="宋体"/>
                <w:color w:val="auto"/>
              </w:rPr>
            </w:pPr>
            <w:r>
              <w:rPr>
                <w:rFonts w:hint="eastAsia" w:hAnsi="宋体"/>
                <w:color w:val="auto"/>
              </w:rPr>
              <w:t>序号</w:t>
            </w:r>
          </w:p>
        </w:tc>
        <w:tc>
          <w:tcPr>
            <w:tcW w:w="4441" w:type="dxa"/>
          </w:tcPr>
          <w:p w14:paraId="753EAE40">
            <w:pPr>
              <w:pStyle w:val="6"/>
              <w:spacing w:line="360" w:lineRule="auto"/>
              <w:outlineLvl w:val="0"/>
              <w:rPr>
                <w:rFonts w:hAnsi="宋体"/>
                <w:color w:val="auto"/>
              </w:rPr>
            </w:pPr>
            <w:r>
              <w:rPr>
                <w:rFonts w:hint="eastAsia" w:hAnsi="宋体"/>
                <w:color w:val="auto"/>
              </w:rPr>
              <w:t>样品名称</w:t>
            </w:r>
          </w:p>
        </w:tc>
        <w:tc>
          <w:tcPr>
            <w:tcW w:w="8876" w:type="dxa"/>
          </w:tcPr>
          <w:p w14:paraId="32ED8D19">
            <w:pPr>
              <w:pStyle w:val="6"/>
              <w:spacing w:line="360" w:lineRule="auto"/>
              <w:outlineLvl w:val="0"/>
              <w:rPr>
                <w:rFonts w:hAnsi="宋体"/>
                <w:color w:val="auto"/>
              </w:rPr>
            </w:pPr>
            <w:r>
              <w:rPr>
                <w:rFonts w:hint="eastAsia" w:hAnsi="宋体"/>
                <w:color w:val="auto"/>
              </w:rPr>
              <w:t>规格尺寸</w:t>
            </w:r>
          </w:p>
        </w:tc>
        <w:tc>
          <w:tcPr>
            <w:tcW w:w="4336" w:type="dxa"/>
          </w:tcPr>
          <w:p w14:paraId="5C68AD9A">
            <w:pPr>
              <w:pStyle w:val="6"/>
              <w:spacing w:line="360" w:lineRule="auto"/>
              <w:outlineLvl w:val="0"/>
              <w:rPr>
                <w:rFonts w:hAnsi="宋体"/>
                <w:color w:val="auto"/>
              </w:rPr>
            </w:pPr>
            <w:r>
              <w:rPr>
                <w:rFonts w:hint="eastAsia" w:hAnsi="宋体"/>
                <w:color w:val="auto"/>
              </w:rPr>
              <w:t>样品数量</w:t>
            </w:r>
          </w:p>
        </w:tc>
      </w:tr>
      <w:tr w14:paraId="6079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1" w:type="dxa"/>
            <w:vAlign w:val="center"/>
          </w:tcPr>
          <w:p w14:paraId="7949DBDB">
            <w:pPr>
              <w:pStyle w:val="6"/>
              <w:spacing w:line="360" w:lineRule="auto"/>
              <w:jc w:val="center"/>
              <w:outlineLvl w:val="0"/>
              <w:rPr>
                <w:rFonts w:hAnsi="宋体"/>
                <w:color w:val="auto"/>
              </w:rPr>
            </w:pPr>
            <w:r>
              <w:rPr>
                <w:rFonts w:hint="eastAsia" w:hAnsi="宋体"/>
                <w:color w:val="auto"/>
              </w:rPr>
              <w:t>1</w:t>
            </w:r>
          </w:p>
        </w:tc>
        <w:tc>
          <w:tcPr>
            <w:tcW w:w="4441" w:type="dxa"/>
            <w:vAlign w:val="center"/>
          </w:tcPr>
          <w:p w14:paraId="4DA3B48B">
            <w:pPr>
              <w:pStyle w:val="6"/>
              <w:spacing w:line="360" w:lineRule="auto"/>
              <w:jc w:val="both"/>
              <w:outlineLvl w:val="0"/>
              <w:rPr>
                <w:rFonts w:hAnsi="宋体"/>
                <w:color w:val="auto"/>
                <w:lang w:eastAsia="zh-CN"/>
              </w:rPr>
            </w:pPr>
            <w:r>
              <w:rPr>
                <w:rFonts w:hint="eastAsia" w:hAnsi="宋体"/>
                <w:color w:val="auto"/>
                <w:lang w:eastAsia="zh-CN"/>
              </w:rPr>
              <w:t>采购清单中序号1：学生公寓床（含蚊帐架）</w:t>
            </w:r>
          </w:p>
        </w:tc>
        <w:tc>
          <w:tcPr>
            <w:tcW w:w="8876" w:type="dxa"/>
            <w:vAlign w:val="center"/>
          </w:tcPr>
          <w:p w14:paraId="71A88A05">
            <w:pPr>
              <w:pStyle w:val="6"/>
              <w:spacing w:line="360" w:lineRule="auto"/>
              <w:jc w:val="both"/>
              <w:outlineLvl w:val="0"/>
              <w:rPr>
                <w:rFonts w:hAnsi="宋体" w:eastAsia="宋体"/>
                <w:color w:val="auto"/>
                <w:lang w:eastAsia="zh-CN"/>
              </w:rPr>
            </w:pPr>
            <w:r>
              <w:rPr>
                <w:rFonts w:hint="eastAsia" w:hAnsi="宋体"/>
                <w:color w:val="auto"/>
                <w:lang w:eastAsia="zh-CN"/>
              </w:rPr>
              <w:t>2000</w:t>
            </w:r>
            <w:r>
              <w:rPr>
                <w:rFonts w:hint="eastAsia" w:hAnsi="宋体"/>
                <w:color w:val="auto"/>
              </w:rPr>
              <w:t>*900*2</w:t>
            </w:r>
            <w:r>
              <w:rPr>
                <w:rFonts w:hint="eastAsia" w:hAnsi="宋体"/>
                <w:color w:val="auto"/>
                <w:lang w:eastAsia="zh-CN"/>
              </w:rPr>
              <w:t>200</w:t>
            </w:r>
          </w:p>
        </w:tc>
        <w:tc>
          <w:tcPr>
            <w:tcW w:w="4336" w:type="dxa"/>
            <w:vAlign w:val="center"/>
          </w:tcPr>
          <w:p w14:paraId="1AEE5666">
            <w:pPr>
              <w:pStyle w:val="6"/>
              <w:spacing w:line="360" w:lineRule="auto"/>
              <w:jc w:val="both"/>
              <w:outlineLvl w:val="0"/>
              <w:rPr>
                <w:rFonts w:hAnsi="宋体"/>
                <w:color w:val="auto"/>
              </w:rPr>
            </w:pPr>
            <w:r>
              <w:rPr>
                <w:rFonts w:hint="eastAsia" w:hAnsi="宋体"/>
                <w:color w:val="auto"/>
              </w:rPr>
              <w:t>1套</w:t>
            </w:r>
          </w:p>
        </w:tc>
      </w:tr>
      <w:tr w14:paraId="485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Align w:val="center"/>
          </w:tcPr>
          <w:p w14:paraId="1A99AA86">
            <w:pPr>
              <w:pStyle w:val="6"/>
              <w:spacing w:line="360" w:lineRule="auto"/>
              <w:jc w:val="center"/>
              <w:outlineLvl w:val="0"/>
              <w:rPr>
                <w:rFonts w:hAnsi="宋体"/>
                <w:color w:val="auto"/>
              </w:rPr>
            </w:pPr>
            <w:r>
              <w:rPr>
                <w:rFonts w:hint="eastAsia" w:hAnsi="宋体"/>
                <w:color w:val="auto"/>
              </w:rPr>
              <w:t>2</w:t>
            </w:r>
          </w:p>
        </w:tc>
        <w:tc>
          <w:tcPr>
            <w:tcW w:w="4441" w:type="dxa"/>
            <w:vAlign w:val="center"/>
          </w:tcPr>
          <w:p w14:paraId="30743CA7">
            <w:pPr>
              <w:pStyle w:val="6"/>
              <w:spacing w:line="360" w:lineRule="auto"/>
              <w:jc w:val="both"/>
              <w:outlineLvl w:val="0"/>
              <w:rPr>
                <w:rFonts w:hAnsi="宋体"/>
                <w:color w:val="auto"/>
                <w:lang w:eastAsia="zh-CN"/>
              </w:rPr>
            </w:pPr>
            <w:r>
              <w:rPr>
                <w:rFonts w:hint="eastAsia" w:hAnsi="宋体"/>
                <w:color w:val="auto"/>
                <w:lang w:eastAsia="zh-CN"/>
              </w:rPr>
              <w:t>采购清单中序号3：椅子</w:t>
            </w:r>
          </w:p>
        </w:tc>
        <w:tc>
          <w:tcPr>
            <w:tcW w:w="8876" w:type="dxa"/>
            <w:vAlign w:val="center"/>
          </w:tcPr>
          <w:p w14:paraId="1BC5A396">
            <w:pPr>
              <w:pStyle w:val="6"/>
              <w:spacing w:line="360" w:lineRule="auto"/>
              <w:jc w:val="both"/>
              <w:outlineLvl w:val="0"/>
              <w:rPr>
                <w:rFonts w:hAnsi="宋体"/>
                <w:color w:val="auto"/>
              </w:rPr>
            </w:pPr>
            <w:r>
              <w:rPr>
                <w:rFonts w:hint="eastAsia" w:hAnsi="宋体"/>
                <w:color w:val="auto"/>
              </w:rPr>
              <w:t>430*450*865</w:t>
            </w:r>
          </w:p>
        </w:tc>
        <w:tc>
          <w:tcPr>
            <w:tcW w:w="4336" w:type="dxa"/>
            <w:vAlign w:val="center"/>
          </w:tcPr>
          <w:p w14:paraId="6FC65F06">
            <w:pPr>
              <w:pStyle w:val="6"/>
              <w:spacing w:line="360" w:lineRule="auto"/>
              <w:jc w:val="both"/>
              <w:outlineLvl w:val="0"/>
              <w:rPr>
                <w:rFonts w:hAnsi="宋体"/>
                <w:color w:val="auto"/>
              </w:rPr>
            </w:pPr>
            <w:r>
              <w:rPr>
                <w:rFonts w:hint="eastAsia" w:hAnsi="宋体"/>
                <w:color w:val="auto"/>
              </w:rPr>
              <w:t>1套</w:t>
            </w:r>
          </w:p>
        </w:tc>
      </w:tr>
    </w:tbl>
    <w:p w14:paraId="222F6B95">
      <w:pPr>
        <w:pStyle w:val="6"/>
        <w:spacing w:line="360" w:lineRule="auto"/>
        <w:rPr>
          <w:rFonts w:hAnsi="宋体"/>
          <w:color w:val="auto"/>
        </w:rPr>
      </w:pPr>
    </w:p>
    <w:p w14:paraId="4166186D">
      <w:pPr>
        <w:pStyle w:val="3"/>
        <w:spacing w:line="360" w:lineRule="auto"/>
        <w:ind w:firstLine="420" w:firstLineChars="200"/>
        <w:rPr>
          <w:rFonts w:ascii="宋体" w:hAnsi="宋体" w:cs="宋体"/>
          <w:color w:val="auto"/>
          <w:lang w:eastAsia="zh-CN"/>
        </w:rPr>
      </w:pPr>
      <w:r>
        <w:rPr>
          <w:rFonts w:hint="eastAsia" w:ascii="宋体" w:hAnsi="宋体" w:cs="宋体"/>
          <w:color w:val="auto"/>
          <w:lang w:eastAsia="zh-CN"/>
        </w:rPr>
        <w:t>样品材质、工艺、外观、力学性能等需与甲方要求一致，打样费已包括在全部费用里。评标结束后中标单位样品由采购人封存留样，其余样品退回。</w:t>
      </w:r>
    </w:p>
    <w:p w14:paraId="6A416848">
      <w:pPr>
        <w:adjustRightInd w:val="0"/>
        <w:snapToGrid w:val="0"/>
        <w:spacing w:line="360" w:lineRule="auto"/>
        <w:ind w:firstLine="420" w:firstLineChars="200"/>
        <w:rPr>
          <w:rFonts w:ascii="宋体" w:hAnsi="宋体"/>
          <w:szCs w:val="21"/>
        </w:rPr>
      </w:pPr>
      <w:r>
        <w:rPr>
          <w:rFonts w:hint="eastAsia" w:ascii="宋体" w:hAnsi="宋体"/>
          <w:szCs w:val="21"/>
        </w:rPr>
        <w:t xml:space="preserve">投标实样送达地点： </w:t>
      </w:r>
      <w:r>
        <w:rPr>
          <w:rFonts w:hint="eastAsia" w:ascii="宋体" w:hAnsi="宋体"/>
          <w:szCs w:val="21"/>
          <w:lang w:val="en-US" w:eastAsia="zh-CN"/>
        </w:rPr>
        <w:t>上海嘉定区嘉行公路851号行政楼</w:t>
      </w:r>
      <w:r>
        <w:rPr>
          <w:rFonts w:hint="eastAsia" w:ascii="宋体" w:hAnsi="宋体"/>
          <w:szCs w:val="21"/>
        </w:rPr>
        <w:t>，联系人：</w:t>
      </w:r>
      <w:r>
        <w:rPr>
          <w:rFonts w:hint="eastAsia" w:ascii="宋体" w:hAnsi="宋体"/>
          <w:szCs w:val="21"/>
          <w:lang w:val="en-US" w:eastAsia="zh-CN"/>
        </w:rPr>
        <w:t>朱老师</w:t>
      </w:r>
      <w:r>
        <w:rPr>
          <w:rFonts w:hint="eastAsia" w:ascii="宋体" w:hAnsi="宋体"/>
          <w:szCs w:val="21"/>
        </w:rPr>
        <w:t xml:space="preserve">，联系电话： </w:t>
      </w:r>
      <w:r>
        <w:rPr>
          <w:rFonts w:hint="eastAsia" w:ascii="宋体" w:hAnsi="宋体"/>
          <w:szCs w:val="21"/>
          <w:lang w:val="en-US" w:eastAsia="zh-CN"/>
        </w:rPr>
        <w:t>18017126415</w:t>
      </w:r>
      <w:r>
        <w:rPr>
          <w:rFonts w:hint="eastAsia" w:ascii="宋体" w:hAnsi="宋体"/>
          <w:szCs w:val="21"/>
        </w:rPr>
        <w:t xml:space="preserve"> 。</w:t>
      </w:r>
      <w:r>
        <w:rPr>
          <w:rFonts w:hint="eastAsia" w:ascii="宋体" w:hAnsi="宋体"/>
          <w:szCs w:val="21"/>
          <w:lang w:val="en-US" w:eastAsia="zh-CN"/>
        </w:rPr>
        <w:t>投标实样送达时间：2025年7月7日-2025年7月9日，上午9点-下午4点，搭样截止时间：2025年7月9日下午4点</w:t>
      </w:r>
      <w:r>
        <w:rPr>
          <w:rFonts w:hint="eastAsia" w:ascii="宋体" w:hAnsi="宋体"/>
          <w:szCs w:val="21"/>
        </w:rPr>
        <w:t>。</w:t>
      </w:r>
    </w:p>
    <w:p w14:paraId="1ECB0D39">
      <w:pPr>
        <w:pStyle w:val="6"/>
        <w:spacing w:line="360" w:lineRule="auto"/>
        <w:ind w:firstLine="420" w:firstLineChars="200"/>
        <w:outlineLvl w:val="0"/>
        <w:rPr>
          <w:rFonts w:hAnsi="宋体" w:cs="宋体"/>
          <w:color w:val="auto"/>
          <w:lang w:eastAsia="zh-CN"/>
        </w:rPr>
      </w:pPr>
    </w:p>
    <w:p w14:paraId="5101F048">
      <w:pPr>
        <w:pStyle w:val="6"/>
        <w:spacing w:line="360" w:lineRule="auto"/>
        <w:ind w:firstLine="420" w:firstLineChars="200"/>
        <w:rPr>
          <w:rFonts w:hAnsi="宋体" w:cs="宋体"/>
          <w:color w:val="auto"/>
          <w:highlight w:val="yellow"/>
          <w:lang w:eastAsia="zh-CN"/>
        </w:rPr>
      </w:pPr>
    </w:p>
    <w:p w14:paraId="0C334937">
      <w:pPr>
        <w:pStyle w:val="4"/>
        <w:spacing w:before="120" w:line="360" w:lineRule="auto"/>
        <w:outlineLvl w:val="0"/>
        <w:rPr>
          <w:color w:val="auto"/>
          <w:sz w:val="21"/>
          <w:szCs w:val="21"/>
          <w:lang w:eastAsia="zh-CN"/>
        </w:rPr>
      </w:pPr>
      <w:r>
        <w:rPr>
          <w:b/>
          <w:bCs/>
          <w:color w:val="auto"/>
          <w:spacing w:val="-4"/>
          <w:sz w:val="21"/>
          <w:szCs w:val="21"/>
          <w:lang w:eastAsia="zh-CN"/>
        </w:rPr>
        <w:t>六</w:t>
      </w:r>
      <w:r>
        <w:rPr>
          <w:rFonts w:hint="eastAsia"/>
          <w:b/>
          <w:bCs/>
          <w:color w:val="auto"/>
          <w:spacing w:val="-4"/>
          <w:sz w:val="21"/>
          <w:szCs w:val="21"/>
          <w:lang w:eastAsia="zh-CN"/>
        </w:rPr>
        <w:t>、供货及验收</w:t>
      </w:r>
    </w:p>
    <w:p w14:paraId="4DC6EE1A">
      <w:pPr>
        <w:spacing w:line="360" w:lineRule="auto"/>
        <w:rPr>
          <w:rFonts w:ascii="宋体" w:hAnsi="宋体" w:eastAsia="宋体" w:cs="宋体"/>
          <w:color w:val="auto"/>
          <w:lang w:eastAsia="zh-CN"/>
        </w:rPr>
      </w:pPr>
    </w:p>
    <w:tbl>
      <w:tblPr>
        <w:tblStyle w:val="13"/>
        <w:tblW w:w="1864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703"/>
      </w:tblGrid>
      <w:tr w14:paraId="5A648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4" w:hRule="atLeast"/>
        </w:trPr>
        <w:tc>
          <w:tcPr>
            <w:tcW w:w="3943" w:type="dxa"/>
          </w:tcPr>
          <w:p w14:paraId="23AB0DE6">
            <w:pPr>
              <w:pStyle w:val="12"/>
              <w:spacing w:before="190" w:line="360" w:lineRule="auto"/>
              <w:jc w:val="center"/>
              <w:rPr>
                <w:b/>
                <w:bCs/>
                <w:color w:val="auto"/>
                <w:sz w:val="21"/>
                <w:szCs w:val="21"/>
              </w:rPr>
            </w:pPr>
            <w:r>
              <w:rPr>
                <w:rFonts w:hint="eastAsia"/>
                <w:b/>
                <w:bCs/>
                <w:color w:val="auto"/>
                <w:spacing w:val="-10"/>
                <w:sz w:val="21"/>
                <w:szCs w:val="21"/>
              </w:rPr>
              <w:t>分类</w:t>
            </w:r>
          </w:p>
        </w:tc>
        <w:tc>
          <w:tcPr>
            <w:tcW w:w="14703" w:type="dxa"/>
          </w:tcPr>
          <w:p w14:paraId="5337B16D">
            <w:pPr>
              <w:pStyle w:val="12"/>
              <w:spacing w:before="190" w:line="360" w:lineRule="auto"/>
              <w:ind w:left="5471"/>
              <w:rPr>
                <w:b/>
                <w:bCs/>
                <w:color w:val="auto"/>
                <w:sz w:val="21"/>
                <w:szCs w:val="21"/>
              </w:rPr>
            </w:pPr>
            <w:r>
              <w:rPr>
                <w:rFonts w:hint="eastAsia"/>
                <w:b/>
                <w:bCs/>
                <w:color w:val="auto"/>
                <w:spacing w:val="-30"/>
                <w:sz w:val="21"/>
                <w:szCs w:val="21"/>
              </w:rPr>
              <w:t>内</w:t>
            </w:r>
            <w:r>
              <w:rPr>
                <w:rFonts w:hint="eastAsia"/>
                <w:b/>
                <w:bCs/>
                <w:color w:val="auto"/>
                <w:spacing w:val="-30"/>
                <w:sz w:val="21"/>
                <w:szCs w:val="21"/>
                <w:lang w:eastAsia="zh-CN"/>
              </w:rPr>
              <w:t xml:space="preserve">  </w:t>
            </w:r>
            <w:r>
              <w:rPr>
                <w:rFonts w:hint="eastAsia"/>
                <w:b/>
                <w:bCs/>
                <w:color w:val="auto"/>
                <w:spacing w:val="-30"/>
                <w:sz w:val="21"/>
                <w:szCs w:val="21"/>
              </w:rPr>
              <w:t>容</w:t>
            </w:r>
          </w:p>
        </w:tc>
      </w:tr>
      <w:tr w14:paraId="33310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3943" w:type="dxa"/>
          </w:tcPr>
          <w:p w14:paraId="0CC28D45">
            <w:pPr>
              <w:pStyle w:val="12"/>
              <w:spacing w:before="120" w:line="360" w:lineRule="auto"/>
              <w:jc w:val="center"/>
              <w:rPr>
                <w:color w:val="auto"/>
                <w:spacing w:val="4"/>
                <w:sz w:val="21"/>
                <w:szCs w:val="21"/>
              </w:rPr>
            </w:pPr>
          </w:p>
          <w:p w14:paraId="13A8F717">
            <w:pPr>
              <w:pStyle w:val="12"/>
              <w:spacing w:before="120" w:line="360" w:lineRule="auto"/>
              <w:jc w:val="center"/>
              <w:rPr>
                <w:color w:val="auto"/>
                <w:sz w:val="21"/>
                <w:szCs w:val="21"/>
              </w:rPr>
            </w:pPr>
            <w:r>
              <w:rPr>
                <w:rFonts w:hint="eastAsia"/>
                <w:color w:val="auto"/>
                <w:spacing w:val="4"/>
                <w:sz w:val="21"/>
                <w:szCs w:val="21"/>
              </w:rPr>
              <w:t>供货要求</w:t>
            </w:r>
          </w:p>
        </w:tc>
        <w:tc>
          <w:tcPr>
            <w:tcW w:w="14703" w:type="dxa"/>
          </w:tcPr>
          <w:p w14:paraId="4216600D">
            <w:pPr>
              <w:pStyle w:val="12"/>
              <w:spacing w:before="191" w:line="360" w:lineRule="auto"/>
              <w:ind w:left="152" w:right="180" w:hanging="10"/>
              <w:rPr>
                <w:color w:val="auto"/>
                <w:sz w:val="21"/>
                <w:szCs w:val="21"/>
                <w:lang w:eastAsia="zh-CN"/>
              </w:rPr>
            </w:pPr>
            <w:r>
              <w:rPr>
                <w:rFonts w:hint="eastAsia"/>
                <w:color w:val="auto"/>
                <w:sz w:val="21"/>
                <w:szCs w:val="21"/>
                <w:lang w:eastAsia="zh-CN"/>
              </w:rPr>
              <w:t>供应商应当在合同签订后_40_个自然日内供货及安装完毕（具体供货时间由甲方通知）。供应商</w:t>
            </w:r>
            <w:r>
              <w:rPr>
                <w:rFonts w:hint="eastAsia"/>
                <w:color w:val="auto"/>
                <w:spacing w:val="6"/>
                <w:sz w:val="21"/>
                <w:szCs w:val="21"/>
                <w:lang w:eastAsia="zh-CN"/>
              </w:rPr>
              <w:t>所提供的货物应符合国家相关质量标准；货物名称、型号规格、数</w:t>
            </w:r>
            <w:r>
              <w:rPr>
                <w:rFonts w:hint="eastAsia"/>
                <w:color w:val="auto"/>
                <w:spacing w:val="5"/>
                <w:sz w:val="21"/>
                <w:szCs w:val="21"/>
                <w:lang w:eastAsia="zh-CN"/>
              </w:rPr>
              <w:t>量、</w:t>
            </w:r>
            <w:r>
              <w:rPr>
                <w:rFonts w:hint="eastAsia"/>
                <w:color w:val="auto"/>
                <w:spacing w:val="-1"/>
                <w:sz w:val="21"/>
                <w:szCs w:val="21"/>
                <w:lang w:eastAsia="zh-CN"/>
              </w:rPr>
              <w:t>颜色、外观等符合采购人要求，不得有损毁或损坏。</w:t>
            </w:r>
          </w:p>
        </w:tc>
      </w:tr>
      <w:tr w14:paraId="30742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943" w:type="dxa"/>
          </w:tcPr>
          <w:p w14:paraId="23B9DE52">
            <w:pPr>
              <w:pStyle w:val="12"/>
              <w:spacing w:before="201" w:line="360" w:lineRule="auto"/>
              <w:ind w:left="1225"/>
              <w:jc w:val="center"/>
              <w:rPr>
                <w:color w:val="auto"/>
                <w:spacing w:val="4"/>
                <w:sz w:val="21"/>
                <w:szCs w:val="21"/>
                <w:lang w:eastAsia="zh-CN"/>
              </w:rPr>
            </w:pPr>
          </w:p>
          <w:p w14:paraId="342A8A65">
            <w:pPr>
              <w:pStyle w:val="12"/>
              <w:spacing w:before="201" w:line="360" w:lineRule="auto"/>
              <w:jc w:val="center"/>
              <w:rPr>
                <w:color w:val="auto"/>
                <w:sz w:val="21"/>
                <w:szCs w:val="21"/>
              </w:rPr>
            </w:pPr>
            <w:r>
              <w:rPr>
                <w:rFonts w:hint="eastAsia"/>
                <w:color w:val="auto"/>
                <w:spacing w:val="4"/>
                <w:sz w:val="21"/>
                <w:szCs w:val="21"/>
              </w:rPr>
              <w:t>包装要求</w:t>
            </w:r>
          </w:p>
        </w:tc>
        <w:tc>
          <w:tcPr>
            <w:tcW w:w="14703" w:type="dxa"/>
          </w:tcPr>
          <w:p w14:paraId="1C610539">
            <w:pPr>
              <w:pStyle w:val="12"/>
              <w:spacing w:before="191" w:line="360" w:lineRule="auto"/>
              <w:ind w:left="152" w:right="180" w:hanging="10"/>
              <w:rPr>
                <w:color w:val="auto"/>
                <w:sz w:val="21"/>
                <w:szCs w:val="21"/>
                <w:lang w:eastAsia="zh-CN"/>
              </w:rPr>
            </w:pPr>
            <w:r>
              <w:rPr>
                <w:rFonts w:hint="eastAsia"/>
                <w:color w:val="auto"/>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7B08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4" w:hRule="atLeast"/>
        </w:trPr>
        <w:tc>
          <w:tcPr>
            <w:tcW w:w="3943" w:type="dxa"/>
          </w:tcPr>
          <w:p w14:paraId="441915D0">
            <w:pPr>
              <w:pStyle w:val="12"/>
              <w:spacing w:before="185" w:line="360" w:lineRule="auto"/>
              <w:jc w:val="center"/>
              <w:rPr>
                <w:color w:val="auto"/>
                <w:sz w:val="21"/>
                <w:szCs w:val="21"/>
              </w:rPr>
            </w:pPr>
            <w:r>
              <w:rPr>
                <w:rFonts w:hint="eastAsia"/>
                <w:color w:val="auto"/>
                <w:spacing w:val="4"/>
                <w:sz w:val="21"/>
                <w:szCs w:val="21"/>
              </w:rPr>
              <w:t>验收要求</w:t>
            </w:r>
          </w:p>
        </w:tc>
        <w:tc>
          <w:tcPr>
            <w:tcW w:w="14703" w:type="dxa"/>
          </w:tcPr>
          <w:p w14:paraId="751618EE">
            <w:pPr>
              <w:pStyle w:val="12"/>
              <w:spacing w:before="182" w:line="360" w:lineRule="auto"/>
              <w:ind w:left="152"/>
              <w:rPr>
                <w:color w:val="auto"/>
                <w:sz w:val="21"/>
                <w:szCs w:val="21"/>
                <w:lang w:eastAsia="zh-CN"/>
              </w:rPr>
            </w:pPr>
            <w:r>
              <w:rPr>
                <w:rFonts w:hint="eastAsia"/>
                <w:color w:val="auto"/>
                <w:sz w:val="21"/>
                <w:szCs w:val="21"/>
                <w:lang w:eastAsia="zh-CN"/>
              </w:rPr>
              <w:t>学生公寓家具安装、调试后，由供需双方按照合同约定对</w:t>
            </w:r>
            <w:r>
              <w:rPr>
                <w:rFonts w:hint="eastAsia"/>
                <w:color w:val="auto"/>
                <w:spacing w:val="-1"/>
                <w:sz w:val="21"/>
                <w:szCs w:val="21"/>
                <w:lang w:eastAsia="zh-CN"/>
              </w:rPr>
              <w:t>家具进行验收。</w:t>
            </w:r>
            <w:r>
              <w:rPr>
                <w:rFonts w:hint="eastAsia"/>
                <w:color w:val="auto"/>
                <w:sz w:val="21"/>
                <w:szCs w:val="21"/>
                <w:lang w:eastAsia="zh-CN"/>
              </w:rPr>
              <w:t>验收包括清点规格、型号、数量、检查外观等，供应商应当提供家具清单(各</w:t>
            </w:r>
            <w:r>
              <w:rPr>
                <w:rFonts w:hint="eastAsia"/>
                <w:color w:val="auto"/>
                <w:spacing w:val="1"/>
                <w:sz w:val="21"/>
                <w:szCs w:val="21"/>
                <w:lang w:eastAsia="zh-CN"/>
              </w:rPr>
              <w:t>类家具分项开立并标注详细数量)、原产地证明</w:t>
            </w:r>
            <w:r>
              <w:rPr>
                <w:rFonts w:hint="eastAsia"/>
                <w:color w:val="auto"/>
                <w:sz w:val="21"/>
                <w:szCs w:val="21"/>
                <w:lang w:eastAsia="zh-CN"/>
              </w:rPr>
              <w:t>、出厂日期证明</w:t>
            </w:r>
            <w:r>
              <w:rPr>
                <w:rFonts w:hint="eastAsia"/>
                <w:color w:val="auto"/>
                <w:spacing w:val="-1"/>
                <w:sz w:val="21"/>
                <w:szCs w:val="21"/>
                <w:lang w:eastAsia="zh-CN"/>
              </w:rPr>
              <w:t>、测试报告等文件。</w:t>
            </w:r>
          </w:p>
        </w:tc>
      </w:tr>
      <w:tr w14:paraId="62DA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4" w:hRule="atLeast"/>
        </w:trPr>
        <w:tc>
          <w:tcPr>
            <w:tcW w:w="3943" w:type="dxa"/>
          </w:tcPr>
          <w:p w14:paraId="1551076A">
            <w:pPr>
              <w:pStyle w:val="12"/>
              <w:spacing w:before="185" w:line="360" w:lineRule="auto"/>
              <w:jc w:val="center"/>
              <w:rPr>
                <w:color w:val="auto"/>
                <w:spacing w:val="4"/>
                <w:sz w:val="21"/>
                <w:szCs w:val="21"/>
              </w:rPr>
            </w:pPr>
            <w:r>
              <w:rPr>
                <w:rFonts w:hint="eastAsia"/>
                <w:color w:val="auto"/>
                <w:spacing w:val="4"/>
                <w:sz w:val="21"/>
                <w:szCs w:val="21"/>
              </w:rPr>
              <w:t>检测要求</w:t>
            </w:r>
          </w:p>
        </w:tc>
        <w:tc>
          <w:tcPr>
            <w:tcW w:w="14703" w:type="dxa"/>
          </w:tcPr>
          <w:p w14:paraId="44EBF00B">
            <w:pPr>
              <w:pStyle w:val="12"/>
              <w:spacing w:before="182" w:line="360" w:lineRule="auto"/>
              <w:ind w:left="152"/>
              <w:rPr>
                <w:color w:val="auto"/>
                <w:sz w:val="21"/>
                <w:szCs w:val="21"/>
                <w:lang w:eastAsia="zh-CN"/>
              </w:rPr>
            </w:pPr>
            <w:r>
              <w:rPr>
                <w:rFonts w:hint="eastAsia"/>
                <w:color w:val="auto"/>
                <w:sz w:val="21"/>
                <w:szCs w:val="21"/>
                <w:lang w:eastAsia="zh-CN"/>
              </w:rPr>
              <w:t>正式验收前，采购人将委托第三方机构对家具进行质量和环保相关检测，检验不合格不予验收，且该检验费用由供应商承担。</w:t>
            </w:r>
          </w:p>
        </w:tc>
      </w:tr>
    </w:tbl>
    <w:p w14:paraId="6B26A8DF">
      <w:pPr>
        <w:spacing w:line="360" w:lineRule="auto"/>
        <w:rPr>
          <w:rFonts w:ascii="宋体" w:hAnsi="宋体" w:eastAsia="宋体" w:cs="宋体"/>
          <w:color w:val="auto"/>
          <w:lang w:eastAsia="zh-CN"/>
        </w:rPr>
        <w:sectPr>
          <w:pgSz w:w="23810" w:h="16840"/>
          <w:pgMar w:top="400" w:right="3571" w:bottom="0" w:left="1505" w:header="0" w:footer="0" w:gutter="0"/>
          <w:cols w:space="720" w:num="1"/>
        </w:sectPr>
      </w:pPr>
    </w:p>
    <w:p w14:paraId="5EA885A9">
      <w:pPr>
        <w:spacing w:before="42" w:line="360" w:lineRule="auto"/>
        <w:rPr>
          <w:rFonts w:ascii="宋体" w:hAnsi="宋体" w:eastAsia="宋体" w:cs="宋体"/>
          <w:color w:val="auto"/>
          <w:lang w:eastAsia="zh-CN"/>
        </w:rPr>
      </w:pPr>
    </w:p>
    <w:p w14:paraId="5619B9F4">
      <w:pPr>
        <w:pStyle w:val="4"/>
        <w:spacing w:before="120" w:line="360" w:lineRule="auto"/>
        <w:rPr>
          <w:color w:val="auto"/>
          <w:sz w:val="21"/>
          <w:szCs w:val="21"/>
          <w:lang w:eastAsia="zh-CN"/>
        </w:rPr>
      </w:pPr>
      <w:r>
        <w:rPr>
          <w:b/>
          <w:bCs/>
          <w:color w:val="auto"/>
          <w:spacing w:val="-3"/>
          <w:sz w:val="21"/>
          <w:szCs w:val="21"/>
          <w:lang w:eastAsia="zh-CN"/>
        </w:rPr>
        <w:t>七</w:t>
      </w:r>
      <w:r>
        <w:rPr>
          <w:rFonts w:hint="eastAsia"/>
          <w:b/>
          <w:bCs/>
          <w:color w:val="auto"/>
          <w:spacing w:val="-3"/>
          <w:sz w:val="21"/>
          <w:szCs w:val="21"/>
          <w:lang w:eastAsia="zh-CN"/>
        </w:rPr>
        <w:t>、服务要求</w:t>
      </w:r>
    </w:p>
    <w:p w14:paraId="663F3093">
      <w:pPr>
        <w:spacing w:line="360" w:lineRule="auto"/>
        <w:rPr>
          <w:rFonts w:ascii="宋体" w:hAnsi="宋体" w:eastAsia="宋体" w:cs="宋体"/>
          <w:color w:val="auto"/>
          <w:lang w:eastAsia="zh-CN"/>
        </w:rPr>
      </w:pPr>
    </w:p>
    <w:tbl>
      <w:tblPr>
        <w:tblStyle w:val="13"/>
        <w:tblW w:w="186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668"/>
      </w:tblGrid>
      <w:tr w14:paraId="6DC65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4EC352EE">
            <w:pPr>
              <w:pStyle w:val="12"/>
              <w:spacing w:before="180" w:line="360" w:lineRule="auto"/>
              <w:jc w:val="center"/>
              <w:rPr>
                <w:b/>
                <w:bCs/>
                <w:color w:val="auto"/>
                <w:sz w:val="21"/>
                <w:szCs w:val="21"/>
              </w:rPr>
            </w:pPr>
            <w:r>
              <w:rPr>
                <w:rFonts w:hint="eastAsia"/>
                <w:b/>
                <w:bCs/>
                <w:color w:val="auto"/>
                <w:spacing w:val="-10"/>
                <w:sz w:val="21"/>
                <w:szCs w:val="21"/>
              </w:rPr>
              <w:t>分类</w:t>
            </w:r>
          </w:p>
        </w:tc>
        <w:tc>
          <w:tcPr>
            <w:tcW w:w="14668" w:type="dxa"/>
          </w:tcPr>
          <w:p w14:paraId="652C8B46">
            <w:pPr>
              <w:pStyle w:val="12"/>
              <w:spacing w:before="180" w:line="360" w:lineRule="auto"/>
              <w:ind w:left="5431"/>
              <w:rPr>
                <w:b/>
                <w:bCs/>
                <w:color w:val="auto"/>
                <w:sz w:val="21"/>
                <w:szCs w:val="21"/>
              </w:rPr>
            </w:pPr>
            <w:r>
              <w:rPr>
                <w:rFonts w:hint="eastAsia"/>
                <w:b/>
                <w:bCs/>
                <w:color w:val="auto"/>
                <w:spacing w:val="-29"/>
                <w:sz w:val="21"/>
                <w:szCs w:val="21"/>
              </w:rPr>
              <w:t>内</w:t>
            </w:r>
            <w:r>
              <w:rPr>
                <w:rFonts w:hint="eastAsia"/>
                <w:b/>
                <w:bCs/>
                <w:color w:val="auto"/>
                <w:spacing w:val="-29"/>
                <w:sz w:val="21"/>
                <w:szCs w:val="21"/>
                <w:lang w:eastAsia="zh-CN"/>
              </w:rPr>
              <w:t xml:space="preserve">  </w:t>
            </w:r>
            <w:r>
              <w:rPr>
                <w:rFonts w:hint="eastAsia"/>
                <w:b/>
                <w:bCs/>
                <w:color w:val="auto"/>
                <w:spacing w:val="-29"/>
                <w:sz w:val="21"/>
                <w:szCs w:val="21"/>
              </w:rPr>
              <w:t>容</w:t>
            </w:r>
          </w:p>
        </w:tc>
      </w:tr>
      <w:tr w14:paraId="21ADE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3943" w:type="dxa"/>
            <w:vAlign w:val="center"/>
          </w:tcPr>
          <w:p w14:paraId="1130A18B">
            <w:pPr>
              <w:pStyle w:val="12"/>
              <w:spacing w:before="182" w:line="360" w:lineRule="auto"/>
              <w:jc w:val="center"/>
              <w:rPr>
                <w:color w:val="auto"/>
                <w:sz w:val="21"/>
                <w:szCs w:val="21"/>
              </w:rPr>
            </w:pPr>
            <w:r>
              <w:rPr>
                <w:rFonts w:hint="eastAsia"/>
                <w:color w:val="auto"/>
                <w:sz w:val="21"/>
                <w:szCs w:val="21"/>
                <w:lang w:eastAsia="zh-CN"/>
              </w:rPr>
              <w:t>保修服务</w:t>
            </w:r>
          </w:p>
        </w:tc>
        <w:tc>
          <w:tcPr>
            <w:tcW w:w="14668" w:type="dxa"/>
          </w:tcPr>
          <w:p w14:paraId="5C3FA234">
            <w:pPr>
              <w:pStyle w:val="12"/>
              <w:spacing w:before="182" w:line="360" w:lineRule="auto"/>
              <w:ind w:left="152"/>
              <w:rPr>
                <w:color w:val="auto"/>
                <w:sz w:val="21"/>
                <w:szCs w:val="21"/>
                <w:lang w:eastAsia="zh-CN"/>
              </w:rPr>
            </w:pPr>
            <w:r>
              <w:rPr>
                <w:rFonts w:hint="eastAsia"/>
                <w:color w:val="auto"/>
                <w:sz w:val="21"/>
                <w:szCs w:val="21"/>
                <w:lang w:eastAsia="zh-CN"/>
              </w:rPr>
              <w:t>学生公寓家具免费质保期应当不低于10年。免费质保期内，除因使用不当造成家具损坏外，损坏维修以及所涉及的零部件更换，应当由供应商免费提供，供应商应当承诺每年寒暑假对所供学生公寓家具各进行至少1次巡检。免费质保期满后，供应商保证以优惠价格提供学生公寓家具所需零配件和维修服务。</w:t>
            </w:r>
          </w:p>
        </w:tc>
      </w:tr>
      <w:tr w14:paraId="4BB32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3174626">
            <w:pPr>
              <w:pStyle w:val="12"/>
              <w:spacing w:before="203" w:line="360" w:lineRule="auto"/>
              <w:jc w:val="center"/>
              <w:rPr>
                <w:color w:val="auto"/>
                <w:sz w:val="21"/>
                <w:szCs w:val="21"/>
              </w:rPr>
            </w:pPr>
            <w:r>
              <w:rPr>
                <w:rFonts w:hint="eastAsia"/>
                <w:color w:val="auto"/>
                <w:spacing w:val="7"/>
                <w:sz w:val="21"/>
                <w:szCs w:val="21"/>
              </w:rPr>
              <w:t>应急能力</w:t>
            </w:r>
          </w:p>
        </w:tc>
        <w:tc>
          <w:tcPr>
            <w:tcW w:w="14668" w:type="dxa"/>
            <w:vAlign w:val="center"/>
          </w:tcPr>
          <w:p w14:paraId="6A64FBBF">
            <w:pPr>
              <w:pStyle w:val="12"/>
              <w:spacing w:before="182" w:line="360" w:lineRule="auto"/>
              <w:ind w:left="152"/>
              <w:rPr>
                <w:color w:val="auto"/>
                <w:sz w:val="21"/>
                <w:szCs w:val="21"/>
                <w:lang w:eastAsia="zh-CN"/>
              </w:rPr>
            </w:pPr>
            <w:r>
              <w:rPr>
                <w:rFonts w:hint="eastAsia"/>
                <w:color w:val="auto"/>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1B9E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4" w:hRule="atLeast"/>
        </w:trPr>
        <w:tc>
          <w:tcPr>
            <w:tcW w:w="3943" w:type="dxa"/>
            <w:vAlign w:val="center"/>
          </w:tcPr>
          <w:p w14:paraId="228AE198">
            <w:pPr>
              <w:pStyle w:val="12"/>
              <w:spacing w:before="203" w:line="360" w:lineRule="auto"/>
              <w:jc w:val="center"/>
              <w:rPr>
                <w:rFonts w:hint="eastAsia"/>
                <w:color w:val="auto"/>
                <w:spacing w:val="7"/>
                <w:sz w:val="21"/>
                <w:szCs w:val="21"/>
              </w:rPr>
            </w:pPr>
            <w:r>
              <w:rPr>
                <w:rFonts w:hint="eastAsia" w:ascii="宋体" w:hAnsi="宋体" w:eastAsia="宋体" w:cs="宋体"/>
                <w:color w:val="auto"/>
                <w:sz w:val="21"/>
                <w:szCs w:val="21"/>
                <w:lang w:eastAsia="zh-CN"/>
              </w:rPr>
              <w:t>项目团队</w:t>
            </w:r>
          </w:p>
        </w:tc>
        <w:tc>
          <w:tcPr>
            <w:tcW w:w="14668" w:type="dxa"/>
            <w:vAlign w:val="center"/>
          </w:tcPr>
          <w:p w14:paraId="539E7850">
            <w:pPr>
              <w:spacing w:line="360" w:lineRule="auto"/>
              <w:rPr>
                <w:rFonts w:hint="eastAsia" w:ascii="宋体" w:hAnsi="宋体" w:eastAsia="宋体" w:cs="宋体"/>
                <w:color w:val="auto"/>
                <w:lang w:eastAsia="zh-CN"/>
              </w:rPr>
            </w:pPr>
          </w:p>
          <w:p w14:paraId="6D004F11">
            <w:pPr>
              <w:spacing w:line="360" w:lineRule="auto"/>
              <w:rPr>
                <w:rFonts w:ascii="宋体" w:hAnsi="宋体" w:eastAsia="宋体" w:cs="宋体"/>
                <w:color w:val="auto"/>
                <w:lang w:eastAsia="zh-CN"/>
              </w:rPr>
            </w:pPr>
            <w:r>
              <w:rPr>
                <w:rFonts w:hint="eastAsia" w:ascii="宋体" w:hAnsi="宋体" w:eastAsia="宋体" w:cs="宋体"/>
                <w:color w:val="auto"/>
                <w:lang w:eastAsia="zh-CN"/>
              </w:rPr>
              <w:t>供应商提供项目技术团队及其能力说明，提供人员清单、履历、专业技术能力等资料。</w:t>
            </w:r>
          </w:p>
          <w:p w14:paraId="277AC831">
            <w:pPr>
              <w:pStyle w:val="12"/>
              <w:spacing w:before="182" w:line="360" w:lineRule="auto"/>
              <w:ind w:left="152"/>
              <w:rPr>
                <w:rFonts w:hint="eastAsia"/>
                <w:color w:val="auto"/>
                <w:sz w:val="21"/>
                <w:szCs w:val="21"/>
                <w:lang w:eastAsia="zh-CN"/>
              </w:rPr>
            </w:pPr>
          </w:p>
        </w:tc>
      </w:tr>
      <w:tr w14:paraId="2C137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9631EFB">
            <w:pPr>
              <w:pStyle w:val="12"/>
              <w:spacing w:before="203" w:line="360" w:lineRule="auto"/>
              <w:jc w:val="center"/>
              <w:rPr>
                <w:rFonts w:hint="eastAsia" w:ascii="宋体" w:hAnsi="宋体" w:eastAsia="宋体" w:cs="宋体"/>
                <w:color w:val="auto"/>
                <w:sz w:val="21"/>
                <w:szCs w:val="21"/>
                <w:lang w:eastAsia="zh-CN"/>
              </w:rPr>
            </w:pPr>
            <w:r>
              <w:rPr>
                <w:rFonts w:hint="eastAsia"/>
                <w:color w:val="auto"/>
                <w:sz w:val="21"/>
                <w:szCs w:val="21"/>
                <w:lang w:eastAsia="zh-CN"/>
              </w:rPr>
              <w:t>生产能力</w:t>
            </w:r>
          </w:p>
        </w:tc>
        <w:tc>
          <w:tcPr>
            <w:tcW w:w="14668" w:type="dxa"/>
            <w:vAlign w:val="center"/>
          </w:tcPr>
          <w:p w14:paraId="545FC1D5">
            <w:pPr>
              <w:pStyle w:val="12"/>
              <w:spacing w:before="182" w:line="360" w:lineRule="auto"/>
              <w:ind w:left="152"/>
              <w:rPr>
                <w:rFonts w:hint="eastAsia"/>
                <w:color w:val="auto"/>
                <w:sz w:val="21"/>
                <w:szCs w:val="21"/>
                <w:lang w:eastAsia="zh-CN"/>
              </w:rPr>
            </w:pPr>
            <w:r>
              <w:rPr>
                <w:rFonts w:hint="eastAsia"/>
                <w:color w:val="auto"/>
                <w:sz w:val="21"/>
                <w:szCs w:val="21"/>
                <w:lang w:eastAsia="zh-CN"/>
              </w:rPr>
              <w:t>1.生产厂商针对生产过程中可能产生的大气污染、水污染及其他环境污染应当具有有效的环保措施，制定科学的环保治理方案。</w:t>
            </w:r>
          </w:p>
          <w:p w14:paraId="044D55E4">
            <w:pPr>
              <w:pStyle w:val="12"/>
              <w:spacing w:before="182" w:line="360" w:lineRule="auto"/>
              <w:ind w:left="152"/>
              <w:rPr>
                <w:rFonts w:hint="eastAsia"/>
                <w:color w:val="auto"/>
                <w:sz w:val="21"/>
                <w:szCs w:val="21"/>
                <w:lang w:eastAsia="zh-CN"/>
              </w:rPr>
            </w:pPr>
            <w:r>
              <w:rPr>
                <w:rFonts w:hint="eastAsia"/>
                <w:color w:val="auto"/>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bl>
    <w:p w14:paraId="612F394A">
      <w:pPr>
        <w:spacing w:line="360" w:lineRule="auto"/>
        <w:rPr>
          <w:rFonts w:ascii="宋体" w:hAnsi="宋体" w:eastAsia="宋体" w:cs="宋体"/>
          <w:color w:val="auto"/>
          <w:lang w:eastAsia="zh-CN"/>
        </w:rPr>
      </w:pPr>
    </w:p>
    <w:p w14:paraId="7B4B88A2">
      <w:pPr>
        <w:rPr>
          <w:rFonts w:ascii="宋体" w:hAnsi="宋体" w:eastAsia="宋体" w:cs="宋体"/>
          <w:color w:val="auto"/>
          <w:lang w:eastAsia="zh-CN"/>
        </w:rPr>
      </w:pPr>
    </w:p>
    <w:p w14:paraId="22EEED6C">
      <w:pPr>
        <w:rPr>
          <w:rFonts w:ascii="宋体" w:hAnsi="宋体" w:eastAsia="宋体" w:cs="宋体"/>
          <w:b/>
          <w:color w:val="auto"/>
          <w:lang w:eastAsia="zh-CN"/>
        </w:rPr>
      </w:pPr>
      <w:r>
        <w:rPr>
          <w:rFonts w:ascii="宋体" w:hAnsi="宋体" w:eastAsia="宋体" w:cs="宋体"/>
          <w:b/>
          <w:color w:val="auto"/>
          <w:lang w:eastAsia="zh-CN"/>
        </w:rPr>
        <w:t>八、付款方式</w:t>
      </w:r>
    </w:p>
    <w:p w14:paraId="4C3926BD">
      <w:pPr>
        <w:rPr>
          <w:rFonts w:ascii="宋体" w:hAnsi="宋体" w:eastAsia="宋体" w:cs="宋体"/>
          <w:b/>
          <w:color w:val="auto"/>
          <w:lang w:eastAsia="zh-CN"/>
        </w:rPr>
      </w:pPr>
    </w:p>
    <w:p w14:paraId="12BFDC9A">
      <w:pPr>
        <w:rPr>
          <w:color w:val="auto"/>
          <w:lang w:eastAsia="zh-CN"/>
        </w:rPr>
      </w:pPr>
      <w:r>
        <w:rPr>
          <w:color w:val="auto"/>
          <w:lang w:eastAsia="zh-CN"/>
        </w:rPr>
        <w:t>签订合同后且在收到发票后的10个工作日内付款至总合同金额30%；货物全部安装完毕， 现场检测及试用无问题，检测报告齐全，在收到发票后的10个工作日内付款至总合同金额 70%；使用40天后，终验合格后且在收到发票后的10个工作日内付款至总合同金额100%。</w:t>
      </w:r>
    </w:p>
    <w:p w14:paraId="2BF47428">
      <w:pPr>
        <w:rPr>
          <w:color w:val="auto"/>
          <w:lang w:eastAsia="zh-CN"/>
        </w:rPr>
      </w:pPr>
    </w:p>
    <w:p w14:paraId="4B4E3014">
      <w:pPr>
        <w:rPr>
          <w:b/>
          <w:color w:val="auto"/>
          <w:lang w:eastAsia="zh-CN"/>
        </w:rPr>
      </w:pPr>
      <w:r>
        <w:rPr>
          <w:rFonts w:hint="eastAsia"/>
          <w:b/>
          <w:color w:val="auto"/>
          <w:lang w:eastAsia="zh-CN"/>
        </w:rPr>
        <w:t>九、</w:t>
      </w:r>
      <w:r>
        <w:rPr>
          <w:b/>
          <w:color w:val="auto"/>
          <w:lang w:eastAsia="zh-CN"/>
        </w:rPr>
        <w:t>履约保证金</w:t>
      </w:r>
    </w:p>
    <w:p w14:paraId="20BBB945">
      <w:pPr>
        <w:rPr>
          <w:color w:val="auto"/>
          <w:lang w:eastAsia="zh-CN"/>
        </w:rPr>
        <w:sectPr>
          <w:pgSz w:w="23810" w:h="16840"/>
          <w:pgMar w:top="400" w:right="3571" w:bottom="0" w:left="1515" w:header="0" w:footer="0" w:gutter="0"/>
          <w:cols w:space="720" w:num="1"/>
        </w:sectPr>
      </w:pPr>
      <w:r>
        <w:rPr>
          <w:color w:val="auto"/>
          <w:lang w:eastAsia="zh-CN"/>
        </w:rPr>
        <w:t>收取，为合同金额的 10%。</w:t>
      </w:r>
    </w:p>
    <w:p w14:paraId="443F692A">
      <w:pPr>
        <w:pStyle w:val="4"/>
        <w:numPr>
          <w:ilvl w:val="0"/>
          <w:numId w:val="3"/>
        </w:numPr>
        <w:spacing w:before="44" w:line="360" w:lineRule="auto"/>
        <w:jc w:val="both"/>
        <w:rPr>
          <w:b/>
          <w:bCs/>
          <w:color w:val="auto"/>
          <w:spacing w:val="-3"/>
          <w:sz w:val="21"/>
          <w:szCs w:val="21"/>
          <w:lang w:eastAsia="zh-CN"/>
        </w:rPr>
      </w:pPr>
      <w:r>
        <w:rPr>
          <w:rFonts w:hint="eastAsia"/>
          <w:b/>
          <w:bCs/>
          <w:color w:val="auto"/>
          <w:spacing w:val="-3"/>
          <w:sz w:val="21"/>
          <w:szCs w:val="21"/>
          <w:lang w:eastAsia="zh-CN"/>
        </w:rPr>
        <w:t>其他要求</w:t>
      </w:r>
    </w:p>
    <w:p w14:paraId="4A8C309C">
      <w:pPr>
        <w:pStyle w:val="4"/>
        <w:spacing w:before="44" w:line="360" w:lineRule="auto"/>
        <w:jc w:val="both"/>
        <w:rPr>
          <w:color w:val="auto"/>
          <w:spacing w:val="-3"/>
          <w:sz w:val="21"/>
          <w:szCs w:val="21"/>
          <w:lang w:eastAsia="zh-CN"/>
        </w:rPr>
      </w:pPr>
      <w:r>
        <w:rPr>
          <w:rFonts w:hint="eastAsia"/>
          <w:color w:val="auto"/>
          <w:spacing w:val="-3"/>
          <w:sz w:val="21"/>
          <w:szCs w:val="21"/>
          <w:lang w:eastAsia="zh-CN"/>
        </w:rPr>
        <w:t>1</w:t>
      </w:r>
      <w:r>
        <w:rPr>
          <w:color w:val="auto"/>
          <w:spacing w:val="-3"/>
          <w:sz w:val="21"/>
          <w:szCs w:val="21"/>
          <w:lang w:eastAsia="zh-CN"/>
        </w:rPr>
        <w:t>.</w:t>
      </w:r>
      <w:r>
        <w:rPr>
          <w:rFonts w:hint="eastAsia"/>
          <w:color w:val="auto"/>
          <w:spacing w:val="-3"/>
          <w:sz w:val="21"/>
          <w:szCs w:val="21"/>
          <w:lang w:eastAsia="zh-CN"/>
        </w:rPr>
        <w:t>补充服务要求</w:t>
      </w:r>
    </w:p>
    <w:p w14:paraId="0FCCC5F9">
      <w:pPr>
        <w:pStyle w:val="3"/>
        <w:spacing w:line="360" w:lineRule="auto"/>
        <w:ind w:firstLine="420"/>
        <w:rPr>
          <w:rFonts w:ascii="宋体" w:hAnsi="宋体"/>
          <w:color w:val="auto"/>
          <w:lang w:eastAsia="zh-CN"/>
        </w:rPr>
      </w:pPr>
      <w:r>
        <w:rPr>
          <w:rFonts w:ascii="宋体" w:hAnsi="宋体"/>
          <w:color w:val="auto"/>
          <w:lang w:eastAsia="zh-CN"/>
        </w:rPr>
        <w:t>(1)</w:t>
      </w:r>
      <w:r>
        <w:rPr>
          <w:rFonts w:hint="eastAsia" w:ascii="宋体" w:hAnsi="宋体"/>
          <w:color w:val="auto"/>
          <w:lang w:eastAsia="zh-CN"/>
        </w:rPr>
        <w:t>报价的组成：报价总价为货物送达采购方指定地点、经采购方验收合格并交付使用的所有可能发生的费用，包括：货物（含设备、配件、辅助材料）生产供应、打样、保管、运输、保险费、产品检验检测、拆卸、搬运、安装、调试、人员培训、税收、售后服务。</w:t>
      </w:r>
    </w:p>
    <w:p w14:paraId="30D6D127">
      <w:pPr>
        <w:pStyle w:val="3"/>
        <w:spacing w:line="360" w:lineRule="auto"/>
        <w:ind w:firstLine="420"/>
        <w:rPr>
          <w:rFonts w:ascii="宋体" w:hAnsi="宋体"/>
          <w:color w:val="auto"/>
          <w:lang w:eastAsia="zh-CN"/>
        </w:rPr>
      </w:pPr>
      <w:r>
        <w:rPr>
          <w:rFonts w:ascii="宋体" w:hAnsi="宋体"/>
          <w:color w:val="auto"/>
          <w:lang w:eastAsia="zh-CN"/>
        </w:rPr>
        <w:t>(2)</w:t>
      </w:r>
      <w:r>
        <w:rPr>
          <w:rFonts w:hint="eastAsia" w:ascii="宋体" w:hAnsi="宋体"/>
          <w:color w:val="auto"/>
          <w:lang w:eastAsia="zh-CN"/>
        </w:rPr>
        <w:t>原材料采购、生产检验：供应商有责任向采购方提供全部原材料证明材料（家具生产原材料发票、原材料送检报告、生产环节领货单、进口零配件报关单（如有）等）和工厂试验、检验数据，以证实符合技术规范书要求，一些重要的检查与试验项目，采购方有权派代表参加，供应商应在试验前规定时间通知采购方代表参加。</w:t>
      </w:r>
    </w:p>
    <w:p w14:paraId="5421A765">
      <w:pPr>
        <w:pStyle w:val="3"/>
        <w:spacing w:line="360" w:lineRule="auto"/>
        <w:ind w:firstLine="420"/>
        <w:rPr>
          <w:color w:val="auto"/>
          <w:lang w:eastAsia="zh-CN"/>
        </w:rPr>
      </w:pPr>
      <w:r>
        <w:rPr>
          <w:color w:val="auto"/>
          <w:lang w:eastAsia="zh-CN"/>
        </w:rPr>
        <w:t>(3)</w:t>
      </w:r>
      <w:r>
        <w:rPr>
          <w:rFonts w:hint="eastAsia"/>
          <w:color w:val="auto"/>
          <w:lang w:eastAsia="zh-CN"/>
        </w:rPr>
        <w:t>全部生产过程需要第三方机构进行质量控制监督，包括但不限于：原材料进厂抽检，线上生产抽检，出货抽检等，第三方质量控制费用包括在所有费用内，由乙方支付，乙方不得额外收费，乙方可在具有CMA资质认可的第三方检测机构机构中选择，具体抽检项目和流程由甲方和第三方检测公司确认。</w:t>
      </w:r>
    </w:p>
    <w:p w14:paraId="6C08E860">
      <w:pPr>
        <w:pStyle w:val="3"/>
        <w:spacing w:line="360" w:lineRule="auto"/>
        <w:ind w:firstLine="420"/>
        <w:rPr>
          <w:color w:val="auto"/>
          <w:lang w:eastAsia="zh-CN"/>
        </w:rPr>
      </w:pPr>
      <w:r>
        <w:rPr>
          <w:color w:val="auto"/>
          <w:lang w:eastAsia="zh-CN"/>
        </w:rPr>
        <w:t>(4)</w:t>
      </w:r>
      <w:r>
        <w:rPr>
          <w:rFonts w:hint="eastAsia"/>
          <w:color w:val="auto"/>
          <w:lang w:eastAsia="zh-CN"/>
        </w:rPr>
        <w:t>家具尺寸根据宿舍维修后的空间会有少量调整，供应商需配合采购人对尺寸进行实地复量并保证家具和宿舍空间完全匹配。</w:t>
      </w:r>
    </w:p>
    <w:p w14:paraId="165277C7">
      <w:pPr>
        <w:pStyle w:val="3"/>
        <w:spacing w:line="360" w:lineRule="auto"/>
        <w:ind w:firstLine="420"/>
        <w:rPr>
          <w:color w:val="auto"/>
          <w:lang w:eastAsia="zh-CN"/>
        </w:rPr>
      </w:pPr>
    </w:p>
    <w:p w14:paraId="28F188AC">
      <w:pPr>
        <w:pStyle w:val="18"/>
        <w:spacing w:line="360" w:lineRule="auto"/>
        <w:ind w:firstLine="0" w:firstLineChars="0"/>
        <w:outlineLvl w:val="0"/>
        <w:rPr>
          <w:rFonts w:cs="宋体"/>
          <w:color w:val="auto"/>
          <w:lang w:eastAsia="zh-CN"/>
        </w:rPr>
      </w:pPr>
      <w:r>
        <w:rPr>
          <w:rFonts w:hint="eastAsia" w:cs="宋体"/>
          <w:color w:val="auto"/>
          <w:lang w:eastAsia="zh-CN"/>
        </w:rPr>
        <w:t>2</w:t>
      </w:r>
      <w:r>
        <w:rPr>
          <w:rFonts w:cs="宋体"/>
          <w:color w:val="auto"/>
          <w:lang w:eastAsia="zh-CN"/>
        </w:rPr>
        <w:t>.</w:t>
      </w:r>
      <w:r>
        <w:rPr>
          <w:rFonts w:hint="eastAsia" w:cs="宋体"/>
          <w:color w:val="auto"/>
          <w:lang w:eastAsia="zh-CN"/>
        </w:rPr>
        <w:t>补充质量标准和验收要求：</w:t>
      </w:r>
    </w:p>
    <w:p w14:paraId="3C2F9C28">
      <w:pPr>
        <w:pStyle w:val="18"/>
        <w:spacing w:line="360" w:lineRule="auto"/>
        <w:ind w:firstLineChars="0"/>
        <w:rPr>
          <w:rFonts w:cs="宋体"/>
          <w:color w:val="auto"/>
          <w:lang w:eastAsia="zh-CN"/>
        </w:rPr>
      </w:pPr>
      <w:r>
        <w:rPr>
          <w:rFonts w:cs="宋体"/>
          <w:color w:val="auto"/>
          <w:lang w:eastAsia="zh-CN"/>
        </w:rPr>
        <w:t>(1)</w:t>
      </w:r>
      <w:r>
        <w:rPr>
          <w:rFonts w:hint="eastAsia" w:cs="宋体"/>
          <w:color w:val="auto"/>
          <w:lang w:eastAsia="zh-CN"/>
        </w:rPr>
        <w:t>投标人提供的产品和相关服务应符合国家和上海市与本项目有关的各项质量和安全标准、规范和验收要求以及相关政府管理部门和行业有关规定和规程，标准、规范等不一致的，以要求严的为准。</w:t>
      </w:r>
    </w:p>
    <w:p w14:paraId="7E5180D3">
      <w:pPr>
        <w:pStyle w:val="18"/>
        <w:spacing w:line="360" w:lineRule="auto"/>
        <w:ind w:firstLineChars="0"/>
        <w:rPr>
          <w:rFonts w:ascii="宋体" w:hAnsi="宋体"/>
          <w:color w:val="auto"/>
          <w:lang w:eastAsia="zh-CN"/>
        </w:rPr>
      </w:pPr>
      <w:r>
        <w:rPr>
          <w:rFonts w:cs="宋体"/>
          <w:color w:val="auto"/>
          <w:lang w:eastAsia="zh-CN"/>
        </w:rPr>
        <w:t>(2)</w:t>
      </w:r>
      <w:r>
        <w:rPr>
          <w:rFonts w:hint="eastAsia" w:ascii="宋体" w:hAnsi="宋体"/>
          <w:color w:val="auto"/>
          <w:lang w:eastAsia="zh-CN"/>
        </w:rPr>
        <w:t>验收要求：家具安装、调试后，由供需双方按照合同约定对家具进行验收。验收包括清点规格、型号、数量、检查外观等，供应商应当提供家具清单(各类家具分项开立并标注详细数量)、原产地证明、出厂日期证明、等文件。</w:t>
      </w:r>
    </w:p>
    <w:p w14:paraId="69DBDFF3">
      <w:pPr>
        <w:pStyle w:val="18"/>
        <w:spacing w:line="360" w:lineRule="auto"/>
        <w:rPr>
          <w:rFonts w:cs="宋体"/>
          <w:color w:val="auto"/>
          <w:lang w:eastAsia="zh-CN"/>
        </w:rPr>
      </w:pPr>
      <w:r>
        <w:rPr>
          <w:rFonts w:cs="宋体"/>
          <w:color w:val="auto"/>
          <w:lang w:eastAsia="zh-CN"/>
        </w:rPr>
        <w:t>(</w:t>
      </w:r>
      <w:r>
        <w:rPr>
          <w:rFonts w:hint="eastAsia" w:cs="宋体"/>
          <w:color w:val="auto"/>
          <w:lang w:eastAsia="zh-CN"/>
        </w:rPr>
        <w:t>3</w:t>
      </w:r>
      <w:r>
        <w:rPr>
          <w:rFonts w:cs="宋体"/>
          <w:color w:val="auto"/>
          <w:lang w:eastAsia="zh-CN"/>
        </w:rPr>
        <w:t>)</w:t>
      </w:r>
      <w:r>
        <w:rPr>
          <w:rFonts w:hint="eastAsia" w:ascii="宋体" w:hAnsi="宋体"/>
          <w:color w:val="auto"/>
          <w:lang w:eastAsia="zh-CN"/>
        </w:rPr>
        <w:t>检测要求：项目完成，货物交付、送至现场安装完毕后，由采购方任意抽取学生公寓床（含扶梯）及组合柜、椅子，单人床及衣柜，写字桌各1件，送到</w:t>
      </w:r>
      <w:r>
        <w:rPr>
          <w:rFonts w:hint="eastAsia"/>
          <w:color w:val="auto"/>
          <w:lang w:eastAsia="zh-CN"/>
        </w:rPr>
        <w:t>具有CMA资质的</w:t>
      </w:r>
      <w:r>
        <w:rPr>
          <w:rFonts w:hint="eastAsia" w:ascii="宋体" w:hAnsi="宋体"/>
          <w:color w:val="auto"/>
          <w:lang w:eastAsia="zh-CN"/>
        </w:rPr>
        <w:t>检测中心进行破环性检测。若检测合格，供货商需补齐送检产品给使用方，涉及的费用按实结算。若检测结果不合格，使用方有权退回不合格品类的货物，且不予支付相应检测费用。送检不合格的处理：如果中标人最终交付的产品不能满足经双方确认的验收方法中规定的各项技术性能指标，则中标人应负责免费更换或修复,并提供采购人指定检测机构的合格检测报告，同时承担合同文本中约定的违约责任。</w:t>
      </w:r>
    </w:p>
    <w:p w14:paraId="355F62E7">
      <w:pPr>
        <w:pStyle w:val="18"/>
        <w:spacing w:line="360" w:lineRule="auto"/>
        <w:ind w:firstLineChars="0"/>
        <w:rPr>
          <w:rFonts w:cs="宋体"/>
          <w:color w:val="auto"/>
          <w:lang w:eastAsia="zh-CN"/>
        </w:rPr>
      </w:pPr>
      <w:r>
        <w:rPr>
          <w:rFonts w:cs="宋体"/>
          <w:color w:val="auto"/>
          <w:lang w:eastAsia="zh-CN"/>
        </w:rPr>
        <w:t>(4)</w:t>
      </w:r>
      <w:r>
        <w:rPr>
          <w:rFonts w:hint="eastAsia" w:cs="宋体"/>
          <w:color w:val="auto"/>
          <w:lang w:eastAsia="zh-CN"/>
        </w:rPr>
        <w:t>若验收未通过，采购人有权要求更换或退货，并按照合同约定的违约处理。</w:t>
      </w:r>
    </w:p>
    <w:p w14:paraId="76C19C73">
      <w:pPr>
        <w:pStyle w:val="18"/>
        <w:spacing w:line="360" w:lineRule="auto"/>
        <w:ind w:firstLine="0" w:firstLineChars="0"/>
        <w:outlineLvl w:val="0"/>
        <w:rPr>
          <w:rFonts w:cs="宋体"/>
          <w:color w:val="auto"/>
          <w:lang w:eastAsia="zh-CN"/>
        </w:rPr>
      </w:pPr>
      <w:r>
        <w:rPr>
          <w:rFonts w:hint="eastAsia" w:cs="宋体"/>
          <w:color w:val="auto"/>
          <w:lang w:eastAsia="zh-CN"/>
        </w:rPr>
        <w:t>3</w:t>
      </w:r>
      <w:r>
        <w:rPr>
          <w:rFonts w:cs="宋体"/>
          <w:color w:val="auto"/>
          <w:lang w:eastAsia="zh-CN"/>
        </w:rPr>
        <w:t>.</w:t>
      </w:r>
      <w:r>
        <w:rPr>
          <w:rFonts w:hint="eastAsia" w:cs="宋体"/>
          <w:color w:val="auto"/>
          <w:lang w:eastAsia="zh-CN"/>
        </w:rPr>
        <w:t>补充质保期限及售后服务：</w:t>
      </w:r>
    </w:p>
    <w:p w14:paraId="6D4C327F">
      <w:pPr>
        <w:pStyle w:val="22"/>
        <w:spacing w:beforeLines="0" w:afterLines="0" w:line="360" w:lineRule="auto"/>
        <w:rPr>
          <w:color w:val="auto"/>
          <w:sz w:val="21"/>
          <w:szCs w:val="21"/>
        </w:rPr>
      </w:pPr>
      <w:r>
        <w:rPr>
          <w:color w:val="auto"/>
        </w:rPr>
        <w:t>(1)</w:t>
      </w:r>
      <w:r>
        <w:rPr>
          <w:rFonts w:hint="eastAsia"/>
          <w:color w:val="auto"/>
          <w:sz w:val="21"/>
          <w:szCs w:val="21"/>
        </w:rPr>
        <w:t>中标人应严格履行相关承诺，确保服务全面、彻底、快捷、有效。</w:t>
      </w:r>
    </w:p>
    <w:p w14:paraId="39824C9E">
      <w:pPr>
        <w:pStyle w:val="22"/>
        <w:spacing w:beforeLines="0" w:afterLines="0" w:line="360" w:lineRule="auto"/>
        <w:rPr>
          <w:color w:val="auto"/>
          <w:sz w:val="21"/>
          <w:szCs w:val="21"/>
        </w:rPr>
      </w:pPr>
      <w:r>
        <w:rPr>
          <w:color w:val="auto"/>
        </w:rPr>
        <w:t>(2)</w:t>
      </w:r>
      <w:r>
        <w:rPr>
          <w:rFonts w:hint="eastAsia"/>
          <w:color w:val="auto"/>
          <w:sz w:val="21"/>
          <w:szCs w:val="21"/>
        </w:rPr>
        <w:t>10年免费质保期自项目验收合格后开始计算。</w:t>
      </w:r>
    </w:p>
    <w:p w14:paraId="334E4304">
      <w:pPr>
        <w:pStyle w:val="22"/>
        <w:spacing w:beforeLines="0" w:afterLines="0" w:line="360" w:lineRule="auto"/>
        <w:rPr>
          <w:color w:val="auto"/>
          <w:sz w:val="21"/>
          <w:szCs w:val="21"/>
        </w:rPr>
      </w:pPr>
      <w:r>
        <w:rPr>
          <w:color w:val="auto"/>
        </w:rPr>
        <w:t>(3)</w:t>
      </w:r>
      <w:r>
        <w:rPr>
          <w:rFonts w:hint="eastAsia"/>
          <w:color w:val="auto"/>
          <w:sz w:val="21"/>
          <w:szCs w:val="21"/>
        </w:rPr>
        <w:t>中标人应将生产库存产品以应急需。如出现严重质量问题，影响正常使用，无条件更换全新产品。</w:t>
      </w:r>
    </w:p>
    <w:p w14:paraId="04109CF0">
      <w:pPr>
        <w:pStyle w:val="4"/>
        <w:spacing w:before="44" w:line="360" w:lineRule="auto"/>
        <w:jc w:val="both"/>
        <w:rPr>
          <w:b/>
          <w:bCs/>
          <w:color w:val="auto"/>
          <w:spacing w:val="-3"/>
          <w:sz w:val="21"/>
          <w:szCs w:val="21"/>
          <w:lang w:eastAsia="zh-CN"/>
        </w:rPr>
      </w:pPr>
    </w:p>
    <w:sectPr>
      <w:headerReference r:id="rId4"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Helvetica">
    <w:altName w:val="Liberation Sans"/>
    <w:panose1 w:val="020B0604020202020204"/>
    <w:charset w:val="00"/>
    <w:family w:val="swiss"/>
    <w:pitch w:val="default"/>
    <w:sig w:usb0="00000000" w:usb1="00000000" w:usb2="00000000" w:usb3="00000000" w:csb0="00000001" w:csb1="00000000"/>
  </w:font>
  <w:font w:name="Liberation Sans">
    <w:panose1 w:val="020B0604020202020204"/>
    <w:charset w:val="00"/>
    <w:family w:val="auto"/>
    <w:pitch w:val="default"/>
    <w:sig w:usb0="A00002AF" w:usb1="500078FB" w:usb2="00000000" w:usb3="00000000" w:csb0="6000009F" w:csb1="DFD70000"/>
  </w:font>
  <w:font w:name="微软雅黑">
    <w:altName w:val="方正黑体_GBK"/>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225C">
    <w:pPr>
      <w:pStyle w:val="8"/>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B9B5C">
                          <w:pPr>
                            <w:pStyle w:val="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0AB9B5C">
                    <w:pPr>
                      <w:pStyle w:val="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C996">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E4A35A"/>
    <w:multiLevelType w:val="singleLevel"/>
    <w:tmpl w:val="B1E4A35A"/>
    <w:lvl w:ilvl="0" w:tentative="0">
      <w:start w:val="3"/>
      <w:numFmt w:val="chineseCounting"/>
      <w:suff w:val="nothing"/>
      <w:lvlText w:val="%1、"/>
      <w:lvlJc w:val="left"/>
      <w:rPr>
        <w:rFonts w:hint="eastAsia"/>
        <w:color w:val="auto"/>
      </w:rPr>
    </w:lvl>
  </w:abstractNum>
  <w:abstractNum w:abstractNumId="1">
    <w:nsid w:val="5DFD08E6"/>
    <w:multiLevelType w:val="multilevel"/>
    <w:tmpl w:val="5DFD08E6"/>
    <w:lvl w:ilvl="0" w:tentative="0">
      <w:start w:val="1"/>
      <w:numFmt w:val="japaneseCounting"/>
      <w:lvlText w:val="%1、"/>
      <w:lvlJc w:val="left"/>
      <w:pPr>
        <w:ind w:left="990" w:hanging="480"/>
      </w:pPr>
      <w:rPr>
        <w:rFonts w:hint="default"/>
      </w:rPr>
    </w:lvl>
    <w:lvl w:ilvl="1" w:tentative="0">
      <w:start w:val="1"/>
      <w:numFmt w:val="japaneseCounting"/>
      <w:lvlText w:val="（%2）"/>
      <w:lvlJc w:val="left"/>
      <w:pPr>
        <w:ind w:left="1650" w:hanging="720"/>
      </w:pPr>
      <w:rPr>
        <w:rFonts w:hint="default"/>
      </w:r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2">
    <w:nsid w:val="6F9D36FE"/>
    <w:multiLevelType w:val="multilevel"/>
    <w:tmpl w:val="6F9D36FE"/>
    <w:lvl w:ilvl="0" w:tentative="0">
      <w:start w:val="10"/>
      <w:numFmt w:val="japaneseCounting"/>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lvlOverride w:ilvl="0">
      <w:startOverride w:val="3"/>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F32BEA20"/>
    <w:rsid w:val="00005B17"/>
    <w:rsid w:val="0001530E"/>
    <w:rsid w:val="00016E93"/>
    <w:rsid w:val="000356EE"/>
    <w:rsid w:val="00091B9C"/>
    <w:rsid w:val="000930E9"/>
    <w:rsid w:val="00093849"/>
    <w:rsid w:val="000B7219"/>
    <w:rsid w:val="000C3A01"/>
    <w:rsid w:val="000D6990"/>
    <w:rsid w:val="000E4A58"/>
    <w:rsid w:val="00101397"/>
    <w:rsid w:val="0010451C"/>
    <w:rsid w:val="00115135"/>
    <w:rsid w:val="00196BCC"/>
    <w:rsid w:val="0019786E"/>
    <w:rsid w:val="001B505B"/>
    <w:rsid w:val="001C0AAB"/>
    <w:rsid w:val="001C5472"/>
    <w:rsid w:val="0021632F"/>
    <w:rsid w:val="002B17D6"/>
    <w:rsid w:val="002B7BBC"/>
    <w:rsid w:val="002E2680"/>
    <w:rsid w:val="00303362"/>
    <w:rsid w:val="00370CD3"/>
    <w:rsid w:val="003B196E"/>
    <w:rsid w:val="003B40B0"/>
    <w:rsid w:val="003B70E8"/>
    <w:rsid w:val="0040632B"/>
    <w:rsid w:val="004420E7"/>
    <w:rsid w:val="00483E51"/>
    <w:rsid w:val="004844B2"/>
    <w:rsid w:val="004A7C81"/>
    <w:rsid w:val="004B24BC"/>
    <w:rsid w:val="004B5C8A"/>
    <w:rsid w:val="004C1E89"/>
    <w:rsid w:val="004E2372"/>
    <w:rsid w:val="00541D04"/>
    <w:rsid w:val="00592F16"/>
    <w:rsid w:val="005D404C"/>
    <w:rsid w:val="005F2986"/>
    <w:rsid w:val="005F5EC3"/>
    <w:rsid w:val="00625AB8"/>
    <w:rsid w:val="00632888"/>
    <w:rsid w:val="0065300D"/>
    <w:rsid w:val="006A37BC"/>
    <w:rsid w:val="006A5F7B"/>
    <w:rsid w:val="006C3B31"/>
    <w:rsid w:val="006E6E3E"/>
    <w:rsid w:val="007368BA"/>
    <w:rsid w:val="00754AE9"/>
    <w:rsid w:val="007B69A9"/>
    <w:rsid w:val="007F05EF"/>
    <w:rsid w:val="008513BA"/>
    <w:rsid w:val="00882B27"/>
    <w:rsid w:val="008F56F4"/>
    <w:rsid w:val="00901D16"/>
    <w:rsid w:val="00931AA9"/>
    <w:rsid w:val="00946053"/>
    <w:rsid w:val="009749A6"/>
    <w:rsid w:val="00A129A0"/>
    <w:rsid w:val="00A226D2"/>
    <w:rsid w:val="00A22C06"/>
    <w:rsid w:val="00A50927"/>
    <w:rsid w:val="00A87052"/>
    <w:rsid w:val="00AB0786"/>
    <w:rsid w:val="00AD2752"/>
    <w:rsid w:val="00BC157E"/>
    <w:rsid w:val="00BE63EE"/>
    <w:rsid w:val="00BF21A4"/>
    <w:rsid w:val="00C16242"/>
    <w:rsid w:val="00C17568"/>
    <w:rsid w:val="00C17B63"/>
    <w:rsid w:val="00C451DB"/>
    <w:rsid w:val="00C65ADC"/>
    <w:rsid w:val="00C77A7C"/>
    <w:rsid w:val="00CE02A4"/>
    <w:rsid w:val="00D16579"/>
    <w:rsid w:val="00D7421C"/>
    <w:rsid w:val="00D83458"/>
    <w:rsid w:val="00D839C3"/>
    <w:rsid w:val="00E07632"/>
    <w:rsid w:val="00E2625A"/>
    <w:rsid w:val="00E6065C"/>
    <w:rsid w:val="00E772C9"/>
    <w:rsid w:val="00EB2EF7"/>
    <w:rsid w:val="00ED5E19"/>
    <w:rsid w:val="00EE0FE9"/>
    <w:rsid w:val="00F737DC"/>
    <w:rsid w:val="00F76153"/>
    <w:rsid w:val="00FA06B2"/>
    <w:rsid w:val="00FA46C8"/>
    <w:rsid w:val="01194F6B"/>
    <w:rsid w:val="0167268E"/>
    <w:rsid w:val="026829A3"/>
    <w:rsid w:val="02D2429A"/>
    <w:rsid w:val="05932C17"/>
    <w:rsid w:val="05B13426"/>
    <w:rsid w:val="084560A8"/>
    <w:rsid w:val="095561AC"/>
    <w:rsid w:val="09DA388D"/>
    <w:rsid w:val="09E35A35"/>
    <w:rsid w:val="0A327190"/>
    <w:rsid w:val="0B2E376B"/>
    <w:rsid w:val="0B91331C"/>
    <w:rsid w:val="0C0C00BF"/>
    <w:rsid w:val="0C870516"/>
    <w:rsid w:val="0CA27F6D"/>
    <w:rsid w:val="0E320CCA"/>
    <w:rsid w:val="0ED56EC0"/>
    <w:rsid w:val="1371741E"/>
    <w:rsid w:val="14927BFC"/>
    <w:rsid w:val="14AA6E06"/>
    <w:rsid w:val="14B95E54"/>
    <w:rsid w:val="159E51B1"/>
    <w:rsid w:val="15C84488"/>
    <w:rsid w:val="16EC7E9D"/>
    <w:rsid w:val="18C87CE8"/>
    <w:rsid w:val="1D5C2231"/>
    <w:rsid w:val="1E24619F"/>
    <w:rsid w:val="1EBF5858"/>
    <w:rsid w:val="1EFF8184"/>
    <w:rsid w:val="1FE12CAC"/>
    <w:rsid w:val="1FE3F3F7"/>
    <w:rsid w:val="20401B1F"/>
    <w:rsid w:val="20560357"/>
    <w:rsid w:val="21A35A98"/>
    <w:rsid w:val="21DF6191"/>
    <w:rsid w:val="22486148"/>
    <w:rsid w:val="238001F1"/>
    <w:rsid w:val="243E2A53"/>
    <w:rsid w:val="2591503A"/>
    <w:rsid w:val="263F62A3"/>
    <w:rsid w:val="269845BF"/>
    <w:rsid w:val="296F3171"/>
    <w:rsid w:val="2A3234A0"/>
    <w:rsid w:val="2AEA7636"/>
    <w:rsid w:val="2B4214E8"/>
    <w:rsid w:val="2B536BB8"/>
    <w:rsid w:val="2C037229"/>
    <w:rsid w:val="2D672D4A"/>
    <w:rsid w:val="2E192604"/>
    <w:rsid w:val="30FF6433"/>
    <w:rsid w:val="31FD4389"/>
    <w:rsid w:val="31FF774E"/>
    <w:rsid w:val="340F388A"/>
    <w:rsid w:val="36F477C1"/>
    <w:rsid w:val="37133D87"/>
    <w:rsid w:val="3B9F11A4"/>
    <w:rsid w:val="3C596B05"/>
    <w:rsid w:val="3C874CED"/>
    <w:rsid w:val="3D5722B2"/>
    <w:rsid w:val="3D5CBD80"/>
    <w:rsid w:val="3E4D7781"/>
    <w:rsid w:val="3F5AB3C8"/>
    <w:rsid w:val="3FDE82F7"/>
    <w:rsid w:val="3FEBE777"/>
    <w:rsid w:val="41381F4B"/>
    <w:rsid w:val="436C43ED"/>
    <w:rsid w:val="44E207A6"/>
    <w:rsid w:val="4545333A"/>
    <w:rsid w:val="45456AAC"/>
    <w:rsid w:val="46472515"/>
    <w:rsid w:val="47CC1EB7"/>
    <w:rsid w:val="47FFDCAD"/>
    <w:rsid w:val="48505F94"/>
    <w:rsid w:val="48DE06B1"/>
    <w:rsid w:val="494C74C1"/>
    <w:rsid w:val="4AFE280B"/>
    <w:rsid w:val="4BA075A3"/>
    <w:rsid w:val="4CB37051"/>
    <w:rsid w:val="4E666834"/>
    <w:rsid w:val="4EF61F46"/>
    <w:rsid w:val="50243724"/>
    <w:rsid w:val="509A0CF5"/>
    <w:rsid w:val="5466614B"/>
    <w:rsid w:val="564231F4"/>
    <w:rsid w:val="56F66ABC"/>
    <w:rsid w:val="577B2D79"/>
    <w:rsid w:val="57BF3926"/>
    <w:rsid w:val="58D73F78"/>
    <w:rsid w:val="59153A71"/>
    <w:rsid w:val="59DA4C4C"/>
    <w:rsid w:val="59FF9E14"/>
    <w:rsid w:val="5A1B7918"/>
    <w:rsid w:val="5BFF5FD2"/>
    <w:rsid w:val="5CEBF368"/>
    <w:rsid w:val="5D81150D"/>
    <w:rsid w:val="5D980239"/>
    <w:rsid w:val="5DBF5DC0"/>
    <w:rsid w:val="5DEF1908"/>
    <w:rsid w:val="5EDE2C37"/>
    <w:rsid w:val="5EE92A52"/>
    <w:rsid w:val="5F7D427D"/>
    <w:rsid w:val="5FFF8E82"/>
    <w:rsid w:val="60AE7EAE"/>
    <w:rsid w:val="6280749D"/>
    <w:rsid w:val="63D61E2D"/>
    <w:rsid w:val="64150F60"/>
    <w:rsid w:val="64AE2ACA"/>
    <w:rsid w:val="664755CC"/>
    <w:rsid w:val="66F556CB"/>
    <w:rsid w:val="698A33B2"/>
    <w:rsid w:val="6C2C6D1C"/>
    <w:rsid w:val="6E4BC4BD"/>
    <w:rsid w:val="6EAB7730"/>
    <w:rsid w:val="6F9F2AA6"/>
    <w:rsid w:val="6FFF4332"/>
    <w:rsid w:val="700A7B60"/>
    <w:rsid w:val="70593D11"/>
    <w:rsid w:val="71141934"/>
    <w:rsid w:val="711B3D8B"/>
    <w:rsid w:val="721F6AF3"/>
    <w:rsid w:val="73B178B3"/>
    <w:rsid w:val="75FBCD7E"/>
    <w:rsid w:val="76841A56"/>
    <w:rsid w:val="771941B0"/>
    <w:rsid w:val="772C233D"/>
    <w:rsid w:val="777FCD40"/>
    <w:rsid w:val="77B74889"/>
    <w:rsid w:val="77FDF647"/>
    <w:rsid w:val="78B90C9C"/>
    <w:rsid w:val="7A1EF845"/>
    <w:rsid w:val="7B5F4A5F"/>
    <w:rsid w:val="7C037878"/>
    <w:rsid w:val="7C35AD77"/>
    <w:rsid w:val="7C996CD4"/>
    <w:rsid w:val="7D3903C0"/>
    <w:rsid w:val="7D6C3D8E"/>
    <w:rsid w:val="7DEB81F6"/>
    <w:rsid w:val="7DFD6203"/>
    <w:rsid w:val="7E517AC6"/>
    <w:rsid w:val="7E7C4598"/>
    <w:rsid w:val="7E953F59"/>
    <w:rsid w:val="7EDAB6D1"/>
    <w:rsid w:val="7EF95DA4"/>
    <w:rsid w:val="7F7CBD21"/>
    <w:rsid w:val="BBFB8DC5"/>
    <w:rsid w:val="BFEEBC32"/>
    <w:rsid w:val="BFF6FB84"/>
    <w:rsid w:val="D75D7127"/>
    <w:rsid w:val="DBFC493F"/>
    <w:rsid w:val="DCFF6989"/>
    <w:rsid w:val="DFCDF6B7"/>
    <w:rsid w:val="DFFDAC87"/>
    <w:rsid w:val="E5F57EB6"/>
    <w:rsid w:val="E5FB5E7F"/>
    <w:rsid w:val="E7EF1F2D"/>
    <w:rsid w:val="E9BF572B"/>
    <w:rsid w:val="EFF210A5"/>
    <w:rsid w:val="F32BEA20"/>
    <w:rsid w:val="F4DB9A57"/>
    <w:rsid w:val="F6FEB339"/>
    <w:rsid w:val="F70B0403"/>
    <w:rsid w:val="F79F4D83"/>
    <w:rsid w:val="F7BF3339"/>
    <w:rsid w:val="F7FFACF7"/>
    <w:rsid w:val="F9E7476A"/>
    <w:rsid w:val="FB8F55DC"/>
    <w:rsid w:val="FBCF7ABF"/>
    <w:rsid w:val="FCF7F34B"/>
    <w:rsid w:val="FE3F271B"/>
    <w:rsid w:val="FEBFC356"/>
    <w:rsid w:val="FFDFE0A2"/>
    <w:rsid w:val="FFEDC5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Plain Text"/>
    <w:basedOn w:val="1"/>
    <w:qFormat/>
    <w:uiPriority w:val="0"/>
    <w:rPr>
      <w:rFonts w:ascii="宋体" w:hAnsi="Courier New"/>
    </w:rPr>
  </w:style>
  <w:style w:type="paragraph" w:styleId="7">
    <w:name w:val="Balloon Text"/>
    <w:basedOn w:val="1"/>
    <w:link w:val="17"/>
    <w:qFormat/>
    <w:uiPriority w:val="0"/>
    <w:rPr>
      <w:sz w:val="18"/>
      <w:szCs w:val="18"/>
    </w:rPr>
  </w:style>
  <w:style w:type="paragraph" w:styleId="8">
    <w:name w:val="footer"/>
    <w:basedOn w:val="1"/>
    <w:link w:val="16"/>
    <w:qFormat/>
    <w:uiPriority w:val="0"/>
    <w:pPr>
      <w:tabs>
        <w:tab w:val="center" w:pos="4153"/>
        <w:tab w:val="right" w:pos="8306"/>
      </w:tabs>
    </w:pPr>
    <w:rPr>
      <w:sz w:val="18"/>
      <w:szCs w:val="18"/>
    </w:rPr>
  </w:style>
  <w:style w:type="paragraph" w:styleId="9">
    <w:name w:val="header"/>
    <w:basedOn w:val="1"/>
    <w:link w:val="15"/>
    <w:qFormat/>
    <w:uiPriority w:val="0"/>
    <w:pPr>
      <w:pBdr>
        <w:bottom w:val="single" w:color="auto" w:sz="6" w:space="1"/>
      </w:pBdr>
      <w:tabs>
        <w:tab w:val="center" w:pos="4153"/>
        <w:tab w:val="right" w:pos="8306"/>
      </w:tabs>
      <w:jc w:val="center"/>
    </w:pPr>
    <w:rPr>
      <w:sz w:val="18"/>
      <w:szCs w:val="18"/>
    </w:rPr>
  </w:style>
  <w:style w:type="paragraph" w:customStyle="1" w:styleId="12">
    <w:name w:val="Table Text"/>
    <w:basedOn w:val="1"/>
    <w:semiHidden/>
    <w:qFormat/>
    <w:uiPriority w:val="0"/>
    <w:rPr>
      <w:rFonts w:ascii="宋体" w:hAnsi="宋体" w:eastAsia="宋体" w:cs="宋体"/>
      <w:sz w:val="28"/>
      <w:szCs w:val="28"/>
    </w:rPr>
  </w:style>
  <w:style w:type="table" w:customStyle="1" w:styleId="13">
    <w:name w:val="Table Normal"/>
    <w:unhideWhenUsed/>
    <w:qFormat/>
    <w:uiPriority w:val="0"/>
    <w:tblPr>
      <w:tblCellMar>
        <w:top w:w="0" w:type="dxa"/>
        <w:left w:w="0" w:type="dxa"/>
        <w:bottom w:w="0" w:type="dxa"/>
        <w:right w:w="0" w:type="dxa"/>
      </w:tblCellMar>
    </w:tblPr>
  </w:style>
  <w:style w:type="paragraph" w:customStyle="1" w:styleId="14">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Char"/>
    <w:basedOn w:val="11"/>
    <w:link w:val="9"/>
    <w:qFormat/>
    <w:uiPriority w:val="0"/>
    <w:rPr>
      <w:rFonts w:ascii="Arial" w:hAnsi="Arial" w:cs="Arial"/>
      <w:snapToGrid w:val="0"/>
      <w:color w:val="000000"/>
      <w:sz w:val="18"/>
      <w:szCs w:val="18"/>
      <w:lang w:eastAsia="en-US"/>
    </w:rPr>
  </w:style>
  <w:style w:type="character" w:customStyle="1" w:styleId="16">
    <w:name w:val="页脚 Char"/>
    <w:basedOn w:val="11"/>
    <w:link w:val="8"/>
    <w:qFormat/>
    <w:uiPriority w:val="0"/>
    <w:rPr>
      <w:rFonts w:ascii="Arial" w:hAnsi="Arial" w:cs="Arial"/>
      <w:snapToGrid w:val="0"/>
      <w:color w:val="000000"/>
      <w:sz w:val="18"/>
      <w:szCs w:val="18"/>
      <w:lang w:eastAsia="en-US"/>
    </w:rPr>
  </w:style>
  <w:style w:type="character" w:customStyle="1" w:styleId="17">
    <w:name w:val="批注框文本 Char"/>
    <w:basedOn w:val="11"/>
    <w:link w:val="7"/>
    <w:qFormat/>
    <w:uiPriority w:val="0"/>
    <w:rPr>
      <w:rFonts w:ascii="Arial" w:hAnsi="Arial" w:cs="Arial"/>
      <w:snapToGrid w:val="0"/>
      <w:color w:val="000000"/>
      <w:sz w:val="18"/>
      <w:szCs w:val="18"/>
      <w:lang w:eastAsia="en-US"/>
    </w:rPr>
  </w:style>
  <w:style w:type="paragraph" w:customStyle="1" w:styleId="18">
    <w:name w:val="列出段落1"/>
    <w:basedOn w:val="1"/>
    <w:qFormat/>
    <w:uiPriority w:val="34"/>
    <w:pPr>
      <w:ind w:firstLine="420" w:firstLineChars="200"/>
    </w:pPr>
  </w:style>
  <w:style w:type="character" w:customStyle="1" w:styleId="19">
    <w:name w:val="font91"/>
    <w:basedOn w:val="11"/>
    <w:qFormat/>
    <w:uiPriority w:val="0"/>
    <w:rPr>
      <w:rFonts w:hint="eastAsia" w:ascii="等线" w:hAnsi="等线" w:eastAsia="等线" w:cs="等线"/>
      <w:b/>
      <w:bCs/>
      <w:color w:val="000000"/>
      <w:sz w:val="24"/>
      <w:szCs w:val="24"/>
      <w:u w:val="none"/>
    </w:rPr>
  </w:style>
  <w:style w:type="character" w:customStyle="1" w:styleId="20">
    <w:name w:val="font61"/>
    <w:basedOn w:val="11"/>
    <w:qFormat/>
    <w:uiPriority w:val="0"/>
    <w:rPr>
      <w:rFonts w:hint="eastAsia" w:ascii="等线" w:hAnsi="等线" w:eastAsia="等线" w:cs="等线"/>
      <w:color w:val="000000"/>
      <w:sz w:val="24"/>
      <w:szCs w:val="24"/>
      <w:u w:val="none"/>
    </w:rPr>
  </w:style>
  <w:style w:type="character" w:customStyle="1" w:styleId="21">
    <w:name w:val="font101"/>
    <w:basedOn w:val="11"/>
    <w:qFormat/>
    <w:uiPriority w:val="0"/>
    <w:rPr>
      <w:rFonts w:hint="eastAsia" w:ascii="等线" w:hAnsi="等线" w:eastAsia="等线" w:cs="等线"/>
      <w:b/>
      <w:bCs/>
      <w:color w:val="FF0000"/>
      <w:sz w:val="24"/>
      <w:szCs w:val="24"/>
      <w:u w:val="none"/>
    </w:rPr>
  </w:style>
  <w:style w:type="paragraph" w:customStyle="1" w:styleId="22">
    <w:name w:val="方案正文"/>
    <w:qFormat/>
    <w:uiPriority w:val="0"/>
    <w:pPr>
      <w:tabs>
        <w:tab w:val="left" w:pos="420"/>
      </w:tabs>
      <w:adjustRightInd w:val="0"/>
      <w:snapToGrid w:val="0"/>
      <w:spacing w:beforeLines="150" w:afterLines="50" w:line="300" w:lineRule="auto"/>
      <w:ind w:firstLine="480" w:firstLineChars="200"/>
    </w:pPr>
    <w:rPr>
      <w:rFonts w:ascii="宋体" w:hAnsi="宋体" w:eastAsia="宋体" w:cs="宋体"/>
      <w:kern w:val="2"/>
      <w:sz w:val="24"/>
      <w:szCs w:val="28"/>
      <w:lang w:val="en-US" w:eastAsia="zh-CN" w:bidi="ar-SA"/>
    </w:rPr>
  </w:style>
  <w:style w:type="character" w:customStyle="1" w:styleId="23">
    <w:name w:val="font41"/>
    <w:basedOn w:val="11"/>
    <w:qFormat/>
    <w:uiPriority w:val="0"/>
    <w:rPr>
      <w:rFonts w:ascii="宋体" w:hAnsi="宋体" w:eastAsia="宋体" w:cs="宋体"/>
      <w:b/>
      <w:bCs/>
      <w:color w:val="000000"/>
      <w:sz w:val="20"/>
      <w:szCs w:val="20"/>
      <w:u w:val="none"/>
    </w:rPr>
  </w:style>
  <w:style w:type="character" w:customStyle="1" w:styleId="24">
    <w:name w:val="font51"/>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4323</Words>
  <Characters>5358</Characters>
  <Lines>74</Lines>
  <Paragraphs>21</Paragraphs>
  <TotalTime>0</TotalTime>
  <ScaleCrop>false</ScaleCrop>
  <LinksUpToDate>false</LinksUpToDate>
  <CharactersWithSpaces>5690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2024-12-25T19:38:00Z</dcterms:created>
  <dc:creator>Cindy</dc:creator>
  <cp:lastModifiedBy>王国林</cp:lastModifiedBy>
  <dcterms:modified xsi:type="dcterms:W3CDTF">2025-06-19T10:52:34Z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ED5241BE630A425FBE49194859629FC4_13</vt:lpwstr>
  </property>
  <property fmtid="{D5CDD505-2E9C-101B-9397-08002B2CF9AE}" pid="4" name="KSOTemplateDocerSaveRecord">
    <vt:lpwstr>eyJoZGlkIjoiMGJjOTVmZThhNDExNGNkYjQxNTkxOTJlZjI0M2YzMDYiLCJ1c2VySWQiOiIxNTgwNDM3MTE4In0=</vt:lpwstr>
  </property>
</Properties>
</file>