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C904">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default"/>
          <w:lang w:val="en-US"/>
        </w:rPr>
      </w:pPr>
      <w:r>
        <w:rPr>
          <w:rFonts w:hint="eastAsia" w:ascii="黑体" w:hAnsi="黑体" w:eastAsia="黑体" w:cs="黑体"/>
          <w:sz w:val="36"/>
          <w:szCs w:val="32"/>
          <w:lang w:val="en-US" w:eastAsia="zh-CN"/>
        </w:rPr>
        <w:t>采购需求</w:t>
      </w:r>
    </w:p>
    <w:p w14:paraId="78E3C020">
      <w:pPr>
        <w:pStyle w:val="2"/>
        <w:bidi w:val="0"/>
        <w:ind w:left="432" w:leftChars="0" w:hanging="432" w:firstLineChars="0"/>
        <w:rPr>
          <w:rFonts w:hint="eastAsia" w:ascii="楷体" w:hAnsi="楷体" w:eastAsia="楷体" w:cs="楷体"/>
        </w:rPr>
      </w:pPr>
      <w:r>
        <w:rPr>
          <w:rFonts w:hint="eastAsia" w:ascii="楷体" w:hAnsi="楷体" w:eastAsia="楷体" w:cs="楷体"/>
        </w:rPr>
        <w:t>项目概况</w:t>
      </w:r>
    </w:p>
    <w:p w14:paraId="2437EED9">
      <w:pPr>
        <w:pStyle w:val="3"/>
        <w:bidi w:val="0"/>
        <w:ind w:left="575" w:leftChars="0" w:hanging="575"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项目名称</w:t>
      </w:r>
    </w:p>
    <w:p w14:paraId="6A4B3D46">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临港新片区数据便捷流通公共服务管理系统（二期）。</w:t>
      </w:r>
    </w:p>
    <w:p w14:paraId="27BB272C">
      <w:pPr>
        <w:pStyle w:val="3"/>
        <w:bidi w:val="0"/>
        <w:ind w:left="575" w:leftChars="0" w:hanging="575"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项目背景</w:t>
      </w:r>
    </w:p>
    <w:p w14:paraId="63BF17B8">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当前，以大数据、云计算、5G网络、人工智能等为代表的新一代信息通信技术快速发展和跨界融合，加速全球数字化转型和国际数字贸易发展，推动国际经贸规则发展进入数字贸易规则时代。数据跨境在支撑国际贸易活动、促进跨国科技合作、推动数据资源共享方面的作用越来越凸显。加强数据跨境流动探索，已成为打造我国在全球数字经济发展格局中优势的关键。</w:t>
      </w:r>
    </w:p>
    <w:p w14:paraId="1F4AC8A3">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上海）自由贸易试验区临港新片区总体方案》（国发〔2019〕15号）提出，“实施国际互联网数据跨境安全有序流动。支持新片区聚焦集成电路、人工智能、生物医药、总部经济等关键领域，试点开展数据跨境流动的安全评估，建立数据保护能力认证、数据流通备份审查、跨境数据流通和交易风险评估等数据安全管理机制”。2021年，为落实国家对临港新片区试点开展数据跨境流动工作的要求，临港新片区管委会启动建设临港新片区数据便捷流通公共服务管理系统（以下简称“一期项目”），将智能网联汽车和车联网产业数据便捷流通作为试点切入点，提供对数据便捷流通过程进行受理、评估、监管、服务的可管可控的支撑软件系统。</w:t>
      </w:r>
    </w:p>
    <w:p w14:paraId="5BA0E19A">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5月，《中国（上海）自由贸易试验区临港新片区国际数据港数据流动操作指引（试行）》指出，临港新片区管委会负责建立数据流动工作统筹推进协调机制，建设“临港新片区数据跨境流动公共服务管理系统”，依托该系统开展数据流动备案的受理、审核、存证、检查等工作。2024年2月，《中国（上海）自由贸易试验区临港新片区数据跨境流动分类分级管理办法（试行）》（沪自贸临管规范〔2024〕3号）指出，以跨境需求最迫切的典型场景为切入口，对跨境数据进行分类</w:t>
      </w:r>
      <w:bookmarkStart w:id="49" w:name="_GoBack"/>
      <w:bookmarkEnd w:id="49"/>
      <w:r>
        <w:rPr>
          <w:rFonts w:hint="eastAsia" w:asciiTheme="minorEastAsia" w:hAnsiTheme="minorEastAsia" w:eastAsiaTheme="minorEastAsia" w:cstheme="minorEastAsia"/>
          <w:lang w:val="en-US" w:eastAsia="zh-CN"/>
        </w:rPr>
        <w:t>管理。数据处理者对在一般数据清单内的数据，可向临港新片区管委会申请登记备案，并在满足相关管理要求下自由流动。对纳入临港新片区管委会备案管理的数据跨境活动，临港新片区管委会依托“临港新片区数据便捷流通公共服务管理平台”，提供数据跨境流动合规服务。</w:t>
      </w:r>
    </w:p>
    <w:p w14:paraId="431EE95A">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为满足数据跨境流动新业务需求，需对一期项目进行迭代与可拓展性提升，保障临港新片区相关数据便捷流通政策的落地，实现数据跨境可管可控。</w:t>
      </w:r>
    </w:p>
    <w:p w14:paraId="75400586">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采购单位概述</w:t>
      </w:r>
    </w:p>
    <w:p w14:paraId="0D71DF1E">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上海市临港新片区行政服务中心(上海市临港新片区大数据中心)，为中国(上海)自由贸易试验区临港新片区管理委员会所属公益一类事业单位，机构规格为相当于副处级，主要承担统筹临港新片区行政服务和“一网通办”等政务服务事务，协助推进一体化信息管理服务平台、智慧城市等信息化管理系统的建设运行维护事务，做好相关数据统计归集和应用管理等相关事务性工作。 </w:t>
      </w:r>
    </w:p>
    <w:p w14:paraId="537BDF8A">
      <w:pPr>
        <w:bidi w:val="0"/>
        <w:rPr>
          <w:rFonts w:hint="eastAsia"/>
        </w:rPr>
      </w:pPr>
      <w:r>
        <w:rPr>
          <w:rFonts w:hint="eastAsia" w:asciiTheme="minorEastAsia" w:hAnsiTheme="minorEastAsia" w:eastAsiaTheme="minorEastAsia" w:cstheme="minorEastAsia"/>
        </w:rPr>
        <w:t>上海市临港新片区大数据中心代表管委会和业务需求单位，履行项目法人单位职责。负责对接各业务需求部门，综合统筹信息化需求和技术方案；负责数字化发展项目的建设管理、运维服务、技术支撑等；组织采购实施、项目验收、项目运维、信息安全、技术保障等工作。以数据归集共享服务和底座算力算法支撑为两大核心抓手，以临港新片区一体化信息管理服务平台、“一网通办”和“一网统管”等为依托，承担临港新片区公共数据的归集、存储、编目、质量管理、融合、分析、共享和安全保障工作；承担临港新片区接入政务外网、政务云算力资源应用和人工智能等通用技术算法能力的建设和运维。</w:t>
      </w:r>
    </w:p>
    <w:p w14:paraId="3AE4C511">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项目目标</w:t>
      </w:r>
    </w:p>
    <w:p w14:paraId="6DC830DC">
      <w:pPr>
        <w:pStyle w:val="19"/>
        <w:ind w:firstLine="56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数据便捷流通公共服务管理系统（二期）的建设是为了更好的服务于最新管理办法、新业务流程、新业务需求与用户主体，根据业务部门的职责要求，进行系统全量迭代与可拓展性提升，保障临港新片区相关数据便捷流通政策的落地，实现数据跨境可管可控，形成“事前备案审核，事中存证传输，事后监督检查”为核心指导思想的临港新片区数据跨境完整业务闭环，为数据主体提供一站式、全流程数据跨境服务与管理，包括咨询辅导、事前备案审核、事中存证传输、事后监督检查等环节，实现统一平台、统一服务、统一管理，建成“安全合规、高效精准、服管结合”的数据跨境服务管理平台，形成“轻量化、放得开、守得住”的数据跨境“临港模式”。</w:t>
      </w:r>
    </w:p>
    <w:p w14:paraId="365E0640">
      <w:pPr>
        <w:pStyle w:val="19"/>
        <w:ind w:firstLine="56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扩大</w:t>
      </w:r>
      <w:r>
        <w:rPr>
          <w:rFonts w:hint="eastAsia" w:asciiTheme="minorEastAsia" w:hAnsiTheme="minorEastAsia" w:eastAsiaTheme="minorEastAsia" w:cstheme="minorEastAsia"/>
          <w:b/>
          <w:bCs/>
          <w:lang w:val="en-US" w:eastAsia="zh-CN"/>
        </w:rPr>
        <w:t>业务</w:t>
      </w:r>
      <w:r>
        <w:rPr>
          <w:rFonts w:hint="eastAsia" w:asciiTheme="minorEastAsia" w:hAnsiTheme="minorEastAsia" w:eastAsiaTheme="minorEastAsia" w:cstheme="minorEastAsia"/>
          <w:b/>
          <w:bCs/>
        </w:rPr>
        <w:t>服务范围</w:t>
      </w:r>
    </w:p>
    <w:p w14:paraId="4774920B">
      <w:pPr>
        <w:pStyle w:val="19"/>
        <w:ind w:firstLine="56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将原</w:t>
      </w:r>
      <w:r>
        <w:rPr>
          <w:rFonts w:hint="eastAsia" w:asciiTheme="minorEastAsia" w:hAnsiTheme="minorEastAsia" w:eastAsiaTheme="minorEastAsia" w:cstheme="minorEastAsia"/>
          <w:lang w:val="en-US" w:eastAsia="zh-CN"/>
        </w:rPr>
        <w:t>一期系统</w:t>
      </w:r>
      <w:r>
        <w:rPr>
          <w:rFonts w:hint="eastAsia" w:asciiTheme="minorEastAsia" w:hAnsiTheme="minorEastAsia" w:eastAsiaTheme="minorEastAsia" w:cstheme="minorEastAsia"/>
        </w:rPr>
        <w:t>面向智能网联汽车和车联网试点的备案审批、传输存证和监管抽查业务流程模式</w:t>
      </w:r>
      <w:r>
        <w:rPr>
          <w:rFonts w:hint="eastAsia" w:asciiTheme="minorEastAsia" w:hAnsiTheme="minorEastAsia" w:eastAsiaTheme="minorEastAsia" w:cstheme="minorEastAsia"/>
          <w:lang w:val="en-US" w:eastAsia="zh-CN"/>
        </w:rPr>
        <w:t>升级</w:t>
      </w:r>
      <w:r>
        <w:rPr>
          <w:rFonts w:hint="eastAsia" w:asciiTheme="minorEastAsia" w:hAnsiTheme="minorEastAsia" w:eastAsiaTheme="minorEastAsia" w:cstheme="minorEastAsia"/>
        </w:rPr>
        <w:t>为面向数据主体备案场景的备案审批、传输存证和常规检查、抽查和专项检查业务流程模式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从小范围试点调整为备案制管理，业务服务范围进一步扩大。</w:t>
      </w:r>
    </w:p>
    <w:p w14:paraId="7A85A2B7">
      <w:pPr>
        <w:pStyle w:val="19"/>
        <w:ind w:firstLine="56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（2）满足业务发展需求</w:t>
      </w:r>
    </w:p>
    <w:p w14:paraId="09578F55">
      <w:pPr>
        <w:pStyle w:val="19"/>
        <w:ind w:firstLine="56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数据跨境作为制度探索领域，</w:t>
      </w:r>
      <w:r>
        <w:rPr>
          <w:rFonts w:hint="eastAsia" w:asciiTheme="minorEastAsia" w:hAnsiTheme="minorEastAsia" w:eastAsiaTheme="minorEastAsia" w:cstheme="minorEastAsia"/>
        </w:rPr>
        <w:t>政策变化、业务迭代</w:t>
      </w:r>
      <w:r>
        <w:rPr>
          <w:rFonts w:hint="eastAsia" w:asciiTheme="minorEastAsia" w:hAnsiTheme="minorEastAsia" w:eastAsiaTheme="minorEastAsia" w:cstheme="minorEastAsia"/>
          <w:lang w:val="en-US" w:eastAsia="zh-CN"/>
        </w:rPr>
        <w:t>充满不确定性</w:t>
      </w:r>
      <w:r>
        <w:rPr>
          <w:rFonts w:hint="eastAsia"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该</w:t>
      </w:r>
      <w:r>
        <w:rPr>
          <w:rFonts w:hint="eastAsia" w:asciiTheme="minorEastAsia" w:hAnsiTheme="minorEastAsia" w:eastAsiaTheme="minorEastAsia" w:cstheme="minorEastAsia"/>
        </w:rPr>
        <w:t>系统</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灵活性、可拓展性提出</w:t>
      </w:r>
      <w:r>
        <w:rPr>
          <w:rFonts w:hint="eastAsia" w:asciiTheme="minorEastAsia" w:hAnsiTheme="minorEastAsia" w:eastAsiaTheme="minorEastAsia" w:cstheme="minorEastAsia"/>
          <w:lang w:val="en-US" w:eastAsia="zh-CN"/>
        </w:rPr>
        <w:t>高</w:t>
      </w:r>
      <w:r>
        <w:rPr>
          <w:rFonts w:hint="eastAsia" w:asciiTheme="minorEastAsia" w:hAnsiTheme="minorEastAsia" w:eastAsiaTheme="minorEastAsia" w:cstheme="minorEastAsia"/>
        </w:rPr>
        <w:t>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本系统在底层架构上需支持组织架构、业务流程调整，同时进一步</w:t>
      </w:r>
      <w:r>
        <w:rPr>
          <w:rFonts w:hint="eastAsia" w:asciiTheme="minorEastAsia" w:hAnsiTheme="minorEastAsia" w:eastAsiaTheme="minorEastAsia" w:cstheme="minorEastAsia"/>
        </w:rPr>
        <w:t>强化</w:t>
      </w:r>
      <w:r>
        <w:rPr>
          <w:rFonts w:hint="eastAsia" w:asciiTheme="minorEastAsia" w:hAnsiTheme="minorEastAsia" w:eastAsiaTheme="minorEastAsia" w:cstheme="minorEastAsia"/>
          <w:lang w:val="en-US" w:eastAsia="zh-CN"/>
        </w:rPr>
        <w:t>接口对接与</w:t>
      </w:r>
      <w:r>
        <w:rPr>
          <w:rFonts w:hint="eastAsia" w:asciiTheme="minorEastAsia" w:hAnsiTheme="minorEastAsia" w:eastAsiaTheme="minorEastAsia" w:cstheme="minorEastAsia"/>
        </w:rPr>
        <w:t>扩展性设计，后续业务流程</w:t>
      </w:r>
      <w:r>
        <w:rPr>
          <w:rFonts w:hint="eastAsia" w:asciiTheme="minorEastAsia" w:hAnsiTheme="minorEastAsia" w:eastAsiaTheme="minorEastAsia" w:cstheme="minorEastAsia"/>
          <w:lang w:val="en-US" w:eastAsia="zh-CN"/>
        </w:rPr>
        <w:t>调整需</w:t>
      </w:r>
      <w:r>
        <w:rPr>
          <w:rFonts w:hint="eastAsia" w:asciiTheme="minorEastAsia" w:hAnsiTheme="minorEastAsia" w:eastAsiaTheme="minorEastAsia" w:cstheme="minorEastAsia"/>
        </w:rPr>
        <w:t>通过对接大数据中心工作流引擎迭代</w:t>
      </w:r>
      <w:r>
        <w:rPr>
          <w:rFonts w:hint="eastAsia" w:asciiTheme="minorEastAsia" w:hAnsiTheme="minorEastAsia" w:eastAsiaTheme="minorEastAsia" w:cstheme="minorEastAsia"/>
          <w:lang w:val="en-US" w:eastAsia="zh-CN"/>
        </w:rPr>
        <w:t>支撑</w:t>
      </w:r>
      <w:r>
        <w:rPr>
          <w:rFonts w:hint="eastAsia" w:asciiTheme="minorEastAsia" w:hAnsiTheme="minorEastAsia" w:eastAsiaTheme="minorEastAsia" w:cstheme="minorEastAsia"/>
        </w:rPr>
        <w:t>实现。</w:t>
      </w:r>
      <w:r>
        <w:rPr>
          <w:rFonts w:hint="eastAsia" w:asciiTheme="minorEastAsia" w:hAnsiTheme="minorEastAsia" w:eastAsiaTheme="minorEastAsia" w:cstheme="minorEastAsia"/>
          <w:lang w:val="en-US" w:eastAsia="zh-CN"/>
        </w:rPr>
        <w:t>本系统需新增正面操作指引（</w:t>
      </w:r>
      <w:r>
        <w:rPr>
          <w:rFonts w:hint="eastAsia" w:asciiTheme="minorEastAsia" w:hAnsiTheme="minorEastAsia" w:eastAsiaTheme="minorEastAsia" w:cstheme="minorEastAsia"/>
        </w:rPr>
        <w:t>一般数据清单</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备案业务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新增数据跨境服务中心服务业务，以满足最新政策要求及业务部门需求。从远期系统迭代和当前业务需求实现两个方面着手，实现系统满足业务发展成长的需求。</w:t>
      </w:r>
    </w:p>
    <w:p w14:paraId="39763AA0">
      <w:pPr>
        <w:pStyle w:val="19"/>
        <w:numPr>
          <w:ilvl w:val="0"/>
          <w:numId w:val="2"/>
        </w:numPr>
        <w:ind w:firstLine="56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实现数据跨境</w:t>
      </w:r>
      <w:r>
        <w:rPr>
          <w:rFonts w:hint="eastAsia" w:asciiTheme="minorEastAsia" w:hAnsiTheme="minorEastAsia" w:eastAsiaTheme="minorEastAsia" w:cstheme="minorEastAsia"/>
          <w:b/>
          <w:bCs/>
        </w:rPr>
        <w:t>“轻量化、放得开、守得住”</w:t>
      </w:r>
    </w:p>
    <w:p w14:paraId="5D0B10D0">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lang w:val="en-US" w:eastAsia="zh-CN"/>
        </w:rPr>
        <w:t>本期对数据跨境存证管理、检查管理提出了新要求，作为提供服务与监管职能的平台定位，要求在数据跨境服务与监管之间利用技术手段，实现“</w:t>
      </w:r>
      <w:r>
        <w:rPr>
          <w:rFonts w:hint="eastAsia" w:asciiTheme="minorEastAsia" w:hAnsiTheme="minorEastAsia" w:eastAsiaTheme="minorEastAsia" w:cstheme="minorEastAsia"/>
        </w:rPr>
        <w:t>轻量化、放得开、守得住</w:t>
      </w:r>
      <w:r>
        <w:rPr>
          <w:rFonts w:hint="eastAsia" w:asciiTheme="minorEastAsia" w:hAnsiTheme="minorEastAsia" w:eastAsiaTheme="minorEastAsia" w:cstheme="minorEastAsia"/>
          <w:b w:val="0"/>
          <w:bCs w:val="0"/>
          <w:lang w:val="en-US" w:eastAsia="zh-CN"/>
        </w:rPr>
        <w:t>”，尽量不增加企业额外成本（包括技术成本、资金成本），同时保障实际跨境数据与备案数据的一致性，实现优质服务与轻量化有效监管的“双赢”。</w:t>
      </w:r>
    </w:p>
    <w:p w14:paraId="75E19889">
      <w:pPr>
        <w:pStyle w:val="3"/>
        <w:bidi w:val="0"/>
        <w:ind w:left="432" w:leftChars="0" w:hanging="432" w:firstLineChars="0"/>
        <w:rPr>
          <w:rFonts w:hint="eastAsia" w:ascii="楷体" w:hAnsi="楷体" w:eastAsia="楷体" w:cs="楷体"/>
        </w:rPr>
      </w:pPr>
      <w:r>
        <w:rPr>
          <w:rFonts w:hint="eastAsia" w:ascii="楷体" w:hAnsi="楷体" w:cs="楷体"/>
          <w:lang w:val="en-US" w:eastAsia="zh-CN"/>
        </w:rPr>
        <w:t>采购内容</w:t>
      </w:r>
    </w:p>
    <w:p w14:paraId="6AD96F25">
      <w:pPr>
        <w:bidi w:val="0"/>
        <w:rPr>
          <w:rFonts w:hint="eastAsia" w:asciiTheme="minorEastAsia" w:hAnsiTheme="minorEastAsia" w:eastAsiaTheme="minorEastAsia" w:cstheme="minorEastAsia"/>
          <w:lang w:val="zh-CN"/>
        </w:rPr>
      </w:pPr>
      <w:r>
        <w:rPr>
          <w:rFonts w:hint="eastAsia" w:ascii="宋体" w:hAnsi="宋体" w:eastAsia="宋体" w:cs="宋体"/>
        </w:rPr>
        <w:t>项目</w:t>
      </w:r>
      <w:r>
        <w:rPr>
          <w:rFonts w:hint="eastAsia" w:ascii="宋体" w:hAnsi="宋体" w:cs="宋体"/>
          <w:lang w:val="en-US" w:eastAsia="zh-CN"/>
        </w:rPr>
        <w:t>面向</w:t>
      </w:r>
      <w:r>
        <w:rPr>
          <w:rFonts w:hint="eastAsia" w:ascii="宋体" w:hAnsi="宋体" w:eastAsia="宋体" w:cs="宋体"/>
        </w:rPr>
        <w:t>临港新片区管委会和企业侧用户。其中管委会用户人数约20人，企业侧用户约120家、每家用户2-3人。</w:t>
      </w:r>
      <w:r>
        <w:rPr>
          <w:rFonts w:hint="eastAsia" w:ascii="宋体" w:hAnsi="宋体" w:cs="宋体"/>
          <w:lang w:val="en-US" w:eastAsia="zh-CN"/>
        </w:rPr>
        <w:t>需</w:t>
      </w:r>
      <w:r>
        <w:rPr>
          <w:rFonts w:hint="eastAsia" w:ascii="宋体" w:hAnsi="宋体" w:eastAsia="宋体" w:cs="宋体"/>
        </w:rPr>
        <w:t>建设一套 “临港新片区数据便捷流通公共服务管理系统（二期）”</w:t>
      </w:r>
      <w:r>
        <w:rPr>
          <w:rFonts w:hint="eastAsia" w:ascii="宋体" w:hAnsi="宋体" w:cs="宋体"/>
          <w:lang w:val="en-US" w:eastAsia="zh-CN"/>
        </w:rPr>
        <w:t>系统</w:t>
      </w:r>
      <w:r>
        <w:rPr>
          <w:rFonts w:hint="eastAsia" w:ascii="宋体" w:hAnsi="宋体" w:eastAsia="宋体" w:cs="宋体"/>
        </w:rPr>
        <w:t>，分为基础层、支撑层、应用层和访问层。具体包括“1”个公共服务门户，作为用户的主要接入点和信息展示窗口；“4”大满足各类用户需求的备案申请子系统、审核监管子系统、综合展示子系统、后台管理子系统；“2”个访问入口，包括互联网访问入口和政务外网访问入口；“1”套具有强大支撑能力的可视化引擎、流程引擎、消息服务支撑能力层；“1”套提供计算资源、存储资源、网络资源的基础设施层。</w:t>
      </w:r>
      <w:r>
        <w:rPr>
          <w:rFonts w:hint="eastAsia" w:asciiTheme="minorEastAsia" w:hAnsiTheme="minorEastAsia" w:eastAsiaTheme="minorEastAsia" w:cstheme="minorEastAsia"/>
          <w:lang w:val="zh-CN"/>
        </w:rPr>
        <w:t>该项目建设内容</w:t>
      </w:r>
      <w:r>
        <w:rPr>
          <w:rFonts w:hint="eastAsia" w:asciiTheme="minorEastAsia" w:hAnsiTheme="minorEastAsia" w:eastAsiaTheme="minorEastAsia" w:cstheme="minorEastAsia"/>
          <w:lang w:val="en-US" w:eastAsia="zh-CN"/>
        </w:rPr>
        <w:t>为</w:t>
      </w:r>
      <w:r>
        <w:rPr>
          <w:rFonts w:hint="eastAsia" w:asciiTheme="minorEastAsia" w:hAnsiTheme="minorEastAsia" w:eastAsiaTheme="minorEastAsia" w:cstheme="minorEastAsia"/>
          <w:lang w:val="zh-CN"/>
        </w:rPr>
        <w:t>：</w:t>
      </w:r>
    </w:p>
    <w:p w14:paraId="4499F800">
      <w:pPr>
        <w:bidi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rPr>
        <w:t>公共服务门户</w:t>
      </w:r>
      <w:r>
        <w:rPr>
          <w:rFonts w:hint="eastAsia" w:asciiTheme="minorEastAsia" w:hAnsiTheme="minorEastAsia" w:eastAsiaTheme="minorEastAsia" w:cstheme="minorEastAsia"/>
          <w:b/>
          <w:bCs/>
          <w:lang w:eastAsia="zh-CN"/>
        </w:rPr>
        <w:t>：</w:t>
      </w:r>
      <w:r>
        <w:t>该子系统主要面向数据主体</w:t>
      </w:r>
      <w:r>
        <w:rPr>
          <w:rFonts w:hint="eastAsia"/>
          <w:lang w:eastAsia="zh-CN"/>
        </w:rPr>
        <w:t>、</w:t>
      </w:r>
      <w:r>
        <w:rPr>
          <w:rFonts w:hint="eastAsia"/>
          <w:lang w:val="en-US" w:eastAsia="zh-CN"/>
        </w:rPr>
        <w:t>服务</w:t>
      </w:r>
      <w:r>
        <w:t>中心</w:t>
      </w:r>
      <w:r>
        <w:rPr>
          <w:rFonts w:hint="eastAsia"/>
          <w:lang w:eastAsia="zh-CN"/>
        </w:rPr>
        <w:t>、</w:t>
      </w:r>
      <w:r>
        <w:rPr>
          <w:rFonts w:hint="eastAsia"/>
          <w:lang w:val="en-US" w:eastAsia="zh-CN"/>
        </w:rPr>
        <w:t>工作专班</w:t>
      </w:r>
      <w:r>
        <w:t>。</w:t>
      </w:r>
      <w:r>
        <w:rPr>
          <w:rFonts w:hint="eastAsia"/>
          <w:lang w:val="en-US" w:eastAsia="zh-CN"/>
        </w:rPr>
        <w:t>系统功能</w:t>
      </w:r>
      <w:r>
        <w:rPr>
          <w:rFonts w:hint="eastAsia" w:asciiTheme="minorEastAsia" w:hAnsiTheme="minorEastAsia" w:eastAsiaTheme="minorEastAsia" w:cstheme="minorEastAsia"/>
        </w:rPr>
        <w:t>包括：门户首页、服务展示、资讯公告、咨询</w:t>
      </w:r>
      <w:r>
        <w:rPr>
          <w:rFonts w:hint="eastAsia" w:asciiTheme="minorEastAsia" w:hAnsiTheme="minorEastAsia" w:eastAsiaTheme="minorEastAsia" w:cstheme="minorEastAsia"/>
          <w:lang w:val="zh-CN"/>
        </w:rPr>
        <w:t>服务、快捷通道、快速搜索、中英文切换。</w:t>
      </w:r>
    </w:p>
    <w:p w14:paraId="747DDD9E">
      <w:pPr>
        <w:pStyle w:val="19"/>
        <w:ind w:firstLine="562"/>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lang w:val="zh-CN"/>
        </w:rPr>
        <w:t>备案申请子系统：</w:t>
      </w:r>
      <w:r>
        <w:t>该子系统主要面向数据主体及</w:t>
      </w:r>
      <w:r>
        <w:rPr>
          <w:rFonts w:hint="eastAsia"/>
          <w:lang w:val="en-US" w:eastAsia="zh-CN"/>
        </w:rPr>
        <w:t>服务中心、工作专班</w:t>
      </w:r>
      <w:r>
        <w:t>。</w:t>
      </w:r>
      <w:r>
        <w:rPr>
          <w:rFonts w:hint="eastAsia"/>
          <w:lang w:val="en-US" w:eastAsia="zh-CN"/>
        </w:rPr>
        <w:t>系统功能</w:t>
      </w:r>
      <w:r>
        <w:rPr>
          <w:rFonts w:hint="eastAsia" w:asciiTheme="minorEastAsia" w:hAnsiTheme="minorEastAsia" w:eastAsiaTheme="minorEastAsia" w:cstheme="minorEastAsia"/>
          <w:lang w:val="zh-CN"/>
        </w:rPr>
        <w:t>包括：统一登录、用户指引、预约服务、备案申请管理、正面清单操作指引需求征集、互动专区、用户协议、基本信息管理、接收方/中转国家IP地址信息录入、数据主体备案临期清单、数据暂存、文件下载。</w:t>
      </w:r>
    </w:p>
    <w:p w14:paraId="4B50FC69">
      <w:pPr>
        <w:bidi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lang w:val="zh-CN"/>
        </w:rPr>
        <w:t>审核监管子系统：</w:t>
      </w:r>
      <w:r>
        <w:rPr>
          <w:rFonts w:hint="eastAsia" w:asciiTheme="minorEastAsia" w:hAnsiTheme="minorEastAsia" w:eastAsiaTheme="minorEastAsia" w:cstheme="minorEastAsia"/>
          <w:b w:val="0"/>
          <w:bCs w:val="0"/>
          <w:lang w:val="en-US" w:eastAsia="zh-CN"/>
        </w:rPr>
        <w:t>该</w:t>
      </w:r>
      <w:r>
        <w:rPr>
          <w:rFonts w:hint="eastAsia"/>
        </w:rPr>
        <w:t>子系统</w:t>
      </w:r>
      <w:r>
        <w:rPr>
          <w:rFonts w:hint="eastAsia"/>
          <w:lang w:val="en-US" w:eastAsia="zh-CN"/>
        </w:rPr>
        <w:t>主要面向政府侧，系统功能</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val="zh-CN"/>
        </w:rPr>
        <w:t>备案审核管理、存证管理、正面清单操作指引管理、备案场景管理、检查管理、资讯公告管理、预约管理、咨询管理。</w:t>
      </w:r>
    </w:p>
    <w:p w14:paraId="0ABDA40C">
      <w:pPr>
        <w:bidi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lang w:val="zh-CN"/>
        </w:rPr>
        <w:t>综合展示子系统：</w:t>
      </w:r>
      <w:r>
        <w:t>该子系统主要面向数据主体</w:t>
      </w:r>
      <w:r>
        <w:rPr>
          <w:rFonts w:hint="eastAsia"/>
          <w:lang w:eastAsia="zh-CN"/>
        </w:rPr>
        <w:t>、</w:t>
      </w:r>
      <w:r>
        <w:rPr>
          <w:rFonts w:hint="eastAsia"/>
          <w:lang w:val="en-US" w:eastAsia="zh-CN"/>
        </w:rPr>
        <w:t>服务中心</w:t>
      </w:r>
      <w:r>
        <w:t>与</w:t>
      </w:r>
      <w:r>
        <w:rPr>
          <w:rFonts w:hint="eastAsia"/>
          <w:lang w:val="en-US" w:eastAsia="zh-CN"/>
        </w:rPr>
        <w:t>工作专班</w:t>
      </w:r>
      <w:r>
        <w:t>。</w:t>
      </w:r>
      <w:r>
        <w:rPr>
          <w:rFonts w:hint="eastAsia"/>
          <w:lang w:val="en-US" w:eastAsia="zh-CN"/>
        </w:rPr>
        <w:t>系统功能</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val="zh-CN"/>
        </w:rPr>
        <w:t>数据可视化看板、跨境服务中心窗口现场统计展示、数据跨境展示大屏、个性化展示。</w:t>
      </w:r>
    </w:p>
    <w:p w14:paraId="51F80DCC">
      <w:pPr>
        <w:pStyle w:val="19"/>
        <w:ind w:firstLine="562"/>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lang w:val="zh-CN"/>
        </w:rPr>
        <w:t>后台管理子系统：</w:t>
      </w:r>
      <w:r>
        <w:rPr>
          <w:rFonts w:hint="eastAsia" w:asciiTheme="minorEastAsia" w:hAnsiTheme="minorEastAsia" w:eastAsiaTheme="minorEastAsia" w:cstheme="minorEastAsia"/>
          <w:b w:val="0"/>
          <w:bCs w:val="0"/>
          <w:lang w:val="zh-CN"/>
        </w:rPr>
        <w:t>该子系统主要面向工作专班。</w:t>
      </w:r>
      <w:r>
        <w:rPr>
          <w:rFonts w:hint="eastAsia" w:asciiTheme="minorEastAsia" w:hAnsiTheme="minorEastAsia" w:eastAsiaTheme="minorEastAsia" w:cstheme="minorEastAsia"/>
          <w:b w:val="0"/>
          <w:bCs w:val="0"/>
          <w:lang w:val="en-US" w:eastAsia="zh-CN"/>
        </w:rPr>
        <w:t>系统功能</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val="zh-CN"/>
        </w:rPr>
        <w:t>独立用户系统管理、第三方单位管理、系统管理、报表报告、数据标签、安全管理、系统对接，</w:t>
      </w:r>
      <w:r>
        <w:rPr>
          <w:rFonts w:hint="eastAsia"/>
        </w:rPr>
        <w:t>保障平台的稳定运行和高效管理。</w:t>
      </w:r>
    </w:p>
    <w:p w14:paraId="3F74C452">
      <w:pPr>
        <w:bidi w:val="0"/>
        <w:rPr>
          <w:rFonts w:hint="eastAsia" w:asciiTheme="minorEastAsia" w:hAnsiTheme="minorEastAsia" w:eastAsiaTheme="minorEastAsia" w:cstheme="minorEastAsia"/>
          <w:kern w:val="2"/>
          <w:sz w:val="28"/>
          <w:szCs w:val="28"/>
          <w:lang w:val="zh-CN" w:eastAsia="zh-CN" w:bidi="ar-SA"/>
        </w:rPr>
      </w:pPr>
      <w:r>
        <w:rPr>
          <w:rFonts w:hint="eastAsia" w:asciiTheme="minorEastAsia" w:hAnsiTheme="minorEastAsia" w:eastAsiaTheme="minorEastAsia" w:cstheme="minorEastAsia"/>
          <w:b/>
          <w:bCs/>
          <w:lang w:val="zh-CN"/>
        </w:rPr>
        <w:t>密码应用改造。</w:t>
      </w:r>
      <w:r>
        <w:rPr>
          <w:rFonts w:hint="eastAsia" w:asciiTheme="minorEastAsia" w:hAnsiTheme="minorEastAsia" w:eastAsiaTheme="minorEastAsia" w:cstheme="minorEastAsia"/>
          <w:kern w:val="2"/>
          <w:sz w:val="28"/>
          <w:szCs w:val="28"/>
          <w:lang w:val="zh-CN" w:eastAsia="zh-CN" w:bidi="ar-SA"/>
        </w:rPr>
        <w:t>加强安全风险监测，增强信息安全及</w:t>
      </w:r>
      <w:r>
        <w:rPr>
          <w:rFonts w:hint="eastAsia" w:asciiTheme="minorEastAsia" w:hAnsiTheme="minorEastAsia" w:eastAsiaTheme="minorEastAsia" w:cstheme="minorEastAsia"/>
          <w:kern w:val="2"/>
          <w:sz w:val="28"/>
          <w:szCs w:val="28"/>
          <w:lang w:val="en-US" w:eastAsia="zh-CN" w:bidi="ar-SA"/>
        </w:rPr>
        <w:t>数</w:t>
      </w:r>
      <w:r>
        <w:rPr>
          <w:rFonts w:hint="eastAsia" w:asciiTheme="minorEastAsia" w:hAnsiTheme="minorEastAsia" w:eastAsiaTheme="minorEastAsia" w:cstheme="minorEastAsia"/>
          <w:kern w:val="2"/>
          <w:sz w:val="28"/>
          <w:szCs w:val="28"/>
          <w:lang w:val="zh-CN" w:eastAsia="zh-CN" w:bidi="ar-SA"/>
        </w:rPr>
        <w:t>据安全防护，</w:t>
      </w:r>
      <w:r>
        <w:rPr>
          <w:rFonts w:hint="eastAsia" w:asciiTheme="minorEastAsia" w:hAnsiTheme="minorEastAsia" w:eastAsiaTheme="minorEastAsia" w:cstheme="minorEastAsia"/>
          <w:kern w:val="2"/>
          <w:sz w:val="28"/>
          <w:szCs w:val="28"/>
          <w:lang w:val="en-US" w:eastAsia="zh-CN" w:bidi="ar-SA"/>
        </w:rPr>
        <w:t>确保系统安全、网络安全与数据安全</w:t>
      </w:r>
      <w:r>
        <w:rPr>
          <w:rFonts w:hint="eastAsia" w:asciiTheme="minorEastAsia" w:hAnsiTheme="minorEastAsia" w:eastAsiaTheme="minorEastAsia" w:cstheme="minorEastAsia"/>
          <w:kern w:val="2"/>
          <w:sz w:val="28"/>
          <w:szCs w:val="28"/>
          <w:lang w:val="zh-CN" w:eastAsia="zh-CN" w:bidi="ar-SA"/>
        </w:rPr>
        <w:t>。</w:t>
      </w:r>
    </w:p>
    <w:p w14:paraId="1FFC7F38">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项目时间</w:t>
      </w:r>
    </w:p>
    <w:p w14:paraId="567FD1A1">
      <w:pPr>
        <w:bidi w:val="0"/>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本项目建设周期为</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个月。</w:t>
      </w:r>
    </w:p>
    <w:p w14:paraId="41D4296E">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项目预算</w:t>
      </w:r>
    </w:p>
    <w:p w14:paraId="544F6B2F">
      <w:pPr>
        <w:bidi w:val="0"/>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项目总预算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4500</w:t>
      </w:r>
      <w:r>
        <w:rPr>
          <w:rFonts w:hint="eastAsia" w:asciiTheme="minorEastAsia" w:hAnsiTheme="minorEastAsia" w:eastAsiaTheme="minorEastAsia" w:cstheme="minorEastAsia"/>
        </w:rPr>
        <w:t>00.00元（人民币）；</w:t>
      </w:r>
    </w:p>
    <w:p w14:paraId="74459C15">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最高限价：3</w:t>
      </w:r>
      <w:r>
        <w:rPr>
          <w:rFonts w:hint="eastAsia" w:asciiTheme="minorEastAsia" w:hAnsiTheme="minorEastAsia" w:eastAsiaTheme="minorEastAsia" w:cstheme="minorEastAsia"/>
          <w:lang w:val="en-US" w:eastAsia="zh-CN"/>
        </w:rPr>
        <w:t>3000</w:t>
      </w:r>
      <w:r>
        <w:rPr>
          <w:rFonts w:hint="eastAsia" w:asciiTheme="minorEastAsia" w:hAnsiTheme="minorEastAsia" w:eastAsiaTheme="minorEastAsia" w:cstheme="minorEastAsia"/>
        </w:rPr>
        <w:t>00.00元（人民币）</w:t>
      </w:r>
      <w:r>
        <w:rPr>
          <w:rFonts w:hint="eastAsia" w:asciiTheme="minorEastAsia" w:hAnsiTheme="minorEastAsia" w:eastAsiaTheme="minorEastAsia" w:cstheme="minorEastAsia"/>
          <w:lang w:eastAsia="zh-CN"/>
        </w:rPr>
        <w:t>。</w:t>
      </w:r>
    </w:p>
    <w:p w14:paraId="0D19F17D">
      <w:pPr>
        <w:pStyle w:val="2"/>
        <w:bidi w:val="0"/>
        <w:ind w:left="432" w:leftChars="0" w:hanging="432" w:firstLineChars="0"/>
        <w:rPr>
          <w:rFonts w:hint="eastAsia" w:ascii="楷体" w:hAnsi="楷体" w:eastAsia="楷体" w:cs="楷体"/>
        </w:rPr>
      </w:pPr>
      <w:r>
        <w:rPr>
          <w:rFonts w:hint="eastAsia" w:ascii="楷体" w:hAnsi="楷体" w:cs="楷体"/>
          <w:lang w:val="en-US" w:eastAsia="zh-CN"/>
        </w:rPr>
        <w:t>技术质量要求</w:t>
      </w:r>
    </w:p>
    <w:p w14:paraId="5375172F">
      <w:pPr>
        <w:pStyle w:val="3"/>
        <w:bidi w:val="0"/>
        <w:ind w:left="432" w:leftChars="0" w:hanging="432" w:firstLineChars="0"/>
        <w:rPr>
          <w:rFonts w:hint="eastAsia" w:ascii="楷体" w:hAnsi="楷体" w:eastAsia="楷体" w:cs="楷体"/>
        </w:rPr>
      </w:pPr>
      <w:r>
        <w:rPr>
          <w:rFonts w:hint="eastAsia" w:ascii="楷体" w:hAnsi="楷体" w:eastAsia="楷体" w:cs="楷体"/>
        </w:rPr>
        <w:t>相关规范及标准</w:t>
      </w:r>
    </w:p>
    <w:p w14:paraId="30EEB5F2">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《中华人民共和国网络安全法》</w:t>
      </w:r>
    </w:p>
    <w:p w14:paraId="3EECC14F">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（2）《中华人民共和国数据安全法》</w:t>
      </w:r>
    </w:p>
    <w:p w14:paraId="79D41A22">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（3）《中华人民共和国个人信息保护法》</w:t>
      </w:r>
    </w:p>
    <w:p w14:paraId="49F4B9F5">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（4）《信息安全技术</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数据出境安全评估指南（草案）》</w:t>
      </w:r>
    </w:p>
    <w:p w14:paraId="506E7C96">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（5）《个人信息出境安全评估办法（征求意见稿）》</w:t>
      </w:r>
    </w:p>
    <w:p w14:paraId="49CF7DAB">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（6）《个人信息和重要数据出境安全评估办法（征求意见稿）》</w:t>
      </w:r>
    </w:p>
    <w:p w14:paraId="4D65FA96">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（7）《中华人民共和国地图管理条例》</w:t>
      </w:r>
    </w:p>
    <w:p w14:paraId="73024F92">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（8）《人口健康信息管理办法（试行）》</w:t>
      </w:r>
    </w:p>
    <w:p w14:paraId="155F8735">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（9）《汽车数据安全管理若干规定（试行）》</w:t>
      </w:r>
    </w:p>
    <w:p w14:paraId="3FA19C38">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（10）《数据出境安全评估办法》（国家互联网信息办公室令 第11号）</w:t>
      </w:r>
    </w:p>
    <w:p w14:paraId="29788C9B">
      <w:pPr>
        <w:pStyle w:val="19"/>
        <w:ind w:firstLine="56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lang w:eastAsia="zh-CN"/>
        </w:rPr>
        <w:t>）《促进和规范数据跨境流动规定》（国家互联网信息办公室令第16号）</w:t>
      </w:r>
    </w:p>
    <w:p w14:paraId="309336F6">
      <w:pPr>
        <w:pStyle w:val="19"/>
        <w:ind w:firstLine="56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lang w:eastAsia="zh-CN"/>
        </w:rPr>
        <w:t>）《上海市数据条例》</w:t>
      </w:r>
    </w:p>
    <w:p w14:paraId="6E94300B">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22080-2021 信息技术安全技术信息安全管理体系要求》</w:t>
      </w:r>
    </w:p>
    <w:p w14:paraId="65A04120">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22081-2021 信息技术安全技术信息安全管理实用规则》</w:t>
      </w:r>
    </w:p>
    <w:p w14:paraId="671413A8">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16260.1-2021《软件工程产品质量要求 第1部分：通用要求》</w:t>
      </w:r>
    </w:p>
    <w:p w14:paraId="1D4A429E">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16260.2-2021《软件工程产品质量要求 第2部分：安全性要求》</w:t>
      </w:r>
    </w:p>
    <w:p w14:paraId="74174519">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35631-2017《软件工程软件生存周期过程》</w:t>
      </w:r>
    </w:p>
    <w:p w14:paraId="5DCF1ABE">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20917.1-2021《软件工程测量过程 第1部分：通用要求》</w:t>
      </w:r>
    </w:p>
    <w:p w14:paraId="23EA2759">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20917.2-2021《软件工程测量过程 第2部分：安全性要求》</w:t>
      </w:r>
    </w:p>
    <w:p w14:paraId="23EFEC67">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22080-2021《信息技术安全技术信息安全管理体系要求》</w:t>
      </w:r>
    </w:p>
    <w:p w14:paraId="2861B431">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22239-</w:t>
      </w:r>
      <w:r>
        <w:rPr>
          <w:rFonts w:hint="eastAsia" w:asciiTheme="minorEastAsia" w:hAnsiTheme="minorEastAsia" w:eastAsiaTheme="minorEastAsia" w:cstheme="minorEastAsia"/>
          <w:lang w:val="en-US" w:eastAsia="zh-CN"/>
        </w:rPr>
        <w:t>2019</w:t>
      </w:r>
      <w:r>
        <w:rPr>
          <w:rFonts w:hint="eastAsia" w:asciiTheme="minorEastAsia" w:hAnsiTheme="minorEastAsia" w:eastAsiaTheme="minorEastAsia" w:cstheme="minorEastAsia"/>
        </w:rPr>
        <w:t>《信息安全技术</w:t>
      </w:r>
      <w:r>
        <w:rPr>
          <w:rFonts w:hint="eastAsia" w:asciiTheme="minorEastAsia" w:hAnsiTheme="minorEastAsia" w:eastAsiaTheme="minorEastAsia" w:cstheme="minorEastAsia"/>
          <w:lang w:eastAsia="zh-CN"/>
        </w:rPr>
        <w:t>网络安全等级保护基本要求</w:t>
      </w:r>
      <w:r>
        <w:rPr>
          <w:rFonts w:hint="eastAsia" w:asciiTheme="minorEastAsia" w:hAnsiTheme="minorEastAsia" w:eastAsiaTheme="minorEastAsia" w:cstheme="minorEastAsia"/>
        </w:rPr>
        <w:t>》</w:t>
      </w:r>
    </w:p>
    <w:p w14:paraId="4E55E478">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39326-2020《信息安全技术信息安全风险评估规范》</w:t>
      </w:r>
    </w:p>
    <w:p w14:paraId="0453A78F">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GB/T 22240-2021《信息安全技术信息系统安全等级保护定级指南》</w:t>
      </w:r>
    </w:p>
    <w:p w14:paraId="60265490">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《中国（上海）自由贸易试验区临港新片区数据跨境流动分类分级管理办法（试行）》（沪自贸临管规范〔2024〕3号）</w:t>
      </w:r>
    </w:p>
    <w:p w14:paraId="22231BAD">
      <w:pPr>
        <w:pStyle w:val="19"/>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《中国（上海）自由贸易试验区临港新片区国际数据港数据流动操作指引（试行）》</w:t>
      </w:r>
    </w:p>
    <w:p w14:paraId="6D9A0C28">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系统</w:t>
      </w:r>
      <w:r>
        <w:rPr>
          <w:rFonts w:hint="eastAsia" w:asciiTheme="majorEastAsia" w:hAnsiTheme="majorEastAsia" w:eastAsiaTheme="majorEastAsia" w:cstheme="majorEastAsia"/>
        </w:rPr>
        <w:t>性能需求</w:t>
      </w:r>
    </w:p>
    <w:p w14:paraId="19C21854">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临港新片区</w:t>
      </w:r>
      <w:r>
        <w:rPr>
          <w:rFonts w:hint="eastAsia" w:asciiTheme="minorEastAsia" w:hAnsiTheme="minorEastAsia" w:eastAsiaTheme="minorEastAsia" w:cstheme="minorEastAsia"/>
          <w:lang w:eastAsia="zh-CN"/>
        </w:rPr>
        <w:t>数据便捷流通公共服务管理系统（二期）</w:t>
      </w:r>
      <w:r>
        <w:rPr>
          <w:rFonts w:hint="eastAsia" w:asciiTheme="minorEastAsia" w:hAnsiTheme="minorEastAsia" w:eastAsiaTheme="minorEastAsia" w:cstheme="minorEastAsia"/>
        </w:rPr>
        <w:t>为现有系统的升级改造项目，系统用户划分为临港新片区管委会用户和数据主体用户，临港新片区管委会用户包括大数据中心系统管理运维人员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工作专班业务人员</w:t>
      </w:r>
      <w:r>
        <w:rPr>
          <w:rFonts w:hint="eastAsia" w:asciiTheme="minorEastAsia" w:hAnsiTheme="minorEastAsia" w:eastAsiaTheme="minorEastAsia" w:cstheme="minorEastAsia"/>
          <w:lang w:val="en-US" w:eastAsia="zh-CN"/>
        </w:rPr>
        <w:t>和服务中心业务人员</w:t>
      </w:r>
      <w:r>
        <w:rPr>
          <w:rFonts w:hint="eastAsia" w:asciiTheme="minorEastAsia" w:hAnsiTheme="minorEastAsia" w:eastAsiaTheme="minorEastAsia" w:cstheme="minorEastAsia"/>
        </w:rPr>
        <w:t>，系统的日访问量约</w:t>
      </w:r>
      <w:r>
        <w:rPr>
          <w:rFonts w:hint="eastAsia" w:asciiTheme="minorEastAsia" w:hAnsiTheme="minorEastAsia" w:eastAsiaTheme="minorEastAsia" w:cstheme="minorEastAsia"/>
          <w:lang w:val="en-US" w:eastAsia="zh-CN"/>
        </w:rPr>
        <w:t>52240</w:t>
      </w:r>
      <w:r>
        <w:rPr>
          <w:rFonts w:hint="eastAsia" w:asciiTheme="minorEastAsia" w:hAnsiTheme="minorEastAsia" w:eastAsiaTheme="minorEastAsia" w:cstheme="minorEastAsia"/>
        </w:rPr>
        <w:t>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系统包含</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个应用子系统，包括公共</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rPr>
        <w:t>门户、备案</w:t>
      </w:r>
      <w:r>
        <w:rPr>
          <w:rFonts w:hint="eastAsia" w:asciiTheme="minorEastAsia" w:hAnsiTheme="minorEastAsia" w:eastAsiaTheme="minorEastAsia" w:cstheme="minorEastAsia"/>
          <w:lang w:val="en-US" w:eastAsia="zh-CN"/>
        </w:rPr>
        <w:t>申请</w:t>
      </w:r>
      <w:r>
        <w:rPr>
          <w:rFonts w:hint="eastAsia" w:asciiTheme="minorEastAsia" w:hAnsiTheme="minorEastAsia" w:eastAsiaTheme="minorEastAsia" w:cstheme="minorEastAsia"/>
        </w:rPr>
        <w:t>子系统、</w:t>
      </w:r>
      <w:r>
        <w:rPr>
          <w:rFonts w:hint="eastAsia" w:asciiTheme="minorEastAsia" w:hAnsiTheme="minorEastAsia" w:eastAsiaTheme="minorEastAsia" w:cstheme="minorEastAsia"/>
          <w:lang w:val="en-US" w:eastAsia="zh-CN"/>
        </w:rPr>
        <w:t>审核监管子系统、</w:t>
      </w:r>
      <w:r>
        <w:rPr>
          <w:rFonts w:hint="eastAsia" w:asciiTheme="minorEastAsia" w:hAnsiTheme="minorEastAsia" w:eastAsiaTheme="minorEastAsia" w:cstheme="minorEastAsia"/>
        </w:rPr>
        <w:t>综合展示子系统、后台管理</w:t>
      </w:r>
      <w:r>
        <w:rPr>
          <w:rFonts w:hint="eastAsia" w:asciiTheme="minorEastAsia" w:hAnsiTheme="minorEastAsia" w:eastAsiaTheme="minorEastAsia" w:cstheme="minorEastAsia"/>
          <w:lang w:val="en-US" w:eastAsia="zh-CN"/>
        </w:rPr>
        <w:t>子</w:t>
      </w:r>
      <w:r>
        <w:rPr>
          <w:rFonts w:hint="eastAsia" w:asciiTheme="minorEastAsia" w:hAnsiTheme="minorEastAsia" w:eastAsiaTheme="minorEastAsia" w:cstheme="minorEastAsia"/>
        </w:rPr>
        <w:t>系统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系统产生业务数据</w:t>
      </w:r>
      <w:r>
        <w:rPr>
          <w:rFonts w:hint="eastAsia" w:asciiTheme="minorEastAsia" w:hAnsiTheme="minorEastAsia" w:eastAsiaTheme="minorEastAsia" w:cstheme="minorEastAsia"/>
          <w:lang w:val="en-US" w:eastAsia="zh-CN"/>
        </w:rPr>
        <w:t>约</w:t>
      </w:r>
      <w:r>
        <w:rPr>
          <w:rFonts w:hint="eastAsia" w:asciiTheme="minorEastAsia" w:hAnsiTheme="minorEastAsia" w:eastAsiaTheme="minorEastAsia" w:cstheme="minorEastAsia"/>
        </w:rPr>
        <w:t>459.71MB/天。</w:t>
      </w:r>
    </w:p>
    <w:p w14:paraId="51ABC62C">
      <w:pPr>
        <w:bidi w:val="0"/>
        <w:rPr>
          <w:rFonts w:hint="eastAsia" w:asciiTheme="minorEastAsia" w:hAnsiTheme="minorEastAsia" w:eastAsiaTheme="minorEastAsia" w:cstheme="minorEastAsia"/>
        </w:rPr>
      </w:pPr>
      <w:bookmarkStart w:id="0" w:name="_Toc147814422"/>
      <w:bookmarkEnd w:id="0"/>
      <w:bookmarkStart w:id="1" w:name="_Toc157417056"/>
      <w:r>
        <w:rPr>
          <w:rFonts w:hint="eastAsia" w:asciiTheme="minorEastAsia" w:hAnsiTheme="minorEastAsia" w:eastAsiaTheme="minorEastAsia" w:cstheme="minorEastAsia"/>
          <w:b/>
          <w:bCs/>
          <w:lang w:val="en-US" w:eastAsia="zh-CN"/>
        </w:rPr>
        <w:t>存储容量指标</w:t>
      </w:r>
      <w:bookmarkEnd w:id="1"/>
      <w:r>
        <w:rPr>
          <w:rFonts w:hint="eastAsia" w:asciiTheme="minorEastAsia" w:hAnsiTheme="minorEastAsia" w:eastAsiaTheme="minorEastAsia" w:cstheme="minorEastAsia"/>
          <w:b/>
          <w:bCs/>
          <w:lang w:val="en-US" w:eastAsia="zh-CN"/>
        </w:rPr>
        <w:t>需求：</w:t>
      </w:r>
      <w:r>
        <w:rPr>
          <w:rFonts w:hint="eastAsia" w:asciiTheme="minorEastAsia" w:hAnsiTheme="minorEastAsia" w:eastAsiaTheme="minorEastAsia" w:cstheme="minorEastAsia"/>
        </w:rPr>
        <w:t>基于数据的重要性，存储</w:t>
      </w:r>
      <w:r>
        <w:rPr>
          <w:rFonts w:hint="eastAsia" w:asciiTheme="minorEastAsia" w:hAnsiTheme="minorEastAsia" w:eastAsiaTheme="minorEastAsia" w:cstheme="minorEastAsia"/>
          <w:lang w:val="en-US" w:eastAsia="zh-CN"/>
        </w:rPr>
        <w:t>需</w:t>
      </w:r>
      <w:r>
        <w:rPr>
          <w:rFonts w:hint="eastAsia" w:asciiTheme="minorEastAsia" w:hAnsiTheme="minorEastAsia" w:eastAsiaTheme="minorEastAsia" w:cstheme="minorEastAsia"/>
        </w:rPr>
        <w:t>满足未来3年的需求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要求</w:t>
      </w:r>
      <w:r>
        <w:rPr>
          <w:rFonts w:hint="eastAsia" w:asciiTheme="minorEastAsia" w:hAnsiTheme="minorEastAsia" w:eastAsiaTheme="minorEastAsia" w:cstheme="minorEastAsia"/>
        </w:rPr>
        <w:t>数据库的数据存储量至少为3579.33GB，一般数据库存储需要考虑30%-50%的冗余量，避免数据库存储溢出，出现不可挽回的损失，此次所需存储容量为</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000G。</w:t>
      </w:r>
    </w:p>
    <w:p w14:paraId="49410698">
      <w:pPr>
        <w:bidi w:val="0"/>
        <w:rPr>
          <w:rFonts w:hint="eastAsia" w:asciiTheme="minorEastAsia" w:hAnsiTheme="minorEastAsia" w:eastAsiaTheme="minorEastAsia" w:cstheme="minorEastAsia"/>
        </w:rPr>
      </w:pPr>
      <w:bookmarkStart w:id="2" w:name="_Toc157417057"/>
      <w:r>
        <w:rPr>
          <w:rFonts w:hint="eastAsia" w:asciiTheme="minorEastAsia" w:hAnsiTheme="minorEastAsia" w:eastAsiaTheme="minorEastAsia" w:cstheme="minorEastAsia"/>
          <w:b/>
          <w:bCs/>
        </w:rPr>
        <w:t>计算性能指标</w:t>
      </w:r>
      <w:bookmarkEnd w:id="2"/>
      <w:r>
        <w:rPr>
          <w:rFonts w:hint="eastAsia" w:asciiTheme="minorEastAsia" w:hAnsiTheme="minorEastAsia" w:eastAsiaTheme="minorEastAsia" w:cstheme="minorEastAsia"/>
          <w:b/>
          <w:bCs/>
          <w:lang w:val="en-US" w:eastAsia="zh-CN"/>
        </w:rPr>
        <w:t>需求</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rPr>
        <w:t>为保证CPU充分发挥能力，提供可靠保证，一般认为系统冗余在30%左右，即保证性能的同时又保护投资的平衡点。考虑到高可靠性和高可用性，并注重设备的可扩展性和性价比，</w:t>
      </w:r>
      <w:r>
        <w:rPr>
          <w:rFonts w:hint="eastAsia" w:asciiTheme="minorEastAsia" w:hAnsiTheme="minorEastAsia" w:eastAsiaTheme="minorEastAsia" w:cstheme="minorEastAsia"/>
          <w:lang w:val="en-US" w:eastAsia="zh-CN"/>
        </w:rPr>
        <w:t>要求</w:t>
      </w:r>
      <w:r>
        <w:rPr>
          <w:rFonts w:hint="eastAsia" w:asciiTheme="minorEastAsia" w:hAnsiTheme="minorEastAsia" w:eastAsiaTheme="minorEastAsia" w:cstheme="minorEastAsia"/>
        </w:rPr>
        <w:t>用于系统运行的高性能服务器的TPC-C值应不小于</w:t>
      </w:r>
      <w:r>
        <w:rPr>
          <w:rFonts w:hint="eastAsia" w:asciiTheme="minorEastAsia" w:hAnsiTheme="minorEastAsia" w:eastAsiaTheme="minorEastAsia" w:cstheme="minorEastAsia"/>
          <w:lang w:val="en-US" w:eastAsia="zh-CN"/>
        </w:rPr>
        <w:t xml:space="preserve">17910.86 </w:t>
      </w:r>
      <w:r>
        <w:rPr>
          <w:rFonts w:hint="eastAsia" w:asciiTheme="minorEastAsia" w:hAnsiTheme="minorEastAsia" w:eastAsiaTheme="minorEastAsia" w:cstheme="minorEastAsia"/>
        </w:rPr>
        <w:t>tpmC。</w:t>
      </w:r>
    </w:p>
    <w:p w14:paraId="0E26C978">
      <w:pPr>
        <w:bidi w:val="0"/>
        <w:rPr>
          <w:rFonts w:hint="eastAsia" w:asciiTheme="minorEastAsia" w:hAnsiTheme="minorEastAsia" w:eastAsiaTheme="minorEastAsia" w:cstheme="minorEastAsia"/>
        </w:rPr>
      </w:pPr>
      <w:bookmarkStart w:id="3" w:name="_Toc157417058"/>
      <w:r>
        <w:rPr>
          <w:rFonts w:hint="eastAsia" w:asciiTheme="minorEastAsia" w:hAnsiTheme="minorEastAsia" w:eastAsiaTheme="minorEastAsia" w:cstheme="minorEastAsia"/>
          <w:b/>
          <w:bCs/>
        </w:rPr>
        <w:t>内存性能指标</w:t>
      </w:r>
      <w:bookmarkEnd w:id="3"/>
      <w:r>
        <w:rPr>
          <w:rFonts w:hint="eastAsia" w:asciiTheme="minorEastAsia" w:hAnsiTheme="minorEastAsia" w:eastAsiaTheme="minorEastAsia" w:cstheme="minorEastAsia"/>
          <w:b/>
          <w:bCs/>
          <w:lang w:val="en-US" w:eastAsia="zh-CN"/>
        </w:rPr>
        <w:t>需求：</w:t>
      </w:r>
      <w:r>
        <w:rPr>
          <w:rFonts w:hint="eastAsia" w:asciiTheme="minorEastAsia" w:hAnsiTheme="minorEastAsia" w:eastAsiaTheme="minorEastAsia" w:cstheme="minorEastAsia"/>
        </w:rPr>
        <w:t>数据库服务器配套的内存值不得小于10.21G，充分考虑一定的冗余，因此数据库服务器配套的内存≥16G。应用服务器配套的内存值不得小于6.11G，充分考虑一定的冗余，因此应用服务器配套的内存≥8G。</w:t>
      </w:r>
    </w:p>
    <w:p w14:paraId="607B0D01">
      <w:pPr>
        <w:pStyle w:val="11"/>
        <w:rPr>
          <w:rFonts w:hint="default" w:asciiTheme="minorEastAsia" w:hAnsiTheme="minorEastAsia" w:eastAsiaTheme="minorEastAsia" w:cstheme="minorEastAsia"/>
          <w:b/>
          <w:bCs/>
          <w:kern w:val="2"/>
          <w:sz w:val="28"/>
          <w:szCs w:val="24"/>
          <w:lang w:val="en-US" w:eastAsia="zh-CN" w:bidi="ar-SA"/>
        </w:rPr>
      </w:pPr>
      <w:r>
        <w:rPr>
          <w:rFonts w:hint="eastAsia" w:asciiTheme="minorEastAsia" w:hAnsiTheme="minorEastAsia" w:eastAsiaTheme="minorEastAsia" w:cstheme="minorEastAsia"/>
          <w:b/>
          <w:bCs/>
          <w:kern w:val="2"/>
          <w:sz w:val="28"/>
          <w:szCs w:val="24"/>
          <w:lang w:val="en-US" w:eastAsia="zh-CN" w:bidi="ar-SA"/>
        </w:rPr>
        <w:t>系统性能指标要求：</w:t>
      </w:r>
    </w:p>
    <w:p w14:paraId="23D6EB19">
      <w:pPr>
        <w:ind w:firstLine="560" w:firstLineChars="200"/>
        <w:rPr>
          <w:rFonts w:hint="eastAsia" w:ascii="宋体" w:hAnsi="宋体" w:eastAsia="宋体"/>
          <w:sz w:val="28"/>
          <w:szCs w:val="28"/>
        </w:rPr>
      </w:pPr>
      <w:r>
        <w:rPr>
          <w:rFonts w:hint="eastAsia" w:ascii="宋体" w:hAnsi="宋体" w:eastAsia="宋体"/>
          <w:sz w:val="28"/>
          <w:szCs w:val="28"/>
        </w:rPr>
        <w:t>（1）系统平均无故障时间应大于1万小时；</w:t>
      </w:r>
    </w:p>
    <w:p w14:paraId="005B60CB">
      <w:pPr>
        <w:ind w:firstLine="560" w:firstLineChars="200"/>
        <w:rPr>
          <w:rFonts w:hint="eastAsia" w:ascii="宋体" w:hAnsi="宋体" w:eastAsia="宋体"/>
          <w:sz w:val="28"/>
          <w:szCs w:val="28"/>
        </w:rPr>
      </w:pPr>
      <w:r>
        <w:rPr>
          <w:rFonts w:hint="eastAsia" w:ascii="宋体" w:hAnsi="宋体" w:eastAsia="宋体"/>
          <w:sz w:val="28"/>
          <w:szCs w:val="28"/>
        </w:rPr>
        <w:t>（2）系统平均响应速度1s,最大响应时间8s；</w:t>
      </w:r>
    </w:p>
    <w:p w14:paraId="3B9A990A">
      <w:pPr>
        <w:ind w:firstLine="560" w:firstLineChars="200"/>
        <w:rPr>
          <w:rFonts w:hint="eastAsia" w:ascii="宋体" w:hAnsi="宋体" w:eastAsia="宋体"/>
          <w:sz w:val="28"/>
          <w:szCs w:val="28"/>
        </w:rPr>
      </w:pPr>
      <w:r>
        <w:rPr>
          <w:rFonts w:hint="eastAsia" w:ascii="宋体" w:hAnsi="宋体" w:eastAsia="宋体"/>
          <w:sz w:val="28"/>
          <w:szCs w:val="28"/>
        </w:rPr>
        <w:t>（3）系统处理能力下降到20%的时间每年应小于20分钟；</w:t>
      </w:r>
    </w:p>
    <w:p w14:paraId="179B36F5">
      <w:pPr>
        <w:ind w:firstLine="560" w:firstLineChars="200"/>
        <w:rPr>
          <w:rFonts w:hint="eastAsia" w:ascii="宋体" w:hAnsi="宋体" w:eastAsia="宋体"/>
          <w:sz w:val="28"/>
          <w:szCs w:val="28"/>
        </w:rPr>
      </w:pPr>
      <w:r>
        <w:rPr>
          <w:rFonts w:hint="eastAsia" w:ascii="宋体" w:hAnsi="宋体" w:eastAsia="宋体"/>
          <w:sz w:val="28"/>
          <w:szCs w:val="28"/>
        </w:rPr>
        <w:t>（4）在98%的时间内系统处理能力均大于90%；</w:t>
      </w:r>
    </w:p>
    <w:p w14:paraId="7EB93BEA">
      <w:pPr>
        <w:ind w:firstLine="560" w:firstLineChars="200"/>
        <w:rPr>
          <w:rFonts w:hint="eastAsia"/>
        </w:rPr>
      </w:pPr>
      <w:r>
        <w:rPr>
          <w:rFonts w:hint="eastAsia" w:ascii="宋体" w:hAnsi="宋体" w:eastAsia="宋体"/>
          <w:sz w:val="28"/>
          <w:szCs w:val="28"/>
        </w:rPr>
        <w:t>（5）系统同时可接入的查询数应大于400。</w:t>
      </w:r>
    </w:p>
    <w:p w14:paraId="2AD21E4B">
      <w:pPr>
        <w:bidi w:val="0"/>
        <w:rPr>
          <w:b/>
          <w:bCs/>
          <w:lang w:val="en-US" w:eastAsia="zh-CN"/>
        </w:rPr>
      </w:pPr>
      <w:bookmarkStart w:id="4" w:name="_Toc148103543"/>
      <w:bookmarkStart w:id="5" w:name="_Toc8040"/>
      <w:bookmarkStart w:id="6" w:name="_Toc16809"/>
      <w:bookmarkStart w:id="7" w:name="_Toc28009"/>
      <w:bookmarkStart w:id="8" w:name="_Toc157417084"/>
      <w:bookmarkStart w:id="9" w:name="_Toc147814689"/>
      <w:r>
        <w:rPr>
          <w:rFonts w:hint="eastAsia"/>
          <w:b/>
          <w:bCs/>
          <w:lang w:val="en-US" w:eastAsia="zh-CN"/>
        </w:rPr>
        <w:t>计算资源服务</w:t>
      </w:r>
      <w:bookmarkEnd w:id="4"/>
      <w:bookmarkEnd w:id="5"/>
      <w:bookmarkEnd w:id="6"/>
      <w:bookmarkEnd w:id="7"/>
      <w:bookmarkEnd w:id="8"/>
      <w:bookmarkEnd w:id="9"/>
      <w:r>
        <w:rPr>
          <w:rFonts w:hint="eastAsia"/>
          <w:b/>
          <w:bCs/>
          <w:lang w:val="en-US" w:eastAsia="zh-CN"/>
        </w:rPr>
        <w:t>要求：</w:t>
      </w:r>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66"/>
        <w:gridCol w:w="853"/>
        <w:gridCol w:w="881"/>
        <w:gridCol w:w="854"/>
        <w:gridCol w:w="705"/>
        <w:gridCol w:w="1948"/>
        <w:gridCol w:w="1145"/>
      </w:tblGrid>
      <w:tr w14:paraId="2DA2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3" w:type="dxa"/>
            <w:shd w:val="clear" w:color="auto" w:fill="auto"/>
            <w:vAlign w:val="center"/>
          </w:tcPr>
          <w:p w14:paraId="3A7D1618">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序号</w:t>
            </w:r>
          </w:p>
        </w:tc>
        <w:tc>
          <w:tcPr>
            <w:tcW w:w="1866" w:type="dxa"/>
            <w:shd w:val="clear" w:color="auto" w:fill="auto"/>
            <w:vAlign w:val="center"/>
          </w:tcPr>
          <w:p w14:paraId="2E129851">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用途</w:t>
            </w:r>
          </w:p>
        </w:tc>
        <w:tc>
          <w:tcPr>
            <w:tcW w:w="853" w:type="dxa"/>
            <w:shd w:val="clear" w:color="auto" w:fill="auto"/>
            <w:vAlign w:val="center"/>
          </w:tcPr>
          <w:p w14:paraId="584C7355">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内存（GB）</w:t>
            </w:r>
          </w:p>
        </w:tc>
        <w:tc>
          <w:tcPr>
            <w:tcW w:w="881" w:type="dxa"/>
            <w:shd w:val="clear" w:color="auto" w:fill="auto"/>
            <w:vAlign w:val="center"/>
          </w:tcPr>
          <w:p w14:paraId="4D5B10EF">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系统盘（GB）</w:t>
            </w:r>
          </w:p>
        </w:tc>
        <w:tc>
          <w:tcPr>
            <w:tcW w:w="854" w:type="dxa"/>
            <w:shd w:val="clear" w:color="auto" w:fill="auto"/>
            <w:vAlign w:val="center"/>
          </w:tcPr>
          <w:p w14:paraId="5474BE25">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数据盘（GB）</w:t>
            </w:r>
          </w:p>
        </w:tc>
        <w:tc>
          <w:tcPr>
            <w:tcW w:w="705" w:type="dxa"/>
            <w:shd w:val="clear" w:color="auto" w:fill="auto"/>
            <w:vAlign w:val="center"/>
          </w:tcPr>
          <w:p w14:paraId="1B93C336">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带宽</w:t>
            </w:r>
          </w:p>
        </w:tc>
        <w:tc>
          <w:tcPr>
            <w:tcW w:w="1948" w:type="dxa"/>
            <w:shd w:val="clear" w:color="auto" w:fill="auto"/>
            <w:vAlign w:val="center"/>
          </w:tcPr>
          <w:p w14:paraId="67A0CC57">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操作系统版本</w:t>
            </w:r>
          </w:p>
        </w:tc>
        <w:tc>
          <w:tcPr>
            <w:tcW w:w="1145" w:type="dxa"/>
            <w:shd w:val="clear" w:color="auto" w:fill="auto"/>
            <w:vAlign w:val="center"/>
          </w:tcPr>
          <w:p w14:paraId="4F5B769F">
            <w:pPr>
              <w:widowControl/>
              <w:ind w:firstLine="0" w:firstLineChars="0"/>
              <w:jc w:val="center"/>
              <w:rPr>
                <w:rFonts w:ascii="仿宋" w:hAnsi="仿宋" w:cs="仿宋"/>
                <w:b/>
                <w:bCs/>
                <w:color w:val="000000"/>
                <w:kern w:val="0"/>
                <w:sz w:val="21"/>
                <w:szCs w:val="21"/>
              </w:rPr>
            </w:pPr>
            <w:r>
              <w:rPr>
                <w:rFonts w:hint="eastAsia" w:ascii="仿宋" w:hAnsi="仿宋" w:cs="仿宋"/>
                <w:b/>
                <w:bCs/>
                <w:color w:val="000000"/>
                <w:kern w:val="0"/>
                <w:sz w:val="21"/>
                <w:szCs w:val="21"/>
              </w:rPr>
              <w:t>部署域</w:t>
            </w:r>
          </w:p>
        </w:tc>
      </w:tr>
      <w:tr w14:paraId="47C7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63" w:type="dxa"/>
            <w:shd w:val="clear" w:color="auto" w:fill="auto"/>
            <w:vAlign w:val="center"/>
          </w:tcPr>
          <w:p w14:paraId="5462CB5F">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w:t>
            </w:r>
          </w:p>
        </w:tc>
        <w:tc>
          <w:tcPr>
            <w:tcW w:w="1866" w:type="dxa"/>
            <w:shd w:val="clear" w:color="auto" w:fill="auto"/>
            <w:vAlign w:val="center"/>
          </w:tcPr>
          <w:p w14:paraId="4C9BF36A">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Nginx应用服务器</w:t>
            </w:r>
          </w:p>
        </w:tc>
        <w:tc>
          <w:tcPr>
            <w:tcW w:w="853" w:type="dxa"/>
            <w:shd w:val="clear" w:color="auto" w:fill="auto"/>
            <w:vAlign w:val="center"/>
          </w:tcPr>
          <w:p w14:paraId="6EBF6147">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4</w:t>
            </w:r>
          </w:p>
        </w:tc>
        <w:tc>
          <w:tcPr>
            <w:tcW w:w="881" w:type="dxa"/>
            <w:shd w:val="clear" w:color="auto" w:fill="auto"/>
            <w:vAlign w:val="center"/>
          </w:tcPr>
          <w:p w14:paraId="03C4DD32">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6E16A536">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0</w:t>
            </w:r>
          </w:p>
        </w:tc>
        <w:tc>
          <w:tcPr>
            <w:tcW w:w="705" w:type="dxa"/>
            <w:shd w:val="clear" w:color="auto" w:fill="auto"/>
            <w:vAlign w:val="center"/>
          </w:tcPr>
          <w:p w14:paraId="69FAC25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10M</w:t>
            </w:r>
          </w:p>
        </w:tc>
        <w:tc>
          <w:tcPr>
            <w:tcW w:w="1948" w:type="dxa"/>
            <w:shd w:val="clear" w:color="auto" w:fill="auto"/>
            <w:vAlign w:val="center"/>
          </w:tcPr>
          <w:p w14:paraId="1344A955">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37E897C0">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互联网</w:t>
            </w:r>
          </w:p>
        </w:tc>
      </w:tr>
      <w:tr w14:paraId="06E2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3" w:type="dxa"/>
            <w:shd w:val="clear" w:color="auto" w:fill="auto"/>
            <w:vAlign w:val="center"/>
          </w:tcPr>
          <w:p w14:paraId="443882E4">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2</w:t>
            </w:r>
          </w:p>
        </w:tc>
        <w:tc>
          <w:tcPr>
            <w:tcW w:w="1866" w:type="dxa"/>
            <w:shd w:val="clear" w:color="auto" w:fill="auto"/>
            <w:vAlign w:val="center"/>
          </w:tcPr>
          <w:p w14:paraId="19AAB6C0">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数据库服务器</w:t>
            </w:r>
          </w:p>
        </w:tc>
        <w:tc>
          <w:tcPr>
            <w:tcW w:w="853" w:type="dxa"/>
            <w:shd w:val="clear" w:color="auto" w:fill="auto"/>
            <w:vAlign w:val="center"/>
          </w:tcPr>
          <w:p w14:paraId="00831501">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16</w:t>
            </w:r>
          </w:p>
        </w:tc>
        <w:tc>
          <w:tcPr>
            <w:tcW w:w="881" w:type="dxa"/>
            <w:shd w:val="clear" w:color="auto" w:fill="auto"/>
            <w:vAlign w:val="center"/>
          </w:tcPr>
          <w:p w14:paraId="18FF260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17C34634">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500</w:t>
            </w:r>
          </w:p>
        </w:tc>
        <w:tc>
          <w:tcPr>
            <w:tcW w:w="705" w:type="dxa"/>
            <w:shd w:val="clear" w:color="auto" w:fill="auto"/>
            <w:vAlign w:val="center"/>
          </w:tcPr>
          <w:p w14:paraId="333DBE3B">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1902C3C2">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63FDD156">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54E3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3" w:type="dxa"/>
            <w:shd w:val="clear" w:color="auto" w:fill="auto"/>
            <w:vAlign w:val="center"/>
          </w:tcPr>
          <w:p w14:paraId="3C41DEA7">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3</w:t>
            </w:r>
          </w:p>
        </w:tc>
        <w:tc>
          <w:tcPr>
            <w:tcW w:w="1866" w:type="dxa"/>
            <w:shd w:val="clear" w:color="auto" w:fill="auto"/>
            <w:vAlign w:val="center"/>
          </w:tcPr>
          <w:p w14:paraId="2C366FA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数据库服务器</w:t>
            </w:r>
          </w:p>
        </w:tc>
        <w:tc>
          <w:tcPr>
            <w:tcW w:w="853" w:type="dxa"/>
            <w:shd w:val="clear" w:color="auto" w:fill="auto"/>
            <w:vAlign w:val="center"/>
          </w:tcPr>
          <w:p w14:paraId="76B8EE5D">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8</w:t>
            </w:r>
          </w:p>
        </w:tc>
        <w:tc>
          <w:tcPr>
            <w:tcW w:w="881" w:type="dxa"/>
            <w:shd w:val="clear" w:color="auto" w:fill="auto"/>
            <w:vAlign w:val="center"/>
          </w:tcPr>
          <w:p w14:paraId="6CE14C6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00B9A1DD">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500</w:t>
            </w:r>
          </w:p>
        </w:tc>
        <w:tc>
          <w:tcPr>
            <w:tcW w:w="705" w:type="dxa"/>
            <w:shd w:val="clear" w:color="auto" w:fill="auto"/>
            <w:vAlign w:val="center"/>
          </w:tcPr>
          <w:p w14:paraId="68D6F4A1">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03EF4499">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0AAAB9B0">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1889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63" w:type="dxa"/>
            <w:shd w:val="clear" w:color="auto" w:fill="auto"/>
            <w:vAlign w:val="center"/>
          </w:tcPr>
          <w:p w14:paraId="07E05CE8">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4</w:t>
            </w:r>
          </w:p>
        </w:tc>
        <w:tc>
          <w:tcPr>
            <w:tcW w:w="1866" w:type="dxa"/>
            <w:shd w:val="clear" w:color="auto" w:fill="auto"/>
            <w:vAlign w:val="center"/>
          </w:tcPr>
          <w:p w14:paraId="57B19BE5">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数据库服务器</w:t>
            </w:r>
          </w:p>
        </w:tc>
        <w:tc>
          <w:tcPr>
            <w:tcW w:w="853" w:type="dxa"/>
            <w:shd w:val="clear" w:color="auto" w:fill="auto"/>
            <w:vAlign w:val="center"/>
          </w:tcPr>
          <w:p w14:paraId="2349F70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32</w:t>
            </w:r>
          </w:p>
        </w:tc>
        <w:tc>
          <w:tcPr>
            <w:tcW w:w="881" w:type="dxa"/>
            <w:shd w:val="clear" w:color="auto" w:fill="auto"/>
            <w:vAlign w:val="center"/>
          </w:tcPr>
          <w:p w14:paraId="304923EE">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4A7083CE">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500</w:t>
            </w:r>
          </w:p>
        </w:tc>
        <w:tc>
          <w:tcPr>
            <w:tcW w:w="705" w:type="dxa"/>
            <w:shd w:val="clear" w:color="auto" w:fill="auto"/>
            <w:vAlign w:val="center"/>
          </w:tcPr>
          <w:p w14:paraId="37313DDB">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3D352DBF">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010FC768">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356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3" w:type="dxa"/>
            <w:shd w:val="clear" w:color="auto" w:fill="auto"/>
            <w:vAlign w:val="center"/>
          </w:tcPr>
          <w:p w14:paraId="0A4C6F57">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w:t>
            </w:r>
          </w:p>
        </w:tc>
        <w:tc>
          <w:tcPr>
            <w:tcW w:w="1866" w:type="dxa"/>
            <w:shd w:val="clear" w:color="auto" w:fill="auto"/>
            <w:vAlign w:val="center"/>
          </w:tcPr>
          <w:p w14:paraId="0F987188">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配置服务器</w:t>
            </w:r>
          </w:p>
        </w:tc>
        <w:tc>
          <w:tcPr>
            <w:tcW w:w="853" w:type="dxa"/>
            <w:shd w:val="clear" w:color="auto" w:fill="auto"/>
            <w:vAlign w:val="center"/>
          </w:tcPr>
          <w:p w14:paraId="28432C8F">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8</w:t>
            </w:r>
          </w:p>
        </w:tc>
        <w:tc>
          <w:tcPr>
            <w:tcW w:w="881" w:type="dxa"/>
            <w:shd w:val="clear" w:color="auto" w:fill="auto"/>
            <w:vAlign w:val="center"/>
          </w:tcPr>
          <w:p w14:paraId="4BB4B05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4CA63E79">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705" w:type="dxa"/>
            <w:shd w:val="clear" w:color="auto" w:fill="auto"/>
            <w:vAlign w:val="center"/>
          </w:tcPr>
          <w:p w14:paraId="468181F7">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4B11C4C4">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4A91053F">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6A83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3" w:type="dxa"/>
            <w:shd w:val="clear" w:color="auto" w:fill="auto"/>
            <w:vAlign w:val="center"/>
          </w:tcPr>
          <w:p w14:paraId="4D0AA91F">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6</w:t>
            </w:r>
          </w:p>
        </w:tc>
        <w:tc>
          <w:tcPr>
            <w:tcW w:w="1866" w:type="dxa"/>
            <w:shd w:val="clear" w:color="auto" w:fill="auto"/>
            <w:vAlign w:val="center"/>
          </w:tcPr>
          <w:p w14:paraId="1962A2D9">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配置服务器</w:t>
            </w:r>
          </w:p>
        </w:tc>
        <w:tc>
          <w:tcPr>
            <w:tcW w:w="853" w:type="dxa"/>
            <w:shd w:val="clear" w:color="auto" w:fill="auto"/>
            <w:vAlign w:val="center"/>
          </w:tcPr>
          <w:p w14:paraId="70725298">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8</w:t>
            </w:r>
          </w:p>
        </w:tc>
        <w:tc>
          <w:tcPr>
            <w:tcW w:w="881" w:type="dxa"/>
            <w:shd w:val="clear" w:color="auto" w:fill="auto"/>
            <w:vAlign w:val="center"/>
          </w:tcPr>
          <w:p w14:paraId="413E7AC9">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20DF9C78">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705" w:type="dxa"/>
            <w:shd w:val="clear" w:color="auto" w:fill="auto"/>
            <w:vAlign w:val="center"/>
          </w:tcPr>
          <w:p w14:paraId="6B22CDBF">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154CA654">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37031373">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391B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63" w:type="dxa"/>
            <w:shd w:val="clear" w:color="auto" w:fill="auto"/>
            <w:vAlign w:val="center"/>
          </w:tcPr>
          <w:p w14:paraId="0ECD44ED">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7</w:t>
            </w:r>
          </w:p>
        </w:tc>
        <w:tc>
          <w:tcPr>
            <w:tcW w:w="1866" w:type="dxa"/>
            <w:shd w:val="clear" w:color="auto" w:fill="auto"/>
            <w:vAlign w:val="center"/>
          </w:tcPr>
          <w:p w14:paraId="0F64816D">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应用服务器</w:t>
            </w:r>
          </w:p>
        </w:tc>
        <w:tc>
          <w:tcPr>
            <w:tcW w:w="853" w:type="dxa"/>
            <w:shd w:val="clear" w:color="auto" w:fill="auto"/>
            <w:vAlign w:val="center"/>
          </w:tcPr>
          <w:p w14:paraId="257AAF09">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16</w:t>
            </w:r>
          </w:p>
        </w:tc>
        <w:tc>
          <w:tcPr>
            <w:tcW w:w="881" w:type="dxa"/>
            <w:shd w:val="clear" w:color="auto" w:fill="auto"/>
            <w:vAlign w:val="center"/>
          </w:tcPr>
          <w:p w14:paraId="62D40AD2">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7DB753C5">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100</w:t>
            </w:r>
          </w:p>
        </w:tc>
        <w:tc>
          <w:tcPr>
            <w:tcW w:w="705" w:type="dxa"/>
            <w:shd w:val="clear" w:color="auto" w:fill="auto"/>
            <w:vAlign w:val="center"/>
          </w:tcPr>
          <w:p w14:paraId="44B2C0F9">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0336AE1C">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754D59BF">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0F8E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3" w:type="dxa"/>
            <w:shd w:val="clear" w:color="auto" w:fill="auto"/>
            <w:vAlign w:val="center"/>
          </w:tcPr>
          <w:p w14:paraId="61F3F480">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8</w:t>
            </w:r>
          </w:p>
        </w:tc>
        <w:tc>
          <w:tcPr>
            <w:tcW w:w="1866" w:type="dxa"/>
            <w:shd w:val="clear" w:color="auto" w:fill="auto"/>
            <w:vAlign w:val="center"/>
          </w:tcPr>
          <w:p w14:paraId="22E299EF">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应用服务器</w:t>
            </w:r>
          </w:p>
        </w:tc>
        <w:tc>
          <w:tcPr>
            <w:tcW w:w="853" w:type="dxa"/>
            <w:shd w:val="clear" w:color="auto" w:fill="auto"/>
            <w:vAlign w:val="center"/>
          </w:tcPr>
          <w:p w14:paraId="4601DF2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16</w:t>
            </w:r>
          </w:p>
        </w:tc>
        <w:tc>
          <w:tcPr>
            <w:tcW w:w="881" w:type="dxa"/>
            <w:shd w:val="clear" w:color="auto" w:fill="auto"/>
            <w:vAlign w:val="center"/>
          </w:tcPr>
          <w:p w14:paraId="1741C20D">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7705F198">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100</w:t>
            </w:r>
          </w:p>
        </w:tc>
        <w:tc>
          <w:tcPr>
            <w:tcW w:w="705" w:type="dxa"/>
            <w:shd w:val="clear" w:color="auto" w:fill="auto"/>
            <w:vAlign w:val="center"/>
          </w:tcPr>
          <w:p w14:paraId="01C5126C">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1C370AC5">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14EC812E">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22D4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3" w:type="dxa"/>
            <w:shd w:val="clear" w:color="auto" w:fill="auto"/>
            <w:vAlign w:val="center"/>
          </w:tcPr>
          <w:p w14:paraId="309B8425">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9</w:t>
            </w:r>
          </w:p>
        </w:tc>
        <w:tc>
          <w:tcPr>
            <w:tcW w:w="1866" w:type="dxa"/>
            <w:shd w:val="clear" w:color="auto" w:fill="auto"/>
            <w:vAlign w:val="center"/>
          </w:tcPr>
          <w:p w14:paraId="740D5E9E">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Web服务器</w:t>
            </w:r>
          </w:p>
        </w:tc>
        <w:tc>
          <w:tcPr>
            <w:tcW w:w="853" w:type="dxa"/>
            <w:shd w:val="clear" w:color="auto" w:fill="auto"/>
            <w:vAlign w:val="center"/>
          </w:tcPr>
          <w:p w14:paraId="24CFA0CD">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4</w:t>
            </w:r>
          </w:p>
        </w:tc>
        <w:tc>
          <w:tcPr>
            <w:tcW w:w="881" w:type="dxa"/>
            <w:shd w:val="clear" w:color="auto" w:fill="auto"/>
            <w:vAlign w:val="center"/>
          </w:tcPr>
          <w:p w14:paraId="2FB497A7">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7A21AC24">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705" w:type="dxa"/>
            <w:shd w:val="clear" w:color="auto" w:fill="auto"/>
            <w:vAlign w:val="center"/>
          </w:tcPr>
          <w:p w14:paraId="04BA0895">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3F4CBFFF">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12CCC29F">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5CD2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3" w:type="dxa"/>
            <w:shd w:val="clear" w:color="auto" w:fill="auto"/>
            <w:vAlign w:val="center"/>
          </w:tcPr>
          <w:p w14:paraId="149A923C">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10</w:t>
            </w:r>
          </w:p>
        </w:tc>
        <w:tc>
          <w:tcPr>
            <w:tcW w:w="1866" w:type="dxa"/>
            <w:shd w:val="clear" w:color="auto" w:fill="auto"/>
            <w:vAlign w:val="center"/>
          </w:tcPr>
          <w:p w14:paraId="577CEFCE">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Web服务器</w:t>
            </w:r>
          </w:p>
        </w:tc>
        <w:tc>
          <w:tcPr>
            <w:tcW w:w="853" w:type="dxa"/>
            <w:shd w:val="clear" w:color="auto" w:fill="auto"/>
            <w:vAlign w:val="center"/>
          </w:tcPr>
          <w:p w14:paraId="713E307A">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4</w:t>
            </w:r>
          </w:p>
        </w:tc>
        <w:tc>
          <w:tcPr>
            <w:tcW w:w="881" w:type="dxa"/>
            <w:shd w:val="clear" w:color="auto" w:fill="auto"/>
            <w:vAlign w:val="center"/>
          </w:tcPr>
          <w:p w14:paraId="26C5DC96">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854" w:type="dxa"/>
            <w:shd w:val="clear" w:color="auto" w:fill="auto"/>
            <w:vAlign w:val="center"/>
          </w:tcPr>
          <w:p w14:paraId="77ABC493">
            <w:pPr>
              <w:widowControl/>
              <w:ind w:firstLine="0" w:firstLineChars="0"/>
              <w:jc w:val="center"/>
              <w:rPr>
                <w:rFonts w:ascii="仿宋" w:hAnsi="仿宋" w:cs="仿宋"/>
                <w:color w:val="000000"/>
                <w:kern w:val="0"/>
                <w:sz w:val="21"/>
                <w:szCs w:val="21"/>
              </w:rPr>
            </w:pPr>
            <w:r>
              <w:rPr>
                <w:rFonts w:hint="eastAsia" w:ascii="仿宋" w:hAnsi="仿宋" w:cs="仿宋"/>
                <w:color w:val="000000"/>
                <w:kern w:val="0"/>
                <w:sz w:val="21"/>
                <w:szCs w:val="21"/>
              </w:rPr>
              <w:t>50</w:t>
            </w:r>
          </w:p>
        </w:tc>
        <w:tc>
          <w:tcPr>
            <w:tcW w:w="705" w:type="dxa"/>
            <w:shd w:val="clear" w:color="auto" w:fill="auto"/>
            <w:vAlign w:val="center"/>
          </w:tcPr>
          <w:p w14:paraId="0AF0D4A6">
            <w:pPr>
              <w:widowControl/>
              <w:ind w:firstLine="0" w:firstLineChars="0"/>
              <w:jc w:val="center"/>
              <w:rPr>
                <w:rFonts w:ascii="仿宋" w:hAnsi="仿宋" w:cs="仿宋"/>
                <w:color w:val="000000"/>
                <w:kern w:val="0"/>
                <w:sz w:val="21"/>
                <w:szCs w:val="21"/>
              </w:rPr>
            </w:pPr>
          </w:p>
        </w:tc>
        <w:tc>
          <w:tcPr>
            <w:tcW w:w="1948" w:type="dxa"/>
            <w:shd w:val="clear" w:color="auto" w:fill="auto"/>
            <w:vAlign w:val="center"/>
          </w:tcPr>
          <w:p w14:paraId="1B5B82A9">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银河麒麟 v10 sp1</w:t>
            </w:r>
          </w:p>
        </w:tc>
        <w:tc>
          <w:tcPr>
            <w:tcW w:w="1145" w:type="dxa"/>
            <w:shd w:val="clear" w:color="auto" w:fill="auto"/>
            <w:vAlign w:val="center"/>
          </w:tcPr>
          <w:p w14:paraId="7439FE52">
            <w:pPr>
              <w:widowControl/>
              <w:ind w:firstLine="0" w:firstLineChars="0"/>
              <w:jc w:val="left"/>
              <w:rPr>
                <w:rFonts w:ascii="仿宋" w:hAnsi="仿宋" w:cs="仿宋"/>
                <w:color w:val="000000"/>
                <w:kern w:val="0"/>
                <w:sz w:val="21"/>
                <w:szCs w:val="21"/>
              </w:rPr>
            </w:pPr>
            <w:r>
              <w:rPr>
                <w:rFonts w:hint="eastAsia" w:ascii="仿宋" w:hAnsi="仿宋" w:cs="仿宋"/>
                <w:color w:val="000000"/>
                <w:kern w:val="0"/>
                <w:sz w:val="21"/>
                <w:szCs w:val="21"/>
              </w:rPr>
              <w:t>政务外网</w:t>
            </w:r>
          </w:p>
        </w:tc>
      </w:tr>
      <w:tr w14:paraId="47A5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15" w:type="dxa"/>
            <w:gridSpan w:val="8"/>
            <w:shd w:val="clear" w:color="auto" w:fill="auto"/>
            <w:vAlign w:val="center"/>
          </w:tcPr>
          <w:p w14:paraId="4CAD5274">
            <w:pPr>
              <w:widowControl/>
              <w:ind w:firstLine="0" w:firstLineChars="0"/>
              <w:jc w:val="left"/>
              <w:rPr>
                <w:rFonts w:hint="default" w:ascii="仿宋" w:hAnsi="仿宋" w:eastAsia="宋体" w:cs="仿宋"/>
                <w:color w:val="000000"/>
                <w:kern w:val="0"/>
                <w:sz w:val="21"/>
                <w:szCs w:val="21"/>
                <w:lang w:val="en-US" w:eastAsia="zh-CN"/>
              </w:rPr>
            </w:pPr>
            <w:r>
              <w:rPr>
                <w:rFonts w:hint="eastAsia" w:ascii="仿宋" w:hAnsi="仿宋" w:cs="仿宋"/>
                <w:color w:val="000000"/>
                <w:kern w:val="0"/>
                <w:sz w:val="21"/>
                <w:szCs w:val="21"/>
                <w:lang w:val="en-US" w:eastAsia="zh-CN"/>
              </w:rPr>
              <w:t>网闸用量：需要 1-nginx应用服务器（互联网区）分别到9-Web服务器（政务外网区）和10-Web服务器（政务外网区）2个网闸。</w:t>
            </w:r>
          </w:p>
        </w:tc>
      </w:tr>
    </w:tbl>
    <w:p w14:paraId="6A492D8D">
      <w:pPr>
        <w:bidi w:val="0"/>
        <w:rPr>
          <w:rFonts w:hint="eastAsia" w:ascii="仿宋" w:hAnsi="仿宋" w:eastAsia="宋体" w:cs="Times New Roman"/>
          <w:kern w:val="2"/>
          <w:sz w:val="28"/>
          <w:szCs w:val="28"/>
          <w:lang w:val="en-US" w:eastAsia="zh-CN" w:bidi="ar-SA"/>
        </w:rPr>
      </w:pPr>
      <w:bookmarkStart w:id="10" w:name="_Toc20445"/>
      <w:bookmarkStart w:id="11" w:name="_Toc148103548"/>
      <w:bookmarkStart w:id="12" w:name="_Toc24726"/>
      <w:bookmarkStart w:id="13" w:name="_Toc13828"/>
      <w:bookmarkStart w:id="14" w:name="_Toc147814694"/>
      <w:bookmarkStart w:id="15" w:name="_Toc157417085"/>
      <w:r>
        <w:rPr>
          <w:rFonts w:hint="eastAsia"/>
          <w:b/>
          <w:bCs/>
          <w:lang w:val="en-US" w:eastAsia="zh-CN"/>
        </w:rPr>
        <w:t>基础软件需求</w:t>
      </w:r>
      <w:bookmarkEnd w:id="10"/>
      <w:bookmarkEnd w:id="11"/>
      <w:bookmarkEnd w:id="12"/>
      <w:bookmarkEnd w:id="13"/>
      <w:bookmarkEnd w:id="14"/>
      <w:bookmarkEnd w:id="15"/>
      <w:r>
        <w:rPr>
          <w:rFonts w:hint="eastAsia"/>
          <w:b/>
          <w:bCs/>
          <w:lang w:val="en-US" w:eastAsia="zh-CN"/>
        </w:rPr>
        <w:t>：</w:t>
      </w:r>
      <w:r>
        <w:rPr>
          <w:rFonts w:hint="eastAsia" w:ascii="仿宋" w:hAnsi="仿宋" w:eastAsia="宋体" w:cs="Times New Roman"/>
          <w:kern w:val="2"/>
          <w:sz w:val="28"/>
          <w:szCs w:val="28"/>
          <w:lang w:val="en-US" w:eastAsia="zh-CN" w:bidi="ar-SA"/>
        </w:rPr>
        <w:t>本系统申请政务云虚拟服务器、存储等云计算资源，操作系统、数据库、应用中间件等软件资源采用政务</w:t>
      </w:r>
      <w:r>
        <w:rPr>
          <w:rFonts w:hint="eastAsia" w:ascii="仿宋" w:hAnsi="仿宋" w:cs="Times New Roman"/>
          <w:kern w:val="2"/>
          <w:sz w:val="28"/>
          <w:szCs w:val="28"/>
          <w:lang w:val="en-US" w:eastAsia="zh-CN" w:bidi="ar-SA"/>
        </w:rPr>
        <w:t>信创 国 产 化</w:t>
      </w:r>
      <w:r>
        <w:rPr>
          <w:rFonts w:hint="eastAsia" w:ascii="仿宋" w:hAnsi="仿宋" w:eastAsia="宋体" w:cs="Times New Roman"/>
          <w:kern w:val="2"/>
          <w:sz w:val="28"/>
          <w:szCs w:val="28"/>
          <w:lang w:val="en-US" w:eastAsia="zh-CN" w:bidi="ar-SA"/>
        </w:rPr>
        <w:t>环境。</w:t>
      </w:r>
    </w:p>
    <w:tbl>
      <w:tblPr>
        <w:tblStyle w:val="15"/>
        <w:tblW w:w="4846" w:type="pct"/>
        <w:jc w:val="center"/>
        <w:tblLayout w:type="autofit"/>
        <w:tblCellMar>
          <w:top w:w="0" w:type="dxa"/>
          <w:left w:w="108" w:type="dxa"/>
          <w:bottom w:w="0" w:type="dxa"/>
          <w:right w:w="108" w:type="dxa"/>
        </w:tblCellMar>
      </w:tblPr>
      <w:tblGrid>
        <w:gridCol w:w="779"/>
        <w:gridCol w:w="2599"/>
        <w:gridCol w:w="4048"/>
        <w:gridCol w:w="834"/>
      </w:tblGrid>
      <w:tr w14:paraId="5D761541">
        <w:tblPrEx>
          <w:tblCellMar>
            <w:top w:w="0" w:type="dxa"/>
            <w:left w:w="108" w:type="dxa"/>
            <w:bottom w:w="0" w:type="dxa"/>
            <w:right w:w="108" w:type="dxa"/>
          </w:tblCellMar>
        </w:tblPrEx>
        <w:trPr>
          <w:trHeight w:val="414"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3806">
            <w:pPr>
              <w:widowControl/>
              <w:ind w:firstLine="0" w:firstLineChars="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序号</w:t>
            </w:r>
          </w:p>
        </w:tc>
        <w:tc>
          <w:tcPr>
            <w:tcW w:w="1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04F8">
            <w:pPr>
              <w:widowControl/>
              <w:ind w:firstLine="0" w:firstLineChars="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软件名称</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5B0D">
            <w:pPr>
              <w:widowControl/>
              <w:ind w:firstLine="0" w:firstLineChars="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软件说明</w:t>
            </w:r>
          </w:p>
        </w:tc>
        <w:tc>
          <w:tcPr>
            <w:tcW w:w="525" w:type="pct"/>
            <w:tcBorders>
              <w:top w:val="single" w:color="000000" w:sz="4" w:space="0"/>
              <w:left w:val="single" w:color="000000" w:sz="4" w:space="0"/>
              <w:bottom w:val="single" w:color="000000" w:sz="4" w:space="0"/>
              <w:right w:val="single" w:color="000000" w:sz="4" w:space="0"/>
            </w:tcBorders>
          </w:tcPr>
          <w:p w14:paraId="06BEC51C">
            <w:pPr>
              <w:widowControl/>
              <w:ind w:firstLine="0" w:firstLineChars="0"/>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数量</w:t>
            </w:r>
          </w:p>
        </w:tc>
      </w:tr>
      <w:tr w14:paraId="0FD59A0D">
        <w:tblPrEx>
          <w:tblCellMar>
            <w:top w:w="0" w:type="dxa"/>
            <w:left w:w="108" w:type="dxa"/>
            <w:bottom w:w="0" w:type="dxa"/>
            <w:right w:w="108" w:type="dxa"/>
          </w:tblCellMar>
        </w:tblPrEx>
        <w:trPr>
          <w:trHeight w:val="418"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0BF2">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D436">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国产中间件</w:t>
            </w:r>
          </w:p>
        </w:tc>
        <w:tc>
          <w:tcPr>
            <w:tcW w:w="2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B13A">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东方通Tongweb v7.0</w:t>
            </w:r>
          </w:p>
        </w:tc>
        <w:tc>
          <w:tcPr>
            <w:tcW w:w="525" w:type="pct"/>
            <w:tcBorders>
              <w:top w:val="single" w:color="000000" w:sz="4" w:space="0"/>
              <w:left w:val="single" w:color="000000" w:sz="4" w:space="0"/>
              <w:bottom w:val="single" w:color="000000" w:sz="4" w:space="0"/>
              <w:right w:val="single" w:color="000000" w:sz="4" w:space="0"/>
            </w:tcBorders>
          </w:tcPr>
          <w:p w14:paraId="251C4332">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r w14:paraId="5AC398A0">
        <w:tblPrEx>
          <w:tblCellMar>
            <w:top w:w="0" w:type="dxa"/>
            <w:left w:w="108" w:type="dxa"/>
            <w:bottom w:w="0" w:type="dxa"/>
            <w:right w:w="108" w:type="dxa"/>
          </w:tblCellMar>
        </w:tblPrEx>
        <w:trPr>
          <w:trHeight w:val="418"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08E7">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4B37">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国产数据库</w:t>
            </w:r>
          </w:p>
        </w:tc>
        <w:tc>
          <w:tcPr>
            <w:tcW w:w="2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D5A0">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达梦8企业版</w:t>
            </w:r>
          </w:p>
        </w:tc>
        <w:tc>
          <w:tcPr>
            <w:tcW w:w="525" w:type="pct"/>
            <w:tcBorders>
              <w:top w:val="single" w:color="000000" w:sz="4" w:space="0"/>
              <w:left w:val="single" w:color="000000" w:sz="4" w:space="0"/>
              <w:bottom w:val="single" w:color="000000" w:sz="4" w:space="0"/>
              <w:right w:val="single" w:color="000000" w:sz="4" w:space="0"/>
            </w:tcBorders>
          </w:tcPr>
          <w:p w14:paraId="17A2680B">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r>
      <w:tr w14:paraId="24560C6F">
        <w:tblPrEx>
          <w:tblCellMar>
            <w:top w:w="0" w:type="dxa"/>
            <w:left w:w="108" w:type="dxa"/>
            <w:bottom w:w="0" w:type="dxa"/>
            <w:right w:w="108" w:type="dxa"/>
          </w:tblCellMar>
        </w:tblPrEx>
        <w:trPr>
          <w:trHeight w:val="431" w:hRule="atLeast"/>
          <w:jc w:val="center"/>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B947">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w:t>
            </w:r>
          </w:p>
        </w:tc>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561C">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国产操作系统</w:t>
            </w:r>
          </w:p>
        </w:tc>
        <w:tc>
          <w:tcPr>
            <w:tcW w:w="2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1DB1">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银河麒麟v10</w:t>
            </w:r>
          </w:p>
        </w:tc>
        <w:tc>
          <w:tcPr>
            <w:tcW w:w="525" w:type="pct"/>
            <w:tcBorders>
              <w:top w:val="single" w:color="000000" w:sz="4" w:space="0"/>
              <w:left w:val="single" w:color="000000" w:sz="4" w:space="0"/>
              <w:bottom w:val="single" w:color="000000" w:sz="4" w:space="0"/>
              <w:right w:val="single" w:color="000000" w:sz="4" w:space="0"/>
            </w:tcBorders>
          </w:tcPr>
          <w:p w14:paraId="7758316C">
            <w:pPr>
              <w:widowControl/>
              <w:ind w:firstLine="0" w:firstLineChars="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10</w:t>
            </w:r>
          </w:p>
        </w:tc>
      </w:tr>
    </w:tbl>
    <w:p w14:paraId="38D0E311">
      <w:pPr>
        <w:bidi w:val="0"/>
        <w:rPr>
          <w:rFonts w:ascii="仿宋" w:hAnsi="仿宋" w:eastAsia="宋体" w:cs="Times New Roman"/>
          <w:kern w:val="2"/>
          <w:sz w:val="28"/>
          <w:szCs w:val="28"/>
          <w:lang w:val="en-US" w:eastAsia="zh-CN" w:bidi="ar-SA"/>
        </w:rPr>
      </w:pPr>
      <w:bookmarkStart w:id="16" w:name="_Toc157417086"/>
      <w:bookmarkStart w:id="17" w:name="_Toc109127643"/>
      <w:bookmarkStart w:id="18" w:name="_Toc21196"/>
      <w:bookmarkStart w:id="19" w:name="_Toc27049"/>
      <w:bookmarkStart w:id="20" w:name="_Toc4500"/>
      <w:bookmarkStart w:id="21" w:name="_Toc148103549"/>
      <w:bookmarkStart w:id="22" w:name="_Toc147814695"/>
      <w:r>
        <w:rPr>
          <w:rFonts w:hint="eastAsia"/>
          <w:b/>
          <w:bCs/>
          <w:lang w:val="en-US" w:eastAsia="zh-CN"/>
        </w:rPr>
        <w:t>终端系统接口</w:t>
      </w:r>
      <w:bookmarkEnd w:id="16"/>
      <w:bookmarkEnd w:id="17"/>
      <w:bookmarkEnd w:id="18"/>
      <w:bookmarkEnd w:id="19"/>
      <w:bookmarkEnd w:id="20"/>
      <w:bookmarkEnd w:id="21"/>
      <w:bookmarkEnd w:id="22"/>
      <w:r>
        <w:rPr>
          <w:rFonts w:hint="eastAsia"/>
          <w:b/>
          <w:bCs/>
          <w:lang w:val="en-US" w:eastAsia="zh-CN"/>
        </w:rPr>
        <w:t>要求：</w:t>
      </w:r>
      <w:r>
        <w:rPr>
          <w:rFonts w:hint="eastAsia" w:ascii="仿宋" w:hAnsi="仿宋" w:eastAsia="宋体" w:cs="Times New Roman"/>
          <w:kern w:val="2"/>
          <w:sz w:val="28"/>
          <w:szCs w:val="28"/>
          <w:lang w:val="en-US" w:eastAsia="zh-CN" w:bidi="ar-SA"/>
        </w:rPr>
        <w:t>系统接口作为数据便捷流通公共服务管理系统（二期）对外提供服务的的重要出口，它关系到系统的可用性、可维护性、可扩展性等方面的问题，如果接口设计不合理，就可能导致系统出现各种故障或者功能不完善的情况。数据便捷流通公共服务管理系统（二期）的系统接口设计时需满足以下目标：</w:t>
      </w:r>
    </w:p>
    <w:p w14:paraId="0A7F516F">
      <w:pPr>
        <w:widowControl/>
        <w:bidi w:val="0"/>
        <w:spacing w:line="360" w:lineRule="auto"/>
        <w:ind w:firstLine="560" w:firstLineChars="200"/>
        <w:jc w:val="left"/>
        <w:rPr>
          <w:rFonts w:hint="eastAsia" w:ascii="宋体" w:hAnsi="宋体" w:eastAsia="宋体" w:cs="宋体"/>
          <w:kern w:val="0"/>
          <w:szCs w:val="21"/>
        </w:rPr>
      </w:pPr>
      <w:r>
        <w:rPr>
          <w:rFonts w:hint="eastAsia" w:ascii="仿宋" w:hAnsi="仿宋" w:cs="仿宋"/>
          <w:b w:val="0"/>
          <w:bCs w:val="0"/>
          <w:kern w:val="0"/>
          <w:szCs w:val="21"/>
        </w:rPr>
        <w:t>（</w:t>
      </w:r>
      <w:r>
        <w:rPr>
          <w:rFonts w:hint="eastAsia" w:ascii="仿宋" w:hAnsi="仿宋" w:cs="仿宋"/>
          <w:b w:val="0"/>
          <w:bCs w:val="0"/>
          <w:kern w:val="0"/>
          <w:szCs w:val="21"/>
          <w:lang w:val="en-US" w:eastAsia="zh-CN"/>
        </w:rPr>
        <w:t>1</w:t>
      </w:r>
      <w:r>
        <w:rPr>
          <w:rFonts w:hint="eastAsia" w:ascii="仿宋" w:hAnsi="仿宋" w:cs="仿宋"/>
          <w:b w:val="0"/>
          <w:bCs w:val="0"/>
          <w:kern w:val="0"/>
          <w:szCs w:val="21"/>
        </w:rPr>
        <w:t>）</w:t>
      </w:r>
      <w:r>
        <w:rPr>
          <w:rFonts w:ascii="仿宋" w:hAnsi="仿宋" w:cs="仿宋"/>
          <w:b w:val="0"/>
          <w:bCs w:val="0"/>
          <w:kern w:val="0"/>
          <w:szCs w:val="21"/>
        </w:rPr>
        <w:t>实现功能的完整性和正确性</w:t>
      </w:r>
      <w:r>
        <w:rPr>
          <w:rFonts w:hint="eastAsia" w:ascii="仿宋" w:hAnsi="仿宋" w:cs="仿宋"/>
          <w:b w:val="0"/>
          <w:bCs w:val="0"/>
          <w:kern w:val="0"/>
          <w:szCs w:val="21"/>
          <w:lang w:eastAsia="zh-CN"/>
        </w:rPr>
        <w:t>。</w:t>
      </w:r>
      <w:r>
        <w:rPr>
          <w:rFonts w:hint="eastAsia" w:ascii="宋体" w:hAnsi="宋体" w:eastAsia="宋体" w:cs="宋体"/>
          <w:kern w:val="0"/>
          <w:szCs w:val="21"/>
        </w:rPr>
        <w:t>接口设计应该保证系统中各个功能模块之间的相互隔离，确保每个模块的输入和输出参数都能正确地传递和处理。</w:t>
      </w:r>
    </w:p>
    <w:p w14:paraId="2ED28AB6">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2</w:t>
      </w:r>
      <w:r>
        <w:rPr>
          <w:rFonts w:hint="eastAsia" w:ascii="宋体" w:hAnsi="宋体" w:eastAsia="宋体" w:cs="宋体"/>
          <w:kern w:val="0"/>
          <w:szCs w:val="21"/>
        </w:rPr>
        <w:t>）稳定性</w:t>
      </w:r>
      <w:r>
        <w:rPr>
          <w:rFonts w:hint="eastAsia" w:ascii="宋体" w:hAnsi="宋体" w:cs="宋体"/>
          <w:kern w:val="0"/>
          <w:szCs w:val="21"/>
          <w:lang w:eastAsia="zh-CN"/>
        </w:rPr>
        <w:t>。</w:t>
      </w:r>
      <w:r>
        <w:rPr>
          <w:rFonts w:hint="eastAsia" w:ascii="宋体" w:hAnsi="宋体" w:eastAsia="宋体" w:cs="宋体"/>
          <w:kern w:val="0"/>
          <w:szCs w:val="21"/>
        </w:rPr>
        <w:t>接口设计应该尽量减少调用者与被调用者接口的耦合度，从而保证系统的稳定性和可靠性。</w:t>
      </w:r>
    </w:p>
    <w:p w14:paraId="5FF42CC3">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3</w:t>
      </w:r>
      <w:r>
        <w:rPr>
          <w:rFonts w:hint="eastAsia" w:ascii="宋体" w:hAnsi="宋体" w:eastAsia="宋体" w:cs="宋体"/>
          <w:kern w:val="0"/>
          <w:szCs w:val="21"/>
        </w:rPr>
        <w:t>）易于使用和维护</w:t>
      </w:r>
      <w:r>
        <w:rPr>
          <w:rFonts w:hint="eastAsia" w:ascii="宋体" w:hAnsi="宋体" w:cs="宋体"/>
          <w:kern w:val="0"/>
          <w:szCs w:val="21"/>
          <w:lang w:eastAsia="zh-CN"/>
        </w:rPr>
        <w:t>。</w:t>
      </w:r>
      <w:r>
        <w:rPr>
          <w:rFonts w:hint="eastAsia" w:ascii="宋体" w:hAnsi="宋体" w:eastAsia="宋体" w:cs="宋体"/>
          <w:kern w:val="0"/>
          <w:szCs w:val="21"/>
        </w:rPr>
        <w:t>接口设计应该尽量减少开发人员在使用和维护接口时的工作量，提高开发效率和系统维护成本。</w:t>
      </w:r>
    </w:p>
    <w:p w14:paraId="593336AA">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4</w:t>
      </w:r>
      <w:r>
        <w:rPr>
          <w:rFonts w:hint="eastAsia" w:ascii="宋体" w:hAnsi="宋体" w:eastAsia="宋体" w:cs="宋体"/>
          <w:kern w:val="0"/>
          <w:szCs w:val="21"/>
        </w:rPr>
        <w:t>）可扩展性</w:t>
      </w:r>
      <w:r>
        <w:rPr>
          <w:rFonts w:hint="eastAsia" w:ascii="宋体" w:hAnsi="宋体" w:cs="宋体"/>
          <w:kern w:val="0"/>
          <w:szCs w:val="21"/>
          <w:lang w:eastAsia="zh-CN"/>
        </w:rPr>
        <w:t>。</w:t>
      </w:r>
      <w:r>
        <w:rPr>
          <w:rFonts w:hint="eastAsia" w:ascii="宋体" w:hAnsi="宋体" w:eastAsia="宋体" w:cs="宋体"/>
          <w:kern w:val="0"/>
          <w:szCs w:val="21"/>
        </w:rPr>
        <w:t>接口应该支持后续的系统扩展，保证系统的持续发展和优化。</w:t>
      </w:r>
    </w:p>
    <w:p w14:paraId="42A1A334">
      <w:pPr>
        <w:widowControl/>
        <w:numPr>
          <w:ilvl w:val="0"/>
          <w:numId w:val="0"/>
        </w:numPr>
        <w:bidi w:val="0"/>
        <w:spacing w:line="360" w:lineRule="auto"/>
        <w:ind w:leftChars="0" w:firstLine="560" w:firstLineChars="200"/>
        <w:jc w:val="left"/>
        <w:rPr>
          <w:rFonts w:hint="eastAsia" w:ascii="宋体" w:hAnsi="宋体" w:eastAsia="宋体" w:cs="宋体"/>
          <w:kern w:val="0"/>
          <w:szCs w:val="21"/>
        </w:rPr>
      </w:pPr>
      <w:r>
        <w:rPr>
          <w:rFonts w:hint="eastAsia" w:ascii="宋体" w:hAnsi="宋体" w:cs="宋体"/>
          <w:kern w:val="0"/>
          <w:szCs w:val="21"/>
          <w:lang w:val="en-US" w:eastAsia="zh-CN"/>
        </w:rPr>
        <w:t>同时，</w:t>
      </w:r>
      <w:r>
        <w:rPr>
          <w:rFonts w:hint="eastAsia" w:ascii="宋体" w:hAnsi="宋体" w:cs="宋体"/>
          <w:kern w:val="0"/>
          <w:szCs w:val="21"/>
          <w:lang w:eastAsia="zh-CN"/>
        </w:rPr>
        <w:t>数据便捷流通公共服务管理系统（二期）</w:t>
      </w:r>
      <w:r>
        <w:rPr>
          <w:rFonts w:hint="eastAsia" w:ascii="宋体" w:hAnsi="宋体" w:eastAsia="宋体" w:cs="宋体"/>
          <w:kern w:val="0"/>
          <w:szCs w:val="21"/>
        </w:rPr>
        <w:t>的系统接口设计时需充分考虑以下问题：</w:t>
      </w:r>
    </w:p>
    <w:p w14:paraId="056F8B19">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（1）数据结构</w:t>
      </w:r>
      <w:r>
        <w:rPr>
          <w:rFonts w:hint="eastAsia" w:ascii="宋体" w:hAnsi="宋体" w:cs="宋体"/>
          <w:kern w:val="0"/>
          <w:szCs w:val="21"/>
          <w:lang w:eastAsia="zh-CN"/>
        </w:rPr>
        <w:t>。</w:t>
      </w:r>
      <w:r>
        <w:rPr>
          <w:rFonts w:hint="eastAsia" w:ascii="宋体" w:hAnsi="宋体" w:eastAsia="宋体" w:cs="宋体"/>
          <w:kern w:val="0"/>
          <w:szCs w:val="21"/>
        </w:rPr>
        <w:t>在设计接口时，应该考虑到接口所涉及的数据结构，保证数据的正确传递和处理。例如，应该确定数据格式、数据类型、数据长度等，避免由于数据结构不清晰而出现错误。</w:t>
      </w:r>
    </w:p>
    <w:p w14:paraId="02170F0F">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（2）输入和输出参数</w:t>
      </w:r>
      <w:r>
        <w:rPr>
          <w:rFonts w:hint="eastAsia" w:ascii="宋体" w:hAnsi="宋体" w:cs="宋体"/>
          <w:kern w:val="0"/>
          <w:szCs w:val="21"/>
          <w:lang w:eastAsia="zh-CN"/>
        </w:rPr>
        <w:t>。</w:t>
      </w:r>
      <w:r>
        <w:rPr>
          <w:rFonts w:hint="eastAsia" w:ascii="宋体" w:hAnsi="宋体" w:eastAsia="宋体" w:cs="宋体"/>
          <w:kern w:val="0"/>
          <w:szCs w:val="21"/>
        </w:rPr>
        <w:t>接口的输入和输出参数应该明确，以避免接口混淆、误传等问题。例如，在输入参数时应该定义参数的格式、类型、有效范围、是否必填等，以便于被调用者进行相应的检查和处理。</w:t>
      </w:r>
    </w:p>
    <w:p w14:paraId="41D6A5F7">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（3）错误处理</w:t>
      </w:r>
      <w:r>
        <w:rPr>
          <w:rFonts w:hint="eastAsia" w:ascii="宋体" w:hAnsi="宋体" w:cs="宋体"/>
          <w:kern w:val="0"/>
          <w:szCs w:val="21"/>
          <w:lang w:eastAsia="zh-CN"/>
        </w:rPr>
        <w:t>。</w:t>
      </w:r>
      <w:r>
        <w:rPr>
          <w:rFonts w:hint="eastAsia" w:ascii="宋体" w:hAnsi="宋体" w:eastAsia="宋体" w:cs="宋体"/>
          <w:kern w:val="0"/>
          <w:szCs w:val="21"/>
        </w:rPr>
        <w:t>接口设计也应该考虑到异常情况的处理，例如，设计方案应该考虑到接口可能出现的错误和异常情况，如传递参数错误、超时、中断等情况，并为这些异常情况提供处理方法。</w:t>
      </w:r>
    </w:p>
    <w:p w14:paraId="438A0239">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（4）安全性</w:t>
      </w:r>
      <w:r>
        <w:rPr>
          <w:rFonts w:hint="eastAsia" w:ascii="宋体" w:hAnsi="宋体" w:cs="宋体"/>
          <w:kern w:val="0"/>
          <w:szCs w:val="21"/>
          <w:lang w:eastAsia="zh-CN"/>
        </w:rPr>
        <w:t>。</w:t>
      </w:r>
      <w:r>
        <w:rPr>
          <w:rFonts w:hint="eastAsia" w:ascii="宋体" w:hAnsi="宋体" w:eastAsia="宋体" w:cs="宋体"/>
          <w:kern w:val="0"/>
          <w:szCs w:val="21"/>
        </w:rPr>
        <w:t>接口是系统中最容易受到外部攻击的部分，也是最容易发生安全漏洞的部分。因此，在接口设计时，必须考虑系统的安全性问题，以确保接口不会成为系统的安全漏洞。</w:t>
      </w:r>
    </w:p>
    <w:p w14:paraId="252FDED4">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（5）可扩展性</w:t>
      </w:r>
      <w:r>
        <w:rPr>
          <w:rFonts w:hint="eastAsia" w:ascii="宋体" w:hAnsi="宋体" w:cs="宋体"/>
          <w:kern w:val="0"/>
          <w:szCs w:val="21"/>
          <w:lang w:eastAsia="zh-CN"/>
        </w:rPr>
        <w:t>。</w:t>
      </w:r>
      <w:r>
        <w:rPr>
          <w:rFonts w:hint="eastAsia" w:ascii="宋体" w:hAnsi="宋体" w:eastAsia="宋体" w:cs="宋体"/>
          <w:kern w:val="0"/>
          <w:szCs w:val="21"/>
        </w:rPr>
        <w:t>在接口设计过程中，还需要考虑系统未来的扩展需求，以保证接口能够支持系统的持续发展和优化。例如，在设计接口时，应该采用标准的协议和数据格式，以方便后续的系统扩展。</w:t>
      </w:r>
    </w:p>
    <w:p w14:paraId="1B1A0D13">
      <w:pPr>
        <w:widowControl/>
        <w:bidi w:val="0"/>
        <w:spacing w:line="360" w:lineRule="auto"/>
        <w:ind w:firstLine="560" w:firstLineChars="200"/>
        <w:jc w:val="left"/>
        <w:rPr>
          <w:rFonts w:hint="eastAsia" w:ascii="宋体" w:hAnsi="宋体" w:eastAsia="宋体" w:cs="宋体"/>
          <w:kern w:val="0"/>
          <w:szCs w:val="21"/>
        </w:rPr>
      </w:pPr>
      <w:r>
        <w:rPr>
          <w:rFonts w:hint="eastAsia" w:ascii="宋体" w:hAnsi="宋体" w:eastAsia="宋体" w:cs="宋体"/>
          <w:kern w:val="0"/>
          <w:szCs w:val="21"/>
        </w:rPr>
        <w:t>（6）可测试性</w:t>
      </w:r>
      <w:r>
        <w:rPr>
          <w:rFonts w:hint="eastAsia" w:ascii="宋体" w:hAnsi="宋体" w:cs="宋体"/>
          <w:kern w:val="0"/>
          <w:szCs w:val="21"/>
          <w:lang w:eastAsia="zh-CN"/>
        </w:rPr>
        <w:t>。</w:t>
      </w:r>
      <w:r>
        <w:rPr>
          <w:rFonts w:hint="eastAsia" w:ascii="宋体" w:hAnsi="宋体" w:eastAsia="宋体" w:cs="宋体"/>
          <w:kern w:val="0"/>
          <w:szCs w:val="21"/>
        </w:rPr>
        <w:t>接口设计应该考虑如何对接口进行测试和验证，以确保接口的正确性和稳定性。</w:t>
      </w:r>
    </w:p>
    <w:p w14:paraId="75233BEA">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技术框架要求</w:t>
      </w:r>
    </w:p>
    <w:p w14:paraId="41FE6982">
      <w:pPr>
        <w:widowControl w:val="0"/>
        <w:spacing w:line="360" w:lineRule="auto"/>
        <w:ind w:firstLine="560" w:firstLineChars="200"/>
        <w:jc w:val="both"/>
        <w:rPr>
          <w:rFonts w:hint="eastAsia" w:ascii="仿宋" w:hAnsi="仿宋" w:eastAsia="宋体" w:cs="Times New Roman"/>
          <w:kern w:val="2"/>
          <w:sz w:val="28"/>
          <w:szCs w:val="28"/>
          <w:lang w:val="en-US" w:eastAsia="zh-CN" w:bidi="ar-SA"/>
        </w:rPr>
      </w:pPr>
      <w:r>
        <w:rPr>
          <w:rFonts w:hint="eastAsia" w:ascii="仿宋" w:hAnsi="仿宋" w:eastAsia="宋体" w:cs="Times New Roman"/>
          <w:kern w:val="2"/>
          <w:sz w:val="28"/>
          <w:szCs w:val="28"/>
          <w:lang w:val="en-US" w:eastAsia="zh-CN" w:bidi="ar-SA"/>
        </w:rPr>
        <w:t>数据便捷流通公共服务管理系统（二期）的建设应以用户需求为导向、以目标达成为宗旨、以任务实现为要点，符合“高内聚、低耦合”的先进软件设计理念，满足应用及服务的对接与集成，在保持各系统独立性的同时，又要促使系统的相互统一、数据共享与互操作。系统需基于成熟的应用开发平台进行设计和开发，并采用国际、国内先进、成熟的技术标准。同时综合考虑部署环境、运行使用环境、系统维护和技术的发展，本项目应满足如下要求：</w:t>
      </w:r>
    </w:p>
    <w:p w14:paraId="46C240AF">
      <w:pPr>
        <w:ind w:firstLine="560" w:firstLineChars="200"/>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eastAsia="zh-CN"/>
        </w:rPr>
        <w:t>国 产 化</w:t>
      </w:r>
      <w:r>
        <w:rPr>
          <w:rFonts w:hint="eastAsia" w:ascii="宋体" w:hAnsi="宋体" w:eastAsia="宋体"/>
          <w:sz w:val="28"/>
          <w:szCs w:val="28"/>
        </w:rPr>
        <w:t>要求：系统的建设需全面采用国产软硬件及技术标准，以确保信息系统的自主可控与</w:t>
      </w:r>
      <w:r>
        <w:rPr>
          <w:rFonts w:hint="eastAsia" w:ascii="宋体" w:hAnsi="宋体"/>
          <w:sz w:val="28"/>
          <w:szCs w:val="28"/>
          <w:lang w:eastAsia="zh-CN"/>
        </w:rPr>
        <w:t>国 产 化</w:t>
      </w:r>
      <w:r>
        <w:rPr>
          <w:rFonts w:hint="eastAsia" w:ascii="宋体" w:hAnsi="宋体" w:eastAsia="宋体"/>
          <w:sz w:val="28"/>
          <w:szCs w:val="28"/>
        </w:rPr>
        <w:t>要求。系统设计应该采用多种成熟、稳定、高可用性技术保证关键业务的连续不间断运作和对非正常情况的可靠处理。</w:t>
      </w:r>
    </w:p>
    <w:p w14:paraId="72D6C230">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（2）复用性与兼容性：最大化复用已建成系统的功能模块、数据库结构和接口服务，减少重复开发成本。</w:t>
      </w:r>
    </w:p>
    <w:p w14:paraId="59A21C71">
      <w:pPr>
        <w:ind w:firstLine="560" w:firstLineChars="200"/>
        <w:rPr>
          <w:rFonts w:hint="eastAsia" w:ascii="宋体" w:hAnsi="宋体" w:eastAsia="宋体"/>
          <w:sz w:val="28"/>
          <w:szCs w:val="28"/>
        </w:rPr>
      </w:pPr>
      <w:r>
        <w:rPr>
          <w:rFonts w:hint="eastAsia" w:ascii="宋体" w:hAnsi="宋体" w:eastAsia="宋体"/>
          <w:sz w:val="28"/>
          <w:szCs w:val="28"/>
        </w:rPr>
        <w:t>（3）模块化与微服务架构：采用模块化设计，将系统划分为多个独立且可复用的微服务，提高系统的可扩展性、可维护性和故障隔离能力。</w:t>
      </w:r>
    </w:p>
    <w:p w14:paraId="603CE8F4">
      <w:pPr>
        <w:ind w:firstLine="560" w:firstLineChars="200"/>
        <w:rPr>
          <w:rFonts w:hint="eastAsia" w:ascii="宋体" w:hAnsi="宋体" w:eastAsia="宋体"/>
          <w:sz w:val="28"/>
          <w:szCs w:val="28"/>
        </w:rPr>
      </w:pPr>
      <w:r>
        <w:rPr>
          <w:rFonts w:hint="eastAsia" w:ascii="宋体" w:hAnsi="宋体" w:eastAsia="宋体"/>
          <w:sz w:val="28"/>
          <w:szCs w:val="28"/>
        </w:rPr>
        <w:t>（4）标准化与接口规范：制定严格的编码规范、数据标准和接口协议，确保系统内部各组件及与外部系统的有效通信与集成。</w:t>
      </w:r>
    </w:p>
    <w:p w14:paraId="150A96CA">
      <w:pPr>
        <w:ind w:firstLine="560" w:firstLineChars="200"/>
        <w:rPr>
          <w:rFonts w:hint="eastAsia" w:ascii="宋体" w:hAnsi="宋体" w:eastAsia="宋体"/>
          <w:sz w:val="28"/>
          <w:szCs w:val="28"/>
        </w:rPr>
      </w:pPr>
      <w:r>
        <w:rPr>
          <w:rFonts w:hint="eastAsia" w:ascii="宋体" w:hAnsi="宋体" w:eastAsia="宋体"/>
          <w:sz w:val="28"/>
          <w:szCs w:val="28"/>
        </w:rPr>
        <w:t>（5）性能优化与负载均衡：实施性能监控、缓存策略和负载均衡机制，确保系统在高并发、大数据量场景下的稳定运行和高效响应。</w:t>
      </w:r>
    </w:p>
    <w:p w14:paraId="161B9EEE">
      <w:pPr>
        <w:ind w:firstLine="560" w:firstLineChars="200"/>
        <w:rPr>
          <w:rFonts w:hint="eastAsia" w:ascii="宋体" w:hAnsi="宋体" w:eastAsia="宋体"/>
          <w:sz w:val="28"/>
          <w:szCs w:val="28"/>
        </w:rPr>
      </w:pPr>
      <w:r>
        <w:rPr>
          <w:rFonts w:hint="eastAsia" w:ascii="宋体" w:hAnsi="宋体" w:eastAsia="宋体"/>
          <w:sz w:val="28"/>
          <w:szCs w:val="28"/>
        </w:rPr>
        <w:t>（6）安全性与数据保护：加强系统的安全防护，包括数据加密、访问控制、防火墙和入侵检测等，确保用户数据和系统安全不受威胁。保证系统数据处理的一致性，保证业务和数据不被非法获取和篡改，保证数据不因意外情况丢失和损坏，保证信息传输时对使用者、发送和接收者的身份确认，提供多种安全检查审计手段，实现整个平台的安全性。</w:t>
      </w:r>
    </w:p>
    <w:p w14:paraId="2C437131">
      <w:pPr>
        <w:ind w:firstLine="560" w:firstLineChars="200"/>
        <w:rPr>
          <w:rFonts w:hint="eastAsia" w:ascii="宋体" w:hAnsi="宋体" w:eastAsia="宋体"/>
          <w:sz w:val="28"/>
          <w:szCs w:val="28"/>
        </w:rPr>
      </w:pPr>
      <w:r>
        <w:rPr>
          <w:rFonts w:hint="eastAsia" w:ascii="宋体" w:hAnsi="宋体" w:eastAsia="宋体"/>
          <w:sz w:val="28"/>
          <w:szCs w:val="28"/>
        </w:rPr>
        <w:t>（7）可观测性与故障排查：集成日志管理、性能监控和错误跟踪系统，提供全面的可观测性，便于快速定位和解决系统问题。</w:t>
      </w:r>
    </w:p>
    <w:p w14:paraId="1D5D5C00">
      <w:pPr>
        <w:ind w:firstLine="560" w:firstLineChars="200"/>
        <w:rPr>
          <w:rFonts w:hint="eastAsia" w:ascii="宋体" w:hAnsi="宋体" w:eastAsia="宋体"/>
          <w:sz w:val="28"/>
          <w:szCs w:val="28"/>
        </w:rPr>
      </w:pPr>
      <w:r>
        <w:rPr>
          <w:rFonts w:hint="eastAsia" w:ascii="宋体" w:hAnsi="宋体" w:eastAsia="宋体"/>
          <w:sz w:val="28"/>
          <w:szCs w:val="28"/>
        </w:rPr>
        <w:t>（8）用户体验与界面优化：关注用户界面和交互设计，确保升级后的系统易于使用、响应迅速，提升用户满意度和操作效率。</w:t>
      </w:r>
    </w:p>
    <w:p w14:paraId="0496A3D1">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采购内容及质量</w:t>
      </w:r>
      <w:r>
        <w:rPr>
          <w:rFonts w:hint="eastAsia" w:asciiTheme="majorEastAsia" w:hAnsiTheme="majorEastAsia" w:eastAsiaTheme="majorEastAsia" w:cstheme="majorEastAsia"/>
        </w:rPr>
        <w:t>要求</w:t>
      </w:r>
    </w:p>
    <w:p w14:paraId="39EEC7C5">
      <w:pPr>
        <w:pStyle w:val="4"/>
        <w:bidi w:val="0"/>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采购清单</w:t>
      </w:r>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50"/>
        <w:gridCol w:w="5570"/>
        <w:gridCol w:w="816"/>
      </w:tblGrid>
      <w:tr w14:paraId="7417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9" w:type="dxa"/>
            <w:vAlign w:val="center"/>
          </w:tcPr>
          <w:p w14:paraId="4E99D5A1">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750" w:type="dxa"/>
            <w:vAlign w:val="center"/>
          </w:tcPr>
          <w:p w14:paraId="6D30F521">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子系统</w:t>
            </w:r>
            <w:r>
              <w:rPr>
                <w:rFonts w:hint="eastAsia" w:asciiTheme="minorEastAsia" w:hAnsiTheme="minorEastAsia" w:eastAsiaTheme="minorEastAsia" w:cstheme="minorEastAsia"/>
                <w:b/>
                <w:sz w:val="28"/>
                <w:szCs w:val="28"/>
              </w:rPr>
              <w:t>名称</w:t>
            </w:r>
          </w:p>
        </w:tc>
        <w:tc>
          <w:tcPr>
            <w:tcW w:w="5570" w:type="dxa"/>
            <w:vAlign w:val="center"/>
          </w:tcPr>
          <w:p w14:paraId="0CE22571">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功能及技术指标</w:t>
            </w:r>
          </w:p>
        </w:tc>
        <w:tc>
          <w:tcPr>
            <w:tcW w:w="816" w:type="dxa"/>
            <w:vAlign w:val="center"/>
          </w:tcPr>
          <w:p w14:paraId="1DDA0770">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备注</w:t>
            </w:r>
          </w:p>
        </w:tc>
      </w:tr>
      <w:tr w14:paraId="47D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0A6CF6AE">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1750" w:type="dxa"/>
            <w:vAlign w:val="center"/>
          </w:tcPr>
          <w:p w14:paraId="59A14D7D">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公共服务</w:t>
            </w:r>
          </w:p>
          <w:p w14:paraId="6AE085C6">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门户</w:t>
            </w:r>
          </w:p>
        </w:tc>
        <w:tc>
          <w:tcPr>
            <w:tcW w:w="5570" w:type="dxa"/>
            <w:vAlign w:val="center"/>
          </w:tcPr>
          <w:p w14:paraId="53621A22">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门户首页、服务展示、资讯公告、咨询服务、快捷通道、快速搜索、中英文切换</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详见2.4.2.各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6037D7E1">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p>
        </w:tc>
      </w:tr>
      <w:tr w14:paraId="431F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13BCFC2A">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p>
        </w:tc>
        <w:tc>
          <w:tcPr>
            <w:tcW w:w="1750" w:type="dxa"/>
            <w:vAlign w:val="center"/>
          </w:tcPr>
          <w:p w14:paraId="68802BFD">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备案申请子系统</w:t>
            </w:r>
          </w:p>
        </w:tc>
        <w:tc>
          <w:tcPr>
            <w:tcW w:w="5570" w:type="dxa"/>
            <w:vAlign w:val="center"/>
          </w:tcPr>
          <w:p w14:paraId="223CE88B">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统一登录、用户指引、预约服务、备案申请管理、正面清单操作指引需求征集、互动专区、用户协议、基本信息管理、接收方/中转国家IP地址信息录入、数据主体备案临期清单、数据暂存、文件下载。详见2.4.2.各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0E6871EA">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6417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5E35CCF3">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p>
        </w:tc>
        <w:tc>
          <w:tcPr>
            <w:tcW w:w="1750" w:type="dxa"/>
            <w:vAlign w:val="center"/>
          </w:tcPr>
          <w:p w14:paraId="3BB6A7A3">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审核监管子系统</w:t>
            </w:r>
          </w:p>
        </w:tc>
        <w:tc>
          <w:tcPr>
            <w:tcW w:w="5570" w:type="dxa"/>
            <w:vAlign w:val="center"/>
          </w:tcPr>
          <w:p w14:paraId="68F58674">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备案审核管理、存证管理、正面清单操作指引管理、备案场景管理、检查管理、资讯公告管理、预约管理、咨询管理。详见2.4.2.各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36E9D20A">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617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0FAD3248">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w:t>
            </w:r>
          </w:p>
        </w:tc>
        <w:tc>
          <w:tcPr>
            <w:tcW w:w="1750" w:type="dxa"/>
            <w:vAlign w:val="center"/>
          </w:tcPr>
          <w:p w14:paraId="7E5F4434">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综合展示子系统</w:t>
            </w:r>
          </w:p>
        </w:tc>
        <w:tc>
          <w:tcPr>
            <w:tcW w:w="5570" w:type="dxa"/>
            <w:vAlign w:val="center"/>
          </w:tcPr>
          <w:p w14:paraId="6FB25ADB">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数据可视化看板、跨境服务中心窗口现场统计展示、数据跨境展示大屏、个性化展示。详见2.4.2.各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4716F185">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2339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2C7A753C">
            <w:pPr>
              <w:adjustRightInd w:val="0"/>
              <w:snapToGrid w:val="0"/>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w:t>
            </w:r>
          </w:p>
        </w:tc>
        <w:tc>
          <w:tcPr>
            <w:tcW w:w="1750" w:type="dxa"/>
            <w:vAlign w:val="center"/>
          </w:tcPr>
          <w:p w14:paraId="281F3E9F">
            <w:pPr>
              <w:adjustRightInd w:val="0"/>
              <w:snapToGrid w:val="0"/>
              <w:ind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后台管理子系统</w:t>
            </w:r>
          </w:p>
        </w:tc>
        <w:tc>
          <w:tcPr>
            <w:tcW w:w="5570" w:type="dxa"/>
            <w:vAlign w:val="center"/>
          </w:tcPr>
          <w:p w14:paraId="5661C7A1">
            <w:pPr>
              <w:adjustRightInd w:val="0"/>
              <w:snapToGrid w:val="0"/>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独立用户系统管理、第三方单位管理、系统管理、报表报告、数据标签、安全管理、系统对接。详见2.4.2.各</w:t>
            </w:r>
            <w:r>
              <w:rPr>
                <w:rFonts w:hint="eastAsia" w:asciiTheme="minorEastAsia" w:hAnsiTheme="minorEastAsia" w:eastAsiaTheme="minorEastAsia" w:cstheme="minorEastAsia"/>
                <w:sz w:val="28"/>
                <w:szCs w:val="28"/>
                <w:lang w:val="en-US" w:eastAsia="zh-CN"/>
              </w:rPr>
              <w:t>子系统</w:t>
            </w:r>
            <w:r>
              <w:rPr>
                <w:rFonts w:hint="eastAsia" w:asciiTheme="minorEastAsia" w:hAnsiTheme="minorEastAsia" w:eastAsiaTheme="minorEastAsia" w:cstheme="minorEastAsia"/>
                <w:sz w:val="28"/>
                <w:szCs w:val="28"/>
              </w:rPr>
              <w:t>具体要求。</w:t>
            </w:r>
          </w:p>
        </w:tc>
        <w:tc>
          <w:tcPr>
            <w:tcW w:w="816" w:type="dxa"/>
            <w:vAlign w:val="center"/>
          </w:tcPr>
          <w:p w14:paraId="58B132FF">
            <w:pPr>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w:t>
            </w:r>
          </w:p>
        </w:tc>
      </w:tr>
      <w:tr w14:paraId="0129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14:paraId="1F9197AE">
            <w:pPr>
              <w:adjustRightInd w:val="0"/>
              <w:snapToGrid w:val="0"/>
              <w:ind w:firstLine="0" w:firstLineChars="0"/>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6</w:t>
            </w:r>
          </w:p>
        </w:tc>
        <w:tc>
          <w:tcPr>
            <w:tcW w:w="1750" w:type="dxa"/>
            <w:vAlign w:val="center"/>
          </w:tcPr>
          <w:p w14:paraId="56DA700F">
            <w:pPr>
              <w:adjustRightInd w:val="0"/>
              <w:snapToGrid w:val="0"/>
              <w:ind w:firstLine="0" w:firstLineChars="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密码应用改造</w:t>
            </w:r>
          </w:p>
        </w:tc>
        <w:tc>
          <w:tcPr>
            <w:tcW w:w="5570" w:type="dxa"/>
            <w:vAlign w:val="center"/>
          </w:tcPr>
          <w:p w14:paraId="768FA492">
            <w:pPr>
              <w:adjustRightInd w:val="0"/>
              <w:snapToGrid w:val="0"/>
              <w:ind w:firstLine="0" w:firstLineChars="0"/>
              <w:rPr>
                <w:rFonts w:hint="eastAsia" w:asciiTheme="minorEastAsia" w:hAnsiTheme="minorEastAsia" w:eastAsiaTheme="minorEastAsia" w:cstheme="minorEastAsia"/>
                <w:sz w:val="28"/>
                <w:szCs w:val="28"/>
              </w:rPr>
            </w:pPr>
          </w:p>
        </w:tc>
        <w:tc>
          <w:tcPr>
            <w:tcW w:w="816" w:type="dxa"/>
            <w:vAlign w:val="center"/>
          </w:tcPr>
          <w:p w14:paraId="696253F3">
            <w:pPr>
              <w:ind w:firstLine="0" w:firstLineChars="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w:t>
            </w:r>
          </w:p>
        </w:tc>
      </w:tr>
    </w:tbl>
    <w:p w14:paraId="344BE193">
      <w:pPr>
        <w:bidi w:val="0"/>
        <w:rPr>
          <w:rFonts w:hint="eastAsia" w:asciiTheme="minorEastAsia" w:hAnsiTheme="minorEastAsia" w:eastAsiaTheme="minorEastAsia" w:cstheme="minorEastAsia"/>
          <w:b/>
          <w:bCs/>
          <w:color w:val="0000FF"/>
          <w:u w:val="single"/>
        </w:rPr>
      </w:pPr>
      <w:r>
        <w:rPr>
          <w:rFonts w:hint="eastAsia" w:asciiTheme="minorEastAsia" w:hAnsiTheme="minorEastAsia" w:eastAsiaTheme="minorEastAsia" w:cstheme="minorEastAsia"/>
          <w:b/>
          <w:bCs/>
          <w:color w:val="0000FF"/>
          <w:u w:val="single"/>
        </w:rPr>
        <w:t>说明：上表中所列为本次</w:t>
      </w:r>
      <w:r>
        <w:rPr>
          <w:rFonts w:hint="eastAsia" w:asciiTheme="minorEastAsia" w:hAnsiTheme="minorEastAsia" w:eastAsiaTheme="minorEastAsia" w:cstheme="minorEastAsia"/>
          <w:b/>
          <w:bCs/>
          <w:color w:val="0000FF"/>
          <w:u w:val="single"/>
          <w:lang w:eastAsia="zh-CN"/>
        </w:rPr>
        <w:t>采购</w:t>
      </w:r>
      <w:r>
        <w:rPr>
          <w:rFonts w:hint="eastAsia" w:asciiTheme="minorEastAsia" w:hAnsiTheme="minorEastAsia" w:eastAsiaTheme="minorEastAsia" w:cstheme="minorEastAsia"/>
          <w:b/>
          <w:bCs/>
          <w:color w:val="0000FF"/>
          <w:u w:val="single"/>
        </w:rPr>
        <w:t>的主要工作内容，其中“●”标记的内容为本项目的核心工作内容，</w:t>
      </w:r>
      <w:r>
        <w:rPr>
          <w:rFonts w:hint="eastAsia" w:asciiTheme="minorEastAsia" w:hAnsiTheme="minorEastAsia" w:eastAsiaTheme="minorEastAsia" w:cstheme="minorEastAsia"/>
          <w:b/>
          <w:bCs/>
          <w:color w:val="0000FF"/>
          <w:u w:val="single"/>
          <w:lang w:eastAsia="zh-CN"/>
        </w:rPr>
        <w:t>响应供应商</w:t>
      </w:r>
      <w:r>
        <w:rPr>
          <w:rFonts w:hint="eastAsia" w:asciiTheme="minorEastAsia" w:hAnsiTheme="minorEastAsia" w:eastAsiaTheme="minorEastAsia" w:cstheme="minorEastAsia"/>
          <w:b/>
          <w:bCs/>
          <w:color w:val="0000FF"/>
          <w:u w:val="single"/>
        </w:rPr>
        <w:t>不得减少核心模块。</w:t>
      </w:r>
    </w:p>
    <w:p w14:paraId="157369DA">
      <w:pPr>
        <w:pStyle w:val="4"/>
        <w:bidi w:val="0"/>
        <w:rPr>
          <w:rFonts w:hint="eastAsia" w:asciiTheme="minorEastAsia" w:hAnsiTheme="minorEastAsia" w:eastAsiaTheme="minorEastAsia" w:cstheme="minorEastAsia"/>
          <w:b/>
          <w:bCs w:val="0"/>
          <w:lang w:val="en-US" w:eastAsia="zh-CN"/>
        </w:rPr>
      </w:pPr>
      <w:r>
        <w:rPr>
          <w:rFonts w:hint="eastAsia" w:asciiTheme="minorEastAsia" w:hAnsiTheme="minorEastAsia" w:eastAsiaTheme="minorEastAsia" w:cstheme="minorEastAsia"/>
          <w:b/>
          <w:bCs w:val="0"/>
          <w:lang w:val="en-US" w:eastAsia="zh-CN"/>
        </w:rPr>
        <w:t>各模块具体要求</w:t>
      </w:r>
    </w:p>
    <w:p w14:paraId="28D4BBE7">
      <w:pPr>
        <w:bidi w:val="0"/>
        <w:rPr>
          <w:rFonts w:hint="eastAsia" w:cstheme="minorBidi"/>
          <w:kern w:val="2"/>
          <w:sz w:val="28"/>
          <w:szCs w:val="28"/>
          <w:lang w:val="en-US" w:eastAsia="zh-CN" w:bidi="ar-SA"/>
        </w:rPr>
      </w:pPr>
      <w:bookmarkStart w:id="23" w:name="_Toc157417078"/>
      <w:r>
        <w:rPr>
          <w:rFonts w:hint="eastAsia"/>
          <w:b/>
          <w:bCs/>
        </w:rPr>
        <w:t>公共</w:t>
      </w:r>
      <w:r>
        <w:rPr>
          <w:rFonts w:hint="eastAsia"/>
          <w:b/>
          <w:bCs/>
          <w:lang w:val="en-US" w:eastAsia="zh-CN"/>
        </w:rPr>
        <w:t>服务</w:t>
      </w:r>
      <w:r>
        <w:rPr>
          <w:rFonts w:hint="eastAsia"/>
          <w:b/>
          <w:bCs/>
        </w:rPr>
        <w:t>门户</w:t>
      </w:r>
      <w:bookmarkEnd w:id="23"/>
      <w:r>
        <w:rPr>
          <w:rFonts w:hint="eastAsia"/>
          <w:b/>
          <w:bCs/>
          <w:lang w:eastAsia="zh-CN"/>
        </w:rPr>
        <w:t>：</w:t>
      </w:r>
      <w:r>
        <w:rPr>
          <w:rFonts w:hint="eastAsia" w:cstheme="minorBidi"/>
          <w:kern w:val="2"/>
          <w:sz w:val="28"/>
          <w:szCs w:val="28"/>
          <w:lang w:val="en-US" w:eastAsia="zh-CN" w:bidi="ar-SA"/>
        </w:rPr>
        <w:t>包括门户首页、服务展示、资讯公告、咨询服务、快捷通道、快速搜索、中英文切换。</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331"/>
        <w:gridCol w:w="1358"/>
        <w:gridCol w:w="1188"/>
        <w:gridCol w:w="3984"/>
      </w:tblGrid>
      <w:tr w14:paraId="3D9B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8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B46DD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1"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6F8D6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79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23847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69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718FE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三级模块</w:t>
            </w:r>
          </w:p>
        </w:tc>
        <w:tc>
          <w:tcPr>
            <w:tcW w:w="233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E52C7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w:t>
            </w:r>
          </w:p>
        </w:tc>
      </w:tr>
      <w:tr w14:paraId="5784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386" w:type="pct"/>
            <w:tcBorders>
              <w:top w:val="nil"/>
              <w:left w:val="single" w:color="000000" w:sz="8" w:space="0"/>
              <w:bottom w:val="single" w:color="000000" w:sz="4" w:space="0"/>
              <w:right w:val="single" w:color="000000" w:sz="4" w:space="0"/>
            </w:tcBorders>
            <w:shd w:val="clear" w:color="auto" w:fill="FEDB61"/>
            <w:vAlign w:val="center"/>
          </w:tcPr>
          <w:p w14:paraId="3411C1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613" w:type="pct"/>
            <w:gridSpan w:val="4"/>
            <w:tcBorders>
              <w:top w:val="nil"/>
              <w:left w:val="single" w:color="000000" w:sz="4" w:space="0"/>
              <w:bottom w:val="single" w:color="000000" w:sz="4" w:space="0"/>
              <w:right w:val="single" w:color="000000" w:sz="4" w:space="0"/>
            </w:tcBorders>
            <w:shd w:val="clear" w:color="auto" w:fill="FEDB61"/>
            <w:vAlign w:val="center"/>
          </w:tcPr>
          <w:p w14:paraId="19B681DB">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公共服务门户</w:t>
            </w:r>
          </w:p>
        </w:tc>
      </w:tr>
      <w:tr w14:paraId="21A1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F5F1D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309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门户首页</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8A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Banner设置</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D43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CF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首页Banner位置新增嵌入临港主题的动态展示效果。</w:t>
            </w:r>
          </w:p>
        </w:tc>
      </w:tr>
      <w:tr w14:paraId="586F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AA5C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061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55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交互界面重构</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63E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1C9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根据最新业务流程、组织架构调整情况，进行功能分布、页面布局整体重新设计，优化色彩搭配、图标和按钮等，包括设计和开发，打造便捷、友好的交互界面。</w:t>
            </w:r>
          </w:p>
        </w:tc>
      </w:tr>
      <w:tr w14:paraId="35E8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DA5C0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792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服务展示</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4EF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平台展示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117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57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新增平台介绍板块，包括平台定位、平台功能的介绍。</w:t>
            </w:r>
          </w:p>
        </w:tc>
      </w:tr>
      <w:tr w14:paraId="2A02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D9D1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AE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3F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服务中心展示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635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61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对数据跨境服务中心的基本情况、相关职责、组织架构、线下服务窗口等进行展示，提供服务地址、服务时间、服务环境展示、联系方式等信息。</w:t>
            </w:r>
          </w:p>
        </w:tc>
      </w:tr>
      <w:tr w14:paraId="4F79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61E9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23D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资讯公告</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6A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公告公示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21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重要公告强提示</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71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以弹窗提示形式，对备案清单更新等重要情况进行强提示。</w:t>
            </w:r>
          </w:p>
        </w:tc>
      </w:tr>
      <w:tr w14:paraId="60A7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0ABB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58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8A5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案例分享</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08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案例列表</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8E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以列表形式集中展示优秀案例，包含标题、发布时间、数据标签、查看详情等关键信息，列表按照发布时间、分类展示、推荐程度等进行排序；支持匿名展示。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支持用户对案例进行筛选、排序、搜索。</w:t>
            </w:r>
          </w:p>
        </w:tc>
      </w:tr>
      <w:tr w14:paraId="7E39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AE8E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04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90C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09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案例详情</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6A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对数据跨境优秀案例及其成果进行详细展示与宣传。支持匿名展示。</w:t>
            </w:r>
          </w:p>
        </w:tc>
      </w:tr>
      <w:tr w14:paraId="6AE4D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D40C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E08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咨询服务</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A78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智能问答</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916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BB5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提供常见问题解答，对平台使用指引、数据跨境业务流程指引、政策法规等常见问题设置标准化解答方案。</w:t>
            </w:r>
          </w:p>
        </w:tc>
      </w:tr>
      <w:tr w14:paraId="4B52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806B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C94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E5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电话咨询</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250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0F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提供服务中心联系方式信息，支持电话咨询的服务方式。</w:t>
            </w:r>
          </w:p>
        </w:tc>
      </w:tr>
      <w:tr w14:paraId="0DDC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0838D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99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快捷通道</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5BE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604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8D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提供用户指引、备案申请、进度查询、数据跨境场景化操作指引（一般数据清单）需求征集、咨询服务、预约服务等模块的快捷通道，便于用户快速操作，提高用户界面友好性。</w:t>
            </w:r>
          </w:p>
        </w:tc>
      </w:tr>
      <w:tr w14:paraId="0E50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0DC2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B7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快速搜索</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FE8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718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C2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提供快速搜索功能，支持用户输入关键词后迅速给出相关搜索结果，方便用户快速查找信息。</w:t>
            </w:r>
          </w:p>
        </w:tc>
      </w:tr>
      <w:tr w14:paraId="2C87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8169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8F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中英文切换</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EBA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897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F8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基于临港数据跨境工作性质，支持中文、英文多语种切换，本期英文版面不提供智能问答功能。</w:t>
            </w:r>
          </w:p>
        </w:tc>
      </w:tr>
    </w:tbl>
    <w:p w14:paraId="280F205A">
      <w:pPr>
        <w:pStyle w:val="11"/>
        <w:ind w:left="0" w:leftChars="0" w:firstLine="0" w:firstLineChars="0"/>
        <w:rPr>
          <w:rFonts w:hint="eastAsia"/>
          <w:lang w:val="en-US" w:eastAsia="zh-CN"/>
        </w:rPr>
      </w:pPr>
    </w:p>
    <w:p w14:paraId="39BCD012">
      <w:pPr>
        <w:pStyle w:val="11"/>
        <w:ind w:left="0" w:leftChars="0" w:firstLine="562" w:firstLineChars="200"/>
        <w:rPr>
          <w:rFonts w:hint="eastAsia" w:ascii="仿宋" w:hAnsi="仿宋" w:eastAsia="宋体" w:cs="Times New Roman"/>
          <w:kern w:val="2"/>
          <w:sz w:val="28"/>
          <w:szCs w:val="28"/>
          <w:lang w:val="en-US" w:eastAsia="zh-CN" w:bidi="ar-SA"/>
        </w:rPr>
      </w:pPr>
      <w:r>
        <w:rPr>
          <w:rFonts w:hint="eastAsia" w:ascii="仿宋" w:hAnsi="仿宋" w:eastAsia="宋体" w:cs="Times New Roman"/>
          <w:b/>
          <w:bCs/>
          <w:kern w:val="2"/>
          <w:sz w:val="28"/>
          <w:szCs w:val="28"/>
          <w:lang w:val="en-US" w:eastAsia="zh-CN" w:bidi="ar-SA"/>
        </w:rPr>
        <w:t>备案申请子系统</w:t>
      </w:r>
      <w:r>
        <w:rPr>
          <w:rFonts w:hint="eastAsia" w:ascii="仿宋" w:hAnsi="仿宋" w:cs="Times New Roman"/>
          <w:b/>
          <w:bCs/>
          <w:kern w:val="2"/>
          <w:sz w:val="28"/>
          <w:szCs w:val="28"/>
          <w:lang w:val="en-US" w:eastAsia="zh-CN" w:bidi="ar-SA"/>
        </w:rPr>
        <w:t>：</w:t>
      </w:r>
      <w:r>
        <w:rPr>
          <w:rFonts w:hint="eastAsia" w:ascii="仿宋" w:hAnsi="仿宋" w:eastAsia="宋体" w:cs="Times New Roman"/>
          <w:kern w:val="2"/>
          <w:sz w:val="28"/>
          <w:szCs w:val="28"/>
          <w:lang w:val="en-US" w:eastAsia="zh-CN" w:bidi="ar-SA"/>
        </w:rPr>
        <w:t>包括统一登录、用户指引、预约服务、备案申请管理、正面清单操作指引需求征集、互动专区、用户协议、基本信息管理、接收方/中转国家IP地址信息录入、数据主体备案临期清单、数据暂存、文件下载。</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322"/>
        <w:gridCol w:w="1137"/>
        <w:gridCol w:w="1164"/>
        <w:gridCol w:w="4165"/>
      </w:tblGrid>
      <w:tr w14:paraId="5FD5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9"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55808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0F693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66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42924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68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690E9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三级模块</w:t>
            </w:r>
          </w:p>
        </w:tc>
        <w:tc>
          <w:tcPr>
            <w:tcW w:w="244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734E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w:t>
            </w:r>
          </w:p>
        </w:tc>
      </w:tr>
      <w:tr w14:paraId="6D8C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9" w:type="pct"/>
            <w:tcBorders>
              <w:top w:val="single" w:color="000000" w:sz="4" w:space="0"/>
              <w:left w:val="single" w:color="000000" w:sz="8" w:space="0"/>
              <w:bottom w:val="single" w:color="000000" w:sz="4" w:space="0"/>
              <w:right w:val="single" w:color="000000" w:sz="4" w:space="0"/>
            </w:tcBorders>
            <w:shd w:val="clear" w:color="auto" w:fill="FEDB61"/>
            <w:vAlign w:val="center"/>
          </w:tcPr>
          <w:p w14:paraId="5A9716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570" w:type="pct"/>
            <w:gridSpan w:val="4"/>
            <w:tcBorders>
              <w:top w:val="single" w:color="000000" w:sz="4" w:space="0"/>
              <w:left w:val="single" w:color="000000" w:sz="4" w:space="0"/>
              <w:bottom w:val="single" w:color="000000" w:sz="4" w:space="0"/>
              <w:right w:val="single" w:color="000000" w:sz="4" w:space="0"/>
            </w:tcBorders>
            <w:shd w:val="clear" w:color="auto" w:fill="FEDB61"/>
            <w:vAlign w:val="center"/>
          </w:tcPr>
          <w:p w14:paraId="113B596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备案申请子系统</w:t>
            </w:r>
          </w:p>
        </w:tc>
      </w:tr>
      <w:tr w14:paraId="242A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325E6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145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统一登录</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3EE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一网通办登录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EE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一网通办法人一证通登录</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2D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实现法人一证通登录（主账号），可获取企业名称、组织机构代码等证书中的信息，根据证书中的信息，便于用户身份认证，获取用户在数据跨境平台中的相应权限，实现高效便捷和安全监管。</w:t>
            </w:r>
          </w:p>
        </w:tc>
      </w:tr>
      <w:tr w14:paraId="4B36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C1FD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88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24CB3">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7B1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一网通办个人用户登录</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03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实现一网通办个人用户登录（子账号），通过账号系统可以识别用户的身份和相关信息。</w:t>
            </w:r>
          </w:p>
        </w:tc>
      </w:tr>
      <w:tr w14:paraId="6AD3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33BF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2A4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86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账号密码登录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B3E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71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支持独立用户系统的主账号登录。</w:t>
            </w:r>
          </w:p>
        </w:tc>
      </w:tr>
      <w:tr w14:paraId="20A4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BF1AE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107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用户指引</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78F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业务流程可视化及指引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C1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业务流程“一张图”</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E47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根据最新业务流程形成简明易懂的业务流程“一张图”，对数据跨境申请、审核、传输、检查等全流程进行流程全景展示；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申请、审核、传输、检查实时状态监控：实时跟踪每个流程环节的进展情况，及时更新已完成和未完成的状态。已完成的流程、未完成的流程以不同颜色标识显示，使用户能够快速识别流程的当前进度及下一步操作。</w:t>
            </w:r>
          </w:p>
        </w:tc>
      </w:tr>
      <w:tr w14:paraId="7E4C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1C7D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BA05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5C23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27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合规要点说明</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13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对业务流程各环节提供详细的操作提示和指引，注明政策法规要点、操作要点与示例，包括所需的材料、规范要求、操作步骤、预计所需时间提示、风险提示等。</w:t>
            </w:r>
          </w:p>
        </w:tc>
      </w:tr>
      <w:tr w14:paraId="4548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AF68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2F9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08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存证多套餐指引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0C2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26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根据临港数据跨境流动存证多套餐方案，形成存证多套餐详细介绍，提供相关操作指引与风险提示；对不同存证方案的特点、适用范围等进行说明，提供相关示例展示。</w:t>
            </w:r>
          </w:p>
        </w:tc>
      </w:tr>
      <w:tr w14:paraId="64C9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B671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14B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预约服务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8F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预约登记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486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1"/>
                <w:szCs w:val="21"/>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C6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预约线下咨询、预约线下查看数据跨境场景化操作指引（一般数据清单）、预约辅导、预约技术预查等预约服务。提供预约表单，用于用户提交预约申请，记录预约时间、预约事项、预约人信息等基本信息；预约表单增加关于预约查看数据跨境场景化操作指引（一般数据清单）领域、场景信息选择。增加预约时间段控制，针对已约满的时间段置灰，增加备案申请单上传；短信验证校验预约确认。</w:t>
            </w:r>
          </w:p>
        </w:tc>
      </w:tr>
      <w:tr w14:paraId="4FD0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23BE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6BA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87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预约变更与撤销</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E19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1"/>
                <w:szCs w:val="21"/>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ED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支持用户对已有的预约信息进行修改，如更改预约时间、事项等；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支持用户取消不再需要的预约。</w:t>
            </w:r>
          </w:p>
        </w:tc>
      </w:tr>
      <w:tr w14:paraId="3FE7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FF1B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599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C2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历史预约列表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97C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1"/>
                <w:szCs w:val="21"/>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81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以列表的形式呈现全部预约记录，包含预约编号、预约服务类型、预约时间、预约人信息、预约状态（如已预约、已完成、已取消等）等关键信息。支持查询、筛选历史预约信息。</w:t>
            </w:r>
          </w:p>
        </w:tc>
      </w:tr>
      <w:tr w14:paraId="4650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24E2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335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83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预约查看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516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1"/>
                <w:szCs w:val="21"/>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AF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支持用户或管理员点击查看预约的详细内容，包括更详细的预约人资料、预约的具体需求描述、预约的处理进度和备注信息等。</w:t>
            </w:r>
          </w:p>
        </w:tc>
      </w:tr>
      <w:tr w14:paraId="56A9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45B1C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B4E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备案申请管理</w:t>
            </w:r>
          </w:p>
        </w:tc>
        <w:tc>
          <w:tcPr>
            <w:tcW w:w="667" w:type="pct"/>
            <w:tcBorders>
              <w:top w:val="single" w:color="000000" w:sz="4" w:space="0"/>
              <w:left w:val="single" w:color="000000" w:sz="4" w:space="0"/>
              <w:bottom w:val="nil"/>
              <w:right w:val="single" w:color="000000" w:sz="4" w:space="0"/>
            </w:tcBorders>
            <w:shd w:val="clear" w:color="auto" w:fill="auto"/>
            <w:vAlign w:val="center"/>
          </w:tcPr>
          <w:p w14:paraId="2061480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备案登记申请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30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申请信息录入</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54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提供数据跨境场景化操作指引（一般数据清单）备案申请、场景化试点备案申请2个信息录入入口；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根据最新管理办法及业务流程，以表单填写形式支持一般数据的备案信息录入、场景化试点的备案信息录入，支持形成与最新政策要求相匹配的表单内容。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在数据主体备案信息录入过程中，传输网络与数据中心单一信息录入调整为可录入多组传输网络与数据中心信息。</w:t>
            </w:r>
          </w:p>
        </w:tc>
      </w:tr>
      <w:tr w14:paraId="0523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DDB2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26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D4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备案续期申请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5C2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39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在备案到期前2个月，开通用户提交续期申请通道，包括备案续期信息录入、续期申请提交、备案续期材料上传、备案续期材料导出、备案续期材料在线显示等。</w:t>
            </w:r>
          </w:p>
        </w:tc>
      </w:tr>
      <w:tr w14:paraId="582B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62A4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5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65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备案变更申请</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5B1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38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包括备案变更信息录入、附件上传、备案变更材料导出、备案变更材料在线显示等。</w:t>
            </w:r>
          </w:p>
        </w:tc>
      </w:tr>
      <w:tr w14:paraId="649C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A58A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C7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AD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备案申请撤回</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0DD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04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在未进入审核流程之前，支持用户对已提交的备案申请进行撤回。</w:t>
            </w:r>
          </w:p>
        </w:tc>
      </w:tr>
      <w:tr w14:paraId="78A7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75C7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75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EF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申请材料调整</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5C7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1D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支持用户查看审核反馈情况，根据反馈信息对备案申请材料进行补充，对过往申请材料进行锁定，不支持修改材料。</w:t>
            </w:r>
          </w:p>
        </w:tc>
      </w:tr>
      <w:tr w14:paraId="6E95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223A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5A6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714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申请进度查询</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A76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1D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支持用户对备案申请的相关进度进行实时查询，以审核节点图展示业务进度，展示备案成功、备案暂停、备案终止、备案恢复等备案状态，并按照预设逻辑动态计算，实时计测算当前待审批预计完成时间。</w:t>
            </w:r>
          </w:p>
        </w:tc>
      </w:tr>
      <w:tr w14:paraId="7783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8EB0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54C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345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历史申请记录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AA6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82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业务流程，支持生成历史申请记录，提供历史申请记录按照一般数据备案登记申请、场景化试点备案登记申请、续期申请、变更申请等备案类型、以及申请时间、审核状态进行筛选查询，支持历史申请记录详情查看与导出，便于用户了解过往数据跨境申请情况，追踪申请进度和结果。</w:t>
            </w:r>
          </w:p>
        </w:tc>
      </w:tr>
      <w:tr w14:paraId="7CF7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A8E4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CC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数据跨境场景化操作指引（一般数据清单）需求征集</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18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数据跨境场景化操作指引（一般数据清单）列表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BC7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28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数据跨境场景化操作指引（一般数据清单）查阅功能（领域，场景，数据分类）。需要显示数据跨境场景化操作指引（一般数据清单）领域，数据跨境场景化操作指引（一般数据清单）场景与数据跨境场景化操作指引（一般数据清单）一级数据分类。一级数据分类以下的数据分类不进行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支持清单场景名、数据跨境场景化操作指引（一般数据清单）领域的搜索条件。</w:t>
            </w:r>
          </w:p>
        </w:tc>
      </w:tr>
      <w:tr w14:paraId="3387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F46B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B2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4C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数据跨境场景化操作指引（一般数据清单）历史需求登记记录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D55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9F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支持对企业历史需求登记记录进行查看，支持筛选时间段查询与重置查询，支持对历史记录进行详情查看与导出操作。</w:t>
            </w:r>
          </w:p>
        </w:tc>
      </w:tr>
      <w:tr w14:paraId="4A11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34637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15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70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数据跨境场景化操作指引（一般数据清单）拓展需求表单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DFE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F2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企业对数据跨境场景化操作指引（一般数据清单）（一般数据清单）扩展的需求进行反馈，如一般清单内容字段的拓展，包含领域信息，场景描述信息，数据字段名与数据字段含义信息的录入功能，支持数据字段模版下载与批量上传功能。</w:t>
            </w:r>
          </w:p>
        </w:tc>
      </w:tr>
      <w:tr w14:paraId="6B07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3E314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1E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互动专区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AC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问题反馈</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398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69A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显示问题留言表单，包括姓名、联系电话、工作邮箱、企业/组织/机构名称、问题描述、附件上传等信息，以备回复沟通使用。同时展示服务中心联系方式、地址、服务时间等相关信息。</w:t>
            </w:r>
          </w:p>
        </w:tc>
      </w:tr>
      <w:tr w14:paraId="0C68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817D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A0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84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意见反馈</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16F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37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提供意见建议征集表单，包括反馈人基本信息、意见建议描述、附件上传等，提供用户使用反馈与沟通通道。</w:t>
            </w:r>
          </w:p>
        </w:tc>
      </w:tr>
      <w:tr w14:paraId="2278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D9B8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81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38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邮箱投诉</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C523">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F6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由数据跨境服务中心提供服务专用邮箱，用于用户投诉。</w:t>
            </w:r>
          </w:p>
        </w:tc>
      </w:tr>
      <w:tr w14:paraId="3AEF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57DA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0E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97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历史记录</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EC8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74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支持数据主体对历史问题反馈、意见反馈、邮箱投诉记录进行查看、导出。</w:t>
            </w:r>
          </w:p>
        </w:tc>
      </w:tr>
      <w:tr w14:paraId="0AAF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F9000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70E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用户协议</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60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用户协议确认</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888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3B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用户协议，包含对数据处理规则、安全保障要求、隐私政策等关键方面的详细说明，在数据主体进行备案信息登记填报前需以自动弹出功能显示涉及隐私数据采集的告知信息，提醒用户明确知晓平台所设定的各项规则、条款和条件，平台的隐私政策和数据保护措施及自身在平台上的权利与义务。</w:t>
            </w:r>
          </w:p>
        </w:tc>
      </w:tr>
      <w:tr w14:paraId="62FA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841C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8B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98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用户协议撤销</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0EE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7F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支持用户协议撤销，撤销后用户与平台之间基于该协议的权利义务关系需要根据具体情况来确定双方后续的责任和处理方式。例如，对于已发生的数据跨境行为可能仍需按照相关规定进行处理。</w:t>
            </w:r>
          </w:p>
        </w:tc>
      </w:tr>
      <w:tr w14:paraId="6618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2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94D95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74F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数据主体信息管理</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E6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数据主体基本信息管理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310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94D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数据主体的地址、行业、邮编、法人信息、安全管理人员信息等信息进行管理，简化后续备案中企业基本信息的录入，避免重复录入的情况；支持根据数据主体的组织机构类型决定表单非必填字段。因表单中字段必填、非必填逻辑有所不同，现有系统各个显示模块都需要做数据联动。</w:t>
            </w:r>
          </w:p>
        </w:tc>
      </w:tr>
      <w:tr w14:paraId="7967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DC3E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14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CCA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数据主体确认登记信息</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812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0F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首次登录后，弹窗提示用户进行基本信息录入，核对并补充相关信息。</w:t>
            </w:r>
          </w:p>
        </w:tc>
      </w:tr>
      <w:tr w14:paraId="2CAF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8E45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BB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C0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数据传输情况报告管理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1DF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15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支持数据主体备案通过后定期提交数据传输情况报告，提交节点为备案后第1个月、半年、1年。</w:t>
            </w:r>
          </w:p>
        </w:tc>
      </w:tr>
      <w:tr w14:paraId="6FA1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3649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0A3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数据主体备案临期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清单</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BD9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121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AE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D0D0D"/>
                <w:sz w:val="22"/>
                <w:szCs w:val="22"/>
                <w:u w:val="none"/>
              </w:rPr>
            </w:pPr>
            <w:r>
              <w:rPr>
                <w:rFonts w:hint="eastAsia" w:ascii="宋体" w:hAnsi="宋体" w:eastAsia="宋体" w:cs="宋体"/>
                <w:i w:val="0"/>
                <w:iCs w:val="0"/>
                <w:color w:val="0D0D0D"/>
                <w:kern w:val="0"/>
                <w:sz w:val="22"/>
                <w:szCs w:val="22"/>
                <w:u w:val="none"/>
                <w:lang w:val="en-US" w:eastAsia="zh-CN" w:bidi="ar"/>
              </w:rPr>
              <w:t>支持动态更新数据主体备案临期清单，便于用户在到期前2个月开展续期维护工作等。</w:t>
            </w:r>
          </w:p>
        </w:tc>
      </w:tr>
      <w:tr w14:paraId="6623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E9028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2.10</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73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数据暂存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9F9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25B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69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D0D0D"/>
                <w:sz w:val="22"/>
                <w:szCs w:val="22"/>
                <w:u w:val="none"/>
              </w:rPr>
            </w:pPr>
            <w:r>
              <w:rPr>
                <w:rFonts w:hint="eastAsia" w:ascii="宋体" w:hAnsi="宋体" w:eastAsia="宋体" w:cs="宋体"/>
                <w:i w:val="0"/>
                <w:iCs w:val="0"/>
                <w:color w:val="0D0D0D"/>
                <w:kern w:val="0"/>
                <w:sz w:val="22"/>
                <w:szCs w:val="22"/>
                <w:u w:val="none"/>
                <w:lang w:val="en-US" w:eastAsia="zh-CN" w:bidi="ar"/>
              </w:rPr>
              <w:t>包含暂存操作、暂存提示、多次暂存、恢复暂存数据、暂存有效期等功能，避免因一次性填写不完整而导致数据丢失或需要重新开始，提高操作灵活性和效率；</w:t>
            </w:r>
            <w:r>
              <w:rPr>
                <w:rFonts w:hint="eastAsia" w:ascii="宋体" w:hAnsi="宋体" w:eastAsia="宋体" w:cs="宋体"/>
                <w:i w:val="0"/>
                <w:iCs w:val="0"/>
                <w:color w:val="0D0D0D"/>
                <w:kern w:val="0"/>
                <w:sz w:val="22"/>
                <w:szCs w:val="22"/>
                <w:u w:val="none"/>
                <w:lang w:val="en-US" w:eastAsia="zh-CN" w:bidi="ar"/>
              </w:rPr>
              <w:br w:type="textWrapping"/>
            </w:r>
            <w:r>
              <w:rPr>
                <w:rFonts w:hint="eastAsia" w:ascii="宋体" w:hAnsi="宋体" w:eastAsia="宋体" w:cs="宋体"/>
                <w:i w:val="0"/>
                <w:iCs w:val="0"/>
                <w:color w:val="0D0D0D"/>
                <w:kern w:val="0"/>
                <w:sz w:val="22"/>
                <w:szCs w:val="22"/>
                <w:u w:val="none"/>
                <w:lang w:val="en-US" w:eastAsia="zh-CN" w:bidi="ar"/>
              </w:rPr>
              <w:t>支持手动删除暂存的备案数据。</w:t>
            </w:r>
          </w:p>
        </w:tc>
      </w:tr>
      <w:tr w14:paraId="4F9F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2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C70D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8E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文件下载</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031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EAC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72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支持对申请材料模版、相关政策法规、相关证书及批复文件等进行下载。</w:t>
            </w:r>
          </w:p>
        </w:tc>
      </w:tr>
    </w:tbl>
    <w:p w14:paraId="68D12822">
      <w:pPr>
        <w:bidi w:val="0"/>
        <w:ind w:left="0" w:leftChars="0" w:firstLine="0" w:firstLineChars="0"/>
        <w:rPr>
          <w:rFonts w:hint="eastAsia" w:asciiTheme="minorEastAsia" w:hAnsiTheme="minorEastAsia" w:eastAsiaTheme="minorEastAsia" w:cstheme="minorEastAsia"/>
          <w:b/>
          <w:bCs/>
          <w:lang w:val="zh-CN"/>
        </w:rPr>
      </w:pPr>
    </w:p>
    <w:p w14:paraId="45DE3B7A">
      <w:pPr>
        <w:bidi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bCs/>
          <w:lang w:val="zh-CN"/>
        </w:rPr>
        <w:t>审核监管子系统：</w:t>
      </w:r>
      <w:r>
        <w:rPr>
          <w:rFonts w:hint="eastAsia" w:asciiTheme="minorEastAsia" w:hAnsiTheme="minorEastAsia" w:eastAsiaTheme="minorEastAsia" w:cstheme="minorEastAsia"/>
          <w:b w:val="0"/>
          <w:bCs w:val="0"/>
          <w:lang w:val="en-US" w:eastAsia="zh-CN"/>
        </w:rPr>
        <w:t>该</w:t>
      </w:r>
      <w:r>
        <w:rPr>
          <w:rFonts w:hint="eastAsia"/>
        </w:rPr>
        <w:t>子系统</w:t>
      </w:r>
      <w:r>
        <w:rPr>
          <w:rFonts w:hint="eastAsia"/>
          <w:lang w:val="en-US" w:eastAsia="zh-CN"/>
        </w:rPr>
        <w:t>主要面向政府侧，系统功能</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val="zh-CN"/>
        </w:rPr>
        <w:t>备案审核管理、存证管理、正面清单操作指引管理、备案场景管理、检查管理、资讯公告管理、预约管理、咨询管理。</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331"/>
        <w:gridCol w:w="1133"/>
        <w:gridCol w:w="1179"/>
        <w:gridCol w:w="4216"/>
      </w:tblGrid>
      <w:tr w14:paraId="7E1B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87" w:type="pct"/>
            <w:tcBorders>
              <w:top w:val="single" w:color="000000" w:sz="8" w:space="0"/>
              <w:left w:val="single" w:color="000000" w:sz="8" w:space="0"/>
              <w:bottom w:val="single" w:color="000000" w:sz="8" w:space="0"/>
              <w:right w:val="single" w:color="000000" w:sz="4" w:space="0"/>
            </w:tcBorders>
            <w:shd w:val="clear" w:color="auto" w:fill="auto"/>
            <w:vAlign w:val="center"/>
          </w:tcPr>
          <w:p w14:paraId="034303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1"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25B83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665"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63559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692"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91492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三级模块</w:t>
            </w:r>
          </w:p>
        </w:tc>
        <w:tc>
          <w:tcPr>
            <w:tcW w:w="247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41826E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w:t>
            </w:r>
          </w:p>
        </w:tc>
      </w:tr>
      <w:tr w14:paraId="2649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387" w:type="pct"/>
            <w:tcBorders>
              <w:top w:val="single" w:color="000000" w:sz="4" w:space="0"/>
              <w:left w:val="single" w:color="000000" w:sz="8" w:space="0"/>
              <w:bottom w:val="single" w:color="000000" w:sz="4" w:space="0"/>
              <w:right w:val="single" w:color="000000" w:sz="4" w:space="0"/>
            </w:tcBorders>
            <w:shd w:val="clear" w:color="auto" w:fill="FEDB61"/>
            <w:vAlign w:val="center"/>
          </w:tcPr>
          <w:p w14:paraId="5B46EE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612" w:type="pct"/>
            <w:gridSpan w:val="4"/>
            <w:tcBorders>
              <w:top w:val="single" w:color="000000" w:sz="4" w:space="0"/>
              <w:left w:val="single" w:color="000000" w:sz="4" w:space="0"/>
              <w:bottom w:val="single" w:color="000000" w:sz="4" w:space="0"/>
              <w:right w:val="single" w:color="000000" w:sz="4" w:space="0"/>
            </w:tcBorders>
            <w:shd w:val="clear" w:color="auto" w:fill="FEDB61"/>
            <w:vAlign w:val="center"/>
          </w:tcPr>
          <w:p w14:paraId="561581E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审核监管子系统</w:t>
            </w:r>
          </w:p>
        </w:tc>
      </w:tr>
      <w:tr w14:paraId="0271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5C167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F10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备案审核管理</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6A89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备案申请审核</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0D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申请材料审核及批注</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1B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支持不同审批角色对备案登记申请、备案续期申请、备案变更申请、备案恢复申请进行审核，并对需修改的申请材料进行批注，有助于数据主体完善申请材料。</w:t>
            </w:r>
          </w:p>
        </w:tc>
      </w:tr>
      <w:tr w14:paraId="1AA7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E84F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55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6D9C">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34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备案详情信息展示</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F5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对备案登记申请、备案续期申请、备案变更申请、备案恢复申请的审核工作提供备案详情展示功能，确保审核者清楚数据主体当前生效的备案信息，便于审核工作的开展；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设计审核进度节点图，并实时计算当前待审批预计完成时间。</w:t>
            </w:r>
          </w:p>
        </w:tc>
      </w:tr>
      <w:tr w14:paraId="01D95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70D7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82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1CFE8">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06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附件上传</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0F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支持对各审核节点的审核报告进行上传功能。</w:t>
            </w:r>
          </w:p>
        </w:tc>
      </w:tr>
      <w:tr w14:paraId="157A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5CA3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4F8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356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审核结果管理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BB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终止备案</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5A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当检查发现数据主体存在严重违规情况时，监管者可启动终止备案，伴随数据传输终止。</w:t>
            </w:r>
          </w:p>
        </w:tc>
      </w:tr>
      <w:tr w14:paraId="2809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7F98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87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4C9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5F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暂停备案</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AD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根据最新业务流程，监管数据便捷流通申请撤销功能升级为面向暂停备案功能，当检查发现数据主体存在违规情况时，监管者可启动暂停备案，暂停备案启动即数据传输中止。</w:t>
            </w:r>
          </w:p>
        </w:tc>
      </w:tr>
      <w:tr w14:paraId="2D04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6A4C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7A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EDF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E6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审核结果通知</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E56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对不同审批节点的审核意见信息进行同步，形成备案成功通知、延长备案登记有效期通知、变更备案通知、暂停备案通知、终止备案通知、重新备案通知等，同步到业务进度及消息提醒。</w:t>
            </w:r>
          </w:p>
        </w:tc>
      </w:tr>
      <w:tr w14:paraId="15FD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8EC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1F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02CA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审核记录管理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5C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历史审批列表</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494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根据最新业务流程，支持历史审批信息筛选、详情查看以及导出功能；添加备案场景与备案类型信息；新增续期申请详情查看功能。</w:t>
            </w:r>
          </w:p>
        </w:tc>
      </w:tr>
      <w:tr w14:paraId="3398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5550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A44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B421">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64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审核档案</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30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审核情况、审核报告、交互情况等进行归档处理，包括申请基本信息、申请类型（备案登记、续期、变更）及申请时间、审核流程记录、审核意见记录、与数据主体的交互记录、最终审核结论、附件查看（支持直接查看申请材料、审核意见等相关的附件文档）内容，对全流程业务操作情况进行档案式管理，支持审核档案查看、导出、批量管理功能。</w:t>
            </w:r>
          </w:p>
        </w:tc>
      </w:tr>
      <w:tr w14:paraId="71BE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0895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069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656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审核驳回</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B3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驳回节点可选</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62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支持审核不通过时驳回节点可以根据具体情况进行选择。对驳回指定流程时新提交材料的不同版本进行处理与展示。</w:t>
            </w:r>
          </w:p>
        </w:tc>
      </w:tr>
      <w:tr w14:paraId="1549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CA57D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37A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66C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C6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驳回原因</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3F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支持审核方填写驳回原因的功能。</w:t>
            </w:r>
          </w:p>
        </w:tc>
      </w:tr>
      <w:tr w14:paraId="173C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BBA9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A9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7B4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F3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退回附件</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53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支持审核方对驳回提供的相关附件进行上传。</w:t>
            </w:r>
          </w:p>
        </w:tc>
      </w:tr>
      <w:tr w14:paraId="1E5D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44378A">
            <w:pPr>
              <w:keepNext w:val="0"/>
              <w:keepLines w:val="0"/>
              <w:pageBreakBefore w:val="0"/>
              <w:widowControl/>
              <w:kinsoku/>
              <w:wordWrap/>
              <w:overflowPunct/>
              <w:topLinePunct w:val="0"/>
              <w:autoSpaceDE/>
              <w:autoSpaceDN/>
              <w:bidi w:val="0"/>
              <w:adjustRightInd/>
              <w:snapToGrid/>
              <w:ind w:firstLine="0" w:firstLineChars="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EB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存证管理</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A5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存证数据分类</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ADD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21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对采集到的存证数据进行分类，例如按照类型、来源、跨境流向等进行分类，以便于后续的存储和管理。</w:t>
            </w:r>
          </w:p>
        </w:tc>
      </w:tr>
      <w:tr w14:paraId="65F3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DBE4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1A8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58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存证数据索引</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DD8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75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提供快速的存证数据查询接口，支持按照不同字段进行排序（如时间先后、类型等），以及根据特定条件进行筛选、获取数据。</w:t>
            </w:r>
          </w:p>
        </w:tc>
      </w:tr>
      <w:tr w14:paraId="1425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E185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BF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40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存证清单</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53F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5F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提供系统记录的存证hash的清单，以列表形式展示所有存证的基本信息，如存证编号、存证时间、存证类型、相关主体等；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当存证数量较多时，采用分页展示。</w:t>
            </w:r>
          </w:p>
        </w:tc>
      </w:tr>
      <w:tr w14:paraId="4836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6B65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2B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0D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存证详情查看</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99E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37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支持呈现存证的完整详细内容，包括存证的具体描述、相关数据、关联文件等；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支持关联数据展示，如果存证与其他数据或流程相关联，能够展示这些关联信息。</w:t>
            </w:r>
          </w:p>
        </w:tc>
      </w:tr>
      <w:tr w14:paraId="1CC7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77C3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629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1A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存证记录下载</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0EF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6A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提供多种常见的下载格式，支持存证文件下载及存证签名文件下载；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支持下载权限控制，具有相应权限的用户可下载存证记录；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支持下载进度显示。</w:t>
            </w:r>
          </w:p>
        </w:tc>
      </w:tr>
      <w:tr w14:paraId="4F25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5D1A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DB7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DF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版本管理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FE2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2D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管理存证数据的不同版本，以便追溯历史记录。</w:t>
            </w:r>
          </w:p>
        </w:tc>
      </w:tr>
      <w:tr w14:paraId="2B0B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9A03D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351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649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存证数据校验</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533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F4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对存证数据进行校验，确保数据的准确性和完整性，及时发现并处理数据损坏或丢失的情况。</w:t>
            </w:r>
          </w:p>
        </w:tc>
      </w:tr>
      <w:tr w14:paraId="1E00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68FA5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96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88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公钥存储</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8D8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37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采用加密存储或受保护的数据库，支持安全地存储和管理用于验证签名的公钥。</w:t>
            </w:r>
          </w:p>
        </w:tc>
      </w:tr>
      <w:tr w14:paraId="6CB1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CAD6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F3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350A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验签</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56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签名解析</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9B9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支持从待验证的数据中提取出签名信息。</w:t>
            </w:r>
          </w:p>
        </w:tc>
      </w:tr>
      <w:tr w14:paraId="73EF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F86BB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0AF3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435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4A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数据完整性验证</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2F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支持检查数据在传输或存储过程中是否被篡改。</w:t>
            </w:r>
          </w:p>
        </w:tc>
      </w:tr>
      <w:tr w14:paraId="106F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C779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07D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BB25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9D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身份验证</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13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支持确认签名者的身份是否合法和可信。</w:t>
            </w:r>
          </w:p>
        </w:tc>
      </w:tr>
      <w:tr w14:paraId="40B9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C894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6B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1A7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EE4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验证结果输出</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76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以清晰明确的方式向用户或系统返回验证成功或失败的结果</w:t>
            </w:r>
          </w:p>
        </w:tc>
      </w:tr>
      <w:tr w14:paraId="55E3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599D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F2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数据跨境场景化操作指引（一般数据清单）管理</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863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数据跨境场景化操作指引（一般数据清单）更新</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6C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清单导入</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F75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支持清单数据文件导入功能。</w:t>
            </w:r>
          </w:p>
        </w:tc>
      </w:tr>
      <w:tr w14:paraId="2A99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50B2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377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D48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D9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批量删除</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5F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支持数据跨境场景化操作指引（一般数据清单）管理批量删除功能</w:t>
            </w:r>
          </w:p>
        </w:tc>
      </w:tr>
      <w:tr w14:paraId="051E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6F03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076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E03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01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手动排序</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BA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数据跨境场景化操作指引（一般数据清单）的领域管理、场景管理、数据类别管理、数据字段管理排序实现手动拖动进行排序修改功能。</w:t>
            </w:r>
          </w:p>
        </w:tc>
      </w:tr>
      <w:tr w14:paraId="1791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2561A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6B7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44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数据跨境场景化操作指引（一般数据清单）需求管理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8C7B">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A0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支持工作专班与服务中心角色访问查看数据主体需求；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形成数据跨境需求登记管理列表，展示单位名称、单位所属行业、领域、提交人等信息，支持查看详情与导出功能，支持按领域等字段进行筛选查询。</w:t>
            </w:r>
          </w:p>
        </w:tc>
      </w:tr>
      <w:tr w14:paraId="2660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97E4B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E66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备案场景管理</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B44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备案场景列表</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85D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ED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以列表形式集中展示场景化试点备案的备案场景编号、场景名称、涉及行业、数据类型等关键信息。</w:t>
            </w:r>
          </w:p>
        </w:tc>
      </w:tr>
      <w:tr w14:paraId="2E26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F206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23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BB6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备案场景详情</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AD4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84E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支持备案场景详情展示，及备案场景历史申请清单展示。备案场景详情的展示要求具有聚合相关分散信息的作用，展示涉及的数据内容维度多，与其他普通信息的详情展示相比复杂度更高。</w:t>
            </w:r>
          </w:p>
        </w:tc>
      </w:tr>
      <w:tr w14:paraId="63FA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1128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460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A6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备案场景关联设置</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01F3">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65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新增备案信息与备案场景关联，根据备案机制的变化（正面清单转为场景化创新试点），在备案申请的功能中添加申请内容与备案场景的关联关系，即一家企业可以有多个不同备案场景的数据跨境流动申请。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定不同备案信息与场景的对应关系和匹配规则。针对备案场景的删除操作，如果已存在关联的审核通过数据主体备案记录，则无法删除备案场景。如果已存在关联的审核通过数据主体备案记录，则无法删除备案场景，可通过将备案场景设置为停用状态。备案场景状态为停用时，数据主体无法在备案审核子系统中选择该备案场景。</w:t>
            </w:r>
          </w:p>
        </w:tc>
      </w:tr>
      <w:tr w14:paraId="2261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08C7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BF0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检查管理</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D7E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274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检查人员名录库管理</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65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包括检查人员信息录入、检查人员管理（增改删）、搜索与筛选、日志记录。</w:t>
            </w:r>
          </w:p>
        </w:tc>
      </w:tr>
      <w:tr w14:paraId="5FB2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7A64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D4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F78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42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随机抽取</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2F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从检查人员名录库、检查对象名录库中，按照抽查规则和比例，随机抽取检查对象与检查人员。工作专班发起检查后，由服务中心提交检查方案（包含建议检查人员名单）。</w:t>
            </w:r>
          </w:p>
        </w:tc>
      </w:tr>
      <w:tr w14:paraId="2BCE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8C489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DBD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2CA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检查清单配置</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5A6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82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针对常规检查、专项检查、双随机一公开检查，动态管理用于现场监督检查的checklist内容，包括新增、编辑、删除检查事项。</w:t>
            </w:r>
          </w:p>
        </w:tc>
      </w:tr>
      <w:tr w14:paraId="3D2A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828D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8C8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4C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发起检查</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58E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F9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支持工作专班进行检查发起，勾选检查类型及基本要求，同步向服务中心等同步检查任务。</w:t>
            </w:r>
          </w:p>
        </w:tc>
      </w:tr>
      <w:tr w14:paraId="5301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8D4D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7D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64D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检查结果上报</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76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检查结果录入与生成程序</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67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支持读取平台生成的检查checklist，并在企业现场检查时进行文件一致性核实以及checklist检查结果录入，生成可用于企业及监督检查人员签字的结果文件及可导入平台的检查结果文件。</w:t>
            </w:r>
          </w:p>
        </w:tc>
      </w:tr>
      <w:tr w14:paraId="45EB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E7DCD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CB8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FAD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58F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检查结果文件修改</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B7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支持具有相应修改权限的人员对检查结果录入与生成程序生成的检查结果文件进行修改。</w:t>
            </w:r>
          </w:p>
        </w:tc>
      </w:tr>
      <w:tr w14:paraId="6D20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D767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49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F6E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E0B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附件上传</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C7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支持上传与检查结果相关的文档、截图、报告等附件，以提供更全面的证据和说明。</w:t>
            </w:r>
          </w:p>
        </w:tc>
      </w:tr>
      <w:tr w14:paraId="594F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E6D9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DE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DC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督查结果管理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957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92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支持系统自动化处理、管理人员手动确认的方式，对检查及违规评估结果实现信息同步，包括暂停备案、组织整改、恢复备案、终止备案等。</w:t>
            </w:r>
          </w:p>
        </w:tc>
      </w:tr>
      <w:tr w14:paraId="4E7B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AA4BC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85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CA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日常监督检查临期提示</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10F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DE3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根据最新管理办法、操作指引等政策要求，提供数据主体日常监督检查临期提示的功能。针对不同的提示方式，系统需提供提示规则的配置功能。</w:t>
            </w:r>
          </w:p>
        </w:tc>
      </w:tr>
      <w:tr w14:paraId="7590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D438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56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FD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历史检查记录</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E03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F1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添加监督检查类型，备案场景与备案类型等信息，根据最新监督检查流程添加相关监督检查信息的查看功能（监督检查结果记录，监督检查处置流程等）</w:t>
            </w:r>
          </w:p>
        </w:tc>
      </w:tr>
      <w:tr w14:paraId="1343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3D9E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E3B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资讯公告管理</w:t>
            </w:r>
          </w:p>
        </w:tc>
        <w:tc>
          <w:tcPr>
            <w:tcW w:w="665" w:type="pct"/>
            <w:vMerge w:val="restart"/>
            <w:tcBorders>
              <w:top w:val="single" w:color="000000" w:sz="4" w:space="0"/>
              <w:left w:val="single" w:color="000000" w:sz="4" w:space="0"/>
              <w:bottom w:val="nil"/>
              <w:right w:val="single" w:color="000000" w:sz="4" w:space="0"/>
            </w:tcBorders>
            <w:shd w:val="clear" w:color="auto" w:fill="auto"/>
            <w:vAlign w:val="center"/>
          </w:tcPr>
          <w:p w14:paraId="26370E7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79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发布审核</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5A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支持服务中心、工作专班对公告公示、政策文件、新闻发布、案例分享等内容进行审核后发布。</w:t>
            </w:r>
          </w:p>
        </w:tc>
      </w:tr>
      <w:tr w14:paraId="6DDB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8D06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ED4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nil"/>
              <w:right w:val="single" w:color="000000" w:sz="4" w:space="0"/>
            </w:tcBorders>
            <w:shd w:val="clear" w:color="auto" w:fill="auto"/>
            <w:vAlign w:val="center"/>
          </w:tcPr>
          <w:p w14:paraId="19A84C57">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362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发布预览</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7A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实时展示编辑后的新闻内容在页面上的呈现效果。</w:t>
            </w:r>
          </w:p>
        </w:tc>
      </w:tr>
      <w:tr w14:paraId="2DC6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37116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D41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DE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列表管理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0B76">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03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政策列表管理、新闻列表管理、公告列表管理、案例列表管理。以清晰直观的方式呈现所有已发布和待发布的资讯公告信息，列表包含标题、发布时间、作者、分类等关键要素，方便管理员快速浏览和筛选。支持按照发布时间的先后（最新发布的在最上方）、重要程度等进行排序。支持以字段进行筛选展示。</w:t>
            </w:r>
          </w:p>
        </w:tc>
      </w:tr>
      <w:tr w14:paraId="46FD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3371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E89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EFF4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719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增加内容</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04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支持管理员添加新的内容，包括输入资讯标题、正文、选择分类、设置标签、上传相关图片或文件等操作。</w:t>
            </w:r>
          </w:p>
        </w:tc>
      </w:tr>
      <w:tr w14:paraId="7F4B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6E081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C5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72C1">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4D0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删除内容</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A2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对于过期、错误或不再需要的资讯公告，管理员可以进行删除操作。</w:t>
            </w:r>
          </w:p>
        </w:tc>
      </w:tr>
      <w:tr w14:paraId="11C3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6EC78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39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6E754">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59C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修改内容</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9B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当资讯公告内容需要更新、完善或纠正时，支持管理员对任何部分进行修改，然后重新发布，确保发布信息的准确性与及时性。</w:t>
            </w:r>
          </w:p>
        </w:tc>
      </w:tr>
      <w:tr w14:paraId="46B1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C00D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01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52C4">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45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操作审核</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721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支持对内容的增加、删除、修改等操作进行审核。</w:t>
            </w:r>
          </w:p>
        </w:tc>
      </w:tr>
      <w:tr w14:paraId="040D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97DC1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F2E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预约管理</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A74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咨询预约管理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FDA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8B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包含企业预约清单、咨询预约详情、咨询服务结果登记、历史预约处理列表、预约处理跟进等功能。</w:t>
            </w:r>
          </w:p>
        </w:tc>
      </w:tr>
      <w:tr w14:paraId="6C2C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79DA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70F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70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备案申请单管理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408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77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主体在预约之前首先提交申请单，跨境服务中心在系统备案申请单管理中进行审批。审核通过后，数据主体才能在系统中提交预约。在备案申请单管理模块中，显示全部申请单信息，支持针对单位名称、提交时间、审批状态进行筛选。支持将数据主体上传的附件下载到本地。</w:t>
            </w:r>
          </w:p>
        </w:tc>
      </w:tr>
      <w:tr w14:paraId="62AD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8268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0F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B1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预约日期管理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028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97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支持添加、修改和删除可预约的日期。</w:t>
            </w:r>
          </w:p>
        </w:tc>
      </w:tr>
      <w:tr w14:paraId="08DF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C7EB8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2E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E3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预约量管理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CC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预约量设定</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D2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服务时间0.5小时为一个时间区间，对同一时间区间总服务量上限数量进行配置。</w:t>
            </w:r>
          </w:p>
        </w:tc>
      </w:tr>
      <w:tr w14:paraId="2DBB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30F6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845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A869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1D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超额处理</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1F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当预约量达到上限时，自动禁止继续预约该时段、提供排队等待功能。</w:t>
            </w:r>
          </w:p>
        </w:tc>
      </w:tr>
      <w:tr w14:paraId="5E91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4EE2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542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咨询管理</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B6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智能问答管理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4CF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2F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支持根据业务、政策变化，对问答内容进行及时更新。</w:t>
            </w:r>
          </w:p>
        </w:tc>
      </w:tr>
      <w:tr w14:paraId="3919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7113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590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EC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企业提问管理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0EB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B9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针对互动专区中收到的问题、建议与投诉，形成信息列表，支持处置与处置结果审批与回复。</w:t>
            </w:r>
          </w:p>
        </w:tc>
      </w:tr>
      <w:tr w14:paraId="0F2F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5CA76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9F2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EDFD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咨询工单管理</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BF0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工单录入</w:t>
            </w:r>
          </w:p>
        </w:tc>
        <w:tc>
          <w:tcPr>
            <w:tcW w:w="2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EE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服务人员在完成咨询服务后，将客户的问题和需求准确、完整地记录，以便后续处理和跟踪。工单包括客户信息、问题分类、问题描述、优先级设定、期望解决时间、关联订单或业务信息、相关产品或服务信息、责任部门或人员分配、附件上传、处理流程记录、时间戳记录、备注信息、保存和提交功能。</w:t>
            </w:r>
          </w:p>
        </w:tc>
      </w:tr>
    </w:tbl>
    <w:p w14:paraId="5F38DEDB">
      <w:pPr>
        <w:pStyle w:val="11"/>
        <w:ind w:left="0" w:leftChars="0" w:firstLine="0" w:firstLineChars="0"/>
        <w:rPr>
          <w:rFonts w:hint="eastAsia"/>
          <w:lang w:val="zh-CN"/>
        </w:rPr>
      </w:pPr>
    </w:p>
    <w:p w14:paraId="1759148C">
      <w:pPr>
        <w:pStyle w:val="11"/>
        <w:ind w:left="0" w:leftChars="0" w:firstLine="562" w:firstLineChars="200"/>
        <w:rPr>
          <w:rFonts w:hint="eastAsia" w:ascii="仿宋" w:hAnsi="仿宋" w:eastAsia="宋体" w:cs="Times New Roman"/>
          <w:kern w:val="2"/>
          <w:sz w:val="28"/>
          <w:szCs w:val="28"/>
          <w:lang w:val="en-US" w:eastAsia="zh-CN" w:bidi="ar-SA"/>
        </w:rPr>
      </w:pPr>
      <w:r>
        <w:rPr>
          <w:rFonts w:hint="eastAsia" w:ascii="仿宋" w:hAnsi="仿宋" w:cs="Times New Roman"/>
          <w:b/>
          <w:bCs/>
          <w:kern w:val="2"/>
          <w:sz w:val="28"/>
          <w:szCs w:val="28"/>
          <w:lang w:val="en-US" w:eastAsia="zh-CN" w:bidi="ar-SA"/>
        </w:rPr>
        <w:t>综合展示子系统：</w:t>
      </w:r>
      <w:r>
        <w:rPr>
          <w:rFonts w:hint="eastAsia" w:ascii="仿宋" w:hAnsi="仿宋" w:eastAsia="宋体" w:cs="Times New Roman"/>
          <w:kern w:val="2"/>
          <w:sz w:val="28"/>
          <w:szCs w:val="28"/>
          <w:lang w:val="en-US" w:eastAsia="zh-CN" w:bidi="ar-SA"/>
        </w:rPr>
        <w:t>该子系统主要面向数据主体、服务中心与工作专班。系统功能包括：数据可视化看板、跨境服务中心窗口现场统计展示、数据跨境展示大屏、个性化展示。</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333"/>
        <w:gridCol w:w="1142"/>
        <w:gridCol w:w="1174"/>
        <w:gridCol w:w="4210"/>
      </w:tblGrid>
      <w:tr w14:paraId="4EC9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87" w:type="pct"/>
            <w:tcBorders>
              <w:top w:val="single" w:color="000000" w:sz="8" w:space="0"/>
              <w:left w:val="single" w:color="000000" w:sz="8" w:space="0"/>
              <w:bottom w:val="single" w:color="000000" w:sz="8" w:space="0"/>
              <w:right w:val="single" w:color="000000" w:sz="4" w:space="0"/>
            </w:tcBorders>
            <w:shd w:val="clear" w:color="auto" w:fill="auto"/>
            <w:vAlign w:val="center"/>
          </w:tcPr>
          <w:p w14:paraId="3A308B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2"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31531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67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CA2F9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689"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AD998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三级模块</w:t>
            </w:r>
          </w:p>
        </w:tc>
        <w:tc>
          <w:tcPr>
            <w:tcW w:w="247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A3B77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w:t>
            </w:r>
          </w:p>
        </w:tc>
      </w:tr>
      <w:tr w14:paraId="4C83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7" w:type="pct"/>
            <w:tcBorders>
              <w:top w:val="single" w:color="000000" w:sz="4" w:space="0"/>
              <w:left w:val="single" w:color="000000" w:sz="8" w:space="0"/>
              <w:bottom w:val="single" w:color="000000" w:sz="4" w:space="0"/>
              <w:right w:val="single" w:color="000000" w:sz="4" w:space="0"/>
            </w:tcBorders>
            <w:shd w:val="clear" w:color="auto" w:fill="FEDB61"/>
            <w:vAlign w:val="center"/>
          </w:tcPr>
          <w:p w14:paraId="2C9AE0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82" w:type="pct"/>
            <w:tcBorders>
              <w:top w:val="single" w:color="000000" w:sz="4" w:space="0"/>
              <w:left w:val="single" w:color="000000" w:sz="4" w:space="0"/>
              <w:bottom w:val="single" w:color="000000" w:sz="4" w:space="0"/>
              <w:right w:val="single" w:color="000000" w:sz="4" w:space="0"/>
            </w:tcBorders>
            <w:shd w:val="clear" w:color="auto" w:fill="FEDB61"/>
            <w:vAlign w:val="center"/>
          </w:tcPr>
          <w:p w14:paraId="1D8FB2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综合展示子系统</w:t>
            </w:r>
          </w:p>
        </w:tc>
        <w:tc>
          <w:tcPr>
            <w:tcW w:w="670" w:type="pct"/>
            <w:tcBorders>
              <w:top w:val="single" w:color="000000" w:sz="4" w:space="0"/>
              <w:left w:val="single" w:color="000000" w:sz="4" w:space="0"/>
              <w:bottom w:val="single" w:color="000000" w:sz="4" w:space="0"/>
              <w:right w:val="single" w:color="000000" w:sz="4" w:space="0"/>
            </w:tcBorders>
            <w:shd w:val="clear" w:color="auto" w:fill="FEDB61"/>
            <w:vAlign w:val="center"/>
          </w:tcPr>
          <w:p w14:paraId="3682270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FEDB61"/>
            <w:vAlign w:val="center"/>
          </w:tcPr>
          <w:p w14:paraId="70C753D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FEDB61"/>
            <w:vAlign w:val="center"/>
          </w:tcPr>
          <w:p w14:paraId="28533F2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p>
        </w:tc>
      </w:tr>
      <w:tr w14:paraId="645F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5B0CD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302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数据可视化看板</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98D4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数据跨境申请统计展示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2F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企业侧-（申请）数据主体申请状态调整</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03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由于数据主体的数据跨境流动申请根据最新操作指引要求，根据不同出境场景存在多份的可能性，因此“企业申请状态”需调整为“企业备案场景数”。</w:t>
            </w:r>
          </w:p>
        </w:tc>
      </w:tr>
      <w:tr w14:paraId="34BC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E08B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4E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C51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04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企业侧-（申请）新增备案应用场景信息展示列</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B08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由于数据主体的数据跨境流动申请根据最新操作指引要求与具体备案场景相关联，因此企业申请备案最新清单，企业备案出境数据项统计，企业备案许可情况中，需新增备案应用场景信息展示列。</w:t>
            </w:r>
          </w:p>
        </w:tc>
      </w:tr>
      <w:tr w14:paraId="3DBE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44BA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62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5569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97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企业侧-（申请）企业备案出境数据项统计调整统计维度</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ED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由于数据主体的数据跨境流动申请根据最新操作指引要求与具体备案场景相关联，因此企业备案出境数据项统计调整统计维度。原统计维度为低风险目录类别，调整后将需要根据备案场景进行统计。</w:t>
            </w:r>
          </w:p>
        </w:tc>
      </w:tr>
      <w:tr w14:paraId="3117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4D92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A2F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7AF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95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监管侧-（申请）新增备案应用场景信息展示列</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207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由于数据主体的数据跨境流动申请根据最新操作指引要求与具体备案场景相关联，因此企业最新备案申请清单，企业备案出境数据项统计，企业申请许可情况中，需新增备案应用场景信息展示列。</w:t>
            </w:r>
          </w:p>
        </w:tc>
      </w:tr>
      <w:tr w14:paraId="2D04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62BE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A39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2C09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6B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监管侧-（申请）企业备案出境数据项统计调整统计维度</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2D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由于数据主体的数据跨境流动申请根据最新操作指引要求与具体备案场景相关联，因此企业备案出境数据项统计调整统计维度。原统计维度为低风险目录类别，调整后将需要根据备案场景进行统计。</w:t>
            </w:r>
          </w:p>
        </w:tc>
      </w:tr>
      <w:tr w14:paraId="7BCB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C3F5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EC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D03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C0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服务中心-（申请）新增数据跨境申请统计展示</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DE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新增服务中心展示需求，新增服务中心-（申请）新增数据跨境申请统计展示</w:t>
            </w:r>
          </w:p>
        </w:tc>
      </w:tr>
      <w:tr w14:paraId="0F74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C79E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1F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1B45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数据跨境传输统计展示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18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企业侧-（传输）新增备案应用场景信息展示列</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C2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由于数据主体的数据跨境流动申请根据最新操作指引要求与具体备案场景相关联，因此企业申请备案最新清单，企业备案出境数据项统计，企业备案许可情况中，需新增备案应用场景信息展示列。</w:t>
            </w:r>
          </w:p>
        </w:tc>
      </w:tr>
      <w:tr w14:paraId="108F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0E16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C6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63B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E6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服务中心-（传输）数据跨境传输统计展示</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98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新增服务中心展示需求，新增服务中心-（传输）数据跨境传输统计展示</w:t>
            </w:r>
          </w:p>
        </w:tc>
      </w:tr>
      <w:tr w14:paraId="1F38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BB9E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0B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003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数据跨境监管统计展示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A7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企业侧-（监管）新增备案应用场景信息展示列</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844C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由于数据主体的数据跨境流动申请根据最新操作指引要求与具体备案场景相关联，因此待抽查清单，违规传输清单，违规传输数据类型统计中，需新增备案应用场景信息展示列。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本需求的用户主要针对数据主体用户。</w:t>
            </w:r>
          </w:p>
        </w:tc>
      </w:tr>
      <w:tr w14:paraId="0A66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0627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00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19D1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A1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监管侧-（监管）新增备案应用场景信息展示列</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875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由于数据主体的数据跨境流动申请根据最新操作指引要求与具体备案场景相关联，因此违规传输数据类型统计中，需新增备案应用场景信息展示列。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本需求的用户主要针对工作专班用户。</w:t>
            </w:r>
          </w:p>
        </w:tc>
      </w:tr>
      <w:tr w14:paraId="6C53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A7BE8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3A0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95F2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45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服务中心-（监管）数据跨境监管统计展示</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8F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新增服务中心展示需求，新增服务中心-（监管）数据跨境监管统计展示</w:t>
            </w:r>
          </w:p>
        </w:tc>
      </w:tr>
      <w:tr w14:paraId="5C06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0754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3BE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7C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业务咨询统计展示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860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C7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添加静态数据录入管理的功能，对业务咨询统计数据进行展示</w:t>
            </w:r>
          </w:p>
        </w:tc>
      </w:tr>
      <w:tr w14:paraId="3215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CDE6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793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跨境服务中心窗口现场统计展示</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E7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申请业务展示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ACD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B3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数据跨境申请统计展示</w:t>
            </w:r>
          </w:p>
        </w:tc>
      </w:tr>
      <w:tr w14:paraId="5A7C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0C06F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CF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2A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传输业务展示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87A5">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CA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数据跨境传输统计展示</w:t>
            </w:r>
          </w:p>
        </w:tc>
      </w:tr>
      <w:tr w14:paraId="1846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58B6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690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496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监管业务展示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AFC8">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C2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数据跨境监管统计展示</w:t>
            </w:r>
          </w:p>
        </w:tc>
      </w:tr>
      <w:tr w14:paraId="4FA1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DACD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1DD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05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服务情况展示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ECD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B3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展示包括国际数据产业园、数据跨境场景化操作指引（一般数据清单）等信息；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添加静态数据录入管理的功能，对现场业务统计、业务咨询统计,、当月企业咨询量、企业行业咨询量等进行展示。</w:t>
            </w:r>
          </w:p>
        </w:tc>
      </w:tr>
      <w:tr w14:paraId="6420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5CB74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46D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数据跨境展示大屏</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9D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数据跨境业务总体展示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6F93">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7F7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数据跨境业务的最新需求，全量迭代设计大屏总体展示内容，可包含对数据跨境服务中心介绍、数据跨境业务背景介绍、数据跨境全业务流程展示、数据跨境存证多套餐方案介绍、数据跨境场景化操作指引（一般数据清单）展示等板块的展示。</w:t>
            </w:r>
          </w:p>
        </w:tc>
      </w:tr>
      <w:tr w14:paraId="01FF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4CD6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C2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4A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数据跨境申请展示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257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BCB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数据跨境业务的最新需求，全量迭代设计大屏展示内容，可包含数据跨境历史申请概况、备案申请情况统计展示、备案申请类型统计、备案材料更新情况、备案申请审核情况、数据跨境目的国统计、一般数据及场景化备案申请展示、服务中心服务量展示等板块设计，根据展示需求进行调整。</w:t>
            </w:r>
          </w:p>
        </w:tc>
      </w:tr>
      <w:tr w14:paraId="7E8E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7D6BC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BE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B6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数据跨境传输存证展示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1B6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1E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根据数据跨境业务的最新需求，全量迭代设计大屏展示内容，可包含数据跨境历史传输概况、数据跨境存证概况、存证多套餐情况统计等板块设计，根据展示需求进行调整。</w:t>
            </w:r>
          </w:p>
        </w:tc>
      </w:tr>
      <w:tr w14:paraId="2F89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37F5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95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2C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数据跨境监督检查展示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7C5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0D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数据跨境业务的最新需求，全量迭代设计大屏展示内容，可包含数据跨境企业历史检查概况，以及对监督检查管理流程、检查次数、违规情况进行总体展示，可包含对常规检查、专项检查、双随机一公开检查的检查次数、通过率等情况进行展示，根据展示需求进行板块设计调整。</w:t>
            </w:r>
          </w:p>
        </w:tc>
      </w:tr>
      <w:tr w14:paraId="66D4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9F9D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AFD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94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企业专版-数据跨境展示</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E90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C8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最新数据跨境业务需求，全量迭代完善设计大屏企业专版展示内容，可包含企业数据流动申请展示模块、数据流动传输展示模块、数据流动监管展示模块，以及企业安全评估前后传输数据量比较、企业安全评估前后传输频次比较等，根据展示需求进行企业个性化展示板块设计调整。</w:t>
            </w:r>
          </w:p>
        </w:tc>
      </w:tr>
      <w:tr w14:paraId="10F5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D53BD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96A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84C1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数据跨境流动综合展示数据服务</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E1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业务系统相关指标统计</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67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根据展示大屏全量迭代展示内容调整需求，相应调整业务系统相关指标统计内容。</w:t>
            </w:r>
          </w:p>
        </w:tc>
      </w:tr>
      <w:tr w14:paraId="0E47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7F75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B75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1F3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4D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静态指标维护与管理</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10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根据展示大屏全量迭代展示内容调整需求，相应调整静态指标维护与管理。</w:t>
            </w:r>
          </w:p>
        </w:tc>
      </w:tr>
      <w:tr w14:paraId="5AFC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7"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17F2B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2AD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D0D0D"/>
                <w:sz w:val="22"/>
                <w:szCs w:val="22"/>
                <w:u w:val="none"/>
              </w:rPr>
            </w:pPr>
            <w:r>
              <w:rPr>
                <w:rFonts w:hint="eastAsia" w:ascii="宋体" w:hAnsi="宋体" w:eastAsia="宋体" w:cs="宋体"/>
                <w:i w:val="0"/>
                <w:iCs w:val="0"/>
                <w:color w:val="0D0D0D"/>
                <w:kern w:val="0"/>
                <w:sz w:val="22"/>
                <w:szCs w:val="22"/>
                <w:u w:val="none"/>
                <w:lang w:val="en-US" w:eastAsia="zh-CN" w:bidi="ar"/>
              </w:rPr>
              <w:t>个性化展示</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AF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数据展示预案</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610A">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292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支持组合方案推荐功能，提供多种面向管理者、企业、媒体等不同用户的数据驾驶舱预案，以供用户选择。</w:t>
            </w:r>
          </w:p>
        </w:tc>
      </w:tr>
      <w:tr w14:paraId="5583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1F3E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2B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D0D0D"/>
                <w:sz w:val="22"/>
                <w:szCs w:val="22"/>
                <w:u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85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阈值设置</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773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BC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支持对数据传输量阈值、数据敏感度阈值、合规风险阈值等进行设置，辅助实现实时预警功能。</w:t>
            </w:r>
          </w:p>
        </w:tc>
      </w:tr>
    </w:tbl>
    <w:p w14:paraId="0E1A280A">
      <w:pPr>
        <w:pStyle w:val="19"/>
        <w:ind w:left="0" w:leftChars="0" w:firstLine="0" w:firstLineChars="0"/>
        <w:rPr>
          <w:rFonts w:hint="eastAsia"/>
          <w:b/>
          <w:bCs/>
        </w:rPr>
      </w:pPr>
    </w:p>
    <w:p w14:paraId="3335D2AA">
      <w:pPr>
        <w:pStyle w:val="19"/>
        <w:ind w:firstLine="560"/>
        <w:rPr>
          <w:rFonts w:hint="eastAsia"/>
        </w:rPr>
      </w:pPr>
      <w:r>
        <w:rPr>
          <w:rFonts w:hint="eastAsia"/>
          <w:b/>
          <w:bCs/>
        </w:rPr>
        <w:t>后台管理子系统</w:t>
      </w:r>
      <w:r>
        <w:rPr>
          <w:rFonts w:hint="eastAsia"/>
          <w:b/>
          <w:bCs/>
          <w:lang w:eastAsia="zh-CN"/>
        </w:rPr>
        <w:t>：</w:t>
      </w:r>
      <w:r>
        <w:rPr>
          <w:rFonts w:hint="eastAsia"/>
        </w:rPr>
        <w:t>该子系统主要面向工作专班。系统功能包括：独立用户系统管理、第三方单位管理、系统管理、报表报告、数据标签、安全管理、系统对接，保障平台的稳定运行和高效管理。</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324"/>
        <w:gridCol w:w="1152"/>
        <w:gridCol w:w="1152"/>
        <w:gridCol w:w="4233"/>
      </w:tblGrid>
      <w:tr w14:paraId="4327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86" w:type="pct"/>
            <w:tcBorders>
              <w:top w:val="single" w:color="000000" w:sz="8" w:space="0"/>
              <w:left w:val="single" w:color="000000" w:sz="8" w:space="0"/>
              <w:bottom w:val="single" w:color="000000" w:sz="8" w:space="0"/>
              <w:right w:val="single" w:color="000000" w:sz="4" w:space="0"/>
            </w:tcBorders>
            <w:shd w:val="clear" w:color="auto" w:fill="auto"/>
            <w:vAlign w:val="center"/>
          </w:tcPr>
          <w:p w14:paraId="2F7DC3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4C32C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67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84F11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67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291ABC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三级模块</w:t>
            </w:r>
          </w:p>
        </w:tc>
        <w:tc>
          <w:tcPr>
            <w:tcW w:w="248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5713C3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功能描述</w:t>
            </w:r>
          </w:p>
        </w:tc>
      </w:tr>
      <w:tr w14:paraId="532D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86" w:type="pct"/>
            <w:tcBorders>
              <w:top w:val="single" w:color="000000" w:sz="4" w:space="0"/>
              <w:left w:val="single" w:color="000000" w:sz="8" w:space="0"/>
              <w:bottom w:val="single" w:color="000000" w:sz="4" w:space="0"/>
              <w:right w:val="single" w:color="000000" w:sz="4" w:space="0"/>
            </w:tcBorders>
            <w:shd w:val="clear" w:color="auto" w:fill="FEDB61"/>
            <w:vAlign w:val="center"/>
          </w:tcPr>
          <w:p w14:paraId="6FBC89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613" w:type="pct"/>
            <w:gridSpan w:val="4"/>
            <w:tcBorders>
              <w:top w:val="single" w:color="000000" w:sz="4" w:space="0"/>
              <w:left w:val="single" w:color="000000" w:sz="4" w:space="0"/>
              <w:bottom w:val="single" w:color="000000" w:sz="4" w:space="0"/>
              <w:right w:val="single" w:color="000000" w:sz="4" w:space="0"/>
            </w:tcBorders>
            <w:shd w:val="clear" w:color="auto" w:fill="FEDB61"/>
            <w:vAlign w:val="center"/>
          </w:tcPr>
          <w:p w14:paraId="075B782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后台管理子系统</w:t>
            </w:r>
          </w:p>
        </w:tc>
      </w:tr>
      <w:tr w14:paraId="567A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8ED10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97C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独立用户系统管理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A4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BDAB">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865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包括用户管理列表，用户详情，用户增/删/改，用户注册与审核，用户信息维护与权限分配；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用户信息管理：支持针对登录系统的用户的用户名，密码，联系方式等用户账号基本信息的管理功能。</w:t>
            </w:r>
          </w:p>
        </w:tc>
      </w:tr>
      <w:tr w14:paraId="2735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E86A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EA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7520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6B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主账号管理</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8C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通过法人一证通登录、服务中心角色在后台开设企业账号两种方式设立主账号。</w:t>
            </w:r>
          </w:p>
        </w:tc>
      </w:tr>
      <w:tr w14:paraId="48C2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09275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C5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89E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A9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子账号管理</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3E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主账号拥有终止已绑定子账号的权限。支持对子账号进行数量限制；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未绑定数据主体的个人用户，仅支持查看备案表单、下载申报材料模板，无操作权限，不可访问存证记录管理，监督检查记录与数据跨境场景化操作指引（一般数据清单）查阅等功能。</w:t>
            </w:r>
          </w:p>
        </w:tc>
      </w:tr>
      <w:tr w14:paraId="2B4E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C499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D9D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15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关联管理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DD54">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B68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账号可绑定数据主体（带组织机构授权书附件）。由数据主体主账号在系统中进行审批。子账号关联主账号以统一社会信用代码或者单位名称（视数据主体组织机构类型情况）、上传组织机构授权书等进行关联。</w:t>
            </w:r>
          </w:p>
        </w:tc>
      </w:tr>
      <w:tr w14:paraId="337C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54E0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A8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第三方单位管理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A18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D31D">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BA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支持在流程中设置选择第三方单位支持评估工作，对第三方评估单位进行权限控制，仅可查看分配到的申请数据。</w:t>
            </w:r>
          </w:p>
        </w:tc>
      </w:tr>
      <w:tr w14:paraId="1A5B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A64CD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20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59C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191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09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系统站内通知发送与接收。通过统一消息完成各类消息的设置、排序、处理和阅读，完成各类消息的处理，包括消息列表、消息集成、消息配置。</w:t>
            </w:r>
          </w:p>
        </w:tc>
      </w:tr>
      <w:tr w14:paraId="0BA7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680AE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929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报表报告</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4F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03C9">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8A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支持自定义选择报告模板进行报告生成，可生成.csv、.xlsx、.csv、.pdf、.docx等格式的报告</w:t>
            </w:r>
          </w:p>
        </w:tc>
      </w:tr>
      <w:tr w14:paraId="00A2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BCE9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8F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2C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报告模板</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913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48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支持自定义报告模板，通过自定义搭配报告内容字段，自定义形成报告模板。</w:t>
            </w:r>
          </w:p>
        </w:tc>
      </w:tr>
      <w:tr w14:paraId="3A97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587D3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C0C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数据标签</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04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标签创建</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F64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90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支持用户创建新的标签，并对每个标签进行详细的定义和描述，明确其含义和适用范围；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将标签按照不同的类别进行分组，形成层级结构，便于管理和查找。</w:t>
            </w:r>
          </w:p>
        </w:tc>
      </w:tr>
      <w:tr w14:paraId="6CA1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CD46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10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E59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数据单个/批量标注</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A74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4A8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提供界面支持用户为数据对象（如文本、图像、音频等）添加相应的标签，支持批量标注和单个标注操作。建立标签与具体数据的紧密关联，方便基于标签进行数据的查询、提取和分析。</w:t>
            </w:r>
          </w:p>
        </w:tc>
      </w:tr>
      <w:tr w14:paraId="41B4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5E1C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A9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DDC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标签管理</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24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设定标签规则</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05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对只能用于特定类型的数据标签进行设定；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设置标签之间的互斥规则。</w:t>
            </w:r>
          </w:p>
        </w:tc>
      </w:tr>
      <w:tr w14:paraId="7327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AA0F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B5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9662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53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标签更新与维护</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32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当数据的性质或业务需求发生变化时，支持及时更新和调整标签。</w:t>
            </w:r>
          </w:p>
        </w:tc>
      </w:tr>
      <w:tr w14:paraId="6447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restart"/>
            <w:tcBorders>
              <w:top w:val="nil"/>
              <w:left w:val="single" w:color="000000" w:sz="8" w:space="0"/>
              <w:bottom w:val="single" w:color="000000" w:sz="4" w:space="0"/>
              <w:right w:val="single" w:color="000000" w:sz="4" w:space="0"/>
            </w:tcBorders>
            <w:shd w:val="clear" w:color="auto" w:fill="auto"/>
            <w:vAlign w:val="center"/>
          </w:tcPr>
          <w:p w14:paraId="40EA63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77" w:type="pct"/>
            <w:vMerge w:val="restart"/>
            <w:tcBorders>
              <w:top w:val="nil"/>
              <w:left w:val="single" w:color="000000" w:sz="4" w:space="0"/>
              <w:bottom w:val="nil"/>
              <w:right w:val="nil"/>
            </w:tcBorders>
            <w:shd w:val="clear" w:color="auto" w:fill="auto"/>
            <w:vAlign w:val="center"/>
          </w:tcPr>
          <w:p w14:paraId="0C1908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w:t>
            </w:r>
          </w:p>
        </w:tc>
        <w:tc>
          <w:tcPr>
            <w:tcW w:w="676" w:type="pct"/>
            <w:vMerge w:val="restart"/>
            <w:tcBorders>
              <w:top w:val="nil"/>
              <w:left w:val="single" w:color="000000" w:sz="4" w:space="0"/>
              <w:bottom w:val="nil"/>
              <w:right w:val="single" w:color="000000" w:sz="4" w:space="0"/>
            </w:tcBorders>
            <w:shd w:val="clear" w:color="auto" w:fill="auto"/>
            <w:vAlign w:val="center"/>
          </w:tcPr>
          <w:p w14:paraId="14AC219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数据加密与脱敏</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0A5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敏感数据脱敏处理</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317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对个人信息、重要数据等敏感数据的脱敏处理。</w:t>
            </w:r>
          </w:p>
        </w:tc>
      </w:tr>
      <w:tr w14:paraId="38CE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03D3D6E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43A673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nil"/>
              <w:left w:val="single" w:color="000000" w:sz="4" w:space="0"/>
              <w:bottom w:val="nil"/>
              <w:right w:val="single" w:color="000000" w:sz="4" w:space="0"/>
            </w:tcBorders>
            <w:shd w:val="clear" w:color="auto" w:fill="auto"/>
            <w:vAlign w:val="center"/>
          </w:tcPr>
          <w:p w14:paraId="34E88BA2">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D8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数据库备份加密</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5C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对数据库备份进行加密处理。</w:t>
            </w:r>
          </w:p>
        </w:tc>
      </w:tr>
      <w:tr w14:paraId="6B49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6F5023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0F4E74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7877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登录安全管理</w:t>
            </w:r>
          </w:p>
        </w:tc>
        <w:tc>
          <w:tcPr>
            <w:tcW w:w="676" w:type="pct"/>
            <w:tcBorders>
              <w:top w:val="single" w:color="000000" w:sz="4" w:space="0"/>
              <w:left w:val="nil"/>
              <w:bottom w:val="single" w:color="000000" w:sz="4" w:space="0"/>
              <w:right w:val="single" w:color="000000" w:sz="4" w:space="0"/>
            </w:tcBorders>
            <w:shd w:val="clear" w:color="auto" w:fill="auto"/>
            <w:vAlign w:val="center"/>
          </w:tcPr>
          <w:p w14:paraId="2E1AA79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用户密码强制更新</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15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用户密码复杂度、用户密码强制更新，要求用户定期更换密码。</w:t>
            </w:r>
          </w:p>
        </w:tc>
      </w:tr>
      <w:tr w14:paraId="274F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124CAC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0803C2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A2A4">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nil"/>
              <w:bottom w:val="single" w:color="000000" w:sz="4" w:space="0"/>
              <w:right w:val="single" w:color="000000" w:sz="4" w:space="0"/>
            </w:tcBorders>
            <w:shd w:val="clear" w:color="auto" w:fill="auto"/>
            <w:vAlign w:val="center"/>
          </w:tcPr>
          <w:p w14:paraId="119DC6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登录失败处理</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1A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限制用户登录失败尝试次数；登录失败后采取结束会话和自动退出等措施；形成用户输入密码错误多次的审计记录。</w:t>
            </w:r>
          </w:p>
        </w:tc>
      </w:tr>
      <w:tr w14:paraId="0749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02AD09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6C8303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FD8E">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nil"/>
              <w:bottom w:val="single" w:color="000000" w:sz="4" w:space="0"/>
              <w:right w:val="single" w:color="000000" w:sz="4" w:space="0"/>
            </w:tcBorders>
            <w:shd w:val="clear" w:color="auto" w:fill="auto"/>
            <w:vAlign w:val="center"/>
          </w:tcPr>
          <w:p w14:paraId="555DF2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异常登录监控</w:t>
            </w:r>
          </w:p>
        </w:tc>
        <w:tc>
          <w:tcPr>
            <w:tcW w:w="2483" w:type="pct"/>
            <w:tcBorders>
              <w:top w:val="single" w:color="000000" w:sz="4" w:space="0"/>
              <w:left w:val="nil"/>
              <w:bottom w:val="single" w:color="000000" w:sz="4" w:space="0"/>
              <w:right w:val="single" w:color="000000" w:sz="4" w:space="0"/>
            </w:tcBorders>
            <w:shd w:val="clear" w:color="auto" w:fill="auto"/>
            <w:vAlign w:val="center"/>
          </w:tcPr>
          <w:p w14:paraId="499E8A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对于帐号的异地登录、异常登录行为、疑似帐号破解行为、口令强度、沉默账号重新操作等异常行为进行监测和分析。</w:t>
            </w:r>
          </w:p>
        </w:tc>
      </w:tr>
      <w:tr w14:paraId="7D12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0810D1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1CA2B8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restart"/>
            <w:tcBorders>
              <w:top w:val="nil"/>
              <w:left w:val="single" w:color="000000" w:sz="4" w:space="0"/>
              <w:bottom w:val="nil"/>
              <w:right w:val="single" w:color="000000" w:sz="4" w:space="0"/>
            </w:tcBorders>
            <w:shd w:val="clear" w:color="auto" w:fill="auto"/>
            <w:vAlign w:val="center"/>
          </w:tcPr>
          <w:p w14:paraId="5DCC7DA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安全审计管理</w:t>
            </w:r>
          </w:p>
        </w:tc>
        <w:tc>
          <w:tcPr>
            <w:tcW w:w="676" w:type="pct"/>
            <w:tcBorders>
              <w:top w:val="single" w:color="000000" w:sz="4" w:space="0"/>
              <w:left w:val="nil"/>
              <w:bottom w:val="single" w:color="000000" w:sz="4" w:space="0"/>
              <w:right w:val="single" w:color="000000" w:sz="4" w:space="0"/>
            </w:tcBorders>
            <w:shd w:val="clear" w:color="auto" w:fill="auto"/>
            <w:vAlign w:val="center"/>
          </w:tcPr>
          <w:p w14:paraId="6F6586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审计记录</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8A8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审计功能记录系统重要安全事件的日期、时间、发起者信息、类型、描述和结果等，并保护好审计结果，阻止非法删除、修改或覆盖审计记录。同时数据库启用自身日志对用户操作进行审计，并覆盖到所有用户。</w:t>
            </w:r>
          </w:p>
        </w:tc>
      </w:tr>
      <w:tr w14:paraId="0E6D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40EDE9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05F631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nil"/>
              <w:left w:val="single" w:color="000000" w:sz="4" w:space="0"/>
              <w:bottom w:val="nil"/>
              <w:right w:val="single" w:color="000000" w:sz="4" w:space="0"/>
            </w:tcBorders>
            <w:shd w:val="clear" w:color="auto" w:fill="auto"/>
            <w:vAlign w:val="center"/>
          </w:tcPr>
          <w:p w14:paraId="0EE8229C">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nil"/>
              <w:bottom w:val="single" w:color="000000" w:sz="4" w:space="0"/>
              <w:right w:val="single" w:color="000000" w:sz="4" w:space="0"/>
            </w:tcBorders>
            <w:shd w:val="clear" w:color="auto" w:fill="auto"/>
            <w:vAlign w:val="center"/>
          </w:tcPr>
          <w:p w14:paraId="26DD830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审计报表</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225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能够对记录数据进行统计、查询、分析及生成审计报表。</w:t>
            </w:r>
          </w:p>
        </w:tc>
      </w:tr>
      <w:tr w14:paraId="6012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21582B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6BC0C5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79D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系统安全监控</w:t>
            </w:r>
          </w:p>
        </w:tc>
        <w:tc>
          <w:tcPr>
            <w:tcW w:w="676" w:type="pct"/>
            <w:tcBorders>
              <w:top w:val="single" w:color="000000" w:sz="4" w:space="0"/>
              <w:left w:val="nil"/>
              <w:bottom w:val="single" w:color="000000" w:sz="4" w:space="0"/>
              <w:right w:val="single" w:color="000000" w:sz="4" w:space="0"/>
            </w:tcBorders>
            <w:shd w:val="clear" w:color="auto" w:fill="auto"/>
            <w:vAlign w:val="center"/>
          </w:tcPr>
          <w:p w14:paraId="0F19FEDF">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FF0000"/>
                <w:sz w:val="22"/>
                <w:szCs w:val="22"/>
                <w:u w:val="none"/>
              </w:rPr>
            </w:pPr>
          </w:p>
        </w:tc>
        <w:tc>
          <w:tcPr>
            <w:tcW w:w="2483" w:type="pct"/>
            <w:tcBorders>
              <w:top w:val="single" w:color="000000" w:sz="4" w:space="0"/>
              <w:left w:val="nil"/>
              <w:bottom w:val="single" w:color="000000" w:sz="4" w:space="0"/>
              <w:right w:val="single" w:color="000000" w:sz="4" w:space="0"/>
            </w:tcBorders>
            <w:shd w:val="clear" w:color="auto" w:fill="auto"/>
            <w:vAlign w:val="center"/>
          </w:tcPr>
          <w:p w14:paraId="1759A0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主要监控物理机、虚拟机、操作系统、应用服务、数据库的运行状态，并记录相关指标数据。通过收集主机上的操作日志、安全日志等内容进行展示。</w:t>
            </w:r>
          </w:p>
        </w:tc>
      </w:tr>
      <w:tr w14:paraId="247C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69EBEA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193533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342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存证服务安全监控</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811E">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FF0000"/>
                <w:sz w:val="22"/>
                <w:szCs w:val="22"/>
                <w:u w:val="none"/>
              </w:rPr>
            </w:pPr>
          </w:p>
        </w:tc>
        <w:tc>
          <w:tcPr>
            <w:tcW w:w="2483" w:type="pct"/>
            <w:tcBorders>
              <w:top w:val="single" w:color="000000" w:sz="4" w:space="0"/>
              <w:left w:val="nil"/>
              <w:bottom w:val="single" w:color="000000" w:sz="4" w:space="0"/>
              <w:right w:val="single" w:color="000000" w:sz="4" w:space="0"/>
            </w:tcBorders>
            <w:shd w:val="clear" w:color="auto" w:fill="auto"/>
            <w:vAlign w:val="center"/>
          </w:tcPr>
          <w:p w14:paraId="4EBBE4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支持存证服务运行状态监控告警与存证上报频率告警。</w:t>
            </w:r>
          </w:p>
        </w:tc>
      </w:tr>
      <w:tr w14:paraId="3A31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2F6792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14CB2BE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restart"/>
            <w:tcBorders>
              <w:top w:val="nil"/>
              <w:left w:val="nil"/>
              <w:bottom w:val="nil"/>
              <w:right w:val="single" w:color="000000" w:sz="4" w:space="0"/>
            </w:tcBorders>
            <w:shd w:val="clear" w:color="auto" w:fill="auto"/>
            <w:vAlign w:val="center"/>
          </w:tcPr>
          <w:p w14:paraId="5CDE8ED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风险预警</w:t>
            </w:r>
          </w:p>
        </w:tc>
        <w:tc>
          <w:tcPr>
            <w:tcW w:w="676" w:type="pct"/>
            <w:tcBorders>
              <w:top w:val="nil"/>
              <w:left w:val="nil"/>
              <w:bottom w:val="single" w:color="000000" w:sz="4" w:space="0"/>
              <w:right w:val="single" w:color="000000" w:sz="4" w:space="0"/>
            </w:tcBorders>
            <w:shd w:val="clear" w:color="auto" w:fill="auto"/>
            <w:vAlign w:val="center"/>
          </w:tcPr>
          <w:p w14:paraId="3E6144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高危操作告警与回放</w:t>
            </w:r>
          </w:p>
        </w:tc>
        <w:tc>
          <w:tcPr>
            <w:tcW w:w="2483" w:type="pct"/>
            <w:tcBorders>
              <w:top w:val="single" w:color="000000" w:sz="4" w:space="0"/>
              <w:left w:val="nil"/>
              <w:bottom w:val="single" w:color="000000" w:sz="4" w:space="0"/>
              <w:right w:val="single" w:color="000000" w:sz="4" w:space="0"/>
            </w:tcBorders>
            <w:shd w:val="clear" w:color="auto" w:fill="auto"/>
            <w:vAlign w:val="center"/>
          </w:tcPr>
          <w:p w14:paraId="4AE4E20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对异常登录、暴力破解、等高危操作进行告警；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可按时间轴滑动用户轨迹，展示中高危操作事件。</w:t>
            </w:r>
          </w:p>
        </w:tc>
      </w:tr>
      <w:tr w14:paraId="1B6D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580DA3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06BB2A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nil"/>
              <w:left w:val="nil"/>
              <w:bottom w:val="nil"/>
              <w:right w:val="single" w:color="000000" w:sz="4" w:space="0"/>
            </w:tcBorders>
            <w:shd w:val="clear" w:color="auto" w:fill="auto"/>
            <w:vAlign w:val="center"/>
          </w:tcPr>
          <w:p w14:paraId="0A37D40A">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nil"/>
              <w:bottom w:val="single" w:color="000000" w:sz="4" w:space="0"/>
              <w:right w:val="single" w:color="000000" w:sz="4" w:space="0"/>
            </w:tcBorders>
            <w:shd w:val="clear" w:color="auto" w:fill="auto"/>
            <w:vAlign w:val="center"/>
          </w:tcPr>
          <w:p w14:paraId="3CE855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预警设置</w:t>
            </w:r>
          </w:p>
        </w:tc>
        <w:tc>
          <w:tcPr>
            <w:tcW w:w="2483" w:type="pct"/>
            <w:tcBorders>
              <w:top w:val="single" w:color="000000" w:sz="4" w:space="0"/>
              <w:left w:val="nil"/>
              <w:bottom w:val="single" w:color="000000" w:sz="4" w:space="0"/>
              <w:right w:val="single" w:color="000000" w:sz="4" w:space="0"/>
            </w:tcBorders>
            <w:shd w:val="clear" w:color="auto" w:fill="auto"/>
            <w:vAlign w:val="center"/>
          </w:tcPr>
          <w:p w14:paraId="1A5035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用户根据自身业务特性，对来源、目标、用户，操作类型，频次，数据内容等因子的自由定义形成告警规则，当数据主体应用情况出现异常时及时发出警报通知相关人员。</w:t>
            </w:r>
          </w:p>
        </w:tc>
      </w:tr>
      <w:tr w14:paraId="6037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7D246B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705DBB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nil"/>
              <w:left w:val="nil"/>
              <w:bottom w:val="nil"/>
              <w:right w:val="single" w:color="000000" w:sz="4" w:space="0"/>
            </w:tcBorders>
            <w:shd w:val="clear" w:color="auto" w:fill="auto"/>
            <w:vAlign w:val="center"/>
          </w:tcPr>
          <w:p w14:paraId="2B1CDAE5">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A0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预警详情</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A48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包括预警类型、发布时间、预警级别、预警描述、相关数据和指标、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原因分析参考、应对建议、责任部门和联系人等信息。</w:t>
            </w:r>
          </w:p>
        </w:tc>
      </w:tr>
      <w:tr w14:paraId="7B60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nil"/>
              <w:left w:val="single" w:color="000000" w:sz="8" w:space="0"/>
              <w:bottom w:val="single" w:color="000000" w:sz="4" w:space="0"/>
              <w:right w:val="single" w:color="000000" w:sz="4" w:space="0"/>
            </w:tcBorders>
            <w:shd w:val="clear" w:color="auto" w:fill="auto"/>
            <w:vAlign w:val="center"/>
          </w:tcPr>
          <w:p w14:paraId="3678B4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nil"/>
              <w:left w:val="single" w:color="000000" w:sz="4" w:space="0"/>
              <w:bottom w:val="nil"/>
              <w:right w:val="nil"/>
            </w:tcBorders>
            <w:shd w:val="clear" w:color="auto" w:fill="auto"/>
            <w:vAlign w:val="center"/>
          </w:tcPr>
          <w:p w14:paraId="4ED615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nil"/>
              <w:left w:val="nil"/>
              <w:bottom w:val="nil"/>
              <w:right w:val="single" w:color="000000" w:sz="4" w:space="0"/>
            </w:tcBorders>
            <w:shd w:val="clear" w:color="auto" w:fill="auto"/>
            <w:vAlign w:val="center"/>
          </w:tcPr>
          <w:p w14:paraId="0F3ECE9C">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5F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风险预警统计</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01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支持对风险事件进行风险类型、风险级别统计、风险区域等多维度的统计分析。</w:t>
            </w:r>
          </w:p>
        </w:tc>
      </w:tr>
      <w:tr w14:paraId="1E6D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6"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27058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71B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系统对接</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8C01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公共数据管理与赋能平台对接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52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数据共享对接</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BDA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实现同步企业基础信息。</w:t>
            </w:r>
          </w:p>
        </w:tc>
      </w:tr>
      <w:tr w14:paraId="3C90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0375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729B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2699">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35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数据可视化服务对接</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DF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对接大数据中心的数据可视化服务。</w:t>
            </w:r>
          </w:p>
        </w:tc>
      </w:tr>
      <w:tr w14:paraId="440F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34D6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C4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E1B3">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E5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大数据中心数据归集服务对接</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96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对接大数据中心数据归集服务，根据最新系统数据库结构更新公共数据平台数据归集功能。</w:t>
            </w:r>
          </w:p>
        </w:tc>
      </w:tr>
      <w:tr w14:paraId="1B33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6E30D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CFB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13EB3">
            <w:pPr>
              <w:keepNext w:val="0"/>
              <w:keepLines w:val="0"/>
              <w:pageBreakBefore w:val="0"/>
              <w:widowControl/>
              <w:kinsoku/>
              <w:wordWrap/>
              <w:overflowPunct/>
              <w:topLinePunct w:val="0"/>
              <w:autoSpaceDE/>
              <w:autoSpaceDN/>
              <w:bidi w:val="0"/>
              <w:adjustRightInd/>
              <w:snapToGrid/>
              <w:ind w:firstLine="0" w:firstLineChars="0"/>
              <w:jc w:val="both"/>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39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大数据中心工作流服务对接</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236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对接大数据中心的工作流服务。</w:t>
            </w:r>
          </w:p>
        </w:tc>
      </w:tr>
      <w:tr w14:paraId="47FC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6D18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482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724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一网通办对接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ED3C">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5B0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与一网通办法人一证通对接获取企业名称、组织机构代码等证书中的信息，与一网通办对接个人用户账号，支撑主账号、子账号登录，实现高效便捷和安全监管。</w:t>
            </w:r>
          </w:p>
        </w:tc>
      </w:tr>
      <w:tr w14:paraId="65D7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03BC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6F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0C1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短信服务对接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B4F0">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D4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与大数据中心已建设的短信服务功能进行对接，用于用户身份验证，如发送验证码，确保用户操作的安全性；用于发送各类通知，如业务办理进度通知、重要信息提醒等，实现数据交互。</w:t>
            </w:r>
          </w:p>
        </w:tc>
      </w:tr>
      <w:tr w14:paraId="03C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06FA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38D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DD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数据存证服务对接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C3F42">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EC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与数据存证服务对接，进行存证存储。</w:t>
            </w:r>
          </w:p>
        </w:tc>
      </w:tr>
      <w:tr w14:paraId="5BE9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C264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9F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50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第三方生态对接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EB31">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FA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预留与评估单位等第三方生态的对接接口，支撑提供评估等相关服务。</w:t>
            </w:r>
          </w:p>
        </w:tc>
      </w:tr>
    </w:tbl>
    <w:p w14:paraId="0937AE4A">
      <w:pPr>
        <w:pStyle w:val="19"/>
        <w:ind w:left="0" w:leftChars="0" w:firstLine="0" w:firstLineChars="0"/>
        <w:rPr>
          <w:rFonts w:hint="eastAsia"/>
        </w:rPr>
      </w:pPr>
    </w:p>
    <w:p w14:paraId="0BC53247">
      <w:pPr>
        <w:bidi w:val="0"/>
        <w:rPr>
          <w:rFonts w:hint="eastAsia" w:asciiTheme="minorEastAsia" w:hAnsiTheme="minorEastAsia" w:eastAsiaTheme="minorEastAsia" w:cstheme="minorEastAsia"/>
          <w:kern w:val="2"/>
          <w:sz w:val="28"/>
          <w:szCs w:val="28"/>
          <w:lang w:val="zh-CN" w:eastAsia="zh-CN" w:bidi="ar-SA"/>
        </w:rPr>
      </w:pPr>
      <w:bookmarkStart w:id="24" w:name="_Toc146540340"/>
      <w:bookmarkEnd w:id="24"/>
      <w:bookmarkStart w:id="25" w:name="_Toc146540307"/>
      <w:bookmarkEnd w:id="25"/>
      <w:bookmarkStart w:id="26" w:name="_Toc146540321"/>
      <w:bookmarkEnd w:id="26"/>
      <w:bookmarkStart w:id="27" w:name="_Toc146540292"/>
      <w:bookmarkEnd w:id="27"/>
      <w:bookmarkStart w:id="28" w:name="_Toc146540335"/>
      <w:bookmarkEnd w:id="28"/>
      <w:bookmarkStart w:id="29" w:name="_Toc146540293"/>
      <w:bookmarkEnd w:id="29"/>
      <w:bookmarkStart w:id="30" w:name="_Toc147814698"/>
      <w:bookmarkStart w:id="31" w:name="_Toc109127620"/>
      <w:bookmarkStart w:id="32" w:name="_Toc20489"/>
      <w:bookmarkStart w:id="33" w:name="_Toc9461"/>
      <w:bookmarkStart w:id="34" w:name="_Toc148103552"/>
      <w:bookmarkStart w:id="35" w:name="_Toc157417087"/>
      <w:bookmarkStart w:id="36" w:name="_Toc20024"/>
      <w:r>
        <w:rPr>
          <w:rFonts w:hint="eastAsia" w:asciiTheme="minorEastAsia" w:hAnsiTheme="minorEastAsia" w:eastAsiaTheme="minorEastAsia" w:cstheme="minorEastAsia"/>
          <w:b/>
          <w:bCs/>
          <w:lang w:val="zh-CN"/>
        </w:rPr>
        <w:t>密码应用改造。</w:t>
      </w:r>
      <w:r>
        <w:rPr>
          <w:rFonts w:hint="eastAsia" w:asciiTheme="minorEastAsia" w:hAnsiTheme="minorEastAsia" w:eastAsiaTheme="minorEastAsia" w:cstheme="minorEastAsia"/>
          <w:kern w:val="2"/>
          <w:sz w:val="28"/>
          <w:szCs w:val="28"/>
          <w:lang w:val="zh-CN" w:eastAsia="zh-CN" w:bidi="ar-SA"/>
        </w:rPr>
        <w:t>加强安全风险监测，增强信息安全及</w:t>
      </w:r>
      <w:r>
        <w:rPr>
          <w:rFonts w:hint="eastAsia" w:asciiTheme="minorEastAsia" w:hAnsiTheme="minorEastAsia" w:eastAsiaTheme="minorEastAsia" w:cstheme="minorEastAsia"/>
          <w:kern w:val="2"/>
          <w:sz w:val="28"/>
          <w:szCs w:val="28"/>
          <w:lang w:val="en-US" w:eastAsia="zh-CN" w:bidi="ar-SA"/>
        </w:rPr>
        <w:t>数</w:t>
      </w:r>
      <w:r>
        <w:rPr>
          <w:rFonts w:hint="eastAsia" w:asciiTheme="minorEastAsia" w:hAnsiTheme="minorEastAsia" w:eastAsiaTheme="minorEastAsia" w:cstheme="minorEastAsia"/>
          <w:kern w:val="2"/>
          <w:sz w:val="28"/>
          <w:szCs w:val="28"/>
          <w:lang w:val="zh-CN" w:eastAsia="zh-CN" w:bidi="ar-SA"/>
        </w:rPr>
        <w:t>据安全防护，</w:t>
      </w:r>
      <w:r>
        <w:rPr>
          <w:rFonts w:hint="eastAsia" w:asciiTheme="minorEastAsia" w:hAnsiTheme="minorEastAsia" w:eastAsiaTheme="minorEastAsia" w:cstheme="minorEastAsia"/>
          <w:kern w:val="2"/>
          <w:sz w:val="28"/>
          <w:szCs w:val="28"/>
          <w:lang w:val="en-US" w:eastAsia="zh-CN" w:bidi="ar-SA"/>
        </w:rPr>
        <w:t>确保系统安全、网络安全与数据安全</w:t>
      </w:r>
      <w:r>
        <w:rPr>
          <w:rFonts w:hint="eastAsia" w:asciiTheme="minorEastAsia" w:hAnsiTheme="minorEastAsia" w:eastAsiaTheme="minorEastAsia" w:cstheme="minorEastAsia"/>
          <w:kern w:val="2"/>
          <w:sz w:val="28"/>
          <w:szCs w:val="28"/>
          <w:lang w:val="zh-CN" w:eastAsia="zh-CN" w:bidi="ar-SA"/>
        </w:rPr>
        <w:t>。</w:t>
      </w:r>
    </w:p>
    <w:tbl>
      <w:tblPr>
        <w:tblStyle w:val="16"/>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6898"/>
      </w:tblGrid>
      <w:tr w14:paraId="6A11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1B66C0C7">
            <w:pPr>
              <w:spacing w:line="240" w:lineRule="auto"/>
              <w:ind w:firstLine="0" w:firstLineChars="0"/>
              <w:jc w:val="center"/>
              <w:rPr>
                <w:rFonts w:ascii="仿宋" w:hAnsi="仿宋" w:cs="仿宋"/>
                <w:b/>
                <w:bCs/>
                <w:sz w:val="22"/>
                <w:szCs w:val="22"/>
              </w:rPr>
            </w:pPr>
            <w:r>
              <w:rPr>
                <w:rFonts w:hint="eastAsia" w:ascii="仿宋" w:hAnsi="仿宋" w:cs="仿宋"/>
                <w:b/>
                <w:bCs/>
                <w:sz w:val="22"/>
                <w:szCs w:val="22"/>
              </w:rPr>
              <w:t>序号</w:t>
            </w:r>
          </w:p>
        </w:tc>
        <w:tc>
          <w:tcPr>
            <w:tcW w:w="6898" w:type="dxa"/>
            <w:vAlign w:val="center"/>
          </w:tcPr>
          <w:p w14:paraId="4B907F9B">
            <w:pPr>
              <w:spacing w:line="240" w:lineRule="auto"/>
              <w:ind w:firstLine="0" w:firstLineChars="0"/>
              <w:jc w:val="center"/>
              <w:rPr>
                <w:rFonts w:ascii="仿宋" w:hAnsi="仿宋" w:cs="仿宋"/>
                <w:b/>
                <w:bCs/>
                <w:sz w:val="22"/>
                <w:szCs w:val="22"/>
              </w:rPr>
            </w:pPr>
            <w:r>
              <w:rPr>
                <w:rFonts w:hint="eastAsia" w:ascii="仿宋" w:hAnsi="仿宋" w:cs="仿宋"/>
                <w:b/>
                <w:bCs/>
                <w:sz w:val="22"/>
                <w:szCs w:val="22"/>
                <w:lang w:val="en-US" w:eastAsia="zh-CN"/>
              </w:rPr>
              <w:t>模块</w:t>
            </w:r>
            <w:r>
              <w:rPr>
                <w:rFonts w:hint="eastAsia" w:ascii="仿宋" w:hAnsi="仿宋" w:cs="仿宋"/>
                <w:b/>
                <w:bCs/>
                <w:sz w:val="22"/>
                <w:szCs w:val="22"/>
              </w:rPr>
              <w:t>名称</w:t>
            </w:r>
          </w:p>
        </w:tc>
      </w:tr>
      <w:tr w14:paraId="2B50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623F5528">
            <w:pPr>
              <w:spacing w:line="240" w:lineRule="auto"/>
              <w:ind w:firstLine="0" w:firstLineChars="0"/>
              <w:jc w:val="center"/>
              <w:rPr>
                <w:rFonts w:ascii="仿宋" w:hAnsi="仿宋" w:cs="仿宋"/>
                <w:sz w:val="22"/>
                <w:szCs w:val="22"/>
              </w:rPr>
            </w:pPr>
            <w:r>
              <w:rPr>
                <w:rFonts w:hint="eastAsia" w:ascii="仿宋" w:hAnsi="仿宋" w:cs="仿宋"/>
                <w:sz w:val="22"/>
                <w:szCs w:val="22"/>
              </w:rPr>
              <w:t>1</w:t>
            </w:r>
          </w:p>
        </w:tc>
        <w:tc>
          <w:tcPr>
            <w:tcW w:w="6898" w:type="dxa"/>
            <w:vAlign w:val="center"/>
          </w:tcPr>
          <w:p w14:paraId="7A2B1E1B">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用户身份认证机制模块</w:t>
            </w:r>
          </w:p>
        </w:tc>
      </w:tr>
      <w:tr w14:paraId="01BF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31280B15">
            <w:pPr>
              <w:spacing w:line="240" w:lineRule="auto"/>
              <w:ind w:firstLine="0" w:firstLineChars="0"/>
              <w:jc w:val="center"/>
              <w:rPr>
                <w:rFonts w:ascii="仿宋" w:hAnsi="仿宋" w:cs="仿宋"/>
                <w:sz w:val="22"/>
                <w:szCs w:val="22"/>
              </w:rPr>
            </w:pPr>
            <w:r>
              <w:rPr>
                <w:rFonts w:hint="eastAsia" w:ascii="仿宋" w:hAnsi="仿宋" w:cs="仿宋"/>
                <w:sz w:val="22"/>
                <w:szCs w:val="22"/>
              </w:rPr>
              <w:t>2</w:t>
            </w:r>
          </w:p>
        </w:tc>
        <w:tc>
          <w:tcPr>
            <w:tcW w:w="6898" w:type="dxa"/>
            <w:vAlign w:val="center"/>
          </w:tcPr>
          <w:p w14:paraId="3DA51854">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业务重要数据安全传输模块</w:t>
            </w:r>
          </w:p>
        </w:tc>
      </w:tr>
      <w:tr w14:paraId="5ED3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2E2001BB">
            <w:pPr>
              <w:spacing w:line="240" w:lineRule="auto"/>
              <w:ind w:firstLine="0" w:firstLineChars="0"/>
              <w:jc w:val="center"/>
              <w:rPr>
                <w:rFonts w:ascii="仿宋" w:hAnsi="仿宋" w:cs="仿宋"/>
                <w:sz w:val="22"/>
                <w:szCs w:val="22"/>
              </w:rPr>
            </w:pPr>
            <w:r>
              <w:rPr>
                <w:rFonts w:hint="eastAsia" w:ascii="仿宋" w:hAnsi="仿宋" w:cs="仿宋"/>
                <w:sz w:val="22"/>
                <w:szCs w:val="22"/>
              </w:rPr>
              <w:t>3</w:t>
            </w:r>
          </w:p>
        </w:tc>
        <w:tc>
          <w:tcPr>
            <w:tcW w:w="6898" w:type="dxa"/>
            <w:vAlign w:val="center"/>
          </w:tcPr>
          <w:p w14:paraId="552145AF">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服务器虚拟机设备日志／访问控制信息完整性模块</w:t>
            </w:r>
          </w:p>
        </w:tc>
      </w:tr>
      <w:tr w14:paraId="3510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0B108D53">
            <w:pPr>
              <w:spacing w:line="240" w:lineRule="auto"/>
              <w:ind w:firstLine="0" w:firstLineChars="0"/>
              <w:jc w:val="center"/>
              <w:rPr>
                <w:rFonts w:ascii="仿宋" w:hAnsi="仿宋" w:cs="仿宋"/>
                <w:sz w:val="22"/>
                <w:szCs w:val="22"/>
              </w:rPr>
            </w:pPr>
            <w:r>
              <w:rPr>
                <w:rFonts w:hint="eastAsia" w:ascii="仿宋" w:hAnsi="仿宋" w:cs="仿宋"/>
                <w:sz w:val="22"/>
                <w:szCs w:val="22"/>
              </w:rPr>
              <w:t>4</w:t>
            </w:r>
          </w:p>
        </w:tc>
        <w:tc>
          <w:tcPr>
            <w:tcW w:w="6898" w:type="dxa"/>
            <w:vAlign w:val="center"/>
          </w:tcPr>
          <w:p w14:paraId="288EA248">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重要可执行程序完整性保护模块</w:t>
            </w:r>
          </w:p>
        </w:tc>
      </w:tr>
      <w:tr w14:paraId="21F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5EC8925D">
            <w:pPr>
              <w:spacing w:line="240" w:lineRule="auto"/>
              <w:ind w:firstLine="0" w:firstLineChars="0"/>
              <w:jc w:val="center"/>
              <w:rPr>
                <w:rFonts w:ascii="仿宋" w:hAnsi="仿宋" w:cs="仿宋"/>
                <w:sz w:val="22"/>
                <w:szCs w:val="22"/>
              </w:rPr>
            </w:pPr>
            <w:r>
              <w:rPr>
                <w:rFonts w:hint="eastAsia" w:ascii="仿宋" w:hAnsi="仿宋" w:cs="仿宋"/>
                <w:sz w:val="22"/>
                <w:szCs w:val="22"/>
              </w:rPr>
              <w:t>5</w:t>
            </w:r>
          </w:p>
        </w:tc>
        <w:tc>
          <w:tcPr>
            <w:tcW w:w="6898" w:type="dxa"/>
            <w:vAlign w:val="center"/>
          </w:tcPr>
          <w:p w14:paraId="3CBF9AF3">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用户访问控制信息完整性保护模块</w:t>
            </w:r>
          </w:p>
        </w:tc>
      </w:tr>
      <w:tr w14:paraId="1202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1" w:type="dxa"/>
            <w:vAlign w:val="center"/>
          </w:tcPr>
          <w:p w14:paraId="53801AE1">
            <w:pPr>
              <w:spacing w:line="240" w:lineRule="auto"/>
              <w:ind w:firstLine="0" w:firstLineChars="0"/>
              <w:jc w:val="center"/>
              <w:rPr>
                <w:rFonts w:ascii="仿宋" w:hAnsi="仿宋" w:cs="仿宋"/>
                <w:sz w:val="22"/>
                <w:szCs w:val="22"/>
              </w:rPr>
            </w:pPr>
            <w:r>
              <w:rPr>
                <w:rFonts w:hint="eastAsia" w:ascii="仿宋" w:hAnsi="仿宋" w:cs="仿宋"/>
                <w:sz w:val="22"/>
                <w:szCs w:val="22"/>
              </w:rPr>
              <w:t>6</w:t>
            </w:r>
          </w:p>
        </w:tc>
        <w:tc>
          <w:tcPr>
            <w:tcW w:w="6898" w:type="dxa"/>
            <w:vAlign w:val="center"/>
          </w:tcPr>
          <w:p w14:paraId="04F1A90D">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应用系统重要数据数据加解密模块</w:t>
            </w:r>
          </w:p>
        </w:tc>
      </w:tr>
      <w:tr w14:paraId="1201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1" w:type="dxa"/>
            <w:vAlign w:val="center"/>
          </w:tcPr>
          <w:p w14:paraId="6D0E8AF1">
            <w:pPr>
              <w:spacing w:line="240" w:lineRule="auto"/>
              <w:ind w:firstLine="0" w:firstLineChars="0"/>
              <w:jc w:val="center"/>
              <w:rPr>
                <w:rFonts w:ascii="仿宋" w:hAnsi="仿宋" w:cs="仿宋"/>
                <w:sz w:val="22"/>
                <w:szCs w:val="22"/>
              </w:rPr>
            </w:pPr>
            <w:r>
              <w:rPr>
                <w:rFonts w:hint="eastAsia" w:ascii="仿宋" w:hAnsi="仿宋" w:cs="仿宋"/>
                <w:sz w:val="22"/>
                <w:szCs w:val="22"/>
              </w:rPr>
              <w:t>7</w:t>
            </w:r>
          </w:p>
        </w:tc>
        <w:tc>
          <w:tcPr>
            <w:tcW w:w="6898" w:type="dxa"/>
            <w:vAlign w:val="center"/>
          </w:tcPr>
          <w:p w14:paraId="4A2E25B2">
            <w:pPr>
              <w:spacing w:line="240" w:lineRule="auto"/>
              <w:ind w:firstLine="0" w:firstLineChars="0"/>
              <w:rPr>
                <w:rFonts w:ascii="仿宋" w:hAnsi="仿宋" w:cs="仿宋"/>
                <w:sz w:val="22"/>
                <w:szCs w:val="22"/>
                <w:lang w:eastAsia="zh-CN"/>
              </w:rPr>
            </w:pPr>
            <w:r>
              <w:rPr>
                <w:rFonts w:hint="eastAsia" w:ascii="仿宋" w:hAnsi="仿宋" w:cs="仿宋"/>
                <w:sz w:val="22"/>
                <w:szCs w:val="22"/>
                <w:lang w:eastAsia="zh-CN"/>
              </w:rPr>
              <w:t>应用系统重要数据完整性保护模块</w:t>
            </w:r>
          </w:p>
        </w:tc>
      </w:tr>
    </w:tbl>
    <w:p w14:paraId="6ECEA21E">
      <w:pPr>
        <w:bidi w:val="0"/>
        <w:ind w:left="0" w:leftChars="0" w:firstLine="0" w:firstLineChars="0"/>
        <w:rPr>
          <w:rFonts w:hint="eastAsia" w:asciiTheme="minorEastAsia" w:hAnsiTheme="minorEastAsia" w:eastAsiaTheme="minorEastAsia" w:cstheme="minorEastAsia"/>
          <w:kern w:val="2"/>
          <w:sz w:val="28"/>
          <w:szCs w:val="28"/>
          <w:lang w:val="en-US" w:eastAsia="zh-CN" w:bidi="ar-SA"/>
        </w:rPr>
      </w:pPr>
    </w:p>
    <w:p w14:paraId="4991E798">
      <w:pPr>
        <w:pStyle w:val="3"/>
        <w:bidi w:val="0"/>
        <w:rPr>
          <w:lang w:val="en-US" w:eastAsia="zh-CN"/>
        </w:rPr>
      </w:pPr>
      <w:r>
        <w:rPr>
          <w:rFonts w:hint="eastAsia"/>
          <w:lang w:val="en-US" w:eastAsia="zh-CN"/>
        </w:rPr>
        <w:t>系统</w:t>
      </w:r>
      <w:bookmarkEnd w:id="30"/>
      <w:bookmarkEnd w:id="31"/>
      <w:bookmarkEnd w:id="32"/>
      <w:bookmarkEnd w:id="33"/>
      <w:bookmarkEnd w:id="34"/>
      <w:bookmarkEnd w:id="35"/>
      <w:bookmarkEnd w:id="36"/>
      <w:r>
        <w:rPr>
          <w:rFonts w:hint="eastAsia"/>
          <w:lang w:val="en-US" w:eastAsia="zh-CN"/>
        </w:rPr>
        <w:t>安全需求</w:t>
      </w:r>
    </w:p>
    <w:p w14:paraId="07641AC9">
      <w:pPr>
        <w:widowControl w:val="0"/>
        <w:spacing w:line="360" w:lineRule="auto"/>
        <w:ind w:firstLine="560" w:firstLineChars="200"/>
        <w:jc w:val="both"/>
      </w:pPr>
      <w:r>
        <w:rPr>
          <w:rFonts w:hint="eastAsia" w:ascii="仿宋" w:hAnsi="仿宋" w:eastAsia="宋体" w:cs="Times New Roman"/>
          <w:kern w:val="2"/>
          <w:sz w:val="28"/>
          <w:szCs w:val="28"/>
          <w:lang w:val="en-US" w:eastAsia="zh-CN" w:bidi="ar-SA"/>
        </w:rPr>
        <w:t>临港新片区数据便捷流通公共服务管理系统（二期）的安全体系根据信息系统安全等级保护三级和</w:t>
      </w:r>
      <w:r>
        <w:rPr>
          <w:rFonts w:hint="eastAsia" w:ascii="仿宋" w:hAnsi="仿宋" w:cs="Times New Roman"/>
          <w:kern w:val="2"/>
          <w:sz w:val="28"/>
          <w:szCs w:val="28"/>
          <w:lang w:val="en-US" w:eastAsia="zh-CN" w:bidi="ar-SA"/>
        </w:rPr>
        <w:t xml:space="preserve">信创 </w:t>
      </w:r>
      <w:r>
        <w:rPr>
          <w:rFonts w:hint="eastAsia" w:ascii="仿宋" w:hAnsi="仿宋" w:eastAsia="宋体" w:cs="Times New Roman"/>
          <w:kern w:val="2"/>
          <w:sz w:val="28"/>
          <w:szCs w:val="28"/>
          <w:lang w:val="en-US" w:eastAsia="zh-CN" w:bidi="ar-SA"/>
        </w:rPr>
        <w:t>相关要求进行安全体系设计与建设，参考《网络安全等级保护基本要求》（GB/T22239-2019）、《信息安全技术网络安全等级保护测试评估技术指南》（GB/T 36627-2018）中的相关要求。同时，系统应满足以下安全性要求：</w:t>
      </w:r>
    </w:p>
    <w:p w14:paraId="1AAAE6F7">
      <w:pPr>
        <w:pStyle w:val="20"/>
        <w:rPr>
          <w:rFonts w:hint="eastAsia" w:ascii="宋体" w:hAnsi="宋体" w:eastAsia="宋体" w:cs="宋体"/>
        </w:rPr>
      </w:pPr>
      <w:bookmarkStart w:id="37" w:name="_Toc3264"/>
      <w:bookmarkStart w:id="38" w:name="_Toc118282498"/>
      <w:r>
        <w:rPr>
          <w:rFonts w:hint="eastAsia" w:ascii="宋体" w:hAnsi="宋体" w:cs="宋体"/>
          <w:b/>
          <w:bCs/>
          <w:lang w:eastAsia="zh-CN"/>
        </w:rPr>
        <w:t>（</w:t>
      </w: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eastAsia="宋体" w:cs="宋体"/>
          <w:b/>
          <w:bCs/>
        </w:rPr>
        <w:t>身份鉴别</w:t>
      </w:r>
      <w:bookmarkEnd w:id="37"/>
      <w:bookmarkEnd w:id="38"/>
      <w:r>
        <w:rPr>
          <w:rFonts w:hint="eastAsia" w:ascii="宋体" w:hAnsi="宋体" w:cs="宋体"/>
          <w:b/>
          <w:bCs/>
          <w:lang w:eastAsia="zh-CN"/>
        </w:rPr>
        <w:t>：</w:t>
      </w:r>
      <w:r>
        <w:rPr>
          <w:rFonts w:hint="eastAsia" w:ascii="宋体" w:hAnsi="宋体" w:eastAsia="宋体" w:cs="宋体"/>
        </w:rPr>
        <w:t>本项目中为提高应用系统系统安全性需要进行一系列的加固措施，包括：对登录用户进行身份标识和鉴别，且保证用户名的唯一性</w:t>
      </w:r>
      <w:r>
        <w:rPr>
          <w:rFonts w:hint="eastAsia" w:ascii="宋体" w:hAnsi="宋体" w:eastAsia="宋体" w:cs="宋体"/>
          <w:lang w:eastAsia="zh-CN"/>
        </w:rPr>
        <w:t>；</w:t>
      </w:r>
      <w:r>
        <w:rPr>
          <w:rFonts w:hint="eastAsia" w:ascii="宋体" w:hAnsi="宋体" w:eastAsia="宋体" w:cs="宋体"/>
          <w:lang w:val="en-US" w:eastAsia="zh-CN"/>
        </w:rPr>
        <w:t>实施</w:t>
      </w:r>
      <w:r>
        <w:rPr>
          <w:rFonts w:hint="eastAsia" w:ascii="宋体" w:hAnsi="宋体" w:eastAsia="宋体" w:cs="宋体"/>
          <w:lang w:val="en-US"/>
        </w:rPr>
        <w:t>法人一证通用户登录</w:t>
      </w:r>
      <w:r>
        <w:rPr>
          <w:rFonts w:hint="eastAsia" w:ascii="宋体" w:hAnsi="宋体" w:eastAsia="宋体" w:cs="宋体"/>
          <w:lang w:val="en-US" w:eastAsia="zh-CN"/>
        </w:rPr>
        <w:t>、</w:t>
      </w:r>
      <w:r>
        <w:rPr>
          <w:rFonts w:hint="eastAsia" w:ascii="宋体" w:hAnsi="宋体" w:eastAsia="宋体" w:cs="宋体"/>
          <w:lang w:val="en-US"/>
        </w:rPr>
        <w:t>独立用户系统登录</w:t>
      </w:r>
      <w:r>
        <w:rPr>
          <w:rFonts w:hint="eastAsia" w:ascii="宋体" w:hAnsi="宋体" w:eastAsia="宋体" w:cs="宋体"/>
          <w:lang w:val="en-US" w:eastAsia="zh-CN"/>
        </w:rPr>
        <w:t>功能，加强系统登录安全；支持异地登录监控能力。</w:t>
      </w:r>
    </w:p>
    <w:p w14:paraId="107FE125">
      <w:pPr>
        <w:pStyle w:val="20"/>
        <w:rPr>
          <w:rFonts w:hint="eastAsia" w:ascii="宋体" w:hAnsi="宋体" w:eastAsia="宋体" w:cs="宋体"/>
        </w:rPr>
      </w:pPr>
      <w:bookmarkStart w:id="39" w:name="_Toc118282499"/>
      <w:bookmarkStart w:id="40" w:name="_Toc32461"/>
      <w:bookmarkStart w:id="41" w:name="_Toc118282500"/>
      <w:r>
        <w:rPr>
          <w:rFonts w:hint="eastAsia" w:ascii="宋体" w:hAnsi="宋体" w:cs="宋体"/>
          <w:b/>
          <w:bCs/>
          <w:lang w:eastAsia="zh-CN"/>
        </w:rPr>
        <w:t>（</w:t>
      </w: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eastAsia="宋体" w:cs="宋体"/>
          <w:b/>
          <w:bCs/>
        </w:rPr>
        <w:t>数据完整性</w:t>
      </w:r>
      <w:r>
        <w:rPr>
          <w:rFonts w:hint="eastAsia" w:ascii="宋体" w:hAnsi="宋体" w:eastAsia="宋体" w:cs="宋体"/>
          <w:b/>
          <w:bCs/>
          <w:lang w:val="en-US" w:eastAsia="zh-CN"/>
        </w:rPr>
        <w:t>和保密性</w:t>
      </w:r>
      <w:r>
        <w:rPr>
          <w:rFonts w:hint="eastAsia" w:ascii="宋体" w:hAnsi="宋体" w:cs="宋体"/>
          <w:b/>
          <w:bCs/>
          <w:lang w:val="en-US" w:eastAsia="zh-CN"/>
        </w:rPr>
        <w:t>：</w:t>
      </w:r>
      <w:r>
        <w:rPr>
          <w:rFonts w:hint="eastAsia" w:ascii="宋体" w:hAnsi="宋体" w:eastAsia="宋体" w:cs="宋体"/>
          <w:lang w:val="en-US" w:eastAsia="zh-CN"/>
        </w:rPr>
        <w:t>系统</w:t>
      </w:r>
      <w:r>
        <w:rPr>
          <w:rFonts w:hint="eastAsia" w:ascii="宋体" w:hAnsi="宋体" w:cs="宋体"/>
          <w:lang w:val="en-US" w:eastAsia="zh-CN"/>
        </w:rPr>
        <w:t>需</w:t>
      </w:r>
      <w:r>
        <w:rPr>
          <w:rFonts w:hint="eastAsia" w:ascii="宋体" w:hAnsi="宋体" w:eastAsia="宋体" w:cs="宋体"/>
        </w:rPr>
        <w:t>基于国产安全标准和规范建立数据安全管理机制，包括安全策略、访问控制、安全审计等，确保平台的数据安全符合</w:t>
      </w:r>
      <w:r>
        <w:rPr>
          <w:rFonts w:hint="eastAsia" w:ascii="宋体" w:hAnsi="宋体" w:cs="宋体"/>
          <w:lang w:eastAsia="zh-CN"/>
        </w:rPr>
        <w:t xml:space="preserve">信创 </w:t>
      </w:r>
      <w:r>
        <w:rPr>
          <w:rFonts w:hint="eastAsia" w:ascii="宋体" w:hAnsi="宋体" w:eastAsia="宋体" w:cs="宋体"/>
        </w:rPr>
        <w:t>要求。系统应采取措施对系统存储的关键数据例如运行日志，数据库文件等内容进行完整性保护。数据只能由授权人员修改，并且任何未授权的修改都将被阻止。通过使用数字签名等技术性加密服务确保数据在传输过程中没有被篡改，保证数据的一致性。系统应该对系统内保存的数据进行分类分级，针对敏感数据或重要数据使用国密技术进行加密。采用先进的可靠的加密算法，实现对数据的安全保护，有效保护数据的安全性。仅采集和保存业务必需的用户信息；禁止未授权访问和非法使用用户信息。</w:t>
      </w:r>
    </w:p>
    <w:p w14:paraId="7203B310">
      <w:pPr>
        <w:pStyle w:val="20"/>
        <w:rPr>
          <w:rFonts w:hint="eastAsia" w:ascii="宋体" w:hAnsi="宋体" w:eastAsia="宋体" w:cs="宋体"/>
        </w:rPr>
      </w:pPr>
      <w:r>
        <w:rPr>
          <w:rFonts w:hint="eastAsia" w:ascii="宋体" w:hAnsi="宋体" w:cs="宋体"/>
          <w:b/>
          <w:bCs/>
          <w:lang w:eastAsia="zh-CN"/>
        </w:rPr>
        <w:t>（</w:t>
      </w:r>
      <w:r>
        <w:rPr>
          <w:rFonts w:hint="eastAsia" w:ascii="宋体" w:hAnsi="宋体" w:cs="宋体"/>
          <w:b/>
          <w:bCs/>
          <w:lang w:val="en-US" w:eastAsia="zh-CN"/>
        </w:rPr>
        <w:t>3</w:t>
      </w:r>
      <w:r>
        <w:rPr>
          <w:rFonts w:hint="eastAsia" w:ascii="宋体" w:hAnsi="宋体" w:cs="宋体"/>
          <w:b/>
          <w:bCs/>
          <w:lang w:eastAsia="zh-CN"/>
        </w:rPr>
        <w:t>）</w:t>
      </w:r>
      <w:r>
        <w:rPr>
          <w:rFonts w:hint="eastAsia" w:ascii="宋体" w:hAnsi="宋体" w:eastAsia="宋体" w:cs="宋体"/>
          <w:b/>
          <w:bCs/>
        </w:rPr>
        <w:t>访问控制</w:t>
      </w:r>
      <w:bookmarkEnd w:id="39"/>
      <w:bookmarkEnd w:id="40"/>
      <w:r>
        <w:rPr>
          <w:rFonts w:hint="eastAsia" w:ascii="宋体" w:hAnsi="宋体" w:cs="宋体"/>
          <w:b/>
          <w:bCs/>
          <w:lang w:eastAsia="zh-CN"/>
        </w:rPr>
        <w:t>：</w:t>
      </w:r>
      <w:r>
        <w:rPr>
          <w:rFonts w:hint="eastAsia" w:ascii="宋体" w:hAnsi="宋体" w:eastAsia="宋体" w:cs="宋体"/>
        </w:rPr>
        <w:t>为了避免越权非法使用应用系统的文件、数据库等资源，系统应根据不同用户类型的访问功能需要设计并实现访问控制策略。需要对用户进行身份验证，使用用户名和密码等加密服务，确保只有授权用户才能访问授权的数据，防止未经授权的用户访问和操作数据。为用户分配相应的权限，通过角色控制用户的权限，各用户仅拥有所需的最小权限。</w:t>
      </w:r>
    </w:p>
    <w:p w14:paraId="3B258525">
      <w:pPr>
        <w:pStyle w:val="20"/>
        <w:rPr>
          <w:rFonts w:hint="eastAsia" w:ascii="宋体" w:hAnsi="宋体" w:eastAsia="宋体" w:cs="宋体"/>
          <w:lang w:eastAsia="zh-CN"/>
        </w:rPr>
      </w:pPr>
      <w:bookmarkStart w:id="42" w:name="_Toc10680"/>
      <w:r>
        <w:rPr>
          <w:rFonts w:hint="eastAsia" w:ascii="宋体" w:hAnsi="宋体" w:cs="宋体"/>
          <w:b/>
          <w:bCs/>
          <w:lang w:eastAsia="zh-CN"/>
        </w:rPr>
        <w:t>（</w:t>
      </w:r>
      <w:r>
        <w:rPr>
          <w:rFonts w:hint="eastAsia" w:ascii="宋体" w:hAnsi="宋体" w:cs="宋体"/>
          <w:b/>
          <w:bCs/>
          <w:lang w:val="en-US" w:eastAsia="zh-CN"/>
        </w:rPr>
        <w:t>4</w:t>
      </w:r>
      <w:r>
        <w:rPr>
          <w:rFonts w:hint="eastAsia" w:ascii="宋体" w:hAnsi="宋体" w:cs="宋体"/>
          <w:b/>
          <w:bCs/>
          <w:lang w:eastAsia="zh-CN"/>
        </w:rPr>
        <w:t>）</w:t>
      </w:r>
      <w:r>
        <w:rPr>
          <w:rFonts w:hint="eastAsia" w:ascii="宋体" w:hAnsi="宋体" w:eastAsia="宋体" w:cs="宋体"/>
          <w:b/>
          <w:bCs/>
        </w:rPr>
        <w:t>安全审计</w:t>
      </w:r>
      <w:bookmarkEnd w:id="41"/>
      <w:bookmarkEnd w:id="42"/>
      <w:r>
        <w:rPr>
          <w:rFonts w:hint="eastAsia" w:ascii="宋体" w:hAnsi="宋体" w:cs="宋体"/>
          <w:b/>
          <w:bCs/>
          <w:lang w:eastAsia="zh-CN"/>
        </w:rPr>
        <w:t>：</w:t>
      </w:r>
      <w:r>
        <w:rPr>
          <w:rFonts w:hint="eastAsia" w:ascii="宋体" w:hAnsi="宋体" w:eastAsia="宋体" w:cs="宋体"/>
        </w:rPr>
        <w:t>系统在运行的过程中应针对用户的登录，登出及相关业务处理进行安全审计记录。系统安全审计主机审计和应用审计两个层面</w:t>
      </w:r>
      <w:r>
        <w:rPr>
          <w:rFonts w:hint="eastAsia" w:ascii="宋体" w:hAnsi="宋体" w:cs="宋体"/>
          <w:lang w:val="en-US" w:eastAsia="zh-CN"/>
        </w:rPr>
        <w:t>需加强</w:t>
      </w:r>
      <w:r>
        <w:rPr>
          <w:rFonts w:hint="eastAsia" w:ascii="宋体" w:hAnsi="宋体" w:cs="宋体"/>
          <w:lang w:eastAsia="zh-CN"/>
        </w:rPr>
        <w:t>。</w:t>
      </w:r>
    </w:p>
    <w:p w14:paraId="25C188FD">
      <w:pPr>
        <w:pStyle w:val="20"/>
        <w:rPr>
          <w:rFonts w:hint="eastAsia" w:ascii="宋体" w:hAnsi="宋体" w:eastAsia="宋体" w:cs="宋体"/>
        </w:rPr>
      </w:pPr>
      <w:bookmarkStart w:id="43" w:name="_Toc14063"/>
      <w:bookmarkStart w:id="44" w:name="_Toc118282501"/>
      <w:r>
        <w:rPr>
          <w:rFonts w:hint="eastAsia" w:ascii="宋体" w:hAnsi="宋体" w:cs="宋体"/>
          <w:b/>
          <w:bCs/>
          <w:lang w:eastAsia="zh-CN"/>
        </w:rPr>
        <w:t>（</w:t>
      </w:r>
      <w:r>
        <w:rPr>
          <w:rFonts w:hint="eastAsia" w:ascii="宋体" w:hAnsi="宋体" w:cs="宋体"/>
          <w:b/>
          <w:bCs/>
          <w:lang w:val="en-US" w:eastAsia="zh-CN"/>
        </w:rPr>
        <w:t>5</w:t>
      </w:r>
      <w:r>
        <w:rPr>
          <w:rFonts w:hint="eastAsia" w:ascii="宋体" w:hAnsi="宋体" w:cs="宋体"/>
          <w:b/>
          <w:bCs/>
          <w:lang w:eastAsia="zh-CN"/>
        </w:rPr>
        <w:t>）</w:t>
      </w:r>
      <w:r>
        <w:rPr>
          <w:rFonts w:hint="eastAsia" w:ascii="宋体" w:hAnsi="宋体" w:eastAsia="宋体" w:cs="宋体"/>
          <w:b/>
          <w:bCs/>
        </w:rPr>
        <w:t>软件容错</w:t>
      </w:r>
      <w:bookmarkEnd w:id="43"/>
      <w:bookmarkEnd w:id="44"/>
      <w:r>
        <w:rPr>
          <w:rFonts w:hint="eastAsia" w:ascii="宋体" w:hAnsi="宋体" w:cs="宋体"/>
          <w:b/>
          <w:bCs/>
          <w:lang w:eastAsia="zh-CN"/>
        </w:rPr>
        <w:t>：</w:t>
      </w:r>
      <w:r>
        <w:rPr>
          <w:rFonts w:hint="eastAsia" w:ascii="宋体" w:hAnsi="宋体" w:eastAsia="宋体" w:cs="宋体"/>
        </w:rPr>
        <w:t>为提高软件可靠性，需提供足够的冗余信息和算法程序，使系统在实际运行时能够及时发现程序设计错误，采取补救措施，保证整个计算机系统的正常运行。</w:t>
      </w:r>
    </w:p>
    <w:p w14:paraId="5777AE61">
      <w:pPr>
        <w:pStyle w:val="20"/>
        <w:rPr>
          <w:rFonts w:hint="eastAsia" w:ascii="宋体" w:hAnsi="宋体" w:eastAsia="宋体" w:cs="宋体"/>
        </w:rPr>
      </w:pPr>
      <w:bookmarkStart w:id="45" w:name="_Toc29137"/>
      <w:bookmarkStart w:id="46" w:name="_Toc118282502"/>
      <w:r>
        <w:rPr>
          <w:rFonts w:hint="eastAsia" w:ascii="宋体" w:hAnsi="宋体" w:cs="宋体"/>
          <w:b/>
          <w:bCs/>
          <w:lang w:eastAsia="zh-CN"/>
        </w:rPr>
        <w:t>（</w:t>
      </w:r>
      <w:r>
        <w:rPr>
          <w:rFonts w:hint="eastAsia" w:ascii="宋体" w:hAnsi="宋体" w:cs="宋体"/>
          <w:b/>
          <w:bCs/>
          <w:lang w:val="en-US" w:eastAsia="zh-CN"/>
        </w:rPr>
        <w:t>6</w:t>
      </w:r>
      <w:r>
        <w:rPr>
          <w:rFonts w:hint="eastAsia" w:ascii="宋体" w:hAnsi="宋体" w:cs="宋体"/>
          <w:b/>
          <w:bCs/>
          <w:lang w:eastAsia="zh-CN"/>
        </w:rPr>
        <w:t>）</w:t>
      </w:r>
      <w:r>
        <w:rPr>
          <w:rFonts w:hint="eastAsia" w:ascii="宋体" w:hAnsi="宋体" w:eastAsia="宋体" w:cs="宋体"/>
          <w:b/>
          <w:bCs/>
        </w:rPr>
        <w:t>可信验证</w:t>
      </w:r>
      <w:bookmarkEnd w:id="45"/>
      <w:bookmarkEnd w:id="46"/>
      <w:r>
        <w:rPr>
          <w:rFonts w:hint="eastAsia" w:ascii="宋体" w:hAnsi="宋体" w:cs="宋体"/>
          <w:b/>
          <w:bCs/>
          <w:lang w:eastAsia="zh-CN"/>
        </w:rPr>
        <w:t>：</w:t>
      </w:r>
      <w:r>
        <w:rPr>
          <w:rFonts w:hint="eastAsia" w:ascii="宋体" w:hAnsi="宋体" w:cs="宋体"/>
          <w:lang w:val="en-US" w:eastAsia="zh-CN"/>
        </w:rPr>
        <w:t>需</w:t>
      </w:r>
      <w:r>
        <w:rPr>
          <w:rFonts w:hint="eastAsia" w:ascii="宋体" w:hAnsi="宋体" w:eastAsia="宋体" w:cs="宋体"/>
        </w:rPr>
        <w:t>基于可信根对通信设备的系统引导程序、系统程序、重要配置参数和通信应用程序等进行可信验证。在应用程序的关键执行环节进行动态可信验证。</w:t>
      </w:r>
    </w:p>
    <w:p w14:paraId="4D517546">
      <w:pPr>
        <w:pStyle w:val="20"/>
        <w:rPr>
          <w:rFonts w:hint="eastAsia" w:ascii="宋体" w:hAnsi="宋体" w:eastAsia="宋体" w:cs="宋体"/>
        </w:rPr>
      </w:pPr>
      <w:bookmarkStart w:id="47" w:name="_Toc118282504"/>
      <w:bookmarkStart w:id="48" w:name="_Toc896"/>
      <w:r>
        <w:rPr>
          <w:rFonts w:hint="eastAsia" w:ascii="宋体" w:hAnsi="宋体" w:cs="宋体"/>
          <w:b/>
          <w:bCs/>
          <w:lang w:val="en-US" w:eastAsia="zh-CN"/>
        </w:rPr>
        <w:t>（7）</w:t>
      </w:r>
      <w:r>
        <w:rPr>
          <w:rFonts w:hint="eastAsia" w:ascii="宋体" w:hAnsi="宋体" w:eastAsia="宋体" w:cs="宋体"/>
          <w:b/>
          <w:bCs/>
          <w:lang w:val="en-US" w:eastAsia="zh-CN"/>
        </w:rPr>
        <w:t>网络安全</w:t>
      </w:r>
      <w:r>
        <w:rPr>
          <w:rFonts w:hint="eastAsia" w:ascii="宋体" w:hAnsi="宋体" w:cs="宋体"/>
          <w:b/>
          <w:bCs/>
          <w:lang w:val="en-US" w:eastAsia="zh-CN"/>
        </w:rPr>
        <w:t>：</w:t>
      </w:r>
      <w:r>
        <w:rPr>
          <w:rFonts w:hint="eastAsia" w:ascii="宋体" w:hAnsi="宋体" w:eastAsia="宋体" w:cs="宋体"/>
          <w:lang w:val="en-US" w:eastAsia="zh-CN"/>
        </w:rPr>
        <w:t>利用政务云</w:t>
      </w:r>
      <w:r>
        <w:rPr>
          <w:rFonts w:hint="eastAsia" w:ascii="宋体" w:hAnsi="宋体" w:eastAsia="宋体" w:cs="宋体"/>
        </w:rPr>
        <w:t xml:space="preserve">网络监控与入侵检测 </w:t>
      </w:r>
      <w:r>
        <w:rPr>
          <w:rFonts w:hint="eastAsia" w:ascii="宋体" w:hAnsi="宋体" w:eastAsia="宋体" w:cs="宋体"/>
          <w:lang w:eastAsia="zh-CN"/>
        </w:rPr>
        <w:t>，</w:t>
      </w:r>
      <w:r>
        <w:rPr>
          <w:rFonts w:hint="eastAsia" w:ascii="宋体" w:hAnsi="宋体" w:eastAsia="宋体" w:cs="宋体"/>
          <w:lang w:val="en-US" w:eastAsia="zh-CN"/>
        </w:rPr>
        <w:t>即</w:t>
      </w:r>
      <w:r>
        <w:rPr>
          <w:rFonts w:hint="eastAsia" w:ascii="宋体" w:hAnsi="宋体" w:eastAsia="宋体" w:cs="宋体"/>
        </w:rPr>
        <w:t>入侵检测系统（IDS）和入侵防御系统（IPS），及时发现异常活动</w:t>
      </w:r>
      <w:r>
        <w:rPr>
          <w:rFonts w:hint="eastAsia" w:ascii="宋体" w:hAnsi="宋体" w:eastAsia="宋体" w:cs="宋体"/>
          <w:lang w:eastAsia="zh-CN"/>
        </w:rPr>
        <w:t>，</w:t>
      </w:r>
      <w:r>
        <w:rPr>
          <w:rFonts w:hint="eastAsia" w:ascii="宋体" w:hAnsi="宋体" w:eastAsia="宋体" w:cs="宋体"/>
          <w:lang w:val="en-US" w:eastAsia="zh-CN"/>
        </w:rPr>
        <w:t>如</w:t>
      </w:r>
      <w:r>
        <w:rPr>
          <w:rFonts w:hint="eastAsia" w:ascii="宋体" w:hAnsi="宋体" w:eastAsia="宋体" w:cs="宋体"/>
        </w:rPr>
        <w:t>突然出现大量来自陌生IP 地址的访问请求，可能是潜在的攻击迹象</w:t>
      </w:r>
      <w:r>
        <w:rPr>
          <w:rFonts w:hint="eastAsia" w:ascii="宋体" w:hAnsi="宋体" w:eastAsia="宋体" w:cs="宋体"/>
          <w:lang w:eastAsia="zh-CN"/>
        </w:rPr>
        <w:t>；</w:t>
      </w:r>
      <w:r>
        <w:rPr>
          <w:rFonts w:hint="eastAsia" w:ascii="宋体" w:hAnsi="宋体" w:eastAsia="宋体" w:cs="宋体"/>
        </w:rPr>
        <w:t>主动防范和阻止网络攻击</w:t>
      </w:r>
      <w:r>
        <w:rPr>
          <w:rFonts w:hint="eastAsia" w:ascii="宋体" w:hAnsi="宋体" w:eastAsia="宋体" w:cs="宋体"/>
          <w:lang w:eastAsia="zh-CN"/>
        </w:rPr>
        <w:t>；</w:t>
      </w:r>
      <w:r>
        <w:rPr>
          <w:rFonts w:hint="eastAsia" w:ascii="宋体" w:hAnsi="宋体" w:eastAsia="宋体" w:cs="宋体"/>
        </w:rPr>
        <w:t>定期进行漏洞扫描，及时发现并修复系统中的安全漏洞。本系统申请政务云虚拟服务器、存储等云计算资源，操作系统、数据库、应用中间件等软件资源采用政务</w:t>
      </w:r>
      <w:r>
        <w:rPr>
          <w:rFonts w:hint="eastAsia" w:ascii="宋体" w:hAnsi="宋体" w:cs="宋体"/>
          <w:lang w:eastAsia="zh-CN"/>
        </w:rPr>
        <w:t>信创 国 产 化</w:t>
      </w:r>
      <w:r>
        <w:rPr>
          <w:rFonts w:hint="eastAsia" w:ascii="宋体" w:hAnsi="宋体" w:eastAsia="宋体" w:cs="宋体"/>
        </w:rPr>
        <w:t>环境。</w:t>
      </w:r>
    </w:p>
    <w:p w14:paraId="57766386">
      <w:pPr>
        <w:pStyle w:val="20"/>
        <w:rPr>
          <w:rFonts w:hint="eastAsia" w:ascii="宋体" w:hAnsi="宋体" w:eastAsia="宋体" w:cs="宋体"/>
        </w:rPr>
      </w:pPr>
      <w:r>
        <w:rPr>
          <w:rFonts w:hint="eastAsia" w:ascii="宋体" w:hAnsi="宋体" w:cs="宋体"/>
          <w:b/>
          <w:bCs/>
          <w:lang w:eastAsia="zh-CN"/>
        </w:rPr>
        <w:t>（</w:t>
      </w:r>
      <w:r>
        <w:rPr>
          <w:rFonts w:hint="eastAsia" w:ascii="宋体" w:hAnsi="宋体" w:cs="宋体"/>
          <w:b/>
          <w:bCs/>
          <w:lang w:val="en-US" w:eastAsia="zh-CN"/>
        </w:rPr>
        <w:t>8</w:t>
      </w:r>
      <w:r>
        <w:rPr>
          <w:rFonts w:hint="eastAsia" w:ascii="宋体" w:hAnsi="宋体" w:cs="宋体"/>
          <w:b/>
          <w:bCs/>
          <w:lang w:eastAsia="zh-CN"/>
        </w:rPr>
        <w:t>）</w:t>
      </w:r>
      <w:r>
        <w:rPr>
          <w:rFonts w:hint="eastAsia" w:ascii="宋体" w:hAnsi="宋体" w:eastAsia="宋体" w:cs="宋体"/>
          <w:b/>
          <w:bCs/>
        </w:rPr>
        <w:t>备份与故障恢复</w:t>
      </w:r>
      <w:r>
        <w:rPr>
          <w:rFonts w:hint="eastAsia" w:ascii="宋体" w:hAnsi="宋体" w:cs="宋体"/>
          <w:b/>
          <w:bCs/>
          <w:lang w:eastAsia="zh-CN"/>
        </w:rPr>
        <w:t>：</w:t>
      </w:r>
      <w:r>
        <w:rPr>
          <w:rFonts w:hint="eastAsia" w:ascii="宋体" w:hAnsi="宋体" w:eastAsia="宋体" w:cs="宋体"/>
          <w:lang w:val="en-US" w:eastAsia="zh-CN"/>
        </w:rPr>
        <w:t>数据备份方面，</w:t>
      </w:r>
      <w:r>
        <w:rPr>
          <w:rFonts w:hint="eastAsia" w:ascii="宋体" w:hAnsi="宋体" w:eastAsia="宋体" w:cs="宋体"/>
        </w:rPr>
        <w:t>系统应根据数据恢复目标要求设计合理备份策略</w:t>
      </w:r>
      <w:r>
        <w:rPr>
          <w:rFonts w:hint="eastAsia" w:ascii="宋体" w:hAnsi="宋体" w:eastAsia="宋体" w:cs="宋体"/>
          <w:lang w:eastAsia="zh-CN"/>
        </w:rPr>
        <w:t>，</w:t>
      </w:r>
      <w:r>
        <w:rPr>
          <w:rFonts w:hint="eastAsia" w:ascii="宋体" w:hAnsi="宋体" w:eastAsia="宋体" w:cs="宋体"/>
          <w:lang w:val="en-US" w:eastAsia="zh-CN"/>
        </w:rPr>
        <w:t>建议采取全量备份方式；针对</w:t>
      </w:r>
      <w:r>
        <w:rPr>
          <w:rFonts w:hint="eastAsia" w:ascii="宋体" w:hAnsi="宋体" w:eastAsia="宋体" w:cs="宋体"/>
        </w:rPr>
        <w:t>不同类型的数据，如用户信息数据、业务数据、平台配置数据、日志数据等，分别制定备份策略和计划。对于敏感的跨境数据，可考虑单独加密备份存储</w:t>
      </w:r>
      <w:r>
        <w:rPr>
          <w:rFonts w:hint="eastAsia" w:ascii="宋体" w:hAnsi="宋体" w:eastAsia="宋体" w:cs="宋体"/>
          <w:lang w:eastAsia="zh-CN"/>
        </w:rPr>
        <w:t>；</w:t>
      </w:r>
      <w:r>
        <w:rPr>
          <w:rFonts w:hint="eastAsia" w:ascii="宋体" w:hAnsi="宋体" w:eastAsia="宋体" w:cs="宋体"/>
        </w:rPr>
        <w:t>关键业务数据和实时性要求高的数据可以采用较高频率的备份，如每小时一次或更短间隔的实时备份同步</w:t>
      </w:r>
      <w:r>
        <w:rPr>
          <w:rFonts w:hint="eastAsia" w:ascii="宋体" w:hAnsi="宋体" w:eastAsia="宋体" w:cs="宋体"/>
          <w:lang w:eastAsia="zh-CN"/>
        </w:rPr>
        <w:t>，</w:t>
      </w:r>
      <w:r>
        <w:rPr>
          <w:rFonts w:hint="eastAsia" w:ascii="宋体" w:hAnsi="宋体" w:eastAsia="宋体" w:cs="宋体"/>
        </w:rPr>
        <w:t>一般数据可以按天或周备份</w:t>
      </w:r>
      <w:r>
        <w:rPr>
          <w:rFonts w:hint="eastAsia" w:ascii="宋体" w:hAnsi="宋体" w:eastAsia="宋体" w:cs="宋体"/>
          <w:lang w:eastAsia="zh-CN"/>
        </w:rPr>
        <w:t>；</w:t>
      </w:r>
      <w:r>
        <w:rPr>
          <w:rFonts w:hint="eastAsia" w:ascii="宋体" w:hAnsi="宋体" w:eastAsia="宋体" w:cs="宋体"/>
        </w:rPr>
        <w:t>对于跨境场景，如果涉及不同国家和地区的法律法规限制，需明确数据存储地的合法性</w:t>
      </w:r>
      <w:r>
        <w:rPr>
          <w:rFonts w:hint="eastAsia" w:ascii="宋体" w:hAnsi="宋体" w:eastAsia="宋体" w:cs="宋体"/>
          <w:lang w:eastAsia="zh-CN"/>
        </w:rPr>
        <w:t>；</w:t>
      </w:r>
      <w:r>
        <w:rPr>
          <w:rFonts w:hint="eastAsia" w:ascii="宋体" w:hAnsi="宋体" w:eastAsia="宋体" w:cs="宋体"/>
        </w:rPr>
        <w:t>备份验证</w:t>
      </w:r>
      <w:r>
        <w:rPr>
          <w:rFonts w:hint="eastAsia" w:ascii="宋体" w:hAnsi="宋体" w:eastAsia="宋体" w:cs="宋体"/>
          <w:lang w:eastAsia="zh-CN"/>
        </w:rPr>
        <w:t>，</w:t>
      </w:r>
      <w:r>
        <w:rPr>
          <w:rFonts w:hint="eastAsia" w:ascii="宋体" w:hAnsi="宋体" w:eastAsia="宋体" w:cs="宋体"/>
        </w:rPr>
        <w:t>定期随机抽取备份集进行恢复验证，确保备份数据的完整性和可用性</w:t>
      </w:r>
      <w:r>
        <w:rPr>
          <w:rFonts w:hint="eastAsia" w:ascii="宋体" w:hAnsi="宋体" w:eastAsia="宋体" w:cs="宋体"/>
          <w:lang w:eastAsia="zh-CN"/>
        </w:rPr>
        <w:t>，</w:t>
      </w:r>
      <w:r>
        <w:rPr>
          <w:rFonts w:hint="eastAsia" w:ascii="宋体" w:hAnsi="宋体" w:eastAsia="宋体" w:cs="宋体"/>
        </w:rPr>
        <w:t>验证备份的加密完整性（如有加密）</w:t>
      </w:r>
      <w:r>
        <w:rPr>
          <w:rFonts w:hint="eastAsia" w:ascii="宋体" w:hAnsi="宋体" w:eastAsia="宋体" w:cs="宋体"/>
          <w:lang w:eastAsia="zh-CN"/>
        </w:rPr>
        <w:t>，</w:t>
      </w:r>
      <w:r>
        <w:rPr>
          <w:rFonts w:hint="eastAsia" w:ascii="宋体" w:hAnsi="宋体" w:eastAsia="宋体" w:cs="宋体"/>
        </w:rPr>
        <w:t>当备份失败时能及时发出告警通知运维人员。故障恢复方面</w:t>
      </w:r>
      <w:r>
        <w:rPr>
          <w:rFonts w:hint="eastAsia" w:ascii="宋体" w:hAnsi="宋体" w:eastAsia="宋体" w:cs="宋体"/>
          <w:lang w:eastAsia="zh-CN"/>
        </w:rPr>
        <w:t>，</w:t>
      </w:r>
      <w:r>
        <w:rPr>
          <w:rFonts w:hint="eastAsia" w:ascii="宋体" w:hAnsi="宋体" w:eastAsia="宋体" w:cs="宋体"/>
        </w:rPr>
        <w:t>实时监控平台的各项关键指标（</w:t>
      </w:r>
      <w:r>
        <w:rPr>
          <w:rFonts w:hint="eastAsia" w:ascii="宋体" w:hAnsi="宋体" w:eastAsia="宋体" w:cs="宋体"/>
          <w:lang w:val="en-US" w:eastAsia="zh-CN"/>
        </w:rPr>
        <w:t>如</w:t>
      </w:r>
      <w:r>
        <w:rPr>
          <w:rFonts w:hint="eastAsia" w:ascii="宋体" w:hAnsi="宋体" w:eastAsia="宋体" w:cs="宋体"/>
        </w:rPr>
        <w:t>网络流量、服务器负载、数据处理速度、数据存储状态等）</w:t>
      </w:r>
      <w:r>
        <w:rPr>
          <w:rFonts w:hint="eastAsia" w:ascii="宋体" w:hAnsi="宋体" w:eastAsia="宋体" w:cs="宋体"/>
          <w:lang w:eastAsia="zh-CN"/>
        </w:rPr>
        <w:t>，</w:t>
      </w:r>
      <w:r>
        <w:rPr>
          <w:rFonts w:hint="eastAsia" w:ascii="宋体" w:hAnsi="宋体" w:eastAsia="宋体" w:cs="宋体"/>
        </w:rPr>
        <w:t>当出现异常时，快速定位故障点是在数据传输环节、数据处理环节还是存储环节等</w:t>
      </w:r>
      <w:r>
        <w:rPr>
          <w:rFonts w:hint="eastAsia" w:ascii="宋体" w:hAnsi="宋体" w:eastAsia="宋体" w:cs="宋体"/>
          <w:lang w:eastAsia="zh-CN"/>
        </w:rPr>
        <w:t>；</w:t>
      </w:r>
      <w:r>
        <w:rPr>
          <w:rFonts w:hint="eastAsia" w:ascii="宋体" w:hAnsi="宋体" w:eastAsia="宋体" w:cs="宋体"/>
        </w:rPr>
        <w:t>制定恢复策略</w:t>
      </w:r>
      <w:r>
        <w:rPr>
          <w:rFonts w:hint="eastAsia" w:ascii="宋体" w:hAnsi="宋体" w:eastAsia="宋体" w:cs="宋体"/>
          <w:lang w:eastAsia="zh-CN"/>
        </w:rPr>
        <w:t>，</w:t>
      </w:r>
      <w:r>
        <w:rPr>
          <w:rFonts w:hint="eastAsia" w:ascii="宋体" w:hAnsi="宋体" w:eastAsia="宋体" w:cs="宋体"/>
        </w:rPr>
        <w:t>根据数据重要性和业务紧急程度，明确恢复的优先级顺序</w:t>
      </w:r>
      <w:r>
        <w:rPr>
          <w:rFonts w:hint="eastAsia" w:ascii="宋体" w:hAnsi="宋体" w:eastAsia="宋体" w:cs="宋体"/>
          <w:lang w:eastAsia="zh-CN"/>
        </w:rPr>
        <w:t>，</w:t>
      </w:r>
      <w:r>
        <w:rPr>
          <w:rFonts w:hint="eastAsia" w:ascii="宋体" w:hAnsi="宋体" w:eastAsia="宋体" w:cs="宋体"/>
        </w:rPr>
        <w:t>针对不同类型故障（如硬件故障、软件故障、网络故障、恶意攻击等）制定特定的恢复流程和步骤</w:t>
      </w:r>
      <w:r>
        <w:rPr>
          <w:rFonts w:hint="eastAsia" w:ascii="宋体" w:hAnsi="宋体" w:eastAsia="宋体" w:cs="宋体"/>
          <w:lang w:eastAsia="zh-CN"/>
        </w:rPr>
        <w:t>，</w:t>
      </w:r>
      <w:r>
        <w:rPr>
          <w:rFonts w:hint="eastAsia" w:ascii="宋体" w:hAnsi="宋体" w:eastAsia="宋体" w:cs="宋体"/>
        </w:rPr>
        <w:t>当发生故障时，首先评估故障影响范围和损失程度</w:t>
      </w:r>
      <w:r>
        <w:rPr>
          <w:rFonts w:hint="eastAsia" w:ascii="宋体" w:hAnsi="宋体" w:eastAsia="宋体" w:cs="宋体"/>
          <w:lang w:eastAsia="zh-CN"/>
        </w:rPr>
        <w:t>；</w:t>
      </w:r>
      <w:r>
        <w:rPr>
          <w:rFonts w:hint="eastAsia" w:ascii="宋体" w:hAnsi="宋体" w:eastAsia="宋体" w:cs="宋体"/>
        </w:rPr>
        <w:t>对于数据丢失故障</w:t>
      </w:r>
      <w:r>
        <w:rPr>
          <w:rFonts w:hint="eastAsia" w:ascii="宋体" w:hAnsi="宋体" w:eastAsia="宋体" w:cs="宋体"/>
          <w:lang w:eastAsia="zh-CN"/>
        </w:rPr>
        <w:t>，</w:t>
      </w:r>
      <w:r>
        <w:rPr>
          <w:rFonts w:hint="eastAsia" w:ascii="宋体" w:hAnsi="宋体" w:eastAsia="宋体" w:cs="宋体"/>
        </w:rPr>
        <w:t>从最近的备份中进行数据恢复（先恢复全量，再根据需要恢复增量或差异备份</w:t>
      </w:r>
      <w:r>
        <w:rPr>
          <w:rFonts w:hint="eastAsia" w:ascii="宋体" w:hAnsi="宋体" w:eastAsia="宋体" w:cs="宋体"/>
          <w:lang w:eastAsia="zh-CN"/>
        </w:rPr>
        <w:t>）；</w:t>
      </w:r>
      <w:r>
        <w:rPr>
          <w:rFonts w:hint="eastAsia" w:ascii="宋体" w:hAnsi="宋体" w:eastAsia="宋体" w:cs="宋体"/>
        </w:rPr>
        <w:t>硬件故障恢复</w:t>
      </w:r>
      <w:r>
        <w:rPr>
          <w:rFonts w:hint="eastAsia" w:ascii="宋体" w:hAnsi="宋体" w:eastAsia="宋体" w:cs="宋体"/>
          <w:lang w:eastAsia="zh-CN"/>
        </w:rPr>
        <w:t>，</w:t>
      </w:r>
      <w:r>
        <w:rPr>
          <w:rFonts w:hint="eastAsia" w:ascii="宋体" w:hAnsi="宋体" w:eastAsia="宋体" w:cs="宋体"/>
        </w:rPr>
        <w:t>更换故障硬件组件，重新配置系统</w:t>
      </w:r>
      <w:r>
        <w:rPr>
          <w:rFonts w:hint="eastAsia" w:ascii="宋体" w:hAnsi="宋体" w:eastAsia="宋体" w:cs="宋体"/>
          <w:lang w:eastAsia="zh-CN"/>
        </w:rPr>
        <w:t>，</w:t>
      </w:r>
      <w:r>
        <w:rPr>
          <w:rFonts w:hint="eastAsia" w:ascii="宋体" w:hAnsi="宋体" w:eastAsia="宋体" w:cs="宋体"/>
        </w:rPr>
        <w:t>恢复相关软件和数据配置</w:t>
      </w:r>
      <w:r>
        <w:rPr>
          <w:rFonts w:hint="eastAsia" w:ascii="宋体" w:hAnsi="宋体" w:eastAsia="宋体" w:cs="宋体"/>
          <w:lang w:eastAsia="zh-CN"/>
        </w:rPr>
        <w:t>；</w:t>
      </w:r>
      <w:r>
        <w:rPr>
          <w:rFonts w:hint="eastAsia" w:ascii="宋体" w:hAnsi="宋体" w:eastAsia="宋体" w:cs="宋体"/>
        </w:rPr>
        <w:t>网络故障恢复</w:t>
      </w:r>
      <w:r>
        <w:rPr>
          <w:rFonts w:hint="eastAsia" w:ascii="宋体" w:hAnsi="宋体" w:eastAsia="宋体" w:cs="宋体"/>
          <w:lang w:eastAsia="zh-CN"/>
        </w:rPr>
        <w:t>，</w:t>
      </w:r>
      <w:r>
        <w:rPr>
          <w:rFonts w:hint="eastAsia" w:ascii="宋体" w:hAnsi="宋体" w:eastAsia="宋体" w:cs="宋体"/>
        </w:rPr>
        <w:t>切换备用网络链路</w:t>
      </w:r>
      <w:r>
        <w:rPr>
          <w:rFonts w:hint="eastAsia" w:ascii="宋体" w:hAnsi="宋体" w:eastAsia="宋体" w:cs="宋体"/>
          <w:lang w:eastAsia="zh-CN"/>
        </w:rPr>
        <w:t>，</w:t>
      </w:r>
      <w:r>
        <w:rPr>
          <w:rFonts w:hint="eastAsia" w:ascii="宋体" w:hAnsi="宋体" w:eastAsia="宋体" w:cs="宋体"/>
        </w:rPr>
        <w:t>修复网络设备故障或与网络服务提供商协调解决</w:t>
      </w:r>
      <w:r>
        <w:rPr>
          <w:rFonts w:hint="eastAsia" w:ascii="宋体" w:hAnsi="宋体" w:eastAsia="宋体" w:cs="宋体"/>
          <w:lang w:eastAsia="zh-CN"/>
        </w:rPr>
        <w:t>；</w:t>
      </w:r>
      <w:r>
        <w:rPr>
          <w:rFonts w:hint="eastAsia" w:ascii="宋体" w:hAnsi="宋体" w:eastAsia="宋体" w:cs="宋体"/>
        </w:rPr>
        <w:t>定期进行故障恢复演练，模拟不同类型的故障场景</w:t>
      </w:r>
      <w:r>
        <w:rPr>
          <w:rFonts w:hint="eastAsia" w:ascii="宋体" w:hAnsi="宋体" w:eastAsia="宋体" w:cs="宋体"/>
          <w:lang w:eastAsia="zh-CN"/>
        </w:rPr>
        <w:t>，</w:t>
      </w:r>
      <w:r>
        <w:rPr>
          <w:rFonts w:hint="eastAsia" w:ascii="宋体" w:hAnsi="宋体" w:eastAsia="宋体" w:cs="宋体"/>
        </w:rPr>
        <w:t>检验恢复流程的有效性和恢复时间是否满足业务需求。当发生重大故障时，及时与相关的跨境数据主体进行沟通，说明情况和恢复进展。</w:t>
      </w:r>
    </w:p>
    <w:p w14:paraId="64D4FB0D">
      <w:pPr>
        <w:pStyle w:val="20"/>
        <w:rPr>
          <w:rFonts w:hint="eastAsia" w:ascii="宋体" w:hAnsi="宋体" w:eastAsia="宋体" w:cs="宋体"/>
        </w:rPr>
      </w:pPr>
      <w:r>
        <w:rPr>
          <w:rFonts w:hint="eastAsia" w:ascii="宋体" w:hAnsi="宋体" w:cs="宋体"/>
          <w:b/>
          <w:bCs/>
          <w:lang w:eastAsia="zh-CN"/>
        </w:rPr>
        <w:t>（</w:t>
      </w:r>
      <w:r>
        <w:rPr>
          <w:rFonts w:hint="eastAsia" w:ascii="宋体" w:hAnsi="宋体" w:cs="宋体"/>
          <w:b/>
          <w:bCs/>
          <w:lang w:val="en-US" w:eastAsia="zh-CN"/>
        </w:rPr>
        <w:t>9</w:t>
      </w:r>
      <w:r>
        <w:rPr>
          <w:rFonts w:hint="eastAsia" w:ascii="宋体" w:hAnsi="宋体" w:cs="宋体"/>
          <w:b/>
          <w:bCs/>
          <w:lang w:eastAsia="zh-CN"/>
        </w:rPr>
        <w:t>）</w:t>
      </w:r>
      <w:r>
        <w:rPr>
          <w:rFonts w:hint="eastAsia" w:ascii="宋体" w:hAnsi="宋体" w:eastAsia="宋体" w:cs="宋体"/>
          <w:b/>
          <w:bCs/>
        </w:rPr>
        <w:t>应急处理</w:t>
      </w:r>
      <w:r>
        <w:rPr>
          <w:rFonts w:hint="eastAsia" w:ascii="宋体" w:hAnsi="宋体" w:cs="宋体"/>
          <w:b/>
          <w:bCs/>
          <w:lang w:eastAsia="zh-CN"/>
        </w:rPr>
        <w:t>：</w:t>
      </w:r>
      <w:r>
        <w:rPr>
          <w:rFonts w:hint="eastAsia" w:ascii="宋体" w:hAnsi="宋体" w:cs="宋体"/>
          <w:lang w:val="en-US" w:eastAsia="zh-CN"/>
        </w:rPr>
        <w:t>要求</w:t>
      </w:r>
      <w:r>
        <w:rPr>
          <w:rFonts w:hint="eastAsia" w:ascii="宋体" w:hAnsi="宋体" w:eastAsia="宋体" w:cs="宋体"/>
        </w:rPr>
        <w:t>快速响应和解决数据跨境服务管理平台发生的各类紧急事件，最大限度减少损失和影响</w:t>
      </w:r>
      <w:r>
        <w:rPr>
          <w:rFonts w:hint="eastAsia" w:ascii="宋体" w:hAnsi="宋体" w:eastAsia="宋体" w:cs="宋体"/>
          <w:lang w:eastAsia="zh-CN"/>
        </w:rPr>
        <w:t>，</w:t>
      </w:r>
      <w:r>
        <w:rPr>
          <w:rFonts w:hint="eastAsia" w:ascii="宋体" w:hAnsi="宋体" w:eastAsia="宋体" w:cs="宋体"/>
        </w:rPr>
        <w:t>确保数据的安全性、完整性和可用性，保障跨境服务的连续性。</w:t>
      </w:r>
      <w:r>
        <w:rPr>
          <w:rFonts w:hint="eastAsia" w:ascii="宋体" w:hAnsi="宋体" w:cs="宋体"/>
          <w:lang w:val="en-US" w:eastAsia="zh-CN"/>
        </w:rPr>
        <w:t>做好</w:t>
      </w:r>
      <w:r>
        <w:rPr>
          <w:rFonts w:hint="eastAsia" w:ascii="宋体" w:hAnsi="宋体" w:eastAsia="宋体" w:cs="宋体"/>
        </w:rPr>
        <w:t>应急预案制定</w:t>
      </w:r>
      <w:r>
        <w:rPr>
          <w:rFonts w:hint="eastAsia" w:ascii="宋体" w:hAnsi="宋体" w:eastAsia="宋体" w:cs="宋体"/>
          <w:lang w:val="en-US" w:eastAsia="zh-CN"/>
        </w:rPr>
        <w:t>（应急响应计划）</w:t>
      </w:r>
      <w:r>
        <w:rPr>
          <w:rFonts w:hint="eastAsia" w:ascii="宋体" w:hAnsi="宋体" w:cs="宋体"/>
          <w:lang w:val="en-US" w:eastAsia="zh-CN"/>
        </w:rPr>
        <w:t>，并在事后制定重大事件报告。</w:t>
      </w:r>
    </w:p>
    <w:bookmarkEnd w:id="47"/>
    <w:bookmarkEnd w:id="48"/>
    <w:p w14:paraId="12DBF2D0">
      <w:pPr>
        <w:pStyle w:val="2"/>
        <w:bidi w:val="0"/>
        <w:ind w:left="432" w:leftChars="0" w:hanging="432" w:firstLineChars="0"/>
        <w:rPr>
          <w:rFonts w:hint="eastAsia" w:ascii="楷体" w:hAnsi="楷体" w:eastAsia="楷体" w:cs="楷体"/>
        </w:rPr>
      </w:pPr>
      <w:r>
        <w:rPr>
          <w:rFonts w:hint="eastAsia" w:ascii="楷体" w:hAnsi="楷体" w:eastAsia="楷体" w:cs="楷体"/>
        </w:rPr>
        <w:t>服务要求</w:t>
      </w:r>
    </w:p>
    <w:p w14:paraId="5D1C5D63">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网络数据安全要求</w:t>
      </w:r>
    </w:p>
    <w:p w14:paraId="1D02685B">
      <w:pPr>
        <w:rPr>
          <w:rFonts w:hint="eastAsia"/>
        </w:rPr>
      </w:pPr>
      <w:r>
        <w:rPr>
          <w:rFonts w:hint="eastAsia"/>
        </w:rPr>
        <w:t>禁止</w:t>
      </w:r>
      <w:r>
        <w:rPr>
          <w:rFonts w:hint="eastAsia"/>
          <w:lang w:eastAsia="zh-CN"/>
        </w:rPr>
        <w:t>成交供应商</w:t>
      </w:r>
      <w:r>
        <w:rPr>
          <w:rFonts w:hint="eastAsia"/>
        </w:rPr>
        <w:t>在未经明确授权的情况下，使用自动化扫描工具（包括大规模扫描）或渗透测试工具。</w:t>
      </w:r>
    </w:p>
    <w:p w14:paraId="586F3773">
      <w:pPr>
        <w:rPr>
          <w:rFonts w:hint="eastAsia"/>
        </w:rPr>
      </w:pPr>
      <w:r>
        <w:rPr>
          <w:rFonts w:hint="eastAsia"/>
        </w:rPr>
        <w:t>禁止</w:t>
      </w:r>
      <w:r>
        <w:rPr>
          <w:rFonts w:hint="eastAsia"/>
          <w:lang w:eastAsia="zh-CN"/>
        </w:rPr>
        <w:t>成交供应商</w:t>
      </w:r>
      <w:r>
        <w:rPr>
          <w:rFonts w:hint="eastAsia"/>
        </w:rPr>
        <w:t>进行任何可能危害系统/业务/服务稳定运行的操作，包括但不限于上传恶意软件（如木马）、执行高危指令、删除或篡改数据及数据服务、非法泄露数据等高风险行为。</w:t>
      </w:r>
    </w:p>
    <w:p w14:paraId="5DC46FE2">
      <w:pPr>
        <w:rPr>
          <w:rFonts w:hint="eastAsia"/>
        </w:rPr>
      </w:pPr>
      <w:r>
        <w:rPr>
          <w:rFonts w:hint="eastAsia"/>
          <w:lang w:eastAsia="zh-CN"/>
        </w:rPr>
        <w:t>成交供应商</w:t>
      </w:r>
      <w:r>
        <w:rPr>
          <w:rFonts w:hint="eastAsia"/>
        </w:rPr>
        <w:t>所有数据处理行为必须严格遵守最小权限原则，明确权限边界，仅执行授权范围内的操作。严禁任何形式的账号混用或共享使用。</w:t>
      </w:r>
    </w:p>
    <w:p w14:paraId="712CECB0">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数据用途限制要求</w:t>
      </w:r>
    </w:p>
    <w:p w14:paraId="6D71486C">
      <w:pPr>
        <w:rPr>
          <w:rFonts w:hint="eastAsia"/>
        </w:rPr>
      </w:pPr>
      <w:r>
        <w:rPr>
          <w:rFonts w:hint="eastAsia"/>
          <w:lang w:eastAsia="zh-CN"/>
        </w:rPr>
        <w:t>成交供应商</w:t>
      </w:r>
      <w:r>
        <w:rPr>
          <w:rFonts w:hint="eastAsia"/>
        </w:rPr>
        <w:t>在履行本合同服务过程中所获取、处理或产生的所有数据（包括但不限于原始数据、处理结果、分析报告等）仅限用于履行本服务合同约定的目的。未经采购方书面明确许可，禁止任何形式的数据挪作他用（包括但不限于用于自身产品研发、商业分析、对外提供或交易等行为）。</w:t>
      </w:r>
    </w:p>
    <w:p w14:paraId="34E6807C">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数据安全责任主体要求</w:t>
      </w:r>
    </w:p>
    <w:p w14:paraId="7EDECEDF">
      <w:pPr>
        <w:rPr>
          <w:rFonts w:hint="eastAsia"/>
        </w:rPr>
      </w:pPr>
      <w:r>
        <w:rPr>
          <w:rFonts w:hint="eastAsia"/>
          <w:lang w:eastAsia="zh-CN"/>
        </w:rPr>
        <w:t>成交供应商</w:t>
      </w:r>
      <w:r>
        <w:rPr>
          <w:rFonts w:hint="eastAsia"/>
        </w:rPr>
        <w:t>是其在服务过程中所接触、处理、存储或传输的数据安全的直接责任主体，有义务采取所有必要的技术手段和管理措施确保数据的保密性、完整性和可用性，有效防范数据泄露、丢失、篡改、滥用等安全风险。</w:t>
      </w:r>
      <w:r>
        <w:rPr>
          <w:rFonts w:hint="eastAsia"/>
          <w:lang w:eastAsia="zh-CN"/>
        </w:rPr>
        <w:t>成交供应商</w:t>
      </w:r>
      <w:r>
        <w:rPr>
          <w:rFonts w:hint="eastAsia"/>
        </w:rPr>
        <w:t>须建立完善的数据安全管理制度并严格执行，对其所有参与本服务的人员行为负责。</w:t>
      </w:r>
    </w:p>
    <w:p w14:paraId="61AC2FB7">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故障响应要求</w:t>
      </w:r>
    </w:p>
    <w:p w14:paraId="400289B3">
      <w:pPr>
        <w:rPr>
          <w:rFonts w:hint="eastAsia"/>
        </w:rPr>
      </w:pPr>
      <w:r>
        <w:rPr>
          <w:rFonts w:hint="eastAsia"/>
          <w:lang w:eastAsia="zh-CN"/>
        </w:rPr>
        <w:t>成交供应商</w:t>
      </w:r>
      <w:r>
        <w:rPr>
          <w:rFonts w:hint="eastAsia"/>
        </w:rPr>
        <w:t>应提供详细的故障响应方案，该方案需经采购方评审通过。故障处理方案需针对不同故障等级分别制定，故障等级划分包括但不限于：</w:t>
      </w:r>
    </w:p>
    <w:p w14:paraId="65EA7E64">
      <w:pPr>
        <w:rPr>
          <w:rFonts w:hint="eastAsia"/>
        </w:rPr>
      </w:pPr>
      <w:r>
        <w:rPr>
          <w:rFonts w:hint="eastAsia"/>
        </w:rPr>
        <w:t>（a）紧急故障：核心业务/服务瘫痪，无法提供服务。在紧急故障发生时，</w:t>
      </w:r>
      <w:r>
        <w:rPr>
          <w:rFonts w:hint="eastAsia"/>
          <w:lang w:eastAsia="zh-CN"/>
        </w:rPr>
        <w:t>成交供应商</w:t>
      </w:r>
      <w:r>
        <w:rPr>
          <w:rFonts w:hint="eastAsia"/>
        </w:rPr>
        <w:t>应在15分钟内响应，1小时内对故障进行紧急处理，恢复业务基本运行或完成信息安全事故的影响。因不可抗力致使</w:t>
      </w:r>
      <w:r>
        <w:rPr>
          <w:rFonts w:hint="eastAsia"/>
          <w:lang w:eastAsia="zh-CN"/>
        </w:rPr>
        <w:t>成交供应商</w:t>
      </w:r>
      <w:r>
        <w:rPr>
          <w:rFonts w:hint="eastAsia"/>
        </w:rPr>
        <w:t>未按时到达现场除外。因信息安全事故所产生的社会、经济影响，按照</w:t>
      </w:r>
      <w:r>
        <w:rPr>
          <w:rFonts w:hint="eastAsia"/>
          <w:lang w:eastAsia="zh-CN"/>
        </w:rPr>
        <w:t>成交供应商</w:t>
      </w:r>
      <w:r>
        <w:rPr>
          <w:rFonts w:hint="eastAsia"/>
        </w:rPr>
        <w:t>相关安全管理办法处置。</w:t>
      </w:r>
    </w:p>
    <w:p w14:paraId="2BCBC629">
      <w:pPr>
        <w:rPr>
          <w:rFonts w:hint="eastAsia"/>
        </w:rPr>
      </w:pPr>
      <w:r>
        <w:rPr>
          <w:rFonts w:hint="eastAsia"/>
        </w:rPr>
        <w:t>（b）严重故障：核心业务/服务仍能提供服务，但是性能受到严重影响。在严重故障发生时，</w:t>
      </w:r>
      <w:r>
        <w:rPr>
          <w:rFonts w:hint="eastAsia"/>
          <w:lang w:eastAsia="zh-CN"/>
        </w:rPr>
        <w:t>成交供应商</w:t>
      </w:r>
      <w:r>
        <w:rPr>
          <w:rFonts w:hint="eastAsia"/>
        </w:rPr>
        <w:t>应在30分钟内响应，2小时内对故障进行紧急处理，恢复业务基本运行。因不可抗力致使</w:t>
      </w:r>
      <w:r>
        <w:rPr>
          <w:rFonts w:hint="eastAsia"/>
          <w:lang w:eastAsia="zh-CN"/>
        </w:rPr>
        <w:t>成交供应商</w:t>
      </w:r>
      <w:r>
        <w:rPr>
          <w:rFonts w:hint="eastAsia"/>
        </w:rPr>
        <w:t>未按时到达现场除外。</w:t>
      </w:r>
    </w:p>
    <w:p w14:paraId="4781FA8D">
      <w:pPr>
        <w:rPr>
          <w:rFonts w:hint="eastAsia" w:asciiTheme="majorEastAsia" w:hAnsiTheme="majorEastAsia" w:eastAsiaTheme="majorEastAsia" w:cstheme="majorEastAsia"/>
        </w:rPr>
      </w:pPr>
      <w:r>
        <w:rPr>
          <w:rFonts w:hint="eastAsia"/>
        </w:rPr>
        <w:t>（c）一般故障：核心业务/服务不受影响。在一般故障发生时，</w:t>
      </w:r>
      <w:r>
        <w:rPr>
          <w:rFonts w:hint="eastAsia"/>
          <w:lang w:eastAsia="zh-CN"/>
        </w:rPr>
        <w:t>成交供应商</w:t>
      </w:r>
      <w:r>
        <w:rPr>
          <w:rFonts w:hint="eastAsia"/>
        </w:rPr>
        <w:t>应在60分钟内响应，24小时之内恢复。</w:t>
      </w:r>
    </w:p>
    <w:p w14:paraId="393FD578">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特殊情况要求</w:t>
      </w:r>
    </w:p>
    <w:p w14:paraId="13C06FB3">
      <w:pPr>
        <w:rPr>
          <w:rFonts w:hint="eastAsia"/>
          <w:lang w:eastAsia="zh-CN"/>
        </w:rPr>
      </w:pPr>
      <w:r>
        <w:rPr>
          <w:rFonts w:hint="eastAsia"/>
          <w:lang w:eastAsia="zh-CN"/>
        </w:rPr>
        <w:t>成交供应商</w:t>
      </w:r>
      <w:r>
        <w:rPr>
          <w:rFonts w:hint="eastAsia"/>
        </w:rPr>
        <w:t>应提供事件故障库，记录和整理采购方的各类技术故障分析、技术咨询问题和答复、网络分析报告等等</w:t>
      </w:r>
      <w:r>
        <w:rPr>
          <w:rFonts w:hint="eastAsia"/>
          <w:lang w:eastAsia="zh-CN"/>
        </w:rPr>
        <w:t>。</w:t>
      </w:r>
    </w:p>
    <w:p w14:paraId="039BF78B">
      <w:pPr>
        <w:rPr>
          <w:rFonts w:hint="eastAsia"/>
          <w:lang w:eastAsia="zh-CN"/>
        </w:rPr>
      </w:pPr>
      <w:r>
        <w:rPr>
          <w:rFonts w:hint="eastAsia"/>
          <w:lang w:eastAsia="zh-CN"/>
        </w:rPr>
        <w:t>在重大活动、节假日保障期间，成交供应商需制定强化保障措施，需确保业务骨干、管理人员提前制订预案，确保</w:t>
      </w:r>
      <w:r>
        <w:rPr>
          <w:rFonts w:hint="eastAsia"/>
          <w:lang w:val="en-US" w:eastAsia="zh-CN"/>
        </w:rPr>
        <w:t>项目开发工作</w:t>
      </w:r>
      <w:r>
        <w:rPr>
          <w:rFonts w:hint="eastAsia"/>
          <w:lang w:eastAsia="zh-CN"/>
        </w:rPr>
        <w:t>安全、稳定运行，涉及</w:t>
      </w:r>
      <w:r>
        <w:rPr>
          <w:rFonts w:hint="eastAsia"/>
          <w:lang w:val="en-US" w:eastAsia="zh-CN"/>
        </w:rPr>
        <w:t>项目</w:t>
      </w:r>
      <w:r>
        <w:rPr>
          <w:rFonts w:hint="eastAsia"/>
          <w:lang w:eastAsia="zh-CN"/>
        </w:rPr>
        <w:t>相关的信息安全提供重点保障。</w:t>
      </w:r>
    </w:p>
    <w:p w14:paraId="19AB176F">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工期要求</w:t>
      </w:r>
    </w:p>
    <w:p w14:paraId="1A298F13">
      <w:pPr>
        <w:ind w:firstLine="560" w:firstLineChars="200"/>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eastAsia="zh-CN"/>
        </w:rPr>
        <w:t>响应供应商</w:t>
      </w:r>
      <w:r>
        <w:rPr>
          <w:rFonts w:hint="eastAsia" w:ascii="宋体" w:hAnsi="宋体" w:eastAsia="宋体"/>
          <w:sz w:val="28"/>
          <w:szCs w:val="28"/>
        </w:rPr>
        <w:t>供应商承诺在合同签订后</w:t>
      </w:r>
      <w:r>
        <w:rPr>
          <w:rFonts w:hint="eastAsia" w:ascii="宋体" w:hAnsi="宋体"/>
          <w:sz w:val="28"/>
          <w:szCs w:val="28"/>
          <w:lang w:val="en-US" w:eastAsia="zh-CN"/>
        </w:rPr>
        <w:t>8</w:t>
      </w:r>
      <w:r>
        <w:rPr>
          <w:rFonts w:hint="eastAsia" w:ascii="宋体" w:hAnsi="宋体" w:eastAsia="宋体"/>
          <w:sz w:val="28"/>
          <w:szCs w:val="28"/>
        </w:rPr>
        <w:t>个月内完成系统的开发工作；</w:t>
      </w:r>
    </w:p>
    <w:p w14:paraId="20F127BA">
      <w:pPr>
        <w:ind w:firstLine="560" w:firstLineChars="200"/>
        <w:rPr>
          <w:rFonts w:hint="eastAsia" w:ascii="宋体" w:hAnsi="宋体" w:eastAsia="宋体"/>
          <w:sz w:val="28"/>
          <w:szCs w:val="28"/>
        </w:rPr>
      </w:pPr>
      <w:r>
        <w:rPr>
          <w:rFonts w:hint="eastAsia" w:ascii="宋体" w:hAnsi="宋体" w:eastAsia="宋体"/>
          <w:sz w:val="28"/>
          <w:szCs w:val="28"/>
        </w:rPr>
        <w:t>（2）</w:t>
      </w:r>
      <w:r>
        <w:rPr>
          <w:rFonts w:hint="eastAsia" w:ascii="宋体" w:hAnsi="宋体"/>
          <w:sz w:val="28"/>
          <w:szCs w:val="28"/>
          <w:lang w:eastAsia="zh-CN"/>
        </w:rPr>
        <w:t>响应供应商</w:t>
      </w:r>
      <w:r>
        <w:rPr>
          <w:rFonts w:hint="eastAsia" w:ascii="宋体" w:hAnsi="宋体" w:eastAsia="宋体"/>
          <w:sz w:val="28"/>
          <w:szCs w:val="28"/>
        </w:rPr>
        <w:t>供应商需在合同生效后即派项目实施人员到达用户现场，开展具体工作，并提交系列方案征询</w:t>
      </w:r>
      <w:r>
        <w:rPr>
          <w:rFonts w:hint="eastAsia" w:ascii="宋体" w:hAnsi="宋体"/>
          <w:sz w:val="28"/>
          <w:szCs w:val="28"/>
          <w:lang w:eastAsia="zh-CN"/>
        </w:rPr>
        <w:t>采购单位</w:t>
      </w:r>
      <w:r>
        <w:rPr>
          <w:rFonts w:hint="eastAsia" w:ascii="宋体" w:hAnsi="宋体" w:eastAsia="宋体"/>
          <w:sz w:val="28"/>
          <w:szCs w:val="28"/>
        </w:rPr>
        <w:t>同意后方可实施；</w:t>
      </w:r>
    </w:p>
    <w:p w14:paraId="1DA676AE">
      <w:pPr>
        <w:rPr>
          <w:rFonts w:hint="eastAsia"/>
        </w:rPr>
      </w:pPr>
      <w:r>
        <w:rPr>
          <w:rFonts w:hint="eastAsia" w:ascii="宋体" w:hAnsi="宋体" w:eastAsia="宋体"/>
          <w:sz w:val="28"/>
          <w:szCs w:val="28"/>
        </w:rPr>
        <w:t>（3）系统应完成不少于3个月的全部在线试运行，并根据</w:t>
      </w:r>
      <w:r>
        <w:rPr>
          <w:rFonts w:hint="eastAsia" w:ascii="宋体" w:hAnsi="宋体"/>
          <w:sz w:val="28"/>
          <w:szCs w:val="28"/>
          <w:lang w:eastAsia="zh-CN"/>
        </w:rPr>
        <w:t>采购单位</w:t>
      </w:r>
      <w:r>
        <w:rPr>
          <w:rFonts w:hint="eastAsia" w:ascii="宋体" w:hAnsi="宋体" w:eastAsia="宋体"/>
          <w:sz w:val="28"/>
          <w:szCs w:val="28"/>
        </w:rPr>
        <w:t>的反馈修改程序达到所需功能要求。同时系统需通过经</w:t>
      </w:r>
      <w:r>
        <w:rPr>
          <w:rFonts w:hint="eastAsia" w:ascii="宋体" w:hAnsi="宋体"/>
          <w:sz w:val="28"/>
          <w:szCs w:val="28"/>
          <w:lang w:eastAsia="zh-CN"/>
        </w:rPr>
        <w:t>采购单位</w:t>
      </w:r>
      <w:r>
        <w:rPr>
          <w:rFonts w:hint="eastAsia" w:ascii="宋体" w:hAnsi="宋体" w:eastAsia="宋体"/>
          <w:sz w:val="28"/>
          <w:szCs w:val="28"/>
        </w:rPr>
        <w:t>认可的第三方测试机构的测试，当第三方测试机构出具测试报告后，方可进入验收流程。</w:t>
      </w:r>
    </w:p>
    <w:p w14:paraId="5FBD73F3">
      <w:pPr>
        <w:pStyle w:val="3"/>
        <w:bidi w:val="0"/>
        <w:ind w:left="432" w:leftChars="0" w:hanging="432" w:firstLineChars="0"/>
        <w:rPr>
          <w:rFonts w:hint="eastAsia" w:ascii="楷体" w:hAnsi="楷体" w:eastAsia="楷体" w:cs="楷体"/>
        </w:rPr>
      </w:pPr>
      <w:r>
        <w:rPr>
          <w:rFonts w:hint="eastAsia" w:ascii="楷体" w:hAnsi="楷体" w:eastAsia="楷体" w:cs="楷体"/>
        </w:rPr>
        <w:t>人员要求</w:t>
      </w:r>
    </w:p>
    <w:p w14:paraId="6EBBECFE">
      <w:pPr>
        <w:ind w:firstLine="560" w:firstLineChars="200"/>
        <w:rPr>
          <w:rFonts w:hint="eastAsia" w:ascii="宋体" w:hAnsi="宋体" w:eastAsia="宋体"/>
          <w:sz w:val="28"/>
          <w:szCs w:val="28"/>
          <w:highlight w:val="none"/>
        </w:rPr>
      </w:pPr>
      <w:r>
        <w:rPr>
          <w:rFonts w:hint="eastAsia" w:ascii="宋体" w:hAnsi="宋体"/>
          <w:sz w:val="28"/>
          <w:szCs w:val="28"/>
          <w:lang w:eastAsia="zh-CN"/>
        </w:rPr>
        <w:t>响应供应商</w:t>
      </w:r>
      <w:r>
        <w:rPr>
          <w:rFonts w:hint="eastAsia" w:ascii="宋体" w:hAnsi="宋体" w:eastAsia="宋体"/>
          <w:sz w:val="28"/>
          <w:szCs w:val="28"/>
        </w:rPr>
        <w:t>须具有稳定的在职技术保障力量，能够提供及时的技术支援或服务，应针对本项目提供专业项目服务团队，</w:t>
      </w:r>
      <w:r>
        <w:rPr>
          <w:rFonts w:hint="eastAsia" w:ascii="宋体" w:hAnsi="宋体"/>
          <w:sz w:val="28"/>
          <w:szCs w:val="28"/>
          <w:lang w:eastAsia="zh-CN"/>
        </w:rPr>
        <w:t>响应供应商</w:t>
      </w:r>
      <w:r>
        <w:rPr>
          <w:rFonts w:hint="eastAsia" w:ascii="宋体" w:hAnsi="宋体" w:eastAsia="宋体"/>
          <w:sz w:val="28"/>
          <w:szCs w:val="28"/>
        </w:rPr>
        <w:t>的相关服务人员需具备相应的服务能力，其中核心团队人员项目经理、核心研发人员需提供相关证明</w:t>
      </w:r>
      <w:r>
        <w:rPr>
          <w:rFonts w:hint="eastAsia" w:ascii="宋体" w:hAnsi="宋体" w:eastAsia="宋体"/>
          <w:sz w:val="28"/>
          <w:szCs w:val="28"/>
          <w:highlight w:val="none"/>
        </w:rPr>
        <w:t>。考虑到本项目的建设受相关政策法规影响较大且处理的数据可能较为敏感，因此</w:t>
      </w:r>
      <w:r>
        <w:rPr>
          <w:rFonts w:hint="eastAsia" w:ascii="宋体" w:hAnsi="宋体"/>
          <w:sz w:val="28"/>
          <w:szCs w:val="28"/>
          <w:highlight w:val="none"/>
          <w:lang w:eastAsia="zh-CN"/>
        </w:rPr>
        <w:t>响应供应商</w:t>
      </w:r>
      <w:r>
        <w:rPr>
          <w:rFonts w:hint="eastAsia" w:ascii="宋体" w:hAnsi="宋体" w:eastAsia="宋体"/>
          <w:sz w:val="28"/>
          <w:szCs w:val="28"/>
          <w:highlight w:val="none"/>
        </w:rPr>
        <w:t>需具备最低国家数据管理能力成熟度(DCMM)二级的认证资质，且需配备具备相关资质的合规专家。合规专家需对精通临港新片区数据跨境流动政策制度与国家网信办相关政策法规，能够</w:t>
      </w:r>
      <w:r>
        <w:rPr>
          <w:rFonts w:ascii="宋体" w:hAnsi="宋体" w:eastAsia="宋体"/>
          <w:sz w:val="28"/>
          <w:szCs w:val="28"/>
          <w:highlight w:val="none"/>
        </w:rPr>
        <w:t>提供</w:t>
      </w:r>
      <w:r>
        <w:rPr>
          <w:rFonts w:hint="eastAsia" w:ascii="宋体" w:hAnsi="宋体" w:eastAsia="宋体"/>
          <w:sz w:val="28"/>
          <w:szCs w:val="28"/>
          <w:highlight w:val="none"/>
        </w:rPr>
        <w:t>精准解读并指导实践</w:t>
      </w:r>
      <w:r>
        <w:rPr>
          <w:rFonts w:ascii="宋体" w:hAnsi="宋体" w:eastAsia="宋体"/>
          <w:sz w:val="28"/>
          <w:szCs w:val="28"/>
          <w:highlight w:val="none"/>
        </w:rPr>
        <w:t>和</w:t>
      </w:r>
      <w:r>
        <w:rPr>
          <w:rFonts w:hint="eastAsia" w:ascii="宋体" w:hAnsi="宋体" w:eastAsia="宋体"/>
          <w:sz w:val="28"/>
          <w:szCs w:val="28"/>
          <w:highlight w:val="none"/>
        </w:rPr>
        <w:t>提出相关</w:t>
      </w:r>
      <w:r>
        <w:rPr>
          <w:rFonts w:ascii="宋体" w:hAnsi="宋体" w:eastAsia="宋体"/>
          <w:sz w:val="28"/>
          <w:szCs w:val="28"/>
          <w:highlight w:val="none"/>
        </w:rPr>
        <w:t>建议，帮助</w:t>
      </w:r>
      <w:r>
        <w:rPr>
          <w:rFonts w:hint="eastAsia" w:ascii="宋体" w:hAnsi="宋体" w:eastAsia="宋体"/>
          <w:sz w:val="28"/>
          <w:szCs w:val="28"/>
          <w:highlight w:val="none"/>
        </w:rPr>
        <w:t>项目团队</w:t>
      </w:r>
      <w:r>
        <w:rPr>
          <w:rFonts w:ascii="宋体" w:hAnsi="宋体" w:eastAsia="宋体"/>
          <w:sz w:val="28"/>
          <w:szCs w:val="28"/>
          <w:highlight w:val="none"/>
        </w:rPr>
        <w:t>了解和理解相关法律法规的要求，确保项目在设计和实施过程中能够充分考虑合规因素，提高项目的合规性和可操作性。</w:t>
      </w:r>
      <w:r>
        <w:rPr>
          <w:rFonts w:hint="eastAsia" w:ascii="宋体" w:hAnsi="宋体" w:eastAsia="宋体"/>
          <w:sz w:val="28"/>
          <w:szCs w:val="28"/>
          <w:highlight w:val="none"/>
        </w:rPr>
        <w:t>具体人数由</w:t>
      </w:r>
      <w:r>
        <w:rPr>
          <w:rFonts w:hint="eastAsia" w:ascii="宋体" w:hAnsi="宋体"/>
          <w:sz w:val="28"/>
          <w:szCs w:val="28"/>
          <w:highlight w:val="none"/>
          <w:lang w:eastAsia="zh-CN"/>
        </w:rPr>
        <w:t>响应供应商</w:t>
      </w:r>
      <w:r>
        <w:rPr>
          <w:rFonts w:hint="eastAsia" w:ascii="宋体" w:hAnsi="宋体" w:eastAsia="宋体"/>
          <w:sz w:val="28"/>
          <w:szCs w:val="28"/>
          <w:highlight w:val="none"/>
        </w:rPr>
        <w:t>供应商自报人员计划。</w:t>
      </w:r>
    </w:p>
    <w:tbl>
      <w:tblPr>
        <w:tblStyle w:val="15"/>
        <w:tblW w:w="890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70"/>
        <w:gridCol w:w="6120"/>
      </w:tblGrid>
      <w:tr w14:paraId="5F2B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10" w:type="dxa"/>
            <w:tcBorders>
              <w:bottom w:val="single" w:color="auto" w:sz="4" w:space="0"/>
            </w:tcBorders>
            <w:vAlign w:val="center"/>
          </w:tcPr>
          <w:p w14:paraId="64AC53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sz w:val="28"/>
                <w:szCs w:val="28"/>
                <w:lang w:val="en-US" w:eastAsia="zh-CN"/>
              </w:rPr>
            </w:pPr>
            <w:r>
              <w:rPr>
                <w:rFonts w:hint="eastAsia" w:ascii="宋体" w:hAnsi="宋体" w:eastAsia="宋体"/>
                <w:b/>
                <w:bCs/>
                <w:sz w:val="28"/>
                <w:szCs w:val="28"/>
              </w:rPr>
              <w:t>岗位</w:t>
            </w:r>
            <w:r>
              <w:rPr>
                <w:rFonts w:hint="eastAsia" w:ascii="宋体" w:hAnsi="宋体"/>
                <w:b/>
                <w:bCs/>
                <w:sz w:val="28"/>
                <w:szCs w:val="28"/>
                <w:lang w:val="en-US" w:eastAsia="zh-CN"/>
              </w:rPr>
              <w:t>名称</w:t>
            </w:r>
          </w:p>
        </w:tc>
        <w:tc>
          <w:tcPr>
            <w:tcW w:w="1370" w:type="dxa"/>
            <w:tcBorders>
              <w:bottom w:val="single" w:color="auto" w:sz="4" w:space="0"/>
            </w:tcBorders>
            <w:vAlign w:val="center"/>
          </w:tcPr>
          <w:p w14:paraId="553D248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sz w:val="28"/>
                <w:szCs w:val="28"/>
              </w:rPr>
            </w:pPr>
            <w:r>
              <w:rPr>
                <w:rFonts w:hint="eastAsia" w:ascii="宋体" w:hAnsi="宋体"/>
                <w:b/>
                <w:bCs/>
                <w:sz w:val="28"/>
                <w:szCs w:val="28"/>
                <w:lang w:val="en-US" w:eastAsia="zh-CN"/>
              </w:rPr>
              <w:t>配置</w:t>
            </w:r>
            <w:r>
              <w:rPr>
                <w:rFonts w:hint="eastAsia" w:ascii="宋体" w:hAnsi="宋体" w:eastAsia="宋体"/>
                <w:b/>
                <w:bCs/>
                <w:sz w:val="28"/>
                <w:szCs w:val="28"/>
              </w:rPr>
              <w:t>人数</w:t>
            </w:r>
          </w:p>
        </w:tc>
        <w:tc>
          <w:tcPr>
            <w:tcW w:w="6120" w:type="dxa"/>
            <w:tcBorders>
              <w:bottom w:val="single" w:color="auto" w:sz="4" w:space="0"/>
            </w:tcBorders>
            <w:vAlign w:val="center"/>
          </w:tcPr>
          <w:p w14:paraId="4BBCB0C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sz w:val="28"/>
                <w:szCs w:val="28"/>
              </w:rPr>
            </w:pPr>
            <w:r>
              <w:rPr>
                <w:rFonts w:hint="eastAsia" w:ascii="宋体" w:hAnsi="宋体" w:eastAsia="宋体"/>
                <w:b/>
                <w:bCs/>
                <w:sz w:val="28"/>
                <w:szCs w:val="28"/>
                <w:lang w:val="en-US" w:eastAsia="zh-CN"/>
              </w:rPr>
              <w:t>资质</w:t>
            </w:r>
            <w:r>
              <w:rPr>
                <w:rFonts w:hint="eastAsia" w:ascii="宋体" w:hAnsi="宋体" w:eastAsia="宋体"/>
                <w:b/>
                <w:bCs/>
                <w:sz w:val="28"/>
                <w:szCs w:val="28"/>
              </w:rPr>
              <w:t>要求</w:t>
            </w:r>
          </w:p>
        </w:tc>
      </w:tr>
      <w:tr w14:paraId="32C8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0" w:type="dxa"/>
            <w:vAlign w:val="center"/>
          </w:tcPr>
          <w:p w14:paraId="32F8D9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val="0"/>
                <w:sz w:val="28"/>
                <w:szCs w:val="28"/>
              </w:rPr>
            </w:pPr>
            <w:r>
              <w:rPr>
                <w:rFonts w:hint="eastAsia" w:ascii="宋体" w:hAnsi="宋体" w:eastAsia="宋体"/>
                <w:b/>
                <w:bCs w:val="0"/>
                <w:sz w:val="28"/>
                <w:szCs w:val="28"/>
              </w:rPr>
              <w:t>项目管理</w:t>
            </w:r>
          </w:p>
        </w:tc>
        <w:tc>
          <w:tcPr>
            <w:tcW w:w="1370" w:type="dxa"/>
            <w:vAlign w:val="center"/>
          </w:tcPr>
          <w:p w14:paraId="4D627E0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
                <w:bCs w:val="0"/>
                <w:sz w:val="28"/>
                <w:szCs w:val="28"/>
                <w:lang w:val="en-US" w:eastAsia="zh-CN"/>
              </w:rPr>
            </w:pPr>
            <w:r>
              <w:rPr>
                <w:rFonts w:hint="eastAsia" w:ascii="宋体" w:hAnsi="宋体" w:eastAsia="宋体"/>
                <w:b/>
                <w:bCs w:val="0"/>
                <w:sz w:val="28"/>
                <w:szCs w:val="28"/>
              </w:rPr>
              <w:t>1</w:t>
            </w:r>
            <w:r>
              <w:rPr>
                <w:rFonts w:hint="eastAsia" w:ascii="宋体" w:hAnsi="宋体"/>
                <w:b/>
                <w:bCs w:val="0"/>
                <w:sz w:val="28"/>
                <w:szCs w:val="28"/>
                <w:lang w:val="en-US" w:eastAsia="zh-CN"/>
              </w:rPr>
              <w:t>人</w:t>
            </w:r>
          </w:p>
        </w:tc>
        <w:tc>
          <w:tcPr>
            <w:tcW w:w="6120" w:type="dxa"/>
            <w:vAlign w:val="center"/>
          </w:tcPr>
          <w:p w14:paraId="1E24F74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b/>
                <w:bCs w:val="0"/>
                <w:sz w:val="28"/>
                <w:szCs w:val="28"/>
              </w:rPr>
            </w:pPr>
            <w:r>
              <w:rPr>
                <w:rFonts w:hint="eastAsia" w:ascii="宋体" w:hAnsi="宋体" w:eastAsia="宋体"/>
                <w:b/>
                <w:bCs w:val="0"/>
                <w:sz w:val="28"/>
                <w:szCs w:val="28"/>
              </w:rPr>
              <w:t>1.</w:t>
            </w:r>
            <w:r>
              <w:rPr>
                <w:rFonts w:ascii="宋体" w:hAnsi="宋体" w:eastAsia="宋体"/>
                <w:b/>
                <w:bCs w:val="0"/>
                <w:sz w:val="28"/>
                <w:szCs w:val="28"/>
              </w:rPr>
              <w:t>具有计算机相关专业</w:t>
            </w:r>
            <w:r>
              <w:rPr>
                <w:rFonts w:hint="eastAsia" w:ascii="宋体" w:hAnsi="宋体" w:eastAsia="宋体"/>
                <w:b/>
                <w:bCs w:val="0"/>
                <w:sz w:val="28"/>
                <w:szCs w:val="28"/>
              </w:rPr>
              <w:t>全日制硕士研究生或以上学历。</w:t>
            </w:r>
          </w:p>
          <w:p w14:paraId="2C812E3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b/>
                <w:bCs w:val="0"/>
                <w:sz w:val="28"/>
                <w:szCs w:val="28"/>
              </w:rPr>
            </w:pPr>
            <w:r>
              <w:rPr>
                <w:rFonts w:hint="eastAsia" w:ascii="宋体" w:hAnsi="宋体" w:eastAsia="宋体"/>
                <w:b/>
                <w:bCs w:val="0"/>
                <w:sz w:val="28"/>
                <w:szCs w:val="28"/>
              </w:rPr>
              <w:t>2.具有高级工程师职称。</w:t>
            </w:r>
          </w:p>
        </w:tc>
      </w:tr>
      <w:tr w14:paraId="2C07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0" w:type="dxa"/>
            <w:vAlign w:val="center"/>
          </w:tcPr>
          <w:p w14:paraId="2FE69B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bCs/>
                <w:sz w:val="28"/>
                <w:szCs w:val="28"/>
                <w:highlight w:val="none"/>
              </w:rPr>
            </w:pPr>
            <w:r>
              <w:rPr>
                <w:rFonts w:hint="eastAsia" w:ascii="宋体" w:hAnsi="宋体" w:eastAsia="宋体"/>
                <w:bCs/>
                <w:sz w:val="28"/>
                <w:szCs w:val="28"/>
                <w:highlight w:val="none"/>
              </w:rPr>
              <w:t>合规专家</w:t>
            </w:r>
          </w:p>
        </w:tc>
        <w:tc>
          <w:tcPr>
            <w:tcW w:w="1370" w:type="dxa"/>
            <w:vAlign w:val="center"/>
          </w:tcPr>
          <w:p w14:paraId="13EAB6C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rPr>
              <w:t>3</w:t>
            </w:r>
            <w:r>
              <w:rPr>
                <w:rFonts w:hint="eastAsia" w:ascii="宋体" w:hAnsi="宋体"/>
                <w:sz w:val="28"/>
                <w:szCs w:val="28"/>
                <w:highlight w:val="none"/>
                <w:lang w:val="en-US" w:eastAsia="zh-CN"/>
              </w:rPr>
              <w:t>人</w:t>
            </w:r>
          </w:p>
        </w:tc>
        <w:tc>
          <w:tcPr>
            <w:tcW w:w="6120" w:type="dxa"/>
            <w:vAlign w:val="center"/>
          </w:tcPr>
          <w:p w14:paraId="0ED8C84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sz w:val="28"/>
                <w:szCs w:val="28"/>
                <w:highlight w:val="none"/>
              </w:rPr>
            </w:pPr>
            <w:r>
              <w:rPr>
                <w:rFonts w:hint="eastAsia" w:ascii="宋体" w:hAnsi="宋体" w:eastAsia="宋体"/>
                <w:sz w:val="28"/>
                <w:szCs w:val="28"/>
                <w:highlight w:val="none"/>
              </w:rPr>
              <w:t>1.</w:t>
            </w:r>
            <w:r>
              <w:rPr>
                <w:rFonts w:ascii="宋体" w:hAnsi="宋体" w:eastAsia="宋体"/>
                <w:sz w:val="28"/>
                <w:szCs w:val="28"/>
                <w:highlight w:val="none"/>
              </w:rPr>
              <w:t>具有</w:t>
            </w:r>
            <w:r>
              <w:rPr>
                <w:rFonts w:hint="eastAsia" w:ascii="宋体" w:hAnsi="宋体" w:eastAsia="宋体"/>
                <w:sz w:val="28"/>
                <w:szCs w:val="28"/>
                <w:highlight w:val="none"/>
              </w:rPr>
              <w:t>个人信息保护专业人员（CCRC-PIP）认证资格。</w:t>
            </w:r>
          </w:p>
          <w:p w14:paraId="365F25A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sz w:val="28"/>
                <w:szCs w:val="28"/>
                <w:highlight w:val="none"/>
              </w:rPr>
            </w:pPr>
            <w:r>
              <w:rPr>
                <w:rFonts w:hint="eastAsia" w:ascii="宋体" w:hAnsi="宋体" w:eastAsia="宋体"/>
                <w:sz w:val="28"/>
                <w:szCs w:val="28"/>
                <w:highlight w:val="none"/>
              </w:rPr>
              <w:t>2.</w:t>
            </w:r>
            <w:r>
              <w:rPr>
                <w:rFonts w:ascii="宋体" w:hAnsi="宋体" w:eastAsia="宋体"/>
                <w:sz w:val="28"/>
                <w:szCs w:val="28"/>
                <w:highlight w:val="none"/>
              </w:rPr>
              <w:t>具有</w:t>
            </w:r>
            <w:r>
              <w:rPr>
                <w:rFonts w:hint="eastAsia" w:ascii="宋体" w:hAnsi="宋体" w:eastAsia="宋体"/>
                <w:sz w:val="28"/>
                <w:szCs w:val="28"/>
                <w:highlight w:val="none"/>
              </w:rPr>
              <w:t>数据安全评估师（CCRC-DSA）认证资格。</w:t>
            </w:r>
          </w:p>
          <w:p w14:paraId="4E4961F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highlight w:val="none"/>
              </w:rPr>
            </w:pPr>
            <w:r>
              <w:rPr>
                <w:rFonts w:hint="eastAsia" w:ascii="宋体" w:hAnsi="宋体" w:eastAsia="宋体"/>
                <w:sz w:val="28"/>
                <w:szCs w:val="28"/>
                <w:highlight w:val="none"/>
              </w:rPr>
              <w:t>3.具有数据治理工程师（CDGA）认证资格。</w:t>
            </w:r>
          </w:p>
        </w:tc>
      </w:tr>
      <w:tr w14:paraId="5BFC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0" w:type="dxa"/>
            <w:vAlign w:val="center"/>
          </w:tcPr>
          <w:p w14:paraId="48D695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eastAsia="宋体"/>
                <w:bCs/>
                <w:sz w:val="28"/>
                <w:szCs w:val="28"/>
              </w:rPr>
              <w:t>研发</w:t>
            </w:r>
            <w:r>
              <w:rPr>
                <w:rFonts w:hint="eastAsia" w:ascii="宋体" w:hAnsi="宋体"/>
                <w:bCs/>
                <w:sz w:val="28"/>
                <w:szCs w:val="28"/>
                <w:lang w:val="en-US" w:eastAsia="zh-CN"/>
              </w:rPr>
              <w:t>人员</w:t>
            </w:r>
          </w:p>
        </w:tc>
        <w:tc>
          <w:tcPr>
            <w:tcW w:w="1370" w:type="dxa"/>
            <w:vAlign w:val="center"/>
          </w:tcPr>
          <w:p w14:paraId="2E94C1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eastAsia="宋体"/>
                <w:sz w:val="28"/>
                <w:szCs w:val="28"/>
              </w:rPr>
              <w:t>30</w:t>
            </w:r>
            <w:r>
              <w:rPr>
                <w:rFonts w:hint="eastAsia" w:ascii="宋体" w:hAnsi="宋体"/>
                <w:sz w:val="28"/>
                <w:szCs w:val="28"/>
                <w:lang w:val="en-US" w:eastAsia="zh-CN"/>
              </w:rPr>
              <w:t>人</w:t>
            </w:r>
          </w:p>
        </w:tc>
        <w:tc>
          <w:tcPr>
            <w:tcW w:w="6120" w:type="dxa"/>
            <w:vAlign w:val="center"/>
          </w:tcPr>
          <w:p w14:paraId="4C1D5945">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研发负责人具有计算相关专业全日制硕士研究生及以上学历。</w:t>
            </w:r>
          </w:p>
          <w:p w14:paraId="4FBA2584">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测试负责人具有计算相关专业全日制硕士研究生及以上学历。</w:t>
            </w:r>
          </w:p>
          <w:p w14:paraId="4FE92502">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sz w:val="28"/>
                <w:szCs w:val="28"/>
              </w:rPr>
            </w:pPr>
            <w:r>
              <w:rPr>
                <w:rFonts w:hint="eastAsia" w:ascii="宋体" w:hAnsi="宋体" w:eastAsia="宋体"/>
                <w:sz w:val="28"/>
                <w:szCs w:val="28"/>
              </w:rPr>
              <w:t>核心研发工程师不少于20人，核心测试工程师不少于5人。</w:t>
            </w:r>
          </w:p>
        </w:tc>
      </w:tr>
      <w:tr w14:paraId="06D6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0" w:type="dxa"/>
            <w:vAlign w:val="center"/>
          </w:tcPr>
          <w:p w14:paraId="239262D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eastAsia="宋体"/>
                <w:bCs/>
                <w:sz w:val="28"/>
                <w:szCs w:val="28"/>
              </w:rPr>
              <w:t>实施</w:t>
            </w:r>
            <w:r>
              <w:rPr>
                <w:rFonts w:hint="eastAsia" w:ascii="宋体" w:hAnsi="宋体"/>
                <w:bCs/>
                <w:sz w:val="28"/>
                <w:szCs w:val="28"/>
                <w:lang w:val="en-US" w:eastAsia="zh-CN"/>
              </w:rPr>
              <w:t>人员</w:t>
            </w:r>
          </w:p>
        </w:tc>
        <w:tc>
          <w:tcPr>
            <w:tcW w:w="1370" w:type="dxa"/>
            <w:vAlign w:val="center"/>
          </w:tcPr>
          <w:p w14:paraId="731D57C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sz w:val="28"/>
                <w:szCs w:val="28"/>
                <w:lang w:val="en-US" w:eastAsia="zh-CN"/>
              </w:rPr>
            </w:pPr>
            <w:r>
              <w:rPr>
                <w:rFonts w:hint="eastAsia" w:ascii="宋体" w:hAnsi="宋体" w:eastAsia="宋体"/>
                <w:sz w:val="28"/>
                <w:szCs w:val="28"/>
              </w:rPr>
              <w:t>5</w:t>
            </w:r>
            <w:r>
              <w:rPr>
                <w:rFonts w:hint="eastAsia" w:ascii="宋体" w:hAnsi="宋体"/>
                <w:sz w:val="28"/>
                <w:szCs w:val="28"/>
                <w:lang w:val="en-US" w:eastAsia="zh-CN"/>
              </w:rPr>
              <w:t>人</w:t>
            </w:r>
          </w:p>
        </w:tc>
        <w:tc>
          <w:tcPr>
            <w:tcW w:w="6120" w:type="dxa"/>
            <w:vAlign w:val="center"/>
          </w:tcPr>
          <w:p w14:paraId="1587CFA2">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sz w:val="28"/>
                <w:szCs w:val="28"/>
                <w:lang w:val="en-US" w:eastAsia="zh-CN"/>
              </w:rPr>
            </w:pPr>
            <w:r>
              <w:rPr>
                <w:rFonts w:hint="eastAsia" w:ascii="宋体" w:hAnsi="宋体"/>
                <w:sz w:val="28"/>
                <w:szCs w:val="28"/>
                <w:lang w:val="en-US" w:eastAsia="zh-CN"/>
              </w:rPr>
              <w:t>需具备相关项目经验。</w:t>
            </w:r>
          </w:p>
        </w:tc>
      </w:tr>
    </w:tbl>
    <w:p w14:paraId="0E575466">
      <w:pPr>
        <w:pStyle w:val="11"/>
        <w:spacing w:line="300" w:lineRule="auto"/>
        <w:rPr>
          <w:rFonts w:hint="eastAsia" w:ascii="宋体" w:hAnsi="宋体" w:eastAsia="宋体" w:cstheme="minorBidi"/>
          <w:b/>
          <w:bCs/>
          <w:color w:val="auto"/>
          <w:kern w:val="2"/>
          <w:sz w:val="28"/>
          <w:szCs w:val="28"/>
          <w:u w:val="single"/>
          <w:lang w:val="en-US" w:eastAsia="zh-CN" w:bidi="ar-SA"/>
        </w:rPr>
      </w:pPr>
      <w:r>
        <w:rPr>
          <w:rFonts w:hint="eastAsia" w:ascii="宋体" w:hAnsi="宋体" w:eastAsia="宋体" w:cstheme="minorBidi"/>
          <w:b/>
          <w:bCs/>
          <w:color w:val="auto"/>
          <w:kern w:val="2"/>
          <w:sz w:val="28"/>
          <w:szCs w:val="28"/>
          <w:u w:val="single"/>
          <w:lang w:val="en-US" w:eastAsia="zh-CN" w:bidi="ar-SA"/>
        </w:rPr>
        <w:t>注：1、以上人员应为本单位正式员工，提供近</w:t>
      </w:r>
      <w:r>
        <w:rPr>
          <w:rFonts w:hint="eastAsia" w:ascii="宋体" w:hAnsi="宋体" w:cstheme="minorBidi"/>
          <w:b/>
          <w:bCs/>
          <w:color w:val="auto"/>
          <w:kern w:val="2"/>
          <w:sz w:val="28"/>
          <w:szCs w:val="28"/>
          <w:u w:val="single"/>
          <w:lang w:val="en-US" w:eastAsia="zh-CN" w:bidi="ar-SA"/>
        </w:rPr>
        <w:t>一季度内任一月</w:t>
      </w:r>
      <w:r>
        <w:rPr>
          <w:rFonts w:hint="eastAsia" w:ascii="宋体" w:hAnsi="宋体" w:eastAsia="宋体" w:cstheme="minorBidi"/>
          <w:b/>
          <w:bCs/>
          <w:color w:val="auto"/>
          <w:kern w:val="2"/>
          <w:sz w:val="28"/>
          <w:szCs w:val="28"/>
          <w:u w:val="single"/>
          <w:lang w:val="en-US" w:eastAsia="zh-CN" w:bidi="ar-SA"/>
        </w:rPr>
        <w:t>的在职证明材料；</w:t>
      </w:r>
    </w:p>
    <w:p w14:paraId="0F9275A8">
      <w:pPr>
        <w:pStyle w:val="11"/>
        <w:spacing w:line="300" w:lineRule="auto"/>
        <w:ind w:firstLine="1096" w:firstLineChars="390"/>
        <w:rPr>
          <w:rFonts w:hint="eastAsia" w:ascii="宋体" w:hAnsi="宋体" w:eastAsia="宋体" w:cstheme="minorBidi"/>
          <w:b/>
          <w:bCs/>
          <w:color w:val="auto"/>
          <w:kern w:val="2"/>
          <w:sz w:val="28"/>
          <w:szCs w:val="28"/>
          <w:u w:val="single"/>
          <w:lang w:val="en-US" w:eastAsia="zh-CN" w:bidi="ar-SA"/>
        </w:rPr>
      </w:pPr>
      <w:r>
        <w:rPr>
          <w:rFonts w:hint="eastAsia" w:ascii="宋体" w:hAnsi="宋体" w:eastAsia="宋体" w:cstheme="minorBidi"/>
          <w:b/>
          <w:bCs/>
          <w:color w:val="auto"/>
          <w:kern w:val="2"/>
          <w:sz w:val="28"/>
          <w:szCs w:val="28"/>
          <w:u w:val="single"/>
          <w:lang w:val="en-US" w:eastAsia="zh-CN" w:bidi="ar-SA"/>
        </w:rPr>
        <w:t>2、拟派人员如有相关证书，可在</w:t>
      </w:r>
      <w:r>
        <w:rPr>
          <w:rFonts w:hint="eastAsia" w:ascii="宋体" w:hAnsi="宋体" w:cstheme="minorBidi"/>
          <w:b/>
          <w:bCs/>
          <w:color w:val="auto"/>
          <w:kern w:val="2"/>
          <w:sz w:val="28"/>
          <w:szCs w:val="28"/>
          <w:u w:val="single"/>
          <w:lang w:val="en-US" w:eastAsia="zh-CN" w:bidi="ar-SA"/>
        </w:rPr>
        <w:t>响应</w:t>
      </w:r>
      <w:r>
        <w:rPr>
          <w:rFonts w:hint="eastAsia" w:ascii="宋体" w:hAnsi="宋体" w:eastAsia="宋体" w:cstheme="minorBidi"/>
          <w:b/>
          <w:bCs/>
          <w:color w:val="auto"/>
          <w:kern w:val="2"/>
          <w:sz w:val="28"/>
          <w:szCs w:val="28"/>
          <w:u w:val="single"/>
          <w:lang w:val="en-US" w:eastAsia="zh-CN" w:bidi="ar-SA"/>
        </w:rPr>
        <w:t>文件中提供。</w:t>
      </w:r>
    </w:p>
    <w:p w14:paraId="0E37EF8F">
      <w:pPr>
        <w:ind w:firstLine="560" w:firstLineChars="200"/>
        <w:rPr>
          <w:rFonts w:hint="eastAsia" w:ascii="宋体" w:hAnsi="宋体" w:eastAsia="宋体"/>
          <w:sz w:val="28"/>
          <w:szCs w:val="28"/>
        </w:rPr>
      </w:pPr>
    </w:p>
    <w:p w14:paraId="6069598D">
      <w:pPr>
        <w:ind w:firstLine="560" w:firstLineChars="200"/>
        <w:rPr>
          <w:rFonts w:hint="eastAsia" w:ascii="宋体" w:hAnsi="宋体" w:eastAsia="宋体"/>
          <w:sz w:val="28"/>
          <w:szCs w:val="28"/>
        </w:rPr>
      </w:pPr>
      <w:r>
        <w:rPr>
          <w:rFonts w:hint="eastAsia" w:ascii="宋体" w:hAnsi="宋体"/>
          <w:sz w:val="28"/>
          <w:szCs w:val="28"/>
          <w:lang w:eastAsia="zh-CN"/>
        </w:rPr>
        <w:t>响应供应商</w:t>
      </w:r>
      <w:r>
        <w:rPr>
          <w:rFonts w:hint="eastAsia" w:ascii="宋体" w:hAnsi="宋体" w:eastAsia="宋体"/>
          <w:sz w:val="28"/>
          <w:szCs w:val="28"/>
        </w:rPr>
        <w:t>供应商应向</w:t>
      </w:r>
      <w:r>
        <w:rPr>
          <w:rFonts w:hint="eastAsia" w:ascii="宋体" w:hAnsi="宋体"/>
          <w:sz w:val="28"/>
          <w:szCs w:val="28"/>
          <w:lang w:eastAsia="zh-CN"/>
        </w:rPr>
        <w:t>采购单位</w:t>
      </w:r>
      <w:r>
        <w:rPr>
          <w:rFonts w:hint="eastAsia" w:ascii="宋体" w:hAnsi="宋体" w:eastAsia="宋体"/>
          <w:sz w:val="28"/>
          <w:szCs w:val="28"/>
        </w:rPr>
        <w:t>提交《项目实施工程师团队名单》，合同执行期间，</w:t>
      </w:r>
      <w:r>
        <w:rPr>
          <w:rFonts w:hint="eastAsia" w:ascii="宋体" w:hAnsi="宋体"/>
          <w:sz w:val="28"/>
          <w:szCs w:val="28"/>
          <w:lang w:eastAsia="zh-CN"/>
        </w:rPr>
        <w:t>响应供应商</w:t>
      </w:r>
      <w:r>
        <w:rPr>
          <w:rFonts w:hint="eastAsia" w:ascii="宋体" w:hAnsi="宋体" w:eastAsia="宋体"/>
          <w:sz w:val="28"/>
          <w:szCs w:val="28"/>
        </w:rPr>
        <w:t>供应商项目人员、热线电话、指定联系人发生变化时，应提前3个工作日向</w:t>
      </w:r>
      <w:r>
        <w:rPr>
          <w:rFonts w:hint="eastAsia" w:ascii="宋体" w:hAnsi="宋体"/>
          <w:sz w:val="28"/>
          <w:szCs w:val="28"/>
          <w:lang w:eastAsia="zh-CN"/>
        </w:rPr>
        <w:t>采购单位</w:t>
      </w:r>
      <w:r>
        <w:rPr>
          <w:rFonts w:hint="eastAsia" w:ascii="宋体" w:hAnsi="宋体" w:eastAsia="宋体"/>
          <w:sz w:val="28"/>
          <w:szCs w:val="28"/>
        </w:rPr>
        <w:t>提交《项目实施工程师团队调整说明》。</w:t>
      </w:r>
    </w:p>
    <w:p w14:paraId="7D4BC727">
      <w:pPr>
        <w:ind w:firstLine="560" w:firstLineChars="200"/>
        <w:rPr>
          <w:rFonts w:hint="eastAsia" w:ascii="楷体" w:hAnsi="楷体" w:eastAsia="楷体" w:cs="楷体"/>
        </w:rPr>
      </w:pPr>
      <w:r>
        <w:rPr>
          <w:rFonts w:hint="eastAsia" w:ascii="宋体" w:hAnsi="宋体"/>
          <w:sz w:val="28"/>
          <w:szCs w:val="28"/>
          <w:lang w:eastAsia="zh-CN"/>
        </w:rPr>
        <w:t>响应供应商</w:t>
      </w:r>
      <w:r>
        <w:rPr>
          <w:rFonts w:hint="eastAsia" w:ascii="宋体" w:hAnsi="宋体" w:eastAsia="宋体"/>
          <w:sz w:val="28"/>
          <w:szCs w:val="28"/>
        </w:rPr>
        <w:t>供应商应指派1名具有丰富相关项目研发与实施管理经验的工程师协调与维护服务相关的事宜，提供（7×24小时，含节假日）有效的支持服务电话。</w:t>
      </w:r>
    </w:p>
    <w:p w14:paraId="4C294220">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安装和调试</w:t>
      </w:r>
    </w:p>
    <w:p w14:paraId="1DACB803">
      <w:pPr>
        <w:ind w:firstLine="560" w:firstLineChars="200"/>
        <w:rPr>
          <w:rFonts w:hint="eastAsia"/>
        </w:rPr>
      </w:pPr>
      <w:r>
        <w:rPr>
          <w:rFonts w:hint="eastAsia" w:ascii="宋体" w:hAnsi="宋体"/>
          <w:sz w:val="28"/>
          <w:szCs w:val="28"/>
          <w:lang w:eastAsia="zh-CN"/>
        </w:rPr>
        <w:t>响应供应商</w:t>
      </w:r>
      <w:r>
        <w:rPr>
          <w:rFonts w:hint="eastAsia" w:ascii="宋体" w:hAnsi="宋体" w:eastAsia="宋体"/>
          <w:sz w:val="28"/>
          <w:szCs w:val="28"/>
        </w:rPr>
        <w:t>供应商应根据</w:t>
      </w:r>
      <w:r>
        <w:rPr>
          <w:rFonts w:hint="eastAsia" w:ascii="宋体" w:hAnsi="宋体"/>
          <w:sz w:val="28"/>
          <w:szCs w:val="28"/>
          <w:lang w:eastAsia="zh-CN"/>
        </w:rPr>
        <w:t>采购单位</w:t>
      </w:r>
      <w:r>
        <w:rPr>
          <w:rFonts w:hint="eastAsia" w:ascii="宋体" w:hAnsi="宋体" w:eastAsia="宋体"/>
          <w:sz w:val="28"/>
          <w:szCs w:val="28"/>
        </w:rPr>
        <w:t>要求在指定场所进行安装与调试，直至达到</w:t>
      </w:r>
      <w:r>
        <w:rPr>
          <w:rFonts w:hint="eastAsia" w:ascii="宋体" w:hAnsi="宋体"/>
          <w:sz w:val="28"/>
          <w:szCs w:val="28"/>
          <w:lang w:eastAsia="zh-CN"/>
        </w:rPr>
        <w:t>采购单位</w:t>
      </w:r>
      <w:r>
        <w:rPr>
          <w:rFonts w:hint="eastAsia" w:ascii="宋体" w:hAnsi="宋体" w:eastAsia="宋体"/>
          <w:sz w:val="28"/>
          <w:szCs w:val="28"/>
        </w:rPr>
        <w:t>的相关要求。</w:t>
      </w:r>
    </w:p>
    <w:p w14:paraId="2473CD06">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培训要求</w:t>
      </w:r>
    </w:p>
    <w:p w14:paraId="57B3B2BD">
      <w:pPr>
        <w:rPr>
          <w:rFonts w:hint="eastAsia"/>
        </w:rPr>
      </w:pPr>
      <w:r>
        <w:rPr>
          <w:rFonts w:hint="eastAsia" w:ascii="宋体" w:hAnsi="宋体"/>
          <w:sz w:val="28"/>
          <w:szCs w:val="28"/>
          <w:lang w:eastAsia="zh-CN"/>
        </w:rPr>
        <w:t>响应供应商</w:t>
      </w:r>
      <w:r>
        <w:rPr>
          <w:rFonts w:hint="eastAsia" w:ascii="宋体" w:hAnsi="宋体" w:eastAsia="宋体"/>
          <w:sz w:val="28"/>
          <w:szCs w:val="28"/>
        </w:rPr>
        <w:t>供应商应向</w:t>
      </w:r>
      <w:r>
        <w:rPr>
          <w:rFonts w:hint="eastAsia" w:ascii="宋体" w:hAnsi="宋体"/>
          <w:sz w:val="28"/>
          <w:szCs w:val="28"/>
          <w:lang w:eastAsia="zh-CN"/>
        </w:rPr>
        <w:t>采购单位</w:t>
      </w:r>
      <w:r>
        <w:rPr>
          <w:rFonts w:hint="eastAsia" w:ascii="宋体" w:hAnsi="宋体" w:eastAsia="宋体"/>
          <w:sz w:val="28"/>
          <w:szCs w:val="28"/>
        </w:rPr>
        <w:t>提供充分培训，以便</w:t>
      </w:r>
      <w:r>
        <w:rPr>
          <w:rFonts w:hint="eastAsia" w:ascii="宋体" w:hAnsi="宋体"/>
          <w:sz w:val="28"/>
          <w:szCs w:val="28"/>
          <w:lang w:eastAsia="zh-CN"/>
        </w:rPr>
        <w:t>采购单位</w:t>
      </w:r>
      <w:r>
        <w:rPr>
          <w:rFonts w:hint="eastAsia" w:ascii="宋体" w:hAnsi="宋体" w:eastAsia="宋体"/>
          <w:sz w:val="28"/>
          <w:szCs w:val="28"/>
        </w:rPr>
        <w:t>能够正常使用和管理所建设的平台系统，</w:t>
      </w:r>
      <w:r>
        <w:rPr>
          <w:rFonts w:hint="eastAsia" w:ascii="宋体" w:hAnsi="宋体"/>
          <w:sz w:val="28"/>
          <w:szCs w:val="28"/>
          <w:lang w:eastAsia="zh-CN"/>
        </w:rPr>
        <w:t>响应供应商</w:t>
      </w:r>
      <w:r>
        <w:rPr>
          <w:rFonts w:hint="eastAsia" w:ascii="宋体" w:hAnsi="宋体" w:eastAsia="宋体"/>
          <w:sz w:val="28"/>
          <w:szCs w:val="28"/>
        </w:rPr>
        <w:t>供应商应当向</w:t>
      </w:r>
      <w:r>
        <w:rPr>
          <w:rFonts w:hint="eastAsia" w:ascii="宋体" w:hAnsi="宋体"/>
          <w:sz w:val="28"/>
          <w:szCs w:val="28"/>
          <w:lang w:eastAsia="zh-CN"/>
        </w:rPr>
        <w:t>采购单位</w:t>
      </w:r>
      <w:r>
        <w:rPr>
          <w:rFonts w:hint="eastAsia" w:ascii="宋体" w:hAnsi="宋体" w:eastAsia="宋体"/>
          <w:sz w:val="28"/>
          <w:szCs w:val="28"/>
        </w:rPr>
        <w:t>提供培训资料与使用说明书。</w:t>
      </w:r>
    </w:p>
    <w:p w14:paraId="2E549F45">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验收要求</w:t>
      </w:r>
    </w:p>
    <w:p w14:paraId="03F71A6A">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项目验收应符合以下绩效考核指标：</w:t>
      </w:r>
    </w:p>
    <w:tbl>
      <w:tblPr>
        <w:tblStyle w:val="16"/>
        <w:tblW w:w="830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770"/>
        <w:gridCol w:w="3750"/>
        <w:gridCol w:w="1430"/>
      </w:tblGrid>
      <w:tr w14:paraId="0F9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Align w:val="center"/>
          </w:tcPr>
          <w:p w14:paraId="2FDF20F7">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一级指标</w:t>
            </w:r>
          </w:p>
        </w:tc>
        <w:tc>
          <w:tcPr>
            <w:tcW w:w="1770" w:type="dxa"/>
            <w:vAlign w:val="center"/>
          </w:tcPr>
          <w:p w14:paraId="58F164F4">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二级指标</w:t>
            </w:r>
          </w:p>
        </w:tc>
        <w:tc>
          <w:tcPr>
            <w:tcW w:w="3750" w:type="dxa"/>
            <w:vAlign w:val="center"/>
          </w:tcPr>
          <w:p w14:paraId="03405941">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三级指标</w:t>
            </w:r>
          </w:p>
        </w:tc>
        <w:tc>
          <w:tcPr>
            <w:tcW w:w="1430" w:type="dxa"/>
            <w:vAlign w:val="center"/>
          </w:tcPr>
          <w:p w14:paraId="36735715">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指标值</w:t>
            </w:r>
          </w:p>
        </w:tc>
      </w:tr>
      <w:tr w14:paraId="1AFE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restart"/>
            <w:vAlign w:val="center"/>
          </w:tcPr>
          <w:p w14:paraId="32847580">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产出指标</w:t>
            </w:r>
          </w:p>
        </w:tc>
        <w:tc>
          <w:tcPr>
            <w:tcW w:w="1770" w:type="dxa"/>
            <w:vMerge w:val="restart"/>
            <w:vAlign w:val="center"/>
          </w:tcPr>
          <w:p w14:paraId="18A989FC">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数量指标</w:t>
            </w:r>
          </w:p>
        </w:tc>
        <w:tc>
          <w:tcPr>
            <w:tcW w:w="3750" w:type="dxa"/>
            <w:vAlign w:val="center"/>
          </w:tcPr>
          <w:p w14:paraId="59C67695">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服务企业数</w:t>
            </w:r>
          </w:p>
        </w:tc>
        <w:tc>
          <w:tcPr>
            <w:tcW w:w="1430" w:type="dxa"/>
            <w:vAlign w:val="center"/>
          </w:tcPr>
          <w:p w14:paraId="58C037D7">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≥10家</w:t>
            </w:r>
          </w:p>
        </w:tc>
      </w:tr>
      <w:tr w14:paraId="381C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continue"/>
            <w:vAlign w:val="center"/>
          </w:tcPr>
          <w:p w14:paraId="62B7B5BB">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Merge w:val="continue"/>
            <w:vAlign w:val="center"/>
          </w:tcPr>
          <w:p w14:paraId="4326138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3750" w:type="dxa"/>
            <w:vAlign w:val="center"/>
          </w:tcPr>
          <w:p w14:paraId="35AC7028">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备案场景数</w:t>
            </w:r>
          </w:p>
        </w:tc>
        <w:tc>
          <w:tcPr>
            <w:tcW w:w="1430" w:type="dxa"/>
            <w:vAlign w:val="center"/>
          </w:tcPr>
          <w:p w14:paraId="1A2B5CD3">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≥10个</w:t>
            </w:r>
          </w:p>
        </w:tc>
      </w:tr>
      <w:tr w14:paraId="71BE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continue"/>
            <w:vAlign w:val="center"/>
          </w:tcPr>
          <w:p w14:paraId="08AD0F6A">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Merge w:val="continue"/>
            <w:vAlign w:val="center"/>
          </w:tcPr>
          <w:p w14:paraId="562C1D2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3750" w:type="dxa"/>
            <w:vAlign w:val="center"/>
          </w:tcPr>
          <w:p w14:paraId="0ED6043A">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数据跨境存证数</w:t>
            </w:r>
          </w:p>
        </w:tc>
        <w:tc>
          <w:tcPr>
            <w:tcW w:w="1430" w:type="dxa"/>
            <w:vAlign w:val="center"/>
          </w:tcPr>
          <w:p w14:paraId="123DC2D2">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≥1000条</w:t>
            </w:r>
          </w:p>
        </w:tc>
      </w:tr>
      <w:tr w14:paraId="3868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continue"/>
            <w:vAlign w:val="center"/>
          </w:tcPr>
          <w:p w14:paraId="281E5FF8">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Align w:val="center"/>
          </w:tcPr>
          <w:p w14:paraId="12059EE1">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质量指标</w:t>
            </w:r>
          </w:p>
        </w:tc>
        <w:tc>
          <w:tcPr>
            <w:tcW w:w="3750" w:type="dxa"/>
            <w:vAlign w:val="center"/>
          </w:tcPr>
          <w:p w14:paraId="6D28A662">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一次性通过第三方测试、验收</w:t>
            </w:r>
          </w:p>
        </w:tc>
        <w:tc>
          <w:tcPr>
            <w:tcW w:w="1430" w:type="dxa"/>
            <w:vAlign w:val="center"/>
          </w:tcPr>
          <w:p w14:paraId="1775D025">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w:t>
            </w:r>
          </w:p>
        </w:tc>
      </w:tr>
      <w:tr w14:paraId="255F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continue"/>
            <w:vAlign w:val="center"/>
          </w:tcPr>
          <w:p w14:paraId="604C2E28">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Merge w:val="restart"/>
            <w:vAlign w:val="center"/>
          </w:tcPr>
          <w:p w14:paraId="340B58F9">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时效指标</w:t>
            </w:r>
          </w:p>
        </w:tc>
        <w:tc>
          <w:tcPr>
            <w:tcW w:w="3750" w:type="dxa"/>
            <w:vAlign w:val="center"/>
          </w:tcPr>
          <w:p w14:paraId="1BB88A2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按期交付项目</w:t>
            </w:r>
          </w:p>
        </w:tc>
        <w:tc>
          <w:tcPr>
            <w:tcW w:w="1430" w:type="dxa"/>
            <w:vAlign w:val="center"/>
          </w:tcPr>
          <w:p w14:paraId="3648D560">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w:t>
            </w:r>
          </w:p>
        </w:tc>
      </w:tr>
      <w:tr w14:paraId="3C9A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continue"/>
            <w:vAlign w:val="center"/>
          </w:tcPr>
          <w:p w14:paraId="6A03F79A">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Merge w:val="continue"/>
            <w:vAlign w:val="center"/>
          </w:tcPr>
          <w:p w14:paraId="483DC77A">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3750" w:type="dxa"/>
            <w:vAlign w:val="center"/>
          </w:tcPr>
          <w:p w14:paraId="10528384">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运维期间响应时间</w:t>
            </w:r>
          </w:p>
        </w:tc>
        <w:tc>
          <w:tcPr>
            <w:tcW w:w="1430" w:type="dxa"/>
            <w:vAlign w:val="center"/>
          </w:tcPr>
          <w:p w14:paraId="25BE8E4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≤4小时</w:t>
            </w:r>
          </w:p>
        </w:tc>
      </w:tr>
      <w:tr w14:paraId="67B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continue"/>
            <w:vAlign w:val="center"/>
          </w:tcPr>
          <w:p w14:paraId="13C4EB62">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Align w:val="center"/>
          </w:tcPr>
          <w:p w14:paraId="5C4F4D41">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成本指标</w:t>
            </w:r>
          </w:p>
        </w:tc>
        <w:tc>
          <w:tcPr>
            <w:tcW w:w="3750" w:type="dxa"/>
            <w:vAlign w:val="center"/>
          </w:tcPr>
          <w:p w14:paraId="2B67BEE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控制在财政限价范围内</w:t>
            </w:r>
          </w:p>
        </w:tc>
        <w:tc>
          <w:tcPr>
            <w:tcW w:w="1430" w:type="dxa"/>
            <w:vAlign w:val="center"/>
          </w:tcPr>
          <w:p w14:paraId="4DD58F5E">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w:t>
            </w:r>
          </w:p>
        </w:tc>
      </w:tr>
      <w:tr w14:paraId="5684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restart"/>
            <w:vAlign w:val="center"/>
          </w:tcPr>
          <w:p w14:paraId="0C9786ED">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效益指标</w:t>
            </w:r>
          </w:p>
        </w:tc>
        <w:tc>
          <w:tcPr>
            <w:tcW w:w="1770" w:type="dxa"/>
            <w:vAlign w:val="center"/>
          </w:tcPr>
          <w:p w14:paraId="105A25B1">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社会效益</w:t>
            </w:r>
          </w:p>
        </w:tc>
        <w:tc>
          <w:tcPr>
            <w:tcW w:w="3750" w:type="dxa"/>
            <w:vAlign w:val="center"/>
          </w:tcPr>
          <w:p w14:paraId="591E4ABF">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对业务部门工作有明显提升</w:t>
            </w:r>
          </w:p>
        </w:tc>
        <w:tc>
          <w:tcPr>
            <w:tcW w:w="1430" w:type="dxa"/>
            <w:vAlign w:val="center"/>
          </w:tcPr>
          <w:p w14:paraId="42BC2B4F">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w:t>
            </w:r>
          </w:p>
        </w:tc>
      </w:tr>
      <w:tr w14:paraId="0B96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350" w:type="dxa"/>
            <w:vMerge w:val="continue"/>
            <w:vAlign w:val="center"/>
          </w:tcPr>
          <w:p w14:paraId="545FB37B">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Align w:val="center"/>
          </w:tcPr>
          <w:p w14:paraId="61D0B729">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可持续指标</w:t>
            </w:r>
          </w:p>
        </w:tc>
        <w:tc>
          <w:tcPr>
            <w:tcW w:w="3750" w:type="dxa"/>
            <w:vAlign w:val="center"/>
          </w:tcPr>
          <w:p w14:paraId="366E7DD5">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系统建成后可持续发挥作用年限</w:t>
            </w:r>
          </w:p>
        </w:tc>
        <w:tc>
          <w:tcPr>
            <w:tcW w:w="1430" w:type="dxa"/>
            <w:vAlign w:val="center"/>
          </w:tcPr>
          <w:p w14:paraId="11F96F34">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≥5年</w:t>
            </w:r>
          </w:p>
        </w:tc>
      </w:tr>
      <w:tr w14:paraId="0788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dxa"/>
            <w:vMerge w:val="restart"/>
            <w:vAlign w:val="center"/>
          </w:tcPr>
          <w:p w14:paraId="21088E33">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满意度</w:t>
            </w:r>
          </w:p>
          <w:p w14:paraId="3767D836">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tc>
        <w:tc>
          <w:tcPr>
            <w:tcW w:w="1770" w:type="dxa"/>
            <w:vAlign w:val="center"/>
          </w:tcPr>
          <w:p w14:paraId="6CEC410E">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用户满意度</w:t>
            </w:r>
          </w:p>
        </w:tc>
        <w:tc>
          <w:tcPr>
            <w:tcW w:w="3750" w:type="dxa"/>
            <w:vAlign w:val="center"/>
          </w:tcPr>
          <w:p w14:paraId="78086170">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用户满意度</w:t>
            </w:r>
          </w:p>
        </w:tc>
        <w:tc>
          <w:tcPr>
            <w:tcW w:w="1430" w:type="dxa"/>
            <w:vAlign w:val="center"/>
          </w:tcPr>
          <w:p w14:paraId="07000EFF">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≥90%</w:t>
            </w:r>
          </w:p>
        </w:tc>
      </w:tr>
      <w:tr w14:paraId="04A5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50" w:type="dxa"/>
            <w:vMerge w:val="continue"/>
            <w:vAlign w:val="center"/>
          </w:tcPr>
          <w:p w14:paraId="00566295">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p>
        </w:tc>
        <w:tc>
          <w:tcPr>
            <w:tcW w:w="1770" w:type="dxa"/>
            <w:vAlign w:val="center"/>
          </w:tcPr>
          <w:p w14:paraId="2C4C4D5E">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企业满意度</w:t>
            </w:r>
          </w:p>
        </w:tc>
        <w:tc>
          <w:tcPr>
            <w:tcW w:w="3750" w:type="dxa"/>
            <w:vAlign w:val="center"/>
          </w:tcPr>
          <w:p w14:paraId="34718B0C">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企业侧满意度</w:t>
            </w:r>
          </w:p>
        </w:tc>
        <w:tc>
          <w:tcPr>
            <w:tcW w:w="1430" w:type="dxa"/>
            <w:vAlign w:val="center"/>
          </w:tcPr>
          <w:p w14:paraId="3A30E219">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≥90%</w:t>
            </w:r>
          </w:p>
        </w:tc>
      </w:tr>
    </w:tbl>
    <w:p w14:paraId="1916CF3B">
      <w:pPr>
        <w:ind w:firstLine="560" w:firstLineChars="200"/>
        <w:rPr>
          <w:rFonts w:hint="eastAsia" w:ascii="宋体" w:hAnsi="宋体" w:eastAsia="宋体"/>
          <w:sz w:val="28"/>
          <w:szCs w:val="28"/>
        </w:rPr>
      </w:pPr>
      <w:r>
        <w:rPr>
          <w:rFonts w:hint="eastAsia" w:ascii="宋体" w:hAnsi="宋体" w:eastAsia="宋体"/>
          <w:sz w:val="28"/>
          <w:szCs w:val="28"/>
        </w:rPr>
        <w:t>当系统运行满足合同要求，并且在功能测试和集成测试通过后，由</w:t>
      </w:r>
      <w:r>
        <w:rPr>
          <w:rFonts w:hint="eastAsia" w:ascii="宋体" w:hAnsi="宋体"/>
          <w:sz w:val="28"/>
          <w:szCs w:val="28"/>
          <w:lang w:eastAsia="zh-CN"/>
        </w:rPr>
        <w:t>响应供应商</w:t>
      </w:r>
      <w:r>
        <w:rPr>
          <w:rFonts w:hint="eastAsia" w:ascii="宋体" w:hAnsi="宋体" w:eastAsia="宋体"/>
          <w:sz w:val="28"/>
          <w:szCs w:val="28"/>
        </w:rPr>
        <w:t>供应商书面提出验收申请，申请进行项目验收；由</w:t>
      </w:r>
      <w:r>
        <w:rPr>
          <w:rFonts w:hint="eastAsia" w:ascii="宋体" w:hAnsi="宋体"/>
          <w:sz w:val="28"/>
          <w:szCs w:val="28"/>
          <w:lang w:eastAsia="zh-CN"/>
        </w:rPr>
        <w:t>采购单位按照有关管理手势</w:t>
      </w:r>
      <w:r>
        <w:rPr>
          <w:rFonts w:hint="eastAsia" w:ascii="宋体" w:hAnsi="宋体" w:eastAsia="宋体"/>
          <w:sz w:val="28"/>
          <w:szCs w:val="28"/>
        </w:rPr>
        <w:t>进行测评或由用户组织专家进行验收：</w:t>
      </w:r>
    </w:p>
    <w:p w14:paraId="34B74CCE">
      <w:pPr>
        <w:ind w:firstLine="560" w:firstLineChars="200"/>
        <w:rPr>
          <w:rFonts w:hint="eastAsia" w:ascii="宋体" w:hAnsi="宋体" w:eastAsia="宋体"/>
          <w:sz w:val="28"/>
          <w:szCs w:val="28"/>
        </w:rPr>
      </w:pPr>
      <w:r>
        <w:rPr>
          <w:rFonts w:hint="eastAsia" w:ascii="宋体" w:hAnsi="宋体" w:eastAsia="宋体"/>
          <w:sz w:val="28"/>
          <w:szCs w:val="28"/>
        </w:rPr>
        <w:t>（1）项目组提交项目相关技术文档；</w:t>
      </w:r>
    </w:p>
    <w:p w14:paraId="7753FFB2">
      <w:pPr>
        <w:ind w:firstLine="560" w:firstLineChars="200"/>
        <w:rPr>
          <w:rFonts w:hint="eastAsia" w:ascii="宋体" w:hAnsi="宋体" w:eastAsia="宋体"/>
          <w:sz w:val="28"/>
          <w:szCs w:val="28"/>
        </w:rPr>
      </w:pPr>
      <w:r>
        <w:rPr>
          <w:rFonts w:hint="eastAsia" w:ascii="宋体" w:hAnsi="宋体" w:eastAsia="宋体"/>
          <w:sz w:val="28"/>
          <w:szCs w:val="28"/>
        </w:rPr>
        <w:t>（2）</w:t>
      </w:r>
      <w:r>
        <w:rPr>
          <w:rFonts w:hint="eastAsia" w:ascii="宋体" w:hAnsi="宋体"/>
          <w:sz w:val="28"/>
          <w:szCs w:val="28"/>
          <w:lang w:eastAsia="zh-CN"/>
        </w:rPr>
        <w:t>采购单位</w:t>
      </w:r>
      <w:r>
        <w:rPr>
          <w:rFonts w:hint="eastAsia" w:ascii="宋体" w:hAnsi="宋体" w:eastAsia="宋体"/>
          <w:sz w:val="28"/>
          <w:szCs w:val="28"/>
        </w:rPr>
        <w:t>对平台功能进行确认，对于系统中功能不满足合同要求的，由</w:t>
      </w:r>
      <w:r>
        <w:rPr>
          <w:rFonts w:hint="eastAsia" w:ascii="宋体" w:hAnsi="宋体"/>
          <w:sz w:val="28"/>
          <w:szCs w:val="28"/>
          <w:lang w:eastAsia="zh-CN"/>
        </w:rPr>
        <w:t>响应供应商</w:t>
      </w:r>
      <w:r>
        <w:rPr>
          <w:rFonts w:hint="eastAsia" w:ascii="宋体" w:hAnsi="宋体" w:eastAsia="宋体"/>
          <w:sz w:val="28"/>
          <w:szCs w:val="28"/>
        </w:rPr>
        <w:t>供应商安排在短期内进行修正，并重新提交</w:t>
      </w:r>
      <w:r>
        <w:rPr>
          <w:rFonts w:hint="eastAsia" w:ascii="宋体" w:hAnsi="宋体"/>
          <w:sz w:val="28"/>
          <w:szCs w:val="28"/>
          <w:lang w:eastAsia="zh-CN"/>
        </w:rPr>
        <w:t>采购单位</w:t>
      </w:r>
      <w:r>
        <w:rPr>
          <w:rFonts w:hint="eastAsia" w:ascii="宋体" w:hAnsi="宋体" w:eastAsia="宋体"/>
          <w:sz w:val="28"/>
          <w:szCs w:val="28"/>
        </w:rPr>
        <w:t>确认；</w:t>
      </w:r>
    </w:p>
    <w:p w14:paraId="115FA261">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sz w:val="28"/>
          <w:szCs w:val="28"/>
          <w:lang w:eastAsia="zh-CN"/>
        </w:rPr>
        <w:t>采购单位</w:t>
      </w:r>
      <w:r>
        <w:rPr>
          <w:rFonts w:hint="eastAsia" w:ascii="宋体" w:hAnsi="宋体" w:eastAsia="宋体"/>
          <w:sz w:val="28"/>
          <w:szCs w:val="28"/>
        </w:rPr>
        <w:t>项目负责人对整体项目实施工作进行确认；</w:t>
      </w:r>
    </w:p>
    <w:p w14:paraId="5DB859B7">
      <w:pPr>
        <w:ind w:firstLine="560" w:firstLineChars="200"/>
        <w:rPr>
          <w:rFonts w:hint="eastAsia" w:ascii="宋体" w:hAnsi="宋体" w:eastAsia="宋体"/>
          <w:sz w:val="28"/>
          <w:szCs w:val="28"/>
        </w:rPr>
      </w:pPr>
      <w:r>
        <w:rPr>
          <w:rFonts w:hint="eastAsia" w:ascii="宋体" w:hAnsi="宋体" w:eastAsia="宋体"/>
          <w:sz w:val="28"/>
          <w:szCs w:val="28"/>
        </w:rPr>
        <w:t>（4）编制验收报告和验收用户意见；</w:t>
      </w:r>
    </w:p>
    <w:p w14:paraId="5E2CBC6B">
      <w:pPr>
        <w:ind w:firstLine="560" w:firstLineChars="200"/>
        <w:rPr>
          <w:rFonts w:hint="eastAsia"/>
        </w:rPr>
      </w:pPr>
      <w:r>
        <w:rPr>
          <w:rFonts w:hint="eastAsia" w:ascii="宋体" w:hAnsi="宋体" w:eastAsia="宋体"/>
          <w:sz w:val="28"/>
          <w:szCs w:val="28"/>
        </w:rPr>
        <w:t>（5）召开评审会、双方项目负责人验收签字。</w:t>
      </w:r>
    </w:p>
    <w:p w14:paraId="0165693E">
      <w:pPr>
        <w:pStyle w:val="3"/>
        <w:bidi w:val="0"/>
        <w:ind w:left="575" w:leftChars="0" w:hanging="575"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售后服务要求</w:t>
      </w:r>
    </w:p>
    <w:p w14:paraId="10F1677C">
      <w:pPr>
        <w:ind w:firstLine="560" w:firstLineChars="200"/>
        <w:rPr>
          <w:rFonts w:hint="eastAsia" w:ascii="宋体" w:hAnsi="宋体" w:eastAsia="宋体"/>
          <w:sz w:val="28"/>
          <w:szCs w:val="28"/>
        </w:rPr>
      </w:pPr>
      <w:r>
        <w:rPr>
          <w:rFonts w:hint="eastAsia" w:ascii="宋体" w:hAnsi="宋体" w:eastAsia="宋体"/>
          <w:sz w:val="28"/>
          <w:szCs w:val="28"/>
        </w:rPr>
        <w:t>（1）质量保证期技术服务</w:t>
      </w:r>
    </w:p>
    <w:p w14:paraId="66A064D4">
      <w:pPr>
        <w:ind w:firstLine="560" w:firstLineChars="200"/>
        <w:rPr>
          <w:rFonts w:hint="eastAsia" w:ascii="宋体" w:hAnsi="宋体" w:eastAsia="宋体"/>
          <w:sz w:val="28"/>
          <w:szCs w:val="28"/>
        </w:rPr>
      </w:pPr>
      <w:r>
        <w:rPr>
          <w:rFonts w:hint="eastAsia" w:ascii="宋体" w:hAnsi="宋体" w:eastAsia="宋体"/>
          <w:sz w:val="28"/>
          <w:szCs w:val="28"/>
        </w:rPr>
        <w:t>质量保证期为一年（自项目验收合格后，</w:t>
      </w:r>
      <w:r>
        <w:rPr>
          <w:rFonts w:hint="eastAsia" w:ascii="宋体" w:hAnsi="宋体"/>
          <w:sz w:val="28"/>
          <w:szCs w:val="28"/>
          <w:lang w:eastAsia="zh-CN"/>
        </w:rPr>
        <w:t>响应供应商</w:t>
      </w:r>
      <w:r>
        <w:rPr>
          <w:rFonts w:hint="eastAsia" w:ascii="宋体" w:hAnsi="宋体" w:eastAsia="宋体"/>
          <w:sz w:val="28"/>
          <w:szCs w:val="28"/>
        </w:rPr>
        <w:t>应负责对运营中的平台进行技术支持服务一年）。</w:t>
      </w:r>
    </w:p>
    <w:p w14:paraId="77A72B5C">
      <w:pPr>
        <w:ind w:firstLine="560" w:firstLineChars="200"/>
        <w:rPr>
          <w:rFonts w:hint="eastAsia" w:ascii="宋体" w:hAnsi="宋体" w:eastAsia="宋体"/>
          <w:sz w:val="28"/>
          <w:szCs w:val="28"/>
        </w:rPr>
      </w:pPr>
      <w:r>
        <w:rPr>
          <w:rFonts w:hint="eastAsia" w:ascii="宋体" w:hAnsi="宋体" w:eastAsia="宋体"/>
          <w:sz w:val="28"/>
          <w:szCs w:val="28"/>
        </w:rPr>
        <w:t>成交供应商应提供详细的故障响应方案，该方案需经采购方评审通过。故障处理方案需针对不同故障等级分别制定，故障等级划分包括但不限于：</w:t>
      </w:r>
    </w:p>
    <w:p w14:paraId="667737C3">
      <w:pPr>
        <w:ind w:firstLine="560" w:firstLineChars="200"/>
        <w:rPr>
          <w:rFonts w:hint="eastAsia" w:ascii="宋体" w:hAnsi="宋体" w:eastAsia="宋体"/>
          <w:sz w:val="28"/>
          <w:szCs w:val="28"/>
        </w:rPr>
      </w:pPr>
      <w:r>
        <w:rPr>
          <w:rFonts w:hint="eastAsia" w:ascii="宋体" w:hAnsi="宋体" w:eastAsia="宋体"/>
          <w:sz w:val="28"/>
          <w:szCs w:val="28"/>
        </w:rPr>
        <w:t>（a）紧急故障：核心业务/服务瘫痪，无法提供服务。在紧急故障发生时，成交供应商应在15分钟内响应，1小时内对故障进行紧急处理，恢复业务基本运行或完成信息安全事故的影响。因不可抗力致使成交供应商未按时到达现场除外。因信息安全事故所产生的社会、经济影响，按照成交供应商相关安全管理办法处置。</w:t>
      </w:r>
    </w:p>
    <w:p w14:paraId="2C2682BF">
      <w:pPr>
        <w:ind w:firstLine="560" w:firstLineChars="200"/>
        <w:rPr>
          <w:rFonts w:hint="eastAsia" w:ascii="宋体" w:hAnsi="宋体" w:eastAsia="宋体"/>
          <w:sz w:val="28"/>
          <w:szCs w:val="28"/>
        </w:rPr>
      </w:pPr>
      <w:r>
        <w:rPr>
          <w:rFonts w:hint="eastAsia" w:ascii="宋体" w:hAnsi="宋体" w:eastAsia="宋体"/>
          <w:sz w:val="28"/>
          <w:szCs w:val="28"/>
        </w:rPr>
        <w:t>（b）严重故障：核心业务/服务仍能提供服务，但是性能受到严重影响。在严重故障发生时，成交供应商应在30分钟内响应，2小时内对故障进行紧急处理，恢复业务基本运行。因不可抗力致使成交供应商未按时到达现场除外。</w:t>
      </w:r>
    </w:p>
    <w:p w14:paraId="0F4A265B">
      <w:pPr>
        <w:ind w:firstLine="560" w:firstLineChars="200"/>
        <w:rPr>
          <w:rFonts w:hint="eastAsia" w:ascii="宋体" w:hAnsi="宋体" w:eastAsia="宋体"/>
          <w:sz w:val="28"/>
          <w:szCs w:val="28"/>
        </w:rPr>
      </w:pPr>
      <w:r>
        <w:rPr>
          <w:rFonts w:hint="eastAsia" w:ascii="宋体" w:hAnsi="宋体" w:eastAsia="宋体"/>
          <w:sz w:val="28"/>
          <w:szCs w:val="28"/>
        </w:rPr>
        <w:t>（c）一般故障：核心业务/服务不受影响。在一般故障发生时，成交供应商应在60分钟内响应，24小时之内恢复。</w:t>
      </w:r>
    </w:p>
    <w:p w14:paraId="7B1AA0AE">
      <w:pPr>
        <w:ind w:firstLine="560" w:firstLineChars="200"/>
        <w:rPr>
          <w:rFonts w:hint="eastAsia" w:ascii="宋体" w:hAnsi="宋体"/>
          <w:sz w:val="28"/>
          <w:szCs w:val="28"/>
          <w:lang w:eastAsia="zh-CN"/>
        </w:rPr>
      </w:pPr>
      <w:r>
        <w:rPr>
          <w:rFonts w:hint="eastAsia" w:ascii="宋体" w:hAnsi="宋体"/>
          <w:sz w:val="28"/>
          <w:szCs w:val="28"/>
          <w:lang w:val="en-US" w:eastAsia="zh-CN"/>
        </w:rPr>
        <w:t>供应商需</w:t>
      </w:r>
      <w:r>
        <w:rPr>
          <w:rFonts w:hint="eastAsia" w:ascii="宋体" w:hAnsi="宋体" w:eastAsia="宋体"/>
          <w:sz w:val="28"/>
          <w:szCs w:val="28"/>
        </w:rPr>
        <w:t>承诺项目著作权、版权、专利权、使用权归采购人所有，承诺质保期内对项目的升级、改版等免费更新升级</w:t>
      </w:r>
      <w:r>
        <w:rPr>
          <w:rFonts w:hint="eastAsia" w:ascii="宋体" w:hAnsi="宋体"/>
          <w:sz w:val="28"/>
          <w:szCs w:val="28"/>
          <w:lang w:eastAsia="zh-CN"/>
        </w:rPr>
        <w:t>。</w:t>
      </w:r>
    </w:p>
    <w:p w14:paraId="1597C23F">
      <w:pPr>
        <w:ind w:firstLine="560" w:firstLineChars="200"/>
        <w:rPr>
          <w:rFonts w:hint="eastAsia" w:ascii="宋体" w:hAnsi="宋体" w:eastAsia="宋体"/>
          <w:sz w:val="28"/>
          <w:szCs w:val="28"/>
        </w:rPr>
      </w:pPr>
      <w:r>
        <w:rPr>
          <w:rFonts w:hint="eastAsia" w:ascii="宋体" w:hAnsi="宋体" w:eastAsia="宋体"/>
          <w:sz w:val="28"/>
          <w:szCs w:val="28"/>
        </w:rPr>
        <w:t>技术支持方式应包括电话支持、电子邮件支持、远程协助和现场支持。</w:t>
      </w:r>
    </w:p>
    <w:p w14:paraId="069012F6">
      <w:pPr>
        <w:ind w:firstLine="560" w:firstLineChars="200"/>
        <w:rPr>
          <w:rFonts w:hint="eastAsia" w:ascii="宋体" w:hAnsi="宋体" w:eastAsia="宋体"/>
          <w:sz w:val="28"/>
          <w:szCs w:val="28"/>
        </w:rPr>
      </w:pPr>
      <w:r>
        <w:rPr>
          <w:rFonts w:hint="eastAsia" w:ascii="宋体" w:hAnsi="宋体" w:eastAsia="宋体"/>
          <w:sz w:val="28"/>
          <w:szCs w:val="28"/>
        </w:rPr>
        <w:t>(二) 系统升级服务</w:t>
      </w:r>
    </w:p>
    <w:p w14:paraId="085B017A">
      <w:pPr>
        <w:ind w:firstLine="560" w:firstLineChars="200"/>
        <w:rPr>
          <w:rFonts w:hint="eastAsia" w:ascii="宋体" w:hAnsi="宋体" w:eastAsia="宋体"/>
          <w:sz w:val="28"/>
          <w:szCs w:val="28"/>
        </w:rPr>
      </w:pPr>
      <w:r>
        <w:rPr>
          <w:rFonts w:hint="eastAsia" w:ascii="宋体" w:hAnsi="宋体"/>
          <w:sz w:val="28"/>
          <w:szCs w:val="28"/>
          <w:lang w:eastAsia="zh-CN"/>
        </w:rPr>
        <w:t>响应供应商</w:t>
      </w:r>
      <w:r>
        <w:rPr>
          <w:rFonts w:hint="eastAsia" w:ascii="宋体" w:hAnsi="宋体" w:eastAsia="宋体"/>
          <w:sz w:val="28"/>
          <w:szCs w:val="28"/>
        </w:rPr>
        <w:t>提供的产品需提供一年免费升级服务(自项目验收合格后计算)</w:t>
      </w:r>
    </w:p>
    <w:p w14:paraId="404B35A6">
      <w:pPr>
        <w:ind w:firstLine="560" w:firstLineChars="200"/>
        <w:rPr>
          <w:rFonts w:hint="eastAsia"/>
        </w:rPr>
      </w:pPr>
      <w:r>
        <w:rPr>
          <w:rFonts w:hint="eastAsia" w:ascii="宋体" w:hAnsi="宋体" w:eastAsia="宋体"/>
          <w:sz w:val="28"/>
          <w:szCs w:val="28"/>
        </w:rPr>
        <w:t>在维保期满后，</w:t>
      </w:r>
      <w:r>
        <w:rPr>
          <w:rFonts w:hint="eastAsia" w:ascii="宋体" w:hAnsi="宋体"/>
          <w:sz w:val="28"/>
          <w:szCs w:val="28"/>
          <w:lang w:eastAsia="zh-CN"/>
        </w:rPr>
        <w:t>响应供应商</w:t>
      </w:r>
      <w:r>
        <w:rPr>
          <w:rFonts w:hint="eastAsia" w:ascii="宋体" w:hAnsi="宋体" w:eastAsia="宋体"/>
          <w:sz w:val="28"/>
          <w:szCs w:val="28"/>
        </w:rPr>
        <w:t>应继续提供运维服务保障，所涉及的运维服务保障费用可以另行商议。</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A48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E965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BE965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8D70"/>
    <w:multiLevelType w:val="multilevel"/>
    <w:tmpl w:val="811B8D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DD3FB842"/>
    <w:multiLevelType w:val="singleLevel"/>
    <w:tmpl w:val="DD3FB842"/>
    <w:lvl w:ilvl="0" w:tentative="0">
      <w:start w:val="3"/>
      <w:numFmt w:val="decimal"/>
      <w:suff w:val="nothing"/>
      <w:lvlText w:val="（%1）"/>
      <w:lvlJc w:val="left"/>
    </w:lvl>
  </w:abstractNum>
  <w:abstractNum w:abstractNumId="2">
    <w:nsid w:val="65AC3941"/>
    <w:multiLevelType w:val="singleLevel"/>
    <w:tmpl w:val="65AC394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F7E70"/>
    <w:rsid w:val="04880A4A"/>
    <w:rsid w:val="0CF14A50"/>
    <w:rsid w:val="0DE0643E"/>
    <w:rsid w:val="13736D2D"/>
    <w:rsid w:val="1DD261D8"/>
    <w:rsid w:val="2AF459E0"/>
    <w:rsid w:val="2F720CA4"/>
    <w:rsid w:val="34692F9B"/>
    <w:rsid w:val="3A045513"/>
    <w:rsid w:val="3A761DA1"/>
    <w:rsid w:val="43543068"/>
    <w:rsid w:val="4B6A71C8"/>
    <w:rsid w:val="4CDA6487"/>
    <w:rsid w:val="58D678E8"/>
    <w:rsid w:val="5F3E7720"/>
    <w:rsid w:val="63D05EB0"/>
    <w:rsid w:val="65467FAD"/>
    <w:rsid w:val="6CFF7E70"/>
    <w:rsid w:val="71485F92"/>
    <w:rsid w:val="7A4936FC"/>
    <w:rsid w:val="7D0B0080"/>
    <w:rsid w:val="7FF6F0B5"/>
    <w:rsid w:val="FBF6E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eastAsia="楷体"/>
      <w:b/>
      <w:kern w:val="44"/>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Arial" w:hAnsi="Arial"/>
      <w:b/>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360" w:lineRule="auto"/>
      <w:ind w:left="0" w:firstLine="0" w:firstLineChars="0"/>
      <w:outlineLvl w:val="2"/>
    </w:pPr>
    <w:rPr>
      <w:rFonts w:eastAsia="宋体"/>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99"/>
    <w:pPr>
      <w:ind w:firstLine="420"/>
    </w:pPr>
    <w:rPr>
      <w:rFonts w:ascii="Book Antiqua" w:hAnsi="Book Antiqua"/>
      <w:sz w:val="22"/>
    </w:rPr>
  </w:style>
  <w:style w:type="paragraph" w:styleId="12">
    <w:name w:val="annotation text"/>
    <w:basedOn w:val="1"/>
    <w:unhideWhenUsed/>
    <w:qFormat/>
    <w:uiPriority w:val="99"/>
    <w:pPr>
      <w:jc w:val="left"/>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customStyle="1" w:styleId="19">
    <w:name w:val="可研正文"/>
    <w:basedOn w:val="1"/>
    <w:qFormat/>
    <w:uiPriority w:val="0"/>
    <w:pPr>
      <w:widowControl w:val="0"/>
      <w:spacing w:line="360" w:lineRule="auto"/>
      <w:ind w:firstLine="200" w:firstLineChars="200"/>
      <w:jc w:val="both"/>
    </w:pPr>
    <w:rPr>
      <w:rFonts w:cstheme="minorBidi"/>
      <w:kern w:val="2"/>
      <w:szCs w:val="28"/>
    </w:rPr>
  </w:style>
  <w:style w:type="paragraph" w:customStyle="1" w:styleId="20">
    <w:name w:val="￥正文"/>
    <w:basedOn w:val="1"/>
    <w:qFormat/>
    <w:uiPriority w:val="0"/>
    <w:pPr>
      <w:spacing w:line="360" w:lineRule="auto"/>
      <w:ind w:firstLine="480" w:firstLineChars="200"/>
    </w:pPr>
    <w:rPr>
      <w:rFonts w:ascii="Calibri" w:hAnsi="Calibri" w:cs="Times New Roman"/>
      <w:color w:val="000000" w:themeColor="text1"/>
      <w:szCs w:val="20"/>
      <w:lang w:val="zh-C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7533</Words>
  <Characters>7968</Characters>
  <Lines>0</Lines>
  <Paragraphs>0</Paragraphs>
  <TotalTime>54</TotalTime>
  <ScaleCrop>false</ScaleCrop>
  <LinksUpToDate>false</LinksUpToDate>
  <CharactersWithSpaces>8012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2024-11-29T17:45:00Z</dcterms:created>
  <dc:creator>倩</dc:creator>
  <cp:lastModifiedBy>晋一民</cp:lastModifiedBy>
  <dcterms:modified xsi:type="dcterms:W3CDTF">2025-08-14T07:30:43Z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493FBCCB450E4188A23FE4E8BF29B18C_11</vt:lpwstr>
  </property>
  <property fmtid="{D5CDD505-2E9C-101B-9397-08002B2CF9AE}" pid="4" name="KSOTemplateDocerSaveRecord">
    <vt:lpwstr>eyJoZGlkIjoiNjM5NzMzNDFmMWIyNDgyNWMxNjkwMDUyZjgyMTNiZjciLCJ1c2VySWQiOiIxNjQzMTc3ODEwIn0=</vt:lpwstr>
  </property>
</Properties>
</file>