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w:cs="Google Sans" w:eastAsia="Google Sans" w:hAnsi="Google Sans"/>
          <w:b w:val="1"/>
          <w:i w:val="0"/>
          <w:color w:val="1b1c1d"/>
          <w:sz w:val="32"/>
          <w:szCs w:val="32"/>
          <w:rtl w:val="0"/>
        </w:rPr>
        <w:t xml:space="preserve">数字孪生一期项目情况介绍</w:t>
      </w:r>
      <w:r w:rsidDel="00000000" w:rsidR="00000000" w:rsidRPr="00000000">
        <w:rPr>
          <w:rtl w:val="0"/>
        </w:rPr>
      </w:r>
    </w:p>
    <w:p w:rsidR="00000000" w:rsidDel="00000000" w:rsidP="00000000" w:rsidRDefault="00000000" w:rsidRPr="00000000" w14:paraId="00000002">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tl w:val="0"/>
        </w:rPr>
      </w:r>
    </w:p>
    <w:p w:rsidR="00000000" w:rsidDel="00000000" w:rsidP="00000000" w:rsidRDefault="00000000" w:rsidRPr="00000000" w14:paraId="00000003">
      <w:pPr>
        <w:pStyle w:val="Heading2"/>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b w:val="1"/>
          <w:i w:val="0"/>
          <w:color w:val="1b1c1d"/>
          <w:sz w:val="30"/>
          <w:szCs w:val="30"/>
        </w:rPr>
      </w:pPr>
      <w:r w:rsidDel="00000000" w:rsidR="00000000" w:rsidRPr="00000000">
        <w:rPr>
          <w:rFonts w:ascii="Google Sans" w:cs="Google Sans" w:eastAsia="Google Sans" w:hAnsi="Google Sans"/>
          <w:b w:val="1"/>
          <w:i w:val="0"/>
          <w:color w:val="1b1c1d"/>
          <w:sz w:val="30"/>
          <w:szCs w:val="30"/>
          <w:rtl w:val="0"/>
        </w:rPr>
        <w:t xml:space="preserve">已完成工作内容</w:t>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数字孪生一期项目主要聚焦于天文馆及其周边区域的数字化建模与还原工作，具体成果包括：</w:t>
      </w:r>
    </w:p>
    <w:p w:rsidR="00000000" w:rsidDel="00000000" w:rsidP="00000000" w:rsidRDefault="00000000" w:rsidRPr="00000000" w14:paraId="00000005">
      <w:pPr>
        <w:numPr>
          <w:ilvl w:val="0"/>
          <w:numId w:val="1"/>
        </w:numPr>
        <w:pBdr>
          <w:top w:space="0" w:sz="0" w:val="nil"/>
          <w:left w:space="0" w:sz="0" w:val="nil"/>
          <w:bottom w:space="0" w:sz="0" w:val="nil"/>
          <w:right w:space="0" w:sz="0" w:val="nil"/>
          <w:between w:space="0" w:sz="0" w:val="nil"/>
        </w:pBdr>
        <w:shd w:fill="auto" w:val="clear"/>
        <w:spacing w:after="0" w:afterAutospacing="0" w:line="275.9999942779541" w:lineRule="auto"/>
        <w:ind w:left="480" w:hanging="360"/>
      </w:pPr>
      <w:r w:rsidDel="00000000" w:rsidR="00000000" w:rsidRPr="00000000">
        <w:rPr>
          <w:rFonts w:ascii="Google Sans Text" w:cs="Google Sans Text" w:eastAsia="Google Sans Text" w:hAnsi="Google Sans Text"/>
          <w:b w:val="1"/>
          <w:i w:val="0"/>
          <w:color w:val="1b1c1d"/>
          <w:sz w:val="24"/>
          <w:szCs w:val="24"/>
          <w:rtl w:val="0"/>
        </w:rPr>
        <w:t xml:space="preserve">天文馆周边城市背景模型处理</w:t>
      </w:r>
    </w:p>
    <w:p w:rsidR="00000000" w:rsidDel="00000000" w:rsidP="00000000" w:rsidRDefault="00000000" w:rsidRPr="00000000" w14:paraId="00000006">
      <w:pPr>
        <w:numPr>
          <w:ilvl w:val="1"/>
          <w:numId w:val="2"/>
        </w:numPr>
        <w:pBdr>
          <w:top w:space="0" w:sz="0" w:val="nil"/>
          <w:left w:space="0" w:sz="0" w:val="nil"/>
          <w:bottom w:space="0" w:sz="0" w:val="nil"/>
          <w:right w:space="0" w:sz="0" w:val="nil"/>
          <w:between w:space="0" w:sz="0" w:val="nil"/>
        </w:pBdr>
        <w:shd w:fill="auto" w:val="clear"/>
        <w:spacing w:after="0" w:after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完成了约1平方公里临港新片区城市背景模型处理，并通过航拍OSGB倾斜摄影模型技术，对天文馆周边3.7平方公里区域进行了精修，确保周边模型与天文馆建筑模型的完美融合及位置的精准对齐。</w:t>
      </w:r>
    </w:p>
    <w:p w:rsidR="00000000" w:rsidDel="00000000" w:rsidP="00000000" w:rsidRDefault="00000000" w:rsidRPr="00000000" w14:paraId="00000007">
      <w:pPr>
        <w:numPr>
          <w:ilvl w:val="1"/>
          <w:numId w:val="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建模精度达到L2级，主要用于周边场景建筑集群的远景和近景展示。</w:t>
      </w:r>
    </w:p>
    <w:p w:rsidR="00000000" w:rsidDel="00000000" w:rsidP="00000000" w:rsidRDefault="00000000" w:rsidRPr="00000000" w14:paraId="00000008">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i w:val="0"/>
          <w:color w:val="1b1c1d"/>
          <w:sz w:val="24"/>
          <w:szCs w:val="24"/>
          <w:rtl w:val="0"/>
        </w:rPr>
        <w:t xml:space="preserve">天文馆整体建筑模型还原</w:t>
      </w:r>
    </w:p>
    <w:p w:rsidR="00000000" w:rsidDel="00000000" w:rsidP="00000000" w:rsidRDefault="00000000" w:rsidRPr="00000000" w14:paraId="00000009">
      <w:pPr>
        <w:numPr>
          <w:ilvl w:val="1"/>
          <w:numId w:val="3"/>
        </w:numPr>
        <w:pBdr>
          <w:top w:space="0" w:sz="0" w:val="nil"/>
          <w:left w:space="0" w:sz="0" w:val="nil"/>
          <w:bottom w:space="0" w:sz="0" w:val="nil"/>
          <w:right w:space="0" w:sz="0" w:val="nil"/>
          <w:between w:space="0" w:sz="0" w:val="nil"/>
        </w:pBdr>
        <w:shd w:fill="auto" w:val="clear"/>
        <w:spacing w:after="0" w:after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基于原有的BIM模型和CAD图纸，对天文馆9.7万平方米的整体建筑进行了高精度数字建模还原。</w:t>
      </w:r>
    </w:p>
    <w:p w:rsidR="00000000" w:rsidDel="00000000" w:rsidP="00000000" w:rsidRDefault="00000000" w:rsidRPr="00000000" w14:paraId="0000000A">
      <w:pPr>
        <w:numPr>
          <w:ilvl w:val="1"/>
          <w:numId w:val="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对装修后的天文馆室内进行了测绘建模，并建立了建筑、房间、组件等模型库。</w:t>
      </w:r>
    </w:p>
    <w:p w:rsidR="00000000" w:rsidDel="00000000" w:rsidP="00000000" w:rsidRDefault="00000000" w:rsidRPr="00000000" w14:paraId="0000000B">
      <w:pPr>
        <w:numPr>
          <w:ilvl w:val="1"/>
          <w:numId w:val="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建模精度达到L4级，适用于馆体建筑体、内部结构、展区展陈等核心区域的极致细节还原。</w:t>
      </w:r>
    </w:p>
    <w:p w:rsidR="00000000" w:rsidDel="00000000" w:rsidP="00000000" w:rsidRDefault="00000000" w:rsidRPr="00000000" w14:paraId="0000000C">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i w:val="0"/>
          <w:color w:val="1b1c1d"/>
          <w:sz w:val="24"/>
          <w:szCs w:val="24"/>
          <w:rtl w:val="0"/>
        </w:rPr>
        <w:t xml:space="preserve">家园展区及其他室内展项模型制作</w:t>
      </w:r>
    </w:p>
    <w:p w:rsidR="00000000" w:rsidDel="00000000" w:rsidP="00000000" w:rsidRDefault="00000000" w:rsidRPr="00000000" w14:paraId="0000000D">
      <w:pPr>
        <w:numPr>
          <w:ilvl w:val="1"/>
          <w:numId w:val="4"/>
        </w:numPr>
        <w:pBdr>
          <w:top w:space="0" w:sz="0" w:val="nil"/>
          <w:left w:space="0" w:sz="0" w:val="nil"/>
          <w:bottom w:space="0" w:sz="0" w:val="nil"/>
          <w:right w:space="0" w:sz="0" w:val="nil"/>
          <w:between w:space="0" w:sz="0" w:val="nil"/>
        </w:pBdr>
        <w:shd w:fill="auto" w:val="clear"/>
        <w:spacing w:after="0" w:after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完成了天文馆内30个大型展项的模型测绘制作，以及室内设施设备的精细化人工测绘制作模型并建库。</w:t>
      </w:r>
    </w:p>
    <w:p w:rsidR="00000000" w:rsidDel="00000000" w:rsidP="00000000" w:rsidRDefault="00000000" w:rsidRPr="00000000" w14:paraId="0000000E">
      <w:pPr>
        <w:numPr>
          <w:ilvl w:val="1"/>
          <w:numId w:val="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对家园展区展项进行了高精度建模和动态可视化模拟，包括：</w:t>
      </w:r>
    </w:p>
    <w:p w:rsidR="00000000" w:rsidDel="00000000" w:rsidP="00000000" w:rsidRDefault="00000000" w:rsidRPr="00000000" w14:paraId="0000000F">
      <w:pPr>
        <w:numPr>
          <w:ilvl w:val="2"/>
          <w:numId w:val="5"/>
        </w:numPr>
        <w:pBdr>
          <w:top w:space="0" w:sz="0" w:val="nil"/>
          <w:left w:space="0" w:sz="0" w:val="nil"/>
          <w:bottom w:space="0" w:sz="0" w:val="nil"/>
          <w:right w:space="0" w:sz="0" w:val="nil"/>
          <w:between w:space="0" w:sz="0" w:val="nil"/>
        </w:pBdr>
        <w:shd w:fill="auto" w:val="clear"/>
        <w:spacing w:after="0" w:afterAutospacing="0" w:line="275.9999942779541" w:lineRule="auto"/>
        <w:ind w:left="1290" w:hanging="360"/>
      </w:pPr>
      <w:r w:rsidDel="00000000" w:rsidR="00000000" w:rsidRPr="00000000">
        <w:rPr>
          <w:rFonts w:ascii="Google Sans Text" w:cs="Google Sans Text" w:eastAsia="Google Sans Text" w:hAnsi="Google Sans Text"/>
          <w:b w:val="1"/>
          <w:i w:val="0"/>
          <w:color w:val="1b1c1d"/>
          <w:sz w:val="24"/>
          <w:szCs w:val="24"/>
          <w:rtl w:val="0"/>
        </w:rPr>
        <w:t xml:space="preserve">家园地球</w:t>
      </w:r>
      <w:r w:rsidDel="00000000" w:rsidR="00000000" w:rsidRPr="00000000">
        <w:rPr>
          <w:rFonts w:ascii="Google Sans Text" w:cs="Google Sans Text" w:eastAsia="Google Sans Text" w:hAnsi="Google Sans Text"/>
          <w:i w:val="0"/>
          <w:color w:val="1b1c1d"/>
          <w:sz w:val="24"/>
          <w:szCs w:val="24"/>
          <w:rtl w:val="0"/>
        </w:rPr>
        <w:t xml:space="preserve">：通过视频流送纹理技术，高度还原了球型大地球展品的动态效果。</w:t>
      </w:r>
    </w:p>
    <w:p w:rsidR="00000000" w:rsidDel="00000000" w:rsidP="00000000" w:rsidRDefault="00000000" w:rsidRPr="00000000" w14:paraId="00000010">
      <w:pPr>
        <w:numPr>
          <w:ilvl w:val="2"/>
          <w:numId w:val="5"/>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1290" w:hanging="360"/>
      </w:pPr>
      <w:r w:rsidDel="00000000" w:rsidR="00000000" w:rsidRPr="00000000">
        <w:rPr>
          <w:rFonts w:ascii="Google Sans Text" w:cs="Google Sans Text" w:eastAsia="Google Sans Text" w:hAnsi="Google Sans Text"/>
          <w:b w:val="1"/>
          <w:i w:val="0"/>
          <w:color w:val="1b1c1d"/>
          <w:sz w:val="24"/>
          <w:szCs w:val="24"/>
          <w:rtl w:val="0"/>
        </w:rPr>
        <w:t xml:space="preserve">三星缱绻</w:t>
      </w:r>
      <w:r w:rsidDel="00000000" w:rsidR="00000000" w:rsidRPr="00000000">
        <w:rPr>
          <w:rFonts w:ascii="Google Sans Text" w:cs="Google Sans Text" w:eastAsia="Google Sans Text" w:hAnsi="Google Sans Text"/>
          <w:i w:val="0"/>
          <w:color w:val="1b1c1d"/>
          <w:sz w:val="24"/>
          <w:szCs w:val="24"/>
          <w:rtl w:val="0"/>
        </w:rPr>
        <w:t xml:space="preserve">：通过骨骼动画驱动太阳、地球、月亮的三体运动规律。</w:t>
      </w:r>
    </w:p>
    <w:p w:rsidR="00000000" w:rsidDel="00000000" w:rsidP="00000000" w:rsidRDefault="00000000" w:rsidRPr="00000000" w14:paraId="00000011">
      <w:pPr>
        <w:numPr>
          <w:ilvl w:val="2"/>
          <w:numId w:val="5"/>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1290" w:hanging="360"/>
      </w:pPr>
      <w:r w:rsidDel="00000000" w:rsidR="00000000" w:rsidRPr="00000000">
        <w:rPr>
          <w:rFonts w:ascii="Google Sans Text" w:cs="Google Sans Text" w:eastAsia="Google Sans Text" w:hAnsi="Google Sans Text"/>
          <w:b w:val="1"/>
          <w:i w:val="0"/>
          <w:color w:val="1b1c1d"/>
          <w:sz w:val="24"/>
          <w:szCs w:val="24"/>
          <w:rtl w:val="0"/>
        </w:rPr>
        <w:t xml:space="preserve">土星光环</w:t>
      </w:r>
      <w:r w:rsidDel="00000000" w:rsidR="00000000" w:rsidRPr="00000000">
        <w:rPr>
          <w:rFonts w:ascii="Google Sans Text" w:cs="Google Sans Text" w:eastAsia="Google Sans Text" w:hAnsi="Google Sans Text"/>
          <w:i w:val="0"/>
          <w:color w:val="1b1c1d"/>
          <w:sz w:val="24"/>
          <w:szCs w:val="24"/>
          <w:rtl w:val="0"/>
        </w:rPr>
        <w:t xml:space="preserve">：通过模型材质的动态纹理效果驱动光环旋转。</w:t>
      </w:r>
    </w:p>
    <w:p w:rsidR="00000000" w:rsidDel="00000000" w:rsidP="00000000" w:rsidRDefault="00000000" w:rsidRPr="00000000" w14:paraId="00000012">
      <w:pPr>
        <w:numPr>
          <w:ilvl w:val="1"/>
          <w:numId w:val="5"/>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b w:val="1"/>
          <w:i w:val="0"/>
          <w:color w:val="1b1c1d"/>
          <w:sz w:val="24"/>
          <w:szCs w:val="24"/>
          <w:rtl w:val="0"/>
        </w:rPr>
        <w:t xml:space="preserve">圆洞天窗、假如剧场、球幕影院、夏至光环、倒转穹顶</w:t>
      </w:r>
      <w:r w:rsidDel="00000000" w:rsidR="00000000" w:rsidRPr="00000000">
        <w:rPr>
          <w:rFonts w:ascii="Google Sans Text" w:cs="Google Sans Text" w:eastAsia="Google Sans Text" w:hAnsi="Google Sans Text"/>
          <w:i w:val="0"/>
          <w:color w:val="1b1c1d"/>
          <w:sz w:val="24"/>
          <w:szCs w:val="24"/>
          <w:rtl w:val="0"/>
        </w:rPr>
        <w:t xml:space="preserve">等特殊展区也实现了漫游交互与视效叠加。</w:t>
      </w:r>
    </w:p>
    <w:p w:rsidR="00000000" w:rsidDel="00000000" w:rsidP="00000000" w:rsidRDefault="00000000" w:rsidRPr="00000000" w14:paraId="00000013">
      <w:pPr>
        <w:numPr>
          <w:ilvl w:val="1"/>
          <w:numId w:val="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建模过程中采用了PBR美术流程管线制作标准，并进行了多层次细节LOD（Level of Detail）优化，确保高精度模型数据的轻量化处理与高效渲染。</w:t>
      </w:r>
    </w:p>
    <w:p w:rsidR="00000000" w:rsidDel="00000000" w:rsidP="00000000" w:rsidRDefault="00000000" w:rsidRPr="00000000" w14:paraId="00000014">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i w:val="0"/>
          <w:color w:val="1b1c1d"/>
          <w:sz w:val="24"/>
          <w:szCs w:val="24"/>
          <w:rtl w:val="0"/>
        </w:rPr>
        <w:t xml:space="preserve">基础应用与可视化展示</w:t>
      </w:r>
    </w:p>
    <w:p w:rsidR="00000000" w:rsidDel="00000000" w:rsidP="00000000" w:rsidRDefault="00000000" w:rsidRPr="00000000" w14:paraId="00000015">
      <w:pPr>
        <w:numPr>
          <w:ilvl w:val="1"/>
          <w:numId w:val="6"/>
        </w:numPr>
        <w:pBdr>
          <w:top w:space="0" w:sz="0" w:val="nil"/>
          <w:left w:space="0" w:sz="0" w:val="nil"/>
          <w:bottom w:space="0" w:sz="0" w:val="nil"/>
          <w:right w:space="0" w:sz="0" w:val="nil"/>
          <w:between w:space="0" w:sz="0" w:val="nil"/>
        </w:pBdr>
        <w:shd w:fill="auto" w:val="clear"/>
        <w:spacing w:after="0" w:after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实现了孪生场景的可视化交互模拟，包括一天日夜交迭、春夏秋冬四季更替、阴晴雨雪自然天气变化等效果。</w:t>
      </w:r>
    </w:p>
    <w:p w:rsidR="00000000" w:rsidDel="00000000" w:rsidP="00000000" w:rsidRDefault="00000000" w:rsidRPr="00000000" w14:paraId="00000016">
      <w:pPr>
        <w:numPr>
          <w:ilvl w:val="1"/>
          <w:numId w:val="6"/>
        </w:numPr>
        <w:pBdr>
          <w:top w:space="0" w:sz="0" w:val="nil"/>
          <w:left w:space="0" w:sz="0" w:val="nil"/>
          <w:bottom w:space="0" w:sz="0" w:val="nil"/>
          <w:right w:space="0" w:sz="0" w:val="nil"/>
          <w:between w:space="0" w:sz="0" w:val="nil"/>
        </w:pBdr>
        <w:shd w:fill="auto" w:val="clear"/>
        <w:spacing w:after="120" w:before="0" w:before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支持天文馆场馆分层展示，可按楼层结构（B1、F1、F2、F3）进行分层切割展示，有助于清晰了解建筑内部构造。</w:t>
      </w:r>
    </w:p>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color w:val="1b1c1d"/>
          <w:sz w:val="24"/>
          <w:szCs w:val="24"/>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5、部分场景截图：</w:t>
      </w:r>
    </w:p>
    <w:p w:rsidR="00000000" w:rsidDel="00000000" w:rsidP="00000000" w:rsidRDefault="00000000" w:rsidRPr="00000000" w14:paraId="00000019">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color w:val="1b1c1d"/>
          <w:sz w:val="24"/>
          <w:szCs w:val="24"/>
        </w:rPr>
      </w:pPr>
      <w:r w:rsidDel="00000000" w:rsidR="00000000" w:rsidRPr="00000000">
        <w:rPr>
          <w:rFonts w:ascii="Google Sans Text" w:cs="Google Sans Text" w:eastAsia="Google Sans Text" w:hAnsi="Google Sans Text"/>
          <w:b w:val="1"/>
          <w:color w:val="1b1c1d"/>
          <w:sz w:val="24"/>
          <w:szCs w:val="24"/>
        </w:rPr>
        <w:drawing>
          <wp:inline distB="114300" distT="114300" distL="114300" distR="114300">
            <wp:extent cx="5699992" cy="3214688"/>
            <wp:effectExtent b="0" l="0" r="0" t="0"/>
            <wp:docPr id="3"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5699992" cy="3214688"/>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color w:val="1b1c1d"/>
          <w:sz w:val="24"/>
          <w:szCs w:val="24"/>
        </w:rPr>
      </w:pPr>
      <w:r w:rsidDel="00000000" w:rsidR="00000000" w:rsidRPr="00000000">
        <w:rPr>
          <w:rFonts w:ascii="Google Sans Text" w:cs="Google Sans Text" w:eastAsia="Google Sans Text" w:hAnsi="Google Sans Text"/>
          <w:b w:val="1"/>
          <w:color w:val="1b1c1d"/>
          <w:sz w:val="24"/>
          <w:szCs w:val="24"/>
        </w:rPr>
        <w:drawing>
          <wp:inline distB="114300" distT="114300" distL="114300" distR="114300">
            <wp:extent cx="5691188" cy="3206303"/>
            <wp:effectExtent b="0" l="0" r="0" t="0"/>
            <wp:docPr id="1"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5691188" cy="3206303"/>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pStyle w:val="Heading2"/>
        <w:pBdr>
          <w:top w:space="0" w:sz="0" w:val="nil"/>
          <w:left w:space="0" w:sz="0" w:val="nil"/>
          <w:bottom w:space="0" w:sz="0" w:val="nil"/>
          <w:right w:space="0" w:sz="0" w:val="nil"/>
          <w:between w:space="0" w:sz="0" w:val="nil"/>
        </w:pBdr>
        <w:shd w:fill="auto" w:val="clear"/>
        <w:spacing w:after="0" w:before="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Pr>
        <w:drawing>
          <wp:inline distB="114300" distT="114300" distL="114300" distR="114300">
            <wp:extent cx="5943600" cy="3340100"/>
            <wp:effectExtent b="0" l="0" r="0" t="0"/>
            <wp:docPr id="2"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rPr/>
      </w:pPr>
      <w:r w:rsidDel="00000000" w:rsidR="00000000" w:rsidRPr="00000000">
        <w:rPr/>
        <w:drawing>
          <wp:inline distB="114300" distT="114300" distL="114300" distR="114300">
            <wp:extent cx="5943600" cy="3340100"/>
            <wp:effectExtent b="0" l="0" r="0" t="0"/>
            <wp:docPr id="4"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5943600" cy="3340100"/>
                    </a:xfrm>
                    <a:prstGeom prst="rect"/>
                    <a:ln/>
                  </pic:spPr>
                </pic:pic>
              </a:graphicData>
            </a:graphic>
          </wp:inline>
        </w:drawing>
      </w:r>
      <w:r w:rsidDel="00000000" w:rsidR="00000000" w:rsidRPr="00000000">
        <w:rPr>
          <w:rtl w:val="0"/>
        </w:rPr>
      </w:r>
    </w:p>
    <w:sectPr>
      <w:pgSz w:h="15840" w:w="12240" w:orient="portrait"/>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Google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oogle Sans Tex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48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85"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129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
    <w:lvl w:ilvl="0">
      <w:start w:val="1"/>
      <w:numFmt w:val="decimal"/>
      <w:lvlText w:val="%1."/>
      <w:lvlJc w:val="left"/>
      <w:pPr>
        <w:ind w:left="48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85"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
    <w:lvl w:ilvl="0">
      <w:start w:val="1"/>
      <w:numFmt w:val="decimal"/>
      <w:lvlText w:val="%1."/>
      <w:lvlJc w:val="left"/>
      <w:pPr>
        <w:ind w:left="48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85"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
    <w:lvl w:ilvl="0">
      <w:start w:val="1"/>
      <w:numFmt w:val="decimal"/>
      <w:lvlText w:val="%1."/>
      <w:lvlJc w:val="left"/>
      <w:pPr>
        <w:ind w:left="48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85"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129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
    <w:lvl w:ilvl="0">
      <w:start w:val="1"/>
      <w:numFmt w:val="decimal"/>
      <w:lvlText w:val="%1."/>
      <w:lvlJc w:val="left"/>
      <w:pPr>
        <w:ind w:left="48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85"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129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6">
    <w:lvl w:ilvl="0">
      <w:start w:val="1"/>
      <w:numFmt w:val="decimal"/>
      <w:lvlText w:val="%1."/>
      <w:lvlJc w:val="left"/>
      <w:pPr>
        <w:ind w:left="48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85"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129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widowControl w:val="0"/>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i w:val="0"/>
      <w:sz w:val="48"/>
      <w:szCs w:val="48"/>
    </w:rPr>
  </w:style>
  <w:style w:type="paragraph" w:styleId="Heading2">
    <w:name w:val="heading 2"/>
    <w:basedOn w:val="Normal"/>
    <w:next w:val="Normal"/>
    <w:pPr>
      <w:pBdr>
        <w:top w:space="0" w:sz="0" w:val="nil"/>
        <w:left w:space="0" w:sz="0" w:val="nil"/>
        <w:bottom w:space="0" w:sz="0" w:val="nil"/>
        <w:right w:space="0" w:sz="0" w:val="nil"/>
        <w:between w:space="0" w:sz="0" w:val="nil"/>
      </w:pBdr>
      <w:shd w:fill="auto" w:val="clear"/>
      <w:spacing w:after="225" w:before="225" w:lineRule="auto"/>
    </w:pPr>
    <w:rPr>
      <w:b w:val="1"/>
      <w:i w:val="0"/>
      <w:sz w:val="36"/>
      <w:szCs w:val="36"/>
    </w:rPr>
  </w:style>
  <w:style w:type="paragraph" w:styleId="Heading3">
    <w:name w:val="heading 3"/>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i w:val="0"/>
      <w:sz w:val="28"/>
      <w:szCs w:val="28"/>
    </w:rPr>
  </w:style>
  <w:style w:type="paragraph" w:styleId="Heading4">
    <w:name w:val="heading 4"/>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i w:val="0"/>
      <w:sz w:val="24"/>
      <w:szCs w:val="24"/>
    </w:rPr>
  </w:style>
  <w:style w:type="paragraph" w:styleId="Heading5">
    <w:name w:val="heading 5"/>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i w:val="0"/>
      <w:sz w:val="18"/>
      <w:szCs w:val="18"/>
    </w:rPr>
  </w:style>
  <w:style w:type="paragraph" w:styleId="Heading6">
    <w:name w:val="heading 6"/>
    <w:basedOn w:val="Normal"/>
    <w:next w:val="Normal"/>
    <w:pPr>
      <w:pBdr>
        <w:top w:space="0" w:sz="0" w:val="nil"/>
        <w:left w:space="0" w:sz="0" w:val="nil"/>
        <w:bottom w:space="0" w:sz="0" w:val="nil"/>
        <w:right w:space="0" w:sz="0" w:val="nil"/>
        <w:between w:space="0" w:sz="0" w:val="nil"/>
      </w:pBdr>
      <w:shd w:fill="auto" w:val="clear"/>
      <w:spacing w:after="360" w:before="360" w:lineRule="auto"/>
    </w:pPr>
    <w:rPr>
      <w:b w:val="1"/>
      <w:i w:val="0"/>
      <w:sz w:val="16"/>
      <w:szCs w:val="16"/>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5" Type="http://schemas.openxmlformats.org/officeDocument/2006/relationships/styles" Target="styles.xml"/><Relationship Id="rId6" Type="http://schemas.openxmlformats.org/officeDocument/2006/relationships/image" Target="media/image4.png"/><Relationship Id="rId7" Type="http://schemas.openxmlformats.org/officeDocument/2006/relationships/image" Target="media/image1.png"/><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GoogleSans-regular.ttf"/><Relationship Id="rId2" Type="http://schemas.openxmlformats.org/officeDocument/2006/relationships/font" Target="fonts/GoogleSans-bold.ttf"/><Relationship Id="rId3" Type="http://schemas.openxmlformats.org/officeDocument/2006/relationships/font" Target="fonts/GoogleSans-italic.ttf"/><Relationship Id="rId4" Type="http://schemas.openxmlformats.org/officeDocument/2006/relationships/font" Target="fonts/GoogleSans-boldItalic.ttf"/><Relationship Id="rId5" Type="http://schemas.openxmlformats.org/officeDocument/2006/relationships/font" Target="fonts/GoogleSansText-regular.ttf"/><Relationship Id="rId6" Type="http://schemas.openxmlformats.org/officeDocument/2006/relationships/font" Target="fonts/GoogleSansText-bold.ttf"/><Relationship Id="rId7" Type="http://schemas.openxmlformats.org/officeDocument/2006/relationships/font" Target="fonts/GoogleSansText-italic.ttf"/><Relationship Id="rId8" Type="http://schemas.openxmlformats.org/officeDocument/2006/relationships/font" Target="fonts/GoogleSansTex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