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1B518">
      <w:pPr>
        <w:pStyle w:val="2"/>
        <w:numPr>
          <w:ilvl w:val="0"/>
          <w:numId w:val="0"/>
        </w:numPr>
        <w:jc w:val="center"/>
        <w:rPr>
          <w:rFonts w:ascii="Times New Roman" w:hAnsi="Times New Roman"/>
        </w:rPr>
      </w:pPr>
      <w:bookmarkStart w:id="33" w:name="_GoBack"/>
      <w:bookmarkEnd w:id="33"/>
      <w:bookmarkStart w:id="0" w:name="_Toc63785461"/>
      <w:r>
        <w:rPr>
          <w:rFonts w:ascii="Times New Roman" w:hAnsi="Times New Roman"/>
        </w:rPr>
        <w:t>上海市动态洪水风险图应用子系统</w:t>
      </w:r>
      <w:r>
        <w:rPr>
          <w:rFonts w:hint="eastAsia" w:ascii="Times New Roman" w:hAnsi="Times New Roman"/>
        </w:rPr>
        <w:t>建设</w:t>
      </w:r>
      <w:r>
        <w:rPr>
          <w:rFonts w:ascii="Times New Roman" w:hAnsi="Times New Roman"/>
        </w:rPr>
        <w:t>项目采购需求</w:t>
      </w:r>
    </w:p>
    <w:p w14:paraId="38B91B55">
      <w:pPr>
        <w:pStyle w:val="2"/>
        <w:ind w:firstLine="640" w:firstLineChars="200"/>
        <w:rPr>
          <w:rFonts w:ascii="Times New Roman" w:hAnsi="Times New Roman"/>
        </w:rPr>
      </w:pPr>
      <w:r>
        <w:rPr>
          <w:rFonts w:ascii="Times New Roman" w:hAnsi="Times New Roman"/>
        </w:rPr>
        <w:t>项目概况</w:t>
      </w:r>
      <w:bookmarkEnd w:id="0"/>
    </w:p>
    <w:p w14:paraId="1E556CBD">
      <w:pPr>
        <w:rPr>
          <w:rFonts w:ascii="Times New Roman" w:hAnsi="Times New Roman"/>
        </w:rPr>
      </w:pPr>
      <w:r>
        <w:rPr>
          <w:rFonts w:ascii="Times New Roman" w:hAnsi="Times New Roman"/>
        </w:rPr>
        <w:t>为贯彻党中央、国务院关于加强防洪排涝抗灾基础设施建设有关精神,持续提升洪水风险管理能力，水利部在全国范围内连续组织实施了2024年度和2025年度全国重点地区洪水风险图编制。上海市对洪水风险图编制工作高度重视，按照水利部的统一部署，上海市结合防汛业务实际需求，安排动态洪水风险图应用系统建设项目。系统建设以上海市防汛业务实际需求为引领，聚焦上海洪水风险图动态展示典型应用场景，集成整合洪水风险图编制成果，融合利用各类相关</w:t>
      </w:r>
      <w:bookmarkStart w:id="1" w:name="OLE_LINK27"/>
      <w:r>
        <w:rPr>
          <w:rFonts w:ascii="Times New Roman" w:hAnsi="Times New Roman"/>
        </w:rPr>
        <w:t>新技术</w:t>
      </w:r>
      <w:bookmarkEnd w:id="1"/>
      <w:r>
        <w:rPr>
          <w:rFonts w:ascii="Times New Roman" w:hAnsi="Times New Roman"/>
        </w:rPr>
        <w:t>，研建上海市动态洪水风险图应用系统，打造具有上海特色的动态洪水风险图典型应用，对上海市实际发生或即将面临的洪涝灾害实现快速、精准的推演、模拟和风险评估，为防汛“四预”和指挥决策提供重要的依据，提升洪涝灾害防御能力，服务行业数字化转型，为上海市统筹安全与经济社会高质量发展提供重要水安全保障支撑。</w:t>
      </w:r>
    </w:p>
    <w:p w14:paraId="33C9A2CC">
      <w:pPr>
        <w:pStyle w:val="3"/>
        <w:ind w:left="0" w:firstLine="459" w:firstLineChars="153"/>
      </w:pPr>
      <w:r>
        <w:rPr>
          <w:rFonts w:hint="eastAsia"/>
        </w:rPr>
        <w:t>建设期限</w:t>
      </w:r>
    </w:p>
    <w:p w14:paraId="38617F67">
      <w:pPr>
        <w:spacing w:line="560" w:lineRule="exact"/>
        <w:rPr>
          <w:rFonts w:hint="eastAsia" w:eastAsia="宋体"/>
          <w:lang w:eastAsia="zh-CN"/>
        </w:rPr>
      </w:pPr>
      <w:r>
        <w:rPr>
          <w:rFonts w:hint="eastAsia"/>
        </w:rPr>
        <w:t>建设期限：自合同签订之日起</w:t>
      </w:r>
      <w:r>
        <w:rPr>
          <w:rFonts w:hint="eastAsia"/>
          <w:lang w:val="en-US" w:eastAsia="zh-CN"/>
        </w:rPr>
        <w:t>8个月</w:t>
      </w:r>
    </w:p>
    <w:p w14:paraId="265C33FD">
      <w:pPr>
        <w:pStyle w:val="3"/>
        <w:ind w:left="-142" w:firstLine="600" w:firstLineChars="200"/>
      </w:pPr>
      <w:r>
        <w:rPr>
          <w:rFonts w:hint="eastAsia"/>
        </w:rPr>
        <w:t>建设地点</w:t>
      </w:r>
    </w:p>
    <w:p w14:paraId="750AB588">
      <w:pPr>
        <w:spacing w:line="560" w:lineRule="exact"/>
      </w:pPr>
      <w:r>
        <w:rPr>
          <w:rFonts w:hint="eastAsia"/>
        </w:rPr>
        <w:t>建设地点：上海市江苏路3</w:t>
      </w:r>
      <w:r>
        <w:t>89</w:t>
      </w:r>
      <w:r>
        <w:rPr>
          <w:rFonts w:hint="eastAsia"/>
        </w:rPr>
        <w:t>号</w:t>
      </w:r>
    </w:p>
    <w:p w14:paraId="588E1F59">
      <w:pPr>
        <w:pStyle w:val="3"/>
        <w:ind w:left="-142" w:firstLine="600" w:firstLineChars="200"/>
      </w:pPr>
      <w:r>
        <w:rPr>
          <w:rFonts w:hint="eastAsia"/>
        </w:rPr>
        <w:t>采购金额（最高限价）</w:t>
      </w:r>
    </w:p>
    <w:p w14:paraId="2634ED0C">
      <w:pPr>
        <w:spacing w:line="560" w:lineRule="exact"/>
      </w:pPr>
      <w:r>
        <w:rPr>
          <w:rFonts w:hint="eastAsia"/>
        </w:rPr>
        <w:t>采购金额（最高限价）：1,250,000元</w:t>
      </w:r>
    </w:p>
    <w:p w14:paraId="322E4914">
      <w:pPr>
        <w:pStyle w:val="3"/>
        <w:ind w:left="-142" w:firstLine="600" w:firstLineChars="200"/>
      </w:pPr>
      <w:r>
        <w:rPr>
          <w:rFonts w:hint="eastAsia"/>
        </w:rPr>
        <w:t>组织形式</w:t>
      </w:r>
    </w:p>
    <w:p w14:paraId="2FA5285B">
      <w:r>
        <w:rPr>
          <w:rFonts w:hint="eastAsia"/>
        </w:rPr>
        <w:t>组织形式：集中采购</w:t>
      </w:r>
    </w:p>
    <w:p w14:paraId="6C77D0BD">
      <w:pPr>
        <w:pStyle w:val="3"/>
        <w:ind w:left="-142" w:firstLine="600" w:firstLineChars="200"/>
      </w:pPr>
      <w:r>
        <w:rPr>
          <w:rFonts w:hint="eastAsia"/>
        </w:rPr>
        <w:t>采购方式</w:t>
      </w:r>
    </w:p>
    <w:p w14:paraId="4D9A6B89">
      <w:r>
        <w:rPr>
          <w:rFonts w:hint="eastAsia"/>
        </w:rPr>
        <w:t>采购方式：公开招标</w:t>
      </w:r>
    </w:p>
    <w:p w14:paraId="42E2DAEC">
      <w:pPr>
        <w:pStyle w:val="3"/>
        <w:ind w:left="-142" w:firstLine="600" w:firstLineChars="200"/>
      </w:pPr>
      <w:r>
        <w:rPr>
          <w:rFonts w:hint="eastAsia"/>
        </w:rPr>
        <w:t>是否接受联合体投标</w:t>
      </w:r>
    </w:p>
    <w:p w14:paraId="378BE604">
      <w:r>
        <w:rPr>
          <w:rFonts w:hint="eastAsia"/>
        </w:rPr>
        <w:t>是否接受联合体投标：否</w:t>
      </w:r>
    </w:p>
    <w:p w14:paraId="2C346A99">
      <w:pPr>
        <w:pStyle w:val="3"/>
        <w:ind w:left="-142" w:firstLine="600" w:firstLineChars="200"/>
      </w:pPr>
      <w:r>
        <w:rPr>
          <w:rFonts w:hint="eastAsia"/>
        </w:rPr>
        <w:t>是否按</w:t>
      </w:r>
      <w:r>
        <w:rPr>
          <w:rFonts w:hint="eastAsia"/>
          <w:lang w:eastAsia="zh-CN"/>
        </w:rPr>
        <w:t>XinChuang</w:t>
      </w:r>
      <w:r>
        <w:rPr>
          <w:rFonts w:hint="eastAsia"/>
        </w:rPr>
        <w:t>要求建设</w:t>
      </w:r>
    </w:p>
    <w:p w14:paraId="1289B6E8">
      <w:r>
        <w:t>是否按</w:t>
      </w:r>
      <w:r>
        <w:rPr>
          <w:rFonts w:hint="eastAsia"/>
          <w:lang w:eastAsia="zh-CN"/>
        </w:rPr>
        <w:t>XinChuang</w:t>
      </w:r>
      <w:r>
        <w:t>要求建设：是</w:t>
      </w:r>
    </w:p>
    <w:p w14:paraId="4E135D08">
      <w:pPr>
        <w:pStyle w:val="2"/>
        <w:ind w:firstLine="640" w:firstLineChars="200"/>
        <w:rPr>
          <w:rFonts w:ascii="Times New Roman" w:hAnsi="Times New Roman"/>
        </w:rPr>
      </w:pPr>
      <w:bookmarkStart w:id="2" w:name="_Toc47532891"/>
      <w:bookmarkEnd w:id="2"/>
      <w:bookmarkStart w:id="3" w:name="_Toc47536644"/>
      <w:bookmarkEnd w:id="3"/>
      <w:bookmarkStart w:id="4" w:name="_Toc47536272"/>
      <w:bookmarkEnd w:id="4"/>
      <w:bookmarkStart w:id="5" w:name="_Toc47533256"/>
      <w:bookmarkEnd w:id="5"/>
      <w:bookmarkStart w:id="6" w:name="_Toc47539070"/>
      <w:bookmarkEnd w:id="6"/>
      <w:bookmarkStart w:id="7" w:name="_Toc47532255"/>
      <w:bookmarkEnd w:id="7"/>
      <w:bookmarkStart w:id="8" w:name="_Toc47531634"/>
      <w:bookmarkEnd w:id="8"/>
      <w:bookmarkStart w:id="9" w:name="_Toc47537134"/>
      <w:bookmarkEnd w:id="9"/>
      <w:bookmarkStart w:id="10" w:name="_Toc48223882"/>
      <w:bookmarkStart w:id="11" w:name="_Toc63785463"/>
      <w:r>
        <w:rPr>
          <w:rFonts w:ascii="Times New Roman" w:hAnsi="Times New Roman"/>
        </w:rPr>
        <w:t>建设目标</w:t>
      </w:r>
      <w:bookmarkEnd w:id="10"/>
      <w:bookmarkEnd w:id="11"/>
    </w:p>
    <w:p w14:paraId="602239F3">
      <w:pPr>
        <w:rPr>
          <w:rFonts w:ascii="Times New Roman" w:hAnsi="Times New Roman"/>
        </w:rPr>
      </w:pPr>
      <w:r>
        <w:rPr>
          <w:rFonts w:ascii="Times New Roman" w:hAnsi="Times New Roman"/>
        </w:rPr>
        <w:t>根据水利部开展全国重点地区洪水风险图编制提升洪水风险实时分析能力的要求，集成洪水风险图编制项目定制的洪水风险实时推演工具，研建上海市动态洪水风险图应用系统，实现上海市洪涝风险实时动态分析，为防汛“四预”和指挥决策提供重要的依据，提升洪涝灾害防御能力，服务行业数字化转型，为上海市统筹安全与经济社会高质量发展提供重要水安全保障支撑。</w:t>
      </w:r>
    </w:p>
    <w:p w14:paraId="63F275C9">
      <w:pPr>
        <w:pStyle w:val="2"/>
        <w:ind w:firstLine="640" w:firstLineChars="200"/>
        <w:rPr>
          <w:rFonts w:ascii="Times New Roman" w:hAnsi="Times New Roman"/>
        </w:rPr>
      </w:pPr>
      <w:bookmarkStart w:id="12" w:name="_Toc47536676"/>
      <w:bookmarkEnd w:id="12"/>
      <w:bookmarkStart w:id="13" w:name="_Toc47532923"/>
      <w:bookmarkEnd w:id="13"/>
      <w:bookmarkStart w:id="14" w:name="_Toc47539102"/>
      <w:bookmarkEnd w:id="14"/>
      <w:bookmarkStart w:id="15" w:name="_Toc47537166"/>
      <w:bookmarkEnd w:id="15"/>
      <w:bookmarkStart w:id="16" w:name="_Toc47536304"/>
      <w:bookmarkEnd w:id="16"/>
      <w:bookmarkStart w:id="17" w:name="_Toc47533288"/>
      <w:bookmarkEnd w:id="17"/>
      <w:r>
        <w:rPr>
          <w:rFonts w:ascii="Times New Roman" w:hAnsi="Times New Roman"/>
        </w:rPr>
        <w:t>项目建设内容</w:t>
      </w:r>
    </w:p>
    <w:p w14:paraId="7E83404C">
      <w:pPr>
        <w:rPr>
          <w:rFonts w:ascii="Times New Roman" w:hAnsi="Times New Roman"/>
        </w:rPr>
      </w:pPr>
      <w:r>
        <w:rPr>
          <w:rFonts w:ascii="Times New Roman" w:hAnsi="Times New Roman"/>
        </w:rPr>
        <w:t>本项目建设范围基于2024—2025年度上海市重点地区洪水风险图39条中小河流洪水影响区和崇明岛、长兴岛、横沙岛防洪（潮）保护区编制成果所覆盖范围，适当开展部分扩展补充工作，覆盖上海市重点防洪区。在上述区域范围内，根据水利部开展全国重点地区洪水风险图编制提升洪水风险实时分析能力的要求，集成洪水风险图编制项目定制的洪水风险实时推演工具，建设动态洪水风险图应用系统。具体工作内容包括：数字化场景构建、水雨工情等数据接入与统计分析、动态洪涝风险分析计算、动态洪涝风险图场景仿真、动态洪涝风险要素查询及协同分析、洪涝风险专报动态制作与管理、动态洪涝风险图绘制、动态洪涝风险图成果管理与共享，以及密码应用建设等。</w:t>
      </w:r>
    </w:p>
    <w:p w14:paraId="0D6417B1">
      <w:pPr>
        <w:pStyle w:val="3"/>
        <w:ind w:left="0" w:firstLine="600" w:firstLineChars="200"/>
        <w:rPr>
          <w:rFonts w:ascii="Times New Roman" w:hAnsi="Times New Roman"/>
        </w:rPr>
      </w:pPr>
      <w:bookmarkStart w:id="18" w:name="_Hlk109226156"/>
      <w:r>
        <w:rPr>
          <w:rFonts w:ascii="Times New Roman" w:hAnsi="Times New Roman"/>
        </w:rPr>
        <w:t>数字化场景构建</w:t>
      </w:r>
    </w:p>
    <w:p w14:paraId="5A01B817">
      <w:pPr>
        <w:rPr>
          <w:rFonts w:ascii="Times New Roman" w:hAnsi="Times New Roman"/>
        </w:rPr>
      </w:pPr>
      <w:r>
        <w:rPr>
          <w:rFonts w:ascii="Times New Roman" w:hAnsi="Times New Roman"/>
        </w:rPr>
        <w:t>在利用已有数据底板成果的基础上，深化拓展重点河流洪水影响区，以及崇明岛、长兴岛、横沙岛防洪（潮）保护区的卫星影像云图及地形数据，为上海市重点防洪区动态洪水风险图打造时空信息深度融合的数字化场景。</w:t>
      </w:r>
    </w:p>
    <w:p w14:paraId="7AE46C80">
      <w:pPr>
        <w:pStyle w:val="3"/>
        <w:ind w:left="0" w:firstLine="600" w:firstLineChars="200"/>
        <w:rPr>
          <w:rFonts w:ascii="Times New Roman" w:hAnsi="Times New Roman"/>
        </w:rPr>
      </w:pPr>
      <w:r>
        <w:rPr>
          <w:rFonts w:ascii="Times New Roman" w:hAnsi="Times New Roman"/>
        </w:rPr>
        <w:t>水雨工情等数据接入与统计分析</w:t>
      </w:r>
    </w:p>
    <w:p w14:paraId="0D3E8138">
      <w:pPr>
        <w:rPr>
          <w:rFonts w:ascii="Times New Roman" w:hAnsi="Times New Roman"/>
        </w:rPr>
      </w:pPr>
      <w:r>
        <w:rPr>
          <w:rFonts w:ascii="Times New Roman" w:hAnsi="Times New Roman"/>
        </w:rPr>
        <w:t>基于现有水、雨情监测预报等系统和服务的接口成果，实现通过数据共享方式接入相关数据，并对数据进行统计分析，为洪涝实时推演分析与灾害风险评估提供可靠的灾害致灾背景数据。</w:t>
      </w:r>
    </w:p>
    <w:p w14:paraId="34C0DF91">
      <w:pPr>
        <w:pStyle w:val="3"/>
        <w:ind w:left="0" w:firstLine="600" w:firstLineChars="200"/>
        <w:rPr>
          <w:rFonts w:ascii="Times New Roman" w:hAnsi="Times New Roman"/>
        </w:rPr>
      </w:pPr>
      <w:r>
        <w:rPr>
          <w:rFonts w:ascii="Times New Roman" w:hAnsi="Times New Roman"/>
        </w:rPr>
        <w:t>动态洪涝风险分析计算</w:t>
      </w:r>
    </w:p>
    <w:p w14:paraId="49F2D23B">
      <w:pPr>
        <w:rPr>
          <w:rFonts w:ascii="Times New Roman" w:hAnsi="Times New Roman"/>
        </w:rPr>
      </w:pPr>
      <w:bookmarkStart w:id="19" w:name="OLE_LINK30"/>
      <w:r>
        <w:rPr>
          <w:rFonts w:ascii="Times New Roman" w:hAnsi="Times New Roman"/>
        </w:rPr>
        <w:t>基于动态洪涝分析模型实现模型调用和计算，设定模型计算方案任务、边界条件，触发模型进行后台计算，对计算完成的模型结果进行状态管理、方案管理、方案查询等内容。</w:t>
      </w:r>
    </w:p>
    <w:bookmarkEnd w:id="19"/>
    <w:p w14:paraId="63F3D730">
      <w:pPr>
        <w:pStyle w:val="3"/>
        <w:ind w:left="0" w:firstLine="600" w:firstLineChars="200"/>
        <w:rPr>
          <w:rFonts w:ascii="Times New Roman" w:hAnsi="Times New Roman"/>
        </w:rPr>
      </w:pPr>
      <w:r>
        <w:rPr>
          <w:rFonts w:ascii="Times New Roman" w:hAnsi="Times New Roman"/>
        </w:rPr>
        <w:t>动态洪涝风险图场景仿真</w:t>
      </w:r>
    </w:p>
    <w:p w14:paraId="7CF8FD3F">
      <w:pPr>
        <w:rPr>
          <w:rFonts w:ascii="Times New Roman" w:hAnsi="Times New Roman"/>
        </w:rPr>
      </w:pPr>
      <w:r>
        <w:rPr>
          <w:rFonts w:ascii="Times New Roman" w:hAnsi="Times New Roman"/>
        </w:rPr>
        <w:t>基于上海市重点防洪区数字化场景，实现采用高性能数字可视化技术，从宏观到微观不同尺度，多角度、多元、多维、多方式动态渲染和展现洪涝淹没过程等信息。</w:t>
      </w:r>
    </w:p>
    <w:p w14:paraId="4B8BD222">
      <w:pPr>
        <w:pStyle w:val="3"/>
        <w:ind w:left="0" w:firstLine="600" w:firstLineChars="200"/>
        <w:rPr>
          <w:rFonts w:ascii="Times New Roman" w:hAnsi="Times New Roman"/>
        </w:rPr>
      </w:pPr>
      <w:r>
        <w:rPr>
          <w:rFonts w:ascii="Times New Roman" w:hAnsi="Times New Roman"/>
        </w:rPr>
        <w:t>动态洪涝风险要素查询及协同分析</w:t>
      </w:r>
    </w:p>
    <w:p w14:paraId="3705A391">
      <w:pPr>
        <w:rPr>
          <w:rFonts w:ascii="Times New Roman" w:hAnsi="Times New Roman"/>
        </w:rPr>
      </w:pPr>
      <w:bookmarkStart w:id="20" w:name="OLE_LINK31"/>
      <w:r>
        <w:rPr>
          <w:rFonts w:ascii="Times New Roman" w:hAnsi="Times New Roman"/>
        </w:rPr>
        <w:t>在动态洪涝风险图场景仿真过程中，实现可分析查询实时动态洪涝风险要素，主要包含</w:t>
      </w:r>
      <w:bookmarkEnd w:id="20"/>
      <w:r>
        <w:rPr>
          <w:rFonts w:ascii="Times New Roman" w:hAnsi="Times New Roman"/>
        </w:rPr>
        <w:t>洪涝灾害淹没特征、影响损失、避洪转移、防洪排涝工程调度等各类洪涝灾害风险信息。</w:t>
      </w:r>
    </w:p>
    <w:p w14:paraId="2F952405">
      <w:pPr>
        <w:pStyle w:val="3"/>
        <w:ind w:left="0" w:firstLine="600" w:firstLineChars="200"/>
        <w:rPr>
          <w:rFonts w:ascii="Times New Roman" w:hAnsi="Times New Roman"/>
        </w:rPr>
      </w:pPr>
      <w:bookmarkStart w:id="21" w:name="OLE_LINK28"/>
      <w:r>
        <w:rPr>
          <w:rFonts w:ascii="Times New Roman" w:hAnsi="Times New Roman"/>
        </w:rPr>
        <w:t>洪涝风险专报动态制作与管理</w:t>
      </w:r>
      <w:bookmarkEnd w:id="21"/>
    </w:p>
    <w:p w14:paraId="13D38EAF">
      <w:pPr>
        <w:rPr>
          <w:rFonts w:ascii="Times New Roman" w:hAnsi="Times New Roman"/>
        </w:rPr>
      </w:pPr>
      <w:r>
        <w:rPr>
          <w:rFonts w:ascii="Times New Roman" w:hAnsi="Times New Roman"/>
        </w:rPr>
        <w:t>针对防汛实际业务工作中的典型需求，结合业务流程，实现不同需求的洪涝风险专报、风险提示的制作与管理。</w:t>
      </w:r>
    </w:p>
    <w:p w14:paraId="53245A03">
      <w:pPr>
        <w:pStyle w:val="3"/>
        <w:ind w:left="0" w:firstLine="600" w:firstLineChars="200"/>
        <w:rPr>
          <w:rFonts w:ascii="Times New Roman" w:hAnsi="Times New Roman"/>
        </w:rPr>
      </w:pPr>
      <w:r>
        <w:rPr>
          <w:rFonts w:ascii="Times New Roman" w:hAnsi="Times New Roman"/>
        </w:rPr>
        <w:t>动态洪涝风险图绘制</w:t>
      </w:r>
    </w:p>
    <w:p w14:paraId="56777C97">
      <w:pPr>
        <w:rPr>
          <w:rFonts w:ascii="Times New Roman" w:hAnsi="Times New Roman"/>
        </w:rPr>
      </w:pPr>
      <w:r>
        <w:rPr>
          <w:rFonts w:ascii="Times New Roman" w:hAnsi="Times New Roman"/>
        </w:rPr>
        <w:t>针对业务需求，基于动态洪涝分析模型实现洪涝风险专题图的绘制，主要包含淹没范围图、淹没水深图、到达时间图、淹没历时图、洪水流速图。</w:t>
      </w:r>
    </w:p>
    <w:p w14:paraId="25700453">
      <w:pPr>
        <w:pStyle w:val="3"/>
        <w:ind w:left="0" w:firstLine="600" w:firstLineChars="200"/>
        <w:rPr>
          <w:rFonts w:ascii="Times New Roman" w:hAnsi="Times New Roman"/>
        </w:rPr>
      </w:pPr>
      <w:r>
        <w:rPr>
          <w:rFonts w:ascii="Times New Roman" w:hAnsi="Times New Roman"/>
        </w:rPr>
        <w:t>动态洪涝风险图成果管理与共享</w:t>
      </w:r>
    </w:p>
    <w:p w14:paraId="53D07B6B">
      <w:pPr>
        <w:rPr>
          <w:rFonts w:ascii="Times New Roman" w:hAnsi="Times New Roman"/>
        </w:rPr>
      </w:pPr>
      <w:r>
        <w:rPr>
          <w:rFonts w:ascii="Times New Roman" w:hAnsi="Times New Roman"/>
        </w:rPr>
        <w:t>按照水利部有关洪水风险图成果汇集汇交相关要求，实现基于场景构建统一的洪水风险图成果查询展示管理模块，</w:t>
      </w:r>
      <w:bookmarkStart w:id="22" w:name="OLE_LINK16"/>
      <w:r>
        <w:rPr>
          <w:rFonts w:ascii="Times New Roman" w:hAnsi="Times New Roman"/>
        </w:rPr>
        <w:t>开展洪水风险图成果及相关数据的共享，为其他部门制定相关预案提供支持</w:t>
      </w:r>
      <w:bookmarkEnd w:id="22"/>
      <w:r>
        <w:rPr>
          <w:rFonts w:ascii="Times New Roman" w:hAnsi="Times New Roman"/>
        </w:rPr>
        <w:t>。</w:t>
      </w:r>
    </w:p>
    <w:p w14:paraId="50B3FC2D">
      <w:pPr>
        <w:pStyle w:val="3"/>
        <w:ind w:left="0" w:firstLine="600" w:firstLineChars="200"/>
        <w:rPr>
          <w:rFonts w:ascii="Times New Roman" w:hAnsi="Times New Roman"/>
        </w:rPr>
      </w:pPr>
      <w:r>
        <w:rPr>
          <w:rFonts w:ascii="Times New Roman" w:hAnsi="Times New Roman"/>
        </w:rPr>
        <w:t>密码应用建设</w:t>
      </w:r>
    </w:p>
    <w:p w14:paraId="4F0DCC0B">
      <w:pPr>
        <w:rPr>
          <w:rFonts w:ascii="Times New Roman" w:hAnsi="Times New Roman"/>
        </w:rPr>
      </w:pPr>
      <w:r>
        <w:rPr>
          <w:rFonts w:ascii="Times New Roman" w:hAnsi="Times New Roman"/>
        </w:rPr>
        <w:t>利用云平台提供的密码服务和密码资源，通过系统集成、联调测试等方式建设密码技术体系；密码算法、密码技术符合国家密码管理局的要求，密钥管理方案的技术实现采用检测认证合格的密码产品，制定密码安全相关人员、制度、业务、运维、应急等方面的管理措施。</w:t>
      </w:r>
    </w:p>
    <w:bookmarkEnd w:id="18"/>
    <w:p w14:paraId="2C183321">
      <w:pPr>
        <w:ind w:firstLine="482"/>
        <w:rPr>
          <w:rFonts w:ascii="Times New Roman" w:hAnsi="Times New Roman"/>
          <w:b/>
        </w:rPr>
      </w:pPr>
      <w:r>
        <w:rPr>
          <w:rFonts w:ascii="Times New Roman" w:hAnsi="Times New Roman"/>
          <w:b/>
        </w:rPr>
        <w:t>1、软件开发清单</w:t>
      </w:r>
    </w:p>
    <w:tbl>
      <w:tblPr>
        <w:tblStyle w:val="10"/>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520"/>
        <w:gridCol w:w="1450"/>
        <w:gridCol w:w="4843"/>
      </w:tblGrid>
      <w:tr w14:paraId="32E2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545F200F">
            <w:pPr>
              <w:widowControl/>
              <w:spacing w:line="240" w:lineRule="auto"/>
              <w:ind w:firstLine="0" w:firstLineChars="0"/>
              <w:jc w:val="center"/>
              <w:rPr>
                <w:rFonts w:ascii="Times New Roman" w:hAnsi="Times New Roman"/>
                <w:b/>
                <w:sz w:val="21"/>
                <w:szCs w:val="21"/>
              </w:rPr>
            </w:pPr>
            <w:r>
              <w:rPr>
                <w:rFonts w:ascii="Times New Roman" w:hAnsi="Times New Roman"/>
                <w:b/>
                <w:sz w:val="21"/>
                <w:szCs w:val="21"/>
              </w:rPr>
              <w:t>序号</w:t>
            </w:r>
          </w:p>
        </w:tc>
        <w:tc>
          <w:tcPr>
            <w:tcW w:w="894" w:type="pct"/>
            <w:tcBorders>
              <w:top w:val="single" w:color="auto" w:sz="4" w:space="0"/>
              <w:left w:val="single" w:color="auto" w:sz="4" w:space="0"/>
              <w:bottom w:val="single" w:color="auto" w:sz="4" w:space="0"/>
              <w:right w:val="single" w:color="auto" w:sz="4" w:space="0"/>
            </w:tcBorders>
            <w:vAlign w:val="center"/>
          </w:tcPr>
          <w:p w14:paraId="3468EEBE">
            <w:pPr>
              <w:widowControl/>
              <w:spacing w:line="240" w:lineRule="auto"/>
              <w:ind w:firstLine="0" w:firstLineChars="0"/>
              <w:jc w:val="center"/>
              <w:rPr>
                <w:rFonts w:ascii="Times New Roman" w:hAnsi="Times New Roman"/>
                <w:b/>
                <w:sz w:val="21"/>
                <w:szCs w:val="21"/>
              </w:rPr>
            </w:pPr>
            <w:r>
              <w:rPr>
                <w:rFonts w:ascii="Times New Roman" w:hAnsi="Times New Roman"/>
                <w:b/>
                <w:sz w:val="21"/>
                <w:szCs w:val="21"/>
              </w:rPr>
              <w:t>应用系统名称</w:t>
            </w:r>
          </w:p>
        </w:tc>
        <w:tc>
          <w:tcPr>
            <w:tcW w:w="853" w:type="pct"/>
            <w:tcBorders>
              <w:top w:val="single" w:color="auto" w:sz="4" w:space="0"/>
              <w:left w:val="single" w:color="auto" w:sz="4" w:space="0"/>
              <w:bottom w:val="single" w:color="auto" w:sz="4" w:space="0"/>
              <w:right w:val="single" w:color="auto" w:sz="4" w:space="0"/>
            </w:tcBorders>
            <w:vAlign w:val="center"/>
          </w:tcPr>
          <w:p w14:paraId="35CAC44F">
            <w:pPr>
              <w:widowControl/>
              <w:spacing w:line="240" w:lineRule="auto"/>
              <w:ind w:firstLine="0" w:firstLineChars="0"/>
              <w:jc w:val="center"/>
              <w:rPr>
                <w:rFonts w:ascii="Times New Roman" w:hAnsi="Times New Roman"/>
                <w:b/>
                <w:sz w:val="21"/>
                <w:szCs w:val="21"/>
              </w:rPr>
            </w:pPr>
            <w:r>
              <w:rPr>
                <w:rFonts w:ascii="Times New Roman" w:hAnsi="Times New Roman"/>
                <w:b/>
                <w:sz w:val="21"/>
                <w:szCs w:val="21"/>
              </w:rPr>
              <w:t>模块名称</w:t>
            </w:r>
          </w:p>
        </w:tc>
        <w:tc>
          <w:tcPr>
            <w:tcW w:w="2849" w:type="pct"/>
            <w:tcBorders>
              <w:top w:val="single" w:color="auto" w:sz="4" w:space="0"/>
              <w:left w:val="single" w:color="auto" w:sz="4" w:space="0"/>
              <w:bottom w:val="single" w:color="auto" w:sz="4" w:space="0"/>
              <w:right w:val="single" w:color="auto" w:sz="4" w:space="0"/>
            </w:tcBorders>
            <w:vAlign w:val="center"/>
          </w:tcPr>
          <w:p w14:paraId="77F86B43">
            <w:pPr>
              <w:widowControl/>
              <w:spacing w:line="240" w:lineRule="auto"/>
              <w:ind w:firstLine="0" w:firstLineChars="0"/>
              <w:jc w:val="center"/>
              <w:rPr>
                <w:rFonts w:ascii="Times New Roman" w:hAnsi="Times New Roman"/>
                <w:b/>
                <w:sz w:val="21"/>
                <w:szCs w:val="21"/>
              </w:rPr>
            </w:pPr>
            <w:r>
              <w:rPr>
                <w:rFonts w:ascii="Times New Roman" w:hAnsi="Times New Roman"/>
                <w:b/>
                <w:sz w:val="21"/>
                <w:szCs w:val="21"/>
              </w:rPr>
              <w:t>模块描述</w:t>
            </w:r>
          </w:p>
        </w:tc>
      </w:tr>
      <w:tr w14:paraId="6D29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2B854FDF">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1</w:t>
            </w:r>
          </w:p>
        </w:tc>
        <w:tc>
          <w:tcPr>
            <w:tcW w:w="894" w:type="pct"/>
            <w:tcBorders>
              <w:top w:val="single" w:color="auto" w:sz="4" w:space="0"/>
              <w:left w:val="single" w:color="auto" w:sz="4" w:space="0"/>
              <w:bottom w:val="single" w:color="auto" w:sz="4" w:space="0"/>
              <w:right w:val="single" w:color="auto" w:sz="4" w:space="0"/>
            </w:tcBorders>
            <w:vAlign w:val="center"/>
          </w:tcPr>
          <w:p w14:paraId="79893A1A">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上海市动态洪水风险图应用子系统</w:t>
            </w:r>
          </w:p>
        </w:tc>
        <w:tc>
          <w:tcPr>
            <w:tcW w:w="853" w:type="pct"/>
            <w:tcBorders>
              <w:top w:val="single" w:color="auto" w:sz="4" w:space="0"/>
              <w:left w:val="single" w:color="auto" w:sz="4" w:space="0"/>
              <w:bottom w:val="single" w:color="auto" w:sz="4" w:space="0"/>
              <w:right w:val="single" w:color="auto" w:sz="4" w:space="0"/>
            </w:tcBorders>
            <w:vAlign w:val="center"/>
          </w:tcPr>
          <w:p w14:paraId="111C897E">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数字化场景构建</w:t>
            </w:r>
          </w:p>
        </w:tc>
        <w:tc>
          <w:tcPr>
            <w:tcW w:w="2849" w:type="pct"/>
            <w:tcBorders>
              <w:top w:val="single" w:color="auto" w:sz="4" w:space="0"/>
              <w:left w:val="single" w:color="auto" w:sz="4" w:space="0"/>
              <w:bottom w:val="single" w:color="auto" w:sz="4" w:space="0"/>
              <w:right w:val="single" w:color="auto" w:sz="4" w:space="0"/>
            </w:tcBorders>
            <w:vAlign w:val="center"/>
          </w:tcPr>
          <w:p w14:paraId="34F95D60">
            <w:pPr>
              <w:widowControl/>
              <w:spacing w:line="240" w:lineRule="auto"/>
              <w:ind w:firstLine="0" w:firstLineChars="0"/>
              <w:jc w:val="left"/>
              <w:rPr>
                <w:rFonts w:ascii="Times New Roman" w:hAnsi="Times New Roman"/>
                <w:bCs/>
                <w:sz w:val="21"/>
                <w:szCs w:val="21"/>
              </w:rPr>
            </w:pPr>
            <w:r>
              <w:rPr>
                <w:rFonts w:ascii="Times New Roman" w:hAnsi="Times New Roman"/>
                <w:bCs/>
                <w:sz w:val="21"/>
                <w:szCs w:val="21"/>
              </w:rPr>
              <w:t>在利用已有数据底板成果的基础上，深化拓展重点河流洪水影响区，以及崇明岛、长兴岛、横沙岛防洪（潮）保护区的卫星影像云图及地形数据，为上海市重点防洪区动态洪水风险图打造时空信息深度融合的数字化场景。</w:t>
            </w:r>
          </w:p>
        </w:tc>
      </w:tr>
      <w:tr w14:paraId="2353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60EA7011">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2</w:t>
            </w:r>
          </w:p>
        </w:tc>
        <w:tc>
          <w:tcPr>
            <w:tcW w:w="894" w:type="pct"/>
            <w:tcBorders>
              <w:top w:val="single" w:color="auto" w:sz="4" w:space="0"/>
              <w:left w:val="single" w:color="auto" w:sz="4" w:space="0"/>
              <w:bottom w:val="single" w:color="auto" w:sz="4" w:space="0"/>
              <w:right w:val="single" w:color="auto" w:sz="4" w:space="0"/>
            </w:tcBorders>
            <w:vAlign w:val="center"/>
          </w:tcPr>
          <w:p w14:paraId="502AF9FE">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上海市动态洪水风险图应用子系统</w:t>
            </w:r>
          </w:p>
        </w:tc>
        <w:tc>
          <w:tcPr>
            <w:tcW w:w="853" w:type="pct"/>
            <w:tcBorders>
              <w:top w:val="single" w:color="auto" w:sz="4" w:space="0"/>
              <w:left w:val="single" w:color="auto" w:sz="4" w:space="0"/>
              <w:bottom w:val="single" w:color="auto" w:sz="4" w:space="0"/>
              <w:right w:val="single" w:color="auto" w:sz="4" w:space="0"/>
            </w:tcBorders>
            <w:vAlign w:val="center"/>
          </w:tcPr>
          <w:p w14:paraId="5DD06419">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水雨工情等数据接入与统计分析</w:t>
            </w:r>
          </w:p>
        </w:tc>
        <w:tc>
          <w:tcPr>
            <w:tcW w:w="2849" w:type="pct"/>
            <w:tcBorders>
              <w:top w:val="single" w:color="auto" w:sz="4" w:space="0"/>
              <w:left w:val="single" w:color="auto" w:sz="4" w:space="0"/>
              <w:bottom w:val="single" w:color="auto" w:sz="4" w:space="0"/>
              <w:right w:val="single" w:color="auto" w:sz="4" w:space="0"/>
            </w:tcBorders>
            <w:vAlign w:val="center"/>
          </w:tcPr>
          <w:p w14:paraId="1C5F4489">
            <w:pPr>
              <w:widowControl/>
              <w:spacing w:line="240" w:lineRule="auto"/>
              <w:ind w:firstLine="0" w:firstLineChars="0"/>
              <w:jc w:val="left"/>
              <w:rPr>
                <w:rFonts w:ascii="Times New Roman" w:hAnsi="Times New Roman"/>
                <w:bCs/>
                <w:sz w:val="21"/>
                <w:szCs w:val="21"/>
              </w:rPr>
            </w:pPr>
            <w:r>
              <w:rPr>
                <w:rFonts w:ascii="Times New Roman" w:hAnsi="Times New Roman"/>
                <w:bCs/>
                <w:sz w:val="21"/>
                <w:szCs w:val="21"/>
              </w:rPr>
              <w:t>基于现有水、雨情监测预报等系统和服务的接口成果，实现通过数据共享方式接入相关数据，并对数据进行统计分析，为洪涝实时推演分析与灾害风险评估提供可靠的灾害致灾背景数据。</w:t>
            </w:r>
          </w:p>
        </w:tc>
      </w:tr>
      <w:tr w14:paraId="0A26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5BA5E1C9">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3</w:t>
            </w:r>
          </w:p>
        </w:tc>
        <w:tc>
          <w:tcPr>
            <w:tcW w:w="894" w:type="pct"/>
            <w:tcBorders>
              <w:top w:val="single" w:color="auto" w:sz="4" w:space="0"/>
              <w:left w:val="single" w:color="auto" w:sz="4" w:space="0"/>
              <w:bottom w:val="single" w:color="auto" w:sz="4" w:space="0"/>
              <w:right w:val="single" w:color="auto" w:sz="4" w:space="0"/>
            </w:tcBorders>
            <w:vAlign w:val="center"/>
          </w:tcPr>
          <w:p w14:paraId="5CBAA8AA">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上海市动态洪水风险图应用子系统</w:t>
            </w:r>
          </w:p>
        </w:tc>
        <w:tc>
          <w:tcPr>
            <w:tcW w:w="853" w:type="pct"/>
            <w:tcBorders>
              <w:top w:val="single" w:color="auto" w:sz="4" w:space="0"/>
              <w:left w:val="single" w:color="auto" w:sz="4" w:space="0"/>
              <w:bottom w:val="single" w:color="auto" w:sz="4" w:space="0"/>
              <w:right w:val="single" w:color="auto" w:sz="4" w:space="0"/>
            </w:tcBorders>
            <w:vAlign w:val="center"/>
          </w:tcPr>
          <w:p w14:paraId="19CA5A7F">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动态洪涝风险分析计算</w:t>
            </w:r>
          </w:p>
        </w:tc>
        <w:tc>
          <w:tcPr>
            <w:tcW w:w="2849" w:type="pct"/>
            <w:tcBorders>
              <w:top w:val="single" w:color="auto" w:sz="4" w:space="0"/>
              <w:left w:val="single" w:color="auto" w:sz="4" w:space="0"/>
              <w:bottom w:val="single" w:color="auto" w:sz="4" w:space="0"/>
              <w:right w:val="single" w:color="auto" w:sz="4" w:space="0"/>
            </w:tcBorders>
            <w:vAlign w:val="center"/>
          </w:tcPr>
          <w:p w14:paraId="42B9C35B">
            <w:pPr>
              <w:widowControl/>
              <w:spacing w:line="240" w:lineRule="auto"/>
              <w:ind w:firstLine="0" w:firstLineChars="0"/>
              <w:jc w:val="left"/>
              <w:rPr>
                <w:rFonts w:ascii="Times New Roman" w:hAnsi="Times New Roman"/>
                <w:bCs/>
                <w:sz w:val="21"/>
                <w:szCs w:val="21"/>
              </w:rPr>
            </w:pPr>
            <w:r>
              <w:rPr>
                <w:rFonts w:ascii="Times New Roman" w:hAnsi="Times New Roman"/>
                <w:bCs/>
                <w:sz w:val="21"/>
                <w:szCs w:val="21"/>
              </w:rPr>
              <w:t>基于动态洪涝分析模型实现模型调用和计算，设定模型计算方案任务、边界条件，触发模型进行后台计算，对计算完成的模型结果进行状态管理、方案管理、方案查询等内容。</w:t>
            </w:r>
          </w:p>
        </w:tc>
      </w:tr>
      <w:tr w14:paraId="06B2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63ACBED2">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4</w:t>
            </w:r>
          </w:p>
        </w:tc>
        <w:tc>
          <w:tcPr>
            <w:tcW w:w="894" w:type="pct"/>
            <w:tcBorders>
              <w:top w:val="single" w:color="auto" w:sz="4" w:space="0"/>
              <w:left w:val="single" w:color="auto" w:sz="4" w:space="0"/>
              <w:bottom w:val="single" w:color="auto" w:sz="4" w:space="0"/>
              <w:right w:val="single" w:color="auto" w:sz="4" w:space="0"/>
            </w:tcBorders>
            <w:vAlign w:val="center"/>
          </w:tcPr>
          <w:p w14:paraId="53F750A1">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上海市动态洪水风险图应用子系统</w:t>
            </w:r>
          </w:p>
        </w:tc>
        <w:tc>
          <w:tcPr>
            <w:tcW w:w="853" w:type="pct"/>
            <w:tcBorders>
              <w:top w:val="single" w:color="auto" w:sz="4" w:space="0"/>
              <w:left w:val="single" w:color="auto" w:sz="4" w:space="0"/>
              <w:bottom w:val="single" w:color="auto" w:sz="4" w:space="0"/>
              <w:right w:val="single" w:color="auto" w:sz="4" w:space="0"/>
            </w:tcBorders>
            <w:vAlign w:val="center"/>
          </w:tcPr>
          <w:p w14:paraId="79A529B5">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动态洪涝风险图场景仿真</w:t>
            </w:r>
          </w:p>
        </w:tc>
        <w:tc>
          <w:tcPr>
            <w:tcW w:w="2849" w:type="pct"/>
            <w:tcBorders>
              <w:top w:val="single" w:color="auto" w:sz="4" w:space="0"/>
              <w:left w:val="single" w:color="auto" w:sz="4" w:space="0"/>
              <w:bottom w:val="single" w:color="auto" w:sz="4" w:space="0"/>
              <w:right w:val="single" w:color="auto" w:sz="4" w:space="0"/>
            </w:tcBorders>
            <w:vAlign w:val="center"/>
          </w:tcPr>
          <w:p w14:paraId="13F4EA32">
            <w:pPr>
              <w:widowControl/>
              <w:spacing w:line="240" w:lineRule="auto"/>
              <w:ind w:firstLine="0" w:firstLineChars="0"/>
              <w:jc w:val="left"/>
              <w:rPr>
                <w:rFonts w:ascii="Times New Roman" w:hAnsi="Times New Roman"/>
                <w:bCs/>
                <w:sz w:val="21"/>
                <w:szCs w:val="21"/>
              </w:rPr>
            </w:pPr>
            <w:r>
              <w:rPr>
                <w:rFonts w:ascii="Times New Roman" w:hAnsi="Times New Roman"/>
                <w:bCs/>
                <w:sz w:val="21"/>
                <w:szCs w:val="21"/>
              </w:rPr>
              <w:t>基于上海市重点防洪区数字化场景，实现采用高性能数字可视化技术，从宏观到微观不同尺度，多角度、多元、多维、多方式动态渲染和展现洪涝淹没过程等信息。</w:t>
            </w:r>
          </w:p>
        </w:tc>
      </w:tr>
      <w:tr w14:paraId="5B30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2FB6B75D">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5</w:t>
            </w:r>
          </w:p>
        </w:tc>
        <w:tc>
          <w:tcPr>
            <w:tcW w:w="894" w:type="pct"/>
            <w:tcBorders>
              <w:top w:val="single" w:color="auto" w:sz="4" w:space="0"/>
              <w:left w:val="single" w:color="auto" w:sz="4" w:space="0"/>
              <w:bottom w:val="single" w:color="auto" w:sz="4" w:space="0"/>
              <w:right w:val="single" w:color="auto" w:sz="4" w:space="0"/>
            </w:tcBorders>
            <w:vAlign w:val="center"/>
          </w:tcPr>
          <w:p w14:paraId="6A9DDF05">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上海市动态洪水风险图应用子系统</w:t>
            </w:r>
          </w:p>
        </w:tc>
        <w:tc>
          <w:tcPr>
            <w:tcW w:w="853" w:type="pct"/>
            <w:tcBorders>
              <w:top w:val="single" w:color="auto" w:sz="4" w:space="0"/>
              <w:left w:val="single" w:color="auto" w:sz="4" w:space="0"/>
              <w:bottom w:val="single" w:color="auto" w:sz="4" w:space="0"/>
              <w:right w:val="single" w:color="auto" w:sz="4" w:space="0"/>
            </w:tcBorders>
            <w:vAlign w:val="center"/>
          </w:tcPr>
          <w:p w14:paraId="3330C060">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动态洪涝风险要素查询及协同分析</w:t>
            </w:r>
          </w:p>
        </w:tc>
        <w:tc>
          <w:tcPr>
            <w:tcW w:w="2849" w:type="pct"/>
            <w:tcBorders>
              <w:top w:val="single" w:color="auto" w:sz="4" w:space="0"/>
              <w:left w:val="single" w:color="auto" w:sz="4" w:space="0"/>
              <w:bottom w:val="single" w:color="auto" w:sz="4" w:space="0"/>
              <w:right w:val="single" w:color="auto" w:sz="4" w:space="0"/>
            </w:tcBorders>
            <w:vAlign w:val="center"/>
          </w:tcPr>
          <w:p w14:paraId="3687F245">
            <w:pPr>
              <w:widowControl/>
              <w:spacing w:line="240" w:lineRule="auto"/>
              <w:ind w:firstLine="0" w:firstLineChars="0"/>
              <w:jc w:val="left"/>
              <w:rPr>
                <w:rFonts w:ascii="Times New Roman" w:hAnsi="Times New Roman"/>
                <w:bCs/>
                <w:sz w:val="21"/>
                <w:szCs w:val="21"/>
              </w:rPr>
            </w:pPr>
            <w:r>
              <w:rPr>
                <w:rFonts w:ascii="Times New Roman" w:hAnsi="Times New Roman"/>
                <w:bCs/>
                <w:sz w:val="21"/>
                <w:szCs w:val="21"/>
              </w:rPr>
              <w:t>在动态洪涝风险图场景仿真过程中，实现可分析查询实时动态洪涝风险要素，主要包含洪涝灾害淹没特征、影响损失、避洪转移、防洪排涝工程调度等各类洪涝灾害风险信息。</w:t>
            </w:r>
          </w:p>
        </w:tc>
      </w:tr>
      <w:tr w14:paraId="0260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0C75C230">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6</w:t>
            </w:r>
          </w:p>
        </w:tc>
        <w:tc>
          <w:tcPr>
            <w:tcW w:w="894" w:type="pct"/>
            <w:tcBorders>
              <w:top w:val="single" w:color="auto" w:sz="4" w:space="0"/>
              <w:left w:val="single" w:color="auto" w:sz="4" w:space="0"/>
              <w:bottom w:val="single" w:color="auto" w:sz="4" w:space="0"/>
              <w:right w:val="single" w:color="auto" w:sz="4" w:space="0"/>
            </w:tcBorders>
            <w:vAlign w:val="center"/>
          </w:tcPr>
          <w:p w14:paraId="72BF9F51">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上海市动态洪水风险图应用子系统</w:t>
            </w:r>
          </w:p>
        </w:tc>
        <w:tc>
          <w:tcPr>
            <w:tcW w:w="853" w:type="pct"/>
            <w:tcBorders>
              <w:top w:val="single" w:color="auto" w:sz="4" w:space="0"/>
              <w:left w:val="single" w:color="auto" w:sz="4" w:space="0"/>
              <w:bottom w:val="single" w:color="auto" w:sz="4" w:space="0"/>
              <w:right w:val="single" w:color="auto" w:sz="4" w:space="0"/>
            </w:tcBorders>
            <w:vAlign w:val="center"/>
          </w:tcPr>
          <w:p w14:paraId="484FC3E0">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洪涝风险专报动态制作与管理</w:t>
            </w:r>
          </w:p>
        </w:tc>
        <w:tc>
          <w:tcPr>
            <w:tcW w:w="2849" w:type="pct"/>
            <w:tcBorders>
              <w:top w:val="single" w:color="auto" w:sz="4" w:space="0"/>
              <w:left w:val="single" w:color="auto" w:sz="4" w:space="0"/>
              <w:bottom w:val="single" w:color="auto" w:sz="4" w:space="0"/>
              <w:right w:val="single" w:color="auto" w:sz="4" w:space="0"/>
            </w:tcBorders>
            <w:vAlign w:val="center"/>
          </w:tcPr>
          <w:p w14:paraId="1D355691">
            <w:pPr>
              <w:widowControl/>
              <w:spacing w:line="240" w:lineRule="auto"/>
              <w:ind w:firstLine="0" w:firstLineChars="0"/>
              <w:jc w:val="left"/>
              <w:rPr>
                <w:rFonts w:ascii="Times New Roman" w:hAnsi="Times New Roman"/>
                <w:bCs/>
                <w:sz w:val="21"/>
                <w:szCs w:val="21"/>
              </w:rPr>
            </w:pPr>
            <w:r>
              <w:rPr>
                <w:rFonts w:ascii="Times New Roman" w:hAnsi="Times New Roman"/>
                <w:bCs/>
                <w:sz w:val="21"/>
                <w:szCs w:val="21"/>
              </w:rPr>
              <w:t>针对防汛实际业务工作中的典型需求，结合业务流程，实现不同需求的洪涝风险专报、风险提示的制作与管理。</w:t>
            </w:r>
          </w:p>
        </w:tc>
      </w:tr>
      <w:tr w14:paraId="7E5C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60344BBC">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7</w:t>
            </w:r>
          </w:p>
        </w:tc>
        <w:tc>
          <w:tcPr>
            <w:tcW w:w="894" w:type="pct"/>
            <w:tcBorders>
              <w:top w:val="single" w:color="auto" w:sz="4" w:space="0"/>
              <w:left w:val="single" w:color="auto" w:sz="4" w:space="0"/>
              <w:bottom w:val="single" w:color="auto" w:sz="4" w:space="0"/>
              <w:right w:val="single" w:color="auto" w:sz="4" w:space="0"/>
            </w:tcBorders>
            <w:vAlign w:val="center"/>
          </w:tcPr>
          <w:p w14:paraId="76002B6D">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上海市动态洪水风险图应用子系统</w:t>
            </w:r>
          </w:p>
        </w:tc>
        <w:tc>
          <w:tcPr>
            <w:tcW w:w="853" w:type="pct"/>
            <w:tcBorders>
              <w:top w:val="single" w:color="auto" w:sz="4" w:space="0"/>
              <w:left w:val="single" w:color="auto" w:sz="4" w:space="0"/>
              <w:bottom w:val="single" w:color="auto" w:sz="4" w:space="0"/>
              <w:right w:val="single" w:color="auto" w:sz="4" w:space="0"/>
            </w:tcBorders>
            <w:vAlign w:val="center"/>
          </w:tcPr>
          <w:p w14:paraId="1BB35833">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动态洪涝风险图绘制</w:t>
            </w:r>
          </w:p>
        </w:tc>
        <w:tc>
          <w:tcPr>
            <w:tcW w:w="2849" w:type="pct"/>
            <w:tcBorders>
              <w:top w:val="single" w:color="auto" w:sz="4" w:space="0"/>
              <w:left w:val="single" w:color="auto" w:sz="4" w:space="0"/>
              <w:bottom w:val="single" w:color="auto" w:sz="4" w:space="0"/>
              <w:right w:val="single" w:color="auto" w:sz="4" w:space="0"/>
            </w:tcBorders>
            <w:vAlign w:val="center"/>
          </w:tcPr>
          <w:p w14:paraId="2A21E8A7">
            <w:pPr>
              <w:widowControl/>
              <w:spacing w:line="240" w:lineRule="auto"/>
              <w:ind w:firstLine="0" w:firstLineChars="0"/>
              <w:jc w:val="left"/>
              <w:rPr>
                <w:rFonts w:ascii="Times New Roman" w:hAnsi="Times New Roman"/>
                <w:bCs/>
                <w:sz w:val="21"/>
                <w:szCs w:val="21"/>
              </w:rPr>
            </w:pPr>
            <w:r>
              <w:rPr>
                <w:rFonts w:ascii="Times New Roman" w:hAnsi="Times New Roman"/>
                <w:bCs/>
                <w:sz w:val="21"/>
                <w:szCs w:val="21"/>
              </w:rPr>
              <w:t>针对业务需求，基于动态洪涝分析模型实现洪涝风险专题图的绘制，主要包含淹没范围图、淹没水深图、到达时间图、淹没历时图、洪水流速图。</w:t>
            </w:r>
          </w:p>
        </w:tc>
      </w:tr>
      <w:tr w14:paraId="3A1F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7CAB486A">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8</w:t>
            </w:r>
          </w:p>
        </w:tc>
        <w:tc>
          <w:tcPr>
            <w:tcW w:w="894" w:type="pct"/>
            <w:tcBorders>
              <w:top w:val="single" w:color="auto" w:sz="4" w:space="0"/>
              <w:left w:val="single" w:color="auto" w:sz="4" w:space="0"/>
              <w:bottom w:val="single" w:color="auto" w:sz="4" w:space="0"/>
              <w:right w:val="single" w:color="auto" w:sz="4" w:space="0"/>
            </w:tcBorders>
            <w:vAlign w:val="center"/>
          </w:tcPr>
          <w:p w14:paraId="71DE8459">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上海市动态洪水风险图应用子系统</w:t>
            </w:r>
          </w:p>
        </w:tc>
        <w:tc>
          <w:tcPr>
            <w:tcW w:w="853" w:type="pct"/>
            <w:tcBorders>
              <w:top w:val="single" w:color="auto" w:sz="4" w:space="0"/>
              <w:left w:val="single" w:color="auto" w:sz="4" w:space="0"/>
              <w:bottom w:val="single" w:color="auto" w:sz="4" w:space="0"/>
              <w:right w:val="single" w:color="auto" w:sz="4" w:space="0"/>
            </w:tcBorders>
            <w:vAlign w:val="center"/>
          </w:tcPr>
          <w:p w14:paraId="0011A13E">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动态洪涝风险图管理及成果共享</w:t>
            </w:r>
          </w:p>
        </w:tc>
        <w:tc>
          <w:tcPr>
            <w:tcW w:w="2849" w:type="pct"/>
            <w:tcBorders>
              <w:top w:val="single" w:color="auto" w:sz="4" w:space="0"/>
              <w:left w:val="single" w:color="auto" w:sz="4" w:space="0"/>
              <w:bottom w:val="single" w:color="auto" w:sz="4" w:space="0"/>
              <w:right w:val="single" w:color="auto" w:sz="4" w:space="0"/>
            </w:tcBorders>
            <w:vAlign w:val="center"/>
          </w:tcPr>
          <w:p w14:paraId="73856A83">
            <w:pPr>
              <w:widowControl/>
              <w:spacing w:line="240" w:lineRule="auto"/>
              <w:ind w:firstLine="0" w:firstLineChars="0"/>
              <w:jc w:val="left"/>
              <w:rPr>
                <w:rFonts w:ascii="Times New Roman" w:hAnsi="Times New Roman"/>
                <w:bCs/>
                <w:sz w:val="21"/>
                <w:szCs w:val="21"/>
              </w:rPr>
            </w:pPr>
            <w:r>
              <w:rPr>
                <w:rFonts w:ascii="Times New Roman" w:hAnsi="Times New Roman"/>
                <w:bCs/>
                <w:sz w:val="21"/>
                <w:szCs w:val="21"/>
              </w:rPr>
              <w:t>按照水利部有关洪水风险图成果汇集汇交相关要求，实现基于场景构建统一的洪水风险图成果查询展示管理模块，开展洪水风险图成果及相关数据的共享，为其他部门制定相关预案提供支持。</w:t>
            </w:r>
          </w:p>
        </w:tc>
      </w:tr>
      <w:tr w14:paraId="088D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516A69E0">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9</w:t>
            </w:r>
          </w:p>
        </w:tc>
        <w:tc>
          <w:tcPr>
            <w:tcW w:w="894" w:type="pct"/>
            <w:tcBorders>
              <w:top w:val="single" w:color="auto" w:sz="4" w:space="0"/>
              <w:left w:val="single" w:color="auto" w:sz="4" w:space="0"/>
              <w:bottom w:val="single" w:color="auto" w:sz="4" w:space="0"/>
              <w:right w:val="single" w:color="auto" w:sz="4" w:space="0"/>
            </w:tcBorders>
            <w:vAlign w:val="center"/>
          </w:tcPr>
          <w:p w14:paraId="18772B03">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上海市动态洪水风险图应用子系统</w:t>
            </w:r>
          </w:p>
        </w:tc>
        <w:tc>
          <w:tcPr>
            <w:tcW w:w="853" w:type="pct"/>
            <w:tcBorders>
              <w:top w:val="single" w:color="auto" w:sz="4" w:space="0"/>
              <w:left w:val="single" w:color="auto" w:sz="4" w:space="0"/>
              <w:bottom w:val="single" w:color="auto" w:sz="4" w:space="0"/>
              <w:right w:val="single" w:color="auto" w:sz="4" w:space="0"/>
            </w:tcBorders>
            <w:vAlign w:val="center"/>
          </w:tcPr>
          <w:p w14:paraId="305B0844">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密码应用</w:t>
            </w:r>
          </w:p>
        </w:tc>
        <w:tc>
          <w:tcPr>
            <w:tcW w:w="2849" w:type="pct"/>
            <w:tcBorders>
              <w:top w:val="single" w:color="auto" w:sz="4" w:space="0"/>
              <w:left w:val="single" w:color="auto" w:sz="4" w:space="0"/>
              <w:bottom w:val="single" w:color="auto" w:sz="4" w:space="0"/>
              <w:right w:val="single" w:color="auto" w:sz="4" w:space="0"/>
            </w:tcBorders>
            <w:vAlign w:val="center"/>
          </w:tcPr>
          <w:p w14:paraId="3D9B1912">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利用云平台提供的密码服务和密码资源，通过系统集成、联调测试等方式建设密码技术体系；密码算法、密码技术符合国家密码管理局的要求，密钥管理方案的技术实现采用检测认证合格的密码产品，制定密码安全相关人员、制度、业务、运维、应急等方面的管理措施。</w:t>
            </w:r>
          </w:p>
        </w:tc>
      </w:tr>
    </w:tbl>
    <w:p w14:paraId="7441657E">
      <w:pPr>
        <w:pStyle w:val="2"/>
        <w:rPr>
          <w:rFonts w:ascii="Times New Roman" w:hAnsi="Times New Roman"/>
        </w:rPr>
      </w:pPr>
      <w:bookmarkStart w:id="23" w:name="_Toc63785502"/>
      <w:r>
        <w:rPr>
          <w:rFonts w:ascii="Times New Roman" w:hAnsi="Times New Roman"/>
        </w:rPr>
        <w:t>电子政务云资源需求</w:t>
      </w:r>
      <w:bookmarkEnd w:id="23"/>
      <w:r>
        <w:rPr>
          <w:rFonts w:hint="eastAsia" w:ascii="Times New Roman" w:hAnsi="Times New Roman"/>
          <w:lang w:eastAsia="zh-CN"/>
        </w:rPr>
        <w:t>（</w:t>
      </w:r>
      <w:r>
        <w:rPr>
          <w:rFonts w:hint="eastAsia" w:ascii="Times New Roman" w:hAnsi="Times New Roman"/>
          <w:lang w:val="en-US" w:eastAsia="zh-CN"/>
        </w:rPr>
        <w:t>不在本次采购范围）</w:t>
      </w:r>
    </w:p>
    <w:p w14:paraId="764CB9B3">
      <w:r>
        <w:rPr>
          <w:rFonts w:hint="eastAsia"/>
        </w:rPr>
        <w:t>根据项目前期资源现状，本次建设根据估算拟向电子政务云申请5台服务器资源CPU112核 、内存448G、存储42T，其中虚拟机5台。</w:t>
      </w:r>
    </w:p>
    <w:tbl>
      <w:tblPr>
        <w:tblStyle w:val="10"/>
        <w:tblW w:w="4940" w:type="pct"/>
        <w:tblInd w:w="99" w:type="dxa"/>
        <w:tblLayout w:type="autofit"/>
        <w:tblCellMar>
          <w:top w:w="0" w:type="dxa"/>
          <w:left w:w="108" w:type="dxa"/>
          <w:bottom w:w="0" w:type="dxa"/>
          <w:right w:w="108" w:type="dxa"/>
        </w:tblCellMar>
      </w:tblPr>
      <w:tblGrid>
        <w:gridCol w:w="777"/>
        <w:gridCol w:w="1253"/>
        <w:gridCol w:w="943"/>
        <w:gridCol w:w="1267"/>
        <w:gridCol w:w="666"/>
        <w:gridCol w:w="1378"/>
        <w:gridCol w:w="966"/>
        <w:gridCol w:w="1176"/>
      </w:tblGrid>
      <w:tr w14:paraId="69A98D21">
        <w:tblPrEx>
          <w:tblCellMar>
            <w:top w:w="0" w:type="dxa"/>
            <w:left w:w="108" w:type="dxa"/>
            <w:bottom w:w="0" w:type="dxa"/>
            <w:right w:w="108" w:type="dxa"/>
          </w:tblCellMar>
        </w:tblPrEx>
        <w:trPr>
          <w:trHeight w:val="285" w:hRule="atLeast"/>
        </w:trPr>
        <w:tc>
          <w:tcPr>
            <w:tcW w:w="461" w:type="pct"/>
            <w:tcBorders>
              <w:top w:val="single" w:color="auto" w:sz="8" w:space="0"/>
              <w:left w:val="single" w:color="auto" w:sz="8" w:space="0"/>
              <w:bottom w:val="single" w:color="auto" w:sz="4" w:space="0"/>
              <w:right w:val="single" w:color="auto" w:sz="4" w:space="0"/>
            </w:tcBorders>
            <w:vAlign w:val="center"/>
          </w:tcPr>
          <w:p w14:paraId="79C7593E">
            <w:pPr>
              <w:widowControl/>
              <w:spacing w:line="240" w:lineRule="auto"/>
              <w:ind w:firstLine="0" w:firstLineChars="0"/>
              <w:jc w:val="center"/>
              <w:rPr>
                <w:rFonts w:ascii="Times New Roman" w:hAnsi="Times New Roman"/>
                <w:b/>
                <w:sz w:val="21"/>
                <w:szCs w:val="21"/>
              </w:rPr>
            </w:pPr>
            <w:r>
              <w:rPr>
                <w:rFonts w:ascii="Times New Roman" w:hAnsi="Times New Roman"/>
                <w:b/>
                <w:sz w:val="21"/>
                <w:szCs w:val="21"/>
              </w:rPr>
              <w:t>序号</w:t>
            </w:r>
          </w:p>
        </w:tc>
        <w:tc>
          <w:tcPr>
            <w:tcW w:w="743" w:type="pct"/>
            <w:tcBorders>
              <w:top w:val="single" w:color="auto" w:sz="8" w:space="0"/>
              <w:left w:val="nil"/>
              <w:bottom w:val="single" w:color="auto" w:sz="4" w:space="0"/>
              <w:right w:val="single" w:color="auto" w:sz="4" w:space="0"/>
            </w:tcBorders>
            <w:vAlign w:val="center"/>
          </w:tcPr>
          <w:p w14:paraId="2263149A">
            <w:pPr>
              <w:widowControl/>
              <w:spacing w:line="240" w:lineRule="auto"/>
              <w:ind w:firstLine="0" w:firstLineChars="0"/>
              <w:jc w:val="center"/>
              <w:rPr>
                <w:rFonts w:ascii="Times New Roman" w:hAnsi="Times New Roman"/>
                <w:b/>
                <w:sz w:val="21"/>
                <w:szCs w:val="21"/>
              </w:rPr>
            </w:pPr>
            <w:r>
              <w:rPr>
                <w:rFonts w:ascii="Times New Roman" w:hAnsi="Times New Roman"/>
                <w:b/>
                <w:sz w:val="21"/>
                <w:szCs w:val="21"/>
              </w:rPr>
              <w:t>资源网络</w:t>
            </w:r>
          </w:p>
        </w:tc>
        <w:tc>
          <w:tcPr>
            <w:tcW w:w="559" w:type="pct"/>
            <w:tcBorders>
              <w:top w:val="single" w:color="auto" w:sz="8" w:space="0"/>
              <w:left w:val="nil"/>
              <w:bottom w:val="single" w:color="auto" w:sz="4" w:space="0"/>
              <w:right w:val="single" w:color="auto" w:sz="4" w:space="0"/>
            </w:tcBorders>
            <w:vAlign w:val="center"/>
          </w:tcPr>
          <w:p w14:paraId="3B0AA3A5">
            <w:pPr>
              <w:widowControl/>
              <w:spacing w:line="240" w:lineRule="auto"/>
              <w:ind w:firstLine="0" w:firstLineChars="0"/>
              <w:jc w:val="center"/>
              <w:rPr>
                <w:rFonts w:ascii="Times New Roman" w:hAnsi="Times New Roman"/>
                <w:b/>
                <w:sz w:val="21"/>
                <w:szCs w:val="21"/>
              </w:rPr>
            </w:pPr>
            <w:r>
              <w:rPr>
                <w:rFonts w:ascii="Times New Roman" w:hAnsi="Times New Roman"/>
                <w:b/>
                <w:sz w:val="21"/>
                <w:szCs w:val="21"/>
              </w:rPr>
              <w:t>资源类别</w:t>
            </w:r>
          </w:p>
        </w:tc>
        <w:tc>
          <w:tcPr>
            <w:tcW w:w="751" w:type="pct"/>
            <w:tcBorders>
              <w:top w:val="single" w:color="auto" w:sz="8" w:space="0"/>
              <w:left w:val="nil"/>
              <w:bottom w:val="single" w:color="auto" w:sz="4" w:space="0"/>
              <w:right w:val="single" w:color="auto" w:sz="4" w:space="0"/>
            </w:tcBorders>
            <w:vAlign w:val="center"/>
          </w:tcPr>
          <w:p w14:paraId="367B0282">
            <w:pPr>
              <w:widowControl/>
              <w:spacing w:line="240" w:lineRule="auto"/>
              <w:ind w:firstLine="0" w:firstLineChars="0"/>
              <w:jc w:val="center"/>
              <w:rPr>
                <w:rFonts w:ascii="Times New Roman" w:hAnsi="Times New Roman"/>
                <w:b/>
                <w:sz w:val="21"/>
                <w:szCs w:val="21"/>
              </w:rPr>
            </w:pPr>
            <w:r>
              <w:rPr>
                <w:rFonts w:ascii="Times New Roman" w:hAnsi="Times New Roman"/>
                <w:b/>
                <w:sz w:val="21"/>
                <w:szCs w:val="21"/>
              </w:rPr>
              <w:t>资源名称</w:t>
            </w:r>
          </w:p>
        </w:tc>
        <w:tc>
          <w:tcPr>
            <w:tcW w:w="395" w:type="pct"/>
            <w:tcBorders>
              <w:top w:val="single" w:color="auto" w:sz="8" w:space="0"/>
              <w:left w:val="nil"/>
              <w:bottom w:val="single" w:color="auto" w:sz="4" w:space="0"/>
              <w:right w:val="single" w:color="auto" w:sz="4" w:space="0"/>
            </w:tcBorders>
            <w:vAlign w:val="center"/>
          </w:tcPr>
          <w:p w14:paraId="592EC614">
            <w:pPr>
              <w:widowControl/>
              <w:spacing w:line="240" w:lineRule="auto"/>
              <w:ind w:firstLine="0" w:firstLineChars="0"/>
              <w:jc w:val="center"/>
              <w:rPr>
                <w:rFonts w:ascii="Times New Roman" w:hAnsi="Times New Roman"/>
                <w:b/>
                <w:sz w:val="21"/>
                <w:szCs w:val="21"/>
              </w:rPr>
            </w:pPr>
            <w:r>
              <w:rPr>
                <w:rFonts w:ascii="Times New Roman" w:hAnsi="Times New Roman"/>
                <w:b/>
                <w:sz w:val="21"/>
                <w:szCs w:val="21"/>
              </w:rPr>
              <w:t>数量(台)</w:t>
            </w:r>
          </w:p>
        </w:tc>
        <w:tc>
          <w:tcPr>
            <w:tcW w:w="817" w:type="pct"/>
            <w:tcBorders>
              <w:top w:val="single" w:color="auto" w:sz="8" w:space="0"/>
              <w:left w:val="nil"/>
              <w:bottom w:val="single" w:color="auto" w:sz="4" w:space="0"/>
              <w:right w:val="single" w:color="auto" w:sz="4" w:space="0"/>
            </w:tcBorders>
            <w:vAlign w:val="center"/>
          </w:tcPr>
          <w:p w14:paraId="45CF7BAF">
            <w:pPr>
              <w:widowControl/>
              <w:spacing w:line="240" w:lineRule="auto"/>
              <w:ind w:firstLine="0" w:firstLineChars="0"/>
              <w:jc w:val="center"/>
              <w:rPr>
                <w:rFonts w:ascii="Times New Roman" w:hAnsi="Times New Roman"/>
                <w:b/>
                <w:sz w:val="21"/>
                <w:szCs w:val="21"/>
              </w:rPr>
            </w:pPr>
            <w:r>
              <w:rPr>
                <w:rFonts w:ascii="Times New Roman" w:hAnsi="Times New Roman"/>
                <w:b/>
                <w:sz w:val="21"/>
                <w:szCs w:val="21"/>
              </w:rPr>
              <w:t>CPU(核)</w:t>
            </w:r>
          </w:p>
        </w:tc>
        <w:tc>
          <w:tcPr>
            <w:tcW w:w="573" w:type="pct"/>
            <w:tcBorders>
              <w:top w:val="single" w:color="auto" w:sz="8" w:space="0"/>
              <w:left w:val="nil"/>
              <w:bottom w:val="single" w:color="auto" w:sz="4" w:space="0"/>
              <w:right w:val="single" w:color="auto" w:sz="4" w:space="0"/>
            </w:tcBorders>
            <w:vAlign w:val="center"/>
          </w:tcPr>
          <w:p w14:paraId="3A69D027">
            <w:pPr>
              <w:widowControl/>
              <w:spacing w:line="240" w:lineRule="auto"/>
              <w:ind w:firstLine="0" w:firstLineChars="0"/>
              <w:jc w:val="center"/>
              <w:rPr>
                <w:rFonts w:ascii="Times New Roman" w:hAnsi="Times New Roman"/>
                <w:b/>
                <w:sz w:val="21"/>
                <w:szCs w:val="21"/>
              </w:rPr>
            </w:pPr>
            <w:r>
              <w:rPr>
                <w:rFonts w:ascii="Times New Roman" w:hAnsi="Times New Roman"/>
                <w:b/>
                <w:sz w:val="21"/>
                <w:szCs w:val="21"/>
              </w:rPr>
              <w:t>内存(G)</w:t>
            </w:r>
          </w:p>
        </w:tc>
        <w:tc>
          <w:tcPr>
            <w:tcW w:w="697" w:type="pct"/>
            <w:tcBorders>
              <w:top w:val="single" w:color="auto" w:sz="8" w:space="0"/>
              <w:left w:val="nil"/>
              <w:bottom w:val="single" w:color="auto" w:sz="4" w:space="0"/>
              <w:right w:val="single" w:color="auto" w:sz="8" w:space="0"/>
            </w:tcBorders>
            <w:vAlign w:val="center"/>
          </w:tcPr>
          <w:p w14:paraId="25720C82">
            <w:pPr>
              <w:widowControl/>
              <w:spacing w:line="240" w:lineRule="auto"/>
              <w:ind w:firstLine="0" w:firstLineChars="0"/>
              <w:jc w:val="center"/>
              <w:rPr>
                <w:rFonts w:ascii="Times New Roman" w:hAnsi="Times New Roman"/>
                <w:b/>
                <w:sz w:val="21"/>
                <w:szCs w:val="21"/>
              </w:rPr>
            </w:pPr>
            <w:r>
              <w:rPr>
                <w:rFonts w:hint="eastAsia" w:ascii="Times New Roman" w:hAnsi="Times New Roman"/>
                <w:b/>
                <w:sz w:val="21"/>
                <w:szCs w:val="21"/>
              </w:rPr>
              <w:t>存储（GB）</w:t>
            </w:r>
          </w:p>
        </w:tc>
      </w:tr>
      <w:tr w14:paraId="020CF55E">
        <w:tblPrEx>
          <w:tblCellMar>
            <w:top w:w="0" w:type="dxa"/>
            <w:left w:w="108" w:type="dxa"/>
            <w:bottom w:w="0" w:type="dxa"/>
            <w:right w:w="108" w:type="dxa"/>
          </w:tblCellMar>
        </w:tblPrEx>
        <w:trPr>
          <w:trHeight w:val="720" w:hRule="atLeast"/>
        </w:trPr>
        <w:tc>
          <w:tcPr>
            <w:tcW w:w="461" w:type="pct"/>
            <w:tcBorders>
              <w:top w:val="nil"/>
              <w:left w:val="single" w:color="auto" w:sz="8" w:space="0"/>
              <w:bottom w:val="single" w:color="auto" w:sz="4" w:space="0"/>
              <w:right w:val="single" w:color="auto" w:sz="4" w:space="0"/>
            </w:tcBorders>
            <w:vAlign w:val="center"/>
          </w:tcPr>
          <w:p w14:paraId="13E36766">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1</w:t>
            </w:r>
          </w:p>
        </w:tc>
        <w:tc>
          <w:tcPr>
            <w:tcW w:w="743" w:type="pct"/>
            <w:tcBorders>
              <w:top w:val="nil"/>
              <w:left w:val="nil"/>
              <w:bottom w:val="single" w:color="auto" w:sz="4" w:space="0"/>
              <w:right w:val="single" w:color="auto" w:sz="4" w:space="0"/>
            </w:tcBorders>
            <w:vAlign w:val="center"/>
          </w:tcPr>
          <w:p w14:paraId="221BFEEA">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政务外网</w:t>
            </w:r>
          </w:p>
        </w:tc>
        <w:tc>
          <w:tcPr>
            <w:tcW w:w="559" w:type="pct"/>
            <w:tcBorders>
              <w:top w:val="nil"/>
              <w:left w:val="nil"/>
              <w:bottom w:val="single" w:color="auto" w:sz="4" w:space="0"/>
              <w:right w:val="single" w:color="auto" w:sz="4" w:space="0"/>
            </w:tcBorders>
            <w:vAlign w:val="center"/>
          </w:tcPr>
          <w:p w14:paraId="1F867051">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虚拟机</w:t>
            </w:r>
          </w:p>
        </w:tc>
        <w:tc>
          <w:tcPr>
            <w:tcW w:w="751" w:type="pct"/>
            <w:tcBorders>
              <w:top w:val="nil"/>
              <w:left w:val="nil"/>
              <w:bottom w:val="single" w:color="auto" w:sz="4" w:space="0"/>
              <w:right w:val="single" w:color="auto" w:sz="4" w:space="0"/>
            </w:tcBorders>
            <w:vAlign w:val="center"/>
          </w:tcPr>
          <w:p w14:paraId="025268A9">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GPU实时渲染服务器</w:t>
            </w:r>
          </w:p>
        </w:tc>
        <w:tc>
          <w:tcPr>
            <w:tcW w:w="395" w:type="pct"/>
            <w:tcBorders>
              <w:top w:val="nil"/>
              <w:left w:val="nil"/>
              <w:bottom w:val="single" w:color="auto" w:sz="4" w:space="0"/>
              <w:right w:val="single" w:color="auto" w:sz="4" w:space="0"/>
            </w:tcBorders>
            <w:vAlign w:val="center"/>
          </w:tcPr>
          <w:p w14:paraId="70CA02A8">
            <w:pPr>
              <w:widowControl/>
              <w:spacing w:line="240" w:lineRule="auto"/>
              <w:ind w:firstLine="0" w:firstLineChars="0"/>
              <w:jc w:val="center"/>
              <w:rPr>
                <w:rFonts w:ascii="Times New Roman" w:hAnsi="Times New Roman"/>
                <w:bCs/>
                <w:sz w:val="21"/>
                <w:szCs w:val="21"/>
              </w:rPr>
            </w:pPr>
            <w:r>
              <w:rPr>
                <w:rFonts w:hint="eastAsia" w:ascii="Times New Roman" w:hAnsi="Times New Roman"/>
                <w:bCs/>
                <w:sz w:val="21"/>
                <w:szCs w:val="21"/>
              </w:rPr>
              <w:t>1</w:t>
            </w:r>
          </w:p>
        </w:tc>
        <w:tc>
          <w:tcPr>
            <w:tcW w:w="817" w:type="pct"/>
            <w:tcBorders>
              <w:top w:val="nil"/>
              <w:left w:val="nil"/>
              <w:bottom w:val="single" w:color="auto" w:sz="4" w:space="0"/>
              <w:right w:val="single" w:color="auto" w:sz="4" w:space="0"/>
            </w:tcBorders>
            <w:vAlign w:val="center"/>
          </w:tcPr>
          <w:p w14:paraId="5BDA5E78">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32</w:t>
            </w:r>
          </w:p>
        </w:tc>
        <w:tc>
          <w:tcPr>
            <w:tcW w:w="573" w:type="pct"/>
            <w:tcBorders>
              <w:top w:val="nil"/>
              <w:left w:val="nil"/>
              <w:bottom w:val="single" w:color="auto" w:sz="4" w:space="0"/>
              <w:right w:val="single" w:color="auto" w:sz="4" w:space="0"/>
            </w:tcBorders>
            <w:vAlign w:val="center"/>
          </w:tcPr>
          <w:p w14:paraId="7750122E">
            <w:pPr>
              <w:widowControl/>
              <w:spacing w:line="240" w:lineRule="auto"/>
              <w:ind w:firstLine="0" w:firstLineChars="0"/>
              <w:jc w:val="center"/>
              <w:rPr>
                <w:rFonts w:ascii="Times New Roman" w:hAnsi="Times New Roman"/>
                <w:bCs/>
                <w:sz w:val="21"/>
                <w:szCs w:val="21"/>
              </w:rPr>
            </w:pPr>
            <w:r>
              <w:rPr>
                <w:rFonts w:hint="eastAsia" w:ascii="Times New Roman" w:hAnsi="Times New Roman"/>
                <w:bCs/>
                <w:sz w:val="21"/>
                <w:szCs w:val="21"/>
              </w:rPr>
              <w:t>128</w:t>
            </w:r>
          </w:p>
        </w:tc>
        <w:tc>
          <w:tcPr>
            <w:tcW w:w="697" w:type="pct"/>
            <w:tcBorders>
              <w:top w:val="nil"/>
              <w:left w:val="nil"/>
              <w:bottom w:val="single" w:color="auto" w:sz="4" w:space="0"/>
              <w:right w:val="single" w:color="auto" w:sz="8" w:space="0"/>
            </w:tcBorders>
            <w:vAlign w:val="center"/>
          </w:tcPr>
          <w:p w14:paraId="01EED6BD">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10</w:t>
            </w:r>
            <w:r>
              <w:rPr>
                <w:rFonts w:hint="eastAsia" w:ascii="Times New Roman" w:hAnsi="Times New Roman"/>
                <w:bCs/>
                <w:sz w:val="21"/>
                <w:szCs w:val="21"/>
              </w:rPr>
              <w:t>24</w:t>
            </w:r>
          </w:p>
        </w:tc>
      </w:tr>
      <w:tr w14:paraId="28336216">
        <w:tblPrEx>
          <w:tblCellMar>
            <w:top w:w="0" w:type="dxa"/>
            <w:left w:w="108" w:type="dxa"/>
            <w:bottom w:w="0" w:type="dxa"/>
            <w:right w:w="108" w:type="dxa"/>
          </w:tblCellMar>
        </w:tblPrEx>
        <w:trPr>
          <w:trHeight w:val="720" w:hRule="atLeast"/>
        </w:trPr>
        <w:tc>
          <w:tcPr>
            <w:tcW w:w="461" w:type="pct"/>
            <w:tcBorders>
              <w:top w:val="nil"/>
              <w:left w:val="single" w:color="auto" w:sz="8" w:space="0"/>
              <w:bottom w:val="single" w:color="auto" w:sz="4" w:space="0"/>
              <w:right w:val="single" w:color="auto" w:sz="4" w:space="0"/>
            </w:tcBorders>
            <w:vAlign w:val="center"/>
          </w:tcPr>
          <w:p w14:paraId="43E66D6E">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3</w:t>
            </w:r>
          </w:p>
        </w:tc>
        <w:tc>
          <w:tcPr>
            <w:tcW w:w="743" w:type="pct"/>
            <w:tcBorders>
              <w:top w:val="nil"/>
              <w:left w:val="nil"/>
              <w:bottom w:val="single" w:color="auto" w:sz="4" w:space="0"/>
              <w:right w:val="single" w:color="auto" w:sz="4" w:space="0"/>
            </w:tcBorders>
            <w:vAlign w:val="center"/>
          </w:tcPr>
          <w:p w14:paraId="30DC9CD0">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政务外网</w:t>
            </w:r>
          </w:p>
        </w:tc>
        <w:tc>
          <w:tcPr>
            <w:tcW w:w="559" w:type="pct"/>
            <w:tcBorders>
              <w:top w:val="nil"/>
              <w:left w:val="nil"/>
              <w:bottom w:val="single" w:color="auto" w:sz="4" w:space="0"/>
              <w:right w:val="single" w:color="auto" w:sz="4" w:space="0"/>
            </w:tcBorders>
            <w:vAlign w:val="center"/>
          </w:tcPr>
          <w:p w14:paraId="475701F1">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虚拟机</w:t>
            </w:r>
          </w:p>
        </w:tc>
        <w:tc>
          <w:tcPr>
            <w:tcW w:w="751" w:type="pct"/>
            <w:tcBorders>
              <w:top w:val="nil"/>
              <w:left w:val="nil"/>
              <w:bottom w:val="single" w:color="auto" w:sz="4" w:space="0"/>
              <w:right w:val="single" w:color="auto" w:sz="4" w:space="0"/>
            </w:tcBorders>
            <w:vAlign w:val="center"/>
          </w:tcPr>
          <w:p w14:paraId="2495FA80">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应用</w:t>
            </w:r>
            <w:r>
              <w:rPr>
                <w:rFonts w:hint="eastAsia" w:ascii="Times New Roman" w:hAnsi="Times New Roman"/>
                <w:bCs/>
                <w:sz w:val="21"/>
                <w:szCs w:val="21"/>
              </w:rPr>
              <w:t>系统</w:t>
            </w:r>
            <w:r>
              <w:rPr>
                <w:rFonts w:ascii="Times New Roman" w:hAnsi="Times New Roman"/>
                <w:bCs/>
                <w:sz w:val="21"/>
                <w:szCs w:val="21"/>
              </w:rPr>
              <w:t>服务器</w:t>
            </w:r>
          </w:p>
        </w:tc>
        <w:tc>
          <w:tcPr>
            <w:tcW w:w="395" w:type="pct"/>
            <w:tcBorders>
              <w:top w:val="nil"/>
              <w:left w:val="nil"/>
              <w:bottom w:val="single" w:color="auto" w:sz="4" w:space="0"/>
              <w:right w:val="single" w:color="auto" w:sz="4" w:space="0"/>
            </w:tcBorders>
            <w:vAlign w:val="center"/>
          </w:tcPr>
          <w:p w14:paraId="2039465A">
            <w:pPr>
              <w:widowControl/>
              <w:spacing w:line="240" w:lineRule="auto"/>
              <w:ind w:firstLine="0" w:firstLineChars="0"/>
              <w:jc w:val="center"/>
              <w:rPr>
                <w:rFonts w:ascii="Times New Roman" w:hAnsi="Times New Roman"/>
                <w:bCs/>
                <w:sz w:val="21"/>
                <w:szCs w:val="21"/>
              </w:rPr>
            </w:pPr>
            <w:r>
              <w:rPr>
                <w:rFonts w:hint="eastAsia" w:ascii="Times New Roman" w:hAnsi="Times New Roman"/>
                <w:bCs/>
                <w:sz w:val="21"/>
                <w:szCs w:val="21"/>
              </w:rPr>
              <w:t>1</w:t>
            </w:r>
          </w:p>
        </w:tc>
        <w:tc>
          <w:tcPr>
            <w:tcW w:w="817" w:type="pct"/>
            <w:tcBorders>
              <w:top w:val="nil"/>
              <w:left w:val="nil"/>
              <w:bottom w:val="single" w:color="auto" w:sz="4" w:space="0"/>
              <w:right w:val="single" w:color="auto" w:sz="4" w:space="0"/>
            </w:tcBorders>
            <w:vAlign w:val="center"/>
          </w:tcPr>
          <w:p w14:paraId="4EF145E4">
            <w:pPr>
              <w:widowControl/>
              <w:spacing w:line="240" w:lineRule="auto"/>
              <w:ind w:firstLine="0" w:firstLineChars="0"/>
              <w:jc w:val="center"/>
              <w:rPr>
                <w:rFonts w:ascii="Times New Roman" w:hAnsi="Times New Roman"/>
                <w:bCs/>
                <w:sz w:val="21"/>
                <w:szCs w:val="21"/>
              </w:rPr>
            </w:pPr>
            <w:r>
              <w:rPr>
                <w:rFonts w:hint="eastAsia" w:ascii="Times New Roman" w:hAnsi="Times New Roman"/>
                <w:bCs/>
                <w:sz w:val="21"/>
                <w:szCs w:val="21"/>
              </w:rPr>
              <w:t>16</w:t>
            </w:r>
          </w:p>
        </w:tc>
        <w:tc>
          <w:tcPr>
            <w:tcW w:w="573" w:type="pct"/>
            <w:tcBorders>
              <w:top w:val="nil"/>
              <w:left w:val="nil"/>
              <w:bottom w:val="single" w:color="auto" w:sz="4" w:space="0"/>
              <w:right w:val="single" w:color="auto" w:sz="4" w:space="0"/>
            </w:tcBorders>
            <w:vAlign w:val="center"/>
          </w:tcPr>
          <w:p w14:paraId="5D774E84">
            <w:pPr>
              <w:widowControl/>
              <w:spacing w:line="240" w:lineRule="auto"/>
              <w:ind w:firstLine="0" w:firstLineChars="0"/>
              <w:jc w:val="center"/>
              <w:rPr>
                <w:rFonts w:ascii="Times New Roman" w:hAnsi="Times New Roman"/>
                <w:bCs/>
                <w:sz w:val="21"/>
                <w:szCs w:val="21"/>
              </w:rPr>
            </w:pPr>
            <w:r>
              <w:rPr>
                <w:rFonts w:hint="eastAsia" w:ascii="Times New Roman" w:hAnsi="Times New Roman"/>
                <w:bCs/>
                <w:sz w:val="21"/>
                <w:szCs w:val="21"/>
              </w:rPr>
              <w:t>64</w:t>
            </w:r>
          </w:p>
        </w:tc>
        <w:tc>
          <w:tcPr>
            <w:tcW w:w="697" w:type="pct"/>
            <w:tcBorders>
              <w:top w:val="nil"/>
              <w:left w:val="nil"/>
              <w:bottom w:val="single" w:color="auto" w:sz="4" w:space="0"/>
              <w:right w:val="single" w:color="auto" w:sz="8" w:space="0"/>
            </w:tcBorders>
            <w:vAlign w:val="center"/>
          </w:tcPr>
          <w:p w14:paraId="55FA6079">
            <w:pPr>
              <w:widowControl/>
              <w:spacing w:line="240" w:lineRule="auto"/>
              <w:ind w:firstLine="0" w:firstLineChars="0"/>
              <w:jc w:val="center"/>
              <w:rPr>
                <w:rFonts w:ascii="Times New Roman" w:hAnsi="Times New Roman"/>
                <w:bCs/>
                <w:sz w:val="21"/>
                <w:szCs w:val="21"/>
              </w:rPr>
            </w:pPr>
            <w:r>
              <w:rPr>
                <w:rFonts w:hint="eastAsia" w:ascii="Times New Roman" w:hAnsi="Times New Roman"/>
                <w:bCs/>
                <w:sz w:val="21"/>
                <w:szCs w:val="21"/>
              </w:rPr>
              <w:t>512</w:t>
            </w:r>
          </w:p>
        </w:tc>
      </w:tr>
      <w:tr w14:paraId="7F1B6C16">
        <w:tblPrEx>
          <w:tblCellMar>
            <w:top w:w="0" w:type="dxa"/>
            <w:left w:w="108" w:type="dxa"/>
            <w:bottom w:w="0" w:type="dxa"/>
            <w:right w:w="108" w:type="dxa"/>
          </w:tblCellMar>
        </w:tblPrEx>
        <w:trPr>
          <w:trHeight w:val="480" w:hRule="atLeast"/>
        </w:trPr>
        <w:tc>
          <w:tcPr>
            <w:tcW w:w="461" w:type="pct"/>
            <w:tcBorders>
              <w:top w:val="nil"/>
              <w:left w:val="single" w:color="auto" w:sz="8" w:space="0"/>
              <w:bottom w:val="single" w:color="auto" w:sz="4" w:space="0"/>
              <w:right w:val="single" w:color="auto" w:sz="4" w:space="0"/>
            </w:tcBorders>
            <w:vAlign w:val="center"/>
          </w:tcPr>
          <w:p w14:paraId="5E6B1AE7">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4</w:t>
            </w:r>
          </w:p>
        </w:tc>
        <w:tc>
          <w:tcPr>
            <w:tcW w:w="743" w:type="pct"/>
            <w:tcBorders>
              <w:top w:val="nil"/>
              <w:left w:val="nil"/>
              <w:bottom w:val="single" w:color="auto" w:sz="4" w:space="0"/>
              <w:right w:val="single" w:color="auto" w:sz="4" w:space="0"/>
            </w:tcBorders>
            <w:vAlign w:val="center"/>
          </w:tcPr>
          <w:p w14:paraId="53CE4BE6">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政务外网</w:t>
            </w:r>
          </w:p>
        </w:tc>
        <w:tc>
          <w:tcPr>
            <w:tcW w:w="559" w:type="pct"/>
            <w:tcBorders>
              <w:top w:val="nil"/>
              <w:left w:val="nil"/>
              <w:bottom w:val="single" w:color="auto" w:sz="4" w:space="0"/>
              <w:right w:val="single" w:color="auto" w:sz="4" w:space="0"/>
            </w:tcBorders>
            <w:vAlign w:val="center"/>
          </w:tcPr>
          <w:p w14:paraId="75EF79F7">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虚拟机</w:t>
            </w:r>
          </w:p>
        </w:tc>
        <w:tc>
          <w:tcPr>
            <w:tcW w:w="751" w:type="pct"/>
            <w:tcBorders>
              <w:top w:val="nil"/>
              <w:left w:val="nil"/>
              <w:bottom w:val="single" w:color="auto" w:sz="4" w:space="0"/>
              <w:right w:val="single" w:color="auto" w:sz="4" w:space="0"/>
            </w:tcBorders>
            <w:vAlign w:val="center"/>
          </w:tcPr>
          <w:p w14:paraId="74A58454">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GIS</w:t>
            </w:r>
            <w:r>
              <w:rPr>
                <w:rFonts w:hint="eastAsia" w:ascii="Times New Roman" w:hAnsi="Times New Roman"/>
                <w:bCs/>
                <w:sz w:val="21"/>
                <w:szCs w:val="21"/>
              </w:rPr>
              <w:t>应用支撑</w:t>
            </w:r>
            <w:r>
              <w:rPr>
                <w:rFonts w:ascii="Times New Roman" w:hAnsi="Times New Roman"/>
                <w:bCs/>
                <w:sz w:val="21"/>
                <w:szCs w:val="21"/>
              </w:rPr>
              <w:t>服务器</w:t>
            </w:r>
          </w:p>
        </w:tc>
        <w:tc>
          <w:tcPr>
            <w:tcW w:w="395" w:type="pct"/>
            <w:tcBorders>
              <w:top w:val="nil"/>
              <w:left w:val="nil"/>
              <w:bottom w:val="single" w:color="auto" w:sz="4" w:space="0"/>
              <w:right w:val="single" w:color="auto" w:sz="4" w:space="0"/>
            </w:tcBorders>
            <w:vAlign w:val="center"/>
          </w:tcPr>
          <w:p w14:paraId="09A1EB64">
            <w:pPr>
              <w:widowControl/>
              <w:spacing w:line="240" w:lineRule="auto"/>
              <w:ind w:firstLine="0" w:firstLineChars="0"/>
              <w:jc w:val="center"/>
              <w:rPr>
                <w:rFonts w:ascii="Times New Roman" w:hAnsi="Times New Roman"/>
                <w:bCs/>
                <w:sz w:val="21"/>
                <w:szCs w:val="21"/>
              </w:rPr>
            </w:pPr>
            <w:r>
              <w:rPr>
                <w:rFonts w:hint="eastAsia" w:ascii="Times New Roman" w:hAnsi="Times New Roman"/>
                <w:bCs/>
                <w:sz w:val="21"/>
                <w:szCs w:val="21"/>
              </w:rPr>
              <w:t>1</w:t>
            </w:r>
          </w:p>
        </w:tc>
        <w:tc>
          <w:tcPr>
            <w:tcW w:w="817" w:type="pct"/>
            <w:tcBorders>
              <w:top w:val="nil"/>
              <w:left w:val="nil"/>
              <w:bottom w:val="single" w:color="auto" w:sz="4" w:space="0"/>
              <w:right w:val="single" w:color="auto" w:sz="4" w:space="0"/>
            </w:tcBorders>
            <w:vAlign w:val="center"/>
          </w:tcPr>
          <w:p w14:paraId="01B54BE4">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32</w:t>
            </w:r>
          </w:p>
        </w:tc>
        <w:tc>
          <w:tcPr>
            <w:tcW w:w="573" w:type="pct"/>
            <w:tcBorders>
              <w:top w:val="nil"/>
              <w:left w:val="nil"/>
              <w:bottom w:val="single" w:color="auto" w:sz="4" w:space="0"/>
              <w:right w:val="single" w:color="auto" w:sz="4" w:space="0"/>
            </w:tcBorders>
            <w:vAlign w:val="center"/>
          </w:tcPr>
          <w:p w14:paraId="3E477668">
            <w:pPr>
              <w:widowControl/>
              <w:spacing w:line="240" w:lineRule="auto"/>
              <w:ind w:firstLine="0" w:firstLineChars="0"/>
              <w:jc w:val="center"/>
              <w:rPr>
                <w:rFonts w:ascii="Times New Roman" w:hAnsi="Times New Roman"/>
                <w:bCs/>
                <w:sz w:val="21"/>
                <w:szCs w:val="21"/>
              </w:rPr>
            </w:pPr>
            <w:r>
              <w:rPr>
                <w:rFonts w:hint="eastAsia" w:ascii="Times New Roman" w:hAnsi="Times New Roman"/>
                <w:bCs/>
                <w:sz w:val="21"/>
                <w:szCs w:val="21"/>
              </w:rPr>
              <w:t>128</w:t>
            </w:r>
          </w:p>
        </w:tc>
        <w:tc>
          <w:tcPr>
            <w:tcW w:w="697" w:type="pct"/>
            <w:tcBorders>
              <w:top w:val="nil"/>
              <w:left w:val="nil"/>
              <w:bottom w:val="single" w:color="auto" w:sz="4" w:space="0"/>
              <w:right w:val="single" w:color="auto" w:sz="8" w:space="0"/>
            </w:tcBorders>
            <w:vAlign w:val="center"/>
          </w:tcPr>
          <w:p w14:paraId="391C58AC">
            <w:pPr>
              <w:widowControl/>
              <w:spacing w:line="240" w:lineRule="auto"/>
              <w:ind w:firstLine="0" w:firstLineChars="0"/>
              <w:jc w:val="center"/>
              <w:rPr>
                <w:rFonts w:ascii="Times New Roman" w:hAnsi="Times New Roman"/>
                <w:bCs/>
                <w:sz w:val="21"/>
                <w:szCs w:val="21"/>
              </w:rPr>
            </w:pPr>
            <w:r>
              <w:rPr>
                <w:rFonts w:hint="eastAsia" w:ascii="Times New Roman" w:hAnsi="Times New Roman"/>
                <w:bCs/>
                <w:sz w:val="21"/>
                <w:szCs w:val="21"/>
              </w:rPr>
              <w:t>512</w:t>
            </w:r>
          </w:p>
        </w:tc>
      </w:tr>
      <w:tr w14:paraId="5B3FE871">
        <w:tblPrEx>
          <w:tblCellMar>
            <w:top w:w="0" w:type="dxa"/>
            <w:left w:w="108" w:type="dxa"/>
            <w:bottom w:w="0" w:type="dxa"/>
            <w:right w:w="108" w:type="dxa"/>
          </w:tblCellMar>
        </w:tblPrEx>
        <w:trPr>
          <w:trHeight w:val="720" w:hRule="atLeast"/>
        </w:trPr>
        <w:tc>
          <w:tcPr>
            <w:tcW w:w="461" w:type="pct"/>
            <w:tcBorders>
              <w:top w:val="nil"/>
              <w:left w:val="single" w:color="auto" w:sz="8" w:space="0"/>
              <w:bottom w:val="single" w:color="auto" w:sz="4" w:space="0"/>
              <w:right w:val="single" w:color="auto" w:sz="4" w:space="0"/>
            </w:tcBorders>
            <w:vAlign w:val="center"/>
          </w:tcPr>
          <w:p w14:paraId="18BF41A6">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7</w:t>
            </w:r>
          </w:p>
        </w:tc>
        <w:tc>
          <w:tcPr>
            <w:tcW w:w="743" w:type="pct"/>
            <w:tcBorders>
              <w:top w:val="nil"/>
              <w:left w:val="nil"/>
              <w:bottom w:val="single" w:color="auto" w:sz="4" w:space="0"/>
              <w:right w:val="single" w:color="auto" w:sz="4" w:space="0"/>
            </w:tcBorders>
            <w:vAlign w:val="center"/>
          </w:tcPr>
          <w:p w14:paraId="6B530569">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政务外网</w:t>
            </w:r>
          </w:p>
        </w:tc>
        <w:tc>
          <w:tcPr>
            <w:tcW w:w="559" w:type="pct"/>
            <w:tcBorders>
              <w:top w:val="nil"/>
              <w:left w:val="nil"/>
              <w:bottom w:val="single" w:color="auto" w:sz="4" w:space="0"/>
              <w:right w:val="single" w:color="auto" w:sz="4" w:space="0"/>
            </w:tcBorders>
            <w:vAlign w:val="center"/>
          </w:tcPr>
          <w:p w14:paraId="2E5C74E5">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虚拟机</w:t>
            </w:r>
          </w:p>
        </w:tc>
        <w:tc>
          <w:tcPr>
            <w:tcW w:w="751" w:type="pct"/>
            <w:tcBorders>
              <w:top w:val="nil"/>
              <w:left w:val="nil"/>
              <w:bottom w:val="single" w:color="auto" w:sz="4" w:space="0"/>
              <w:right w:val="single" w:color="auto" w:sz="4" w:space="0"/>
            </w:tcBorders>
            <w:vAlign w:val="center"/>
          </w:tcPr>
          <w:p w14:paraId="2FAFDB18">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业务数据存储服务器</w:t>
            </w:r>
          </w:p>
        </w:tc>
        <w:tc>
          <w:tcPr>
            <w:tcW w:w="395" w:type="pct"/>
            <w:tcBorders>
              <w:top w:val="nil"/>
              <w:left w:val="nil"/>
              <w:bottom w:val="single" w:color="auto" w:sz="4" w:space="0"/>
              <w:right w:val="single" w:color="auto" w:sz="4" w:space="0"/>
            </w:tcBorders>
            <w:vAlign w:val="center"/>
          </w:tcPr>
          <w:p w14:paraId="0E67C86F">
            <w:pPr>
              <w:widowControl/>
              <w:spacing w:line="240" w:lineRule="auto"/>
              <w:ind w:firstLine="0" w:firstLineChars="0"/>
              <w:jc w:val="center"/>
              <w:rPr>
                <w:rFonts w:ascii="Times New Roman" w:hAnsi="Times New Roman"/>
                <w:bCs/>
                <w:sz w:val="21"/>
                <w:szCs w:val="21"/>
              </w:rPr>
            </w:pPr>
            <w:r>
              <w:rPr>
                <w:rFonts w:hint="eastAsia" w:ascii="Times New Roman" w:hAnsi="Times New Roman"/>
                <w:bCs/>
                <w:sz w:val="21"/>
                <w:szCs w:val="21"/>
              </w:rPr>
              <w:t>1</w:t>
            </w:r>
          </w:p>
        </w:tc>
        <w:tc>
          <w:tcPr>
            <w:tcW w:w="817" w:type="pct"/>
            <w:tcBorders>
              <w:top w:val="nil"/>
              <w:left w:val="nil"/>
              <w:bottom w:val="single" w:color="auto" w:sz="4" w:space="0"/>
              <w:right w:val="single" w:color="auto" w:sz="4" w:space="0"/>
            </w:tcBorders>
            <w:vAlign w:val="center"/>
          </w:tcPr>
          <w:p w14:paraId="0C078526">
            <w:pPr>
              <w:widowControl/>
              <w:spacing w:line="240" w:lineRule="auto"/>
              <w:ind w:firstLine="0" w:firstLineChars="0"/>
              <w:jc w:val="center"/>
              <w:rPr>
                <w:rFonts w:ascii="Times New Roman" w:hAnsi="Times New Roman"/>
                <w:bCs/>
                <w:sz w:val="21"/>
                <w:szCs w:val="21"/>
              </w:rPr>
            </w:pPr>
            <w:r>
              <w:rPr>
                <w:rFonts w:hint="eastAsia" w:ascii="Times New Roman" w:hAnsi="Times New Roman"/>
                <w:bCs/>
                <w:sz w:val="21"/>
                <w:szCs w:val="21"/>
              </w:rPr>
              <w:t>16</w:t>
            </w:r>
          </w:p>
        </w:tc>
        <w:tc>
          <w:tcPr>
            <w:tcW w:w="573" w:type="pct"/>
            <w:tcBorders>
              <w:top w:val="nil"/>
              <w:left w:val="nil"/>
              <w:bottom w:val="single" w:color="auto" w:sz="4" w:space="0"/>
              <w:right w:val="single" w:color="auto" w:sz="4" w:space="0"/>
            </w:tcBorders>
            <w:vAlign w:val="center"/>
          </w:tcPr>
          <w:p w14:paraId="44B3FF93">
            <w:pPr>
              <w:widowControl/>
              <w:spacing w:line="240" w:lineRule="auto"/>
              <w:ind w:firstLine="0" w:firstLineChars="0"/>
              <w:jc w:val="center"/>
              <w:rPr>
                <w:rFonts w:ascii="Times New Roman" w:hAnsi="Times New Roman"/>
                <w:bCs/>
                <w:sz w:val="21"/>
                <w:szCs w:val="21"/>
              </w:rPr>
            </w:pPr>
            <w:r>
              <w:rPr>
                <w:rFonts w:hint="eastAsia" w:ascii="Times New Roman" w:hAnsi="Times New Roman"/>
                <w:bCs/>
                <w:sz w:val="21"/>
                <w:szCs w:val="21"/>
              </w:rPr>
              <w:t>64</w:t>
            </w:r>
          </w:p>
        </w:tc>
        <w:tc>
          <w:tcPr>
            <w:tcW w:w="697" w:type="pct"/>
            <w:tcBorders>
              <w:top w:val="nil"/>
              <w:left w:val="nil"/>
              <w:bottom w:val="single" w:color="auto" w:sz="4" w:space="0"/>
              <w:right w:val="single" w:color="auto" w:sz="8" w:space="0"/>
            </w:tcBorders>
            <w:vAlign w:val="center"/>
          </w:tcPr>
          <w:p w14:paraId="55307335">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20</w:t>
            </w:r>
            <w:r>
              <w:rPr>
                <w:rFonts w:hint="eastAsia" w:ascii="Times New Roman" w:hAnsi="Times New Roman"/>
                <w:bCs/>
                <w:sz w:val="21"/>
                <w:szCs w:val="21"/>
              </w:rPr>
              <w:t>48</w:t>
            </w:r>
            <w:r>
              <w:rPr>
                <w:rFonts w:ascii="Times New Roman" w:hAnsi="Times New Roman"/>
                <w:bCs/>
                <w:sz w:val="21"/>
                <w:szCs w:val="21"/>
              </w:rPr>
              <w:t>0</w:t>
            </w:r>
          </w:p>
        </w:tc>
      </w:tr>
      <w:tr w14:paraId="0080D1D6">
        <w:tblPrEx>
          <w:tblCellMar>
            <w:top w:w="0" w:type="dxa"/>
            <w:left w:w="108" w:type="dxa"/>
            <w:bottom w:w="0" w:type="dxa"/>
            <w:right w:w="108" w:type="dxa"/>
          </w:tblCellMar>
        </w:tblPrEx>
        <w:trPr>
          <w:trHeight w:val="480" w:hRule="atLeast"/>
        </w:trPr>
        <w:tc>
          <w:tcPr>
            <w:tcW w:w="461" w:type="pct"/>
            <w:tcBorders>
              <w:top w:val="nil"/>
              <w:left w:val="single" w:color="auto" w:sz="8" w:space="0"/>
              <w:bottom w:val="single" w:color="auto" w:sz="4" w:space="0"/>
              <w:right w:val="single" w:color="auto" w:sz="4" w:space="0"/>
            </w:tcBorders>
            <w:vAlign w:val="center"/>
          </w:tcPr>
          <w:p w14:paraId="028257F9">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8</w:t>
            </w:r>
          </w:p>
        </w:tc>
        <w:tc>
          <w:tcPr>
            <w:tcW w:w="743" w:type="pct"/>
            <w:tcBorders>
              <w:top w:val="nil"/>
              <w:left w:val="nil"/>
              <w:bottom w:val="single" w:color="auto" w:sz="4" w:space="0"/>
              <w:right w:val="single" w:color="auto" w:sz="4" w:space="0"/>
            </w:tcBorders>
            <w:vAlign w:val="center"/>
          </w:tcPr>
          <w:p w14:paraId="479BEB33">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政务外网</w:t>
            </w:r>
          </w:p>
        </w:tc>
        <w:tc>
          <w:tcPr>
            <w:tcW w:w="559" w:type="pct"/>
            <w:tcBorders>
              <w:top w:val="nil"/>
              <w:left w:val="nil"/>
              <w:bottom w:val="single" w:color="auto" w:sz="4" w:space="0"/>
              <w:right w:val="single" w:color="auto" w:sz="4" w:space="0"/>
            </w:tcBorders>
            <w:vAlign w:val="center"/>
          </w:tcPr>
          <w:p w14:paraId="02F159E8">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虚拟机</w:t>
            </w:r>
          </w:p>
        </w:tc>
        <w:tc>
          <w:tcPr>
            <w:tcW w:w="751" w:type="pct"/>
            <w:tcBorders>
              <w:top w:val="nil"/>
              <w:left w:val="nil"/>
              <w:bottom w:val="single" w:color="auto" w:sz="4" w:space="0"/>
              <w:right w:val="single" w:color="auto" w:sz="4" w:space="0"/>
            </w:tcBorders>
            <w:vAlign w:val="center"/>
          </w:tcPr>
          <w:p w14:paraId="0BD3A860">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备份服务器</w:t>
            </w:r>
          </w:p>
        </w:tc>
        <w:tc>
          <w:tcPr>
            <w:tcW w:w="395" w:type="pct"/>
            <w:tcBorders>
              <w:top w:val="nil"/>
              <w:left w:val="nil"/>
              <w:bottom w:val="single" w:color="auto" w:sz="4" w:space="0"/>
              <w:right w:val="single" w:color="auto" w:sz="4" w:space="0"/>
            </w:tcBorders>
            <w:vAlign w:val="center"/>
          </w:tcPr>
          <w:p w14:paraId="123A77B6">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1</w:t>
            </w:r>
          </w:p>
        </w:tc>
        <w:tc>
          <w:tcPr>
            <w:tcW w:w="817" w:type="pct"/>
            <w:tcBorders>
              <w:top w:val="nil"/>
              <w:left w:val="nil"/>
              <w:bottom w:val="single" w:color="auto" w:sz="4" w:space="0"/>
              <w:right w:val="single" w:color="auto" w:sz="4" w:space="0"/>
            </w:tcBorders>
            <w:vAlign w:val="center"/>
          </w:tcPr>
          <w:p w14:paraId="78C9EB4F">
            <w:pPr>
              <w:widowControl/>
              <w:spacing w:line="240" w:lineRule="auto"/>
              <w:ind w:firstLine="0" w:firstLineChars="0"/>
              <w:jc w:val="center"/>
              <w:rPr>
                <w:rFonts w:ascii="Times New Roman" w:hAnsi="Times New Roman"/>
                <w:bCs/>
                <w:sz w:val="21"/>
                <w:szCs w:val="21"/>
              </w:rPr>
            </w:pPr>
            <w:r>
              <w:rPr>
                <w:rFonts w:hint="eastAsia" w:ascii="Times New Roman" w:hAnsi="Times New Roman"/>
                <w:bCs/>
                <w:sz w:val="21"/>
                <w:szCs w:val="21"/>
              </w:rPr>
              <w:t>16</w:t>
            </w:r>
          </w:p>
        </w:tc>
        <w:tc>
          <w:tcPr>
            <w:tcW w:w="573" w:type="pct"/>
            <w:tcBorders>
              <w:top w:val="nil"/>
              <w:left w:val="nil"/>
              <w:bottom w:val="single" w:color="auto" w:sz="4" w:space="0"/>
              <w:right w:val="single" w:color="auto" w:sz="4" w:space="0"/>
            </w:tcBorders>
            <w:vAlign w:val="center"/>
          </w:tcPr>
          <w:p w14:paraId="73B06C9C">
            <w:pPr>
              <w:widowControl/>
              <w:spacing w:line="240" w:lineRule="auto"/>
              <w:ind w:firstLine="0" w:firstLineChars="0"/>
              <w:jc w:val="center"/>
              <w:rPr>
                <w:rFonts w:ascii="Times New Roman" w:hAnsi="Times New Roman"/>
                <w:bCs/>
                <w:sz w:val="21"/>
                <w:szCs w:val="21"/>
              </w:rPr>
            </w:pPr>
            <w:r>
              <w:rPr>
                <w:rFonts w:hint="eastAsia" w:ascii="Times New Roman" w:hAnsi="Times New Roman"/>
                <w:bCs/>
                <w:sz w:val="21"/>
                <w:szCs w:val="21"/>
              </w:rPr>
              <w:t>64</w:t>
            </w:r>
          </w:p>
        </w:tc>
        <w:tc>
          <w:tcPr>
            <w:tcW w:w="697" w:type="pct"/>
            <w:tcBorders>
              <w:top w:val="nil"/>
              <w:left w:val="nil"/>
              <w:bottom w:val="single" w:color="auto" w:sz="4" w:space="0"/>
              <w:right w:val="single" w:color="auto" w:sz="8" w:space="0"/>
            </w:tcBorders>
            <w:vAlign w:val="center"/>
          </w:tcPr>
          <w:p w14:paraId="29969FE5">
            <w:pPr>
              <w:widowControl/>
              <w:spacing w:line="240" w:lineRule="auto"/>
              <w:ind w:firstLine="0" w:firstLineChars="0"/>
              <w:jc w:val="center"/>
              <w:rPr>
                <w:rFonts w:ascii="Times New Roman" w:hAnsi="Times New Roman"/>
                <w:bCs/>
                <w:sz w:val="21"/>
                <w:szCs w:val="21"/>
              </w:rPr>
            </w:pPr>
            <w:r>
              <w:rPr>
                <w:rFonts w:ascii="Times New Roman" w:hAnsi="Times New Roman"/>
                <w:bCs/>
                <w:sz w:val="21"/>
                <w:szCs w:val="21"/>
              </w:rPr>
              <w:t>20</w:t>
            </w:r>
            <w:r>
              <w:rPr>
                <w:rFonts w:hint="eastAsia" w:ascii="Times New Roman" w:hAnsi="Times New Roman"/>
                <w:bCs/>
                <w:sz w:val="21"/>
                <w:szCs w:val="21"/>
              </w:rPr>
              <w:t>48</w:t>
            </w:r>
            <w:r>
              <w:rPr>
                <w:rFonts w:ascii="Times New Roman" w:hAnsi="Times New Roman"/>
                <w:bCs/>
                <w:sz w:val="21"/>
                <w:szCs w:val="21"/>
              </w:rPr>
              <w:t>0</w:t>
            </w:r>
          </w:p>
        </w:tc>
      </w:tr>
    </w:tbl>
    <w:p w14:paraId="5538E881">
      <w:pPr>
        <w:pStyle w:val="2"/>
        <w:ind w:firstLine="640" w:firstLineChars="200"/>
        <w:rPr>
          <w:rFonts w:ascii="Times New Roman" w:hAnsi="Times New Roman"/>
        </w:rPr>
      </w:pPr>
      <w:bookmarkStart w:id="24" w:name="_Toc63785503"/>
      <w:r>
        <w:rPr>
          <w:rFonts w:ascii="Times New Roman" w:hAnsi="Times New Roman"/>
        </w:rPr>
        <w:t>其他工作要求</w:t>
      </w:r>
      <w:bookmarkEnd w:id="24"/>
    </w:p>
    <w:p w14:paraId="27485A9A">
      <w:pPr>
        <w:rPr>
          <w:rFonts w:ascii="Times New Roman" w:hAnsi="Times New Roman"/>
          <w:bCs/>
        </w:rPr>
      </w:pPr>
      <w:r>
        <w:rPr>
          <w:rFonts w:ascii="Times New Roman" w:hAnsi="Times New Roman"/>
          <w:bCs/>
        </w:rPr>
        <w:t>其他工作要求包含：售后服务、应急响应、培训、验收、进度控制、项目团队及人员要求、等级保护要求、技术文件要求等其他要求。其中，售后服务要求需明确本项目质保期和免维期，以及在质保期内供应商的运行维护服务内容；应急响应要求需明确发生各类系统故障时的处置方式；培训要求需明确培训的内容和方式；进度控制要求需明确项目建设周期和试运行阶段；项目团队及驻场人员要求需明确角色、主要职责、人数和人员要求，若本项目有驻场需求，还需明确驻场人员相关要求；等级保护要求需明确本项目是否按照等保2.0第三级进行建设；技术文件要求需明确投标人在建设和后续质保期内应提供的技术文件。</w:t>
      </w:r>
    </w:p>
    <w:p w14:paraId="6B25017E">
      <w:pPr>
        <w:pStyle w:val="3"/>
        <w:ind w:left="0" w:firstLine="600" w:firstLineChars="200"/>
        <w:rPr>
          <w:rFonts w:ascii="Times New Roman" w:hAnsi="Times New Roman"/>
        </w:rPr>
      </w:pPr>
      <w:bookmarkStart w:id="25" w:name="_Toc63785505"/>
      <w:r>
        <w:rPr>
          <w:rFonts w:ascii="Times New Roman" w:hAnsi="Times New Roman"/>
        </w:rPr>
        <w:t>售后服务要求</w:t>
      </w:r>
      <w:bookmarkEnd w:id="25"/>
    </w:p>
    <w:p w14:paraId="0E505223">
      <w:pPr>
        <w:pStyle w:val="12"/>
        <w:snapToGrid w:val="0"/>
        <w:spacing w:line="360" w:lineRule="auto"/>
        <w:ind w:firstLine="480"/>
        <w:rPr>
          <w:sz w:val="24"/>
          <w:szCs w:val="24"/>
        </w:rPr>
      </w:pPr>
      <w:r>
        <w:rPr>
          <w:sz w:val="24"/>
          <w:szCs w:val="24"/>
        </w:rPr>
        <w:t>本项目从系统验收通过之日起1年内提供7*24小时免费技术支持和售后服务，1年后进入有偿维护期。</w:t>
      </w:r>
    </w:p>
    <w:p w14:paraId="0DD0258F">
      <w:pPr>
        <w:pStyle w:val="12"/>
        <w:snapToGrid w:val="0"/>
        <w:spacing w:line="360" w:lineRule="auto"/>
        <w:ind w:firstLine="480"/>
        <w:rPr>
          <w:sz w:val="24"/>
          <w:szCs w:val="24"/>
        </w:rPr>
      </w:pPr>
      <w:r>
        <w:rPr>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1495229D">
      <w:pPr>
        <w:pStyle w:val="12"/>
        <w:snapToGrid w:val="0"/>
        <w:spacing w:line="360" w:lineRule="auto"/>
        <w:ind w:firstLine="480"/>
        <w:rPr>
          <w:sz w:val="24"/>
          <w:szCs w:val="24"/>
        </w:rPr>
      </w:pPr>
      <w:r>
        <w:rPr>
          <w:sz w:val="24"/>
          <w:szCs w:val="24"/>
        </w:rPr>
        <w:t>在质量保证期内，供应商负责信息系统的运行维护工作，确保信息系统安全、稳定、可靠地运行</w:t>
      </w:r>
    </w:p>
    <w:p w14:paraId="4CBF98E1">
      <w:pPr>
        <w:pStyle w:val="3"/>
        <w:ind w:left="0" w:firstLine="600" w:firstLineChars="200"/>
        <w:rPr>
          <w:rFonts w:ascii="Times New Roman" w:hAnsi="Times New Roman"/>
        </w:rPr>
      </w:pPr>
      <w:bookmarkStart w:id="26" w:name="_Toc63785506"/>
      <w:r>
        <w:rPr>
          <w:rFonts w:ascii="Times New Roman" w:hAnsi="Times New Roman"/>
        </w:rPr>
        <w:t>应急响应要求</w:t>
      </w:r>
      <w:bookmarkEnd w:id="26"/>
    </w:p>
    <w:p w14:paraId="3DE11645">
      <w:pPr>
        <w:pStyle w:val="12"/>
        <w:snapToGrid w:val="0"/>
        <w:spacing w:line="360" w:lineRule="auto"/>
        <w:ind w:firstLine="480"/>
        <w:rPr>
          <w:sz w:val="24"/>
          <w:szCs w:val="24"/>
        </w:rPr>
      </w:pPr>
      <w:r>
        <w:rPr>
          <w:b/>
          <w:bCs/>
          <w:sz w:val="24"/>
          <w:szCs w:val="24"/>
        </w:rPr>
        <w:t>供应商对系统故障应能够实时响应，</w:t>
      </w:r>
      <w:r>
        <w:rPr>
          <w:rFonts w:hint="eastAsia"/>
          <w:b/>
          <w:bCs/>
          <w:sz w:val="24"/>
          <w:szCs w:val="24"/>
          <w:lang w:val="en-US" w:eastAsia="zh-CN"/>
        </w:rPr>
        <w:t>供应商需承诺</w:t>
      </w:r>
      <w:r>
        <w:rPr>
          <w:b/>
          <w:bCs/>
          <w:sz w:val="24"/>
          <w:szCs w:val="24"/>
        </w:rPr>
        <w:t>若系统发生故障，接到通知后30分钟之内响应，专业工程师2小时内到达现场。</w:t>
      </w:r>
      <w:r>
        <w:rPr>
          <w:sz w:val="24"/>
          <w:szCs w:val="24"/>
        </w:rPr>
        <w:t>特殊故障与客户沟通协商后，按照协商的方式制定解决方案并进行处理。</w:t>
      </w:r>
    </w:p>
    <w:p w14:paraId="11B750AE">
      <w:pPr>
        <w:pStyle w:val="12"/>
        <w:snapToGrid w:val="0"/>
        <w:spacing w:line="360" w:lineRule="auto"/>
        <w:ind w:firstLine="480"/>
        <w:rPr>
          <w:sz w:val="24"/>
          <w:szCs w:val="24"/>
        </w:rPr>
      </w:pPr>
      <w:r>
        <w:rPr>
          <w:sz w:val="24"/>
          <w:szCs w:val="24"/>
        </w:rPr>
        <w:t>具体故障级别及对应的应急响应要求如下：</w:t>
      </w:r>
    </w:p>
    <w:p w14:paraId="2FA83141">
      <w:pPr>
        <w:pStyle w:val="12"/>
        <w:snapToGrid w:val="0"/>
        <w:spacing w:line="360" w:lineRule="auto"/>
        <w:ind w:firstLine="480"/>
        <w:rPr>
          <w:sz w:val="24"/>
          <w:szCs w:val="24"/>
        </w:rPr>
      </w:pPr>
      <w:r>
        <w:rPr>
          <w:sz w:val="24"/>
          <w:szCs w:val="24"/>
        </w:rPr>
        <w:t>一级故障：在1小时内确诊，总故障解决时间不超过4小时。</w:t>
      </w:r>
    </w:p>
    <w:p w14:paraId="176DEE00">
      <w:pPr>
        <w:pStyle w:val="12"/>
        <w:snapToGrid w:val="0"/>
        <w:spacing w:line="360" w:lineRule="auto"/>
        <w:ind w:firstLine="480"/>
        <w:rPr>
          <w:sz w:val="24"/>
          <w:szCs w:val="24"/>
        </w:rPr>
      </w:pPr>
      <w:r>
        <w:rPr>
          <w:sz w:val="24"/>
          <w:szCs w:val="24"/>
        </w:rPr>
        <w:t>二级故障：在2小时内确诊，并在4小时内由专家到达现场确诊并解决，总故障解决时间不超过8小时；</w:t>
      </w:r>
    </w:p>
    <w:p w14:paraId="029F87D2">
      <w:pPr>
        <w:pStyle w:val="12"/>
        <w:snapToGrid w:val="0"/>
        <w:spacing w:line="360" w:lineRule="auto"/>
        <w:ind w:firstLine="480"/>
        <w:rPr>
          <w:sz w:val="24"/>
          <w:szCs w:val="24"/>
        </w:rPr>
      </w:pPr>
      <w:r>
        <w:rPr>
          <w:sz w:val="24"/>
          <w:szCs w:val="24"/>
        </w:rPr>
        <w:t>三、四级故障：在4小时内确诊故障，总故障解决时间不超过16小时。</w:t>
      </w:r>
    </w:p>
    <w:p w14:paraId="67966E02">
      <w:pPr>
        <w:pStyle w:val="3"/>
        <w:ind w:left="0" w:firstLine="600" w:firstLineChars="200"/>
        <w:rPr>
          <w:rFonts w:ascii="Times New Roman" w:hAnsi="Times New Roman"/>
        </w:rPr>
      </w:pPr>
      <w:bookmarkStart w:id="27" w:name="_Toc63785507"/>
      <w:r>
        <w:rPr>
          <w:rFonts w:ascii="Times New Roman" w:hAnsi="Times New Roman"/>
        </w:rPr>
        <w:t>培训要求</w:t>
      </w:r>
      <w:bookmarkEnd w:id="27"/>
    </w:p>
    <w:p w14:paraId="34D284CE">
      <w:pPr>
        <w:rPr>
          <w:rFonts w:ascii="Times New Roman" w:hAnsi="Times New Roman"/>
        </w:rPr>
      </w:pPr>
      <w:r>
        <w:rPr>
          <w:rFonts w:ascii="Times New Roman" w:hAnsi="Times New Roman"/>
        </w:rPr>
        <w:t>对系统使用单位提供业务操作培训，应提供详细培训方案。</w:t>
      </w:r>
    </w:p>
    <w:p w14:paraId="50A55F0C">
      <w:pPr>
        <w:rPr>
          <w:rFonts w:ascii="Times New Roman" w:hAnsi="Times New Roman"/>
        </w:rPr>
      </w:pPr>
      <w:r>
        <w:rPr>
          <w:rFonts w:ascii="Times New Roman" w:hAnsi="Times New Roman"/>
        </w:rPr>
        <w:t>(1)在12个月的质量保证期内，提供2次与项目相关的必要培训。</w:t>
      </w:r>
    </w:p>
    <w:p w14:paraId="399AEBDE">
      <w:pPr>
        <w:rPr>
          <w:rFonts w:ascii="Times New Roman" w:hAnsi="Times New Roman"/>
        </w:rPr>
      </w:pPr>
      <w:r>
        <w:rPr>
          <w:rFonts w:ascii="Times New Roman" w:hAnsi="Times New Roman"/>
        </w:rPr>
        <w:t>(2)供应商需要开展分层次的人员培训工作，每次培训后应对参加培训人员进行测试，评估培训成果。培训应具有培训教材、培训环境和高水平的培训讲师。</w:t>
      </w:r>
    </w:p>
    <w:p w14:paraId="5C0F81C4">
      <w:pPr>
        <w:rPr>
          <w:rFonts w:ascii="Times New Roman" w:hAnsi="Times New Roman"/>
          <w:strike/>
          <w:szCs w:val="21"/>
        </w:rPr>
      </w:pPr>
      <w:r>
        <w:rPr>
          <w:rFonts w:ascii="Times New Roman" w:hAnsi="Times New Roman"/>
        </w:rPr>
        <w:t>(3)供应商应提供一般用户的基础操作培训和部门信息管理员的日常应用维护的培训，确保用户对象能够掌握对应的操作技能。</w:t>
      </w:r>
    </w:p>
    <w:p w14:paraId="54CBCC1C">
      <w:pPr>
        <w:pStyle w:val="3"/>
        <w:ind w:left="0" w:firstLine="600" w:firstLineChars="200"/>
        <w:rPr>
          <w:rFonts w:ascii="Times New Roman" w:hAnsi="Times New Roman"/>
        </w:rPr>
      </w:pPr>
      <w:bookmarkStart w:id="28" w:name="_Toc63785509"/>
      <w:r>
        <w:rPr>
          <w:rFonts w:ascii="Times New Roman" w:hAnsi="Times New Roman"/>
        </w:rPr>
        <w:t>进度要求</w:t>
      </w:r>
      <w:bookmarkEnd w:id="28"/>
    </w:p>
    <w:p w14:paraId="5D2AD307">
      <w:pPr>
        <w:rPr>
          <w:rFonts w:ascii="Times New Roman" w:hAnsi="Times New Roman"/>
        </w:rPr>
      </w:pPr>
      <w:r>
        <w:rPr>
          <w:rFonts w:ascii="Times New Roman" w:hAnsi="Times New Roman"/>
        </w:rPr>
        <w:t>本项目工期为合同签订后</w:t>
      </w:r>
      <w:r>
        <w:rPr>
          <w:rFonts w:hint="eastAsia" w:ascii="Times New Roman" w:hAnsi="Times New Roman"/>
          <w:lang w:val="en-US" w:eastAsia="zh-CN"/>
        </w:rPr>
        <w:t>8</w:t>
      </w:r>
      <w:r>
        <w:rPr>
          <w:rFonts w:ascii="Times New Roman" w:hAnsi="Times New Roman"/>
        </w:rPr>
        <w:t>个月。投标人应根据建设内容，分阶段制定合理的时间进度，并且应根据招标方要求进行调整和细化。</w:t>
      </w:r>
    </w:p>
    <w:p w14:paraId="124B1720">
      <w:pPr>
        <w:rPr>
          <w:rFonts w:ascii="Times New Roman" w:hAnsi="Times New Roman"/>
        </w:rPr>
      </w:pPr>
      <w:bookmarkStart w:id="29" w:name="_Hlk122524197"/>
      <w:r>
        <w:rPr>
          <w:rFonts w:ascii="Times New Roman" w:hAnsi="Times New Roman"/>
        </w:rPr>
        <w:t>第一阶段，基于可研和调研内容开展细化设计，梳理业务流程，明确业务应用目标，深化分析业务应用需求，确定系统建设内容和深度，完成系统原型设计。同时完成基础资料收集工作；</w:t>
      </w:r>
    </w:p>
    <w:p w14:paraId="5525D87A">
      <w:pPr>
        <w:rPr>
          <w:rFonts w:ascii="Times New Roman" w:hAnsi="Times New Roman"/>
        </w:rPr>
      </w:pPr>
      <w:r>
        <w:rPr>
          <w:rFonts w:ascii="Times New Roman" w:hAnsi="Times New Roman"/>
        </w:rPr>
        <w:t>第二阶段，项目组人员根据分组全面开展系统开发工作，包括数字化场景构建、水雨工情等数据接入与统计分析、动态洪涝风险分析计算、动态洪涝风险图场景仿真、动态洪涝风险要素查询及协同分析、洪涝风险专报动态制作与管理、动态洪涝风险图绘制、动态洪涝风险图成果管理与共享，以及密码应用建设开发等；并完成进各模块的开发与测试工作，完成系统联调与部署，发布beta测试版本启动试运行；</w:t>
      </w:r>
    </w:p>
    <w:p w14:paraId="57B22515">
      <w:pPr>
        <w:rPr>
          <w:rFonts w:ascii="Times New Roman" w:hAnsi="Times New Roman"/>
        </w:rPr>
      </w:pPr>
      <w:r>
        <w:rPr>
          <w:rFonts w:ascii="Times New Roman" w:hAnsi="Times New Roman"/>
        </w:rPr>
        <w:t>第三阶段，完成项目试运行，修正各模块联调中出现的问题，完成系统完善和功能迭代，直至发布正式运行版本。</w:t>
      </w:r>
    </w:p>
    <w:p w14:paraId="3C5A0334">
      <w:pPr>
        <w:rPr>
          <w:rFonts w:ascii="Times New Roman" w:hAnsi="Times New Roman"/>
        </w:rPr>
      </w:pPr>
      <w:r>
        <w:rPr>
          <w:rFonts w:ascii="Times New Roman" w:hAnsi="Times New Roman"/>
        </w:rPr>
        <w:t>第四阶段，完成系统修正工作，准备项目验收资料，完成实施项目验收，并根据项目运行情况和验收要求开展项目测评、功能优化和绩效评价等工作。</w:t>
      </w:r>
      <w:bookmarkEnd w:id="29"/>
    </w:p>
    <w:p w14:paraId="2B2ADDBE">
      <w:pPr>
        <w:pStyle w:val="3"/>
        <w:ind w:left="0" w:firstLine="600" w:firstLineChars="200"/>
        <w:rPr>
          <w:rFonts w:ascii="Times New Roman" w:hAnsi="Times New Roman"/>
        </w:rPr>
      </w:pPr>
      <w:r>
        <w:rPr>
          <w:rFonts w:hint="eastAsia" w:ascii="Times New Roman" w:hAnsi="Times New Roman"/>
        </w:rPr>
        <w:t>质量</w:t>
      </w:r>
      <w:r>
        <w:rPr>
          <w:rFonts w:ascii="Times New Roman" w:hAnsi="Times New Roman"/>
        </w:rPr>
        <w:t>要求</w:t>
      </w:r>
    </w:p>
    <w:p w14:paraId="4FEACB77">
      <w:pPr>
        <w:rPr>
          <w:rFonts w:ascii="Times New Roman" w:hAnsi="Times New Roman"/>
        </w:rPr>
      </w:pPr>
      <w:r>
        <w:rPr>
          <w:rFonts w:hint="eastAsia" w:ascii="Times New Roman" w:hAnsi="Times New Roman"/>
        </w:rPr>
        <w:t>投标人应具备洪水风险图或相关数字孪生项目建设经验，投标人应明确质量保证的组织机构、人员职责，提供完善的质里保障措施，确保项目顺利完成，所有功能模块满足业主相关业务应用要求。</w:t>
      </w:r>
    </w:p>
    <w:p w14:paraId="6F000B90">
      <w:pPr>
        <w:pStyle w:val="3"/>
        <w:ind w:left="0" w:firstLine="600" w:firstLineChars="200"/>
        <w:rPr>
          <w:rFonts w:ascii="Times New Roman" w:hAnsi="Times New Roman"/>
        </w:rPr>
      </w:pPr>
      <w:r>
        <w:rPr>
          <w:rFonts w:hint="eastAsia" w:ascii="Times New Roman" w:hAnsi="Times New Roman"/>
        </w:rPr>
        <w:t>安全要求</w:t>
      </w:r>
    </w:p>
    <w:p w14:paraId="738D232A">
      <w:pPr>
        <w:rPr>
          <w:rFonts w:ascii="Times New Roman" w:hAnsi="Times New Roman"/>
        </w:rPr>
      </w:pPr>
      <w:r>
        <w:rPr>
          <w:rFonts w:hint="eastAsia" w:ascii="Times New Roman" w:hAnsi="Times New Roman"/>
        </w:rPr>
        <w:t>本项目用户安全认证体系与数据安全审计服务需遵循政务云服务提供方上海市大数据中心相关业务要求进行建设，须满足上海市政务云（电子政务外网）相关安全测评、密码测评要求。</w:t>
      </w:r>
    </w:p>
    <w:p w14:paraId="6E3BD569">
      <w:pPr>
        <w:pStyle w:val="3"/>
        <w:ind w:left="0" w:firstLine="600" w:firstLineChars="200"/>
        <w:rPr>
          <w:rFonts w:ascii="Times New Roman" w:hAnsi="Times New Roman"/>
        </w:rPr>
      </w:pPr>
      <w:r>
        <w:rPr>
          <w:rFonts w:hint="eastAsia" w:ascii="Times New Roman" w:hAnsi="Times New Roman"/>
        </w:rPr>
        <w:t>性能要求</w:t>
      </w:r>
    </w:p>
    <w:p w14:paraId="2ADB40F5">
      <w:pPr>
        <w:rPr>
          <w:rFonts w:ascii="Times New Roman" w:hAnsi="Times New Roman"/>
        </w:rPr>
      </w:pPr>
      <w:r>
        <w:rPr>
          <w:rFonts w:ascii="Times New Roman" w:hAnsi="Times New Roman"/>
        </w:rPr>
        <w:t>本项目系统性能要求如下:</w:t>
      </w:r>
    </w:p>
    <w:p w14:paraId="07957DB6">
      <w:pPr>
        <w:rPr>
          <w:rFonts w:ascii="Times New Roman" w:hAnsi="Times New Roman"/>
        </w:rPr>
      </w:pPr>
      <w:r>
        <w:rPr>
          <w:rFonts w:hint="eastAsia" w:ascii="Times New Roman" w:hAnsi="Times New Roman"/>
        </w:rPr>
        <w:t>（1）</w:t>
      </w:r>
      <w:r>
        <w:rPr>
          <w:rFonts w:ascii="Times New Roman" w:hAnsi="Times New Roman"/>
        </w:rPr>
        <w:t>同时在线用户数≥30</w:t>
      </w:r>
      <w:r>
        <w:rPr>
          <w:rFonts w:hint="eastAsia" w:ascii="Times New Roman" w:hAnsi="Times New Roman"/>
        </w:rPr>
        <w:t>；</w:t>
      </w:r>
    </w:p>
    <w:p w14:paraId="25E6D4C0">
      <w:pPr>
        <w:rPr>
          <w:rFonts w:ascii="Times New Roman" w:hAnsi="Times New Roman"/>
        </w:rPr>
      </w:pPr>
      <w:r>
        <w:rPr>
          <w:rFonts w:hint="eastAsia" w:ascii="Times New Roman" w:hAnsi="Times New Roman"/>
        </w:rPr>
        <w:t>（2）</w:t>
      </w:r>
      <w:r>
        <w:rPr>
          <w:rFonts w:ascii="Times New Roman" w:hAnsi="Times New Roman"/>
        </w:rPr>
        <w:t>并发用户数≥10</w:t>
      </w:r>
      <w:r>
        <w:rPr>
          <w:rFonts w:hint="eastAsia" w:ascii="Times New Roman" w:hAnsi="Times New Roman"/>
        </w:rPr>
        <w:t>；</w:t>
      </w:r>
    </w:p>
    <w:p w14:paraId="7D645D5F">
      <w:pPr>
        <w:rPr>
          <w:rFonts w:ascii="Times New Roman" w:hAnsi="Times New Roman"/>
        </w:rPr>
      </w:pPr>
      <w:r>
        <w:rPr>
          <w:rFonts w:hint="eastAsia" w:ascii="Times New Roman" w:hAnsi="Times New Roman"/>
        </w:rPr>
        <w:t>（3）</w:t>
      </w:r>
      <w:r>
        <w:rPr>
          <w:rFonts w:ascii="Times New Roman" w:hAnsi="Times New Roman"/>
        </w:rPr>
        <w:t>登陆时间≤1.5s</w:t>
      </w:r>
      <w:r>
        <w:rPr>
          <w:rFonts w:hint="eastAsia" w:ascii="Times New Roman" w:hAnsi="Times New Roman"/>
        </w:rPr>
        <w:t>；</w:t>
      </w:r>
    </w:p>
    <w:p w14:paraId="2E552524">
      <w:pPr>
        <w:rPr>
          <w:rFonts w:ascii="Times New Roman" w:hAnsi="Times New Roman"/>
        </w:rPr>
      </w:pPr>
      <w:r>
        <w:rPr>
          <w:rFonts w:hint="eastAsia" w:ascii="Times New Roman" w:hAnsi="Times New Roman"/>
        </w:rPr>
        <w:t>（4）空间信息查询、模糊查询时间</w:t>
      </w:r>
      <w:r>
        <w:rPr>
          <w:rFonts w:ascii="Times New Roman" w:hAnsi="Times New Roman"/>
        </w:rPr>
        <w:t>≤10s</w:t>
      </w:r>
      <w:r>
        <w:rPr>
          <w:rFonts w:hint="eastAsia" w:ascii="Times New Roman" w:hAnsi="Times New Roman"/>
        </w:rPr>
        <w:t>；</w:t>
      </w:r>
    </w:p>
    <w:p w14:paraId="18635FEA">
      <w:pPr>
        <w:rPr>
          <w:rFonts w:ascii="Times New Roman" w:hAnsi="Times New Roman"/>
        </w:rPr>
      </w:pPr>
      <w:r>
        <w:rPr>
          <w:rFonts w:hint="eastAsia" w:ascii="Times New Roman" w:hAnsi="Times New Roman"/>
        </w:rPr>
        <w:t>（5）完成典型洪涝灾害模拟推演计算、风险评估，并完成结果后处理、入库，总用时</w:t>
      </w:r>
      <w:r>
        <w:rPr>
          <w:rFonts w:ascii="Times New Roman" w:hAnsi="Times New Roman"/>
        </w:rPr>
        <w:t>≤600s。</w:t>
      </w:r>
    </w:p>
    <w:p w14:paraId="6EBD378F">
      <w:pPr>
        <w:pStyle w:val="3"/>
        <w:ind w:left="0" w:firstLine="600" w:firstLineChars="200"/>
        <w:rPr>
          <w:rFonts w:ascii="Times New Roman" w:hAnsi="Times New Roman"/>
        </w:rPr>
      </w:pPr>
      <w:bookmarkStart w:id="30" w:name="_Toc63785510"/>
      <w:r>
        <w:rPr>
          <w:rFonts w:hint="eastAsia" w:ascii="Times New Roman" w:hAnsi="Times New Roman"/>
        </w:rPr>
        <w:t>项目团队及驻场人员要求</w:t>
      </w:r>
      <w:bookmarkEnd w:id="30"/>
    </w:p>
    <w:p w14:paraId="51A50FA1">
      <w:pPr>
        <w:rPr>
          <w:rFonts w:ascii="Times New Roman" w:hAnsi="Times New Roman"/>
        </w:rPr>
      </w:pPr>
      <w:r>
        <w:rPr>
          <w:rFonts w:ascii="Times New Roman" w:hAnsi="Times New Roman"/>
        </w:rPr>
        <w:t>1）投标人须具有稳定的在职技术保障力量，能够提供及时的技术支援或服务，应针对本项目提供不少于10人的项目服务团队（包括</w:t>
      </w:r>
      <w:r>
        <w:rPr>
          <w:rFonts w:hint="eastAsia" w:ascii="Times New Roman" w:hAnsi="Times New Roman"/>
        </w:rPr>
        <w:t>项目负责人</w:t>
      </w:r>
      <w:r>
        <w:rPr>
          <w:rFonts w:ascii="Times New Roman" w:hAnsi="Times New Roman"/>
        </w:rPr>
        <w:t>、</w:t>
      </w:r>
      <w:r>
        <w:rPr>
          <w:rFonts w:hint="eastAsia" w:ascii="Times New Roman" w:hAnsi="Times New Roman"/>
        </w:rPr>
        <w:t>生产开发人员</w:t>
      </w:r>
      <w:r>
        <w:rPr>
          <w:rFonts w:ascii="Times New Roman" w:hAnsi="Times New Roman"/>
        </w:rPr>
        <w:t>等），投标单位的相关服务人员需具备相应的服务能力，需提供相关证明。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2056"/>
        <w:gridCol w:w="1197"/>
        <w:gridCol w:w="2751"/>
        <w:gridCol w:w="1252"/>
      </w:tblGrid>
      <w:tr w14:paraId="4ADD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61" w:type="dxa"/>
            <w:noWrap/>
            <w:vAlign w:val="center"/>
          </w:tcPr>
          <w:p w14:paraId="50A032FE">
            <w:pPr>
              <w:widowControl/>
              <w:spacing w:line="240" w:lineRule="auto"/>
              <w:ind w:firstLine="0" w:firstLineChars="0"/>
              <w:jc w:val="center"/>
              <w:rPr>
                <w:rFonts w:ascii="Times New Roman" w:hAnsi="Times New Roman"/>
                <w:b/>
              </w:rPr>
            </w:pPr>
            <w:r>
              <w:rPr>
                <w:rFonts w:ascii="Times New Roman" w:hAnsi="Times New Roman"/>
                <w:b/>
              </w:rPr>
              <w:t>角色</w:t>
            </w:r>
          </w:p>
        </w:tc>
        <w:tc>
          <w:tcPr>
            <w:tcW w:w="2056" w:type="dxa"/>
            <w:noWrap/>
            <w:vAlign w:val="center"/>
          </w:tcPr>
          <w:p w14:paraId="088DCB02">
            <w:pPr>
              <w:widowControl/>
              <w:spacing w:line="240" w:lineRule="auto"/>
              <w:ind w:firstLine="0" w:firstLineChars="0"/>
              <w:jc w:val="center"/>
              <w:rPr>
                <w:rFonts w:ascii="Times New Roman" w:hAnsi="Times New Roman"/>
                <w:b/>
              </w:rPr>
            </w:pPr>
            <w:r>
              <w:rPr>
                <w:rFonts w:ascii="Times New Roman" w:hAnsi="Times New Roman"/>
                <w:b/>
              </w:rPr>
              <w:t>主要职责</w:t>
            </w:r>
          </w:p>
        </w:tc>
        <w:tc>
          <w:tcPr>
            <w:tcW w:w="1197" w:type="dxa"/>
            <w:noWrap/>
            <w:vAlign w:val="center"/>
          </w:tcPr>
          <w:p w14:paraId="509CA4E5">
            <w:pPr>
              <w:widowControl/>
              <w:spacing w:line="240" w:lineRule="auto"/>
              <w:ind w:firstLine="0" w:firstLineChars="0"/>
              <w:jc w:val="center"/>
              <w:rPr>
                <w:rFonts w:ascii="Times New Roman" w:hAnsi="Times New Roman"/>
                <w:b/>
              </w:rPr>
            </w:pPr>
            <w:r>
              <w:rPr>
                <w:rFonts w:ascii="Times New Roman" w:hAnsi="Times New Roman"/>
                <w:b/>
              </w:rPr>
              <w:t>人员数量</w:t>
            </w:r>
          </w:p>
        </w:tc>
        <w:tc>
          <w:tcPr>
            <w:tcW w:w="2751" w:type="dxa"/>
            <w:vAlign w:val="center"/>
          </w:tcPr>
          <w:p w14:paraId="3D0E3CE5">
            <w:pPr>
              <w:widowControl/>
              <w:spacing w:line="240" w:lineRule="auto"/>
              <w:ind w:firstLine="0" w:firstLineChars="0"/>
              <w:jc w:val="center"/>
              <w:rPr>
                <w:rFonts w:ascii="Times New Roman" w:hAnsi="Times New Roman"/>
                <w:b/>
              </w:rPr>
            </w:pPr>
            <w:r>
              <w:rPr>
                <w:rFonts w:ascii="Times New Roman" w:hAnsi="Times New Roman"/>
                <w:b/>
              </w:rPr>
              <w:t>人员要求</w:t>
            </w:r>
          </w:p>
        </w:tc>
        <w:tc>
          <w:tcPr>
            <w:tcW w:w="1252" w:type="dxa"/>
            <w:noWrap/>
            <w:vAlign w:val="center"/>
          </w:tcPr>
          <w:p w14:paraId="1782D848">
            <w:pPr>
              <w:widowControl/>
              <w:spacing w:line="240" w:lineRule="auto"/>
              <w:ind w:firstLine="0" w:firstLineChars="0"/>
              <w:jc w:val="center"/>
              <w:rPr>
                <w:rFonts w:ascii="Times New Roman" w:hAnsi="Times New Roman"/>
                <w:b/>
              </w:rPr>
            </w:pPr>
            <w:r>
              <w:rPr>
                <w:rFonts w:ascii="Times New Roman" w:hAnsi="Times New Roman"/>
                <w:b/>
              </w:rPr>
              <w:t>驻场要求</w:t>
            </w:r>
          </w:p>
        </w:tc>
      </w:tr>
      <w:tr w14:paraId="54BD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161" w:type="dxa"/>
            <w:noWrap/>
            <w:vAlign w:val="center"/>
          </w:tcPr>
          <w:p w14:paraId="098A630C">
            <w:pPr>
              <w:widowControl/>
              <w:spacing w:line="240" w:lineRule="auto"/>
              <w:ind w:firstLine="0" w:firstLineChars="0"/>
              <w:jc w:val="center"/>
              <w:rPr>
                <w:rFonts w:ascii="Times New Roman" w:hAnsi="Times New Roman"/>
              </w:rPr>
            </w:pPr>
            <w:r>
              <w:rPr>
                <w:rFonts w:ascii="Times New Roman" w:hAnsi="Times New Roman"/>
                <w:sz w:val="21"/>
                <w:szCs w:val="21"/>
              </w:rPr>
              <w:t>项目负责人</w:t>
            </w:r>
          </w:p>
        </w:tc>
        <w:tc>
          <w:tcPr>
            <w:tcW w:w="2056" w:type="dxa"/>
            <w:vAlign w:val="center"/>
          </w:tcPr>
          <w:p w14:paraId="680FC656">
            <w:pPr>
              <w:widowControl/>
              <w:spacing w:line="240" w:lineRule="auto"/>
              <w:ind w:firstLine="0" w:firstLineChars="0"/>
              <w:jc w:val="center"/>
              <w:rPr>
                <w:rFonts w:ascii="Times New Roman" w:hAnsi="Times New Roman"/>
              </w:rPr>
            </w:pPr>
            <w:r>
              <w:rPr>
                <w:rFonts w:ascii="Times New Roman" w:hAnsi="Times New Roman"/>
                <w:sz w:val="21"/>
                <w:szCs w:val="21"/>
              </w:rPr>
              <w:t>负责项目质量和进度控制</w:t>
            </w:r>
          </w:p>
        </w:tc>
        <w:tc>
          <w:tcPr>
            <w:tcW w:w="1197" w:type="dxa"/>
            <w:noWrap/>
            <w:vAlign w:val="center"/>
          </w:tcPr>
          <w:p w14:paraId="176285F4">
            <w:pPr>
              <w:widowControl/>
              <w:spacing w:line="240" w:lineRule="auto"/>
              <w:ind w:firstLine="0" w:firstLineChars="0"/>
              <w:jc w:val="center"/>
              <w:rPr>
                <w:rFonts w:ascii="Times New Roman" w:hAnsi="Times New Roman"/>
              </w:rPr>
            </w:pPr>
            <w:r>
              <w:rPr>
                <w:rFonts w:ascii="Times New Roman" w:hAnsi="Times New Roman"/>
                <w:sz w:val="21"/>
                <w:szCs w:val="21"/>
              </w:rPr>
              <w:t>1人</w:t>
            </w:r>
          </w:p>
        </w:tc>
        <w:tc>
          <w:tcPr>
            <w:tcW w:w="2751" w:type="dxa"/>
            <w:vAlign w:val="center"/>
          </w:tcPr>
          <w:p w14:paraId="17E61138">
            <w:pPr>
              <w:widowControl/>
              <w:spacing w:line="240" w:lineRule="auto"/>
              <w:ind w:firstLine="0" w:firstLineChars="0"/>
              <w:jc w:val="left"/>
              <w:rPr>
                <w:rFonts w:ascii="Times New Roman" w:hAnsi="Times New Roman"/>
              </w:rPr>
            </w:pPr>
            <w:r>
              <w:rPr>
                <w:rFonts w:ascii="Times New Roman" w:hAnsi="Times New Roman"/>
                <w:sz w:val="21"/>
                <w:szCs w:val="21"/>
              </w:rPr>
              <w:t>研究生及以上学历具备</w:t>
            </w:r>
            <w:r>
              <w:rPr>
                <w:rFonts w:hint="eastAsia" w:ascii="Times New Roman" w:hAnsi="Times New Roman"/>
                <w:sz w:val="21"/>
                <w:szCs w:val="21"/>
              </w:rPr>
              <w:t>项目经理具有正高级工程师职称的</w:t>
            </w:r>
            <w:r>
              <w:rPr>
                <w:rFonts w:hint="eastAsia" w:ascii="Times New Roman" w:hAnsi="Times New Roman"/>
                <w:sz w:val="21"/>
                <w:szCs w:val="21"/>
                <w:lang w:eastAsia="zh-CN"/>
              </w:rPr>
              <w:t>、</w:t>
            </w:r>
            <w:r>
              <w:rPr>
                <w:rFonts w:hint="eastAsia" w:ascii="Times New Roman" w:hAnsi="Times New Roman"/>
                <w:sz w:val="21"/>
                <w:szCs w:val="21"/>
              </w:rPr>
              <w:t>注册一级建造师（水利水电工程）的</w:t>
            </w:r>
            <w:r>
              <w:rPr>
                <w:rFonts w:ascii="Times New Roman" w:hAnsi="Times New Roman"/>
                <w:sz w:val="21"/>
                <w:szCs w:val="21"/>
              </w:rPr>
              <w:t>、参加过</w:t>
            </w:r>
            <w:r>
              <w:rPr>
                <w:rFonts w:hint="eastAsia" w:ascii="Times New Roman" w:hAnsi="Times New Roman"/>
                <w:sz w:val="21"/>
                <w:szCs w:val="21"/>
              </w:rPr>
              <w:t>同类工程</w:t>
            </w:r>
            <w:r>
              <w:rPr>
                <w:rFonts w:ascii="Times New Roman" w:hAnsi="Times New Roman"/>
                <w:sz w:val="21"/>
                <w:szCs w:val="21"/>
              </w:rPr>
              <w:t>项目开发的优先。</w:t>
            </w:r>
          </w:p>
        </w:tc>
        <w:tc>
          <w:tcPr>
            <w:tcW w:w="1252" w:type="dxa"/>
            <w:noWrap/>
            <w:vAlign w:val="center"/>
          </w:tcPr>
          <w:p w14:paraId="2A385A6D">
            <w:pPr>
              <w:widowControl/>
              <w:spacing w:line="240" w:lineRule="auto"/>
              <w:ind w:firstLine="0" w:firstLineChars="0"/>
              <w:jc w:val="center"/>
              <w:rPr>
                <w:rFonts w:ascii="Times New Roman" w:hAnsi="Times New Roman"/>
              </w:rPr>
            </w:pPr>
            <w:r>
              <w:rPr>
                <w:rFonts w:ascii="Times New Roman" w:hAnsi="Times New Roman"/>
                <w:sz w:val="21"/>
                <w:szCs w:val="21"/>
              </w:rPr>
              <w:t>/</w:t>
            </w:r>
          </w:p>
        </w:tc>
      </w:tr>
      <w:tr w14:paraId="24EF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1161" w:type="dxa"/>
            <w:noWrap/>
            <w:vAlign w:val="center"/>
          </w:tcPr>
          <w:p w14:paraId="534259F9">
            <w:pPr>
              <w:widowControl/>
              <w:spacing w:line="240" w:lineRule="auto"/>
              <w:ind w:firstLine="0" w:firstLineChars="0"/>
              <w:jc w:val="center"/>
              <w:rPr>
                <w:rFonts w:ascii="Times New Roman" w:hAnsi="Times New Roman"/>
              </w:rPr>
            </w:pPr>
            <w:r>
              <w:rPr>
                <w:rFonts w:ascii="Times New Roman" w:hAnsi="Times New Roman"/>
                <w:sz w:val="21"/>
                <w:szCs w:val="21"/>
              </w:rPr>
              <w:t>生产开发人员</w:t>
            </w:r>
          </w:p>
        </w:tc>
        <w:tc>
          <w:tcPr>
            <w:tcW w:w="2056" w:type="dxa"/>
            <w:noWrap/>
            <w:vAlign w:val="center"/>
          </w:tcPr>
          <w:p w14:paraId="4BF7AA7D">
            <w:pPr>
              <w:widowControl/>
              <w:spacing w:line="240" w:lineRule="auto"/>
              <w:ind w:firstLine="0" w:firstLineChars="0"/>
              <w:jc w:val="center"/>
              <w:rPr>
                <w:rFonts w:ascii="Times New Roman" w:hAnsi="Times New Roman"/>
              </w:rPr>
            </w:pPr>
            <w:r>
              <w:rPr>
                <w:rFonts w:ascii="Times New Roman" w:hAnsi="Times New Roman"/>
                <w:sz w:val="21"/>
                <w:szCs w:val="21"/>
              </w:rPr>
              <w:t>负责项目具体实施</w:t>
            </w:r>
          </w:p>
        </w:tc>
        <w:tc>
          <w:tcPr>
            <w:tcW w:w="1197" w:type="dxa"/>
            <w:noWrap/>
            <w:vAlign w:val="center"/>
          </w:tcPr>
          <w:p w14:paraId="792B6569">
            <w:pPr>
              <w:widowControl/>
              <w:spacing w:line="240" w:lineRule="auto"/>
              <w:ind w:firstLine="0" w:firstLineChars="0"/>
              <w:jc w:val="center"/>
              <w:rPr>
                <w:rFonts w:ascii="Times New Roman" w:hAnsi="Times New Roman"/>
              </w:rPr>
            </w:pPr>
            <w:r>
              <w:rPr>
                <w:rFonts w:hint="eastAsia" w:ascii="Times New Roman" w:hAnsi="Times New Roman"/>
                <w:sz w:val="21"/>
                <w:szCs w:val="21"/>
              </w:rPr>
              <w:t>9</w:t>
            </w:r>
            <w:r>
              <w:rPr>
                <w:rFonts w:ascii="Times New Roman" w:hAnsi="Times New Roman"/>
                <w:sz w:val="21"/>
                <w:szCs w:val="21"/>
              </w:rPr>
              <w:t>人</w:t>
            </w:r>
          </w:p>
        </w:tc>
        <w:tc>
          <w:tcPr>
            <w:tcW w:w="2751" w:type="dxa"/>
            <w:vAlign w:val="center"/>
          </w:tcPr>
          <w:p w14:paraId="1FC2B42C">
            <w:pPr>
              <w:widowControl/>
              <w:spacing w:line="240" w:lineRule="auto"/>
              <w:ind w:firstLine="0" w:firstLineChars="0"/>
              <w:jc w:val="left"/>
              <w:rPr>
                <w:rFonts w:ascii="Times New Roman" w:hAnsi="Times New Roman"/>
              </w:rPr>
            </w:pPr>
            <w:r>
              <w:rPr>
                <w:rFonts w:ascii="Times New Roman" w:hAnsi="Times New Roman"/>
                <w:sz w:val="21"/>
                <w:szCs w:val="21"/>
              </w:rPr>
              <w:t>本科及以上学历，包含</w:t>
            </w:r>
            <w:r>
              <w:rPr>
                <w:rFonts w:hint="eastAsia" w:ascii="Times New Roman" w:hAnsi="Times New Roman"/>
                <w:sz w:val="21"/>
                <w:szCs w:val="21"/>
              </w:rPr>
              <w:t>计算机科学与技术或工程管理、水利水电工程、水文水资源、水力学及河流动力学、环境科学与工程等相关专业</w:t>
            </w:r>
            <w:r>
              <w:rPr>
                <w:rFonts w:ascii="Times New Roman" w:hAnsi="Times New Roman"/>
                <w:sz w:val="21"/>
                <w:szCs w:val="21"/>
              </w:rPr>
              <w:t>。</w:t>
            </w:r>
          </w:p>
        </w:tc>
        <w:tc>
          <w:tcPr>
            <w:tcW w:w="1252" w:type="dxa"/>
            <w:noWrap/>
            <w:vAlign w:val="center"/>
          </w:tcPr>
          <w:p w14:paraId="6D78BA3B">
            <w:pPr>
              <w:widowControl/>
              <w:spacing w:line="240" w:lineRule="auto"/>
              <w:ind w:firstLine="0" w:firstLineChars="0"/>
              <w:jc w:val="center"/>
              <w:rPr>
                <w:rFonts w:ascii="Times New Roman" w:hAnsi="Times New Roman"/>
              </w:rPr>
            </w:pPr>
            <w:r>
              <w:rPr>
                <w:rFonts w:hint="eastAsia" w:ascii="Times New Roman" w:hAnsi="Times New Roman"/>
                <w:sz w:val="21"/>
                <w:szCs w:val="21"/>
              </w:rPr>
              <w:t>驻场3人</w:t>
            </w:r>
          </w:p>
        </w:tc>
      </w:tr>
    </w:tbl>
    <w:p w14:paraId="356FE21C">
      <w:pPr>
        <w:rPr>
          <w:rFonts w:ascii="Times New Roman" w:hAnsi="Times New Roman"/>
        </w:rPr>
      </w:pPr>
      <w:r>
        <w:rPr>
          <w:rFonts w:ascii="Times New Roman" w:hAnsi="Times New Roman"/>
        </w:rPr>
        <w:t>2）投标人应针对本项目提供不少于3人的质保期间支撑团队（其中技术负责人1人，技术工程师不少于2人）；投标人的相关服务人员需具备相应的服务能力，需提供相关证明。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2701"/>
        <w:gridCol w:w="1204"/>
        <w:gridCol w:w="1815"/>
        <w:gridCol w:w="1313"/>
      </w:tblGrid>
      <w:tr w14:paraId="233B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284" w:type="dxa"/>
            <w:noWrap/>
            <w:vAlign w:val="center"/>
          </w:tcPr>
          <w:p w14:paraId="07A9F4EB">
            <w:pPr>
              <w:widowControl/>
              <w:spacing w:line="240" w:lineRule="auto"/>
              <w:ind w:firstLine="0" w:firstLineChars="0"/>
              <w:jc w:val="center"/>
              <w:rPr>
                <w:rFonts w:ascii="Times New Roman" w:hAnsi="Times New Roman"/>
                <w:b/>
              </w:rPr>
            </w:pPr>
            <w:r>
              <w:rPr>
                <w:rFonts w:ascii="Times New Roman" w:hAnsi="Times New Roman"/>
                <w:b/>
              </w:rPr>
              <w:t>角色</w:t>
            </w:r>
          </w:p>
        </w:tc>
        <w:tc>
          <w:tcPr>
            <w:tcW w:w="2701" w:type="dxa"/>
            <w:noWrap/>
            <w:vAlign w:val="center"/>
          </w:tcPr>
          <w:p w14:paraId="6BBA2155">
            <w:pPr>
              <w:widowControl/>
              <w:spacing w:line="240" w:lineRule="auto"/>
              <w:ind w:firstLine="0" w:firstLineChars="0"/>
              <w:jc w:val="center"/>
              <w:rPr>
                <w:rFonts w:ascii="Times New Roman" w:hAnsi="Times New Roman"/>
                <w:b/>
              </w:rPr>
            </w:pPr>
            <w:r>
              <w:rPr>
                <w:rFonts w:ascii="Times New Roman" w:hAnsi="Times New Roman"/>
                <w:b/>
              </w:rPr>
              <w:t>主要职责</w:t>
            </w:r>
          </w:p>
        </w:tc>
        <w:tc>
          <w:tcPr>
            <w:tcW w:w="1204" w:type="dxa"/>
            <w:noWrap/>
            <w:vAlign w:val="center"/>
          </w:tcPr>
          <w:p w14:paraId="28C24A52">
            <w:pPr>
              <w:widowControl/>
              <w:spacing w:line="240" w:lineRule="auto"/>
              <w:ind w:firstLine="0" w:firstLineChars="0"/>
              <w:jc w:val="center"/>
              <w:rPr>
                <w:rFonts w:ascii="Times New Roman" w:hAnsi="Times New Roman"/>
                <w:b/>
              </w:rPr>
            </w:pPr>
            <w:r>
              <w:rPr>
                <w:rFonts w:ascii="Times New Roman" w:hAnsi="Times New Roman"/>
                <w:b/>
              </w:rPr>
              <w:t>人员数量</w:t>
            </w:r>
          </w:p>
        </w:tc>
        <w:tc>
          <w:tcPr>
            <w:tcW w:w="1815" w:type="dxa"/>
            <w:vAlign w:val="center"/>
          </w:tcPr>
          <w:p w14:paraId="69B1B589">
            <w:pPr>
              <w:widowControl/>
              <w:spacing w:line="240" w:lineRule="auto"/>
              <w:ind w:firstLine="0" w:firstLineChars="0"/>
              <w:jc w:val="center"/>
              <w:rPr>
                <w:rFonts w:ascii="Times New Roman" w:hAnsi="Times New Roman"/>
                <w:b/>
              </w:rPr>
            </w:pPr>
            <w:r>
              <w:rPr>
                <w:rFonts w:ascii="Times New Roman" w:hAnsi="Times New Roman"/>
                <w:b/>
              </w:rPr>
              <w:t>人员要求</w:t>
            </w:r>
          </w:p>
        </w:tc>
        <w:tc>
          <w:tcPr>
            <w:tcW w:w="1313" w:type="dxa"/>
            <w:noWrap/>
            <w:vAlign w:val="center"/>
          </w:tcPr>
          <w:p w14:paraId="7AC7D548">
            <w:pPr>
              <w:widowControl/>
              <w:spacing w:line="240" w:lineRule="auto"/>
              <w:ind w:firstLine="0" w:firstLineChars="0"/>
              <w:jc w:val="center"/>
              <w:rPr>
                <w:rFonts w:ascii="Times New Roman" w:hAnsi="Times New Roman"/>
                <w:b/>
              </w:rPr>
            </w:pPr>
            <w:r>
              <w:rPr>
                <w:rFonts w:ascii="Times New Roman" w:hAnsi="Times New Roman"/>
                <w:b/>
              </w:rPr>
              <w:t>驻场要求</w:t>
            </w:r>
          </w:p>
        </w:tc>
      </w:tr>
      <w:tr w14:paraId="515A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284" w:type="dxa"/>
            <w:noWrap/>
            <w:vAlign w:val="center"/>
          </w:tcPr>
          <w:p w14:paraId="1E3EDF0D">
            <w:pPr>
              <w:widowControl/>
              <w:spacing w:line="240" w:lineRule="auto"/>
              <w:ind w:firstLine="0" w:firstLineChars="0"/>
              <w:jc w:val="left"/>
              <w:rPr>
                <w:rFonts w:ascii="Times New Roman" w:hAnsi="Times New Roman"/>
              </w:rPr>
            </w:pPr>
            <w:r>
              <w:rPr>
                <w:rFonts w:ascii="Times New Roman" w:hAnsi="Times New Roman"/>
                <w:sz w:val="21"/>
                <w:szCs w:val="21"/>
              </w:rPr>
              <w:t>运维负责人</w:t>
            </w:r>
          </w:p>
        </w:tc>
        <w:tc>
          <w:tcPr>
            <w:tcW w:w="2701" w:type="dxa"/>
            <w:vAlign w:val="center"/>
          </w:tcPr>
          <w:p w14:paraId="2177DC92">
            <w:pPr>
              <w:widowControl/>
              <w:spacing w:line="240" w:lineRule="auto"/>
              <w:ind w:firstLine="0" w:firstLineChars="0"/>
              <w:jc w:val="left"/>
              <w:rPr>
                <w:rFonts w:ascii="Times New Roman" w:hAnsi="Times New Roman"/>
              </w:rPr>
            </w:pPr>
            <w:r>
              <w:rPr>
                <w:rFonts w:ascii="Times New Roman" w:hAnsi="Times New Roman"/>
                <w:sz w:val="21"/>
                <w:szCs w:val="21"/>
              </w:rPr>
              <w:t>负责项目质量和进度控制</w:t>
            </w:r>
          </w:p>
        </w:tc>
        <w:tc>
          <w:tcPr>
            <w:tcW w:w="1204" w:type="dxa"/>
            <w:noWrap/>
            <w:vAlign w:val="center"/>
          </w:tcPr>
          <w:p w14:paraId="348364EF">
            <w:pPr>
              <w:widowControl/>
              <w:spacing w:line="240" w:lineRule="auto"/>
              <w:ind w:firstLine="0" w:firstLineChars="0"/>
              <w:jc w:val="left"/>
              <w:rPr>
                <w:rFonts w:ascii="Times New Roman" w:hAnsi="Times New Roman"/>
              </w:rPr>
            </w:pPr>
            <w:r>
              <w:rPr>
                <w:rFonts w:ascii="Times New Roman" w:hAnsi="Times New Roman"/>
                <w:sz w:val="21"/>
                <w:szCs w:val="21"/>
              </w:rPr>
              <w:t>1人</w:t>
            </w:r>
          </w:p>
        </w:tc>
        <w:tc>
          <w:tcPr>
            <w:tcW w:w="1815" w:type="dxa"/>
            <w:vAlign w:val="center"/>
          </w:tcPr>
          <w:p w14:paraId="0541CC2A">
            <w:pPr>
              <w:widowControl/>
              <w:spacing w:line="240" w:lineRule="auto"/>
              <w:ind w:firstLine="0" w:firstLineChars="0"/>
              <w:jc w:val="left"/>
              <w:rPr>
                <w:rFonts w:ascii="Times New Roman" w:hAnsi="Times New Roman"/>
              </w:rPr>
            </w:pPr>
            <w:r>
              <w:rPr>
                <w:rFonts w:ascii="Times New Roman" w:hAnsi="Times New Roman"/>
                <w:sz w:val="21"/>
                <w:szCs w:val="21"/>
              </w:rPr>
              <w:t>本科及以上学历，具备丰富经验</w:t>
            </w:r>
          </w:p>
        </w:tc>
        <w:tc>
          <w:tcPr>
            <w:tcW w:w="1313" w:type="dxa"/>
            <w:noWrap/>
            <w:vAlign w:val="center"/>
          </w:tcPr>
          <w:p w14:paraId="10A5A016">
            <w:pPr>
              <w:widowControl/>
              <w:spacing w:line="240" w:lineRule="auto"/>
              <w:ind w:firstLine="0" w:firstLineChars="0"/>
              <w:jc w:val="left"/>
              <w:rPr>
                <w:rFonts w:ascii="Times New Roman" w:hAnsi="Times New Roman"/>
              </w:rPr>
            </w:pPr>
            <w:r>
              <w:rPr>
                <w:rFonts w:ascii="Times New Roman" w:hAnsi="Times New Roman"/>
                <w:sz w:val="21"/>
                <w:szCs w:val="21"/>
              </w:rPr>
              <w:t>/</w:t>
            </w:r>
          </w:p>
        </w:tc>
      </w:tr>
      <w:tr w14:paraId="7BCF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84" w:type="dxa"/>
            <w:noWrap/>
            <w:vAlign w:val="center"/>
          </w:tcPr>
          <w:p w14:paraId="5D32CC38">
            <w:pPr>
              <w:widowControl/>
              <w:spacing w:line="240" w:lineRule="auto"/>
              <w:ind w:firstLine="0" w:firstLineChars="0"/>
              <w:jc w:val="left"/>
              <w:rPr>
                <w:rFonts w:ascii="Times New Roman" w:hAnsi="Times New Roman"/>
              </w:rPr>
            </w:pPr>
            <w:r>
              <w:rPr>
                <w:rFonts w:ascii="Times New Roman" w:hAnsi="Times New Roman"/>
                <w:sz w:val="21"/>
                <w:szCs w:val="21"/>
              </w:rPr>
              <w:t>技术工程师</w:t>
            </w:r>
          </w:p>
        </w:tc>
        <w:tc>
          <w:tcPr>
            <w:tcW w:w="2701" w:type="dxa"/>
            <w:vAlign w:val="center"/>
          </w:tcPr>
          <w:p w14:paraId="57ACA4CA">
            <w:pPr>
              <w:widowControl/>
              <w:spacing w:line="240" w:lineRule="auto"/>
              <w:ind w:firstLine="0" w:firstLineChars="0"/>
              <w:jc w:val="left"/>
              <w:rPr>
                <w:rFonts w:ascii="Times New Roman" w:hAnsi="Times New Roman"/>
              </w:rPr>
            </w:pPr>
            <w:r>
              <w:rPr>
                <w:rFonts w:ascii="Times New Roman" w:hAnsi="Times New Roman"/>
                <w:sz w:val="21"/>
                <w:szCs w:val="21"/>
              </w:rPr>
              <w:t>负责项目运行维护</w:t>
            </w:r>
          </w:p>
        </w:tc>
        <w:tc>
          <w:tcPr>
            <w:tcW w:w="1204" w:type="dxa"/>
            <w:noWrap/>
            <w:vAlign w:val="center"/>
          </w:tcPr>
          <w:p w14:paraId="4D5A7600">
            <w:pPr>
              <w:widowControl/>
              <w:spacing w:line="240" w:lineRule="auto"/>
              <w:ind w:firstLine="0" w:firstLineChars="0"/>
              <w:jc w:val="left"/>
              <w:rPr>
                <w:rFonts w:ascii="Times New Roman" w:hAnsi="Times New Roman"/>
              </w:rPr>
            </w:pPr>
            <w:r>
              <w:rPr>
                <w:rFonts w:ascii="Times New Roman" w:hAnsi="Times New Roman"/>
                <w:sz w:val="21"/>
                <w:szCs w:val="21"/>
              </w:rPr>
              <w:t>2人</w:t>
            </w:r>
          </w:p>
        </w:tc>
        <w:tc>
          <w:tcPr>
            <w:tcW w:w="1815" w:type="dxa"/>
            <w:vAlign w:val="center"/>
          </w:tcPr>
          <w:p w14:paraId="16A8B45C">
            <w:pPr>
              <w:widowControl/>
              <w:spacing w:line="240" w:lineRule="auto"/>
              <w:ind w:firstLine="0" w:firstLineChars="0"/>
              <w:jc w:val="left"/>
              <w:rPr>
                <w:rFonts w:ascii="Times New Roman" w:hAnsi="Times New Roman"/>
              </w:rPr>
            </w:pPr>
            <w:r>
              <w:rPr>
                <w:rFonts w:ascii="Times New Roman" w:hAnsi="Times New Roman"/>
                <w:sz w:val="21"/>
                <w:szCs w:val="21"/>
              </w:rPr>
              <w:t>本科及以上学历</w:t>
            </w:r>
          </w:p>
        </w:tc>
        <w:tc>
          <w:tcPr>
            <w:tcW w:w="1313" w:type="dxa"/>
            <w:noWrap/>
            <w:vAlign w:val="center"/>
          </w:tcPr>
          <w:p w14:paraId="422F2219">
            <w:pPr>
              <w:widowControl/>
              <w:spacing w:line="240" w:lineRule="auto"/>
              <w:ind w:firstLine="0" w:firstLineChars="0"/>
              <w:jc w:val="left"/>
              <w:rPr>
                <w:rFonts w:ascii="Times New Roman" w:hAnsi="Times New Roman"/>
              </w:rPr>
            </w:pPr>
            <w:r>
              <w:rPr>
                <w:rFonts w:ascii="Times New Roman" w:hAnsi="Times New Roman"/>
                <w:sz w:val="21"/>
                <w:szCs w:val="21"/>
              </w:rPr>
              <w:t>驻场1人</w:t>
            </w:r>
          </w:p>
        </w:tc>
      </w:tr>
    </w:tbl>
    <w:p w14:paraId="7343A58D">
      <w:pPr>
        <w:pStyle w:val="3"/>
        <w:ind w:left="0" w:firstLine="600" w:firstLineChars="200"/>
        <w:rPr>
          <w:rFonts w:ascii="Times New Roman" w:hAnsi="Times New Roman"/>
        </w:rPr>
      </w:pPr>
      <w:bookmarkStart w:id="31" w:name="_Toc63785511"/>
      <w:r>
        <w:rPr>
          <w:rFonts w:hint="eastAsia" w:ascii="Times New Roman" w:hAnsi="Times New Roman"/>
        </w:rPr>
        <w:t>等级保护要求</w:t>
      </w:r>
      <w:bookmarkEnd w:id="31"/>
    </w:p>
    <w:p w14:paraId="18F82FF8">
      <w:pPr>
        <w:rPr>
          <w:rFonts w:ascii="Times New Roman" w:hAnsi="Times New Roman"/>
        </w:rPr>
      </w:pPr>
      <w:r>
        <w:rPr>
          <w:rFonts w:ascii="Times New Roman" w:hAnsi="Times New Roman"/>
        </w:rPr>
        <w:t>本项目参照等级保护二级要求建设。</w:t>
      </w:r>
    </w:p>
    <w:p w14:paraId="5920C326">
      <w:pPr>
        <w:pStyle w:val="3"/>
        <w:ind w:left="0" w:firstLine="600" w:firstLineChars="200"/>
        <w:rPr>
          <w:rFonts w:ascii="Times New Roman" w:hAnsi="Times New Roman"/>
        </w:rPr>
      </w:pPr>
      <w:r>
        <w:rPr>
          <w:rFonts w:hint="eastAsia" w:ascii="Times New Roman" w:hAnsi="Times New Roman"/>
        </w:rPr>
        <w:t>商业密码应用需求</w:t>
      </w:r>
    </w:p>
    <w:p w14:paraId="601DC350">
      <w:pPr>
        <w:rPr>
          <w:rFonts w:ascii="Times New Roman" w:hAnsi="Times New Roman"/>
        </w:rPr>
      </w:pPr>
      <w:r>
        <w:rPr>
          <w:rFonts w:ascii="Times New Roman" w:hAnsi="Times New Roman"/>
        </w:rPr>
        <w:t>本项目参照商用密码应用二级要求建设。</w:t>
      </w:r>
    </w:p>
    <w:p w14:paraId="12A9A5C1">
      <w:pPr>
        <w:rPr>
          <w:rFonts w:ascii="Times New Roman" w:hAnsi="Times New Roman"/>
        </w:rPr>
      </w:pPr>
      <w:r>
        <w:rPr>
          <w:rFonts w:ascii="Times New Roman" w:hAnsi="Times New Roman"/>
        </w:rPr>
        <w:t>基于云平台提供的安全认证网关、签名验签、数据库加密等密码服务以及系统的应用功能，需开发适配若干密码应用功能模块，以实现网络和通信、设备和计算、应用和数据等层面的各密码应用功能。密码应用功能模块与系统功能、业务复杂度密切相关，若系统功能较多、业务复杂度较高，则密码应用功能模块的开发适配工作量需相应调增。</w:t>
      </w:r>
    </w:p>
    <w:p w14:paraId="198C2AF4">
      <w:pPr>
        <w:pStyle w:val="3"/>
        <w:ind w:left="0" w:firstLine="600" w:firstLineChars="200"/>
        <w:rPr>
          <w:rFonts w:ascii="Times New Roman" w:hAnsi="Times New Roman"/>
        </w:rPr>
      </w:pPr>
      <w:bookmarkStart w:id="32" w:name="_Toc63785512"/>
      <w:r>
        <w:rPr>
          <w:rFonts w:hint="eastAsia" w:ascii="Times New Roman" w:hAnsi="Times New Roman"/>
        </w:rPr>
        <w:t>技术文件要求</w:t>
      </w:r>
    </w:p>
    <w:p w14:paraId="578F676F">
      <w:pPr>
        <w:snapToGrid w:val="0"/>
      </w:pPr>
      <w:r>
        <w:rPr>
          <w:rFonts w:hint="eastAsia"/>
        </w:rPr>
        <w:t>项目成果要</w:t>
      </w:r>
      <w:r>
        <w:t>按照归档验收标准要求，</w:t>
      </w:r>
      <w:r>
        <w:rPr>
          <w:rFonts w:hint="eastAsia"/>
        </w:rPr>
        <w:t>包括相关报告、系统、操作手册等，</w:t>
      </w:r>
      <w:r>
        <w:t>资料必须准确、清楚、完整，必须满足软件系统安装、调试、运行、维护的需要，并与移交时的系统一致。</w:t>
      </w:r>
      <w:bookmarkEnd w:id="32"/>
    </w:p>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809D">
    <w:pPr>
      <w:pStyle w:val="8"/>
      <w:ind w:firstLine="360"/>
    </w:pPr>
  </w:p>
  <w:p w14:paraId="24F4C9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B423A">
    <w:pPr>
      <w:pStyle w:val="8"/>
      <w:ind w:firstLine="360"/>
    </w:pPr>
  </w:p>
  <w:p w14:paraId="2519FC7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7A66">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0AA0F273"/>
  <w:p w14:paraId="79067A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73B56">
    <w:pPr>
      <w:pStyle w:val="9"/>
      <w:ind w:firstLine="360"/>
    </w:pPr>
  </w:p>
  <w:p w14:paraId="38F36B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1B29D">
    <w:pPr>
      <w:pStyle w:val="9"/>
      <w:ind w:firstLine="360"/>
    </w:pPr>
  </w:p>
  <w:p w14:paraId="183A02A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F3A77">
    <w:pPr>
      <w:pStyle w:val="9"/>
      <w:ind w:firstLine="360"/>
    </w:pPr>
  </w:p>
  <w:p w14:paraId="7878E5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pStyle w:val="2"/>
      <w:suff w:val="nothing"/>
      <w:lvlText w:val="%1、"/>
      <w:lvlJc w:val="left"/>
      <w:pPr>
        <w:ind w:left="709"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UxNjJkZDE1ODNmYTQ4NDk0ZDNlYmQ0YjEyN2E0NGQifQ=="/>
  </w:docVars>
  <w:rsids>
    <w:rsidRoot w:val="00C17AD8"/>
    <w:rsid w:val="00013B80"/>
    <w:rsid w:val="00035B31"/>
    <w:rsid w:val="00051DBC"/>
    <w:rsid w:val="00075AB4"/>
    <w:rsid w:val="000D121C"/>
    <w:rsid w:val="000F2468"/>
    <w:rsid w:val="0015755A"/>
    <w:rsid w:val="00165A07"/>
    <w:rsid w:val="001E7363"/>
    <w:rsid w:val="00551C5A"/>
    <w:rsid w:val="00663A6F"/>
    <w:rsid w:val="00711820"/>
    <w:rsid w:val="007314C4"/>
    <w:rsid w:val="00793704"/>
    <w:rsid w:val="007B6683"/>
    <w:rsid w:val="00854A2D"/>
    <w:rsid w:val="008E0911"/>
    <w:rsid w:val="00945DD0"/>
    <w:rsid w:val="00954F8A"/>
    <w:rsid w:val="009D5429"/>
    <w:rsid w:val="00A4387C"/>
    <w:rsid w:val="00A54DE8"/>
    <w:rsid w:val="00A752EE"/>
    <w:rsid w:val="00B91DC9"/>
    <w:rsid w:val="00C17AD8"/>
    <w:rsid w:val="00C42A14"/>
    <w:rsid w:val="00D3210C"/>
    <w:rsid w:val="00D645D8"/>
    <w:rsid w:val="00E6669D"/>
    <w:rsid w:val="00ED79A1"/>
    <w:rsid w:val="00F00A18"/>
    <w:rsid w:val="00F103DF"/>
    <w:rsid w:val="00FE0BD0"/>
    <w:rsid w:val="05D56144"/>
    <w:rsid w:val="0B5A00BC"/>
    <w:rsid w:val="0D8F203B"/>
    <w:rsid w:val="17EE6A5B"/>
    <w:rsid w:val="1A5F749D"/>
    <w:rsid w:val="1C935780"/>
    <w:rsid w:val="22800DCA"/>
    <w:rsid w:val="270858F0"/>
    <w:rsid w:val="2A495A74"/>
    <w:rsid w:val="311F2AEB"/>
    <w:rsid w:val="46252A99"/>
    <w:rsid w:val="4A805944"/>
    <w:rsid w:val="4E982001"/>
    <w:rsid w:val="54436F0C"/>
    <w:rsid w:val="5691301C"/>
    <w:rsid w:val="577E4443"/>
    <w:rsid w:val="5947214D"/>
    <w:rsid w:val="5AF50835"/>
    <w:rsid w:val="5FC86518"/>
    <w:rsid w:val="62054AA0"/>
    <w:rsid w:val="62F42106"/>
    <w:rsid w:val="645D785C"/>
    <w:rsid w:val="6813679E"/>
    <w:rsid w:val="6ACB3360"/>
    <w:rsid w:val="6C157B82"/>
    <w:rsid w:val="6C1825D5"/>
    <w:rsid w:val="727F0905"/>
    <w:rsid w:val="797F0F10"/>
    <w:rsid w:val="7CFC77C1"/>
    <w:rsid w:val="EFBF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left="0"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15"/>
    <w:qFormat/>
    <w:uiPriority w:val="0"/>
    <w:pPr>
      <w:keepNext/>
      <w:keepLines/>
      <w:spacing w:before="120" w:after="120"/>
      <w:ind w:left="1069" w:firstLine="0" w:firstLineChars="0"/>
      <w:outlineLvl w:val="2"/>
    </w:pPr>
    <w:rPr>
      <w:b/>
      <w:bCs/>
      <w:sz w:val="28"/>
      <w:szCs w:val="28"/>
    </w:rPr>
  </w:style>
  <w:style w:type="paragraph" w:styleId="5">
    <w:name w:val="heading 4"/>
    <w:basedOn w:val="1"/>
    <w:next w:val="1"/>
    <w:link w:val="16"/>
    <w:qFormat/>
    <w:uiPriority w:val="0"/>
    <w:pPr>
      <w:keepNext/>
      <w:keepLines/>
      <w:spacing w:before="120" w:after="120"/>
      <w:ind w:firstLine="0" w:firstLineChars="0"/>
      <w:outlineLvl w:val="3"/>
    </w:pPr>
    <w:rPr>
      <w:b/>
      <w:bCs/>
      <w:szCs w:val="30"/>
    </w:rPr>
  </w:style>
  <w:style w:type="paragraph" w:styleId="6">
    <w:name w:val="heading 5"/>
    <w:basedOn w:val="1"/>
    <w:next w:val="1"/>
    <w:link w:val="17"/>
    <w:qFormat/>
    <w:uiPriority w:val="0"/>
    <w:pPr>
      <w:keepNext/>
      <w:keepLines/>
      <w:spacing w:before="120" w:after="120"/>
      <w:ind w:firstLine="0" w:firstLineChars="0"/>
      <w:outlineLvl w:val="4"/>
    </w:pPr>
    <w:rPr>
      <w:b/>
      <w:bCs/>
      <w:szCs w:val="28"/>
    </w:rPr>
  </w:style>
  <w:style w:type="paragraph" w:styleId="7">
    <w:name w:val="heading 6"/>
    <w:basedOn w:val="1"/>
    <w:next w:val="1"/>
    <w:link w:val="18"/>
    <w:qFormat/>
    <w:uiPriority w:val="0"/>
    <w:pPr>
      <w:keepNext/>
      <w:keepLines/>
      <w:spacing w:before="120" w:after="120"/>
      <w:ind w:left="1134" w:firstLine="0" w:firstLineChars="0"/>
      <w:outlineLvl w:val="5"/>
    </w:pPr>
    <w:rPr>
      <w:rFonts w:ascii="Cambria" w:hAnsi="Cambria"/>
      <w:b/>
      <w:bC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4"/>
    <w:qFormat/>
    <w:uiPriority w:val="0"/>
    <w:pPr>
      <w:tabs>
        <w:tab w:val="center" w:pos="4153"/>
        <w:tab w:val="right" w:pos="8306"/>
      </w:tabs>
      <w:snapToGrid w:val="0"/>
      <w:spacing w:line="240" w:lineRule="auto"/>
      <w:jc w:val="left"/>
    </w:pPr>
    <w:rPr>
      <w:sz w:val="18"/>
      <w:szCs w:val="18"/>
    </w:rPr>
  </w:style>
  <w:style w:type="paragraph" w:styleId="9">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customStyle="1" w:styleId="12">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3">
    <w:name w:val="正文正文2"/>
    <w:basedOn w:val="1"/>
    <w:autoRedefine/>
    <w:qFormat/>
    <w:uiPriority w:val="0"/>
    <w:pPr>
      <w:ind w:firstLine="460"/>
    </w:pPr>
    <w:rPr>
      <w:sz w:val="21"/>
      <w:szCs w:val="21"/>
    </w:rPr>
  </w:style>
  <w:style w:type="character" w:customStyle="1" w:styleId="14">
    <w:name w:val="页脚 Char"/>
    <w:basedOn w:val="11"/>
    <w:link w:val="8"/>
    <w:qFormat/>
    <w:uiPriority w:val="0"/>
    <w:rPr>
      <w:rFonts w:ascii="宋体" w:hAnsi="宋体" w:eastAsia="宋体" w:cs="Times New Roman"/>
      <w:kern w:val="2"/>
      <w:sz w:val="18"/>
      <w:szCs w:val="18"/>
    </w:rPr>
  </w:style>
  <w:style w:type="character" w:customStyle="1" w:styleId="15">
    <w:name w:val="标题 3 Char"/>
    <w:basedOn w:val="11"/>
    <w:link w:val="4"/>
    <w:qFormat/>
    <w:uiPriority w:val="0"/>
    <w:rPr>
      <w:rFonts w:ascii="宋体" w:hAnsi="宋体" w:eastAsia="宋体" w:cs="Times New Roman"/>
      <w:b/>
      <w:bCs/>
      <w:kern w:val="2"/>
      <w:sz w:val="28"/>
      <w:szCs w:val="28"/>
    </w:rPr>
  </w:style>
  <w:style w:type="character" w:customStyle="1" w:styleId="16">
    <w:name w:val="标题 4 Char"/>
    <w:basedOn w:val="11"/>
    <w:link w:val="5"/>
    <w:qFormat/>
    <w:uiPriority w:val="0"/>
    <w:rPr>
      <w:rFonts w:ascii="宋体" w:hAnsi="宋体" w:eastAsia="宋体" w:cs="Times New Roman"/>
      <w:b/>
      <w:bCs/>
      <w:kern w:val="2"/>
      <w:sz w:val="24"/>
      <w:szCs w:val="30"/>
    </w:rPr>
  </w:style>
  <w:style w:type="character" w:customStyle="1" w:styleId="17">
    <w:name w:val="标题 5 Char"/>
    <w:basedOn w:val="11"/>
    <w:link w:val="6"/>
    <w:qFormat/>
    <w:uiPriority w:val="0"/>
    <w:rPr>
      <w:rFonts w:ascii="宋体" w:hAnsi="宋体" w:eastAsia="宋体" w:cs="Times New Roman"/>
      <w:b/>
      <w:bCs/>
      <w:kern w:val="2"/>
      <w:sz w:val="24"/>
      <w:szCs w:val="28"/>
    </w:rPr>
  </w:style>
  <w:style w:type="character" w:customStyle="1" w:styleId="18">
    <w:name w:val="标题 6 Char"/>
    <w:basedOn w:val="11"/>
    <w:link w:val="7"/>
    <w:qFormat/>
    <w:uiPriority w:val="0"/>
    <w:rPr>
      <w:rFonts w:ascii="Cambria" w:hAnsi="Cambria" w:eastAsia="宋体" w:cs="Times New Roman"/>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5257</Words>
  <Characters>5367</Characters>
  <Lines>39</Lines>
  <Paragraphs>11</Paragraphs>
  <TotalTime>5</TotalTime>
  <ScaleCrop>false</ScaleCrop>
  <LinksUpToDate>false</LinksUpToDate>
  <CharactersWithSpaces>5368</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2025-09-20T00:48:00Z</dcterms:created>
  <dc:creator>user</dc:creator>
  <cp:lastModifiedBy>user</cp:lastModifiedBy>
  <dcterms:modified xsi:type="dcterms:W3CDTF">2025-10-22T10:32:41Z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C0333D9C9EDC434881011F08177B8D11_12</vt:lpwstr>
  </property>
  <property fmtid="{D5CDD505-2E9C-101B-9397-08002B2CF9AE}" pid="4" name="KSOTemplateDocerSaveRecord">
    <vt:lpwstr>eyJoZGlkIjoiNGM3MmY0OTNjM2FiYjM2YjE2NGRhZTljZmIyMTQyNWMiLCJ1c2VySWQiOiIxNjQzMTc3ODEwIn0=</vt:lpwstr>
  </property>
</Properties>
</file>