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F0E3A82">
      <w:pPr>
        <w:pStyle w:val="2"/>
        <w:numPr>
          <w:ilvl w:val="0"/>
          <w:numId w:val="0"/>
        </w:numPr>
        <w:ind w:left="425" w:leftChars="0"/>
        <w:jc w:val="center"/>
        <w:rPr>
          <w:rFonts w:hint="eastAsia"/>
          <w:lang w:eastAsia="zh-CN"/>
        </w:rPr>
      </w:pPr>
      <w:bookmarkStart w:id="0" w:name="_Toc63785461"/>
      <w:r>
        <w:rPr>
          <w:rFonts w:hint="eastAsia"/>
          <w:lang w:eastAsia="zh-CN"/>
        </w:rPr>
        <w:t>上海市金山区人民检察院驻所检察室与看守所监控联网子系统建设项目采购需求</w:t>
      </w:r>
    </w:p>
    <w:p w14:paraId="36EE4B49">
      <w:pPr>
        <w:ind w:left="0" w:leftChars="0" w:firstLine="0" w:firstLineChars="0"/>
        <w:jc w:val="both"/>
        <w:rPr>
          <w:rFonts w:hint="eastAsia"/>
          <w:b/>
          <w:bCs/>
          <w:lang w:eastAsia="zh-CN"/>
        </w:rPr>
      </w:pPr>
    </w:p>
    <w:p w14:paraId="6D00CD28">
      <w:pPr>
        <w:pStyle w:val="2"/>
      </w:pPr>
      <w:r>
        <w:rPr>
          <w:rFonts w:hint="eastAsia"/>
        </w:rPr>
        <w:t>项目概况</w:t>
      </w:r>
      <w:bookmarkEnd w:id="0"/>
    </w:p>
    <w:p w14:paraId="3C8C75DA">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rPr>
      </w:pPr>
      <w:r>
        <w:rPr>
          <w:rFonts w:hint="eastAsia"/>
        </w:rPr>
        <w:t>依据最高人民检察院及上海市人民检察院的相关文件要求和标准规范，并结合金山区检察院驻所室的实际业务需求，本项目的主要建设内容包括以下五部分：</w:t>
      </w:r>
    </w:p>
    <w:p w14:paraId="220AE4CD">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rPr>
      </w:pPr>
      <w:r>
        <w:rPr>
          <w:rFonts w:hint="eastAsia"/>
        </w:rPr>
        <w:t>1、全程同步录音录像系统：金山区检察院驻所检察室建设4间检察提审室的全程同步录音录像系统，用于实时记录提审全过程，由于是作为随案证据之用，需要配备二路独立互备的高品质录音录像系统，同时，具有现场回放和远程指挥功能。</w:t>
      </w:r>
    </w:p>
    <w:p w14:paraId="13B0E145">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rPr>
      </w:pPr>
      <w:r>
        <w:rPr>
          <w:rFonts w:hint="eastAsia"/>
        </w:rPr>
        <w:t>2、远程视频提审系统建设：采用视频会议技术实现4间检察提审室业务功能用房的远程视频提审系统与区检察院及市检察院视频提审系统互连互通，同时具备现场同步录音录像功能。</w:t>
      </w:r>
    </w:p>
    <w:p w14:paraId="3F7A50FD">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rPr>
      </w:pPr>
      <w:r>
        <w:rPr>
          <w:rFonts w:hint="eastAsia"/>
        </w:rPr>
        <w:t>3、监控系统联网建设：需要按照高检办字[2010]205号文件的“图像采集范围”将金山区看守所监控点视音频采集信号以光纤传输、NAS/IP SAN存贮技术方式集中管理，实现动态监控、远程指挥、资料积累的规定要求；同时，通过配置专用中间设备（工作站）和软件与看守所网络间接相连，以数据交换方式实现特定信息共享,需配置双机热备服务和磁盘阵列运行驻所检察管理软件，以及终端计算机设备。</w:t>
      </w:r>
    </w:p>
    <w:p w14:paraId="4FB6102F">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rPr>
      </w:pPr>
      <w:r>
        <w:rPr>
          <w:rFonts w:hint="eastAsia"/>
        </w:rPr>
        <w:t>4、检察工作网及信息安全系统建设：根据市院驻所检察室统一建设标准及信息系统等级保护相关要求，采购网络路由器、交换机、防火墙等安全产品，完成驻所检察室检察工作网网络及安全体系搭建。</w:t>
      </w:r>
    </w:p>
    <w:p w14:paraId="41F70CA0">
      <w:pPr>
        <w:keepNext w:val="0"/>
        <w:keepLines w:val="0"/>
        <w:pageBreakBefore w:val="0"/>
        <w:widowControl w:val="0"/>
        <w:kinsoku/>
        <w:wordWrap/>
        <w:overflowPunct/>
        <w:topLinePunct w:val="0"/>
        <w:autoSpaceDE/>
        <w:autoSpaceDN/>
        <w:bidi w:val="0"/>
        <w:adjustRightInd/>
        <w:snapToGrid/>
        <w:spacing w:line="360" w:lineRule="auto"/>
        <w:textAlignment w:val="auto"/>
      </w:pPr>
      <w:r>
        <w:rPr>
          <w:rFonts w:hint="eastAsia"/>
        </w:rPr>
        <w:t>5、配套机房、监控室等场地建设：作为驻所检察室配套弱电信息技术系统核心设备的聚集场所，建设装修在持续稳定供电、温湿度精密控制、防火、防静电、防尘及安全环境监控等方面有较高要求，同时，需要建立驻所检察室的提审指挥与图像监控室。</w:t>
      </w:r>
    </w:p>
    <w:p w14:paraId="34B53E9F">
      <w:pPr>
        <w:rPr>
          <w:color w:val="FF0000"/>
        </w:rPr>
      </w:pPr>
      <w:r>
        <w:rPr>
          <w:color w:val="FF0000"/>
        </w:rPr>
        <w:t>是否按信创要求建设：是</w:t>
      </w:r>
    </w:p>
    <w:p w14:paraId="662E9D46">
      <w:pPr>
        <w:pStyle w:val="2"/>
      </w:pPr>
      <w:bookmarkStart w:id="1" w:name="_Toc47531634"/>
      <w:bookmarkEnd w:id="1"/>
      <w:bookmarkStart w:id="2" w:name="_Toc47536272"/>
      <w:bookmarkEnd w:id="2"/>
      <w:bookmarkStart w:id="3" w:name="_Toc47532891"/>
      <w:bookmarkEnd w:id="3"/>
      <w:bookmarkStart w:id="4" w:name="_Toc47537134"/>
      <w:bookmarkEnd w:id="4"/>
      <w:bookmarkStart w:id="5" w:name="_Toc47533256"/>
      <w:bookmarkEnd w:id="5"/>
      <w:bookmarkStart w:id="6" w:name="_Toc47536644"/>
      <w:bookmarkEnd w:id="6"/>
      <w:bookmarkStart w:id="7" w:name="_Toc47539070"/>
      <w:bookmarkEnd w:id="7"/>
      <w:bookmarkStart w:id="8" w:name="_Toc47532255"/>
      <w:bookmarkEnd w:id="8"/>
      <w:bookmarkStart w:id="9" w:name="_Toc48223882"/>
      <w:bookmarkStart w:id="10" w:name="_Toc63785463"/>
      <w:r>
        <w:rPr>
          <w:rFonts w:hint="eastAsia"/>
        </w:rPr>
        <w:t>建设目标</w:t>
      </w:r>
      <w:bookmarkEnd w:id="9"/>
      <w:bookmarkEnd w:id="10"/>
    </w:p>
    <w:p w14:paraId="5EBD4C18">
      <w:pPr>
        <w:ind w:firstLine="482"/>
        <w:rPr>
          <w:rFonts w:hint="eastAsia"/>
          <w:b w:val="0"/>
          <w:bCs/>
        </w:rPr>
      </w:pPr>
      <w:r>
        <w:rPr>
          <w:rFonts w:hint="eastAsia"/>
          <w:b w:val="0"/>
          <w:bCs/>
        </w:rPr>
        <w:t>金山区检察院驻所检察室与看守所监控系统联网建设项目的总体建设目标是：</w:t>
      </w:r>
    </w:p>
    <w:p w14:paraId="16E01980">
      <w:pPr>
        <w:ind w:firstLine="482"/>
        <w:rPr>
          <w:b w:val="0"/>
          <w:bCs/>
        </w:rPr>
      </w:pPr>
      <w:r>
        <w:rPr>
          <w:rFonts w:hint="eastAsia"/>
          <w:b w:val="0"/>
          <w:bCs/>
        </w:rPr>
        <w:t>采用先进的信息化和智能化技术和产品，在金山区看守所、拘留所信息技术系统的基础上利用已有资源，建设高效、稳定和安全的技术信息系统，实现人民检察院派驻看守所检察室与看守所监控系统联网建设，以强化驻所检察室监督职能作用，更好地规范监管执法行为，促进公正执法和刑罚执行顺利进行，适应法律监督工作的新形势。</w:t>
      </w:r>
    </w:p>
    <w:p w14:paraId="2AB3D41A">
      <w:pPr>
        <w:pStyle w:val="2"/>
      </w:pPr>
      <w:bookmarkStart w:id="11" w:name="_Toc47539102"/>
      <w:bookmarkEnd w:id="11"/>
      <w:bookmarkStart w:id="12" w:name="_Toc47536676"/>
      <w:bookmarkEnd w:id="12"/>
      <w:bookmarkStart w:id="13" w:name="_Toc47537166"/>
      <w:bookmarkEnd w:id="13"/>
      <w:bookmarkStart w:id="14" w:name="_Toc47533288"/>
      <w:bookmarkEnd w:id="14"/>
      <w:bookmarkStart w:id="15" w:name="_Toc47532923"/>
      <w:bookmarkEnd w:id="15"/>
      <w:bookmarkStart w:id="16" w:name="_Toc47536304"/>
      <w:bookmarkEnd w:id="16"/>
      <w:r>
        <w:rPr>
          <w:rFonts w:hint="eastAsia"/>
        </w:rPr>
        <w:t>项目建设内容</w:t>
      </w:r>
    </w:p>
    <w:p w14:paraId="40D612A8">
      <w:pPr>
        <w:spacing w:line="360" w:lineRule="auto"/>
        <w:ind w:firstLine="480" w:firstLineChars="200"/>
        <w:rPr>
          <w:rFonts w:hint="eastAsia" w:ascii="宋体" w:hAnsi="宋体"/>
          <w:sz w:val="24"/>
        </w:rPr>
      </w:pPr>
      <w:r>
        <w:rPr>
          <w:rFonts w:hint="eastAsia" w:ascii="宋体" w:hAnsi="宋体"/>
          <w:sz w:val="24"/>
        </w:rPr>
        <w:t>依据最高人民检察院及上海市人民检察院的相关文件要求和标准规范，并结合金山区检察院驻所室的实际业务需求，本项目的主要建设内容包括以下五部分：</w:t>
      </w:r>
    </w:p>
    <w:p w14:paraId="7859B10C">
      <w:pPr>
        <w:spacing w:line="360" w:lineRule="auto"/>
        <w:ind w:firstLine="480" w:firstLineChars="200"/>
        <w:rPr>
          <w:rFonts w:hint="eastAsia" w:ascii="宋体" w:hAnsi="宋体"/>
          <w:sz w:val="24"/>
        </w:rPr>
      </w:pPr>
      <w:r>
        <w:rPr>
          <w:rFonts w:hint="eastAsia" w:ascii="宋体" w:hAnsi="宋体"/>
          <w:sz w:val="24"/>
        </w:rPr>
        <w:t>1、</w:t>
      </w:r>
      <w:r>
        <w:rPr>
          <w:rFonts w:hint="eastAsia" w:ascii="宋体" w:hAnsi="宋体"/>
          <w:b/>
          <w:sz w:val="24"/>
        </w:rPr>
        <w:t>全程同步录音录像系统</w:t>
      </w:r>
      <w:r>
        <w:rPr>
          <w:rFonts w:hint="eastAsia" w:ascii="宋体" w:hAnsi="宋体"/>
          <w:sz w:val="24"/>
        </w:rPr>
        <w:t>：金山区检察院驻所检察室建设4间检察提审室的全程同步录音录像系统，用于实时记录提审全过程，由于是作为随案证据之用，需要配备二路独立互备的高品质录音录像系统，同时，具有现场回放和远程指挥功能。</w:t>
      </w:r>
    </w:p>
    <w:p w14:paraId="23827910">
      <w:pPr>
        <w:spacing w:line="360" w:lineRule="auto"/>
        <w:ind w:firstLine="480" w:firstLineChars="200"/>
        <w:rPr>
          <w:rFonts w:hint="eastAsia" w:ascii="宋体" w:hAnsi="宋体"/>
          <w:sz w:val="24"/>
        </w:rPr>
      </w:pPr>
      <w:r>
        <w:rPr>
          <w:rFonts w:hint="eastAsia" w:ascii="宋体" w:hAnsi="宋体"/>
          <w:sz w:val="24"/>
        </w:rPr>
        <w:t>2、</w:t>
      </w:r>
      <w:r>
        <w:rPr>
          <w:rFonts w:hint="eastAsia" w:ascii="宋体" w:hAnsi="宋体"/>
          <w:b/>
          <w:sz w:val="24"/>
        </w:rPr>
        <w:t>远程视频提审系统</w:t>
      </w:r>
      <w:r>
        <w:rPr>
          <w:rFonts w:hint="eastAsia" w:ascii="宋体" w:hAnsi="宋体"/>
          <w:sz w:val="24"/>
        </w:rPr>
        <w:t>建设：采用视频会议技术实现4间检察提审室业务功能用房的远程视频提审系统与区检察院及市检察院视频提审系统互连互通，同时具备现场同步录音录像功能。</w:t>
      </w:r>
    </w:p>
    <w:p w14:paraId="00AC57DC">
      <w:pPr>
        <w:spacing w:line="360" w:lineRule="auto"/>
        <w:ind w:firstLine="480" w:firstLineChars="200"/>
        <w:rPr>
          <w:rFonts w:hint="eastAsia" w:ascii="宋体" w:hAnsi="宋体"/>
          <w:sz w:val="24"/>
        </w:rPr>
      </w:pPr>
      <w:r>
        <w:rPr>
          <w:rFonts w:hint="eastAsia" w:ascii="宋体" w:hAnsi="宋体"/>
          <w:sz w:val="24"/>
        </w:rPr>
        <w:t>3、</w:t>
      </w:r>
      <w:r>
        <w:rPr>
          <w:rFonts w:hint="eastAsia" w:ascii="宋体" w:hAnsi="宋体"/>
          <w:b/>
          <w:sz w:val="24"/>
        </w:rPr>
        <w:t>监控系统联网</w:t>
      </w:r>
      <w:r>
        <w:rPr>
          <w:rFonts w:hint="eastAsia" w:ascii="宋体" w:hAnsi="宋体"/>
          <w:sz w:val="24"/>
        </w:rPr>
        <w:t>建设：需要按照高检办字[2010]205号文件的“图像采集范围”将金山区看守所监控点视音频采集信号以光纤传输、NAS/IP SAN存贮技术方式集中管理，实现动态监控、远程指挥、资料积累的规定要求；同时，通过配置专用中间设备（工作站）和软件与看守所网络间接相连，以数据交换方式实现特定信息共享,需配置双机热备服务和磁盘阵列运行驻所检察管理软件，以及终端计算机设备。</w:t>
      </w:r>
    </w:p>
    <w:p w14:paraId="1854D1CE">
      <w:pPr>
        <w:spacing w:line="360" w:lineRule="auto"/>
        <w:ind w:firstLine="480" w:firstLineChars="200"/>
        <w:rPr>
          <w:rFonts w:hint="eastAsia" w:ascii="宋体" w:hAnsi="宋体"/>
          <w:sz w:val="24"/>
        </w:rPr>
      </w:pPr>
      <w:r>
        <w:rPr>
          <w:rFonts w:hint="eastAsia" w:ascii="宋体" w:hAnsi="宋体"/>
          <w:sz w:val="24"/>
        </w:rPr>
        <w:t>4、</w:t>
      </w:r>
      <w:r>
        <w:rPr>
          <w:rFonts w:hint="eastAsia" w:ascii="宋体" w:hAnsi="宋体"/>
          <w:b/>
          <w:bCs/>
          <w:sz w:val="24"/>
        </w:rPr>
        <w:t>检察工作网及信息安全系统</w:t>
      </w:r>
      <w:r>
        <w:rPr>
          <w:rFonts w:hint="eastAsia" w:ascii="宋体" w:hAnsi="宋体"/>
          <w:sz w:val="24"/>
        </w:rPr>
        <w:t>建设：根据市院驻所检察室统一建设标准及信息系统等级保护相关要求，采购</w:t>
      </w:r>
      <w:r>
        <w:rPr>
          <w:rFonts w:hint="eastAsia" w:ascii="宋体" w:hAnsi="宋体"/>
          <w:color w:val="000000"/>
          <w:sz w:val="24"/>
        </w:rPr>
        <w:t>网络路由器、交换机、防火墙</w:t>
      </w:r>
      <w:r>
        <w:rPr>
          <w:rFonts w:hint="eastAsia" w:ascii="宋体" w:hAnsi="宋体"/>
          <w:sz w:val="24"/>
        </w:rPr>
        <w:t>等安全产品，完成驻所检察室检察工作网网络及安全体系搭建。</w:t>
      </w:r>
    </w:p>
    <w:p w14:paraId="72A495A5">
      <w:pPr>
        <w:spacing w:line="360" w:lineRule="auto"/>
        <w:ind w:firstLine="480" w:firstLineChars="200"/>
      </w:pPr>
      <w:r>
        <w:rPr>
          <w:rFonts w:hint="eastAsia" w:ascii="宋体" w:hAnsi="宋体"/>
          <w:sz w:val="24"/>
        </w:rPr>
        <w:t>5、</w:t>
      </w:r>
      <w:r>
        <w:rPr>
          <w:rFonts w:hint="eastAsia" w:ascii="宋体" w:hAnsi="宋体"/>
          <w:b/>
          <w:sz w:val="24"/>
        </w:rPr>
        <w:t>配套机房、监控室</w:t>
      </w:r>
      <w:r>
        <w:rPr>
          <w:rFonts w:hint="eastAsia" w:ascii="宋体" w:hAnsi="宋体"/>
          <w:sz w:val="24"/>
        </w:rPr>
        <w:t>等场地建设：作为驻所检察室配套弱电信息技术系统核心设备的聚集场所，建设装修在持续稳定供电、温湿度精密控制、防火、防静电、防尘及安全环境监控等方面有较高要求，同时，需要建立驻所检察室的提审指挥与图像监控室。</w:t>
      </w:r>
    </w:p>
    <w:p w14:paraId="5451AA48">
      <w:pPr>
        <w:numPr>
          <w:ilvl w:val="0"/>
          <w:numId w:val="2"/>
        </w:numPr>
        <w:ind w:firstLine="482"/>
        <w:rPr>
          <w:rFonts w:hint="eastAsia"/>
          <w:b/>
        </w:rPr>
      </w:pPr>
      <w:r>
        <w:rPr>
          <w:rFonts w:hint="eastAsia"/>
          <w:b/>
        </w:rPr>
        <w:t>硬件产品</w:t>
      </w:r>
      <w:r>
        <w:rPr>
          <w:rFonts w:hint="eastAsia"/>
          <w:b/>
          <w:lang w:val="en-US" w:eastAsia="zh-CN"/>
        </w:rPr>
        <w:t>购置</w:t>
      </w:r>
      <w:r>
        <w:rPr>
          <w:rFonts w:hint="eastAsia"/>
          <w:b/>
        </w:rPr>
        <w:t>清单：</w:t>
      </w:r>
    </w:p>
    <w:tbl>
      <w:tblPr>
        <w:tblStyle w:val="5"/>
        <w:tblW w:w="0" w:type="auto"/>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615"/>
        <w:gridCol w:w="1339"/>
        <w:gridCol w:w="1437"/>
        <w:gridCol w:w="3833"/>
        <w:gridCol w:w="616"/>
        <w:gridCol w:w="416"/>
      </w:tblGrid>
      <w:tr w14:paraId="5F6548B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EEF2E9">
            <w:pPr>
              <w:widowControl/>
              <w:spacing w:line="240" w:lineRule="auto"/>
              <w:ind w:firstLine="0" w:firstLineChars="0"/>
              <w:jc w:val="center"/>
              <w:textAlignment w:val="center"/>
              <w:rPr>
                <w:rFonts w:hint="eastAsia" w:cs="宋体"/>
                <w:b/>
                <w:bCs/>
                <w:color w:val="000000"/>
                <w:kern w:val="0"/>
                <w:sz w:val="22"/>
                <w:szCs w:val="22"/>
              </w:rPr>
            </w:pPr>
            <w:r>
              <w:rPr>
                <w:rFonts w:hint="eastAsia" w:cs="宋体"/>
                <w:b/>
                <w:bCs/>
                <w:color w:val="000000"/>
                <w:kern w:val="0"/>
                <w:sz w:val="22"/>
                <w:szCs w:val="22"/>
                <w:lang w:val="en-US" w:eastAsia="zh-CN"/>
              </w:rPr>
              <w:t>序号</w:t>
            </w:r>
          </w:p>
        </w:tc>
        <w:tc>
          <w:tcPr>
            <w:tcW w:w="133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5EF9A2">
            <w:pPr>
              <w:widowControl/>
              <w:spacing w:line="240" w:lineRule="auto"/>
              <w:ind w:firstLine="0" w:firstLineChars="0"/>
              <w:jc w:val="center"/>
              <w:textAlignment w:val="center"/>
              <w:rPr>
                <w:rFonts w:hint="eastAsia" w:cs="宋体"/>
                <w:b/>
                <w:bCs/>
                <w:color w:val="000000"/>
                <w:kern w:val="0"/>
                <w:sz w:val="22"/>
                <w:szCs w:val="22"/>
              </w:rPr>
            </w:pPr>
            <w:r>
              <w:rPr>
                <w:rFonts w:hint="eastAsia" w:cs="宋体"/>
                <w:b/>
                <w:bCs/>
                <w:color w:val="000000"/>
                <w:kern w:val="0"/>
                <w:sz w:val="22"/>
                <w:szCs w:val="22"/>
                <w:lang w:val="en-US" w:eastAsia="zh-CN"/>
              </w:rPr>
              <w:t>名称</w:t>
            </w:r>
          </w:p>
        </w:tc>
        <w:tc>
          <w:tcPr>
            <w:tcW w:w="143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A4D0E4">
            <w:pPr>
              <w:widowControl/>
              <w:spacing w:line="240" w:lineRule="auto"/>
              <w:ind w:firstLine="0" w:firstLineChars="0"/>
              <w:jc w:val="center"/>
              <w:textAlignment w:val="center"/>
              <w:rPr>
                <w:rFonts w:hint="eastAsia" w:cs="宋体"/>
                <w:b/>
                <w:bCs/>
                <w:color w:val="000000"/>
                <w:kern w:val="0"/>
                <w:sz w:val="22"/>
                <w:szCs w:val="22"/>
              </w:rPr>
            </w:pPr>
            <w:r>
              <w:rPr>
                <w:rFonts w:hint="eastAsia" w:cs="宋体"/>
                <w:b/>
                <w:bCs/>
                <w:color w:val="000000"/>
                <w:kern w:val="0"/>
                <w:sz w:val="22"/>
                <w:szCs w:val="22"/>
                <w:lang w:val="en-US" w:eastAsia="zh-CN"/>
              </w:rPr>
              <w:t>类别</w:t>
            </w:r>
          </w:p>
        </w:tc>
        <w:tc>
          <w:tcPr>
            <w:tcW w:w="38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99C1E5">
            <w:pPr>
              <w:widowControl/>
              <w:spacing w:line="240" w:lineRule="auto"/>
              <w:ind w:firstLine="0" w:firstLineChars="0"/>
              <w:jc w:val="center"/>
              <w:textAlignment w:val="center"/>
              <w:rPr>
                <w:rFonts w:hint="eastAsia" w:cs="宋体"/>
                <w:b/>
                <w:bCs/>
                <w:color w:val="000000"/>
                <w:kern w:val="0"/>
                <w:sz w:val="22"/>
                <w:szCs w:val="22"/>
              </w:rPr>
            </w:pPr>
            <w:r>
              <w:rPr>
                <w:rFonts w:hint="eastAsia" w:cs="宋体"/>
                <w:b/>
                <w:bCs/>
                <w:color w:val="000000"/>
                <w:kern w:val="0"/>
                <w:sz w:val="22"/>
                <w:szCs w:val="22"/>
                <w:lang w:val="en-US" w:eastAsia="zh-CN"/>
              </w:rPr>
              <w:t>功能说明/配置要求</w:t>
            </w:r>
          </w:p>
        </w:tc>
        <w:tc>
          <w:tcPr>
            <w:tcW w:w="6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3577E7">
            <w:pPr>
              <w:widowControl/>
              <w:spacing w:line="240" w:lineRule="auto"/>
              <w:ind w:firstLine="0" w:firstLineChars="0"/>
              <w:jc w:val="center"/>
              <w:textAlignment w:val="center"/>
              <w:rPr>
                <w:rFonts w:hint="eastAsia" w:cs="宋体"/>
                <w:b/>
                <w:bCs/>
                <w:color w:val="000000"/>
                <w:kern w:val="0"/>
                <w:sz w:val="22"/>
                <w:szCs w:val="22"/>
              </w:rPr>
            </w:pPr>
            <w:r>
              <w:rPr>
                <w:rFonts w:hint="eastAsia" w:cs="宋体"/>
                <w:b/>
                <w:bCs/>
                <w:color w:val="000000"/>
                <w:kern w:val="0"/>
                <w:sz w:val="22"/>
                <w:szCs w:val="22"/>
                <w:lang w:val="en-US" w:eastAsia="zh-CN"/>
              </w:rPr>
              <w:t>数量</w:t>
            </w:r>
          </w:p>
        </w:tc>
        <w:tc>
          <w:tcPr>
            <w:tcW w:w="4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626598">
            <w:pPr>
              <w:widowControl/>
              <w:spacing w:line="240" w:lineRule="auto"/>
              <w:ind w:firstLine="0" w:firstLineChars="0"/>
              <w:jc w:val="center"/>
              <w:textAlignment w:val="center"/>
              <w:rPr>
                <w:rFonts w:hint="eastAsia" w:cs="宋体"/>
                <w:b/>
                <w:bCs/>
                <w:color w:val="000000"/>
                <w:kern w:val="0"/>
                <w:sz w:val="22"/>
                <w:szCs w:val="22"/>
              </w:rPr>
            </w:pPr>
            <w:r>
              <w:rPr>
                <w:rFonts w:hint="eastAsia" w:cs="宋体"/>
                <w:b/>
                <w:bCs/>
                <w:color w:val="000000"/>
                <w:kern w:val="0"/>
                <w:sz w:val="22"/>
                <w:szCs w:val="22"/>
                <w:lang w:val="en-US" w:eastAsia="zh-CN"/>
              </w:rPr>
              <w:t>单位</w:t>
            </w:r>
          </w:p>
        </w:tc>
      </w:tr>
      <w:tr w14:paraId="7144ED0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695" w:hRule="atLeast"/>
        </w:trPr>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C5A7A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13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7688E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摄像机</w:t>
            </w:r>
          </w:p>
        </w:tc>
        <w:tc>
          <w:tcPr>
            <w:tcW w:w="143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BB17B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音视频监控设备</w:t>
            </w:r>
          </w:p>
        </w:tc>
        <w:tc>
          <w:tcPr>
            <w:tcW w:w="3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9E5E6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2.8-12mm AF电动镜头。1/3"200W像素，1080P</w:t>
            </w:r>
          </w:p>
        </w:tc>
        <w:tc>
          <w:tcPr>
            <w:tcW w:w="6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AC315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9</w:t>
            </w:r>
          </w:p>
        </w:tc>
        <w:tc>
          <w:tcPr>
            <w:tcW w:w="4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6BC69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台</w:t>
            </w:r>
          </w:p>
        </w:tc>
      </w:tr>
      <w:tr w14:paraId="372C2A3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695" w:hRule="atLeast"/>
        </w:trPr>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F51BC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13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C1A1F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摄像机</w:t>
            </w:r>
          </w:p>
        </w:tc>
        <w:tc>
          <w:tcPr>
            <w:tcW w:w="143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1CDAB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音视频监控设备</w:t>
            </w:r>
          </w:p>
        </w:tc>
        <w:tc>
          <w:tcPr>
            <w:tcW w:w="3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56AA0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室内高清高速球型网络摄像机，0.0003Lux星光级超低照度，5寸，400W像素，5倍光变。包含壁装支架</w:t>
            </w:r>
          </w:p>
        </w:tc>
        <w:tc>
          <w:tcPr>
            <w:tcW w:w="6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05D11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w:t>
            </w:r>
          </w:p>
        </w:tc>
        <w:tc>
          <w:tcPr>
            <w:tcW w:w="4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31A4C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台</w:t>
            </w:r>
          </w:p>
        </w:tc>
      </w:tr>
      <w:tr w14:paraId="69C9F7B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20" w:hRule="atLeast"/>
        </w:trPr>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CA5ED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13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F2C6A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话筒</w:t>
            </w:r>
          </w:p>
        </w:tc>
        <w:tc>
          <w:tcPr>
            <w:tcW w:w="143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FA406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视频会议</w:t>
            </w:r>
          </w:p>
        </w:tc>
        <w:tc>
          <w:tcPr>
            <w:tcW w:w="3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685C4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审讯专用界面mic,抗射频干扰,频响30Hz～20KHz,灵敏度-20dB,信噪比≥74dB</w:t>
            </w:r>
          </w:p>
        </w:tc>
        <w:tc>
          <w:tcPr>
            <w:tcW w:w="6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5E359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w:t>
            </w:r>
          </w:p>
        </w:tc>
        <w:tc>
          <w:tcPr>
            <w:tcW w:w="4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11882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台</w:t>
            </w:r>
          </w:p>
        </w:tc>
      </w:tr>
      <w:tr w14:paraId="0B421A7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375" w:hRule="atLeast"/>
        </w:trPr>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DE87F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13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1B903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音频放大、均衡、分配器</w:t>
            </w:r>
          </w:p>
        </w:tc>
        <w:tc>
          <w:tcPr>
            <w:tcW w:w="143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ADB20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音视频监控设备</w:t>
            </w:r>
          </w:p>
        </w:tc>
        <w:tc>
          <w:tcPr>
            <w:tcW w:w="3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908DA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ATbox数字音频主机，可接入模拟、数字音频信号并实现混音、增益、回声抵消、环境噪声过滤等功能</w:t>
            </w:r>
          </w:p>
        </w:tc>
        <w:tc>
          <w:tcPr>
            <w:tcW w:w="6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A67D7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4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95A86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台</w:t>
            </w:r>
          </w:p>
        </w:tc>
      </w:tr>
      <w:tr w14:paraId="650CE27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20" w:hRule="atLeast"/>
        </w:trPr>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27867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w:t>
            </w:r>
          </w:p>
        </w:tc>
        <w:tc>
          <w:tcPr>
            <w:tcW w:w="13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B4F59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同录主机</w:t>
            </w:r>
          </w:p>
        </w:tc>
        <w:tc>
          <w:tcPr>
            <w:tcW w:w="143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1D2D7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音视频监控设备</w:t>
            </w:r>
          </w:p>
        </w:tc>
        <w:tc>
          <w:tcPr>
            <w:tcW w:w="3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0CEAA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同录主机，7寸触摸显示屏，支持4个1080p高清网络摄像机接入，支持画中画合成，支持双光盘同步刻录及同步回放。含两个DVD刻录机，含2T硬盘，含双网口。</w:t>
            </w:r>
          </w:p>
        </w:tc>
        <w:tc>
          <w:tcPr>
            <w:tcW w:w="6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497AA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4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1D41D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台</w:t>
            </w:r>
          </w:p>
        </w:tc>
      </w:tr>
      <w:tr w14:paraId="31F9808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75" w:hRule="atLeast"/>
        </w:trPr>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FB443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w:t>
            </w:r>
          </w:p>
        </w:tc>
        <w:tc>
          <w:tcPr>
            <w:tcW w:w="13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B46F7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显示屏</w:t>
            </w:r>
          </w:p>
        </w:tc>
        <w:tc>
          <w:tcPr>
            <w:tcW w:w="143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665FE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视频会议</w:t>
            </w:r>
          </w:p>
        </w:tc>
        <w:tc>
          <w:tcPr>
            <w:tcW w:w="3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B866D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时间温湿度显示</w:t>
            </w:r>
          </w:p>
        </w:tc>
        <w:tc>
          <w:tcPr>
            <w:tcW w:w="6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482A0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w:t>
            </w:r>
          </w:p>
        </w:tc>
        <w:tc>
          <w:tcPr>
            <w:tcW w:w="4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84B81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块</w:t>
            </w:r>
          </w:p>
        </w:tc>
      </w:tr>
      <w:tr w14:paraId="6CECD2D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20" w:hRule="atLeast"/>
        </w:trPr>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2DF09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w:t>
            </w:r>
          </w:p>
        </w:tc>
        <w:tc>
          <w:tcPr>
            <w:tcW w:w="13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2A9EC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UPS</w:t>
            </w:r>
          </w:p>
        </w:tc>
        <w:tc>
          <w:tcPr>
            <w:tcW w:w="143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90438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动力设备</w:t>
            </w:r>
          </w:p>
        </w:tc>
        <w:tc>
          <w:tcPr>
            <w:tcW w:w="3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43168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UPS额定负载容量：300-800w UPS内置电池容量：7AH/12V</w:t>
            </w:r>
          </w:p>
        </w:tc>
        <w:tc>
          <w:tcPr>
            <w:tcW w:w="6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8E5F8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4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11C03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台</w:t>
            </w:r>
          </w:p>
        </w:tc>
      </w:tr>
      <w:tr w14:paraId="3ACF62E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95" w:hRule="atLeast"/>
        </w:trPr>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82B96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w:t>
            </w:r>
          </w:p>
        </w:tc>
        <w:tc>
          <w:tcPr>
            <w:tcW w:w="13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571B8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液晶显示器</w:t>
            </w:r>
          </w:p>
        </w:tc>
        <w:tc>
          <w:tcPr>
            <w:tcW w:w="143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62910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音视频监控设备</w:t>
            </w:r>
          </w:p>
        </w:tc>
        <w:tc>
          <w:tcPr>
            <w:tcW w:w="3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0C361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32寸 HDMI*2 屏幕分辨率1366x768 黑色</w:t>
            </w:r>
          </w:p>
        </w:tc>
        <w:tc>
          <w:tcPr>
            <w:tcW w:w="6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5FFD4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4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C2F72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台</w:t>
            </w:r>
          </w:p>
        </w:tc>
      </w:tr>
      <w:tr w14:paraId="0FDE997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80" w:hRule="atLeast"/>
        </w:trPr>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E07B1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9</w:t>
            </w:r>
          </w:p>
        </w:tc>
        <w:tc>
          <w:tcPr>
            <w:tcW w:w="13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EDA48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液晶显示器支架</w:t>
            </w:r>
          </w:p>
        </w:tc>
        <w:tc>
          <w:tcPr>
            <w:tcW w:w="143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96EF2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音视频监控设备</w:t>
            </w:r>
          </w:p>
        </w:tc>
        <w:tc>
          <w:tcPr>
            <w:tcW w:w="3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7135C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电视伸缩支架</w:t>
            </w:r>
          </w:p>
        </w:tc>
        <w:tc>
          <w:tcPr>
            <w:tcW w:w="6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88C5D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4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79C76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台</w:t>
            </w:r>
          </w:p>
        </w:tc>
      </w:tr>
      <w:tr w14:paraId="3754F15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35" w:hRule="atLeast"/>
        </w:trPr>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064FE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3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1555E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网络光模块</w:t>
            </w:r>
          </w:p>
        </w:tc>
        <w:tc>
          <w:tcPr>
            <w:tcW w:w="143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4C996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综合布线</w:t>
            </w:r>
          </w:p>
        </w:tc>
        <w:tc>
          <w:tcPr>
            <w:tcW w:w="3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AD076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多模千兆</w:t>
            </w:r>
          </w:p>
        </w:tc>
        <w:tc>
          <w:tcPr>
            <w:tcW w:w="6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6B43C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w:t>
            </w:r>
          </w:p>
        </w:tc>
        <w:tc>
          <w:tcPr>
            <w:tcW w:w="4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FA1B3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块</w:t>
            </w:r>
          </w:p>
        </w:tc>
      </w:tr>
      <w:tr w14:paraId="5E9C0C9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95" w:hRule="atLeast"/>
        </w:trPr>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06CB2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11</w:t>
            </w:r>
          </w:p>
        </w:tc>
        <w:tc>
          <w:tcPr>
            <w:tcW w:w="13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48ED1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机柜</w:t>
            </w:r>
          </w:p>
        </w:tc>
        <w:tc>
          <w:tcPr>
            <w:tcW w:w="143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62516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机房建设</w:t>
            </w:r>
          </w:p>
        </w:tc>
        <w:tc>
          <w:tcPr>
            <w:tcW w:w="3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47ACC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600*600*600</w:t>
            </w:r>
          </w:p>
        </w:tc>
        <w:tc>
          <w:tcPr>
            <w:tcW w:w="6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5AA09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4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1D0FD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台</w:t>
            </w:r>
          </w:p>
        </w:tc>
      </w:tr>
      <w:tr w14:paraId="15C62CE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190" w:hRule="atLeast"/>
        </w:trPr>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3065B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w:t>
            </w:r>
          </w:p>
        </w:tc>
        <w:tc>
          <w:tcPr>
            <w:tcW w:w="13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EC60C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远程审讯终端</w:t>
            </w:r>
          </w:p>
        </w:tc>
        <w:tc>
          <w:tcPr>
            <w:tcW w:w="143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6A44A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音视频监控设备</w:t>
            </w:r>
          </w:p>
        </w:tc>
        <w:tc>
          <w:tcPr>
            <w:tcW w:w="3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1A505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8M,1080p,2个10/100/1000M,HDBaseT输入,DVI/HDMI/VGA输入/输出,19英寸1U)</w:t>
            </w:r>
          </w:p>
        </w:tc>
        <w:tc>
          <w:tcPr>
            <w:tcW w:w="6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84AFC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4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D08BE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台</w:t>
            </w:r>
          </w:p>
        </w:tc>
      </w:tr>
      <w:tr w14:paraId="5CB9673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360" w:hRule="atLeast"/>
        </w:trPr>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60C8B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13</w:t>
            </w:r>
          </w:p>
        </w:tc>
        <w:tc>
          <w:tcPr>
            <w:tcW w:w="13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57CA5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远程审讯摄像机</w:t>
            </w:r>
          </w:p>
        </w:tc>
        <w:tc>
          <w:tcPr>
            <w:tcW w:w="143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A06E0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音视频监控设备</w:t>
            </w:r>
          </w:p>
        </w:tc>
        <w:tc>
          <w:tcPr>
            <w:tcW w:w="3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EC36B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PTZ摄像机,1080P30,12倍光学变焦,最低照度0.1Lx,F1.6,支持HDBaseT输出,支持正装或倒装</w:t>
            </w:r>
          </w:p>
        </w:tc>
        <w:tc>
          <w:tcPr>
            <w:tcW w:w="6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3515D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4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3D129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台</w:t>
            </w:r>
          </w:p>
        </w:tc>
      </w:tr>
      <w:tr w14:paraId="344F046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680" w:hRule="atLeast"/>
        </w:trPr>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E24D1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14</w:t>
            </w:r>
          </w:p>
        </w:tc>
        <w:tc>
          <w:tcPr>
            <w:tcW w:w="13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375E5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远程审讯话筒</w:t>
            </w:r>
          </w:p>
        </w:tc>
        <w:tc>
          <w:tcPr>
            <w:tcW w:w="143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35DFE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音视频监控设备</w:t>
            </w:r>
          </w:p>
        </w:tc>
        <w:tc>
          <w:tcPr>
            <w:tcW w:w="3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B6E06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阵列麦克风 ，360°全向智能数字话筒, 抗射频干扰,频响100Hz～20KHz,灵敏度-12dB,信噪比≥71dB,数字音频接口供电</w:t>
            </w:r>
          </w:p>
        </w:tc>
        <w:tc>
          <w:tcPr>
            <w:tcW w:w="6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FD754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4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06A22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台</w:t>
            </w:r>
          </w:p>
        </w:tc>
      </w:tr>
      <w:tr w14:paraId="203A26B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715" w:hRule="atLeast"/>
        </w:trPr>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3F3B3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15</w:t>
            </w:r>
          </w:p>
        </w:tc>
        <w:tc>
          <w:tcPr>
            <w:tcW w:w="13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498BF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远程审讯同录主机</w:t>
            </w:r>
          </w:p>
        </w:tc>
        <w:tc>
          <w:tcPr>
            <w:tcW w:w="143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7E104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音视频监控设备</w:t>
            </w:r>
          </w:p>
        </w:tc>
        <w:tc>
          <w:tcPr>
            <w:tcW w:w="3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86D78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远程审讯同录主机，7寸触摸显示屏，支持4个1080p高清网络摄像机接入，支持画中画合成，支持双光盘同步刻录及同步回放。含两个DVD刻录机，含2T硬盘，含双网口。</w:t>
            </w:r>
          </w:p>
        </w:tc>
        <w:tc>
          <w:tcPr>
            <w:tcW w:w="6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2A654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4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332C5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台</w:t>
            </w:r>
          </w:p>
        </w:tc>
      </w:tr>
      <w:tr w14:paraId="22C654A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80" w:hRule="atLeast"/>
        </w:trPr>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206A6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16</w:t>
            </w:r>
          </w:p>
        </w:tc>
        <w:tc>
          <w:tcPr>
            <w:tcW w:w="13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9FC82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液晶显示器</w:t>
            </w:r>
          </w:p>
        </w:tc>
        <w:tc>
          <w:tcPr>
            <w:tcW w:w="143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3B0FC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音视频监控设备</w:t>
            </w:r>
          </w:p>
        </w:tc>
        <w:tc>
          <w:tcPr>
            <w:tcW w:w="3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94627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60寸</w:t>
            </w:r>
          </w:p>
        </w:tc>
        <w:tc>
          <w:tcPr>
            <w:tcW w:w="6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0BCA5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4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BA343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台</w:t>
            </w:r>
          </w:p>
        </w:tc>
      </w:tr>
      <w:tr w14:paraId="5EAC90E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95" w:hRule="atLeast"/>
        </w:trPr>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E2E03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17</w:t>
            </w:r>
          </w:p>
        </w:tc>
        <w:tc>
          <w:tcPr>
            <w:tcW w:w="13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8F1BC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HDMI分配器</w:t>
            </w:r>
          </w:p>
        </w:tc>
        <w:tc>
          <w:tcPr>
            <w:tcW w:w="143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C3D99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音视频监控设备</w:t>
            </w:r>
          </w:p>
        </w:tc>
        <w:tc>
          <w:tcPr>
            <w:tcW w:w="3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3DB84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1进2出</w:t>
            </w:r>
          </w:p>
        </w:tc>
        <w:tc>
          <w:tcPr>
            <w:tcW w:w="6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7CA21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w:t>
            </w:r>
          </w:p>
        </w:tc>
        <w:tc>
          <w:tcPr>
            <w:tcW w:w="4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00A7B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台</w:t>
            </w:r>
          </w:p>
        </w:tc>
      </w:tr>
      <w:tr w14:paraId="4297771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95" w:hRule="atLeast"/>
        </w:trPr>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8AEB2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18</w:t>
            </w:r>
          </w:p>
        </w:tc>
        <w:tc>
          <w:tcPr>
            <w:tcW w:w="13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D137E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转换器</w:t>
            </w:r>
          </w:p>
        </w:tc>
        <w:tc>
          <w:tcPr>
            <w:tcW w:w="143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AC12F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音视频监控设备</w:t>
            </w:r>
          </w:p>
        </w:tc>
        <w:tc>
          <w:tcPr>
            <w:tcW w:w="3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1BE66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VGA转SDI</w:t>
            </w:r>
          </w:p>
        </w:tc>
        <w:tc>
          <w:tcPr>
            <w:tcW w:w="6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B0EE7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w:t>
            </w:r>
          </w:p>
        </w:tc>
        <w:tc>
          <w:tcPr>
            <w:tcW w:w="4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DB36E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台</w:t>
            </w:r>
          </w:p>
        </w:tc>
      </w:tr>
      <w:tr w14:paraId="028924F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95" w:hRule="atLeast"/>
        </w:trPr>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76D8C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19</w:t>
            </w:r>
          </w:p>
        </w:tc>
        <w:tc>
          <w:tcPr>
            <w:tcW w:w="13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6CEDA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万兆光模块</w:t>
            </w:r>
          </w:p>
        </w:tc>
        <w:tc>
          <w:tcPr>
            <w:tcW w:w="143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C2274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综合布线</w:t>
            </w:r>
          </w:p>
        </w:tc>
        <w:tc>
          <w:tcPr>
            <w:tcW w:w="3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0E221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光模块-SFP+-10G*4-多模模块(850nm,0.3km,LC)</w:t>
            </w:r>
          </w:p>
        </w:tc>
        <w:tc>
          <w:tcPr>
            <w:tcW w:w="6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2554B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4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5B149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块</w:t>
            </w:r>
          </w:p>
        </w:tc>
      </w:tr>
      <w:tr w14:paraId="0E80138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20" w:hRule="atLeast"/>
        </w:trPr>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B4985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20</w:t>
            </w:r>
          </w:p>
        </w:tc>
        <w:tc>
          <w:tcPr>
            <w:tcW w:w="13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F3DC9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光纤敷设</w:t>
            </w:r>
          </w:p>
        </w:tc>
        <w:tc>
          <w:tcPr>
            <w:tcW w:w="143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C75D1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综合布线</w:t>
            </w:r>
          </w:p>
        </w:tc>
        <w:tc>
          <w:tcPr>
            <w:tcW w:w="3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E8CD2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驻所检察室机房到看守所监控机房万兆光纤、及光配架等</w:t>
            </w:r>
          </w:p>
        </w:tc>
        <w:tc>
          <w:tcPr>
            <w:tcW w:w="6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8A04F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4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8528E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项</w:t>
            </w:r>
          </w:p>
        </w:tc>
      </w:tr>
      <w:tr w14:paraId="20FBC5A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60" w:hRule="atLeast"/>
        </w:trPr>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E3631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21</w:t>
            </w:r>
          </w:p>
        </w:tc>
        <w:tc>
          <w:tcPr>
            <w:tcW w:w="13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F8182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拼接大屏</w:t>
            </w:r>
          </w:p>
        </w:tc>
        <w:tc>
          <w:tcPr>
            <w:tcW w:w="143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CCE12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音视频监控设备</w:t>
            </w:r>
          </w:p>
        </w:tc>
        <w:tc>
          <w:tcPr>
            <w:tcW w:w="3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F5569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55寸采用工业级超窄边面板，拼缝:1.8mm，高亮度，屏幕内置拼接控制器，可将同源信号实现屏幕的自拼接。对比度:4500:1；分辨率:1920×1080支持DVI、HDMI、VGA等。</w:t>
            </w:r>
          </w:p>
        </w:tc>
        <w:tc>
          <w:tcPr>
            <w:tcW w:w="6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ACB76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9</w:t>
            </w:r>
          </w:p>
        </w:tc>
        <w:tc>
          <w:tcPr>
            <w:tcW w:w="4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7CD0D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块</w:t>
            </w:r>
          </w:p>
        </w:tc>
      </w:tr>
      <w:tr w14:paraId="760C184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80" w:hRule="atLeast"/>
        </w:trPr>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2A550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22</w:t>
            </w:r>
          </w:p>
        </w:tc>
        <w:tc>
          <w:tcPr>
            <w:tcW w:w="13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AD29C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拼接大屏支架</w:t>
            </w:r>
          </w:p>
        </w:tc>
        <w:tc>
          <w:tcPr>
            <w:tcW w:w="143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533B3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音视频监控设备</w:t>
            </w:r>
          </w:p>
        </w:tc>
        <w:tc>
          <w:tcPr>
            <w:tcW w:w="3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4611B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55寸拼接屏壁挂支架</w:t>
            </w:r>
          </w:p>
        </w:tc>
        <w:tc>
          <w:tcPr>
            <w:tcW w:w="6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ACA62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9</w:t>
            </w:r>
          </w:p>
        </w:tc>
        <w:tc>
          <w:tcPr>
            <w:tcW w:w="4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D3502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个</w:t>
            </w:r>
          </w:p>
        </w:tc>
      </w:tr>
      <w:tr w14:paraId="4124E2B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20" w:hRule="atLeast"/>
        </w:trPr>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A3846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23</w:t>
            </w:r>
          </w:p>
        </w:tc>
        <w:tc>
          <w:tcPr>
            <w:tcW w:w="13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9EE13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解码机框</w:t>
            </w:r>
          </w:p>
        </w:tc>
        <w:tc>
          <w:tcPr>
            <w:tcW w:w="143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D949A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音视频监控设备</w:t>
            </w:r>
          </w:p>
        </w:tc>
        <w:tc>
          <w:tcPr>
            <w:tcW w:w="3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CA596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解码器机框，2U机架式设备，内含电源，自动温控，具有一个千兆网络接口，提供8个业务扩展槽位，可以装配解码模块、控制键盘模块等</w:t>
            </w:r>
          </w:p>
        </w:tc>
        <w:tc>
          <w:tcPr>
            <w:tcW w:w="6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B2415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4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9153D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台</w:t>
            </w:r>
          </w:p>
        </w:tc>
      </w:tr>
      <w:tr w14:paraId="64E99BA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360" w:hRule="atLeast"/>
        </w:trPr>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5D36A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24</w:t>
            </w:r>
          </w:p>
        </w:tc>
        <w:tc>
          <w:tcPr>
            <w:tcW w:w="13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38E83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编解码机</w:t>
            </w:r>
          </w:p>
        </w:tc>
        <w:tc>
          <w:tcPr>
            <w:tcW w:w="143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97286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音视频监控设备</w:t>
            </w:r>
          </w:p>
        </w:tc>
        <w:tc>
          <w:tcPr>
            <w:tcW w:w="3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87097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单路高清解码模块。输出接口1×HDMI，1×VGA，1×BNC，支持最高解码分辨率为4K（3840×2160）</w:t>
            </w:r>
          </w:p>
        </w:tc>
        <w:tc>
          <w:tcPr>
            <w:tcW w:w="6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12B0B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w:t>
            </w:r>
          </w:p>
        </w:tc>
        <w:tc>
          <w:tcPr>
            <w:tcW w:w="4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12793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块</w:t>
            </w:r>
          </w:p>
        </w:tc>
      </w:tr>
      <w:tr w14:paraId="07320CC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0" w:hRule="atLeast"/>
        </w:trPr>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142DF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25</w:t>
            </w:r>
          </w:p>
        </w:tc>
        <w:tc>
          <w:tcPr>
            <w:tcW w:w="13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7BA9B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工作站</w:t>
            </w:r>
          </w:p>
        </w:tc>
        <w:tc>
          <w:tcPr>
            <w:tcW w:w="143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D096A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终端设备</w:t>
            </w:r>
          </w:p>
        </w:tc>
        <w:tc>
          <w:tcPr>
            <w:tcW w:w="3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F2300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板载单口千兆RJ45网卡，8个USB3.0，Hygon 3250，2组音频接口，</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DDR4 32G*4</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960G 2.5 6Gb R SSD</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4TB 3.5吋7.2K 6Gb SATA硬盘</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2GB 单宽 显卡</w:t>
            </w:r>
          </w:p>
        </w:tc>
        <w:tc>
          <w:tcPr>
            <w:tcW w:w="6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3BFEE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4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EBBA8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台</w:t>
            </w:r>
          </w:p>
        </w:tc>
      </w:tr>
      <w:tr w14:paraId="336A57A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B1F53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26</w:t>
            </w:r>
          </w:p>
        </w:tc>
        <w:tc>
          <w:tcPr>
            <w:tcW w:w="13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B776C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磁盘阵列</w:t>
            </w:r>
          </w:p>
        </w:tc>
        <w:tc>
          <w:tcPr>
            <w:tcW w:w="143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DCF6D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存储设备</w:t>
            </w:r>
          </w:p>
        </w:tc>
        <w:tc>
          <w:tcPr>
            <w:tcW w:w="3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5D017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sz w:val="22"/>
                <w:szCs w:val="22"/>
                <w:u w:val="none"/>
              </w:rPr>
              <w:t>应采用机架式设备，支持不少于24个硬盘槽位，配置8TB企业级磁盘，单台存储容量不少于192T。</w:t>
            </w:r>
          </w:p>
          <w:p w14:paraId="3301D3C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sz w:val="22"/>
                <w:szCs w:val="22"/>
                <w:u w:val="none"/>
              </w:rPr>
              <w:t>支持流媒体转发</w:t>
            </w:r>
          </w:p>
          <w:p w14:paraId="747CF23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sz w:val="22"/>
                <w:szCs w:val="22"/>
                <w:u w:val="none"/>
              </w:rPr>
              <w:t>视频格式支持H.264、H.265</w:t>
            </w:r>
          </w:p>
          <w:p w14:paraId="2B5A49E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sz w:val="22"/>
                <w:szCs w:val="22"/>
                <w:u w:val="none"/>
              </w:rPr>
              <w:t>应支持分辨率支持4K、1080P、720P、D1、CIF；帧率1-60fps、码率1-16Mbps</w:t>
            </w:r>
          </w:p>
          <w:p w14:paraId="0BDF374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sz w:val="22"/>
                <w:szCs w:val="22"/>
                <w:u w:val="none"/>
              </w:rPr>
              <w:t>应支持音频格式G.711a（PCMA）、AACLC（16k/48k）；码率8kbps~64kbps</w:t>
            </w:r>
          </w:p>
          <w:p w14:paraId="1CC52B3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sz w:val="22"/>
                <w:szCs w:val="22"/>
                <w:u w:val="none"/>
              </w:rPr>
              <w:t>应支持B/S架构，运行在Edge、Firefox、Chrome等主流浏览器访问</w:t>
            </w:r>
          </w:p>
          <w:p w14:paraId="655ACD8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sz w:val="22"/>
                <w:szCs w:val="22"/>
                <w:u w:val="none"/>
              </w:rPr>
              <w:t>应支持不少于1024个客户端并发访问</w:t>
            </w:r>
          </w:p>
          <w:p w14:paraId="2CBC1F2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宋体" w:hAnsi="宋体" w:eastAsia="宋体" w:cs="宋体"/>
                <w:i w:val="0"/>
                <w:iCs w:val="0"/>
                <w:color w:val="000000"/>
                <w:sz w:val="22"/>
                <w:szCs w:val="22"/>
                <w:u w:val="none"/>
              </w:rPr>
            </w:pPr>
            <w:r>
              <w:rPr>
                <w:rFonts w:hint="eastAsia" w:cs="宋体"/>
                <w:color w:val="000000"/>
                <w:kern w:val="0"/>
                <w:sz w:val="22"/>
                <w:szCs w:val="22"/>
              </w:rPr>
              <w:t>▲</w:t>
            </w:r>
            <w:r>
              <w:rPr>
                <w:rFonts w:hint="eastAsia" w:ascii="宋体" w:hAnsi="宋体" w:eastAsia="宋体" w:cs="宋体"/>
                <w:i w:val="0"/>
                <w:iCs w:val="0"/>
                <w:color w:val="000000"/>
                <w:sz w:val="22"/>
                <w:szCs w:val="22"/>
                <w:u w:val="none"/>
              </w:rPr>
              <w:t>应支持用户管理,可以对用户分配特定的存储资源池,不同用户之间的任务相互不干扰,不同用户只能使用分配给本用户的存储资源池;（需提供检验检测报告）</w:t>
            </w:r>
          </w:p>
          <w:p w14:paraId="565912C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sz w:val="22"/>
                <w:szCs w:val="22"/>
                <w:u w:val="none"/>
              </w:rPr>
              <w:t>应支持创建raid,支持创建虚拟分区，支持对外提供网络磁盘服务，网络服务协议支持ISCSI、CIFS、NFS</w:t>
            </w:r>
          </w:p>
          <w:p w14:paraId="3B2E7E9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sz w:val="22"/>
                <w:szCs w:val="22"/>
                <w:u w:val="none"/>
              </w:rPr>
              <w:t>应支持磁盘快速自动配置，支持配置备份和恢复功能</w:t>
            </w:r>
          </w:p>
          <w:p w14:paraId="18E4AAC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sz w:val="22"/>
                <w:szCs w:val="22"/>
                <w:u w:val="none"/>
              </w:rPr>
              <w:t>应支持磁盘在线修复功能</w:t>
            </w:r>
          </w:p>
          <w:p w14:paraId="1C719AF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sz w:val="22"/>
                <w:szCs w:val="22"/>
                <w:u w:val="none"/>
              </w:rPr>
              <w:t>应支持RAID0、1、5、6、10；支持热备盘、支持坏区磁盘热顶替</w:t>
            </w:r>
          </w:p>
          <w:p w14:paraId="4D674FB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sz w:val="22"/>
                <w:szCs w:val="22"/>
                <w:u w:val="none"/>
              </w:rPr>
              <w:t>应支持磁盘拔出10分钟内，插回磁盘后RAID功能快速重建</w:t>
            </w:r>
          </w:p>
          <w:p w14:paraId="702FF8E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宋体" w:hAnsi="宋体" w:eastAsia="宋体" w:cs="宋体"/>
                <w:i w:val="0"/>
                <w:iCs w:val="0"/>
                <w:color w:val="000000"/>
                <w:sz w:val="22"/>
                <w:szCs w:val="22"/>
                <w:u w:val="none"/>
              </w:rPr>
            </w:pPr>
            <w:r>
              <w:rPr>
                <w:rFonts w:hint="eastAsia" w:cs="宋体"/>
                <w:color w:val="000000"/>
                <w:kern w:val="0"/>
                <w:sz w:val="22"/>
                <w:szCs w:val="22"/>
              </w:rPr>
              <w:t>▲</w:t>
            </w:r>
            <w:r>
              <w:rPr>
                <w:rFonts w:hint="eastAsia" w:ascii="宋体" w:hAnsi="宋体" w:eastAsia="宋体" w:cs="宋体"/>
                <w:i w:val="0"/>
                <w:iCs w:val="0"/>
                <w:color w:val="000000"/>
                <w:sz w:val="22"/>
                <w:szCs w:val="22"/>
                <w:u w:val="none"/>
              </w:rPr>
              <w:t>应支持录像备份功能，可创建自动任务和手动任务，手动任务包括手动设置单次任务、定时任务、周期任务,自动任务包括报警任务或第三方系统下发任务;（需提供检验检测报告）</w:t>
            </w:r>
          </w:p>
          <w:p w14:paraId="2EF9B39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sz w:val="22"/>
                <w:szCs w:val="22"/>
                <w:u w:val="none"/>
              </w:rPr>
              <w:t>应支持配置录像规则，支持创建多个录像规则，录像规则支持按周期、时间段启动录像；支持指定特定相机录像，支持单个相机生效失效配置；支持配置录像空间，支持空间满自动覆盖。</w:t>
            </w:r>
          </w:p>
          <w:p w14:paraId="2D9F7D9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sz w:val="22"/>
                <w:szCs w:val="22"/>
                <w:u w:val="none"/>
              </w:rPr>
              <w:t>应支持按时间段、摄像机检索录像</w:t>
            </w:r>
          </w:p>
          <w:p w14:paraId="2A68C18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sz w:val="22"/>
                <w:szCs w:val="22"/>
                <w:u w:val="none"/>
              </w:rPr>
              <w:t>应支持1/8、1/4、1/2、1、2、4、8倍速回放录像，支持8倍速及以上自动切换到关键帧放像；降速后自动恢复</w:t>
            </w:r>
          </w:p>
        </w:tc>
        <w:tc>
          <w:tcPr>
            <w:tcW w:w="6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358F6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w:t>
            </w:r>
          </w:p>
        </w:tc>
        <w:tc>
          <w:tcPr>
            <w:tcW w:w="4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44338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台</w:t>
            </w:r>
          </w:p>
        </w:tc>
      </w:tr>
      <w:tr w14:paraId="22F04A9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61" w:hRule="atLeast"/>
        </w:trPr>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830E4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27</w:t>
            </w:r>
          </w:p>
        </w:tc>
        <w:tc>
          <w:tcPr>
            <w:tcW w:w="13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1B1FD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音视频管理服务平台</w:t>
            </w:r>
          </w:p>
        </w:tc>
        <w:tc>
          <w:tcPr>
            <w:tcW w:w="143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B160B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音视频监控设备</w:t>
            </w:r>
          </w:p>
        </w:tc>
        <w:tc>
          <w:tcPr>
            <w:tcW w:w="3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858B8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sz w:val="22"/>
                <w:szCs w:val="22"/>
                <w:u w:val="none"/>
              </w:rPr>
              <w:t>支持国产化操作系统访问</w:t>
            </w:r>
          </w:p>
          <w:p w14:paraId="0E9AE64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sz w:val="22"/>
                <w:szCs w:val="22"/>
                <w:u w:val="none"/>
              </w:rPr>
              <w:t>采用 C/S 和 B/S 架构设计，可通过Firefox、Chrome、Edge等浏览器进行配置;</w:t>
            </w:r>
          </w:p>
          <w:p w14:paraId="127FDB0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sz w:val="22"/>
                <w:szCs w:val="22"/>
                <w:u w:val="none"/>
              </w:rPr>
              <w:t>支持64台堆叠扩展</w:t>
            </w:r>
          </w:p>
          <w:p w14:paraId="51781CC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sz w:val="22"/>
                <w:szCs w:val="22"/>
                <w:u w:val="none"/>
              </w:rPr>
              <w:t>最大支持1024个客户端并发访问</w:t>
            </w:r>
          </w:p>
          <w:p w14:paraId="1D9C98D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sz w:val="22"/>
                <w:szCs w:val="22"/>
                <w:u w:val="none"/>
              </w:rPr>
              <w:t>支持 H.264、H.265 等编码格式</w:t>
            </w:r>
          </w:p>
          <w:p w14:paraId="4B7A8E9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sz w:val="22"/>
                <w:szCs w:val="22"/>
                <w:u w:val="none"/>
              </w:rPr>
              <w:t>图像分辨率支持4K、2K、1080P、960P、720P、D1等主流分辨率</w:t>
            </w:r>
          </w:p>
          <w:p w14:paraId="309C5CD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sz w:val="22"/>
                <w:szCs w:val="22"/>
                <w:u w:val="none"/>
              </w:rPr>
              <w:t>互联协议支持GB/T 28181、ONVIF、WebRTC</w:t>
            </w:r>
          </w:p>
          <w:p w14:paraId="0219340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sz w:val="22"/>
                <w:szCs w:val="22"/>
                <w:u w:val="none"/>
              </w:rPr>
              <w:t>网络协议支持TCP/IP、UDP、RTP/RTCP/RTSP、SNTP、HTTP/HTTPS</w:t>
            </w:r>
          </w:p>
          <w:p w14:paraId="76E48CD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sz w:val="22"/>
                <w:szCs w:val="22"/>
                <w:u w:val="none"/>
              </w:rPr>
              <w:t>支持多网段接入、NAT穿越</w:t>
            </w:r>
          </w:p>
          <w:p w14:paraId="223A57E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sz w:val="22"/>
                <w:szCs w:val="22"/>
                <w:u w:val="none"/>
              </w:rPr>
              <w:t>支持软硬件一体化部署，也支持部署在通用服务器上;</w:t>
            </w:r>
          </w:p>
          <w:p w14:paraId="4067866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sz w:val="22"/>
                <w:szCs w:val="22"/>
                <w:u w:val="none"/>
              </w:rPr>
              <w:t>支持WebRTC、GB/T 28181、ONVIF、RTSP等多种标准协议接入或接出</w:t>
            </w:r>
          </w:p>
          <w:p w14:paraId="5DBE166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sz w:val="22"/>
                <w:szCs w:val="22"/>
                <w:u w:val="none"/>
              </w:rPr>
              <w:t>支持多种类型的视图配置，可实现对系统视图、共享视图、自定义视图的配置功能。</w:t>
            </w:r>
          </w:p>
          <w:p w14:paraId="72248BE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sz w:val="22"/>
                <w:szCs w:val="22"/>
                <w:u w:val="none"/>
              </w:rPr>
              <w:t>支持按照日历方式查询录像，日历表能明确显示有无录像的日期和时间段;</w:t>
            </w:r>
          </w:p>
          <w:p w14:paraId="0939D65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sz w:val="22"/>
                <w:szCs w:val="22"/>
                <w:u w:val="none"/>
              </w:rPr>
              <w:t>支持1、4、9、16、36、64等画面风格播放录像，支持单画面、多画面全屏播放;</w:t>
            </w:r>
          </w:p>
          <w:p w14:paraId="42382C7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sz w:val="22"/>
                <w:szCs w:val="22"/>
                <w:u w:val="none"/>
              </w:rPr>
              <w:t>支持电视墙设置，支持创建、删除电视墙，电视墙显示风格与实际电视墙保持一致;</w:t>
            </w:r>
          </w:p>
          <w:p w14:paraId="746CA8D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sz w:val="22"/>
                <w:szCs w:val="22"/>
                <w:u w:val="none"/>
              </w:rPr>
              <w:t>支持在电视墙操作界面预览视频。</w:t>
            </w:r>
          </w:p>
          <w:p w14:paraId="7E015D5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sz w:val="22"/>
                <w:szCs w:val="22"/>
                <w:u w:val="none"/>
              </w:rPr>
              <w:t>支持JPG、SVG地图类型，支持百度等在线地图类型，支持对地图进行添加、删除、编辑等操作;</w:t>
            </w:r>
          </w:p>
          <w:p w14:paraId="5DFD03F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sz w:val="22"/>
                <w:szCs w:val="22"/>
                <w:u w:val="none"/>
              </w:rPr>
              <w:t>支持设备树多视图展示，支持本地收藏夹，支持模糊查询，视图数不少于256个</w:t>
            </w:r>
          </w:p>
          <w:p w14:paraId="6CE9E2A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sz w:val="22"/>
                <w:szCs w:val="22"/>
                <w:u w:val="none"/>
              </w:rPr>
              <w:t>支持图元的分类显示或者隐藏，支持图元分类不少于128个</w:t>
            </w:r>
          </w:p>
          <w:p w14:paraId="17C132C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sz w:val="22"/>
                <w:szCs w:val="22"/>
                <w:u w:val="none"/>
              </w:rPr>
              <w:t>系统后台报警联动：联动视频上墙、PTZ控制、消息通知等</w:t>
            </w:r>
          </w:p>
          <w:p w14:paraId="31F302E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sz w:val="22"/>
                <w:szCs w:val="22"/>
                <w:u w:val="none"/>
              </w:rPr>
              <w:t>▲实时浏览和录像播放的整体延迟小于500毫秒（需提供检验检测报告）</w:t>
            </w:r>
          </w:p>
          <w:p w14:paraId="4B32266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sz w:val="22"/>
                <w:szCs w:val="22"/>
                <w:u w:val="none"/>
              </w:rPr>
              <w:t>支持时间轴方式回放录像，滚轮方式显示时间轴，时间轴颜色标记有无录像的时间段，时间轴精度可调，最小刻度1秒。</w:t>
            </w:r>
          </w:p>
          <w:p w14:paraId="1284710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sz w:val="22"/>
                <w:szCs w:val="22"/>
                <w:u w:val="none"/>
              </w:rPr>
              <w:t>支持查看系统运行状态，包括系统名称、系统编号、系统版本、授权期限、运行时间以及运行的服务列表;</w:t>
            </w:r>
          </w:p>
          <w:p w14:paraId="1B2FD65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sz w:val="22"/>
                <w:szCs w:val="22"/>
                <w:u w:val="none"/>
              </w:rPr>
              <w:t>▲支持查看任意客户端浏览视频、回放录像的详细信息，包括:目的地接收的协议、IP、端口;转发服务器发送的协议、IP、端口，转发服务器接收的协议IP、端口;视频来源的平台、相机名称、相机 ID，请求状态、码流创建时间（需提供检验检测报告）</w:t>
            </w:r>
          </w:p>
        </w:tc>
        <w:tc>
          <w:tcPr>
            <w:tcW w:w="6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0454F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4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76006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台</w:t>
            </w:r>
          </w:p>
        </w:tc>
      </w:tr>
      <w:tr w14:paraId="752B29A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35" w:hRule="atLeast"/>
        </w:trPr>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97ADA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28</w:t>
            </w:r>
          </w:p>
        </w:tc>
        <w:tc>
          <w:tcPr>
            <w:tcW w:w="13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6EB80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流媒体模块</w:t>
            </w:r>
          </w:p>
        </w:tc>
        <w:tc>
          <w:tcPr>
            <w:tcW w:w="143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A9946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音视频监控设备</w:t>
            </w:r>
          </w:p>
        </w:tc>
        <w:tc>
          <w:tcPr>
            <w:tcW w:w="3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1B910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支持视频转分发，单模块支持256路转发。</w:t>
            </w:r>
          </w:p>
        </w:tc>
        <w:tc>
          <w:tcPr>
            <w:tcW w:w="6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89A2F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4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038BF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套</w:t>
            </w:r>
          </w:p>
        </w:tc>
      </w:tr>
      <w:tr w14:paraId="7822648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75" w:hRule="atLeast"/>
        </w:trPr>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FA288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29</w:t>
            </w:r>
          </w:p>
        </w:tc>
        <w:tc>
          <w:tcPr>
            <w:tcW w:w="13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887B6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录像模块</w:t>
            </w:r>
          </w:p>
        </w:tc>
        <w:tc>
          <w:tcPr>
            <w:tcW w:w="143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40B22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音视频监控设备</w:t>
            </w:r>
          </w:p>
        </w:tc>
        <w:tc>
          <w:tcPr>
            <w:tcW w:w="3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98FDA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支持录像的集中存储，单模块支持128路录像。</w:t>
            </w:r>
          </w:p>
        </w:tc>
        <w:tc>
          <w:tcPr>
            <w:tcW w:w="6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AF0E0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4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5972B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套</w:t>
            </w:r>
          </w:p>
        </w:tc>
      </w:tr>
      <w:tr w14:paraId="5C5FE91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35" w:hRule="atLeast"/>
        </w:trPr>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0CF4E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30</w:t>
            </w:r>
          </w:p>
        </w:tc>
        <w:tc>
          <w:tcPr>
            <w:tcW w:w="13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6D7FF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音视频存储系统模块</w:t>
            </w:r>
          </w:p>
        </w:tc>
        <w:tc>
          <w:tcPr>
            <w:tcW w:w="143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A94B2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音视频监控设备</w:t>
            </w:r>
          </w:p>
        </w:tc>
        <w:tc>
          <w:tcPr>
            <w:tcW w:w="3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3362D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音视频存储系统模块</w:t>
            </w:r>
          </w:p>
        </w:tc>
        <w:tc>
          <w:tcPr>
            <w:tcW w:w="6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E311C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4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297E5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套</w:t>
            </w:r>
          </w:p>
        </w:tc>
      </w:tr>
      <w:tr w14:paraId="0A9AEA3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40" w:hRule="atLeast"/>
        </w:trPr>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9132A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31</w:t>
            </w:r>
          </w:p>
        </w:tc>
        <w:tc>
          <w:tcPr>
            <w:tcW w:w="13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8C660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接入网关</w:t>
            </w:r>
          </w:p>
        </w:tc>
        <w:tc>
          <w:tcPr>
            <w:tcW w:w="143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92F25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音视频监控设备</w:t>
            </w:r>
          </w:p>
        </w:tc>
        <w:tc>
          <w:tcPr>
            <w:tcW w:w="3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A690C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模块化设计，冗余电源可选配（标配单电源），支持RAID0/1/5/6/10，可接128个IPCam,16×SATA接口,2×告警输入输出,2×RS485,4×USB,1×双向音频，1×VGA,2×HDMI（主HDMI支持4K×2K）,同时支持三路视频输出。编解码标准H.264，分辨率8MP/6MP/5MP/3MP/1080p/720P/D1/CIF/QCIF。</w:t>
            </w:r>
          </w:p>
        </w:tc>
        <w:tc>
          <w:tcPr>
            <w:tcW w:w="6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41B2B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w:t>
            </w:r>
          </w:p>
        </w:tc>
        <w:tc>
          <w:tcPr>
            <w:tcW w:w="4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9EF28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台</w:t>
            </w:r>
          </w:p>
        </w:tc>
      </w:tr>
      <w:tr w14:paraId="75C4379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20" w:hRule="atLeast"/>
        </w:trPr>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9EB4A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32</w:t>
            </w:r>
          </w:p>
        </w:tc>
        <w:tc>
          <w:tcPr>
            <w:tcW w:w="13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C9BAE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调音台</w:t>
            </w:r>
          </w:p>
        </w:tc>
        <w:tc>
          <w:tcPr>
            <w:tcW w:w="143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E5CBA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音视频监控设备</w:t>
            </w:r>
          </w:p>
        </w:tc>
        <w:tc>
          <w:tcPr>
            <w:tcW w:w="3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CFD97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通道之间串音: 通道哑音, &gt;96dB; 推子位置(标记+0) &gt;96dB</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辅助发送端口：&gt;86dB</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输入和输出阻抗：话筒输入：2.4KΩ</w:t>
            </w:r>
          </w:p>
        </w:tc>
        <w:tc>
          <w:tcPr>
            <w:tcW w:w="6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94190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4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469BF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台</w:t>
            </w:r>
          </w:p>
        </w:tc>
      </w:tr>
      <w:tr w14:paraId="49951BB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15" w:hRule="atLeast"/>
        </w:trPr>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1D429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33</w:t>
            </w:r>
          </w:p>
        </w:tc>
        <w:tc>
          <w:tcPr>
            <w:tcW w:w="13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4455B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功放</w:t>
            </w:r>
          </w:p>
        </w:tc>
        <w:tc>
          <w:tcPr>
            <w:tcW w:w="143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6A178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音视频监控设备</w:t>
            </w:r>
          </w:p>
        </w:tc>
        <w:tc>
          <w:tcPr>
            <w:tcW w:w="3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6B46F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最大输出功率8Ω：150W×2</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最大输出功率4Ω：280W×2</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输入阻抗：20KΩ-10KΩ</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频响：10Hz-40KHz</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谐波失真：≤0.05%</w:t>
            </w:r>
          </w:p>
        </w:tc>
        <w:tc>
          <w:tcPr>
            <w:tcW w:w="6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AD593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4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97598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台</w:t>
            </w:r>
          </w:p>
        </w:tc>
      </w:tr>
      <w:tr w14:paraId="45D65DC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15" w:hRule="atLeast"/>
        </w:trPr>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2C95B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34</w:t>
            </w:r>
          </w:p>
        </w:tc>
        <w:tc>
          <w:tcPr>
            <w:tcW w:w="13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B58C4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音响音箱</w:t>
            </w:r>
          </w:p>
        </w:tc>
        <w:tc>
          <w:tcPr>
            <w:tcW w:w="143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EC245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音视频监控设备</w:t>
            </w:r>
          </w:p>
        </w:tc>
        <w:tc>
          <w:tcPr>
            <w:tcW w:w="3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5BF47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额定功率(W) 15W/30W</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阻抗 8Ω</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频率响应(HZ) 80Hz-13KHz</w:t>
            </w:r>
          </w:p>
        </w:tc>
        <w:tc>
          <w:tcPr>
            <w:tcW w:w="6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3E041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4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2345A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台</w:t>
            </w:r>
          </w:p>
        </w:tc>
      </w:tr>
      <w:tr w14:paraId="14B6F22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0" w:hRule="atLeast"/>
        </w:trPr>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9AEDA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35</w:t>
            </w:r>
          </w:p>
        </w:tc>
        <w:tc>
          <w:tcPr>
            <w:tcW w:w="13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B42F3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均衡器</w:t>
            </w:r>
          </w:p>
        </w:tc>
        <w:tc>
          <w:tcPr>
            <w:tcW w:w="143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8104B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音视频监控设备</w:t>
            </w:r>
          </w:p>
        </w:tc>
        <w:tc>
          <w:tcPr>
            <w:tcW w:w="3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C0C28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每个通道上有24个滤波器，并配有</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可选择的预设模式动态滤波器，滤波器以1/80到1/5倍频程的频宽扫描反鐀频率</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滤波器宽可达1/80倍频程</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各通道都配有24个可编程的滤波器</w:t>
            </w:r>
          </w:p>
        </w:tc>
        <w:tc>
          <w:tcPr>
            <w:tcW w:w="6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48424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4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9E993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台</w:t>
            </w:r>
          </w:p>
        </w:tc>
      </w:tr>
      <w:tr w14:paraId="6860434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15" w:hRule="atLeast"/>
        </w:trPr>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6A2E8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36</w:t>
            </w:r>
          </w:p>
        </w:tc>
        <w:tc>
          <w:tcPr>
            <w:tcW w:w="13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8DE3F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机柜</w:t>
            </w:r>
          </w:p>
        </w:tc>
        <w:tc>
          <w:tcPr>
            <w:tcW w:w="143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9A413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机房建设</w:t>
            </w:r>
          </w:p>
        </w:tc>
        <w:tc>
          <w:tcPr>
            <w:tcW w:w="3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66822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2M 钢制 微孔600*600*2000</w:t>
            </w:r>
          </w:p>
        </w:tc>
        <w:tc>
          <w:tcPr>
            <w:tcW w:w="6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377F3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4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F60F9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台</w:t>
            </w:r>
          </w:p>
        </w:tc>
      </w:tr>
      <w:tr w14:paraId="269ED1F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80" w:hRule="atLeast"/>
        </w:trPr>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4E5A1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37</w:t>
            </w:r>
          </w:p>
        </w:tc>
        <w:tc>
          <w:tcPr>
            <w:tcW w:w="13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CA59A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操作台</w:t>
            </w:r>
          </w:p>
        </w:tc>
        <w:tc>
          <w:tcPr>
            <w:tcW w:w="143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B71A4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机房建设</w:t>
            </w:r>
          </w:p>
        </w:tc>
        <w:tc>
          <w:tcPr>
            <w:tcW w:w="3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12312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定制3工位</w:t>
            </w:r>
          </w:p>
        </w:tc>
        <w:tc>
          <w:tcPr>
            <w:tcW w:w="6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B0886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4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6E0EA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台</w:t>
            </w:r>
          </w:p>
        </w:tc>
      </w:tr>
      <w:tr w14:paraId="7F0A756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0" w:hRule="atLeast"/>
        </w:trPr>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0CC8D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38</w:t>
            </w:r>
          </w:p>
        </w:tc>
        <w:tc>
          <w:tcPr>
            <w:tcW w:w="13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F6F52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交换机</w:t>
            </w:r>
          </w:p>
        </w:tc>
        <w:tc>
          <w:tcPr>
            <w:tcW w:w="143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92724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网络设备</w:t>
            </w:r>
          </w:p>
        </w:tc>
        <w:tc>
          <w:tcPr>
            <w:tcW w:w="3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AE7B1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48个10/100/1000Base-T以太网端口，4个万兆SFP+，支持1+1电源备份，包转发率：462Mpps，交换容量：1.28/12.8Tbps</w:t>
            </w:r>
          </w:p>
        </w:tc>
        <w:tc>
          <w:tcPr>
            <w:tcW w:w="6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F3D81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4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CC7F5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台</w:t>
            </w:r>
          </w:p>
        </w:tc>
      </w:tr>
      <w:tr w14:paraId="34FA4D7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680" w:hRule="atLeast"/>
        </w:trPr>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4888C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39</w:t>
            </w:r>
          </w:p>
        </w:tc>
        <w:tc>
          <w:tcPr>
            <w:tcW w:w="13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BEA7F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交换机</w:t>
            </w:r>
          </w:p>
        </w:tc>
        <w:tc>
          <w:tcPr>
            <w:tcW w:w="143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472EC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网络设备</w:t>
            </w:r>
          </w:p>
        </w:tc>
        <w:tc>
          <w:tcPr>
            <w:tcW w:w="3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A9BC2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48个10/100/1000Base-T以太网端口，4个万兆SFP+，支持1+1电源备份，包转发率：462Mpps，交换容量：1.28/12.8Tbps</w:t>
            </w:r>
          </w:p>
        </w:tc>
        <w:tc>
          <w:tcPr>
            <w:tcW w:w="6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108B7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4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17CD5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台</w:t>
            </w:r>
          </w:p>
        </w:tc>
      </w:tr>
      <w:tr w14:paraId="32A9BC0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20" w:hRule="atLeast"/>
        </w:trPr>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DD86A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40</w:t>
            </w:r>
          </w:p>
        </w:tc>
        <w:tc>
          <w:tcPr>
            <w:tcW w:w="13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EBB7B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路由器</w:t>
            </w:r>
          </w:p>
        </w:tc>
        <w:tc>
          <w:tcPr>
            <w:tcW w:w="143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41826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网络设备</w:t>
            </w:r>
          </w:p>
        </w:tc>
        <w:tc>
          <w:tcPr>
            <w:tcW w:w="3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756B5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转发性能最大支持25Mpps，支持4×GE+4GE光+2×GE Combo</w:t>
            </w:r>
          </w:p>
        </w:tc>
        <w:tc>
          <w:tcPr>
            <w:tcW w:w="616" w:type="dxa"/>
            <w:tcBorders>
              <w:top w:val="nil"/>
              <w:left w:val="nil"/>
              <w:bottom w:val="nil"/>
              <w:right w:val="nil"/>
            </w:tcBorders>
            <w:shd w:val="clear" w:color="auto" w:fill="auto"/>
            <w:noWrap/>
            <w:vAlign w:val="center"/>
          </w:tcPr>
          <w:p w14:paraId="613DB54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4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66213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台</w:t>
            </w:r>
          </w:p>
        </w:tc>
      </w:tr>
      <w:tr w14:paraId="2A4C24E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360" w:hRule="atLeast"/>
        </w:trPr>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99816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41</w:t>
            </w:r>
          </w:p>
        </w:tc>
        <w:tc>
          <w:tcPr>
            <w:tcW w:w="13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36EED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门禁系统</w:t>
            </w:r>
          </w:p>
        </w:tc>
        <w:tc>
          <w:tcPr>
            <w:tcW w:w="143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5680D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机房建设</w:t>
            </w:r>
          </w:p>
        </w:tc>
        <w:tc>
          <w:tcPr>
            <w:tcW w:w="3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3C008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甲级双开钢制防火门,1500*2200；耐火时间≥2H，含闭门器、顺位器、防火门锁等五金配件</w:t>
            </w:r>
          </w:p>
        </w:tc>
        <w:tc>
          <w:tcPr>
            <w:tcW w:w="616" w:type="dxa"/>
            <w:tcBorders>
              <w:top w:val="nil"/>
              <w:left w:val="nil"/>
              <w:bottom w:val="nil"/>
              <w:right w:val="nil"/>
            </w:tcBorders>
            <w:shd w:val="clear" w:color="auto" w:fill="auto"/>
            <w:noWrap/>
            <w:vAlign w:val="center"/>
          </w:tcPr>
          <w:p w14:paraId="441FB75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4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FC9F8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套</w:t>
            </w:r>
          </w:p>
        </w:tc>
      </w:tr>
      <w:tr w14:paraId="79B045D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80" w:hRule="atLeast"/>
        </w:trPr>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48778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42</w:t>
            </w:r>
          </w:p>
        </w:tc>
        <w:tc>
          <w:tcPr>
            <w:tcW w:w="13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AF65C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防静电地板</w:t>
            </w:r>
          </w:p>
        </w:tc>
        <w:tc>
          <w:tcPr>
            <w:tcW w:w="143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05FB0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机房建设</w:t>
            </w:r>
          </w:p>
        </w:tc>
        <w:tc>
          <w:tcPr>
            <w:tcW w:w="3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F91A7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600*600*35，含地板支脚</w:t>
            </w:r>
          </w:p>
        </w:tc>
        <w:tc>
          <w:tcPr>
            <w:tcW w:w="6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6FF04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26</w:t>
            </w:r>
          </w:p>
        </w:tc>
        <w:tc>
          <w:tcPr>
            <w:tcW w:w="4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9DF8D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平方</w:t>
            </w:r>
          </w:p>
        </w:tc>
      </w:tr>
      <w:tr w14:paraId="5805E0C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76E7E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43</w:t>
            </w:r>
          </w:p>
        </w:tc>
        <w:tc>
          <w:tcPr>
            <w:tcW w:w="13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F4C5F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铝质金属微孔天花板</w:t>
            </w:r>
          </w:p>
        </w:tc>
        <w:tc>
          <w:tcPr>
            <w:tcW w:w="143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A627D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机房建设</w:t>
            </w:r>
          </w:p>
        </w:tc>
        <w:tc>
          <w:tcPr>
            <w:tcW w:w="3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7A47D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铝质金属微孔天花安装，600*600*0.8，含龙骨、吊杆</w:t>
            </w:r>
          </w:p>
        </w:tc>
        <w:tc>
          <w:tcPr>
            <w:tcW w:w="6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DF992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26</w:t>
            </w:r>
          </w:p>
        </w:tc>
        <w:tc>
          <w:tcPr>
            <w:tcW w:w="4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CEBD7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平方</w:t>
            </w:r>
          </w:p>
        </w:tc>
      </w:tr>
      <w:tr w14:paraId="4718E60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61" w:hRule="atLeast"/>
        </w:trPr>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4F904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44</w:t>
            </w:r>
          </w:p>
        </w:tc>
        <w:tc>
          <w:tcPr>
            <w:tcW w:w="13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CE2B2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墙面装饰板</w:t>
            </w:r>
          </w:p>
        </w:tc>
        <w:tc>
          <w:tcPr>
            <w:tcW w:w="143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10E22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机房建设</w:t>
            </w:r>
          </w:p>
        </w:tc>
        <w:tc>
          <w:tcPr>
            <w:tcW w:w="3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48422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墙面装饰板，彩钢板，12mm厚</w:t>
            </w:r>
          </w:p>
        </w:tc>
        <w:tc>
          <w:tcPr>
            <w:tcW w:w="6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AD7EE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61</w:t>
            </w:r>
          </w:p>
        </w:tc>
        <w:tc>
          <w:tcPr>
            <w:tcW w:w="4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8C85E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平方</w:t>
            </w:r>
          </w:p>
        </w:tc>
      </w:tr>
      <w:tr w14:paraId="4DE0D04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29" w:hRule="atLeast"/>
        </w:trPr>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6CC16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45</w:t>
            </w:r>
          </w:p>
        </w:tc>
        <w:tc>
          <w:tcPr>
            <w:tcW w:w="13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FA4DE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LED格栅灯</w:t>
            </w:r>
          </w:p>
        </w:tc>
        <w:tc>
          <w:tcPr>
            <w:tcW w:w="143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9E2DF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机房建设</w:t>
            </w:r>
          </w:p>
        </w:tc>
        <w:tc>
          <w:tcPr>
            <w:tcW w:w="3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172E8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LED格栅灯，600*600，35W</w:t>
            </w:r>
          </w:p>
        </w:tc>
        <w:tc>
          <w:tcPr>
            <w:tcW w:w="6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D81BD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w:t>
            </w:r>
          </w:p>
        </w:tc>
        <w:tc>
          <w:tcPr>
            <w:tcW w:w="4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268E9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套</w:t>
            </w:r>
          </w:p>
        </w:tc>
      </w:tr>
      <w:tr w14:paraId="38BAE3D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62" w:hRule="atLeast"/>
        </w:trPr>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40FD8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46</w:t>
            </w:r>
          </w:p>
        </w:tc>
        <w:tc>
          <w:tcPr>
            <w:tcW w:w="13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ADEFC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地面防尘</w:t>
            </w:r>
          </w:p>
        </w:tc>
        <w:tc>
          <w:tcPr>
            <w:tcW w:w="143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8FBCF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机房建设</w:t>
            </w:r>
          </w:p>
        </w:tc>
        <w:tc>
          <w:tcPr>
            <w:tcW w:w="3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6129D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防尘漆粉刷3遍</w:t>
            </w:r>
          </w:p>
        </w:tc>
        <w:tc>
          <w:tcPr>
            <w:tcW w:w="6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13495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26</w:t>
            </w:r>
          </w:p>
        </w:tc>
        <w:tc>
          <w:tcPr>
            <w:tcW w:w="4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E8101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平方</w:t>
            </w:r>
          </w:p>
        </w:tc>
      </w:tr>
      <w:tr w14:paraId="7A6F6D1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39" w:hRule="atLeast"/>
        </w:trPr>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71E1D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47</w:t>
            </w:r>
          </w:p>
        </w:tc>
        <w:tc>
          <w:tcPr>
            <w:tcW w:w="13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75BF4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防火门</w:t>
            </w:r>
          </w:p>
        </w:tc>
        <w:tc>
          <w:tcPr>
            <w:tcW w:w="143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E1E27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机房建设</w:t>
            </w:r>
          </w:p>
        </w:tc>
        <w:tc>
          <w:tcPr>
            <w:tcW w:w="3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43FA2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900*2200；耐火时间≥2H，含闭门器、顺位器、防火门锁等五金配件</w:t>
            </w:r>
          </w:p>
        </w:tc>
        <w:tc>
          <w:tcPr>
            <w:tcW w:w="6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2B383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4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A1AF0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套</w:t>
            </w:r>
          </w:p>
        </w:tc>
      </w:tr>
      <w:tr w14:paraId="775CE3B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60" w:hRule="atLeast"/>
        </w:trPr>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33CCB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48</w:t>
            </w:r>
          </w:p>
        </w:tc>
        <w:tc>
          <w:tcPr>
            <w:tcW w:w="13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0588A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防静电地板</w:t>
            </w:r>
          </w:p>
        </w:tc>
        <w:tc>
          <w:tcPr>
            <w:tcW w:w="143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4C23D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机房建设</w:t>
            </w:r>
          </w:p>
        </w:tc>
        <w:tc>
          <w:tcPr>
            <w:tcW w:w="3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1CEB4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600*600*35，含地板支脚</w:t>
            </w:r>
          </w:p>
        </w:tc>
        <w:tc>
          <w:tcPr>
            <w:tcW w:w="6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B7A21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21</w:t>
            </w:r>
          </w:p>
        </w:tc>
        <w:tc>
          <w:tcPr>
            <w:tcW w:w="4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EC5A8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平方</w:t>
            </w:r>
          </w:p>
        </w:tc>
      </w:tr>
      <w:tr w14:paraId="0DAA69E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190" w:hRule="atLeast"/>
        </w:trPr>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3FC53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49</w:t>
            </w:r>
          </w:p>
        </w:tc>
        <w:tc>
          <w:tcPr>
            <w:tcW w:w="1339" w:type="dxa"/>
            <w:tcBorders>
              <w:top w:val="single" w:color="000000" w:sz="4" w:space="0"/>
              <w:left w:val="single" w:color="000000" w:sz="4" w:space="0"/>
              <w:bottom w:val="nil"/>
              <w:right w:val="single" w:color="000000" w:sz="4" w:space="0"/>
            </w:tcBorders>
            <w:shd w:val="clear" w:color="auto" w:fill="auto"/>
            <w:vAlign w:val="center"/>
          </w:tcPr>
          <w:p w14:paraId="6C11099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UPS 主机</w:t>
            </w:r>
          </w:p>
        </w:tc>
        <w:tc>
          <w:tcPr>
            <w:tcW w:w="1437" w:type="dxa"/>
            <w:tcBorders>
              <w:top w:val="single" w:color="000000" w:sz="4" w:space="0"/>
              <w:left w:val="single" w:color="000000" w:sz="4" w:space="0"/>
              <w:bottom w:val="nil"/>
              <w:right w:val="single" w:color="000000" w:sz="4" w:space="0"/>
            </w:tcBorders>
            <w:shd w:val="clear" w:color="auto" w:fill="auto"/>
            <w:vAlign w:val="center"/>
          </w:tcPr>
          <w:p w14:paraId="197DE8A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动力设备</w:t>
            </w:r>
          </w:p>
        </w:tc>
        <w:tc>
          <w:tcPr>
            <w:tcW w:w="3833" w:type="dxa"/>
            <w:tcBorders>
              <w:top w:val="single" w:color="000000" w:sz="4" w:space="0"/>
              <w:left w:val="single" w:color="000000" w:sz="4" w:space="0"/>
              <w:bottom w:val="nil"/>
              <w:right w:val="single" w:color="000000" w:sz="4" w:space="0"/>
            </w:tcBorders>
            <w:shd w:val="clear" w:color="auto" w:fill="auto"/>
            <w:vAlign w:val="center"/>
          </w:tcPr>
          <w:p w14:paraId="46F8138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 塔式UPS产品；UPS主机容量30kVA。</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3.  UPS主机尺寸应满足：宽度≤280mm，深度≤800mm，高度≤715mm</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4.宽输入电压范围：输入线电压：380V ，输入电压宽，适应恶劣电网环境；要求提供设备样本证明材料。</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5.电池直流电压输入范围可调：单体12V电池支持±15～±25节（即±180V～±3000V连续可调），现场配置灵活，要求提供设备样本证明材料。</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6.UPS逆变器具备较强过载能力：125%负载维持10分钟，以保障IT负载高负荷运行的可靠性，要求提供检验报告。</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7. 应采用节能高效UPS技术，整机最高效率应＞92%，输出PF=1，输出端可带更多负载；要求提供检验报告。"</w:t>
            </w:r>
          </w:p>
        </w:tc>
        <w:tc>
          <w:tcPr>
            <w:tcW w:w="616" w:type="dxa"/>
            <w:tcBorders>
              <w:top w:val="single" w:color="000000" w:sz="4" w:space="0"/>
              <w:left w:val="single" w:color="000000" w:sz="4" w:space="0"/>
              <w:bottom w:val="nil"/>
              <w:right w:val="single" w:color="000000" w:sz="4" w:space="0"/>
            </w:tcBorders>
            <w:shd w:val="clear" w:color="auto" w:fill="auto"/>
            <w:vAlign w:val="center"/>
          </w:tcPr>
          <w:p w14:paraId="7F654E1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416" w:type="dxa"/>
            <w:tcBorders>
              <w:top w:val="single" w:color="000000" w:sz="4" w:space="0"/>
              <w:left w:val="single" w:color="000000" w:sz="4" w:space="0"/>
              <w:bottom w:val="nil"/>
              <w:right w:val="single" w:color="000000" w:sz="4" w:space="0"/>
            </w:tcBorders>
            <w:shd w:val="clear" w:color="auto" w:fill="auto"/>
            <w:vAlign w:val="center"/>
          </w:tcPr>
          <w:p w14:paraId="6A6D29C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套</w:t>
            </w:r>
          </w:p>
        </w:tc>
      </w:tr>
      <w:tr w14:paraId="63A3CE2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80" w:hRule="atLeast"/>
        </w:trPr>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847D7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50</w:t>
            </w:r>
          </w:p>
        </w:tc>
        <w:tc>
          <w:tcPr>
            <w:tcW w:w="13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7AB45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UPS电池</w:t>
            </w:r>
          </w:p>
        </w:tc>
        <w:tc>
          <w:tcPr>
            <w:tcW w:w="143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6D5E3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动力设备</w:t>
            </w:r>
          </w:p>
        </w:tc>
        <w:tc>
          <w:tcPr>
            <w:tcW w:w="3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BB2EA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12V150AH</w:t>
            </w:r>
          </w:p>
        </w:tc>
        <w:tc>
          <w:tcPr>
            <w:tcW w:w="6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C7B3A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64</w:t>
            </w:r>
          </w:p>
        </w:tc>
        <w:tc>
          <w:tcPr>
            <w:tcW w:w="4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7BB6D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块</w:t>
            </w:r>
          </w:p>
        </w:tc>
      </w:tr>
      <w:tr w14:paraId="34E37DC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80" w:hRule="atLeast"/>
        </w:trPr>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D9A15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51</w:t>
            </w:r>
          </w:p>
        </w:tc>
        <w:tc>
          <w:tcPr>
            <w:tcW w:w="13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9945A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UPS电池柜</w:t>
            </w:r>
          </w:p>
        </w:tc>
        <w:tc>
          <w:tcPr>
            <w:tcW w:w="143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E55CA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动力设备</w:t>
            </w:r>
          </w:p>
        </w:tc>
        <w:tc>
          <w:tcPr>
            <w:tcW w:w="3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65083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含开关、连接线</w:t>
            </w:r>
          </w:p>
        </w:tc>
        <w:tc>
          <w:tcPr>
            <w:tcW w:w="6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85B05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4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6D8DF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套</w:t>
            </w:r>
          </w:p>
        </w:tc>
      </w:tr>
      <w:tr w14:paraId="7175109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380" w:hRule="atLeast"/>
        </w:trPr>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07823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52</w:t>
            </w:r>
          </w:p>
        </w:tc>
        <w:tc>
          <w:tcPr>
            <w:tcW w:w="13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01E98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UPS配电柜</w:t>
            </w:r>
          </w:p>
        </w:tc>
        <w:tc>
          <w:tcPr>
            <w:tcW w:w="143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AF312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动力设备</w:t>
            </w:r>
          </w:p>
        </w:tc>
        <w:tc>
          <w:tcPr>
            <w:tcW w:w="3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4FE48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1.市电总输入：160A/3P</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2.UPS控制：UPS输入100A/3P,UPS输出100A/3P，UPS维修旁路100A/4P</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3.市电分配：4个32A/1P分配</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4.UPS分配:4个32A/1P分配</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5.空调分配：1个80A，2个32A/3P分配</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 xml:space="preserve">6.照明分配：2个16A/1P分配                                                                                                7.插座分配：2个10A/1P分配  ，备用2个10A/1P分配 </w:t>
            </w:r>
          </w:p>
        </w:tc>
        <w:tc>
          <w:tcPr>
            <w:tcW w:w="6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7DAC7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4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21B98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套</w:t>
            </w:r>
          </w:p>
        </w:tc>
      </w:tr>
      <w:tr w14:paraId="59C1734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52" w:hRule="atLeast"/>
        </w:trPr>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8F826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53</w:t>
            </w:r>
          </w:p>
        </w:tc>
        <w:tc>
          <w:tcPr>
            <w:tcW w:w="13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A1EB0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线缆</w:t>
            </w:r>
          </w:p>
        </w:tc>
        <w:tc>
          <w:tcPr>
            <w:tcW w:w="143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44182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综合布线</w:t>
            </w:r>
          </w:p>
        </w:tc>
        <w:tc>
          <w:tcPr>
            <w:tcW w:w="3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EC5B9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浪涌保护器，40KVA/4P</w:t>
            </w:r>
          </w:p>
        </w:tc>
        <w:tc>
          <w:tcPr>
            <w:tcW w:w="6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B4F5E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4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2D219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批</w:t>
            </w:r>
          </w:p>
        </w:tc>
      </w:tr>
      <w:tr w14:paraId="0D6FD88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80" w:hRule="atLeast"/>
        </w:trPr>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F6065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54</w:t>
            </w:r>
          </w:p>
        </w:tc>
        <w:tc>
          <w:tcPr>
            <w:tcW w:w="13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E3BBB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模块</w:t>
            </w:r>
          </w:p>
        </w:tc>
        <w:tc>
          <w:tcPr>
            <w:tcW w:w="143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B5261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综合布线</w:t>
            </w:r>
          </w:p>
        </w:tc>
        <w:tc>
          <w:tcPr>
            <w:tcW w:w="3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85912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工业连接器，32A，包含公</w:t>
            </w:r>
            <w:r>
              <w:rPr>
                <w:rFonts w:hint="eastAsia" w:cs="宋体"/>
                <w:i w:val="0"/>
                <w:iCs w:val="0"/>
                <w:color w:val="000000"/>
                <w:kern w:val="0"/>
                <w:sz w:val="22"/>
                <w:szCs w:val="22"/>
                <w:u w:val="none"/>
                <w:lang w:val="en-US" w:eastAsia="zh-CN" w:bidi="ar"/>
              </w:rPr>
              <w:t>接</w:t>
            </w:r>
            <w:r>
              <w:rPr>
                <w:rFonts w:hint="eastAsia" w:ascii="宋体" w:hAnsi="宋体" w:eastAsia="宋体" w:cs="宋体"/>
                <w:i w:val="0"/>
                <w:iCs w:val="0"/>
                <w:color w:val="000000"/>
                <w:kern w:val="0"/>
                <w:sz w:val="22"/>
                <w:szCs w:val="22"/>
                <w:u w:val="none"/>
                <w:lang w:val="en-US" w:eastAsia="zh-CN" w:bidi="ar"/>
              </w:rPr>
              <w:t>头、母</w:t>
            </w:r>
            <w:r>
              <w:rPr>
                <w:rFonts w:hint="eastAsia" w:cs="宋体"/>
                <w:i w:val="0"/>
                <w:iCs w:val="0"/>
                <w:color w:val="000000"/>
                <w:kern w:val="0"/>
                <w:sz w:val="22"/>
                <w:szCs w:val="22"/>
                <w:u w:val="none"/>
                <w:lang w:val="en-US" w:eastAsia="zh-CN" w:bidi="ar"/>
              </w:rPr>
              <w:t>接</w:t>
            </w:r>
            <w:r>
              <w:rPr>
                <w:rFonts w:hint="eastAsia" w:ascii="宋体" w:hAnsi="宋体" w:eastAsia="宋体" w:cs="宋体"/>
                <w:i w:val="0"/>
                <w:iCs w:val="0"/>
                <w:color w:val="000000"/>
                <w:kern w:val="0"/>
                <w:sz w:val="22"/>
                <w:szCs w:val="22"/>
                <w:u w:val="none"/>
                <w:lang w:val="en-US" w:eastAsia="zh-CN" w:bidi="ar"/>
              </w:rPr>
              <w:t>头</w:t>
            </w:r>
          </w:p>
        </w:tc>
        <w:tc>
          <w:tcPr>
            <w:tcW w:w="6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E0DBF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w:t>
            </w:r>
          </w:p>
        </w:tc>
        <w:tc>
          <w:tcPr>
            <w:tcW w:w="4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ED25F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套</w:t>
            </w:r>
          </w:p>
        </w:tc>
      </w:tr>
      <w:tr w14:paraId="7C16EB9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80" w:hRule="atLeast"/>
        </w:trPr>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1AC3C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55</w:t>
            </w:r>
          </w:p>
        </w:tc>
        <w:tc>
          <w:tcPr>
            <w:tcW w:w="13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FA4CE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模块</w:t>
            </w:r>
          </w:p>
        </w:tc>
        <w:tc>
          <w:tcPr>
            <w:tcW w:w="143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4C71B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综合布线</w:t>
            </w:r>
          </w:p>
        </w:tc>
        <w:tc>
          <w:tcPr>
            <w:tcW w:w="3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79EC7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小电器，10A，二三孔插座，含底盒</w:t>
            </w:r>
          </w:p>
        </w:tc>
        <w:tc>
          <w:tcPr>
            <w:tcW w:w="6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376DE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w:t>
            </w:r>
          </w:p>
        </w:tc>
        <w:tc>
          <w:tcPr>
            <w:tcW w:w="4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DCD6E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套</w:t>
            </w:r>
          </w:p>
        </w:tc>
      </w:tr>
      <w:tr w14:paraId="3B8DFF1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80" w:hRule="atLeast"/>
        </w:trPr>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51E80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56</w:t>
            </w:r>
          </w:p>
        </w:tc>
        <w:tc>
          <w:tcPr>
            <w:tcW w:w="13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989FF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模块</w:t>
            </w:r>
          </w:p>
        </w:tc>
        <w:tc>
          <w:tcPr>
            <w:tcW w:w="143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DBB72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综合布线</w:t>
            </w:r>
          </w:p>
        </w:tc>
        <w:tc>
          <w:tcPr>
            <w:tcW w:w="3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84A25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双口网络面板，含2个6类非屏蔽网络模块</w:t>
            </w:r>
          </w:p>
        </w:tc>
        <w:tc>
          <w:tcPr>
            <w:tcW w:w="6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292D8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4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64E98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套</w:t>
            </w:r>
          </w:p>
        </w:tc>
      </w:tr>
      <w:tr w14:paraId="75F7F3A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52" w:hRule="atLeast"/>
        </w:trPr>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70F1A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57</w:t>
            </w:r>
          </w:p>
        </w:tc>
        <w:tc>
          <w:tcPr>
            <w:tcW w:w="13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C3FBD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线缆</w:t>
            </w:r>
          </w:p>
        </w:tc>
        <w:tc>
          <w:tcPr>
            <w:tcW w:w="143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FFBF4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综合布线</w:t>
            </w:r>
          </w:p>
        </w:tc>
        <w:tc>
          <w:tcPr>
            <w:tcW w:w="3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8F78F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ZR-YJV-4*35+1*16</w:t>
            </w:r>
          </w:p>
        </w:tc>
        <w:tc>
          <w:tcPr>
            <w:tcW w:w="6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8B7C0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50</w:t>
            </w:r>
          </w:p>
        </w:tc>
        <w:tc>
          <w:tcPr>
            <w:tcW w:w="4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9402C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米</w:t>
            </w:r>
          </w:p>
        </w:tc>
      </w:tr>
      <w:tr w14:paraId="54CFA3A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52" w:hRule="atLeast"/>
        </w:trPr>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52C67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58</w:t>
            </w:r>
          </w:p>
        </w:tc>
        <w:tc>
          <w:tcPr>
            <w:tcW w:w="13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B1B4B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线缆</w:t>
            </w:r>
          </w:p>
        </w:tc>
        <w:tc>
          <w:tcPr>
            <w:tcW w:w="143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94CDA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综合布线</w:t>
            </w:r>
          </w:p>
        </w:tc>
        <w:tc>
          <w:tcPr>
            <w:tcW w:w="3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297C4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ZR-YJV-4*25+1*16</w:t>
            </w:r>
          </w:p>
        </w:tc>
        <w:tc>
          <w:tcPr>
            <w:tcW w:w="6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3AF35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30</w:t>
            </w:r>
          </w:p>
        </w:tc>
        <w:tc>
          <w:tcPr>
            <w:tcW w:w="4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50B9F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米</w:t>
            </w:r>
          </w:p>
        </w:tc>
      </w:tr>
      <w:tr w14:paraId="38C48A8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52" w:hRule="atLeast"/>
        </w:trPr>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86CF8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59</w:t>
            </w:r>
          </w:p>
        </w:tc>
        <w:tc>
          <w:tcPr>
            <w:tcW w:w="13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9FA9B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线缆</w:t>
            </w:r>
          </w:p>
        </w:tc>
        <w:tc>
          <w:tcPr>
            <w:tcW w:w="143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C9118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综合布线</w:t>
            </w:r>
          </w:p>
        </w:tc>
        <w:tc>
          <w:tcPr>
            <w:tcW w:w="3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3A0DB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ZR-RVV3*4</w:t>
            </w:r>
          </w:p>
        </w:tc>
        <w:tc>
          <w:tcPr>
            <w:tcW w:w="6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44FCE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30</w:t>
            </w:r>
          </w:p>
        </w:tc>
        <w:tc>
          <w:tcPr>
            <w:tcW w:w="4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4DF1F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米</w:t>
            </w:r>
          </w:p>
        </w:tc>
      </w:tr>
      <w:tr w14:paraId="3CD005E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52" w:hRule="atLeast"/>
        </w:trPr>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6C690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60</w:t>
            </w:r>
          </w:p>
        </w:tc>
        <w:tc>
          <w:tcPr>
            <w:tcW w:w="13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2BE65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线缆</w:t>
            </w:r>
          </w:p>
        </w:tc>
        <w:tc>
          <w:tcPr>
            <w:tcW w:w="143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C5BF9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综合布线</w:t>
            </w:r>
          </w:p>
        </w:tc>
        <w:tc>
          <w:tcPr>
            <w:tcW w:w="3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D8D07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BV2.5</w:t>
            </w:r>
          </w:p>
        </w:tc>
        <w:tc>
          <w:tcPr>
            <w:tcW w:w="6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D1C7E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300</w:t>
            </w:r>
          </w:p>
        </w:tc>
        <w:tc>
          <w:tcPr>
            <w:tcW w:w="4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92B71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米</w:t>
            </w:r>
          </w:p>
        </w:tc>
      </w:tr>
      <w:tr w14:paraId="533F88D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52" w:hRule="atLeast"/>
        </w:trPr>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56C12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61</w:t>
            </w:r>
          </w:p>
        </w:tc>
        <w:tc>
          <w:tcPr>
            <w:tcW w:w="13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B0098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防雷系统</w:t>
            </w:r>
          </w:p>
        </w:tc>
        <w:tc>
          <w:tcPr>
            <w:tcW w:w="143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5B751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机房建设</w:t>
            </w:r>
          </w:p>
        </w:tc>
        <w:tc>
          <w:tcPr>
            <w:tcW w:w="3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47CBF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30*3mm，等电位接地紫铜牌</w:t>
            </w:r>
          </w:p>
        </w:tc>
        <w:tc>
          <w:tcPr>
            <w:tcW w:w="6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A5937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26</w:t>
            </w:r>
          </w:p>
        </w:tc>
        <w:tc>
          <w:tcPr>
            <w:tcW w:w="4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A0B4A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套</w:t>
            </w:r>
          </w:p>
        </w:tc>
      </w:tr>
      <w:tr w14:paraId="23EAD40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80" w:hRule="atLeast"/>
        </w:trPr>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4F18F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62</w:t>
            </w:r>
          </w:p>
        </w:tc>
        <w:tc>
          <w:tcPr>
            <w:tcW w:w="13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00635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防雷系统</w:t>
            </w:r>
          </w:p>
        </w:tc>
        <w:tc>
          <w:tcPr>
            <w:tcW w:w="143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D0DFF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机房建设</w:t>
            </w:r>
          </w:p>
        </w:tc>
        <w:tc>
          <w:tcPr>
            <w:tcW w:w="3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13C65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BVR6，静电泄露网</w:t>
            </w:r>
          </w:p>
        </w:tc>
        <w:tc>
          <w:tcPr>
            <w:tcW w:w="6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8473E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4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9652C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套</w:t>
            </w:r>
          </w:p>
        </w:tc>
      </w:tr>
      <w:tr w14:paraId="6C85FD7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52" w:hRule="atLeast"/>
        </w:trPr>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56F81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63</w:t>
            </w:r>
          </w:p>
        </w:tc>
        <w:tc>
          <w:tcPr>
            <w:tcW w:w="13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0FF80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防雷系统</w:t>
            </w:r>
          </w:p>
        </w:tc>
        <w:tc>
          <w:tcPr>
            <w:tcW w:w="143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99577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机房建设</w:t>
            </w:r>
          </w:p>
        </w:tc>
        <w:tc>
          <w:tcPr>
            <w:tcW w:w="3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AFC80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等电位箱</w:t>
            </w:r>
          </w:p>
        </w:tc>
        <w:tc>
          <w:tcPr>
            <w:tcW w:w="6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059C1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4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89B2F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套</w:t>
            </w:r>
          </w:p>
        </w:tc>
      </w:tr>
      <w:tr w14:paraId="425CA10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190" w:hRule="atLeast"/>
        </w:trPr>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ADDAB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64</w:t>
            </w:r>
          </w:p>
        </w:tc>
        <w:tc>
          <w:tcPr>
            <w:tcW w:w="13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967B0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精密空调</w:t>
            </w:r>
          </w:p>
        </w:tc>
        <w:tc>
          <w:tcPr>
            <w:tcW w:w="143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B9264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机房建设</w:t>
            </w:r>
          </w:p>
        </w:tc>
        <w:tc>
          <w:tcPr>
            <w:tcW w:w="3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0A602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1、要求室内回风 24℃/50%RH，室外 35°C工况下，制冷量应≥30kw，显热比应≥0.9，提供投标品牌盖章彩页证明；</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 xml:space="preserve">2、输入电压允许波动范围：380V±15%，频率：50Hz±2Hz；                              </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3、温度调节范围：+18℃~+45℃，度调节精度：±1℃ ，温度变化率&lt;5℃/小时，湿度调节范围：20%~80%RH；</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4、标配加热功能、加湿功能，可以保持机房恒温恒湿；</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 xml:space="preserve">5、加湿系统应采用高效节能的电极式加湿系统；                                                          </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6、压缩机：为保证机房专用空调节能性，机组为变频机组，采用高能效的变频压缩机 ，机组能力可调。</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7、室内风机：为保证良好的制冷效果，空调应有较大的送风量，需标配EC风机。</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 xml:space="preserve">8、膨胀阀：为保证系统运行的高效性和稳定性，机房专用空调要求标配电子膨胀阀。 </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 xml:space="preserve">9、具有7吋LCD大屏幕全触摸中文显示器，能显示温湿度；                </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10、应具有大容量的故障报警记录储存的功能，存储历史告警信息不小于500条；</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11、提供投标产品的中国节能产品认证证书（CQC）证明；</w:t>
            </w:r>
          </w:p>
        </w:tc>
        <w:tc>
          <w:tcPr>
            <w:tcW w:w="6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0F5C5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4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CAD94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台</w:t>
            </w:r>
          </w:p>
        </w:tc>
      </w:tr>
      <w:tr w14:paraId="426007D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20" w:hRule="atLeast"/>
        </w:trPr>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B7D24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65</w:t>
            </w:r>
          </w:p>
        </w:tc>
        <w:tc>
          <w:tcPr>
            <w:tcW w:w="13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96073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线缆</w:t>
            </w:r>
          </w:p>
        </w:tc>
        <w:tc>
          <w:tcPr>
            <w:tcW w:w="143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6198D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综合布线</w:t>
            </w:r>
          </w:p>
        </w:tc>
        <w:tc>
          <w:tcPr>
            <w:tcW w:w="3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85E43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空调铜管、配件，含铜管、信号线、保温、制冷剂、扎带等等</w:t>
            </w:r>
          </w:p>
        </w:tc>
        <w:tc>
          <w:tcPr>
            <w:tcW w:w="6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E6F12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60</w:t>
            </w:r>
          </w:p>
        </w:tc>
        <w:tc>
          <w:tcPr>
            <w:tcW w:w="4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7EE57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套</w:t>
            </w:r>
          </w:p>
        </w:tc>
      </w:tr>
      <w:tr w14:paraId="7126443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60" w:hRule="atLeast"/>
        </w:trPr>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DC7CF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66</w:t>
            </w:r>
          </w:p>
        </w:tc>
        <w:tc>
          <w:tcPr>
            <w:tcW w:w="13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D0C6B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门禁系统</w:t>
            </w:r>
          </w:p>
        </w:tc>
        <w:tc>
          <w:tcPr>
            <w:tcW w:w="143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13C71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机房建设</w:t>
            </w:r>
          </w:p>
        </w:tc>
        <w:tc>
          <w:tcPr>
            <w:tcW w:w="3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2E567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门禁读卡器，读卡频率：13.56MHz</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按键方式：触摸按键</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可识别卡：国密CPU卡</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通讯方式：RS485+Wiegand</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工作电压：DC 12V</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功耗：≤2W</w:t>
            </w:r>
          </w:p>
        </w:tc>
        <w:tc>
          <w:tcPr>
            <w:tcW w:w="6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FDC43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4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7035A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套</w:t>
            </w:r>
          </w:p>
        </w:tc>
      </w:tr>
      <w:tr w14:paraId="02C9CAE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20" w:hRule="atLeast"/>
        </w:trPr>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11184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67</w:t>
            </w:r>
          </w:p>
        </w:tc>
        <w:tc>
          <w:tcPr>
            <w:tcW w:w="13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ADC4C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门禁系统</w:t>
            </w:r>
          </w:p>
        </w:tc>
        <w:tc>
          <w:tcPr>
            <w:tcW w:w="143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09953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机房建设</w:t>
            </w:r>
          </w:p>
        </w:tc>
        <w:tc>
          <w:tcPr>
            <w:tcW w:w="3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10727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双门磁力锁，最大拉力≥260kgx2直线拉力；输入电压：DC12V或DC24V+10%；</w:t>
            </w:r>
          </w:p>
        </w:tc>
        <w:tc>
          <w:tcPr>
            <w:tcW w:w="6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49530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4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E36FB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套</w:t>
            </w:r>
          </w:p>
        </w:tc>
      </w:tr>
      <w:tr w14:paraId="20F8CA3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08463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68</w:t>
            </w:r>
          </w:p>
        </w:tc>
        <w:tc>
          <w:tcPr>
            <w:tcW w:w="13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42661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门禁系统</w:t>
            </w:r>
          </w:p>
        </w:tc>
        <w:tc>
          <w:tcPr>
            <w:tcW w:w="143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28F30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机房建设</w:t>
            </w:r>
          </w:p>
        </w:tc>
        <w:tc>
          <w:tcPr>
            <w:tcW w:w="3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0CDBA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单门磁力锁，最大拉力≥260kg直线拉力；输入电压：DC12V或DC24V+10%；</w:t>
            </w:r>
          </w:p>
        </w:tc>
        <w:tc>
          <w:tcPr>
            <w:tcW w:w="6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81E15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4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4D9DD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套</w:t>
            </w:r>
          </w:p>
        </w:tc>
      </w:tr>
      <w:tr w14:paraId="3EDAA3F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80" w:hRule="atLeast"/>
        </w:trPr>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D9D0B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69</w:t>
            </w:r>
          </w:p>
        </w:tc>
        <w:tc>
          <w:tcPr>
            <w:tcW w:w="13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30DD0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门禁系统</w:t>
            </w:r>
          </w:p>
        </w:tc>
        <w:tc>
          <w:tcPr>
            <w:tcW w:w="143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36A98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机房建设</w:t>
            </w:r>
          </w:p>
        </w:tc>
        <w:tc>
          <w:tcPr>
            <w:tcW w:w="3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7077A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出门按钮，86型底盒安装；琴键式自恢复按钮；</w:t>
            </w:r>
          </w:p>
        </w:tc>
        <w:tc>
          <w:tcPr>
            <w:tcW w:w="6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2F380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4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746F3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套</w:t>
            </w:r>
          </w:p>
        </w:tc>
      </w:tr>
      <w:tr w14:paraId="0B6537D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40" w:hRule="atLeast"/>
        </w:trPr>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EC37D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70</w:t>
            </w:r>
          </w:p>
        </w:tc>
        <w:tc>
          <w:tcPr>
            <w:tcW w:w="13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8C14D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门禁系统</w:t>
            </w:r>
          </w:p>
        </w:tc>
        <w:tc>
          <w:tcPr>
            <w:tcW w:w="143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0B73F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机房建设</w:t>
            </w:r>
          </w:p>
        </w:tc>
        <w:tc>
          <w:tcPr>
            <w:tcW w:w="3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C46E2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双门禁控制器，支持TCP/IP通讯方式，支持2个读卡器、2个门开关、4个输入连接、4个输出连接。具有开锁后延时上电功能，上电时间可调；具备防拆及故障报警功能；设备电压要求：DC 12V±3V，设备功率要求≤10W；</w:t>
            </w:r>
          </w:p>
        </w:tc>
        <w:tc>
          <w:tcPr>
            <w:tcW w:w="6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98A3C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4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7C013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套</w:t>
            </w:r>
          </w:p>
        </w:tc>
      </w:tr>
      <w:tr w14:paraId="1223F47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0" w:hRule="atLeast"/>
        </w:trPr>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7EB9D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71</w:t>
            </w:r>
          </w:p>
        </w:tc>
        <w:tc>
          <w:tcPr>
            <w:tcW w:w="13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C05BC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门禁系统</w:t>
            </w:r>
          </w:p>
        </w:tc>
        <w:tc>
          <w:tcPr>
            <w:tcW w:w="143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290AD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机房建设</w:t>
            </w:r>
          </w:p>
        </w:tc>
        <w:tc>
          <w:tcPr>
            <w:tcW w:w="3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DBB9B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发卡器；</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支持发卡类型：ID卡、Mifare卡、身份证物料卡号（序列号）、普通CPU卡、国密CPU卡；</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USB2.0接口；</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具有2个Sim卡尺寸的PSAM卡座；</w:t>
            </w:r>
          </w:p>
        </w:tc>
        <w:tc>
          <w:tcPr>
            <w:tcW w:w="6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1CCC2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4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BD1FE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国产</w:t>
            </w:r>
          </w:p>
        </w:tc>
      </w:tr>
      <w:tr w14:paraId="7F4C958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20" w:hRule="atLeast"/>
        </w:trPr>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1414F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72</w:t>
            </w:r>
          </w:p>
        </w:tc>
        <w:tc>
          <w:tcPr>
            <w:tcW w:w="13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82090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门禁系统</w:t>
            </w:r>
          </w:p>
        </w:tc>
        <w:tc>
          <w:tcPr>
            <w:tcW w:w="143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AF84C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机房建设</w:t>
            </w:r>
          </w:p>
        </w:tc>
        <w:tc>
          <w:tcPr>
            <w:tcW w:w="3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AC577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国密CPU卡，感应频率13.56MHZ；</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支持国密SM1算法加密；</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容量为16K byte；</w:t>
            </w:r>
          </w:p>
        </w:tc>
        <w:tc>
          <w:tcPr>
            <w:tcW w:w="6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D6673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50</w:t>
            </w:r>
          </w:p>
        </w:tc>
        <w:tc>
          <w:tcPr>
            <w:tcW w:w="4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6A5B9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张</w:t>
            </w:r>
          </w:p>
        </w:tc>
      </w:tr>
      <w:tr w14:paraId="77A0DB7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60" w:hRule="atLeast"/>
        </w:trPr>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822FE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73</w:t>
            </w:r>
          </w:p>
        </w:tc>
        <w:tc>
          <w:tcPr>
            <w:tcW w:w="13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D0C78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摄像机</w:t>
            </w:r>
          </w:p>
        </w:tc>
        <w:tc>
          <w:tcPr>
            <w:tcW w:w="143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D82DA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音视频监控设备</w:t>
            </w:r>
          </w:p>
        </w:tc>
        <w:tc>
          <w:tcPr>
            <w:tcW w:w="3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D98A6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半球一体式，带红外补光，200万像素，支持H.265；传感器大小：1/2.8英寸；最低照度：彩色0.1Lux@F2.0；0Lux（红外灯开启）；信噪比：&gt;56dB，宽动态范围：103db；电源供应：DC12V/POE；红外距离：30m；</w:t>
            </w:r>
          </w:p>
        </w:tc>
        <w:tc>
          <w:tcPr>
            <w:tcW w:w="6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B2026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4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05793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台</w:t>
            </w:r>
          </w:p>
        </w:tc>
      </w:tr>
      <w:tr w14:paraId="29DD99E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6914E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74</w:t>
            </w:r>
          </w:p>
        </w:tc>
        <w:tc>
          <w:tcPr>
            <w:tcW w:w="13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2EC52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硬盘录象机</w:t>
            </w:r>
          </w:p>
        </w:tc>
        <w:tc>
          <w:tcPr>
            <w:tcW w:w="143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12639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音视频监控设备</w:t>
            </w:r>
          </w:p>
        </w:tc>
        <w:tc>
          <w:tcPr>
            <w:tcW w:w="3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0E6FA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16路含2块4T硬盘</w:t>
            </w:r>
          </w:p>
        </w:tc>
        <w:tc>
          <w:tcPr>
            <w:tcW w:w="6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E9877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4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E1F6A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套</w:t>
            </w:r>
          </w:p>
        </w:tc>
      </w:tr>
      <w:tr w14:paraId="6C1F443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0" w:hRule="atLeast"/>
        </w:trPr>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1A2BE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75</w:t>
            </w:r>
          </w:p>
        </w:tc>
        <w:tc>
          <w:tcPr>
            <w:tcW w:w="13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48EE4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交换机</w:t>
            </w:r>
          </w:p>
        </w:tc>
        <w:tc>
          <w:tcPr>
            <w:tcW w:w="143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D7BC7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网络设备</w:t>
            </w:r>
          </w:p>
        </w:tc>
        <w:tc>
          <w:tcPr>
            <w:tcW w:w="3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095BF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8个千兆PoE电口+1个千兆电口+1个千兆光口，背板带宽：20G，包转发速率：14.9M，单端口最大30W/整机最大功率55W，外置电源，190x100x28mm（7.5英寸、铁壳），桌面型非网管PoE交换机</w:t>
            </w:r>
          </w:p>
        </w:tc>
        <w:tc>
          <w:tcPr>
            <w:tcW w:w="6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92722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4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8F171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台</w:t>
            </w:r>
          </w:p>
        </w:tc>
      </w:tr>
      <w:tr w14:paraId="4CC686F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trPr>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2C781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76</w:t>
            </w:r>
          </w:p>
        </w:tc>
        <w:tc>
          <w:tcPr>
            <w:tcW w:w="13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CA587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线缆</w:t>
            </w:r>
          </w:p>
        </w:tc>
        <w:tc>
          <w:tcPr>
            <w:tcW w:w="143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9A5EF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综合布线</w:t>
            </w:r>
          </w:p>
        </w:tc>
        <w:tc>
          <w:tcPr>
            <w:tcW w:w="3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4D87E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电源线RVV6*1.0</w:t>
            </w:r>
          </w:p>
        </w:tc>
        <w:tc>
          <w:tcPr>
            <w:tcW w:w="6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1D453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50</w:t>
            </w:r>
          </w:p>
        </w:tc>
        <w:tc>
          <w:tcPr>
            <w:tcW w:w="4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E8A86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米</w:t>
            </w:r>
          </w:p>
        </w:tc>
      </w:tr>
      <w:tr w14:paraId="4711501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trPr>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337CB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77</w:t>
            </w:r>
          </w:p>
        </w:tc>
        <w:tc>
          <w:tcPr>
            <w:tcW w:w="13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4B619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线缆</w:t>
            </w:r>
          </w:p>
        </w:tc>
        <w:tc>
          <w:tcPr>
            <w:tcW w:w="143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430F0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综合布线</w:t>
            </w:r>
          </w:p>
        </w:tc>
        <w:tc>
          <w:tcPr>
            <w:tcW w:w="3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00C98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电源线RVV2*1.5</w:t>
            </w:r>
          </w:p>
        </w:tc>
        <w:tc>
          <w:tcPr>
            <w:tcW w:w="6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BD195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100</w:t>
            </w:r>
          </w:p>
        </w:tc>
        <w:tc>
          <w:tcPr>
            <w:tcW w:w="4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224C1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米</w:t>
            </w:r>
          </w:p>
        </w:tc>
      </w:tr>
      <w:tr w14:paraId="34E267D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trPr>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2AE24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78</w:t>
            </w:r>
          </w:p>
        </w:tc>
        <w:tc>
          <w:tcPr>
            <w:tcW w:w="13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CC9B6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模块</w:t>
            </w:r>
          </w:p>
        </w:tc>
        <w:tc>
          <w:tcPr>
            <w:tcW w:w="143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2BA53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综合布线</w:t>
            </w:r>
          </w:p>
        </w:tc>
        <w:tc>
          <w:tcPr>
            <w:tcW w:w="3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7AF7E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开关电源，12V20A</w:t>
            </w:r>
          </w:p>
        </w:tc>
        <w:tc>
          <w:tcPr>
            <w:tcW w:w="6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B9402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4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721C5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套</w:t>
            </w:r>
          </w:p>
        </w:tc>
      </w:tr>
      <w:tr w14:paraId="246A5C1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trPr>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98974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79</w:t>
            </w:r>
          </w:p>
        </w:tc>
        <w:tc>
          <w:tcPr>
            <w:tcW w:w="13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D5D71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线缆</w:t>
            </w:r>
          </w:p>
        </w:tc>
        <w:tc>
          <w:tcPr>
            <w:tcW w:w="143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65438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综合布线</w:t>
            </w:r>
          </w:p>
        </w:tc>
        <w:tc>
          <w:tcPr>
            <w:tcW w:w="3833" w:type="dxa"/>
            <w:tcBorders>
              <w:top w:val="single" w:color="000000" w:sz="4" w:space="0"/>
              <w:left w:val="single" w:color="000000" w:sz="4" w:space="0"/>
              <w:bottom w:val="nil"/>
              <w:right w:val="single" w:color="000000" w:sz="4" w:space="0"/>
            </w:tcBorders>
            <w:shd w:val="clear" w:color="auto" w:fill="auto"/>
            <w:vAlign w:val="center"/>
          </w:tcPr>
          <w:p w14:paraId="77FE416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六类非屏蔽4对双绞线</w:t>
            </w:r>
          </w:p>
        </w:tc>
        <w:tc>
          <w:tcPr>
            <w:tcW w:w="6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992AE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4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875A0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批</w:t>
            </w:r>
          </w:p>
        </w:tc>
      </w:tr>
      <w:tr w14:paraId="680F651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374" w:hRule="atLeast"/>
        </w:trPr>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D7622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80</w:t>
            </w:r>
          </w:p>
        </w:tc>
        <w:tc>
          <w:tcPr>
            <w:tcW w:w="13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463A3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环境监控系统</w:t>
            </w:r>
          </w:p>
        </w:tc>
        <w:tc>
          <w:tcPr>
            <w:tcW w:w="143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92372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机房建设</w:t>
            </w:r>
          </w:p>
        </w:tc>
        <w:tc>
          <w:tcPr>
            <w:tcW w:w="3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D6D48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机箱：标准1U机架式主机，方便安装；</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主机架构：采用工业级ARM嵌入式处理器主芯片（可选国产芯片），操作系统（可选国产）。</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RJ45以太网接口：2路自适应网口；</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LCD显示：主机自带LCD显示屏；</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工作模式：既可以通过网络连电脑工作，也</w:t>
            </w:r>
            <w:r>
              <w:rPr>
                <w:rFonts w:hint="eastAsia" w:cs="宋体"/>
                <w:i w:val="0"/>
                <w:iCs w:val="0"/>
                <w:color w:val="000000"/>
                <w:kern w:val="0"/>
                <w:sz w:val="22"/>
                <w:szCs w:val="22"/>
                <w:u w:val="none"/>
                <w:lang w:val="en-US" w:eastAsia="zh-CN" w:bidi="ar"/>
              </w:rPr>
              <w:t>需</w:t>
            </w:r>
            <w:r>
              <w:rPr>
                <w:rFonts w:hint="eastAsia" w:ascii="宋体" w:hAnsi="宋体" w:eastAsia="宋体" w:cs="宋体"/>
                <w:i w:val="0"/>
                <w:iCs w:val="0"/>
                <w:color w:val="000000"/>
                <w:kern w:val="0"/>
                <w:sz w:val="22"/>
                <w:szCs w:val="22"/>
                <w:u w:val="none"/>
                <w:lang w:val="en-US" w:eastAsia="zh-CN" w:bidi="ar"/>
              </w:rPr>
              <w:t>可以脱离电脑（脱机）工作并报警（以免电脑宕机或者网络崩溃而无法报警）；</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 xml:space="preserve">RS232接口：2路（也可以选配4路）；     </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RS485接口：3路（也可以选配8路），可挂载384个RS485设备，如：温湿度、精密空调、UPS、电量仪、精密配电柜、列头柜等设备模块（如需更多也可选配可挂载765个设备的主机）；</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开关量输入接口：12路；</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继电器输出接口：8路（其中4路接口内置，需要可引出）；</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状态指示灯：5个；</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内置蜂鸣器：1个；</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内置电池接口：1路；装上内置电池，停断电情况下，主机仍可持续工作12小时以上；</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电源输入接口：2路；</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电源（12VDC）输出接口：1路，方便给外围传感器供电；</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内置存储单元：1个（也可选配32G SD卡接口）；</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SIM卡接口：GSM卡和4G全网通卡均支持；</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天线接口：标准SMA阴头天线接口，特性阻抗50欧；</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电源：12VDC，2A；</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功耗：12VDC供电，待机平均电流小于200mA，通信时平均电流小于500mA；</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工作环境温度：-30到+80度，存储环境温度：-45到+90度；</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工作环境湿度：&lt; 95%RH；</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尺寸：19英寸豪华机箱，44*482.6*200mm；</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具有第三方检测机构检测报告</w:t>
            </w:r>
          </w:p>
        </w:tc>
        <w:tc>
          <w:tcPr>
            <w:tcW w:w="616" w:type="dxa"/>
            <w:tcBorders>
              <w:top w:val="single" w:color="000000" w:sz="4" w:space="0"/>
              <w:left w:val="single" w:color="000000" w:sz="4" w:space="0"/>
              <w:bottom w:val="single" w:color="000000" w:sz="4" w:space="0"/>
              <w:right w:val="nil"/>
            </w:tcBorders>
            <w:shd w:val="clear" w:color="auto" w:fill="auto"/>
            <w:noWrap/>
            <w:vAlign w:val="center"/>
          </w:tcPr>
          <w:p w14:paraId="1E63C6F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4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23912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台</w:t>
            </w:r>
          </w:p>
        </w:tc>
      </w:tr>
      <w:tr w14:paraId="1A7CE95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56" w:hRule="atLeast"/>
        </w:trPr>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6125A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81</w:t>
            </w:r>
          </w:p>
        </w:tc>
        <w:tc>
          <w:tcPr>
            <w:tcW w:w="13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794EE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环境监控系统</w:t>
            </w:r>
          </w:p>
        </w:tc>
        <w:tc>
          <w:tcPr>
            <w:tcW w:w="143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C5CBE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机房建设</w:t>
            </w:r>
          </w:p>
        </w:tc>
        <w:tc>
          <w:tcPr>
            <w:tcW w:w="3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FBB7B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集中监控管理服务器:可下挂999台综合环境采集器或串口采集器，酷睿i3处理器，内 存4G 硬盘：1TB，内置8*USB接口，6*RS232串口(可定制RS422/485端口)，2*千兆网口(可扩展)，HDMI+VGA显示接口(支持双屏同步/异步显示)，PS/2接口，电源接口(可定制冗余双电源)，1*PCIEx16扩展槽，音频接口板载ALC662 6声道高保真音频控制器，支持MIC/Line-out，内置看门狗支持硬件复位功能(256级，0~255秒)，支持来电开机/网络唤醒(二者只能二选一使用)，工作温度:0°℃~60”℃，储存温度:-20°C~70℃，系统(可选)Nindows/Liunx/Ubuntu/Centos/Server. : 482*280*45mm.</w:t>
            </w:r>
          </w:p>
        </w:tc>
        <w:tc>
          <w:tcPr>
            <w:tcW w:w="616" w:type="dxa"/>
            <w:tcBorders>
              <w:top w:val="single" w:color="000000" w:sz="4" w:space="0"/>
              <w:left w:val="single" w:color="000000" w:sz="4" w:space="0"/>
              <w:bottom w:val="single" w:color="000000" w:sz="4" w:space="0"/>
              <w:right w:val="nil"/>
            </w:tcBorders>
            <w:shd w:val="clear" w:color="auto" w:fill="auto"/>
            <w:noWrap/>
            <w:vAlign w:val="center"/>
          </w:tcPr>
          <w:p w14:paraId="7E20C96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4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D0572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套</w:t>
            </w:r>
          </w:p>
        </w:tc>
      </w:tr>
      <w:tr w14:paraId="2DB5953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69" w:hRule="atLeast"/>
        </w:trPr>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B5452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82</w:t>
            </w:r>
          </w:p>
        </w:tc>
        <w:tc>
          <w:tcPr>
            <w:tcW w:w="13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3B4E5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环境监控系统</w:t>
            </w:r>
          </w:p>
        </w:tc>
        <w:tc>
          <w:tcPr>
            <w:tcW w:w="143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62025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机房建设</w:t>
            </w:r>
          </w:p>
        </w:tc>
        <w:tc>
          <w:tcPr>
            <w:tcW w:w="3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702AC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低功耗大尺寸LCD显示，视域尺寸至少65mm*45mm,可以实时显示温湿度数值，并可以设定温湿度上下限报警阈值，超出范围能实时报警，能将采集的数据上传到监控系统平台；可主机集中供电，方便接线；</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工作电压：5-12VDC；</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工作电流：小于10mA；</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温度：采集范围-40---100度，精度±0.4度,分辨率0.01度；</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湿度：采集范围0---100%RH，精度±3%RH，分辨率0.01%RH；</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通信接口：RS485接口（也可选配无线通信方式）；</w:t>
            </w:r>
          </w:p>
        </w:tc>
        <w:tc>
          <w:tcPr>
            <w:tcW w:w="616" w:type="dxa"/>
            <w:tcBorders>
              <w:top w:val="single" w:color="000000" w:sz="4" w:space="0"/>
              <w:left w:val="single" w:color="000000" w:sz="4" w:space="0"/>
              <w:bottom w:val="single" w:color="000000" w:sz="4" w:space="0"/>
              <w:right w:val="nil"/>
            </w:tcBorders>
            <w:shd w:val="clear" w:color="auto" w:fill="auto"/>
            <w:noWrap/>
            <w:vAlign w:val="center"/>
          </w:tcPr>
          <w:p w14:paraId="003B366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4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B3ACB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台</w:t>
            </w:r>
          </w:p>
        </w:tc>
      </w:tr>
      <w:tr w14:paraId="214CE7E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700" w:hRule="atLeast"/>
        </w:trPr>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0AD3C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83</w:t>
            </w:r>
          </w:p>
        </w:tc>
        <w:tc>
          <w:tcPr>
            <w:tcW w:w="13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4D8D5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环境监控系统</w:t>
            </w:r>
          </w:p>
        </w:tc>
        <w:tc>
          <w:tcPr>
            <w:tcW w:w="143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7A434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机房建设</w:t>
            </w:r>
          </w:p>
        </w:tc>
        <w:tc>
          <w:tcPr>
            <w:tcW w:w="3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D35C2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烟雾传感器和主机直接连接，插拔式，主机集中供电，接线方便，一旦检测到烟雾系统平台会报警；</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工作电压:5-12VDC；工作电流：15mA；</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供电方式：主机集中供电；</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驱动长度：大于800米；</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误报率＜10ppm；</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接线方式：有线（也可选配无线通信方式）。</w:t>
            </w:r>
          </w:p>
        </w:tc>
        <w:tc>
          <w:tcPr>
            <w:tcW w:w="616" w:type="dxa"/>
            <w:tcBorders>
              <w:top w:val="single" w:color="000000" w:sz="4" w:space="0"/>
              <w:left w:val="single" w:color="000000" w:sz="4" w:space="0"/>
              <w:bottom w:val="single" w:color="000000" w:sz="4" w:space="0"/>
              <w:right w:val="nil"/>
            </w:tcBorders>
            <w:shd w:val="clear" w:color="auto" w:fill="auto"/>
            <w:noWrap/>
            <w:vAlign w:val="center"/>
          </w:tcPr>
          <w:p w14:paraId="4D8A539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4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9B48E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台</w:t>
            </w:r>
          </w:p>
        </w:tc>
      </w:tr>
      <w:tr w14:paraId="08BB394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380" w:hRule="atLeast"/>
        </w:trPr>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7E39C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84</w:t>
            </w:r>
          </w:p>
        </w:tc>
        <w:tc>
          <w:tcPr>
            <w:tcW w:w="13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BC114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环境监控系统</w:t>
            </w:r>
          </w:p>
        </w:tc>
        <w:tc>
          <w:tcPr>
            <w:tcW w:w="143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5618D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机房建设</w:t>
            </w:r>
          </w:p>
        </w:tc>
        <w:tc>
          <w:tcPr>
            <w:tcW w:w="3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390A3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漏水水浸检测由漏水传感器和漏水检测线组成，漏水检测线和漏水传感器连接，漏水传感器另一头和主机连接，插拔式，主机集中供电，接线方便；</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工作电压:5-12VDC；工作电流：15mA；</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供电方式：主机集中供电；</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驱动长度：大于800米；</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误报率＜10ppm；</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接线方式：有线（也可选配无线通信方式）。</w:t>
            </w:r>
          </w:p>
        </w:tc>
        <w:tc>
          <w:tcPr>
            <w:tcW w:w="616" w:type="dxa"/>
            <w:tcBorders>
              <w:top w:val="single" w:color="000000" w:sz="4" w:space="0"/>
              <w:left w:val="single" w:color="000000" w:sz="4" w:space="0"/>
              <w:bottom w:val="single" w:color="000000" w:sz="4" w:space="0"/>
              <w:right w:val="nil"/>
            </w:tcBorders>
            <w:shd w:val="clear" w:color="auto" w:fill="auto"/>
            <w:noWrap/>
            <w:vAlign w:val="center"/>
          </w:tcPr>
          <w:p w14:paraId="0E74CAF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4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5E77F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条</w:t>
            </w:r>
          </w:p>
        </w:tc>
      </w:tr>
      <w:tr w14:paraId="5823313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60" w:hRule="atLeast"/>
        </w:trPr>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58B03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85</w:t>
            </w:r>
          </w:p>
        </w:tc>
        <w:tc>
          <w:tcPr>
            <w:tcW w:w="13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F919F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环境监控系统</w:t>
            </w:r>
          </w:p>
        </w:tc>
        <w:tc>
          <w:tcPr>
            <w:tcW w:w="143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8F89D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机房建设</w:t>
            </w:r>
          </w:p>
        </w:tc>
        <w:tc>
          <w:tcPr>
            <w:tcW w:w="3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FC28A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检测线缆直径：5.0mm；</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2条检测导线直径：1.0mm；</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检测导线外阻：5欧姆/200米；</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重量：18克/米；</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颜色：浅橙；</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最大暴露温度：85摄氏度；</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含固定胶贴和终止端固定漏水感应线的卡扣和封住检测线末端的套头</w:t>
            </w:r>
          </w:p>
        </w:tc>
        <w:tc>
          <w:tcPr>
            <w:tcW w:w="616" w:type="dxa"/>
            <w:tcBorders>
              <w:top w:val="single" w:color="000000" w:sz="4" w:space="0"/>
              <w:left w:val="single" w:color="000000" w:sz="4" w:space="0"/>
              <w:bottom w:val="single" w:color="000000" w:sz="4" w:space="0"/>
              <w:right w:val="nil"/>
            </w:tcBorders>
            <w:shd w:val="clear" w:color="auto" w:fill="auto"/>
            <w:noWrap/>
            <w:vAlign w:val="center"/>
          </w:tcPr>
          <w:p w14:paraId="773BB0A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4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651A8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付</w:t>
            </w:r>
          </w:p>
        </w:tc>
      </w:tr>
      <w:tr w14:paraId="4179368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40" w:hRule="atLeast"/>
        </w:trPr>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F6649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86</w:t>
            </w:r>
          </w:p>
        </w:tc>
        <w:tc>
          <w:tcPr>
            <w:tcW w:w="13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40DC8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环境监控系统</w:t>
            </w:r>
          </w:p>
        </w:tc>
        <w:tc>
          <w:tcPr>
            <w:tcW w:w="143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1F476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机房建设</w:t>
            </w:r>
          </w:p>
        </w:tc>
        <w:tc>
          <w:tcPr>
            <w:tcW w:w="3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152E7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工作电压:12VDC；工作电流15mA；</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供电方式：主机集中供电；</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感应角度：夹角120°，周圆360°；</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误报率＜100ppm；</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输出方式：常开/常闭干接点；</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安装方式：吸顶。</w:t>
            </w:r>
          </w:p>
        </w:tc>
        <w:tc>
          <w:tcPr>
            <w:tcW w:w="616" w:type="dxa"/>
            <w:tcBorders>
              <w:top w:val="single" w:color="000000" w:sz="4" w:space="0"/>
              <w:left w:val="single" w:color="000000" w:sz="4" w:space="0"/>
              <w:bottom w:val="single" w:color="000000" w:sz="4" w:space="0"/>
              <w:right w:val="nil"/>
            </w:tcBorders>
            <w:shd w:val="clear" w:color="auto" w:fill="auto"/>
            <w:noWrap/>
            <w:vAlign w:val="center"/>
          </w:tcPr>
          <w:p w14:paraId="594BE57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4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13C49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套</w:t>
            </w:r>
          </w:p>
        </w:tc>
      </w:tr>
      <w:tr w14:paraId="7C9567E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20" w:hRule="atLeast"/>
        </w:trPr>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EA332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87</w:t>
            </w:r>
          </w:p>
        </w:tc>
        <w:tc>
          <w:tcPr>
            <w:tcW w:w="13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5BC5D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环境监控系统</w:t>
            </w:r>
          </w:p>
        </w:tc>
        <w:tc>
          <w:tcPr>
            <w:tcW w:w="143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F1A25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机房建设</w:t>
            </w:r>
          </w:p>
        </w:tc>
        <w:tc>
          <w:tcPr>
            <w:tcW w:w="3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9547F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GSM卡和4G全网通卡均支持；可设置5个以上接收报警短信手机号码，发生报警会发短信到设置好的手机上，客户准备张移动手机卡SIM插入即可。</w:t>
            </w:r>
          </w:p>
        </w:tc>
        <w:tc>
          <w:tcPr>
            <w:tcW w:w="616" w:type="dxa"/>
            <w:tcBorders>
              <w:top w:val="single" w:color="000000" w:sz="4" w:space="0"/>
              <w:left w:val="single" w:color="000000" w:sz="4" w:space="0"/>
              <w:bottom w:val="single" w:color="000000" w:sz="4" w:space="0"/>
              <w:right w:val="nil"/>
            </w:tcBorders>
            <w:shd w:val="clear" w:color="auto" w:fill="auto"/>
            <w:noWrap/>
            <w:vAlign w:val="center"/>
          </w:tcPr>
          <w:p w14:paraId="0B3E8C0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4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FFC4E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套</w:t>
            </w:r>
          </w:p>
        </w:tc>
      </w:tr>
      <w:tr w14:paraId="50BF338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trPr>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C8F4B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88</w:t>
            </w:r>
          </w:p>
        </w:tc>
        <w:tc>
          <w:tcPr>
            <w:tcW w:w="13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35686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线缆</w:t>
            </w:r>
          </w:p>
        </w:tc>
        <w:tc>
          <w:tcPr>
            <w:tcW w:w="143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76256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综合布线</w:t>
            </w:r>
          </w:p>
        </w:tc>
        <w:tc>
          <w:tcPr>
            <w:tcW w:w="38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00264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主机集中供电，12VDC，105(±3)dB</w:t>
            </w:r>
          </w:p>
        </w:tc>
        <w:tc>
          <w:tcPr>
            <w:tcW w:w="616" w:type="dxa"/>
            <w:tcBorders>
              <w:top w:val="single" w:color="000000" w:sz="4" w:space="0"/>
              <w:left w:val="single" w:color="000000" w:sz="4" w:space="0"/>
              <w:bottom w:val="single" w:color="000000" w:sz="4" w:space="0"/>
              <w:right w:val="nil"/>
            </w:tcBorders>
            <w:shd w:val="clear" w:color="auto" w:fill="auto"/>
            <w:noWrap/>
            <w:vAlign w:val="center"/>
          </w:tcPr>
          <w:p w14:paraId="199ED71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4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D5231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批</w:t>
            </w:r>
          </w:p>
        </w:tc>
      </w:tr>
      <w:tr w14:paraId="744BD70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trPr>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AD6BC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89</w:t>
            </w:r>
          </w:p>
        </w:tc>
        <w:tc>
          <w:tcPr>
            <w:tcW w:w="13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6CA9A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机柜</w:t>
            </w:r>
          </w:p>
        </w:tc>
        <w:tc>
          <w:tcPr>
            <w:tcW w:w="143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E8CE5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机房建设</w:t>
            </w:r>
          </w:p>
        </w:tc>
        <w:tc>
          <w:tcPr>
            <w:tcW w:w="38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D3AD0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42U</w:t>
            </w:r>
          </w:p>
        </w:tc>
        <w:tc>
          <w:tcPr>
            <w:tcW w:w="616" w:type="dxa"/>
            <w:tcBorders>
              <w:top w:val="single" w:color="000000" w:sz="4" w:space="0"/>
              <w:left w:val="single" w:color="000000" w:sz="4" w:space="0"/>
              <w:bottom w:val="single" w:color="000000" w:sz="4" w:space="0"/>
              <w:right w:val="nil"/>
            </w:tcBorders>
            <w:shd w:val="clear" w:color="auto" w:fill="auto"/>
            <w:noWrap/>
            <w:vAlign w:val="center"/>
          </w:tcPr>
          <w:p w14:paraId="552C218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w:t>
            </w:r>
          </w:p>
        </w:tc>
        <w:tc>
          <w:tcPr>
            <w:tcW w:w="4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97430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台</w:t>
            </w:r>
          </w:p>
        </w:tc>
      </w:tr>
      <w:tr w14:paraId="72F5900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trPr>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E1DC8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90</w:t>
            </w:r>
          </w:p>
        </w:tc>
        <w:tc>
          <w:tcPr>
            <w:tcW w:w="13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B7B4F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消防系统</w:t>
            </w:r>
          </w:p>
        </w:tc>
        <w:tc>
          <w:tcPr>
            <w:tcW w:w="143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95C8B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机房建设</w:t>
            </w:r>
          </w:p>
        </w:tc>
        <w:tc>
          <w:tcPr>
            <w:tcW w:w="38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64A20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12口32A竖装PDU,输入32A，输出12位国标10A</w:t>
            </w:r>
          </w:p>
        </w:tc>
        <w:tc>
          <w:tcPr>
            <w:tcW w:w="616" w:type="dxa"/>
            <w:tcBorders>
              <w:top w:val="single" w:color="000000" w:sz="4" w:space="0"/>
              <w:left w:val="single" w:color="000000" w:sz="4" w:space="0"/>
              <w:bottom w:val="single" w:color="000000" w:sz="4" w:space="0"/>
              <w:right w:val="nil"/>
            </w:tcBorders>
            <w:shd w:val="clear" w:color="auto" w:fill="auto"/>
            <w:noWrap/>
            <w:vAlign w:val="center"/>
          </w:tcPr>
          <w:p w14:paraId="12B9021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4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8EB9E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台</w:t>
            </w:r>
          </w:p>
        </w:tc>
      </w:tr>
      <w:tr w14:paraId="45C710E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trPr>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7ADCB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91</w:t>
            </w:r>
          </w:p>
        </w:tc>
        <w:tc>
          <w:tcPr>
            <w:tcW w:w="13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778AA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消防系统</w:t>
            </w:r>
          </w:p>
        </w:tc>
        <w:tc>
          <w:tcPr>
            <w:tcW w:w="143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D7C10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机房建设</w:t>
            </w:r>
          </w:p>
        </w:tc>
        <w:tc>
          <w:tcPr>
            <w:tcW w:w="3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71BA2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点型感温火灾探测器</w:t>
            </w:r>
          </w:p>
        </w:tc>
        <w:tc>
          <w:tcPr>
            <w:tcW w:w="616" w:type="dxa"/>
            <w:tcBorders>
              <w:top w:val="single" w:color="000000" w:sz="4" w:space="0"/>
              <w:left w:val="single" w:color="000000" w:sz="4" w:space="0"/>
              <w:bottom w:val="single" w:color="000000" w:sz="4" w:space="0"/>
              <w:right w:val="nil"/>
            </w:tcBorders>
            <w:shd w:val="clear" w:color="auto" w:fill="auto"/>
            <w:noWrap/>
            <w:vAlign w:val="center"/>
          </w:tcPr>
          <w:p w14:paraId="3EB5CAA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4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03D45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套</w:t>
            </w:r>
          </w:p>
        </w:tc>
      </w:tr>
      <w:tr w14:paraId="540ADC4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trPr>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7445B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92</w:t>
            </w:r>
          </w:p>
        </w:tc>
        <w:tc>
          <w:tcPr>
            <w:tcW w:w="13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D1D04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消防系统</w:t>
            </w:r>
          </w:p>
        </w:tc>
        <w:tc>
          <w:tcPr>
            <w:tcW w:w="143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55AD5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机房建设</w:t>
            </w:r>
          </w:p>
        </w:tc>
        <w:tc>
          <w:tcPr>
            <w:tcW w:w="3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BED56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探测器底座</w:t>
            </w:r>
          </w:p>
        </w:tc>
        <w:tc>
          <w:tcPr>
            <w:tcW w:w="616" w:type="dxa"/>
            <w:tcBorders>
              <w:top w:val="single" w:color="000000" w:sz="4" w:space="0"/>
              <w:left w:val="single" w:color="000000" w:sz="4" w:space="0"/>
              <w:bottom w:val="single" w:color="000000" w:sz="4" w:space="0"/>
              <w:right w:val="nil"/>
            </w:tcBorders>
            <w:shd w:val="clear" w:color="auto" w:fill="auto"/>
            <w:noWrap/>
            <w:vAlign w:val="center"/>
          </w:tcPr>
          <w:p w14:paraId="463863D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4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3F268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套</w:t>
            </w:r>
          </w:p>
        </w:tc>
      </w:tr>
      <w:tr w14:paraId="572BC72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trPr>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22BFC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93</w:t>
            </w:r>
          </w:p>
        </w:tc>
        <w:tc>
          <w:tcPr>
            <w:tcW w:w="13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582B1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消防系统</w:t>
            </w:r>
          </w:p>
        </w:tc>
        <w:tc>
          <w:tcPr>
            <w:tcW w:w="143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D5461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机房建设</w:t>
            </w:r>
          </w:p>
        </w:tc>
        <w:tc>
          <w:tcPr>
            <w:tcW w:w="3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128A0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火灾声光警报器</w:t>
            </w:r>
          </w:p>
        </w:tc>
        <w:tc>
          <w:tcPr>
            <w:tcW w:w="616" w:type="dxa"/>
            <w:tcBorders>
              <w:top w:val="single" w:color="000000" w:sz="4" w:space="0"/>
              <w:left w:val="single" w:color="000000" w:sz="4" w:space="0"/>
              <w:bottom w:val="single" w:color="000000" w:sz="4" w:space="0"/>
              <w:right w:val="nil"/>
            </w:tcBorders>
            <w:shd w:val="clear" w:color="auto" w:fill="auto"/>
            <w:noWrap/>
            <w:vAlign w:val="center"/>
          </w:tcPr>
          <w:p w14:paraId="437DB33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4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04214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套</w:t>
            </w:r>
          </w:p>
        </w:tc>
      </w:tr>
      <w:tr w14:paraId="6D97397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trPr>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1D6BD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94</w:t>
            </w:r>
          </w:p>
        </w:tc>
        <w:tc>
          <w:tcPr>
            <w:tcW w:w="13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9B4FA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消防系统</w:t>
            </w:r>
          </w:p>
        </w:tc>
        <w:tc>
          <w:tcPr>
            <w:tcW w:w="143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785EA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机房建设</w:t>
            </w:r>
          </w:p>
        </w:tc>
        <w:tc>
          <w:tcPr>
            <w:tcW w:w="3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EA4A8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紧急启动/停止盒</w:t>
            </w:r>
          </w:p>
        </w:tc>
        <w:tc>
          <w:tcPr>
            <w:tcW w:w="616" w:type="dxa"/>
            <w:tcBorders>
              <w:top w:val="single" w:color="000000" w:sz="4" w:space="0"/>
              <w:left w:val="single" w:color="000000" w:sz="4" w:space="0"/>
              <w:bottom w:val="single" w:color="000000" w:sz="4" w:space="0"/>
              <w:right w:val="nil"/>
            </w:tcBorders>
            <w:shd w:val="clear" w:color="auto" w:fill="auto"/>
            <w:noWrap/>
            <w:vAlign w:val="center"/>
          </w:tcPr>
          <w:p w14:paraId="2C3F966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4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C99F1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套</w:t>
            </w:r>
          </w:p>
        </w:tc>
      </w:tr>
      <w:tr w14:paraId="071A320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trPr>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DF82B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95</w:t>
            </w:r>
          </w:p>
        </w:tc>
        <w:tc>
          <w:tcPr>
            <w:tcW w:w="13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30E60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消防系统</w:t>
            </w:r>
          </w:p>
        </w:tc>
        <w:tc>
          <w:tcPr>
            <w:tcW w:w="143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950EE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机房建设</w:t>
            </w:r>
          </w:p>
        </w:tc>
        <w:tc>
          <w:tcPr>
            <w:tcW w:w="3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5A093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气体释放警报器</w:t>
            </w:r>
          </w:p>
        </w:tc>
        <w:tc>
          <w:tcPr>
            <w:tcW w:w="616" w:type="dxa"/>
            <w:tcBorders>
              <w:top w:val="single" w:color="000000" w:sz="4" w:space="0"/>
              <w:left w:val="single" w:color="000000" w:sz="4" w:space="0"/>
              <w:bottom w:val="single" w:color="000000" w:sz="4" w:space="0"/>
              <w:right w:val="nil"/>
            </w:tcBorders>
            <w:shd w:val="clear" w:color="auto" w:fill="auto"/>
            <w:noWrap/>
            <w:vAlign w:val="center"/>
          </w:tcPr>
          <w:p w14:paraId="51B07D1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4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E88E1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套</w:t>
            </w:r>
          </w:p>
        </w:tc>
      </w:tr>
      <w:tr w14:paraId="1073008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trPr>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527E1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96</w:t>
            </w:r>
          </w:p>
        </w:tc>
        <w:tc>
          <w:tcPr>
            <w:tcW w:w="13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485EB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消防系统</w:t>
            </w:r>
          </w:p>
        </w:tc>
        <w:tc>
          <w:tcPr>
            <w:tcW w:w="143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6F364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机房建设</w:t>
            </w:r>
          </w:p>
        </w:tc>
        <w:tc>
          <w:tcPr>
            <w:tcW w:w="3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60882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气体灭火控制器</w:t>
            </w:r>
          </w:p>
        </w:tc>
        <w:tc>
          <w:tcPr>
            <w:tcW w:w="616" w:type="dxa"/>
            <w:tcBorders>
              <w:top w:val="single" w:color="000000" w:sz="4" w:space="0"/>
              <w:left w:val="single" w:color="000000" w:sz="4" w:space="0"/>
              <w:bottom w:val="single" w:color="000000" w:sz="4" w:space="0"/>
              <w:right w:val="nil"/>
            </w:tcBorders>
            <w:shd w:val="clear" w:color="auto" w:fill="auto"/>
            <w:noWrap/>
            <w:vAlign w:val="center"/>
          </w:tcPr>
          <w:p w14:paraId="6AFE93A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4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8C51C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台</w:t>
            </w:r>
          </w:p>
        </w:tc>
      </w:tr>
      <w:tr w14:paraId="2FD70AC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trPr>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85E59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97</w:t>
            </w:r>
          </w:p>
        </w:tc>
        <w:tc>
          <w:tcPr>
            <w:tcW w:w="13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1789B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消防系统</w:t>
            </w:r>
          </w:p>
        </w:tc>
        <w:tc>
          <w:tcPr>
            <w:tcW w:w="143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64925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机房建设</w:t>
            </w:r>
          </w:p>
        </w:tc>
        <w:tc>
          <w:tcPr>
            <w:tcW w:w="3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B6011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输出模块</w:t>
            </w:r>
          </w:p>
        </w:tc>
        <w:tc>
          <w:tcPr>
            <w:tcW w:w="616" w:type="dxa"/>
            <w:tcBorders>
              <w:top w:val="single" w:color="000000" w:sz="4" w:space="0"/>
              <w:left w:val="single" w:color="000000" w:sz="4" w:space="0"/>
              <w:bottom w:val="single" w:color="000000" w:sz="4" w:space="0"/>
              <w:right w:val="nil"/>
            </w:tcBorders>
            <w:shd w:val="clear" w:color="auto" w:fill="auto"/>
            <w:noWrap/>
            <w:vAlign w:val="center"/>
          </w:tcPr>
          <w:p w14:paraId="5453CCA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4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4CE70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套</w:t>
            </w:r>
          </w:p>
        </w:tc>
      </w:tr>
      <w:tr w14:paraId="4B17999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trPr>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0E998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98</w:t>
            </w:r>
          </w:p>
        </w:tc>
        <w:tc>
          <w:tcPr>
            <w:tcW w:w="13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F3A94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消防系统</w:t>
            </w:r>
          </w:p>
        </w:tc>
        <w:tc>
          <w:tcPr>
            <w:tcW w:w="143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CEAF8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机房建设</w:t>
            </w:r>
          </w:p>
        </w:tc>
        <w:tc>
          <w:tcPr>
            <w:tcW w:w="3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5164B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配套，模块底座</w:t>
            </w:r>
          </w:p>
        </w:tc>
        <w:tc>
          <w:tcPr>
            <w:tcW w:w="616" w:type="dxa"/>
            <w:tcBorders>
              <w:top w:val="single" w:color="000000" w:sz="4" w:space="0"/>
              <w:left w:val="single" w:color="000000" w:sz="4" w:space="0"/>
              <w:bottom w:val="single" w:color="000000" w:sz="4" w:space="0"/>
              <w:right w:val="nil"/>
            </w:tcBorders>
            <w:shd w:val="clear" w:color="auto" w:fill="auto"/>
            <w:noWrap/>
            <w:vAlign w:val="center"/>
          </w:tcPr>
          <w:p w14:paraId="6064734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4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F8EC3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套</w:t>
            </w:r>
          </w:p>
        </w:tc>
      </w:tr>
      <w:tr w14:paraId="10611D2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80" w:hRule="atLeast"/>
        </w:trPr>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D20A5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99</w:t>
            </w:r>
          </w:p>
        </w:tc>
        <w:tc>
          <w:tcPr>
            <w:tcW w:w="13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01E5C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消防系统</w:t>
            </w:r>
          </w:p>
        </w:tc>
        <w:tc>
          <w:tcPr>
            <w:tcW w:w="143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B1B69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机房建设</w:t>
            </w:r>
          </w:p>
        </w:tc>
        <w:tc>
          <w:tcPr>
            <w:tcW w:w="3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6379D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预制七氟丙烷气体灭火装置（单1）</w:t>
            </w:r>
          </w:p>
        </w:tc>
        <w:tc>
          <w:tcPr>
            <w:tcW w:w="616" w:type="dxa"/>
            <w:tcBorders>
              <w:top w:val="single" w:color="000000" w:sz="4" w:space="0"/>
              <w:left w:val="single" w:color="000000" w:sz="4" w:space="0"/>
              <w:bottom w:val="single" w:color="000000" w:sz="4" w:space="0"/>
              <w:right w:val="nil"/>
            </w:tcBorders>
            <w:shd w:val="clear" w:color="auto" w:fill="auto"/>
            <w:noWrap/>
            <w:vAlign w:val="center"/>
          </w:tcPr>
          <w:p w14:paraId="33D141C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4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10890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套</w:t>
            </w:r>
          </w:p>
        </w:tc>
      </w:tr>
      <w:tr w14:paraId="23D54C9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trPr>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D02BD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100</w:t>
            </w:r>
          </w:p>
        </w:tc>
        <w:tc>
          <w:tcPr>
            <w:tcW w:w="13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E34F1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消防系统</w:t>
            </w:r>
          </w:p>
        </w:tc>
        <w:tc>
          <w:tcPr>
            <w:tcW w:w="143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A5D75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机房建设</w:t>
            </w:r>
          </w:p>
        </w:tc>
        <w:tc>
          <w:tcPr>
            <w:tcW w:w="3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F695A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七氟丙烷药剂</w:t>
            </w:r>
          </w:p>
        </w:tc>
        <w:tc>
          <w:tcPr>
            <w:tcW w:w="616" w:type="dxa"/>
            <w:tcBorders>
              <w:top w:val="single" w:color="000000" w:sz="4" w:space="0"/>
              <w:left w:val="single" w:color="000000" w:sz="4" w:space="0"/>
              <w:bottom w:val="single" w:color="000000" w:sz="4" w:space="0"/>
              <w:right w:val="nil"/>
            </w:tcBorders>
            <w:shd w:val="clear" w:color="auto" w:fill="auto"/>
            <w:noWrap/>
            <w:vAlign w:val="center"/>
          </w:tcPr>
          <w:p w14:paraId="632B048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49</w:t>
            </w:r>
          </w:p>
        </w:tc>
        <w:tc>
          <w:tcPr>
            <w:tcW w:w="4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43A6D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kg</w:t>
            </w:r>
          </w:p>
        </w:tc>
      </w:tr>
      <w:tr w14:paraId="0907444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trPr>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73482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101</w:t>
            </w:r>
          </w:p>
        </w:tc>
        <w:tc>
          <w:tcPr>
            <w:tcW w:w="13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B39B3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消防系统</w:t>
            </w:r>
          </w:p>
        </w:tc>
        <w:tc>
          <w:tcPr>
            <w:tcW w:w="143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84DE4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机房建设</w:t>
            </w:r>
          </w:p>
        </w:tc>
        <w:tc>
          <w:tcPr>
            <w:tcW w:w="3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BDF79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泄压装置</w:t>
            </w:r>
          </w:p>
        </w:tc>
        <w:tc>
          <w:tcPr>
            <w:tcW w:w="616" w:type="dxa"/>
            <w:tcBorders>
              <w:top w:val="single" w:color="000000" w:sz="4" w:space="0"/>
              <w:left w:val="single" w:color="000000" w:sz="4" w:space="0"/>
              <w:bottom w:val="single" w:color="000000" w:sz="4" w:space="0"/>
              <w:right w:val="nil"/>
            </w:tcBorders>
            <w:shd w:val="clear" w:color="auto" w:fill="auto"/>
            <w:noWrap/>
            <w:vAlign w:val="center"/>
          </w:tcPr>
          <w:p w14:paraId="5ED2F29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4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7049E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套</w:t>
            </w:r>
          </w:p>
        </w:tc>
      </w:tr>
      <w:tr w14:paraId="090406B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trPr>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30729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102</w:t>
            </w:r>
          </w:p>
        </w:tc>
        <w:tc>
          <w:tcPr>
            <w:tcW w:w="13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D355D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报警系统</w:t>
            </w:r>
          </w:p>
        </w:tc>
        <w:tc>
          <w:tcPr>
            <w:tcW w:w="143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1537B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机房建设</w:t>
            </w:r>
          </w:p>
        </w:tc>
        <w:tc>
          <w:tcPr>
            <w:tcW w:w="3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0CB35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双头应急灯</w:t>
            </w:r>
          </w:p>
        </w:tc>
        <w:tc>
          <w:tcPr>
            <w:tcW w:w="616" w:type="dxa"/>
            <w:tcBorders>
              <w:top w:val="single" w:color="000000" w:sz="4" w:space="0"/>
              <w:left w:val="single" w:color="000000" w:sz="4" w:space="0"/>
              <w:bottom w:val="single" w:color="000000" w:sz="4" w:space="0"/>
              <w:right w:val="nil"/>
            </w:tcBorders>
            <w:shd w:val="clear" w:color="auto" w:fill="auto"/>
            <w:noWrap/>
            <w:vAlign w:val="center"/>
          </w:tcPr>
          <w:p w14:paraId="35A2857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4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6EF64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套</w:t>
            </w:r>
          </w:p>
        </w:tc>
      </w:tr>
      <w:tr w14:paraId="69CDCD0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trPr>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DA923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103</w:t>
            </w:r>
          </w:p>
        </w:tc>
        <w:tc>
          <w:tcPr>
            <w:tcW w:w="13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4CF7D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报警系统</w:t>
            </w:r>
          </w:p>
        </w:tc>
        <w:tc>
          <w:tcPr>
            <w:tcW w:w="143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A738C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机房建设</w:t>
            </w:r>
          </w:p>
        </w:tc>
        <w:tc>
          <w:tcPr>
            <w:tcW w:w="3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036F9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安全出口指示灯</w:t>
            </w:r>
          </w:p>
        </w:tc>
        <w:tc>
          <w:tcPr>
            <w:tcW w:w="616" w:type="dxa"/>
            <w:tcBorders>
              <w:top w:val="single" w:color="000000" w:sz="4" w:space="0"/>
              <w:left w:val="single" w:color="000000" w:sz="4" w:space="0"/>
              <w:bottom w:val="single" w:color="000000" w:sz="4" w:space="0"/>
              <w:right w:val="nil"/>
            </w:tcBorders>
            <w:shd w:val="clear" w:color="auto" w:fill="auto"/>
            <w:noWrap/>
            <w:vAlign w:val="center"/>
          </w:tcPr>
          <w:p w14:paraId="2A50CC7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4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021DA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套</w:t>
            </w:r>
          </w:p>
        </w:tc>
      </w:tr>
      <w:tr w14:paraId="19614F0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80" w:hRule="atLeast"/>
        </w:trPr>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D739C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104</w:t>
            </w:r>
          </w:p>
        </w:tc>
        <w:tc>
          <w:tcPr>
            <w:tcW w:w="13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67501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辅材</w:t>
            </w:r>
          </w:p>
        </w:tc>
        <w:tc>
          <w:tcPr>
            <w:tcW w:w="143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80C5B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综合布线</w:t>
            </w:r>
          </w:p>
        </w:tc>
        <w:tc>
          <w:tcPr>
            <w:tcW w:w="3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2EFC3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铜鼻子、标签、扎带、水晶头、桥架、底座等</w:t>
            </w:r>
          </w:p>
        </w:tc>
        <w:tc>
          <w:tcPr>
            <w:tcW w:w="616" w:type="dxa"/>
            <w:tcBorders>
              <w:top w:val="single" w:color="000000" w:sz="4" w:space="0"/>
              <w:left w:val="single" w:color="000000" w:sz="4" w:space="0"/>
              <w:bottom w:val="single" w:color="000000" w:sz="4" w:space="0"/>
              <w:right w:val="nil"/>
            </w:tcBorders>
            <w:shd w:val="clear" w:color="auto" w:fill="auto"/>
            <w:noWrap/>
            <w:vAlign w:val="center"/>
          </w:tcPr>
          <w:p w14:paraId="00F35E9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4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C4247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批</w:t>
            </w:r>
          </w:p>
        </w:tc>
      </w:tr>
      <w:tr w14:paraId="299EC13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190" w:hRule="atLeast"/>
        </w:trPr>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66D4C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105</w:t>
            </w:r>
          </w:p>
        </w:tc>
        <w:tc>
          <w:tcPr>
            <w:tcW w:w="13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8D2E6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PC服务器</w:t>
            </w:r>
          </w:p>
        </w:tc>
        <w:tc>
          <w:tcPr>
            <w:tcW w:w="143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FF766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主机</w:t>
            </w:r>
          </w:p>
        </w:tc>
        <w:tc>
          <w:tcPr>
            <w:tcW w:w="3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E5346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2U单路标准机架式服务器</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CPU：配置1颗 x86架构HYGON 7380处理器，核数≥32核，主频≥2.2GHz</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内存：配置128G DDR4，16根内存插槽，最大支持扩展至2TB内存</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硬盘：配置2块600G 10K 2.5寸SAS硬盘；最高可选支持12块3.5寸(兼容2.5寸)热插拔SATA/SAS硬盘，可选支持2块后置2.5寸热插拔SATA/SAS硬盘;</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阵列卡：配置SAS_HBA卡（支持RAID 0/1/10）；</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PCIE扩展：支持6个PCIe扩展插槽</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网口：板载2个千兆电口；支持选配10GbE、25GbE SFP+等多种网络接口；</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其他接口：配置1个千兆RJ-45管理接口，4个USB 3.0接口，2个位于机箱后部，2个位于机箱前部；1个VGA口，位于机箱后部；可选1个COM口位于机箱后部；</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 xml:space="preserve">电源：配置550W（1+1）高效铂金CRPS冗余电源 </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机箱规格：87.8mm(高)x 448mm(宽)x730mm(深)</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设备重量：约28千克（不含导轨）</w:t>
            </w:r>
          </w:p>
        </w:tc>
        <w:tc>
          <w:tcPr>
            <w:tcW w:w="616" w:type="dxa"/>
            <w:tcBorders>
              <w:top w:val="single" w:color="000000" w:sz="4" w:space="0"/>
              <w:left w:val="single" w:color="000000" w:sz="4" w:space="0"/>
              <w:bottom w:val="single" w:color="000000" w:sz="4" w:space="0"/>
              <w:right w:val="nil"/>
            </w:tcBorders>
            <w:shd w:val="clear" w:color="auto" w:fill="auto"/>
            <w:noWrap/>
            <w:vAlign w:val="center"/>
          </w:tcPr>
          <w:p w14:paraId="56683B2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4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82E95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台</w:t>
            </w:r>
          </w:p>
        </w:tc>
      </w:tr>
      <w:tr w14:paraId="4FB9813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80" w:hRule="atLeast"/>
        </w:trPr>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84A51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106</w:t>
            </w:r>
          </w:p>
        </w:tc>
        <w:tc>
          <w:tcPr>
            <w:tcW w:w="133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68E72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机柜</w:t>
            </w:r>
          </w:p>
        </w:tc>
        <w:tc>
          <w:tcPr>
            <w:tcW w:w="143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F3F6C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机房建设</w:t>
            </w:r>
          </w:p>
        </w:tc>
        <w:tc>
          <w:tcPr>
            <w:tcW w:w="38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F3020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机柜宽600（mm），深1000（mm），高2000(mm)，42U</w:t>
            </w:r>
          </w:p>
        </w:tc>
        <w:tc>
          <w:tcPr>
            <w:tcW w:w="616" w:type="dxa"/>
            <w:tcBorders>
              <w:top w:val="single" w:color="000000" w:sz="4" w:space="0"/>
              <w:left w:val="single" w:color="000000" w:sz="4" w:space="0"/>
              <w:bottom w:val="single" w:color="000000" w:sz="4" w:space="0"/>
              <w:right w:val="nil"/>
            </w:tcBorders>
            <w:shd w:val="clear" w:color="auto" w:fill="auto"/>
            <w:noWrap/>
            <w:vAlign w:val="center"/>
          </w:tcPr>
          <w:p w14:paraId="6774131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4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BFB75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台</w:t>
            </w:r>
          </w:p>
        </w:tc>
      </w:tr>
    </w:tbl>
    <w:p w14:paraId="575BE22B">
      <w:pPr>
        <w:numPr>
          <w:ilvl w:val="0"/>
          <w:numId w:val="0"/>
        </w:numPr>
        <w:rPr>
          <w:rFonts w:hint="eastAsia"/>
          <w:b/>
        </w:rPr>
      </w:pPr>
    </w:p>
    <w:p w14:paraId="7639F454">
      <w:pPr>
        <w:numPr>
          <w:ilvl w:val="0"/>
          <w:numId w:val="2"/>
        </w:numPr>
        <w:ind w:firstLine="482"/>
        <w:rPr>
          <w:rFonts w:hint="eastAsia"/>
          <w:b/>
        </w:rPr>
      </w:pPr>
      <w:r>
        <w:rPr>
          <w:rFonts w:hint="eastAsia"/>
          <w:b/>
          <w:lang w:val="en-US" w:eastAsia="zh-CN"/>
        </w:rPr>
        <w:t>产品软件购置清单：</w:t>
      </w:r>
    </w:p>
    <w:tbl>
      <w:tblPr>
        <w:tblStyle w:val="5"/>
        <w:tblW w:w="4970" w:type="pct"/>
        <w:tblInd w:w="0" w:type="dxa"/>
        <w:tblLayout w:type="autofit"/>
        <w:tblCellMar>
          <w:top w:w="0" w:type="dxa"/>
          <w:left w:w="0" w:type="dxa"/>
          <w:bottom w:w="0" w:type="dxa"/>
          <w:right w:w="0" w:type="dxa"/>
        </w:tblCellMar>
      </w:tblPr>
      <w:tblGrid>
        <w:gridCol w:w="515"/>
        <w:gridCol w:w="1458"/>
        <w:gridCol w:w="1556"/>
        <w:gridCol w:w="3632"/>
        <w:gridCol w:w="626"/>
        <w:gridCol w:w="495"/>
      </w:tblGrid>
      <w:tr w14:paraId="13DCF891">
        <w:tblPrEx>
          <w:tblCellMar>
            <w:top w:w="0" w:type="dxa"/>
            <w:left w:w="0" w:type="dxa"/>
            <w:bottom w:w="0" w:type="dxa"/>
            <w:right w:w="0" w:type="dxa"/>
          </w:tblCellMar>
        </w:tblPrEx>
        <w:trPr>
          <w:trHeight w:val="270" w:hRule="atLeast"/>
        </w:trPr>
        <w:tc>
          <w:tcPr>
            <w:tcW w:w="311" w:type="pct"/>
            <w:tcBorders>
              <w:top w:val="single" w:color="auto" w:sz="4" w:space="0"/>
              <w:left w:val="single" w:color="auto" w:sz="4" w:space="0"/>
              <w:bottom w:val="single" w:color="000000" w:sz="4" w:space="0"/>
              <w:right w:val="single" w:color="000000" w:sz="4" w:space="0"/>
            </w:tcBorders>
            <w:shd w:val="clear" w:color="auto" w:fill="auto"/>
            <w:noWrap/>
            <w:tcMar>
              <w:top w:w="15" w:type="dxa"/>
              <w:left w:w="15" w:type="dxa"/>
              <w:right w:w="15" w:type="dxa"/>
            </w:tcMar>
            <w:vAlign w:val="center"/>
          </w:tcPr>
          <w:p w14:paraId="6C845860">
            <w:pPr>
              <w:widowControl/>
              <w:spacing w:line="240" w:lineRule="auto"/>
              <w:ind w:firstLine="0" w:firstLineChars="0"/>
              <w:jc w:val="center"/>
              <w:textAlignment w:val="center"/>
              <w:rPr>
                <w:rFonts w:cs="宋体"/>
                <w:b/>
                <w:bCs/>
                <w:color w:val="000000"/>
                <w:sz w:val="22"/>
                <w:szCs w:val="22"/>
              </w:rPr>
            </w:pPr>
            <w:r>
              <w:rPr>
                <w:rFonts w:hint="eastAsia" w:cs="宋体"/>
                <w:b/>
                <w:bCs/>
                <w:color w:val="000000"/>
                <w:kern w:val="0"/>
                <w:sz w:val="22"/>
                <w:szCs w:val="22"/>
              </w:rPr>
              <w:t>序号</w:t>
            </w:r>
          </w:p>
        </w:tc>
        <w:tc>
          <w:tcPr>
            <w:tcW w:w="880" w:type="pct"/>
            <w:tcBorders>
              <w:top w:val="single" w:color="auto"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B211646">
            <w:pPr>
              <w:widowControl/>
              <w:spacing w:line="240" w:lineRule="auto"/>
              <w:ind w:firstLine="0" w:firstLineChars="0"/>
              <w:jc w:val="center"/>
              <w:textAlignment w:val="center"/>
              <w:rPr>
                <w:rFonts w:cs="宋体"/>
                <w:b/>
                <w:bCs/>
                <w:color w:val="000000"/>
                <w:sz w:val="22"/>
                <w:szCs w:val="22"/>
              </w:rPr>
            </w:pPr>
            <w:r>
              <w:rPr>
                <w:rFonts w:hint="eastAsia" w:cs="宋体"/>
                <w:b/>
                <w:bCs/>
                <w:color w:val="000000"/>
                <w:kern w:val="0"/>
                <w:sz w:val="22"/>
                <w:szCs w:val="22"/>
              </w:rPr>
              <w:t>名称</w:t>
            </w:r>
          </w:p>
        </w:tc>
        <w:tc>
          <w:tcPr>
            <w:tcW w:w="939" w:type="pct"/>
            <w:tcBorders>
              <w:top w:val="single" w:color="auto"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1CA3E54">
            <w:pPr>
              <w:widowControl/>
              <w:spacing w:line="240" w:lineRule="auto"/>
              <w:ind w:firstLine="0" w:firstLineChars="0"/>
              <w:jc w:val="center"/>
              <w:textAlignment w:val="center"/>
              <w:rPr>
                <w:rFonts w:cs="宋体"/>
                <w:b/>
                <w:bCs/>
                <w:color w:val="000000"/>
                <w:sz w:val="22"/>
                <w:szCs w:val="22"/>
              </w:rPr>
            </w:pPr>
            <w:r>
              <w:rPr>
                <w:rFonts w:hint="eastAsia" w:cs="宋体"/>
                <w:b/>
                <w:bCs/>
                <w:color w:val="000000"/>
                <w:kern w:val="0"/>
                <w:sz w:val="22"/>
                <w:szCs w:val="22"/>
              </w:rPr>
              <w:t>类别</w:t>
            </w:r>
          </w:p>
        </w:tc>
        <w:tc>
          <w:tcPr>
            <w:tcW w:w="2192" w:type="pct"/>
            <w:tcBorders>
              <w:top w:val="single" w:color="auto"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D6AA69F">
            <w:pPr>
              <w:widowControl/>
              <w:spacing w:line="240" w:lineRule="auto"/>
              <w:ind w:firstLine="0" w:firstLineChars="0"/>
              <w:jc w:val="center"/>
              <w:textAlignment w:val="center"/>
              <w:rPr>
                <w:rFonts w:cs="宋体"/>
                <w:b/>
                <w:bCs/>
                <w:color w:val="000000"/>
                <w:sz w:val="22"/>
                <w:szCs w:val="22"/>
              </w:rPr>
            </w:pPr>
            <w:r>
              <w:rPr>
                <w:rFonts w:hint="eastAsia" w:cs="宋体"/>
                <w:b/>
                <w:bCs/>
                <w:color w:val="000000"/>
                <w:kern w:val="0"/>
                <w:sz w:val="22"/>
                <w:szCs w:val="22"/>
              </w:rPr>
              <w:t>功能说明/配置要求</w:t>
            </w:r>
          </w:p>
        </w:tc>
        <w:tc>
          <w:tcPr>
            <w:tcW w:w="378" w:type="pct"/>
            <w:tcBorders>
              <w:top w:val="single" w:color="auto" w:sz="4" w:space="0"/>
              <w:left w:val="single" w:color="000000" w:sz="4" w:space="0"/>
              <w:bottom w:val="single" w:color="000000" w:sz="4" w:space="0"/>
              <w:right w:val="single" w:color="auto" w:sz="4" w:space="0"/>
            </w:tcBorders>
            <w:shd w:val="clear" w:color="auto" w:fill="auto"/>
            <w:noWrap/>
            <w:tcMar>
              <w:top w:w="15" w:type="dxa"/>
              <w:left w:w="15" w:type="dxa"/>
              <w:right w:w="15" w:type="dxa"/>
            </w:tcMar>
            <w:vAlign w:val="center"/>
          </w:tcPr>
          <w:p w14:paraId="362A1E9C">
            <w:pPr>
              <w:widowControl/>
              <w:spacing w:line="240" w:lineRule="auto"/>
              <w:ind w:firstLine="0" w:firstLineChars="0"/>
              <w:jc w:val="center"/>
              <w:textAlignment w:val="center"/>
              <w:rPr>
                <w:rFonts w:cs="宋体"/>
                <w:b/>
                <w:bCs/>
                <w:color w:val="000000"/>
                <w:sz w:val="22"/>
                <w:szCs w:val="22"/>
              </w:rPr>
            </w:pPr>
            <w:r>
              <w:rPr>
                <w:rFonts w:hint="eastAsia" w:cs="宋体"/>
                <w:b/>
                <w:bCs/>
                <w:color w:val="000000"/>
                <w:kern w:val="0"/>
                <w:sz w:val="22"/>
                <w:szCs w:val="22"/>
              </w:rPr>
              <w:t>数量</w:t>
            </w:r>
          </w:p>
        </w:tc>
        <w:tc>
          <w:tcPr>
            <w:tcW w:w="298" w:type="pct"/>
            <w:tcBorders>
              <w:top w:val="single" w:color="auto" w:sz="4" w:space="0"/>
              <w:left w:val="single" w:color="000000" w:sz="4" w:space="0"/>
              <w:bottom w:val="single" w:color="000000" w:sz="4" w:space="0"/>
              <w:right w:val="single" w:color="auto" w:sz="4" w:space="0"/>
            </w:tcBorders>
            <w:vAlign w:val="center"/>
          </w:tcPr>
          <w:p w14:paraId="420B7E72">
            <w:pPr>
              <w:widowControl/>
              <w:spacing w:line="240" w:lineRule="auto"/>
              <w:ind w:firstLine="0" w:firstLineChars="0"/>
              <w:jc w:val="center"/>
              <w:textAlignment w:val="center"/>
              <w:rPr>
                <w:rFonts w:cs="宋体"/>
                <w:b/>
                <w:bCs/>
                <w:color w:val="000000"/>
                <w:kern w:val="0"/>
                <w:sz w:val="22"/>
                <w:szCs w:val="22"/>
              </w:rPr>
            </w:pPr>
            <w:r>
              <w:rPr>
                <w:rFonts w:hint="eastAsia" w:cs="宋体"/>
                <w:b/>
                <w:bCs/>
                <w:color w:val="000000"/>
                <w:kern w:val="0"/>
                <w:sz w:val="22"/>
                <w:szCs w:val="22"/>
              </w:rPr>
              <w:t>单位</w:t>
            </w:r>
          </w:p>
        </w:tc>
      </w:tr>
      <w:tr w14:paraId="1FB2ED0C">
        <w:tblPrEx>
          <w:tblCellMar>
            <w:top w:w="0" w:type="dxa"/>
            <w:left w:w="0" w:type="dxa"/>
            <w:bottom w:w="0" w:type="dxa"/>
            <w:right w:w="0" w:type="dxa"/>
          </w:tblCellMar>
        </w:tblPrEx>
        <w:trPr>
          <w:trHeight w:val="825" w:hRule="atLeast"/>
        </w:trPr>
        <w:tc>
          <w:tcPr>
            <w:tcW w:w="311" w:type="pct"/>
            <w:tcBorders>
              <w:top w:val="single" w:color="000000" w:sz="4" w:space="0"/>
              <w:left w:val="single" w:color="auto" w:sz="4" w:space="0"/>
              <w:bottom w:val="single" w:color="000000" w:sz="4" w:space="0"/>
              <w:right w:val="single" w:color="000000" w:sz="4" w:space="0"/>
            </w:tcBorders>
            <w:shd w:val="clear" w:color="auto" w:fill="auto"/>
            <w:tcMar>
              <w:top w:w="15" w:type="dxa"/>
              <w:left w:w="15" w:type="dxa"/>
              <w:right w:w="15" w:type="dxa"/>
            </w:tcMar>
            <w:vAlign w:val="center"/>
          </w:tcPr>
          <w:p w14:paraId="7CC380D3">
            <w:pPr>
              <w:widowControl/>
              <w:spacing w:line="240" w:lineRule="auto"/>
              <w:ind w:firstLine="0" w:firstLineChars="0"/>
              <w:jc w:val="center"/>
              <w:textAlignment w:val="center"/>
              <w:rPr>
                <w:rFonts w:cs="宋体"/>
                <w:color w:val="000000"/>
                <w:sz w:val="22"/>
                <w:szCs w:val="22"/>
              </w:rPr>
            </w:pPr>
            <w:r>
              <w:rPr>
                <w:rFonts w:hint="eastAsia" w:cs="宋体"/>
                <w:color w:val="000000"/>
                <w:kern w:val="0"/>
                <w:sz w:val="22"/>
                <w:szCs w:val="22"/>
              </w:rPr>
              <w:t>1</w:t>
            </w:r>
          </w:p>
        </w:tc>
        <w:tc>
          <w:tcPr>
            <w:tcW w:w="88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708CA0B">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eastAsia="宋体"/>
                <w:sz w:val="24"/>
                <w:szCs w:val="24"/>
                <w:lang w:val="en-US" w:eastAsia="zh-CN"/>
              </w:rPr>
            </w:pPr>
            <w:r>
              <w:rPr>
                <w:rFonts w:hint="eastAsia"/>
                <w:sz w:val="24"/>
                <w:szCs w:val="24"/>
                <w:lang w:val="en-US" w:eastAsia="zh-CN"/>
              </w:rPr>
              <w:t>监控授权</w:t>
            </w:r>
          </w:p>
        </w:tc>
        <w:tc>
          <w:tcPr>
            <w:tcW w:w="93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C777EB8">
            <w:pPr>
              <w:keepNext w:val="0"/>
              <w:keepLines w:val="0"/>
              <w:pageBreakBefore w:val="0"/>
              <w:widowControl w:val="0"/>
              <w:kinsoku/>
              <w:wordWrap/>
              <w:overflowPunct/>
              <w:topLinePunct w:val="0"/>
              <w:autoSpaceDE/>
              <w:autoSpaceDN/>
              <w:bidi w:val="0"/>
              <w:adjustRightInd/>
              <w:snapToGrid/>
              <w:ind w:firstLine="0" w:firstLineChars="0"/>
              <w:jc w:val="center"/>
              <w:textAlignment w:val="auto"/>
            </w:pPr>
            <w:r>
              <w:rPr>
                <w:rFonts w:hint="eastAsia"/>
              </w:rPr>
              <w:t>工具软件</w:t>
            </w:r>
          </w:p>
        </w:tc>
        <w:tc>
          <w:tcPr>
            <w:tcW w:w="219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7833901">
            <w:pPr>
              <w:spacing w:line="240" w:lineRule="auto"/>
              <w:ind w:firstLine="0" w:firstLineChars="0"/>
              <w:jc w:val="left"/>
              <w:rPr>
                <w:rFonts w:cs="宋体"/>
                <w:color w:val="000000"/>
                <w:sz w:val="22"/>
                <w:szCs w:val="22"/>
              </w:rPr>
            </w:pPr>
            <w:r>
              <w:rPr>
                <w:rFonts w:hint="eastAsia" w:cs="宋体"/>
                <w:color w:val="000000"/>
                <w:sz w:val="22"/>
                <w:szCs w:val="22"/>
              </w:rPr>
              <w:t>License授权</w:t>
            </w:r>
          </w:p>
        </w:tc>
        <w:tc>
          <w:tcPr>
            <w:tcW w:w="378" w:type="pct"/>
            <w:tcBorders>
              <w:top w:val="single" w:color="000000" w:sz="4" w:space="0"/>
              <w:left w:val="single" w:color="000000" w:sz="4" w:space="0"/>
              <w:bottom w:val="single" w:color="000000" w:sz="4" w:space="0"/>
              <w:right w:val="single" w:color="auto" w:sz="4" w:space="0"/>
            </w:tcBorders>
            <w:shd w:val="clear" w:color="auto" w:fill="auto"/>
            <w:tcMar>
              <w:top w:w="15" w:type="dxa"/>
              <w:left w:w="15" w:type="dxa"/>
              <w:right w:w="15" w:type="dxa"/>
            </w:tcMar>
            <w:vAlign w:val="center"/>
          </w:tcPr>
          <w:p w14:paraId="2732F50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eastAsia="宋体"/>
                <w:lang w:val="en-US" w:eastAsia="zh-CN"/>
              </w:rPr>
            </w:pPr>
            <w:r>
              <w:rPr>
                <w:rFonts w:hint="eastAsia"/>
                <w:lang w:val="en-US" w:eastAsia="zh-CN"/>
              </w:rPr>
              <w:t>1000</w:t>
            </w:r>
          </w:p>
        </w:tc>
        <w:tc>
          <w:tcPr>
            <w:tcW w:w="298" w:type="pct"/>
            <w:tcBorders>
              <w:top w:val="single" w:color="000000" w:sz="4" w:space="0"/>
              <w:left w:val="single" w:color="000000" w:sz="4" w:space="0"/>
              <w:bottom w:val="single" w:color="000000" w:sz="4" w:space="0"/>
              <w:right w:val="single" w:color="auto" w:sz="4" w:space="0"/>
            </w:tcBorders>
            <w:vAlign w:val="center"/>
          </w:tcPr>
          <w:p w14:paraId="3290AF0B">
            <w:pPr>
              <w:widowControl/>
              <w:spacing w:line="240" w:lineRule="auto"/>
              <w:ind w:firstLine="0" w:firstLineChars="0"/>
              <w:jc w:val="center"/>
              <w:textAlignment w:val="center"/>
              <w:rPr>
                <w:rFonts w:hint="default" w:eastAsia="宋体" w:cs="宋体"/>
                <w:color w:val="000000"/>
                <w:kern w:val="0"/>
                <w:sz w:val="22"/>
                <w:szCs w:val="22"/>
                <w:lang w:val="en-US" w:eastAsia="zh-CN"/>
              </w:rPr>
            </w:pPr>
            <w:r>
              <w:rPr>
                <w:rFonts w:hint="eastAsia" w:cs="宋体"/>
                <w:color w:val="000000"/>
                <w:kern w:val="0"/>
                <w:sz w:val="22"/>
                <w:szCs w:val="22"/>
                <w:lang w:val="en-US" w:eastAsia="zh-CN"/>
              </w:rPr>
              <w:t>个</w:t>
            </w:r>
          </w:p>
        </w:tc>
      </w:tr>
      <w:tr w14:paraId="134E4C74">
        <w:tblPrEx>
          <w:tblCellMar>
            <w:top w:w="0" w:type="dxa"/>
            <w:left w:w="0" w:type="dxa"/>
            <w:bottom w:w="0" w:type="dxa"/>
            <w:right w:w="0" w:type="dxa"/>
          </w:tblCellMar>
        </w:tblPrEx>
        <w:trPr>
          <w:trHeight w:val="825" w:hRule="atLeast"/>
        </w:trPr>
        <w:tc>
          <w:tcPr>
            <w:tcW w:w="311" w:type="pct"/>
            <w:tcBorders>
              <w:top w:val="single" w:color="000000" w:sz="4" w:space="0"/>
              <w:left w:val="single" w:color="auto" w:sz="4" w:space="0"/>
              <w:bottom w:val="single" w:color="000000" w:sz="4" w:space="0"/>
              <w:right w:val="single" w:color="000000" w:sz="4" w:space="0"/>
            </w:tcBorders>
            <w:shd w:val="clear" w:color="auto" w:fill="auto"/>
            <w:tcMar>
              <w:top w:w="15" w:type="dxa"/>
              <w:left w:w="15" w:type="dxa"/>
              <w:right w:w="15" w:type="dxa"/>
            </w:tcMar>
            <w:vAlign w:val="center"/>
          </w:tcPr>
          <w:p w14:paraId="2D21E6E4">
            <w:pPr>
              <w:widowControl/>
              <w:spacing w:line="240" w:lineRule="auto"/>
              <w:ind w:firstLine="0" w:firstLineChars="0"/>
              <w:jc w:val="center"/>
              <w:textAlignment w:val="center"/>
              <w:rPr>
                <w:rFonts w:hint="eastAsia" w:eastAsia="宋体" w:cs="宋体"/>
                <w:color w:val="000000"/>
                <w:kern w:val="0"/>
                <w:sz w:val="22"/>
                <w:szCs w:val="22"/>
                <w:lang w:val="en-US" w:eastAsia="zh-CN"/>
              </w:rPr>
            </w:pPr>
            <w:r>
              <w:rPr>
                <w:rFonts w:hint="eastAsia" w:cs="宋体"/>
                <w:color w:val="000000"/>
                <w:kern w:val="0"/>
                <w:sz w:val="22"/>
                <w:szCs w:val="22"/>
                <w:lang w:val="en-US" w:eastAsia="zh-CN"/>
              </w:rPr>
              <w:t>2</w:t>
            </w:r>
          </w:p>
        </w:tc>
        <w:tc>
          <w:tcPr>
            <w:tcW w:w="88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C801D5E">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sz w:val="24"/>
                <w:szCs w:val="24"/>
              </w:rPr>
            </w:pPr>
            <w:r>
              <w:rPr>
                <w:rFonts w:hint="eastAsia"/>
                <w:sz w:val="24"/>
                <w:szCs w:val="24"/>
              </w:rPr>
              <w:t>门禁系统管理软件</w:t>
            </w:r>
          </w:p>
        </w:tc>
        <w:tc>
          <w:tcPr>
            <w:tcW w:w="93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197AB7E">
            <w:pPr>
              <w:keepNext w:val="0"/>
              <w:keepLines w:val="0"/>
              <w:pageBreakBefore w:val="0"/>
              <w:widowControl w:val="0"/>
              <w:kinsoku/>
              <w:wordWrap/>
              <w:overflowPunct/>
              <w:topLinePunct w:val="0"/>
              <w:autoSpaceDE/>
              <w:autoSpaceDN/>
              <w:bidi w:val="0"/>
              <w:adjustRightInd/>
              <w:snapToGrid/>
              <w:ind w:firstLine="0" w:firstLineChars="0"/>
              <w:jc w:val="center"/>
              <w:textAlignment w:val="auto"/>
            </w:pPr>
            <w:r>
              <w:rPr>
                <w:rFonts w:hint="eastAsia"/>
              </w:rPr>
              <w:t>工具软件</w:t>
            </w:r>
          </w:p>
        </w:tc>
        <w:tc>
          <w:tcPr>
            <w:tcW w:w="219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34EBD0E">
            <w:pPr>
              <w:spacing w:line="240" w:lineRule="auto"/>
              <w:ind w:firstLine="0" w:firstLineChars="0"/>
              <w:jc w:val="left"/>
              <w:rPr>
                <w:rFonts w:cs="宋体"/>
                <w:color w:val="000000"/>
                <w:sz w:val="22"/>
                <w:szCs w:val="22"/>
              </w:rPr>
            </w:pPr>
            <w:r>
              <w:rPr>
                <w:rFonts w:hint="eastAsia" w:cs="宋体"/>
                <w:color w:val="000000"/>
                <w:sz w:val="22"/>
                <w:szCs w:val="22"/>
              </w:rPr>
              <w:t>门禁系统管理软件</w:t>
            </w:r>
          </w:p>
        </w:tc>
        <w:tc>
          <w:tcPr>
            <w:tcW w:w="378" w:type="pct"/>
            <w:tcBorders>
              <w:top w:val="single" w:color="000000" w:sz="4" w:space="0"/>
              <w:left w:val="single" w:color="000000" w:sz="4" w:space="0"/>
              <w:bottom w:val="single" w:color="000000" w:sz="4" w:space="0"/>
              <w:right w:val="single" w:color="auto" w:sz="4" w:space="0"/>
            </w:tcBorders>
            <w:shd w:val="clear" w:color="auto" w:fill="auto"/>
            <w:tcMar>
              <w:top w:w="15" w:type="dxa"/>
              <w:left w:w="15" w:type="dxa"/>
              <w:right w:w="15" w:type="dxa"/>
            </w:tcMar>
            <w:vAlign w:val="center"/>
          </w:tcPr>
          <w:p w14:paraId="2BF2001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lang w:val="en-US" w:eastAsia="zh-CN"/>
              </w:rPr>
            </w:pPr>
            <w:r>
              <w:rPr>
                <w:rFonts w:hint="eastAsia"/>
                <w:lang w:val="en-US" w:eastAsia="zh-CN"/>
              </w:rPr>
              <w:t>1</w:t>
            </w:r>
          </w:p>
        </w:tc>
        <w:tc>
          <w:tcPr>
            <w:tcW w:w="298" w:type="pct"/>
            <w:tcBorders>
              <w:top w:val="single" w:color="000000" w:sz="4" w:space="0"/>
              <w:left w:val="single" w:color="000000" w:sz="4" w:space="0"/>
              <w:bottom w:val="single" w:color="000000" w:sz="4" w:space="0"/>
              <w:right w:val="single" w:color="auto" w:sz="4" w:space="0"/>
            </w:tcBorders>
            <w:vAlign w:val="center"/>
          </w:tcPr>
          <w:p w14:paraId="12969B91">
            <w:pPr>
              <w:widowControl/>
              <w:spacing w:line="240" w:lineRule="auto"/>
              <w:ind w:firstLine="0" w:firstLineChars="0"/>
              <w:jc w:val="center"/>
              <w:textAlignment w:val="center"/>
              <w:rPr>
                <w:rFonts w:hint="default" w:eastAsia="宋体" w:cs="宋体"/>
                <w:color w:val="000000"/>
                <w:kern w:val="0"/>
                <w:sz w:val="22"/>
                <w:szCs w:val="22"/>
                <w:lang w:val="en-US" w:eastAsia="zh-CN"/>
              </w:rPr>
            </w:pPr>
            <w:r>
              <w:rPr>
                <w:rFonts w:hint="eastAsia" w:cs="宋体"/>
                <w:color w:val="000000"/>
                <w:kern w:val="0"/>
                <w:sz w:val="22"/>
                <w:szCs w:val="22"/>
                <w:lang w:val="en-US" w:eastAsia="zh-CN"/>
              </w:rPr>
              <w:t>套</w:t>
            </w:r>
          </w:p>
        </w:tc>
      </w:tr>
      <w:tr w14:paraId="711CF1F1">
        <w:tblPrEx>
          <w:tblCellMar>
            <w:top w:w="0" w:type="dxa"/>
            <w:left w:w="0" w:type="dxa"/>
            <w:bottom w:w="0" w:type="dxa"/>
            <w:right w:w="0" w:type="dxa"/>
          </w:tblCellMar>
        </w:tblPrEx>
        <w:trPr>
          <w:trHeight w:val="825" w:hRule="atLeast"/>
        </w:trPr>
        <w:tc>
          <w:tcPr>
            <w:tcW w:w="311" w:type="pct"/>
            <w:tcBorders>
              <w:top w:val="single" w:color="000000" w:sz="4" w:space="0"/>
              <w:left w:val="single" w:color="auto" w:sz="4" w:space="0"/>
              <w:bottom w:val="single" w:color="000000" w:sz="4" w:space="0"/>
              <w:right w:val="single" w:color="000000" w:sz="4" w:space="0"/>
            </w:tcBorders>
            <w:shd w:val="clear" w:color="auto" w:fill="auto"/>
            <w:tcMar>
              <w:top w:w="15" w:type="dxa"/>
              <w:left w:w="15" w:type="dxa"/>
              <w:right w:w="15" w:type="dxa"/>
            </w:tcMar>
            <w:vAlign w:val="center"/>
          </w:tcPr>
          <w:p w14:paraId="432D68C1">
            <w:pPr>
              <w:widowControl/>
              <w:spacing w:line="240" w:lineRule="auto"/>
              <w:ind w:firstLine="0" w:firstLineChars="0"/>
              <w:jc w:val="center"/>
              <w:textAlignment w:val="center"/>
              <w:rPr>
                <w:rFonts w:hint="eastAsia" w:eastAsia="宋体" w:cs="宋体"/>
                <w:color w:val="000000"/>
                <w:kern w:val="0"/>
                <w:sz w:val="22"/>
                <w:szCs w:val="22"/>
                <w:lang w:val="en-US" w:eastAsia="zh-CN"/>
              </w:rPr>
            </w:pPr>
            <w:r>
              <w:rPr>
                <w:rFonts w:hint="eastAsia" w:cs="宋体"/>
                <w:color w:val="000000"/>
                <w:kern w:val="0"/>
                <w:sz w:val="22"/>
                <w:szCs w:val="22"/>
                <w:lang w:val="en-US" w:eastAsia="zh-CN"/>
              </w:rPr>
              <w:t>3</w:t>
            </w:r>
          </w:p>
        </w:tc>
        <w:tc>
          <w:tcPr>
            <w:tcW w:w="88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76C11A7">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sz w:val="24"/>
                <w:szCs w:val="24"/>
              </w:rPr>
            </w:pPr>
            <w:r>
              <w:rPr>
                <w:rFonts w:hint="eastAsia"/>
                <w:sz w:val="24"/>
                <w:szCs w:val="24"/>
              </w:rPr>
              <w:t>UPS监控软件模块</w:t>
            </w:r>
          </w:p>
        </w:tc>
        <w:tc>
          <w:tcPr>
            <w:tcW w:w="93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EF8C3F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ascii="宋体" w:hAnsi="宋体" w:eastAsia="宋体" w:cs="Times New Roman"/>
                <w:kern w:val="2"/>
                <w:sz w:val="24"/>
                <w:szCs w:val="24"/>
                <w:lang w:val="en-US" w:eastAsia="zh-CN" w:bidi="ar-SA"/>
              </w:rPr>
            </w:pPr>
            <w:r>
              <w:rPr>
                <w:rFonts w:hint="eastAsia"/>
              </w:rPr>
              <w:t>工具软件</w:t>
            </w:r>
          </w:p>
        </w:tc>
        <w:tc>
          <w:tcPr>
            <w:tcW w:w="219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9EA727B">
            <w:pPr>
              <w:spacing w:line="240" w:lineRule="auto"/>
              <w:ind w:firstLine="0" w:firstLineChars="0"/>
              <w:jc w:val="left"/>
              <w:rPr>
                <w:rFonts w:hint="eastAsia" w:cs="宋体"/>
                <w:color w:val="000000"/>
                <w:sz w:val="22"/>
                <w:szCs w:val="22"/>
              </w:rPr>
            </w:pPr>
            <w:r>
              <w:rPr>
                <w:rFonts w:hint="eastAsia" w:cs="宋体"/>
                <w:color w:val="000000"/>
                <w:sz w:val="22"/>
                <w:szCs w:val="22"/>
              </w:rPr>
              <w:t>能够监测UPS详细参数，通过与UPS通讯采集，实时监测UPS的运行参数，并将采集的数据上传到监控系统平台，可监测UPS输入电压、输出电压、输出电流、负载百分比、UPS温度、频率、电池组电压、报警故障等；</w:t>
            </w:r>
          </w:p>
          <w:p w14:paraId="4904142E">
            <w:pPr>
              <w:spacing w:line="240" w:lineRule="auto"/>
              <w:ind w:firstLine="0" w:firstLineChars="0"/>
              <w:jc w:val="left"/>
              <w:rPr>
                <w:rFonts w:hint="eastAsia" w:cs="宋体"/>
                <w:color w:val="000000"/>
                <w:sz w:val="22"/>
                <w:szCs w:val="22"/>
              </w:rPr>
            </w:pPr>
            <w:r>
              <w:rPr>
                <w:rFonts w:hint="eastAsia" w:cs="宋体"/>
                <w:color w:val="000000"/>
                <w:sz w:val="22"/>
                <w:szCs w:val="22"/>
              </w:rPr>
              <w:t>工作电压:12VDC；</w:t>
            </w:r>
          </w:p>
          <w:p w14:paraId="3A5EF43D">
            <w:pPr>
              <w:spacing w:line="240" w:lineRule="auto"/>
              <w:ind w:firstLine="0" w:firstLineChars="0"/>
              <w:jc w:val="left"/>
              <w:rPr>
                <w:rFonts w:hint="eastAsia" w:cs="宋体"/>
                <w:color w:val="000000"/>
                <w:sz w:val="22"/>
                <w:szCs w:val="22"/>
              </w:rPr>
            </w:pPr>
            <w:r>
              <w:rPr>
                <w:rFonts w:hint="eastAsia" w:cs="宋体"/>
                <w:color w:val="000000"/>
                <w:sz w:val="22"/>
                <w:szCs w:val="22"/>
              </w:rPr>
              <w:t>工作电流15mA；</w:t>
            </w:r>
          </w:p>
          <w:p w14:paraId="5677C158">
            <w:pPr>
              <w:spacing w:line="240" w:lineRule="auto"/>
              <w:ind w:firstLine="0" w:firstLineChars="0"/>
              <w:jc w:val="left"/>
              <w:rPr>
                <w:rFonts w:hint="eastAsia" w:cs="宋体"/>
                <w:color w:val="000000"/>
                <w:sz w:val="22"/>
                <w:szCs w:val="22"/>
              </w:rPr>
            </w:pPr>
            <w:r>
              <w:rPr>
                <w:rFonts w:hint="eastAsia" w:cs="宋体"/>
                <w:color w:val="000000"/>
                <w:sz w:val="22"/>
                <w:szCs w:val="22"/>
              </w:rPr>
              <w:t>主机集中供电；</w:t>
            </w:r>
          </w:p>
          <w:p w14:paraId="44BEBD27">
            <w:pPr>
              <w:spacing w:line="240" w:lineRule="auto"/>
              <w:ind w:firstLine="0" w:firstLineChars="0"/>
              <w:jc w:val="left"/>
              <w:rPr>
                <w:rFonts w:hint="eastAsia" w:cs="宋体"/>
                <w:color w:val="000000"/>
                <w:sz w:val="22"/>
                <w:szCs w:val="22"/>
              </w:rPr>
            </w:pPr>
            <w:r>
              <w:rPr>
                <w:rFonts w:hint="eastAsia" w:cs="宋体"/>
                <w:color w:val="000000"/>
                <w:sz w:val="22"/>
                <w:szCs w:val="22"/>
              </w:rPr>
              <w:t>与UPS接口：RS232或者RS485；</w:t>
            </w:r>
          </w:p>
          <w:p w14:paraId="5D899053">
            <w:pPr>
              <w:spacing w:line="240" w:lineRule="auto"/>
              <w:ind w:firstLine="0" w:firstLineChars="0"/>
              <w:jc w:val="left"/>
              <w:rPr>
                <w:rFonts w:cs="宋体"/>
                <w:color w:val="000000"/>
                <w:sz w:val="22"/>
                <w:szCs w:val="22"/>
              </w:rPr>
            </w:pPr>
            <w:r>
              <w:rPr>
                <w:rFonts w:hint="eastAsia" w:cs="宋体"/>
                <w:color w:val="000000"/>
                <w:sz w:val="22"/>
                <w:szCs w:val="22"/>
              </w:rPr>
              <w:t>与主机接口：RS485；</w:t>
            </w:r>
          </w:p>
        </w:tc>
        <w:tc>
          <w:tcPr>
            <w:tcW w:w="378" w:type="pct"/>
            <w:tcBorders>
              <w:top w:val="single" w:color="000000" w:sz="4" w:space="0"/>
              <w:left w:val="single" w:color="000000" w:sz="4" w:space="0"/>
              <w:bottom w:val="single" w:color="000000" w:sz="4" w:space="0"/>
              <w:right w:val="single" w:color="auto" w:sz="4" w:space="0"/>
            </w:tcBorders>
            <w:shd w:val="clear" w:color="auto" w:fill="auto"/>
            <w:tcMar>
              <w:top w:w="15" w:type="dxa"/>
              <w:left w:w="15" w:type="dxa"/>
              <w:right w:w="15" w:type="dxa"/>
            </w:tcMar>
            <w:vAlign w:val="center"/>
          </w:tcPr>
          <w:p w14:paraId="357E85E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lang w:val="en-US" w:eastAsia="zh-CN"/>
              </w:rPr>
            </w:pPr>
            <w:r>
              <w:rPr>
                <w:rFonts w:hint="eastAsia"/>
                <w:lang w:val="en-US" w:eastAsia="zh-CN"/>
              </w:rPr>
              <w:t>1</w:t>
            </w:r>
          </w:p>
        </w:tc>
        <w:tc>
          <w:tcPr>
            <w:tcW w:w="298" w:type="pct"/>
            <w:tcBorders>
              <w:top w:val="single" w:color="000000" w:sz="4" w:space="0"/>
              <w:left w:val="single" w:color="000000" w:sz="4" w:space="0"/>
              <w:bottom w:val="single" w:color="000000" w:sz="4" w:space="0"/>
              <w:right w:val="single" w:color="auto" w:sz="4" w:space="0"/>
            </w:tcBorders>
            <w:vAlign w:val="center"/>
          </w:tcPr>
          <w:p w14:paraId="13A913D6">
            <w:pPr>
              <w:widowControl/>
              <w:spacing w:line="240" w:lineRule="auto"/>
              <w:ind w:firstLine="0" w:firstLineChars="0"/>
              <w:jc w:val="center"/>
              <w:textAlignment w:val="center"/>
              <w:rPr>
                <w:rFonts w:hint="default" w:eastAsia="宋体" w:cs="宋体"/>
                <w:color w:val="000000"/>
                <w:kern w:val="0"/>
                <w:sz w:val="22"/>
                <w:szCs w:val="22"/>
                <w:lang w:val="en-US" w:eastAsia="zh-CN"/>
              </w:rPr>
            </w:pPr>
            <w:r>
              <w:rPr>
                <w:rFonts w:hint="eastAsia" w:cs="宋体"/>
                <w:color w:val="000000"/>
                <w:kern w:val="0"/>
                <w:sz w:val="22"/>
                <w:szCs w:val="22"/>
                <w:lang w:val="en-US" w:eastAsia="zh-CN"/>
              </w:rPr>
              <w:t>套</w:t>
            </w:r>
          </w:p>
        </w:tc>
      </w:tr>
      <w:tr w14:paraId="18EFE1CE">
        <w:tblPrEx>
          <w:tblCellMar>
            <w:top w:w="0" w:type="dxa"/>
            <w:left w:w="0" w:type="dxa"/>
            <w:bottom w:w="0" w:type="dxa"/>
            <w:right w:w="0" w:type="dxa"/>
          </w:tblCellMar>
        </w:tblPrEx>
        <w:trPr>
          <w:trHeight w:val="825" w:hRule="atLeast"/>
        </w:trPr>
        <w:tc>
          <w:tcPr>
            <w:tcW w:w="311" w:type="pct"/>
            <w:tcBorders>
              <w:top w:val="single" w:color="000000" w:sz="4" w:space="0"/>
              <w:left w:val="single" w:color="auto" w:sz="4" w:space="0"/>
              <w:bottom w:val="single" w:color="000000" w:sz="4" w:space="0"/>
              <w:right w:val="single" w:color="000000" w:sz="4" w:space="0"/>
            </w:tcBorders>
            <w:shd w:val="clear" w:color="auto" w:fill="auto"/>
            <w:tcMar>
              <w:top w:w="15" w:type="dxa"/>
              <w:left w:w="15" w:type="dxa"/>
              <w:right w:w="15" w:type="dxa"/>
            </w:tcMar>
            <w:vAlign w:val="center"/>
          </w:tcPr>
          <w:p w14:paraId="10A79B0B">
            <w:pPr>
              <w:widowControl/>
              <w:spacing w:line="240" w:lineRule="auto"/>
              <w:ind w:firstLine="0" w:firstLineChars="0"/>
              <w:jc w:val="center"/>
              <w:textAlignment w:val="center"/>
              <w:rPr>
                <w:rFonts w:hint="eastAsia" w:eastAsia="宋体" w:cs="宋体"/>
                <w:color w:val="000000"/>
                <w:kern w:val="0"/>
                <w:sz w:val="22"/>
                <w:szCs w:val="22"/>
                <w:lang w:val="en-US" w:eastAsia="zh-CN"/>
              </w:rPr>
            </w:pPr>
            <w:r>
              <w:rPr>
                <w:rFonts w:hint="eastAsia" w:cs="宋体"/>
                <w:color w:val="000000"/>
                <w:kern w:val="0"/>
                <w:sz w:val="22"/>
                <w:szCs w:val="22"/>
                <w:lang w:val="en-US" w:eastAsia="zh-CN"/>
              </w:rPr>
              <w:t>4</w:t>
            </w:r>
          </w:p>
        </w:tc>
        <w:tc>
          <w:tcPr>
            <w:tcW w:w="88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D9B2A3B">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sz w:val="24"/>
                <w:szCs w:val="24"/>
              </w:rPr>
            </w:pPr>
            <w:r>
              <w:rPr>
                <w:rFonts w:hint="eastAsia"/>
                <w:sz w:val="24"/>
                <w:szCs w:val="24"/>
              </w:rPr>
              <w:t>空调监控软件模块</w:t>
            </w:r>
          </w:p>
        </w:tc>
        <w:tc>
          <w:tcPr>
            <w:tcW w:w="93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6A1EAD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ascii="宋体" w:hAnsi="宋体" w:eastAsia="宋体" w:cs="Times New Roman"/>
                <w:kern w:val="2"/>
                <w:sz w:val="24"/>
                <w:szCs w:val="24"/>
                <w:lang w:val="en-US" w:eastAsia="zh-CN" w:bidi="ar-SA"/>
              </w:rPr>
            </w:pPr>
            <w:r>
              <w:rPr>
                <w:rFonts w:hint="eastAsia"/>
              </w:rPr>
              <w:t>工具软件</w:t>
            </w:r>
          </w:p>
        </w:tc>
        <w:tc>
          <w:tcPr>
            <w:tcW w:w="219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6E5B6CE">
            <w:pPr>
              <w:spacing w:line="240" w:lineRule="auto"/>
              <w:ind w:firstLine="0" w:firstLineChars="0"/>
              <w:jc w:val="left"/>
              <w:rPr>
                <w:rFonts w:hint="eastAsia" w:cs="宋体"/>
                <w:color w:val="000000"/>
                <w:sz w:val="22"/>
                <w:szCs w:val="22"/>
              </w:rPr>
            </w:pPr>
            <w:r>
              <w:rPr>
                <w:rFonts w:hint="eastAsia" w:cs="宋体"/>
                <w:color w:val="000000"/>
                <w:sz w:val="22"/>
                <w:szCs w:val="22"/>
              </w:rPr>
              <w:t>精密空调通讯采集，实时监测精密空调的运行参数，并将采集的数据上传到系统监控平台，可监测空调回风温度、回风湿度、空调设定温度、设定湿度、报警故障等；可远程开启关闭空调，设定空调温湿度值。</w:t>
            </w:r>
          </w:p>
          <w:p w14:paraId="636C0CA2">
            <w:pPr>
              <w:spacing w:line="240" w:lineRule="auto"/>
              <w:ind w:firstLine="0" w:firstLineChars="0"/>
              <w:jc w:val="left"/>
              <w:rPr>
                <w:rFonts w:hint="eastAsia" w:cs="宋体"/>
                <w:color w:val="000000"/>
                <w:sz w:val="22"/>
                <w:szCs w:val="22"/>
              </w:rPr>
            </w:pPr>
            <w:r>
              <w:rPr>
                <w:rFonts w:hint="eastAsia" w:cs="宋体"/>
                <w:color w:val="000000"/>
                <w:sz w:val="22"/>
                <w:szCs w:val="22"/>
              </w:rPr>
              <w:t>工作电压:12VDC；</w:t>
            </w:r>
          </w:p>
          <w:p w14:paraId="5D935FFB">
            <w:pPr>
              <w:spacing w:line="240" w:lineRule="auto"/>
              <w:ind w:firstLine="0" w:firstLineChars="0"/>
              <w:jc w:val="left"/>
              <w:rPr>
                <w:rFonts w:hint="eastAsia" w:cs="宋体"/>
                <w:color w:val="000000"/>
                <w:sz w:val="22"/>
                <w:szCs w:val="22"/>
              </w:rPr>
            </w:pPr>
            <w:r>
              <w:rPr>
                <w:rFonts w:hint="eastAsia" w:cs="宋体"/>
                <w:color w:val="000000"/>
                <w:sz w:val="22"/>
                <w:szCs w:val="22"/>
              </w:rPr>
              <w:t>工作电流15mA；</w:t>
            </w:r>
          </w:p>
          <w:p w14:paraId="1EDF7141">
            <w:pPr>
              <w:spacing w:line="240" w:lineRule="auto"/>
              <w:ind w:firstLine="0" w:firstLineChars="0"/>
              <w:jc w:val="left"/>
              <w:rPr>
                <w:rFonts w:hint="eastAsia" w:cs="宋体"/>
                <w:color w:val="000000"/>
                <w:sz w:val="22"/>
                <w:szCs w:val="22"/>
              </w:rPr>
            </w:pPr>
            <w:r>
              <w:rPr>
                <w:rFonts w:hint="eastAsia" w:cs="宋体"/>
                <w:color w:val="000000"/>
                <w:sz w:val="22"/>
                <w:szCs w:val="22"/>
              </w:rPr>
              <w:t>主机集中供电；</w:t>
            </w:r>
          </w:p>
          <w:p w14:paraId="33D0B0A5">
            <w:pPr>
              <w:spacing w:line="240" w:lineRule="auto"/>
              <w:ind w:firstLine="0" w:firstLineChars="0"/>
              <w:jc w:val="left"/>
              <w:rPr>
                <w:rFonts w:hint="eastAsia" w:cs="宋体"/>
                <w:color w:val="000000"/>
                <w:sz w:val="22"/>
                <w:szCs w:val="22"/>
              </w:rPr>
            </w:pPr>
            <w:r>
              <w:rPr>
                <w:rFonts w:hint="eastAsia" w:cs="宋体"/>
                <w:color w:val="000000"/>
                <w:sz w:val="22"/>
                <w:szCs w:val="22"/>
              </w:rPr>
              <w:t>与精密空调接口：RS485；</w:t>
            </w:r>
          </w:p>
          <w:p w14:paraId="4473CD35">
            <w:pPr>
              <w:spacing w:line="240" w:lineRule="auto"/>
              <w:ind w:firstLine="0" w:firstLineChars="0"/>
              <w:jc w:val="left"/>
              <w:rPr>
                <w:rFonts w:cs="宋体"/>
                <w:color w:val="000000"/>
                <w:sz w:val="22"/>
                <w:szCs w:val="22"/>
              </w:rPr>
            </w:pPr>
            <w:r>
              <w:rPr>
                <w:rFonts w:hint="eastAsia" w:cs="宋体"/>
                <w:color w:val="000000"/>
                <w:sz w:val="22"/>
                <w:szCs w:val="22"/>
              </w:rPr>
              <w:t>与主机接口：RS485；</w:t>
            </w:r>
          </w:p>
        </w:tc>
        <w:tc>
          <w:tcPr>
            <w:tcW w:w="378" w:type="pct"/>
            <w:tcBorders>
              <w:top w:val="single" w:color="000000" w:sz="4" w:space="0"/>
              <w:left w:val="single" w:color="000000" w:sz="4" w:space="0"/>
              <w:bottom w:val="single" w:color="000000" w:sz="4" w:space="0"/>
              <w:right w:val="single" w:color="auto" w:sz="4" w:space="0"/>
            </w:tcBorders>
            <w:shd w:val="clear" w:color="auto" w:fill="auto"/>
            <w:tcMar>
              <w:top w:w="15" w:type="dxa"/>
              <w:left w:w="15" w:type="dxa"/>
              <w:right w:w="15" w:type="dxa"/>
            </w:tcMar>
            <w:vAlign w:val="center"/>
          </w:tcPr>
          <w:p w14:paraId="3E36E97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lang w:val="en-US" w:eastAsia="zh-CN"/>
              </w:rPr>
            </w:pPr>
            <w:r>
              <w:rPr>
                <w:rFonts w:hint="eastAsia"/>
                <w:lang w:val="en-US" w:eastAsia="zh-CN"/>
              </w:rPr>
              <w:t>1</w:t>
            </w:r>
          </w:p>
        </w:tc>
        <w:tc>
          <w:tcPr>
            <w:tcW w:w="298" w:type="pct"/>
            <w:tcBorders>
              <w:top w:val="single" w:color="000000" w:sz="4" w:space="0"/>
              <w:left w:val="single" w:color="000000" w:sz="4" w:space="0"/>
              <w:bottom w:val="single" w:color="000000" w:sz="4" w:space="0"/>
              <w:right w:val="single" w:color="auto" w:sz="4" w:space="0"/>
            </w:tcBorders>
            <w:vAlign w:val="center"/>
          </w:tcPr>
          <w:p w14:paraId="5C85FD67">
            <w:pPr>
              <w:widowControl/>
              <w:spacing w:line="240" w:lineRule="auto"/>
              <w:ind w:firstLine="0" w:firstLineChars="0"/>
              <w:jc w:val="center"/>
              <w:textAlignment w:val="center"/>
              <w:rPr>
                <w:rFonts w:hint="default" w:eastAsia="宋体" w:cs="宋体"/>
                <w:color w:val="000000"/>
                <w:kern w:val="0"/>
                <w:sz w:val="22"/>
                <w:szCs w:val="22"/>
                <w:lang w:val="en-US" w:eastAsia="zh-CN"/>
              </w:rPr>
            </w:pPr>
            <w:r>
              <w:rPr>
                <w:rFonts w:hint="eastAsia" w:cs="宋体"/>
                <w:color w:val="000000"/>
                <w:kern w:val="0"/>
                <w:sz w:val="22"/>
                <w:szCs w:val="22"/>
                <w:lang w:val="en-US" w:eastAsia="zh-CN"/>
              </w:rPr>
              <w:t>套</w:t>
            </w:r>
          </w:p>
        </w:tc>
      </w:tr>
      <w:tr w14:paraId="100946AD">
        <w:tblPrEx>
          <w:tblCellMar>
            <w:top w:w="0" w:type="dxa"/>
            <w:left w:w="0" w:type="dxa"/>
            <w:bottom w:w="0" w:type="dxa"/>
            <w:right w:w="0" w:type="dxa"/>
          </w:tblCellMar>
        </w:tblPrEx>
        <w:trPr>
          <w:trHeight w:val="825" w:hRule="atLeast"/>
        </w:trPr>
        <w:tc>
          <w:tcPr>
            <w:tcW w:w="311" w:type="pct"/>
            <w:tcBorders>
              <w:top w:val="single" w:color="000000" w:sz="4" w:space="0"/>
              <w:left w:val="single" w:color="auto" w:sz="4" w:space="0"/>
              <w:bottom w:val="single" w:color="000000" w:sz="4" w:space="0"/>
              <w:right w:val="single" w:color="000000" w:sz="4" w:space="0"/>
            </w:tcBorders>
            <w:shd w:val="clear" w:color="auto" w:fill="auto"/>
            <w:tcMar>
              <w:top w:w="15" w:type="dxa"/>
              <w:left w:w="15" w:type="dxa"/>
              <w:right w:w="15" w:type="dxa"/>
            </w:tcMar>
            <w:vAlign w:val="center"/>
          </w:tcPr>
          <w:p w14:paraId="1F8F608A">
            <w:pPr>
              <w:widowControl/>
              <w:spacing w:line="240" w:lineRule="auto"/>
              <w:ind w:firstLine="0" w:firstLineChars="0"/>
              <w:jc w:val="center"/>
              <w:textAlignment w:val="center"/>
              <w:rPr>
                <w:rFonts w:hint="eastAsia" w:eastAsia="宋体" w:cs="宋体"/>
                <w:color w:val="000000"/>
                <w:kern w:val="0"/>
                <w:sz w:val="22"/>
                <w:szCs w:val="22"/>
                <w:lang w:val="en-US" w:eastAsia="zh-CN"/>
              </w:rPr>
            </w:pPr>
            <w:r>
              <w:rPr>
                <w:rFonts w:hint="eastAsia" w:cs="宋体"/>
                <w:color w:val="000000"/>
                <w:kern w:val="0"/>
                <w:sz w:val="22"/>
                <w:szCs w:val="22"/>
                <w:lang w:val="en-US" w:eastAsia="zh-CN"/>
              </w:rPr>
              <w:t>5</w:t>
            </w:r>
          </w:p>
        </w:tc>
        <w:tc>
          <w:tcPr>
            <w:tcW w:w="88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E386B33">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sz w:val="24"/>
                <w:szCs w:val="24"/>
              </w:rPr>
            </w:pPr>
            <w:r>
              <w:rPr>
                <w:rFonts w:hint="eastAsia"/>
                <w:sz w:val="24"/>
                <w:szCs w:val="24"/>
              </w:rPr>
              <w:t>数据中心监控管理软件</w:t>
            </w:r>
          </w:p>
        </w:tc>
        <w:tc>
          <w:tcPr>
            <w:tcW w:w="93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3689FF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ascii="宋体" w:hAnsi="宋体" w:eastAsia="宋体" w:cs="Times New Roman"/>
                <w:kern w:val="2"/>
                <w:sz w:val="24"/>
                <w:szCs w:val="24"/>
                <w:lang w:val="en-US" w:eastAsia="zh-CN" w:bidi="ar-SA"/>
              </w:rPr>
            </w:pPr>
            <w:r>
              <w:rPr>
                <w:rFonts w:hint="eastAsia"/>
              </w:rPr>
              <w:t>工具软件</w:t>
            </w:r>
          </w:p>
        </w:tc>
        <w:tc>
          <w:tcPr>
            <w:tcW w:w="219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728855D">
            <w:pPr>
              <w:spacing w:line="240" w:lineRule="auto"/>
              <w:ind w:firstLine="0" w:firstLineChars="0"/>
              <w:jc w:val="left"/>
              <w:rPr>
                <w:rFonts w:hint="eastAsia" w:cs="宋体"/>
                <w:color w:val="000000"/>
                <w:sz w:val="22"/>
                <w:szCs w:val="22"/>
              </w:rPr>
            </w:pPr>
            <w:r>
              <w:rPr>
                <w:rFonts w:hint="eastAsia" w:cs="宋体"/>
                <w:color w:val="000000"/>
                <w:sz w:val="22"/>
                <w:szCs w:val="22"/>
              </w:rPr>
              <w:t>（1）管理平台软件可实现999个机房的动力环境设备集中监测与控制，支持C/S，B/S两种架构，WEB网页访问。软件稳定可靠，功能强大，支持管理员对登录用户进行权限管理，登录用户分区域管理，支持多用户，报表丰富，操作简单易用，界面美观，信息全面。并具备用户管理、权限管理、告警等级管理、历史记录查看、历史记录导出、资产管理、PUE能耗管理、统计分析等功能。</w:t>
            </w:r>
          </w:p>
          <w:p w14:paraId="268A28DF">
            <w:pPr>
              <w:spacing w:line="240" w:lineRule="auto"/>
              <w:ind w:firstLine="0" w:firstLineChars="0"/>
              <w:jc w:val="left"/>
              <w:rPr>
                <w:rFonts w:hint="eastAsia" w:cs="宋体"/>
                <w:color w:val="000000"/>
                <w:sz w:val="22"/>
                <w:szCs w:val="22"/>
              </w:rPr>
            </w:pPr>
            <w:r>
              <w:rPr>
                <w:rFonts w:hint="eastAsia" w:cs="宋体"/>
                <w:color w:val="000000"/>
                <w:sz w:val="22"/>
                <w:szCs w:val="22"/>
              </w:rPr>
              <w:t>（2）软件</w:t>
            </w:r>
            <w:r>
              <w:rPr>
                <w:rFonts w:hint="eastAsia" w:cs="宋体"/>
                <w:color w:val="000000"/>
                <w:sz w:val="22"/>
                <w:szCs w:val="22"/>
                <w:lang w:eastAsia="zh-CN"/>
              </w:rPr>
              <w:t>需</w:t>
            </w:r>
            <w:r>
              <w:rPr>
                <w:rFonts w:hint="eastAsia" w:cs="宋体"/>
                <w:color w:val="000000"/>
                <w:sz w:val="22"/>
                <w:szCs w:val="22"/>
              </w:rPr>
              <w:t>具备美观的大屏显示功能，大屏显示需要能够饼状图/柱状图/曲线图统计展示：机房设备总数，在线数，离线数，报警统计，资产统计，近期环境数据曲线等。大屏显示界面需要能导入电子地图或机房的3D图，每个机房的主数据界面要能导入该机房的3D图，并在上面标注各传感器安装位置，并实时显示其状态。</w:t>
            </w:r>
          </w:p>
          <w:p w14:paraId="0589D1E0">
            <w:pPr>
              <w:spacing w:line="240" w:lineRule="auto"/>
              <w:ind w:firstLine="0" w:firstLineChars="0"/>
              <w:jc w:val="left"/>
              <w:rPr>
                <w:rFonts w:hint="eastAsia" w:cs="宋体"/>
                <w:color w:val="000000"/>
                <w:sz w:val="22"/>
                <w:szCs w:val="22"/>
              </w:rPr>
            </w:pPr>
            <w:r>
              <w:rPr>
                <w:rFonts w:hint="eastAsia" w:cs="宋体"/>
                <w:color w:val="000000"/>
                <w:sz w:val="22"/>
                <w:szCs w:val="22"/>
              </w:rPr>
              <w:t>（3）能够监测UPS详细参数，通过与UPS通讯采集，实时监测UPS的运行参数，并将采集的数据上传到监控系统平台，可监测UPS输入电压、输出电压、输出电流、负载百分比、UPS温度、频率、电池组电压、报警故障等；</w:t>
            </w:r>
          </w:p>
          <w:p w14:paraId="77C044BE">
            <w:pPr>
              <w:spacing w:line="240" w:lineRule="auto"/>
              <w:ind w:firstLine="0" w:firstLineChars="0"/>
              <w:jc w:val="left"/>
              <w:rPr>
                <w:rFonts w:hint="eastAsia" w:cs="宋体"/>
                <w:color w:val="000000"/>
                <w:sz w:val="22"/>
                <w:szCs w:val="22"/>
              </w:rPr>
            </w:pPr>
            <w:r>
              <w:rPr>
                <w:rFonts w:hint="eastAsia" w:cs="宋体"/>
                <w:color w:val="000000"/>
                <w:sz w:val="22"/>
                <w:szCs w:val="22"/>
              </w:rPr>
              <w:t>（4）精密空调通讯采集，实时监测精密空调的运行参数，并将采集的数据上传到系统监控平台，可监测空调回风温度、回风湿度、空调设定温度、设定湿度、报警故障等；可远程开启关闭空调，设定空调温湿度值。</w:t>
            </w:r>
          </w:p>
          <w:p w14:paraId="6D27284D">
            <w:pPr>
              <w:spacing w:line="240" w:lineRule="auto"/>
              <w:ind w:firstLine="0" w:firstLineChars="0"/>
              <w:jc w:val="left"/>
              <w:rPr>
                <w:rFonts w:hint="eastAsia" w:cs="宋体"/>
                <w:color w:val="000000"/>
                <w:sz w:val="22"/>
                <w:szCs w:val="22"/>
              </w:rPr>
            </w:pPr>
            <w:r>
              <w:rPr>
                <w:rFonts w:hint="eastAsia" w:cs="宋体"/>
                <w:color w:val="000000"/>
                <w:sz w:val="22"/>
                <w:szCs w:val="22"/>
              </w:rPr>
              <w:t>（5）智能三相电量仪/精密列头柜/配电柜通讯采集，实时监测配电的电压、电流等状态及参数，并把采集数据上传到监控系统平台，可监测三相电压、三相电流、功率、电能等电参数。如市电发生停电断电报警，能及时推送报警通知管理员。</w:t>
            </w:r>
          </w:p>
          <w:p w14:paraId="6BCC1780">
            <w:pPr>
              <w:spacing w:line="240" w:lineRule="auto"/>
              <w:ind w:firstLine="0" w:firstLineChars="0"/>
              <w:jc w:val="left"/>
              <w:rPr>
                <w:rFonts w:hint="eastAsia" w:cs="宋体"/>
                <w:color w:val="000000"/>
                <w:sz w:val="22"/>
                <w:szCs w:val="22"/>
              </w:rPr>
            </w:pPr>
            <w:r>
              <w:rPr>
                <w:rFonts w:hint="eastAsia" w:cs="宋体"/>
                <w:color w:val="000000"/>
                <w:sz w:val="22"/>
                <w:szCs w:val="22"/>
              </w:rPr>
              <w:t>（6）支持短信，电话，电子邮件，声光，手机APP微信等报警方式，对于有保密或安全等级要求高的场合，还可通过插电话线，通过有线电话方式语音报警。软件上可设置告警等级：普通告警、重要告警、紧急告警，让运维人员更精准及时处理现场报警，还可播放告警音乐，告警音乐可自定义并驱动音响播放。发现任何机房设备触发报警，软件能弹屏告警小三角图标提示“发生报警”。</w:t>
            </w:r>
          </w:p>
          <w:p w14:paraId="339168C4">
            <w:pPr>
              <w:spacing w:line="240" w:lineRule="auto"/>
              <w:ind w:firstLine="0" w:firstLineChars="0"/>
              <w:jc w:val="left"/>
              <w:rPr>
                <w:rFonts w:hint="eastAsia" w:cs="宋体"/>
                <w:color w:val="000000"/>
                <w:sz w:val="22"/>
                <w:szCs w:val="22"/>
              </w:rPr>
            </w:pPr>
            <w:r>
              <w:rPr>
                <w:rFonts w:hint="eastAsia" w:cs="宋体"/>
                <w:color w:val="000000"/>
                <w:sz w:val="22"/>
                <w:szCs w:val="22"/>
              </w:rPr>
              <w:t>（7）资产管理包括资产登记时间、资产名称、资产编号、品牌、型号、状态、安装位置、管理员、供应商、购买时间、维修记录等，并可查询和列表导出等。</w:t>
            </w:r>
          </w:p>
          <w:p w14:paraId="3CCF71AC">
            <w:pPr>
              <w:spacing w:line="240" w:lineRule="auto"/>
              <w:ind w:firstLine="0" w:firstLineChars="0"/>
              <w:jc w:val="left"/>
              <w:rPr>
                <w:rFonts w:hint="eastAsia" w:cs="宋体"/>
                <w:color w:val="000000"/>
                <w:sz w:val="22"/>
                <w:szCs w:val="22"/>
              </w:rPr>
            </w:pPr>
            <w:r>
              <w:rPr>
                <w:rFonts w:hint="eastAsia" w:cs="宋体"/>
                <w:color w:val="000000"/>
                <w:sz w:val="22"/>
                <w:szCs w:val="22"/>
              </w:rPr>
              <w:t>（8）支持主流门禁、视频、电池组软件调用；</w:t>
            </w:r>
          </w:p>
          <w:p w14:paraId="51CFBDF6">
            <w:pPr>
              <w:spacing w:line="240" w:lineRule="auto"/>
              <w:ind w:firstLine="0" w:firstLineChars="0"/>
              <w:jc w:val="left"/>
              <w:rPr>
                <w:rFonts w:hint="eastAsia" w:cs="宋体"/>
                <w:color w:val="000000"/>
                <w:sz w:val="22"/>
                <w:szCs w:val="22"/>
              </w:rPr>
            </w:pPr>
            <w:r>
              <w:rPr>
                <w:rFonts w:hint="eastAsia" w:cs="宋体"/>
                <w:color w:val="000000"/>
                <w:sz w:val="22"/>
                <w:szCs w:val="22"/>
              </w:rPr>
              <w:t>（9）支持二次开发数据调用；</w:t>
            </w:r>
          </w:p>
          <w:p w14:paraId="1C5C3EED">
            <w:pPr>
              <w:spacing w:line="240" w:lineRule="auto"/>
              <w:ind w:firstLine="0" w:firstLineChars="0"/>
              <w:jc w:val="left"/>
              <w:rPr>
                <w:rFonts w:hint="eastAsia" w:cs="宋体"/>
                <w:color w:val="000000"/>
                <w:sz w:val="22"/>
                <w:szCs w:val="22"/>
              </w:rPr>
            </w:pPr>
            <w:r>
              <w:rPr>
                <w:rFonts w:hint="eastAsia" w:cs="宋体"/>
                <w:color w:val="000000"/>
                <w:sz w:val="22"/>
                <w:szCs w:val="22"/>
              </w:rPr>
              <w:t>（10）获得中华人民共和国国家版权局颁发的计算机软件著作权登记证书；</w:t>
            </w:r>
          </w:p>
          <w:p w14:paraId="09DD07E2">
            <w:pPr>
              <w:spacing w:line="240" w:lineRule="auto"/>
              <w:ind w:firstLine="0" w:firstLineChars="0"/>
              <w:jc w:val="left"/>
              <w:rPr>
                <w:rFonts w:hint="eastAsia" w:cs="宋体"/>
                <w:color w:val="000000"/>
                <w:sz w:val="22"/>
                <w:szCs w:val="22"/>
              </w:rPr>
            </w:pPr>
            <w:r>
              <w:rPr>
                <w:rFonts w:hint="eastAsia" w:cs="宋体"/>
                <w:color w:val="000000"/>
                <w:sz w:val="22"/>
                <w:szCs w:val="22"/>
              </w:rPr>
              <w:t>（11）具有软件产品登记检测报告。</w:t>
            </w:r>
          </w:p>
        </w:tc>
        <w:tc>
          <w:tcPr>
            <w:tcW w:w="378" w:type="pct"/>
            <w:tcBorders>
              <w:top w:val="single" w:color="000000" w:sz="4" w:space="0"/>
              <w:left w:val="single" w:color="000000" w:sz="4" w:space="0"/>
              <w:bottom w:val="single" w:color="000000" w:sz="4" w:space="0"/>
              <w:right w:val="single" w:color="auto" w:sz="4" w:space="0"/>
            </w:tcBorders>
            <w:shd w:val="clear" w:color="auto" w:fill="auto"/>
            <w:tcMar>
              <w:top w:w="15" w:type="dxa"/>
              <w:left w:w="15" w:type="dxa"/>
              <w:right w:w="15" w:type="dxa"/>
            </w:tcMar>
            <w:vAlign w:val="center"/>
          </w:tcPr>
          <w:p w14:paraId="5DB66ED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lang w:val="en-US" w:eastAsia="zh-CN"/>
              </w:rPr>
            </w:pPr>
            <w:r>
              <w:rPr>
                <w:rFonts w:hint="eastAsia"/>
                <w:lang w:val="en-US" w:eastAsia="zh-CN"/>
              </w:rPr>
              <w:t>1</w:t>
            </w:r>
          </w:p>
        </w:tc>
        <w:tc>
          <w:tcPr>
            <w:tcW w:w="298" w:type="pct"/>
            <w:tcBorders>
              <w:top w:val="single" w:color="000000" w:sz="4" w:space="0"/>
              <w:left w:val="single" w:color="000000" w:sz="4" w:space="0"/>
              <w:bottom w:val="single" w:color="000000" w:sz="4" w:space="0"/>
              <w:right w:val="single" w:color="auto" w:sz="4" w:space="0"/>
            </w:tcBorders>
            <w:vAlign w:val="center"/>
          </w:tcPr>
          <w:p w14:paraId="4A4FC175">
            <w:pPr>
              <w:widowControl/>
              <w:spacing w:line="240" w:lineRule="auto"/>
              <w:ind w:firstLine="0" w:firstLineChars="0"/>
              <w:jc w:val="center"/>
              <w:textAlignment w:val="center"/>
              <w:rPr>
                <w:rFonts w:hint="default" w:eastAsia="宋体" w:cs="宋体"/>
                <w:color w:val="000000"/>
                <w:kern w:val="0"/>
                <w:sz w:val="22"/>
                <w:szCs w:val="22"/>
                <w:lang w:val="en-US" w:eastAsia="zh-CN"/>
              </w:rPr>
            </w:pPr>
            <w:r>
              <w:rPr>
                <w:rFonts w:hint="eastAsia" w:cs="宋体"/>
                <w:color w:val="000000"/>
                <w:kern w:val="0"/>
                <w:sz w:val="22"/>
                <w:szCs w:val="22"/>
                <w:lang w:val="en-US" w:eastAsia="zh-CN"/>
              </w:rPr>
              <w:t>套</w:t>
            </w:r>
          </w:p>
        </w:tc>
      </w:tr>
      <w:tr w14:paraId="7CC771AA">
        <w:tblPrEx>
          <w:tblCellMar>
            <w:top w:w="0" w:type="dxa"/>
            <w:left w:w="0" w:type="dxa"/>
            <w:bottom w:w="0" w:type="dxa"/>
            <w:right w:w="0" w:type="dxa"/>
          </w:tblCellMar>
        </w:tblPrEx>
        <w:trPr>
          <w:trHeight w:val="825" w:hRule="atLeast"/>
        </w:trPr>
        <w:tc>
          <w:tcPr>
            <w:tcW w:w="311" w:type="pct"/>
            <w:tcBorders>
              <w:top w:val="single" w:color="000000" w:sz="4" w:space="0"/>
              <w:left w:val="single" w:color="auto" w:sz="4" w:space="0"/>
              <w:bottom w:val="single" w:color="000000" w:sz="4" w:space="0"/>
              <w:right w:val="single" w:color="000000" w:sz="4" w:space="0"/>
            </w:tcBorders>
            <w:shd w:val="clear" w:color="auto" w:fill="auto"/>
            <w:tcMar>
              <w:top w:w="15" w:type="dxa"/>
              <w:left w:w="15" w:type="dxa"/>
              <w:right w:w="15" w:type="dxa"/>
            </w:tcMar>
            <w:vAlign w:val="center"/>
          </w:tcPr>
          <w:p w14:paraId="3CE629C0">
            <w:pPr>
              <w:widowControl/>
              <w:spacing w:line="240" w:lineRule="auto"/>
              <w:ind w:firstLine="0" w:firstLineChars="0"/>
              <w:jc w:val="center"/>
              <w:textAlignment w:val="center"/>
              <w:rPr>
                <w:rFonts w:hint="eastAsia" w:eastAsia="宋体" w:cs="宋体"/>
                <w:color w:val="000000"/>
                <w:kern w:val="0"/>
                <w:sz w:val="22"/>
                <w:szCs w:val="22"/>
                <w:lang w:val="en-US" w:eastAsia="zh-CN"/>
              </w:rPr>
            </w:pPr>
            <w:r>
              <w:rPr>
                <w:rFonts w:hint="eastAsia" w:cs="宋体"/>
                <w:color w:val="000000"/>
                <w:kern w:val="0"/>
                <w:sz w:val="22"/>
                <w:szCs w:val="22"/>
                <w:lang w:val="en-US" w:eastAsia="zh-CN"/>
              </w:rPr>
              <w:t>6</w:t>
            </w:r>
          </w:p>
        </w:tc>
        <w:tc>
          <w:tcPr>
            <w:tcW w:w="88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8BEC0A2">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sz w:val="24"/>
                <w:szCs w:val="24"/>
              </w:rPr>
            </w:pPr>
            <w:r>
              <w:rPr>
                <w:rFonts w:hint="eastAsia"/>
                <w:sz w:val="24"/>
                <w:szCs w:val="24"/>
              </w:rPr>
              <w:t>服务器操作系统</w:t>
            </w:r>
          </w:p>
        </w:tc>
        <w:tc>
          <w:tcPr>
            <w:tcW w:w="93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523EC44">
            <w:pPr>
              <w:keepNext w:val="0"/>
              <w:keepLines w:val="0"/>
              <w:pageBreakBefore w:val="0"/>
              <w:widowControl w:val="0"/>
              <w:kinsoku/>
              <w:wordWrap/>
              <w:overflowPunct/>
              <w:topLinePunct w:val="0"/>
              <w:autoSpaceDE/>
              <w:autoSpaceDN/>
              <w:bidi w:val="0"/>
              <w:adjustRightInd/>
              <w:snapToGrid/>
              <w:ind w:firstLine="0" w:firstLineChars="0"/>
              <w:jc w:val="center"/>
              <w:textAlignment w:val="auto"/>
            </w:pPr>
            <w:r>
              <w:rPr>
                <w:rFonts w:hint="eastAsia"/>
              </w:rPr>
              <w:t>服务器操作系统</w:t>
            </w:r>
          </w:p>
        </w:tc>
        <w:tc>
          <w:tcPr>
            <w:tcW w:w="219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CDB283E">
            <w:pPr>
              <w:spacing w:line="240" w:lineRule="auto"/>
              <w:ind w:firstLine="0" w:firstLineChars="0"/>
              <w:jc w:val="left"/>
              <w:rPr>
                <w:rFonts w:cs="宋体"/>
                <w:color w:val="000000"/>
                <w:sz w:val="22"/>
                <w:szCs w:val="22"/>
              </w:rPr>
            </w:pPr>
            <w:r>
              <w:rPr>
                <w:rFonts w:hint="eastAsia" w:cs="宋体"/>
                <w:color w:val="000000"/>
                <w:sz w:val="22"/>
                <w:szCs w:val="22"/>
              </w:rPr>
              <w:t>服务器操作系统</w:t>
            </w:r>
          </w:p>
        </w:tc>
        <w:tc>
          <w:tcPr>
            <w:tcW w:w="378" w:type="pct"/>
            <w:tcBorders>
              <w:top w:val="single" w:color="000000" w:sz="4" w:space="0"/>
              <w:left w:val="single" w:color="000000" w:sz="4" w:space="0"/>
              <w:bottom w:val="single" w:color="000000" w:sz="4" w:space="0"/>
              <w:right w:val="single" w:color="auto" w:sz="4" w:space="0"/>
            </w:tcBorders>
            <w:shd w:val="clear" w:color="auto" w:fill="auto"/>
            <w:tcMar>
              <w:top w:w="15" w:type="dxa"/>
              <w:left w:w="15" w:type="dxa"/>
              <w:right w:w="15" w:type="dxa"/>
            </w:tcMar>
            <w:vAlign w:val="center"/>
          </w:tcPr>
          <w:p w14:paraId="3481C02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lang w:val="en-US" w:eastAsia="zh-CN"/>
              </w:rPr>
            </w:pPr>
            <w:r>
              <w:rPr>
                <w:rFonts w:hint="eastAsia"/>
                <w:lang w:val="en-US" w:eastAsia="zh-CN"/>
              </w:rPr>
              <w:t>1</w:t>
            </w:r>
          </w:p>
        </w:tc>
        <w:tc>
          <w:tcPr>
            <w:tcW w:w="298" w:type="pct"/>
            <w:tcBorders>
              <w:top w:val="single" w:color="000000" w:sz="4" w:space="0"/>
              <w:left w:val="single" w:color="000000" w:sz="4" w:space="0"/>
              <w:bottom w:val="single" w:color="000000" w:sz="4" w:space="0"/>
              <w:right w:val="single" w:color="auto" w:sz="4" w:space="0"/>
            </w:tcBorders>
            <w:vAlign w:val="center"/>
          </w:tcPr>
          <w:p w14:paraId="2E88ED9A">
            <w:pPr>
              <w:widowControl/>
              <w:spacing w:line="240" w:lineRule="auto"/>
              <w:ind w:firstLine="0" w:firstLineChars="0"/>
              <w:jc w:val="center"/>
              <w:textAlignment w:val="center"/>
              <w:rPr>
                <w:rFonts w:hint="default" w:eastAsia="宋体" w:cs="宋体"/>
                <w:color w:val="000000"/>
                <w:kern w:val="0"/>
                <w:sz w:val="22"/>
                <w:szCs w:val="22"/>
                <w:lang w:val="en-US" w:eastAsia="zh-CN"/>
              </w:rPr>
            </w:pPr>
            <w:r>
              <w:rPr>
                <w:rFonts w:hint="eastAsia" w:cs="宋体"/>
                <w:color w:val="000000"/>
                <w:kern w:val="0"/>
                <w:sz w:val="22"/>
                <w:szCs w:val="22"/>
                <w:lang w:val="en-US" w:eastAsia="zh-CN"/>
              </w:rPr>
              <w:t>套</w:t>
            </w:r>
          </w:p>
        </w:tc>
      </w:tr>
    </w:tbl>
    <w:p w14:paraId="60DA6C8A">
      <w:pPr>
        <w:numPr>
          <w:ilvl w:val="0"/>
          <w:numId w:val="0"/>
        </w:numPr>
        <w:rPr>
          <w:rFonts w:hint="eastAsia"/>
          <w:b/>
        </w:rPr>
      </w:pPr>
    </w:p>
    <w:p w14:paraId="4299A651">
      <w:pPr>
        <w:ind w:firstLine="482"/>
        <w:rPr>
          <w:b/>
        </w:rPr>
      </w:pPr>
      <w:r>
        <w:rPr>
          <w:rFonts w:hint="eastAsia"/>
          <w:b/>
          <w:lang w:val="en-US" w:eastAsia="zh-CN"/>
        </w:rPr>
        <w:t>3</w:t>
      </w:r>
      <w:r>
        <w:rPr>
          <w:rFonts w:hint="eastAsia"/>
          <w:b/>
        </w:rPr>
        <w:t>、安全产品购置清单：</w:t>
      </w:r>
    </w:p>
    <w:tbl>
      <w:tblPr>
        <w:tblStyle w:val="5"/>
        <w:tblW w:w="4964" w:type="pct"/>
        <w:tblInd w:w="0" w:type="dxa"/>
        <w:tblLayout w:type="autofit"/>
        <w:tblCellMar>
          <w:top w:w="0" w:type="dxa"/>
          <w:left w:w="0" w:type="dxa"/>
          <w:bottom w:w="0" w:type="dxa"/>
          <w:right w:w="0" w:type="dxa"/>
        </w:tblCellMar>
      </w:tblPr>
      <w:tblGrid>
        <w:gridCol w:w="511"/>
        <w:gridCol w:w="1456"/>
        <w:gridCol w:w="1554"/>
        <w:gridCol w:w="3629"/>
        <w:gridCol w:w="628"/>
        <w:gridCol w:w="494"/>
      </w:tblGrid>
      <w:tr w14:paraId="583EC6C2">
        <w:tblPrEx>
          <w:tblCellMar>
            <w:top w:w="0" w:type="dxa"/>
            <w:left w:w="0" w:type="dxa"/>
            <w:bottom w:w="0" w:type="dxa"/>
            <w:right w:w="0" w:type="dxa"/>
          </w:tblCellMar>
        </w:tblPrEx>
        <w:trPr>
          <w:trHeight w:val="270" w:hRule="atLeast"/>
        </w:trPr>
        <w:tc>
          <w:tcPr>
            <w:tcW w:w="309" w:type="pct"/>
            <w:tcBorders>
              <w:top w:val="single" w:color="auto" w:sz="4" w:space="0"/>
              <w:left w:val="single" w:color="auto" w:sz="4" w:space="0"/>
              <w:bottom w:val="single" w:color="000000" w:sz="4" w:space="0"/>
              <w:right w:val="single" w:color="000000" w:sz="4" w:space="0"/>
            </w:tcBorders>
            <w:shd w:val="clear" w:color="auto" w:fill="auto"/>
            <w:noWrap/>
            <w:tcMar>
              <w:top w:w="15" w:type="dxa"/>
              <w:left w:w="15" w:type="dxa"/>
              <w:right w:w="15" w:type="dxa"/>
            </w:tcMar>
            <w:vAlign w:val="center"/>
          </w:tcPr>
          <w:p w14:paraId="5DA5A19C">
            <w:pPr>
              <w:widowControl/>
              <w:spacing w:line="240" w:lineRule="auto"/>
              <w:ind w:firstLine="0" w:firstLineChars="0"/>
              <w:jc w:val="center"/>
              <w:textAlignment w:val="center"/>
              <w:rPr>
                <w:rFonts w:cs="宋体"/>
                <w:b/>
                <w:bCs/>
                <w:color w:val="000000"/>
                <w:sz w:val="22"/>
                <w:szCs w:val="22"/>
              </w:rPr>
            </w:pPr>
            <w:r>
              <w:rPr>
                <w:rFonts w:hint="eastAsia" w:cs="宋体"/>
                <w:b/>
                <w:bCs/>
                <w:color w:val="000000"/>
                <w:kern w:val="0"/>
                <w:sz w:val="22"/>
                <w:szCs w:val="22"/>
              </w:rPr>
              <w:t>序号</w:t>
            </w:r>
          </w:p>
        </w:tc>
        <w:tc>
          <w:tcPr>
            <w:tcW w:w="880" w:type="pct"/>
            <w:tcBorders>
              <w:top w:val="single" w:color="auto"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C891059">
            <w:pPr>
              <w:widowControl/>
              <w:spacing w:line="240" w:lineRule="auto"/>
              <w:ind w:firstLine="0" w:firstLineChars="0"/>
              <w:jc w:val="center"/>
              <w:textAlignment w:val="center"/>
              <w:rPr>
                <w:rFonts w:cs="宋体"/>
                <w:b/>
                <w:bCs/>
                <w:color w:val="000000"/>
                <w:sz w:val="22"/>
                <w:szCs w:val="22"/>
              </w:rPr>
            </w:pPr>
            <w:r>
              <w:rPr>
                <w:rFonts w:hint="eastAsia" w:cs="宋体"/>
                <w:b/>
                <w:bCs/>
                <w:color w:val="000000"/>
                <w:kern w:val="0"/>
                <w:sz w:val="22"/>
                <w:szCs w:val="22"/>
              </w:rPr>
              <w:t>名称</w:t>
            </w:r>
          </w:p>
        </w:tc>
        <w:tc>
          <w:tcPr>
            <w:tcW w:w="939" w:type="pct"/>
            <w:tcBorders>
              <w:top w:val="single" w:color="auto"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5979126">
            <w:pPr>
              <w:widowControl/>
              <w:spacing w:line="240" w:lineRule="auto"/>
              <w:ind w:firstLine="0" w:firstLineChars="0"/>
              <w:jc w:val="center"/>
              <w:textAlignment w:val="center"/>
              <w:rPr>
                <w:rFonts w:cs="宋体"/>
                <w:b/>
                <w:bCs/>
                <w:color w:val="000000"/>
                <w:sz w:val="22"/>
                <w:szCs w:val="22"/>
              </w:rPr>
            </w:pPr>
            <w:r>
              <w:rPr>
                <w:rFonts w:hint="eastAsia" w:cs="宋体"/>
                <w:b/>
                <w:bCs/>
                <w:color w:val="000000"/>
                <w:kern w:val="0"/>
                <w:sz w:val="22"/>
                <w:szCs w:val="22"/>
              </w:rPr>
              <w:t>类别</w:t>
            </w:r>
          </w:p>
        </w:tc>
        <w:tc>
          <w:tcPr>
            <w:tcW w:w="2193" w:type="pct"/>
            <w:tcBorders>
              <w:top w:val="single" w:color="auto"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73DFD82">
            <w:pPr>
              <w:widowControl/>
              <w:spacing w:line="240" w:lineRule="auto"/>
              <w:ind w:firstLine="0" w:firstLineChars="0"/>
              <w:jc w:val="center"/>
              <w:textAlignment w:val="center"/>
              <w:rPr>
                <w:rFonts w:cs="宋体"/>
                <w:b/>
                <w:bCs/>
                <w:color w:val="000000"/>
                <w:sz w:val="22"/>
                <w:szCs w:val="22"/>
              </w:rPr>
            </w:pPr>
            <w:r>
              <w:rPr>
                <w:rFonts w:hint="eastAsia" w:cs="宋体"/>
                <w:b/>
                <w:bCs/>
                <w:color w:val="000000"/>
                <w:kern w:val="0"/>
                <w:sz w:val="22"/>
                <w:szCs w:val="22"/>
              </w:rPr>
              <w:t>功能说明/配置要求</w:t>
            </w:r>
          </w:p>
        </w:tc>
        <w:tc>
          <w:tcPr>
            <w:tcW w:w="379" w:type="pct"/>
            <w:tcBorders>
              <w:top w:val="single" w:color="auto" w:sz="4" w:space="0"/>
              <w:left w:val="single" w:color="000000" w:sz="4" w:space="0"/>
              <w:bottom w:val="single" w:color="000000" w:sz="4" w:space="0"/>
              <w:right w:val="single" w:color="auto" w:sz="4" w:space="0"/>
            </w:tcBorders>
            <w:shd w:val="clear" w:color="auto" w:fill="auto"/>
            <w:noWrap/>
            <w:tcMar>
              <w:top w:w="15" w:type="dxa"/>
              <w:left w:w="15" w:type="dxa"/>
              <w:right w:w="15" w:type="dxa"/>
            </w:tcMar>
            <w:vAlign w:val="center"/>
          </w:tcPr>
          <w:p w14:paraId="712E2116">
            <w:pPr>
              <w:widowControl/>
              <w:spacing w:line="240" w:lineRule="auto"/>
              <w:ind w:firstLine="0" w:firstLineChars="0"/>
              <w:jc w:val="center"/>
              <w:textAlignment w:val="center"/>
              <w:rPr>
                <w:rFonts w:cs="宋体"/>
                <w:b/>
                <w:bCs/>
                <w:color w:val="000000"/>
                <w:sz w:val="22"/>
                <w:szCs w:val="22"/>
              </w:rPr>
            </w:pPr>
            <w:r>
              <w:rPr>
                <w:rFonts w:hint="eastAsia" w:cs="宋体"/>
                <w:b/>
                <w:bCs/>
                <w:color w:val="000000"/>
                <w:kern w:val="0"/>
                <w:sz w:val="22"/>
                <w:szCs w:val="22"/>
              </w:rPr>
              <w:t>数量</w:t>
            </w:r>
          </w:p>
        </w:tc>
        <w:tc>
          <w:tcPr>
            <w:tcW w:w="298" w:type="pct"/>
            <w:tcBorders>
              <w:top w:val="single" w:color="auto" w:sz="4" w:space="0"/>
              <w:left w:val="single" w:color="000000" w:sz="4" w:space="0"/>
              <w:bottom w:val="single" w:color="000000" w:sz="4" w:space="0"/>
              <w:right w:val="single" w:color="auto" w:sz="4" w:space="0"/>
            </w:tcBorders>
            <w:vAlign w:val="center"/>
          </w:tcPr>
          <w:p w14:paraId="2FA7C6CC">
            <w:pPr>
              <w:widowControl/>
              <w:spacing w:line="240" w:lineRule="auto"/>
              <w:ind w:firstLine="0" w:firstLineChars="0"/>
              <w:jc w:val="center"/>
              <w:textAlignment w:val="center"/>
              <w:rPr>
                <w:rFonts w:cs="宋体"/>
                <w:b/>
                <w:bCs/>
                <w:color w:val="000000"/>
                <w:kern w:val="0"/>
                <w:sz w:val="22"/>
                <w:szCs w:val="22"/>
              </w:rPr>
            </w:pPr>
            <w:r>
              <w:rPr>
                <w:rFonts w:hint="eastAsia" w:cs="宋体"/>
                <w:b/>
                <w:bCs/>
                <w:color w:val="000000"/>
                <w:kern w:val="0"/>
                <w:sz w:val="22"/>
                <w:szCs w:val="22"/>
              </w:rPr>
              <w:t>单位</w:t>
            </w:r>
          </w:p>
        </w:tc>
      </w:tr>
      <w:tr w14:paraId="3542EB2B">
        <w:tblPrEx>
          <w:tblCellMar>
            <w:top w:w="0" w:type="dxa"/>
            <w:left w:w="0" w:type="dxa"/>
            <w:bottom w:w="0" w:type="dxa"/>
            <w:right w:w="0" w:type="dxa"/>
          </w:tblCellMar>
        </w:tblPrEx>
        <w:trPr>
          <w:trHeight w:val="825" w:hRule="atLeast"/>
        </w:trPr>
        <w:tc>
          <w:tcPr>
            <w:tcW w:w="309" w:type="pct"/>
            <w:tcBorders>
              <w:top w:val="single" w:color="000000" w:sz="4" w:space="0"/>
              <w:left w:val="single" w:color="auto" w:sz="4" w:space="0"/>
              <w:bottom w:val="single" w:color="000000" w:sz="4" w:space="0"/>
              <w:right w:val="single" w:color="000000" w:sz="4" w:space="0"/>
            </w:tcBorders>
            <w:shd w:val="clear" w:color="auto" w:fill="auto"/>
            <w:tcMar>
              <w:top w:w="15" w:type="dxa"/>
              <w:left w:w="15" w:type="dxa"/>
              <w:right w:w="15" w:type="dxa"/>
            </w:tcMar>
            <w:vAlign w:val="center"/>
          </w:tcPr>
          <w:p w14:paraId="2BEA4AFB">
            <w:pPr>
              <w:widowControl/>
              <w:spacing w:line="240" w:lineRule="auto"/>
              <w:ind w:firstLine="0" w:firstLineChars="0"/>
              <w:jc w:val="center"/>
              <w:textAlignment w:val="center"/>
              <w:rPr>
                <w:rFonts w:cs="宋体"/>
                <w:color w:val="000000"/>
                <w:sz w:val="22"/>
                <w:szCs w:val="22"/>
              </w:rPr>
            </w:pPr>
            <w:r>
              <w:rPr>
                <w:rFonts w:hint="eastAsia" w:cs="宋体"/>
                <w:color w:val="000000"/>
                <w:kern w:val="0"/>
                <w:sz w:val="22"/>
                <w:szCs w:val="22"/>
              </w:rPr>
              <w:t>1</w:t>
            </w:r>
          </w:p>
        </w:tc>
        <w:tc>
          <w:tcPr>
            <w:tcW w:w="88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F810798">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sz w:val="24"/>
                <w:szCs w:val="24"/>
              </w:rPr>
            </w:pPr>
            <w:r>
              <w:rPr>
                <w:rFonts w:hint="eastAsia"/>
                <w:sz w:val="24"/>
                <w:szCs w:val="24"/>
              </w:rPr>
              <w:t>防火墙</w:t>
            </w:r>
          </w:p>
        </w:tc>
        <w:tc>
          <w:tcPr>
            <w:tcW w:w="93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51431A9">
            <w:pPr>
              <w:keepNext w:val="0"/>
              <w:keepLines w:val="0"/>
              <w:pageBreakBefore w:val="0"/>
              <w:widowControl w:val="0"/>
              <w:kinsoku/>
              <w:wordWrap/>
              <w:overflowPunct/>
              <w:topLinePunct w:val="0"/>
              <w:autoSpaceDE/>
              <w:autoSpaceDN/>
              <w:bidi w:val="0"/>
              <w:adjustRightInd/>
              <w:snapToGrid/>
              <w:ind w:firstLine="0" w:firstLineChars="0"/>
              <w:jc w:val="center"/>
              <w:textAlignment w:val="auto"/>
            </w:pPr>
            <w:r>
              <w:rPr>
                <w:rFonts w:hint="eastAsia"/>
              </w:rPr>
              <w:t>边界安全</w:t>
            </w:r>
          </w:p>
        </w:tc>
        <w:tc>
          <w:tcPr>
            <w:tcW w:w="219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68966ED">
            <w:pPr>
              <w:spacing w:line="240" w:lineRule="auto"/>
              <w:ind w:firstLine="0" w:firstLineChars="0"/>
              <w:jc w:val="left"/>
              <w:rPr>
                <w:rFonts w:hint="eastAsia" w:cs="宋体"/>
                <w:color w:val="000000"/>
                <w:sz w:val="22"/>
                <w:szCs w:val="22"/>
              </w:rPr>
            </w:pPr>
            <w:r>
              <w:rPr>
                <w:rFonts w:hint="eastAsia" w:cs="宋体"/>
                <w:color w:val="000000"/>
                <w:sz w:val="22"/>
                <w:szCs w:val="22"/>
              </w:rPr>
              <w:t>产品符合国产化要求，由专用的国产化硬件平台、国产化安全操作系统及功能软件构成。</w:t>
            </w:r>
          </w:p>
          <w:p w14:paraId="4E2F73D6">
            <w:pPr>
              <w:spacing w:line="240" w:lineRule="auto"/>
              <w:ind w:firstLine="0" w:firstLineChars="0"/>
              <w:jc w:val="left"/>
              <w:rPr>
                <w:rFonts w:hint="eastAsia" w:cs="宋体"/>
                <w:color w:val="000000"/>
                <w:sz w:val="22"/>
                <w:szCs w:val="22"/>
              </w:rPr>
            </w:pPr>
            <w:r>
              <w:rPr>
                <w:rFonts w:hint="eastAsia" w:cs="宋体"/>
                <w:color w:val="000000"/>
                <w:sz w:val="22"/>
                <w:szCs w:val="22"/>
              </w:rPr>
              <w:t>≤2U标准机架式设备，配置不少于8个千兆电口、8个千兆光口和4个万兆光口，配置不少于8个千兆多模光纤模块、4个万兆多模光纤模块；配置不少于1个扩展槽位用于接口扩展。</w:t>
            </w:r>
          </w:p>
          <w:p w14:paraId="3D48464C">
            <w:pPr>
              <w:spacing w:line="240" w:lineRule="auto"/>
              <w:ind w:firstLine="0" w:firstLineChars="0"/>
              <w:jc w:val="left"/>
              <w:rPr>
                <w:rFonts w:hint="eastAsia" w:cs="宋体"/>
                <w:color w:val="000000"/>
                <w:sz w:val="22"/>
                <w:szCs w:val="22"/>
              </w:rPr>
            </w:pPr>
            <w:r>
              <w:rPr>
                <w:rFonts w:hint="eastAsia" w:cs="宋体"/>
                <w:color w:val="000000"/>
                <w:sz w:val="22"/>
                <w:szCs w:val="22"/>
              </w:rPr>
              <w:t>网络层吞吐量≥50Gbps；TCP新建连接速率≥200万/秒；TCP并发连接数≥6000万；</w:t>
            </w:r>
          </w:p>
          <w:p w14:paraId="2DF7C108">
            <w:pPr>
              <w:spacing w:line="240" w:lineRule="auto"/>
              <w:ind w:firstLine="0" w:firstLineChars="0"/>
              <w:jc w:val="left"/>
              <w:rPr>
                <w:rFonts w:hint="eastAsia" w:cs="宋体"/>
                <w:color w:val="000000"/>
                <w:sz w:val="22"/>
                <w:szCs w:val="22"/>
              </w:rPr>
            </w:pPr>
            <w:r>
              <w:rPr>
                <w:rFonts w:hint="eastAsia" w:cs="宋体"/>
                <w:color w:val="000000"/>
                <w:sz w:val="22"/>
                <w:szCs w:val="22"/>
              </w:rPr>
              <w:t>支持路由、交换、监听、混合等工作模式；</w:t>
            </w:r>
          </w:p>
          <w:p w14:paraId="1AED45F9">
            <w:pPr>
              <w:spacing w:line="240" w:lineRule="auto"/>
              <w:ind w:firstLine="0" w:firstLineChars="0"/>
              <w:jc w:val="left"/>
              <w:rPr>
                <w:rFonts w:hint="eastAsia" w:cs="宋体"/>
                <w:color w:val="000000"/>
                <w:sz w:val="22"/>
                <w:szCs w:val="22"/>
              </w:rPr>
            </w:pPr>
            <w:r>
              <w:rPr>
                <w:rFonts w:hint="eastAsia" w:cs="宋体"/>
                <w:color w:val="000000"/>
                <w:sz w:val="22"/>
                <w:szCs w:val="22"/>
              </w:rPr>
              <w:t>支持动态路由（RIP、OSPF、BGP等）、静态路由、策略路由配置；</w:t>
            </w:r>
          </w:p>
          <w:p w14:paraId="555BDF67">
            <w:pPr>
              <w:spacing w:line="240" w:lineRule="auto"/>
              <w:ind w:firstLine="0" w:firstLineChars="0"/>
              <w:jc w:val="left"/>
              <w:rPr>
                <w:rFonts w:hint="eastAsia" w:cs="宋体"/>
                <w:color w:val="000000"/>
                <w:sz w:val="22"/>
                <w:szCs w:val="22"/>
              </w:rPr>
            </w:pPr>
            <w:r>
              <w:rPr>
                <w:rFonts w:hint="eastAsia" w:cs="宋体"/>
                <w:color w:val="000000"/>
                <w:sz w:val="22"/>
                <w:szCs w:val="22"/>
              </w:rPr>
              <w:t>支持SNAT、DNAT、双向NAT、NoNAT等多种转换方式；</w:t>
            </w:r>
          </w:p>
          <w:p w14:paraId="56870C92">
            <w:pPr>
              <w:spacing w:line="240" w:lineRule="auto"/>
              <w:ind w:firstLine="0" w:firstLineChars="0"/>
              <w:jc w:val="left"/>
              <w:rPr>
                <w:rFonts w:hint="eastAsia" w:cs="宋体"/>
                <w:color w:val="000000"/>
                <w:sz w:val="22"/>
                <w:szCs w:val="22"/>
              </w:rPr>
            </w:pPr>
            <w:r>
              <w:rPr>
                <w:rFonts w:hint="eastAsia" w:cs="宋体"/>
                <w:color w:val="000000"/>
                <w:sz w:val="22"/>
                <w:szCs w:val="22"/>
              </w:rPr>
              <w:t>支持一体化安全策略配置，可以通过一条策略实现五元组、源MAC、源地区、目的地区、域名、应用、服务、时间、长连接等功能配置,简化用户管理；</w:t>
            </w:r>
          </w:p>
          <w:p w14:paraId="61D89DC9">
            <w:pPr>
              <w:spacing w:line="240" w:lineRule="auto"/>
              <w:ind w:firstLine="0" w:firstLineChars="0"/>
              <w:jc w:val="left"/>
              <w:rPr>
                <w:rFonts w:hint="eastAsia" w:cs="宋体"/>
                <w:color w:val="000000"/>
                <w:sz w:val="22"/>
                <w:szCs w:val="22"/>
              </w:rPr>
            </w:pPr>
            <w:r>
              <w:rPr>
                <w:rFonts w:hint="eastAsia" w:cs="宋体"/>
                <w:color w:val="000000"/>
                <w:sz w:val="22"/>
                <w:szCs w:val="22"/>
              </w:rPr>
              <w:t>支持IPv4/IPv6双栈工作模式，支持IPv6安全控制策略设置；支持对IPv6报文进行病毒防御、入侵防御、URL过滤、抗DDOS、流量控制、连接限制、文件过滤、数据过滤等；</w:t>
            </w:r>
          </w:p>
          <w:p w14:paraId="5CE092DB">
            <w:pPr>
              <w:spacing w:line="240" w:lineRule="auto"/>
              <w:ind w:firstLine="0" w:firstLineChars="0"/>
              <w:jc w:val="left"/>
              <w:rPr>
                <w:rFonts w:hint="eastAsia" w:cs="宋体"/>
                <w:color w:val="000000"/>
                <w:sz w:val="22"/>
                <w:szCs w:val="22"/>
              </w:rPr>
            </w:pPr>
            <w:r>
              <w:rPr>
                <w:rFonts w:hint="eastAsia" w:cs="宋体"/>
                <w:color w:val="000000"/>
                <w:sz w:val="22"/>
                <w:szCs w:val="22"/>
              </w:rPr>
              <w:t>支持日志外发至多个SYSLOG服务器，可设置日志传输协议、外发时间类型、合并传输等参数；</w:t>
            </w:r>
          </w:p>
          <w:p w14:paraId="7EE2A4BA">
            <w:pPr>
              <w:spacing w:line="240" w:lineRule="auto"/>
              <w:ind w:firstLine="0" w:firstLineChars="0"/>
              <w:jc w:val="left"/>
              <w:rPr>
                <w:rFonts w:hint="eastAsia" w:cs="宋体"/>
                <w:color w:val="000000"/>
                <w:sz w:val="22"/>
                <w:szCs w:val="22"/>
              </w:rPr>
            </w:pPr>
            <w:r>
              <w:rPr>
                <w:rFonts w:hint="eastAsia" w:cs="宋体"/>
                <w:color w:val="000000"/>
                <w:sz w:val="22"/>
                <w:szCs w:val="22"/>
              </w:rPr>
              <w:t>▲支持DNS Doctoring功能，能够将来自内部网络的域名解析请求定向到真实内网资源，提高访问效率，同时支持通过配置多条 DNS Doctoring，实现内网资源服务器的负载均衡（提供产品功能截图证明）</w:t>
            </w:r>
          </w:p>
          <w:p w14:paraId="1BCE6E4D">
            <w:pPr>
              <w:spacing w:line="240" w:lineRule="auto"/>
              <w:ind w:firstLine="0" w:firstLineChars="0"/>
              <w:jc w:val="left"/>
              <w:rPr>
                <w:rFonts w:hint="eastAsia" w:cs="宋体"/>
                <w:color w:val="000000"/>
                <w:sz w:val="22"/>
                <w:szCs w:val="22"/>
              </w:rPr>
            </w:pPr>
            <w:r>
              <w:rPr>
                <w:rFonts w:hint="eastAsia" w:cs="宋体"/>
                <w:color w:val="000000"/>
                <w:sz w:val="22"/>
                <w:szCs w:val="22"/>
              </w:rPr>
              <w:t>▲产品应具有网络关键设备和网络安全专用产品安全认证证书或者网络安全专用产品安全检测证书，提供资质复印件；</w:t>
            </w:r>
          </w:p>
          <w:p w14:paraId="1DBABABD">
            <w:pPr>
              <w:spacing w:line="240" w:lineRule="auto"/>
              <w:ind w:firstLine="0" w:firstLineChars="0"/>
              <w:jc w:val="left"/>
              <w:rPr>
                <w:rFonts w:hint="eastAsia" w:cs="宋体"/>
                <w:color w:val="000000"/>
                <w:sz w:val="22"/>
                <w:szCs w:val="22"/>
              </w:rPr>
            </w:pPr>
            <w:r>
              <w:rPr>
                <w:rFonts w:hint="eastAsia" w:cs="宋体"/>
                <w:color w:val="000000"/>
                <w:sz w:val="22"/>
                <w:szCs w:val="22"/>
              </w:rPr>
              <w:t>▲产品应具有国家信息安全测评自主原创产品测评证书，提供资质复印件；</w:t>
            </w:r>
          </w:p>
          <w:p w14:paraId="3564CB35">
            <w:pPr>
              <w:spacing w:line="240" w:lineRule="auto"/>
              <w:ind w:firstLine="0" w:firstLineChars="0"/>
              <w:jc w:val="left"/>
              <w:rPr>
                <w:rFonts w:hint="eastAsia" w:cs="宋体"/>
                <w:color w:val="000000"/>
                <w:sz w:val="22"/>
                <w:szCs w:val="22"/>
                <w:lang w:eastAsia="zh-CN"/>
              </w:rPr>
            </w:pPr>
            <w:r>
              <w:rPr>
                <w:rFonts w:hint="eastAsia" w:cs="宋体"/>
                <w:color w:val="000000"/>
                <w:kern w:val="0"/>
                <w:sz w:val="22"/>
                <w:szCs w:val="22"/>
              </w:rPr>
              <w:t>提供设备原厂商售后服务承诺；</w:t>
            </w:r>
          </w:p>
        </w:tc>
        <w:tc>
          <w:tcPr>
            <w:tcW w:w="379" w:type="pct"/>
            <w:tcBorders>
              <w:top w:val="single" w:color="000000" w:sz="4" w:space="0"/>
              <w:left w:val="single" w:color="000000" w:sz="4" w:space="0"/>
              <w:bottom w:val="single" w:color="000000" w:sz="4" w:space="0"/>
              <w:right w:val="single" w:color="auto" w:sz="4" w:space="0"/>
            </w:tcBorders>
            <w:shd w:val="clear" w:color="auto" w:fill="auto"/>
            <w:tcMar>
              <w:top w:w="15" w:type="dxa"/>
              <w:left w:w="15" w:type="dxa"/>
              <w:right w:w="15" w:type="dxa"/>
            </w:tcMar>
            <w:vAlign w:val="center"/>
          </w:tcPr>
          <w:p w14:paraId="55F84DB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lang w:val="en-US" w:eastAsia="zh-CN"/>
              </w:rPr>
            </w:pPr>
            <w:r>
              <w:rPr>
                <w:rFonts w:hint="eastAsia"/>
                <w:lang w:val="en-US" w:eastAsia="zh-CN"/>
              </w:rPr>
              <w:t>1</w:t>
            </w:r>
          </w:p>
        </w:tc>
        <w:tc>
          <w:tcPr>
            <w:tcW w:w="298" w:type="pct"/>
            <w:tcBorders>
              <w:top w:val="single" w:color="000000" w:sz="4" w:space="0"/>
              <w:left w:val="single" w:color="000000" w:sz="4" w:space="0"/>
              <w:bottom w:val="single" w:color="000000" w:sz="4" w:space="0"/>
              <w:right w:val="single" w:color="auto" w:sz="4" w:space="0"/>
            </w:tcBorders>
            <w:vAlign w:val="center"/>
          </w:tcPr>
          <w:p w14:paraId="491EADED">
            <w:pPr>
              <w:widowControl/>
              <w:spacing w:line="240" w:lineRule="auto"/>
              <w:ind w:firstLine="0" w:firstLineChars="0"/>
              <w:jc w:val="center"/>
              <w:textAlignment w:val="center"/>
              <w:rPr>
                <w:rFonts w:hint="eastAsia" w:eastAsia="宋体" w:cs="宋体"/>
                <w:color w:val="000000"/>
                <w:kern w:val="0"/>
                <w:sz w:val="22"/>
                <w:szCs w:val="22"/>
                <w:lang w:val="en-US" w:eastAsia="zh-CN"/>
              </w:rPr>
            </w:pPr>
            <w:r>
              <w:rPr>
                <w:rFonts w:hint="eastAsia" w:cs="宋体"/>
                <w:color w:val="000000"/>
                <w:kern w:val="0"/>
                <w:sz w:val="22"/>
                <w:szCs w:val="22"/>
                <w:lang w:val="en-US" w:eastAsia="zh-CN"/>
              </w:rPr>
              <w:t>台</w:t>
            </w:r>
          </w:p>
        </w:tc>
      </w:tr>
      <w:tr w14:paraId="34E13A03">
        <w:tblPrEx>
          <w:tblCellMar>
            <w:top w:w="0" w:type="dxa"/>
            <w:left w:w="0" w:type="dxa"/>
            <w:bottom w:w="0" w:type="dxa"/>
            <w:right w:w="0" w:type="dxa"/>
          </w:tblCellMar>
        </w:tblPrEx>
        <w:trPr>
          <w:trHeight w:val="825" w:hRule="atLeast"/>
        </w:trPr>
        <w:tc>
          <w:tcPr>
            <w:tcW w:w="309" w:type="pct"/>
            <w:tcBorders>
              <w:top w:val="single" w:color="000000" w:sz="4" w:space="0"/>
              <w:left w:val="single" w:color="auto" w:sz="4" w:space="0"/>
              <w:bottom w:val="single" w:color="000000" w:sz="4" w:space="0"/>
              <w:right w:val="single" w:color="000000" w:sz="4" w:space="0"/>
            </w:tcBorders>
            <w:shd w:val="clear" w:color="auto" w:fill="auto"/>
            <w:tcMar>
              <w:top w:w="15" w:type="dxa"/>
              <w:left w:w="15" w:type="dxa"/>
              <w:right w:w="15" w:type="dxa"/>
            </w:tcMar>
            <w:vAlign w:val="center"/>
          </w:tcPr>
          <w:p w14:paraId="3F489FA3">
            <w:pPr>
              <w:widowControl/>
              <w:spacing w:line="240" w:lineRule="auto"/>
              <w:ind w:firstLine="0" w:firstLineChars="0"/>
              <w:jc w:val="center"/>
              <w:textAlignment w:val="center"/>
              <w:rPr>
                <w:rFonts w:hint="eastAsia" w:eastAsia="宋体" w:cs="宋体"/>
                <w:color w:val="000000"/>
                <w:kern w:val="0"/>
                <w:sz w:val="22"/>
                <w:szCs w:val="22"/>
                <w:lang w:val="en-US" w:eastAsia="zh-CN"/>
              </w:rPr>
            </w:pPr>
            <w:r>
              <w:rPr>
                <w:rFonts w:hint="eastAsia" w:cs="宋体"/>
                <w:color w:val="000000"/>
                <w:kern w:val="0"/>
                <w:sz w:val="22"/>
                <w:szCs w:val="22"/>
                <w:lang w:val="en-US" w:eastAsia="zh-CN"/>
              </w:rPr>
              <w:t>2</w:t>
            </w:r>
          </w:p>
        </w:tc>
        <w:tc>
          <w:tcPr>
            <w:tcW w:w="88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D8B4B97">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宋体" w:hAnsi="宋体" w:eastAsia="宋体" w:cs="Times New Roman"/>
                <w:kern w:val="2"/>
                <w:sz w:val="24"/>
                <w:szCs w:val="24"/>
                <w:lang w:val="en-US" w:eastAsia="zh-CN" w:bidi="ar-SA"/>
              </w:rPr>
            </w:pPr>
            <w:r>
              <w:rPr>
                <w:rFonts w:hint="eastAsia"/>
                <w:sz w:val="24"/>
                <w:szCs w:val="24"/>
              </w:rPr>
              <w:t>防火墙</w:t>
            </w:r>
          </w:p>
        </w:tc>
        <w:tc>
          <w:tcPr>
            <w:tcW w:w="93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5F2533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ascii="宋体" w:hAnsi="宋体" w:eastAsia="宋体" w:cs="Times New Roman"/>
                <w:kern w:val="2"/>
                <w:sz w:val="24"/>
                <w:szCs w:val="24"/>
                <w:lang w:val="en-US" w:eastAsia="zh-CN" w:bidi="ar-SA"/>
              </w:rPr>
            </w:pPr>
            <w:r>
              <w:rPr>
                <w:rFonts w:hint="eastAsia"/>
              </w:rPr>
              <w:t>边界安全</w:t>
            </w:r>
          </w:p>
        </w:tc>
        <w:tc>
          <w:tcPr>
            <w:tcW w:w="219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AEDF05F">
            <w:pPr>
              <w:spacing w:line="240" w:lineRule="auto"/>
              <w:ind w:firstLine="0" w:firstLineChars="0"/>
              <w:jc w:val="left"/>
              <w:rPr>
                <w:rFonts w:hint="eastAsia" w:cs="宋体"/>
                <w:color w:val="000000"/>
                <w:kern w:val="0"/>
                <w:sz w:val="22"/>
                <w:szCs w:val="22"/>
              </w:rPr>
            </w:pPr>
            <w:r>
              <w:rPr>
                <w:rFonts w:hint="eastAsia" w:cs="宋体"/>
                <w:color w:val="000000"/>
                <w:kern w:val="0"/>
                <w:sz w:val="22"/>
                <w:szCs w:val="22"/>
              </w:rPr>
              <w:t>产品符合国产化要求，由专用的国产化硬件平台、国产化安全操作系统及功能软件构成。</w:t>
            </w:r>
          </w:p>
          <w:p w14:paraId="23BE9297">
            <w:pPr>
              <w:spacing w:line="240" w:lineRule="auto"/>
              <w:ind w:firstLine="0" w:firstLineChars="0"/>
              <w:jc w:val="left"/>
              <w:rPr>
                <w:rFonts w:hint="eastAsia" w:cs="宋体"/>
                <w:color w:val="000000"/>
                <w:kern w:val="0"/>
                <w:sz w:val="22"/>
                <w:szCs w:val="22"/>
              </w:rPr>
            </w:pPr>
            <w:r>
              <w:rPr>
                <w:rFonts w:hint="eastAsia" w:cs="宋体"/>
                <w:color w:val="000000"/>
                <w:kern w:val="0"/>
                <w:sz w:val="22"/>
                <w:szCs w:val="22"/>
              </w:rPr>
              <w:t>≤2U标准机架式设备，配置不少于10个千兆电口，14个千兆光插槽，2个万兆光插槽；配置不少于1个扩展槽位用于接口扩展。</w:t>
            </w:r>
          </w:p>
          <w:p w14:paraId="230F87B0">
            <w:pPr>
              <w:spacing w:line="240" w:lineRule="auto"/>
              <w:ind w:firstLine="0" w:firstLineChars="0"/>
              <w:jc w:val="left"/>
              <w:rPr>
                <w:rFonts w:hint="eastAsia" w:cs="宋体"/>
                <w:color w:val="000000"/>
                <w:kern w:val="0"/>
                <w:sz w:val="22"/>
                <w:szCs w:val="22"/>
              </w:rPr>
            </w:pPr>
            <w:r>
              <w:rPr>
                <w:rFonts w:hint="eastAsia" w:cs="宋体"/>
                <w:color w:val="000000"/>
                <w:kern w:val="0"/>
                <w:sz w:val="22"/>
                <w:szCs w:val="22"/>
              </w:rPr>
              <w:t>网络层吞吐量≥8G，并发连接数≥300万；</w:t>
            </w:r>
          </w:p>
          <w:p w14:paraId="6A3F8243">
            <w:pPr>
              <w:spacing w:line="240" w:lineRule="auto"/>
              <w:ind w:firstLine="0" w:firstLineChars="0"/>
              <w:jc w:val="left"/>
              <w:rPr>
                <w:rFonts w:hint="eastAsia" w:cs="宋体"/>
                <w:color w:val="000000"/>
                <w:kern w:val="0"/>
                <w:sz w:val="22"/>
                <w:szCs w:val="22"/>
              </w:rPr>
            </w:pPr>
            <w:r>
              <w:rPr>
                <w:rFonts w:hint="eastAsia" w:cs="宋体"/>
                <w:color w:val="000000"/>
                <w:kern w:val="0"/>
                <w:sz w:val="22"/>
                <w:szCs w:val="22"/>
              </w:rPr>
              <w:t>支持路由、交换、监听、混合等工作模式；</w:t>
            </w:r>
          </w:p>
          <w:p w14:paraId="649FCA20">
            <w:pPr>
              <w:spacing w:line="240" w:lineRule="auto"/>
              <w:ind w:firstLine="0" w:firstLineChars="0"/>
              <w:jc w:val="left"/>
              <w:rPr>
                <w:rFonts w:hint="eastAsia" w:cs="宋体"/>
                <w:color w:val="000000"/>
                <w:kern w:val="0"/>
                <w:sz w:val="22"/>
                <w:szCs w:val="22"/>
              </w:rPr>
            </w:pPr>
            <w:r>
              <w:rPr>
                <w:rFonts w:hint="eastAsia" w:cs="宋体"/>
                <w:color w:val="000000"/>
                <w:kern w:val="0"/>
                <w:sz w:val="22"/>
                <w:szCs w:val="22"/>
              </w:rPr>
              <w:t>支持动态路由（RIP、OSPF、BGP等）、静态路由、策略路由配置；</w:t>
            </w:r>
          </w:p>
          <w:p w14:paraId="0EB189A7">
            <w:pPr>
              <w:spacing w:line="240" w:lineRule="auto"/>
              <w:ind w:firstLine="0" w:firstLineChars="0"/>
              <w:jc w:val="left"/>
              <w:rPr>
                <w:rFonts w:hint="eastAsia" w:cs="宋体"/>
                <w:color w:val="000000"/>
                <w:kern w:val="0"/>
                <w:sz w:val="22"/>
                <w:szCs w:val="22"/>
              </w:rPr>
            </w:pPr>
            <w:r>
              <w:rPr>
                <w:rFonts w:hint="eastAsia" w:cs="宋体"/>
                <w:color w:val="000000"/>
                <w:kern w:val="0"/>
                <w:sz w:val="22"/>
                <w:szCs w:val="22"/>
              </w:rPr>
              <w:t>支持SNAT、DNAT、双向NAT、NoNAT等多种转换方式；</w:t>
            </w:r>
          </w:p>
          <w:p w14:paraId="7937E1E0">
            <w:pPr>
              <w:spacing w:line="240" w:lineRule="auto"/>
              <w:ind w:firstLine="0" w:firstLineChars="0"/>
              <w:jc w:val="left"/>
              <w:rPr>
                <w:rFonts w:hint="eastAsia" w:cs="宋体"/>
                <w:color w:val="000000"/>
                <w:kern w:val="0"/>
                <w:sz w:val="22"/>
                <w:szCs w:val="22"/>
              </w:rPr>
            </w:pPr>
            <w:r>
              <w:rPr>
                <w:rFonts w:hint="eastAsia" w:cs="宋体"/>
                <w:color w:val="000000"/>
                <w:kern w:val="0"/>
                <w:sz w:val="22"/>
                <w:szCs w:val="22"/>
              </w:rPr>
              <w:t>支持一体化安全策略配置，可以通过一条策略实现五元组、源MAC、源地区、目的地区、域名、应用、服务、时间、长连接等功能配置,简化用户管理；</w:t>
            </w:r>
          </w:p>
          <w:p w14:paraId="5E23846D">
            <w:pPr>
              <w:spacing w:line="240" w:lineRule="auto"/>
              <w:ind w:firstLine="0" w:firstLineChars="0"/>
              <w:jc w:val="left"/>
              <w:rPr>
                <w:rFonts w:hint="eastAsia" w:cs="宋体"/>
                <w:color w:val="000000"/>
                <w:kern w:val="0"/>
                <w:sz w:val="22"/>
                <w:szCs w:val="22"/>
              </w:rPr>
            </w:pPr>
            <w:r>
              <w:rPr>
                <w:rFonts w:hint="eastAsia" w:cs="宋体"/>
                <w:color w:val="000000"/>
                <w:kern w:val="0"/>
                <w:sz w:val="22"/>
                <w:szCs w:val="22"/>
              </w:rPr>
              <w:t>支持IPv4/IPv6双栈工作模式，支持IPv6安全控制策略设置；支持对IPv6报文进行病毒防御、入侵防御、URL过滤、抗DDOS、流量控制、连接限制、文件过滤、数据过滤等；</w:t>
            </w:r>
          </w:p>
          <w:p w14:paraId="29C7B67A">
            <w:pPr>
              <w:spacing w:line="240" w:lineRule="auto"/>
              <w:ind w:firstLine="0" w:firstLineChars="0"/>
              <w:jc w:val="left"/>
              <w:rPr>
                <w:rFonts w:hint="eastAsia" w:cs="宋体"/>
                <w:color w:val="000000"/>
                <w:kern w:val="0"/>
                <w:sz w:val="22"/>
                <w:szCs w:val="22"/>
              </w:rPr>
            </w:pPr>
            <w:r>
              <w:rPr>
                <w:rFonts w:hint="eastAsia" w:cs="宋体"/>
                <w:color w:val="000000"/>
                <w:kern w:val="0"/>
                <w:sz w:val="22"/>
                <w:szCs w:val="22"/>
              </w:rPr>
              <w:t>支持日志外发至多个SYSLOG服务器，可设置日志传输协议、外发时间类型、合并传输等参数；</w:t>
            </w:r>
          </w:p>
          <w:p w14:paraId="6EFBCC2A">
            <w:pPr>
              <w:spacing w:line="240" w:lineRule="auto"/>
              <w:ind w:firstLine="0" w:firstLineChars="0"/>
              <w:jc w:val="left"/>
              <w:rPr>
                <w:rFonts w:hint="eastAsia" w:cs="宋体"/>
                <w:color w:val="000000"/>
                <w:kern w:val="0"/>
                <w:sz w:val="22"/>
                <w:szCs w:val="22"/>
              </w:rPr>
            </w:pPr>
            <w:r>
              <w:rPr>
                <w:rFonts w:hint="eastAsia" w:cs="宋体"/>
                <w:color w:val="000000"/>
                <w:kern w:val="0"/>
                <w:sz w:val="22"/>
                <w:szCs w:val="22"/>
              </w:rPr>
              <w:t>▲支持链路负载均衡功能，支持轮询、加权轮询、就近选路、优先级、带宽比率等多种链路负载均衡算法，支持备用选路算法，支持链路过载保护；（提供产品功能截图证明）</w:t>
            </w:r>
          </w:p>
          <w:p w14:paraId="260C0127">
            <w:pPr>
              <w:spacing w:line="240" w:lineRule="auto"/>
              <w:ind w:firstLine="0" w:firstLineChars="0"/>
              <w:jc w:val="left"/>
              <w:rPr>
                <w:rFonts w:hint="eastAsia" w:cs="宋体"/>
                <w:color w:val="000000"/>
                <w:kern w:val="0"/>
                <w:sz w:val="22"/>
                <w:szCs w:val="22"/>
              </w:rPr>
            </w:pPr>
            <w:r>
              <w:rPr>
                <w:rFonts w:hint="eastAsia" w:cs="宋体"/>
                <w:color w:val="000000"/>
                <w:kern w:val="0"/>
                <w:sz w:val="22"/>
                <w:szCs w:val="22"/>
              </w:rPr>
              <w:t>▲支持在WEB界面进行网络诊断，支持PING、TRACEROUTE、TCP、HTTP、DNS等多种诊断方式（提供产品功能截图证明）</w:t>
            </w:r>
          </w:p>
          <w:p w14:paraId="0506334B">
            <w:pPr>
              <w:spacing w:line="240" w:lineRule="auto"/>
              <w:ind w:firstLine="0" w:firstLineChars="0"/>
              <w:jc w:val="left"/>
              <w:rPr>
                <w:rFonts w:hint="eastAsia" w:cs="宋体"/>
                <w:color w:val="000000"/>
                <w:kern w:val="0"/>
                <w:sz w:val="22"/>
                <w:szCs w:val="22"/>
              </w:rPr>
            </w:pPr>
            <w:r>
              <w:rPr>
                <w:rFonts w:hint="eastAsia" w:cs="宋体"/>
                <w:color w:val="000000"/>
                <w:kern w:val="0"/>
                <w:sz w:val="22"/>
                <w:szCs w:val="22"/>
              </w:rPr>
              <w:t>▲提供设备原厂商售后服务承诺；</w:t>
            </w:r>
          </w:p>
        </w:tc>
        <w:tc>
          <w:tcPr>
            <w:tcW w:w="379" w:type="pct"/>
            <w:tcBorders>
              <w:top w:val="single" w:color="000000" w:sz="4" w:space="0"/>
              <w:left w:val="single" w:color="000000" w:sz="4" w:space="0"/>
              <w:bottom w:val="single" w:color="000000" w:sz="4" w:space="0"/>
              <w:right w:val="single" w:color="auto" w:sz="4" w:space="0"/>
            </w:tcBorders>
            <w:shd w:val="clear" w:color="auto" w:fill="auto"/>
            <w:tcMar>
              <w:top w:w="15" w:type="dxa"/>
              <w:left w:w="15" w:type="dxa"/>
              <w:right w:w="15" w:type="dxa"/>
            </w:tcMar>
            <w:vAlign w:val="center"/>
          </w:tcPr>
          <w:p w14:paraId="00D9103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lang w:val="en-US" w:eastAsia="zh-CN"/>
              </w:rPr>
            </w:pPr>
            <w:r>
              <w:rPr>
                <w:rFonts w:hint="eastAsia"/>
                <w:lang w:val="en-US" w:eastAsia="zh-CN"/>
              </w:rPr>
              <w:t>2</w:t>
            </w:r>
          </w:p>
        </w:tc>
        <w:tc>
          <w:tcPr>
            <w:tcW w:w="298" w:type="pct"/>
            <w:tcBorders>
              <w:top w:val="single" w:color="000000" w:sz="4" w:space="0"/>
              <w:left w:val="single" w:color="000000" w:sz="4" w:space="0"/>
              <w:bottom w:val="single" w:color="000000" w:sz="4" w:space="0"/>
              <w:right w:val="single" w:color="auto" w:sz="4" w:space="0"/>
            </w:tcBorders>
            <w:vAlign w:val="center"/>
          </w:tcPr>
          <w:p w14:paraId="4E6F9F71">
            <w:pPr>
              <w:widowControl/>
              <w:spacing w:line="240" w:lineRule="auto"/>
              <w:ind w:firstLine="0" w:firstLineChars="0"/>
              <w:jc w:val="center"/>
              <w:textAlignment w:val="center"/>
              <w:rPr>
                <w:rFonts w:hint="eastAsia" w:eastAsia="宋体" w:cs="宋体"/>
                <w:color w:val="000000"/>
                <w:kern w:val="0"/>
                <w:sz w:val="22"/>
                <w:szCs w:val="22"/>
                <w:lang w:val="en-US" w:eastAsia="zh-CN"/>
              </w:rPr>
            </w:pPr>
            <w:r>
              <w:rPr>
                <w:rFonts w:hint="eastAsia" w:cs="宋体"/>
                <w:color w:val="000000"/>
                <w:kern w:val="0"/>
                <w:sz w:val="22"/>
                <w:szCs w:val="22"/>
                <w:lang w:val="en-US" w:eastAsia="zh-CN"/>
              </w:rPr>
              <w:t>套</w:t>
            </w:r>
          </w:p>
        </w:tc>
      </w:tr>
      <w:tr w14:paraId="294F4C73">
        <w:tblPrEx>
          <w:tblCellMar>
            <w:top w:w="0" w:type="dxa"/>
            <w:left w:w="0" w:type="dxa"/>
            <w:bottom w:w="0" w:type="dxa"/>
            <w:right w:w="0" w:type="dxa"/>
          </w:tblCellMar>
        </w:tblPrEx>
        <w:trPr>
          <w:trHeight w:val="825" w:hRule="atLeast"/>
        </w:trPr>
        <w:tc>
          <w:tcPr>
            <w:tcW w:w="309" w:type="pct"/>
            <w:tcBorders>
              <w:top w:val="single" w:color="000000" w:sz="4" w:space="0"/>
              <w:left w:val="single" w:color="auto" w:sz="4" w:space="0"/>
              <w:bottom w:val="single" w:color="000000" w:sz="4" w:space="0"/>
              <w:right w:val="single" w:color="000000" w:sz="4" w:space="0"/>
            </w:tcBorders>
            <w:shd w:val="clear" w:color="auto" w:fill="auto"/>
            <w:tcMar>
              <w:top w:w="15" w:type="dxa"/>
              <w:left w:w="15" w:type="dxa"/>
              <w:right w:w="15" w:type="dxa"/>
            </w:tcMar>
            <w:vAlign w:val="center"/>
          </w:tcPr>
          <w:p w14:paraId="70641101">
            <w:pPr>
              <w:widowControl/>
              <w:spacing w:line="240" w:lineRule="auto"/>
              <w:ind w:firstLine="0" w:firstLineChars="0"/>
              <w:jc w:val="center"/>
              <w:textAlignment w:val="center"/>
              <w:rPr>
                <w:rFonts w:hint="eastAsia" w:eastAsia="宋体" w:cs="宋体"/>
                <w:color w:val="000000"/>
                <w:kern w:val="0"/>
                <w:sz w:val="22"/>
                <w:szCs w:val="22"/>
                <w:lang w:val="en-US" w:eastAsia="zh-CN"/>
              </w:rPr>
            </w:pPr>
            <w:r>
              <w:rPr>
                <w:rFonts w:hint="eastAsia" w:cs="宋体"/>
                <w:color w:val="000000"/>
                <w:kern w:val="0"/>
                <w:sz w:val="22"/>
                <w:szCs w:val="22"/>
                <w:lang w:val="en-US" w:eastAsia="zh-CN"/>
              </w:rPr>
              <w:t>3</w:t>
            </w:r>
          </w:p>
        </w:tc>
        <w:tc>
          <w:tcPr>
            <w:tcW w:w="88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2A6E61D">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sz w:val="24"/>
                <w:szCs w:val="24"/>
              </w:rPr>
            </w:pPr>
            <w:r>
              <w:rPr>
                <w:rFonts w:hint="eastAsia"/>
                <w:sz w:val="24"/>
                <w:szCs w:val="24"/>
              </w:rPr>
              <w:t>入侵防御产品</w:t>
            </w:r>
          </w:p>
        </w:tc>
        <w:tc>
          <w:tcPr>
            <w:tcW w:w="93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3BE63B7">
            <w:pPr>
              <w:keepNext w:val="0"/>
              <w:keepLines w:val="0"/>
              <w:pageBreakBefore w:val="0"/>
              <w:widowControl w:val="0"/>
              <w:kinsoku/>
              <w:wordWrap/>
              <w:overflowPunct/>
              <w:topLinePunct w:val="0"/>
              <w:autoSpaceDE/>
              <w:autoSpaceDN/>
              <w:bidi w:val="0"/>
              <w:adjustRightInd/>
              <w:snapToGrid/>
              <w:ind w:firstLine="0" w:firstLineChars="0"/>
              <w:jc w:val="center"/>
              <w:textAlignment w:val="auto"/>
            </w:pPr>
            <w:r>
              <w:rPr>
                <w:rFonts w:hint="eastAsia"/>
                <w:sz w:val="24"/>
                <w:szCs w:val="24"/>
              </w:rPr>
              <w:t>入侵防御产品</w:t>
            </w:r>
          </w:p>
        </w:tc>
        <w:tc>
          <w:tcPr>
            <w:tcW w:w="219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40DAB7D">
            <w:pPr>
              <w:spacing w:line="240" w:lineRule="auto"/>
              <w:ind w:firstLine="0" w:firstLineChars="0"/>
              <w:jc w:val="left"/>
              <w:rPr>
                <w:rFonts w:hint="eastAsia" w:cs="宋体"/>
                <w:color w:val="000000"/>
                <w:kern w:val="0"/>
                <w:sz w:val="22"/>
                <w:szCs w:val="22"/>
              </w:rPr>
            </w:pPr>
            <w:r>
              <w:rPr>
                <w:rFonts w:hint="eastAsia" w:cs="宋体"/>
                <w:color w:val="000000"/>
                <w:kern w:val="0"/>
                <w:sz w:val="22"/>
                <w:szCs w:val="22"/>
              </w:rPr>
              <w:t>产品符合国产化要求，由专用的国产化硬件平台、国产化安全操作系统及功能软件构成。</w:t>
            </w:r>
          </w:p>
          <w:p w14:paraId="23C45DA7">
            <w:pPr>
              <w:spacing w:line="240" w:lineRule="auto"/>
              <w:ind w:firstLine="0" w:firstLineChars="0"/>
              <w:jc w:val="left"/>
              <w:rPr>
                <w:rFonts w:hint="eastAsia" w:cs="宋体"/>
                <w:color w:val="000000"/>
                <w:kern w:val="0"/>
                <w:sz w:val="22"/>
                <w:szCs w:val="22"/>
              </w:rPr>
            </w:pPr>
            <w:r>
              <w:rPr>
                <w:rFonts w:hint="eastAsia" w:cs="宋体"/>
                <w:color w:val="000000"/>
                <w:kern w:val="0"/>
                <w:sz w:val="22"/>
                <w:szCs w:val="22"/>
              </w:rPr>
              <w:t>≤2U标准机架式设备，配置不少于6个千兆电口，4个千兆光插槽；配置不少于4个千兆多模光模块；配置不少于2个扩展槽位用于接口扩展。</w:t>
            </w:r>
          </w:p>
          <w:p w14:paraId="168D9348">
            <w:pPr>
              <w:spacing w:line="240" w:lineRule="auto"/>
              <w:ind w:firstLine="0" w:firstLineChars="0"/>
              <w:jc w:val="left"/>
              <w:rPr>
                <w:rFonts w:hint="eastAsia" w:cs="宋体"/>
                <w:color w:val="000000"/>
                <w:kern w:val="0"/>
                <w:sz w:val="22"/>
                <w:szCs w:val="22"/>
              </w:rPr>
            </w:pPr>
            <w:r>
              <w:rPr>
                <w:rFonts w:hint="eastAsia" w:cs="宋体"/>
                <w:color w:val="000000"/>
                <w:kern w:val="0"/>
                <w:sz w:val="22"/>
                <w:szCs w:val="22"/>
              </w:rPr>
              <w:t>满检速率≥6.5Gbps,TCP并发连接数≥900万；</w:t>
            </w:r>
          </w:p>
          <w:p w14:paraId="6B54E84D">
            <w:pPr>
              <w:spacing w:line="240" w:lineRule="auto"/>
              <w:ind w:firstLine="0" w:firstLineChars="0"/>
              <w:jc w:val="left"/>
              <w:rPr>
                <w:rFonts w:hint="eastAsia" w:cs="宋体"/>
                <w:color w:val="000000"/>
                <w:kern w:val="0"/>
                <w:sz w:val="22"/>
                <w:szCs w:val="22"/>
              </w:rPr>
            </w:pPr>
            <w:r>
              <w:rPr>
                <w:rFonts w:hint="eastAsia" w:cs="宋体"/>
                <w:color w:val="000000"/>
                <w:kern w:val="0"/>
                <w:sz w:val="22"/>
                <w:szCs w:val="22"/>
              </w:rPr>
              <w:t>支持攻击检测，具有独立的攻击检测引擎，涵盖10000种以上的攻击检测规则库。能够检测包括但不限于扫描探测、暴力猜解、拒绝服务攻击、后门控制、溢出攻击、代码执行、非授权访问、注入攻击、URL跳转、跨站攻击、WebShell、浏览器劫持、文件漏洞攻击等多种类型的攻击。</w:t>
            </w:r>
          </w:p>
          <w:p w14:paraId="0BA260A0">
            <w:pPr>
              <w:spacing w:line="240" w:lineRule="auto"/>
              <w:ind w:firstLine="0" w:firstLineChars="0"/>
              <w:jc w:val="left"/>
              <w:rPr>
                <w:rFonts w:hint="eastAsia" w:cs="宋体"/>
                <w:color w:val="000000"/>
                <w:kern w:val="0"/>
                <w:sz w:val="22"/>
                <w:szCs w:val="22"/>
              </w:rPr>
            </w:pPr>
            <w:r>
              <w:rPr>
                <w:rFonts w:hint="eastAsia" w:cs="宋体"/>
                <w:color w:val="000000"/>
                <w:kern w:val="0"/>
                <w:sz w:val="22"/>
                <w:szCs w:val="22"/>
              </w:rPr>
              <w:t>支持暴力破解、弱口令、明文密码、异常登录等多个安全场景检测；</w:t>
            </w:r>
          </w:p>
          <w:p w14:paraId="50A0CD9D">
            <w:pPr>
              <w:spacing w:line="240" w:lineRule="auto"/>
              <w:ind w:firstLine="0" w:firstLineChars="0"/>
              <w:jc w:val="left"/>
              <w:rPr>
                <w:rFonts w:hint="eastAsia" w:cs="宋体"/>
                <w:color w:val="000000"/>
                <w:kern w:val="0"/>
                <w:sz w:val="22"/>
                <w:szCs w:val="22"/>
              </w:rPr>
            </w:pPr>
            <w:r>
              <w:rPr>
                <w:rFonts w:hint="eastAsia" w:cs="宋体"/>
                <w:color w:val="000000"/>
                <w:kern w:val="0"/>
                <w:sz w:val="22"/>
                <w:szCs w:val="22"/>
              </w:rPr>
              <w:t>支持通过Syslog或Kafka方式将日志数据发送给第三方平台。</w:t>
            </w:r>
          </w:p>
          <w:p w14:paraId="1CE0AD4F">
            <w:pPr>
              <w:spacing w:line="240" w:lineRule="auto"/>
              <w:ind w:firstLine="0" w:firstLineChars="0"/>
              <w:jc w:val="left"/>
              <w:rPr>
                <w:rFonts w:hint="eastAsia" w:cs="宋体"/>
                <w:color w:val="000000"/>
                <w:kern w:val="0"/>
                <w:sz w:val="22"/>
                <w:szCs w:val="22"/>
              </w:rPr>
            </w:pPr>
            <w:r>
              <w:rPr>
                <w:rFonts w:hint="eastAsia" w:cs="宋体"/>
                <w:color w:val="000000"/>
                <w:kern w:val="0"/>
                <w:sz w:val="22"/>
                <w:szCs w:val="22"/>
              </w:rPr>
              <w:t>支持对系统当前配置备份，支持配置导入导出。</w:t>
            </w:r>
          </w:p>
          <w:p w14:paraId="222A037B">
            <w:pPr>
              <w:spacing w:line="240" w:lineRule="auto"/>
              <w:ind w:firstLine="0" w:firstLineChars="0"/>
              <w:jc w:val="left"/>
              <w:rPr>
                <w:rFonts w:hint="eastAsia" w:cs="宋体"/>
                <w:color w:val="000000"/>
                <w:kern w:val="0"/>
                <w:sz w:val="22"/>
                <w:szCs w:val="22"/>
              </w:rPr>
            </w:pPr>
            <w:r>
              <w:rPr>
                <w:rFonts w:hint="eastAsia" w:cs="宋体"/>
                <w:color w:val="000000"/>
                <w:kern w:val="0"/>
                <w:sz w:val="22"/>
                <w:szCs w:val="22"/>
              </w:rPr>
              <w:t>▲支持僵尸主机检测功能，具有独立的僵尸主机检测引擎，涵盖11000种以上的僵尸主机规则库。能够检测僵尸网络、木马控制、蠕虫、挖矿、勒索、移动端木马控制、APT等多类型的僵尸主机行为。（提供产品功能截图证明）</w:t>
            </w:r>
          </w:p>
          <w:p w14:paraId="2C586D24">
            <w:pPr>
              <w:spacing w:line="240" w:lineRule="auto"/>
              <w:ind w:firstLine="0" w:firstLineChars="0"/>
              <w:jc w:val="left"/>
              <w:rPr>
                <w:rFonts w:hint="eastAsia" w:cs="宋体"/>
                <w:color w:val="000000"/>
                <w:kern w:val="0"/>
                <w:sz w:val="22"/>
                <w:szCs w:val="22"/>
              </w:rPr>
            </w:pPr>
            <w:r>
              <w:rPr>
                <w:rFonts w:hint="eastAsia" w:cs="宋体"/>
                <w:color w:val="000000"/>
                <w:kern w:val="0"/>
                <w:sz w:val="22"/>
                <w:szCs w:val="22"/>
              </w:rPr>
              <w:t>▲支持DDoS攻击检测功能，并具备自学习模式，可设定学习时长，根据周期内流量状态自动学习，设置检测流量阈值。流量异常触发阈值系统自动进行告警。（提供产品功能截图证明）</w:t>
            </w:r>
          </w:p>
          <w:p w14:paraId="67C48058">
            <w:pPr>
              <w:spacing w:line="240" w:lineRule="auto"/>
              <w:ind w:firstLine="0" w:firstLineChars="0"/>
              <w:jc w:val="left"/>
              <w:rPr>
                <w:rFonts w:hint="eastAsia" w:cs="宋体"/>
                <w:color w:val="000000"/>
                <w:kern w:val="0"/>
                <w:sz w:val="22"/>
                <w:szCs w:val="22"/>
              </w:rPr>
            </w:pPr>
            <w:r>
              <w:rPr>
                <w:rFonts w:hint="eastAsia" w:cs="宋体"/>
                <w:color w:val="000000"/>
                <w:kern w:val="0"/>
                <w:sz w:val="22"/>
                <w:szCs w:val="22"/>
              </w:rPr>
              <w:t>▲产品应具有网络关键设备和网络安全专用产品安全认证证书或者网络安全专用产品安全检测证书，提供资质复印件；</w:t>
            </w:r>
          </w:p>
        </w:tc>
        <w:tc>
          <w:tcPr>
            <w:tcW w:w="379" w:type="pct"/>
            <w:tcBorders>
              <w:top w:val="single" w:color="000000" w:sz="4" w:space="0"/>
              <w:left w:val="single" w:color="000000" w:sz="4" w:space="0"/>
              <w:bottom w:val="single" w:color="000000" w:sz="4" w:space="0"/>
              <w:right w:val="single" w:color="auto" w:sz="4" w:space="0"/>
            </w:tcBorders>
            <w:shd w:val="clear" w:color="auto" w:fill="auto"/>
            <w:tcMar>
              <w:top w:w="15" w:type="dxa"/>
              <w:left w:w="15" w:type="dxa"/>
              <w:right w:w="15" w:type="dxa"/>
            </w:tcMar>
            <w:vAlign w:val="center"/>
          </w:tcPr>
          <w:p w14:paraId="359A1BA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lang w:val="en-US" w:eastAsia="zh-CN"/>
              </w:rPr>
            </w:pPr>
            <w:r>
              <w:rPr>
                <w:rFonts w:hint="eastAsia"/>
                <w:lang w:val="en-US" w:eastAsia="zh-CN"/>
              </w:rPr>
              <w:t>2</w:t>
            </w:r>
          </w:p>
        </w:tc>
        <w:tc>
          <w:tcPr>
            <w:tcW w:w="298" w:type="pct"/>
            <w:tcBorders>
              <w:top w:val="single" w:color="000000" w:sz="4" w:space="0"/>
              <w:left w:val="single" w:color="000000" w:sz="4" w:space="0"/>
              <w:bottom w:val="single" w:color="000000" w:sz="4" w:space="0"/>
              <w:right w:val="single" w:color="auto" w:sz="4" w:space="0"/>
            </w:tcBorders>
            <w:vAlign w:val="center"/>
          </w:tcPr>
          <w:p w14:paraId="55EAC3CE">
            <w:pPr>
              <w:widowControl/>
              <w:spacing w:line="240" w:lineRule="auto"/>
              <w:ind w:firstLine="0" w:firstLineChars="0"/>
              <w:jc w:val="center"/>
              <w:textAlignment w:val="center"/>
              <w:rPr>
                <w:rFonts w:hint="eastAsia" w:cs="宋体"/>
                <w:color w:val="000000"/>
                <w:kern w:val="0"/>
                <w:sz w:val="22"/>
                <w:szCs w:val="22"/>
              </w:rPr>
            </w:pPr>
            <w:r>
              <w:rPr>
                <w:rFonts w:hint="eastAsia" w:cs="宋体"/>
                <w:color w:val="000000"/>
                <w:kern w:val="0"/>
                <w:sz w:val="22"/>
                <w:szCs w:val="22"/>
                <w:lang w:val="en-US" w:eastAsia="zh-CN"/>
              </w:rPr>
              <w:t>套</w:t>
            </w:r>
          </w:p>
        </w:tc>
      </w:tr>
      <w:tr w14:paraId="1D7157FA">
        <w:tblPrEx>
          <w:tblCellMar>
            <w:top w:w="0" w:type="dxa"/>
            <w:left w:w="0" w:type="dxa"/>
            <w:bottom w:w="0" w:type="dxa"/>
            <w:right w:w="0" w:type="dxa"/>
          </w:tblCellMar>
        </w:tblPrEx>
        <w:trPr>
          <w:trHeight w:val="825" w:hRule="atLeast"/>
        </w:trPr>
        <w:tc>
          <w:tcPr>
            <w:tcW w:w="309" w:type="pct"/>
            <w:tcBorders>
              <w:top w:val="single" w:color="000000" w:sz="4" w:space="0"/>
              <w:left w:val="single" w:color="auto" w:sz="4" w:space="0"/>
              <w:bottom w:val="single" w:color="000000" w:sz="4" w:space="0"/>
              <w:right w:val="single" w:color="000000" w:sz="4" w:space="0"/>
            </w:tcBorders>
            <w:shd w:val="clear" w:color="auto" w:fill="auto"/>
            <w:tcMar>
              <w:top w:w="15" w:type="dxa"/>
              <w:left w:w="15" w:type="dxa"/>
              <w:right w:w="15" w:type="dxa"/>
            </w:tcMar>
            <w:vAlign w:val="center"/>
          </w:tcPr>
          <w:p w14:paraId="477CD151">
            <w:pPr>
              <w:widowControl/>
              <w:spacing w:line="240" w:lineRule="auto"/>
              <w:ind w:firstLine="0" w:firstLineChars="0"/>
              <w:jc w:val="center"/>
              <w:textAlignment w:val="center"/>
              <w:rPr>
                <w:rFonts w:hint="eastAsia" w:eastAsia="宋体" w:cs="宋体"/>
                <w:color w:val="000000"/>
                <w:kern w:val="0"/>
                <w:sz w:val="22"/>
                <w:szCs w:val="22"/>
                <w:lang w:val="en-US" w:eastAsia="zh-CN"/>
              </w:rPr>
            </w:pPr>
            <w:r>
              <w:rPr>
                <w:rFonts w:hint="eastAsia" w:cs="宋体"/>
                <w:color w:val="000000"/>
                <w:kern w:val="0"/>
                <w:sz w:val="22"/>
                <w:szCs w:val="22"/>
                <w:lang w:val="en-US" w:eastAsia="zh-CN"/>
              </w:rPr>
              <w:t>4</w:t>
            </w:r>
          </w:p>
        </w:tc>
        <w:tc>
          <w:tcPr>
            <w:tcW w:w="88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2E5296C">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sz w:val="24"/>
                <w:szCs w:val="24"/>
              </w:rPr>
            </w:pPr>
            <w:r>
              <w:rPr>
                <w:rFonts w:hint="eastAsia"/>
              </w:rPr>
              <w:t>日志审计系统</w:t>
            </w:r>
          </w:p>
        </w:tc>
        <w:tc>
          <w:tcPr>
            <w:tcW w:w="93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7F0C8C9">
            <w:pPr>
              <w:keepNext w:val="0"/>
              <w:keepLines w:val="0"/>
              <w:pageBreakBefore w:val="0"/>
              <w:widowControl w:val="0"/>
              <w:kinsoku/>
              <w:wordWrap/>
              <w:overflowPunct/>
              <w:topLinePunct w:val="0"/>
              <w:autoSpaceDE/>
              <w:autoSpaceDN/>
              <w:bidi w:val="0"/>
              <w:adjustRightInd/>
              <w:snapToGrid/>
              <w:ind w:firstLine="0" w:firstLineChars="0"/>
              <w:jc w:val="center"/>
              <w:textAlignment w:val="auto"/>
            </w:pPr>
            <w:r>
              <w:rPr>
                <w:rFonts w:hint="eastAsia"/>
              </w:rPr>
              <w:t>安全审计产品</w:t>
            </w:r>
          </w:p>
        </w:tc>
        <w:tc>
          <w:tcPr>
            <w:tcW w:w="219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92B84CA">
            <w:pPr>
              <w:spacing w:line="240" w:lineRule="auto"/>
              <w:ind w:firstLine="0" w:firstLineChars="0"/>
              <w:jc w:val="left"/>
              <w:rPr>
                <w:rFonts w:hint="eastAsia" w:cs="宋体"/>
                <w:color w:val="000000"/>
                <w:kern w:val="0"/>
                <w:sz w:val="22"/>
                <w:szCs w:val="22"/>
              </w:rPr>
            </w:pPr>
            <w:r>
              <w:rPr>
                <w:rFonts w:hint="eastAsia" w:cs="宋体"/>
                <w:color w:val="000000"/>
                <w:kern w:val="0"/>
                <w:sz w:val="22"/>
                <w:szCs w:val="22"/>
              </w:rPr>
              <w:t>产品符合国产化要求，由专用的国产化硬件平台、国产化安全操作系统及功能软件构成；</w:t>
            </w:r>
          </w:p>
          <w:p w14:paraId="6EEDA6EA">
            <w:pPr>
              <w:spacing w:line="240" w:lineRule="auto"/>
              <w:ind w:firstLine="0" w:firstLineChars="0"/>
              <w:jc w:val="left"/>
              <w:rPr>
                <w:rFonts w:hint="eastAsia" w:cs="宋体"/>
                <w:color w:val="000000"/>
                <w:kern w:val="0"/>
                <w:sz w:val="22"/>
                <w:szCs w:val="22"/>
              </w:rPr>
            </w:pPr>
            <w:r>
              <w:rPr>
                <w:rFonts w:hint="eastAsia" w:cs="宋体"/>
                <w:color w:val="000000"/>
                <w:kern w:val="0"/>
                <w:sz w:val="22"/>
                <w:szCs w:val="22"/>
              </w:rPr>
              <w:t>标准机架式设备，高度≤2U，配置不少于6个千兆电口、4个千兆光口和2个万兆光口，硬盘容量≥4TB；</w:t>
            </w:r>
          </w:p>
          <w:p w14:paraId="51034F8D">
            <w:pPr>
              <w:spacing w:line="240" w:lineRule="auto"/>
              <w:ind w:firstLine="0" w:firstLineChars="0"/>
              <w:jc w:val="left"/>
              <w:rPr>
                <w:rFonts w:hint="eastAsia" w:cs="宋体"/>
                <w:color w:val="000000"/>
                <w:kern w:val="0"/>
                <w:sz w:val="22"/>
                <w:szCs w:val="22"/>
              </w:rPr>
            </w:pPr>
            <w:r>
              <w:rPr>
                <w:rFonts w:hint="eastAsia" w:cs="宋体"/>
                <w:color w:val="000000"/>
                <w:kern w:val="0"/>
                <w:sz w:val="22"/>
                <w:szCs w:val="22"/>
              </w:rPr>
              <w:t>日志采集处理均值≥3000EPS；</w:t>
            </w:r>
          </w:p>
          <w:p w14:paraId="69E63644">
            <w:pPr>
              <w:spacing w:line="240" w:lineRule="auto"/>
              <w:ind w:firstLine="0" w:firstLineChars="0"/>
              <w:jc w:val="left"/>
              <w:rPr>
                <w:rFonts w:hint="eastAsia" w:cs="宋体"/>
                <w:color w:val="000000"/>
                <w:kern w:val="0"/>
                <w:sz w:val="22"/>
                <w:szCs w:val="22"/>
              </w:rPr>
            </w:pPr>
            <w:r>
              <w:rPr>
                <w:rFonts w:hint="eastAsia" w:cs="宋体"/>
                <w:color w:val="000000"/>
                <w:kern w:val="0"/>
                <w:sz w:val="22"/>
                <w:szCs w:val="22"/>
              </w:rPr>
              <w:t>支持安全设备、网络设备、中间件、服务器、数据库、操作系统、业务系统等多种常见日志对象的日志数据采集；</w:t>
            </w:r>
          </w:p>
          <w:p w14:paraId="7B7FC881">
            <w:pPr>
              <w:spacing w:line="240" w:lineRule="auto"/>
              <w:ind w:firstLine="0" w:firstLineChars="0"/>
              <w:jc w:val="left"/>
              <w:rPr>
                <w:rFonts w:hint="eastAsia" w:cs="宋体"/>
                <w:color w:val="000000"/>
                <w:kern w:val="0"/>
                <w:sz w:val="22"/>
                <w:szCs w:val="22"/>
              </w:rPr>
            </w:pPr>
            <w:r>
              <w:rPr>
                <w:rFonts w:hint="eastAsia" w:cs="宋体"/>
                <w:color w:val="000000"/>
                <w:kern w:val="0"/>
                <w:sz w:val="22"/>
                <w:szCs w:val="22"/>
              </w:rPr>
              <w:t>支持Syslog、SNMP Trap、Netflow、JDBC、WMI、FTP、SFTP、SCP、文件等方式进行数据采集；支持通过Agent采集日志数据；</w:t>
            </w:r>
          </w:p>
          <w:p w14:paraId="15E79C7D">
            <w:pPr>
              <w:spacing w:line="240" w:lineRule="auto"/>
              <w:ind w:firstLine="0" w:firstLineChars="0"/>
              <w:jc w:val="left"/>
              <w:rPr>
                <w:rFonts w:hint="eastAsia" w:cs="宋体"/>
                <w:color w:val="000000"/>
                <w:kern w:val="0"/>
                <w:sz w:val="22"/>
                <w:szCs w:val="22"/>
              </w:rPr>
            </w:pPr>
            <w:r>
              <w:rPr>
                <w:rFonts w:hint="eastAsia" w:cs="宋体"/>
                <w:color w:val="000000"/>
                <w:kern w:val="0"/>
                <w:sz w:val="22"/>
                <w:szCs w:val="22"/>
              </w:rPr>
              <w:t>支持对文本类型日志源进行限速采集，匀速采集日志，防止对系统资源产生突发冲击；</w:t>
            </w:r>
          </w:p>
          <w:p w14:paraId="049F77CC">
            <w:pPr>
              <w:spacing w:line="240" w:lineRule="auto"/>
              <w:ind w:firstLine="0" w:firstLineChars="0"/>
              <w:jc w:val="left"/>
              <w:rPr>
                <w:rFonts w:hint="eastAsia" w:cs="宋体"/>
                <w:color w:val="000000"/>
                <w:kern w:val="0"/>
                <w:sz w:val="22"/>
                <w:szCs w:val="22"/>
              </w:rPr>
            </w:pPr>
            <w:r>
              <w:rPr>
                <w:rFonts w:hint="eastAsia" w:cs="宋体"/>
                <w:color w:val="000000"/>
                <w:kern w:val="0"/>
                <w:sz w:val="22"/>
                <w:szCs w:val="22"/>
              </w:rPr>
              <w:t>支持对所管理设备的日志原始数据完整存储，支持数据本地集中存储、网络存储；</w:t>
            </w:r>
          </w:p>
          <w:p w14:paraId="0C643C1D">
            <w:pPr>
              <w:spacing w:line="240" w:lineRule="auto"/>
              <w:ind w:firstLine="0" w:firstLineChars="0"/>
              <w:jc w:val="left"/>
              <w:rPr>
                <w:rFonts w:hint="eastAsia" w:cs="宋体"/>
                <w:color w:val="000000"/>
                <w:kern w:val="0"/>
                <w:sz w:val="22"/>
                <w:szCs w:val="22"/>
              </w:rPr>
            </w:pPr>
            <w:r>
              <w:rPr>
                <w:rFonts w:hint="eastAsia" w:cs="宋体"/>
                <w:color w:val="000000"/>
                <w:kern w:val="0"/>
                <w:sz w:val="22"/>
                <w:szCs w:val="22"/>
              </w:rPr>
              <w:t>▲实配50个日志源授权，包含三年原厂商硬件维保服务，提供设备原厂商售后服务承诺；</w:t>
            </w:r>
          </w:p>
        </w:tc>
        <w:tc>
          <w:tcPr>
            <w:tcW w:w="379" w:type="pct"/>
            <w:tcBorders>
              <w:top w:val="single" w:color="000000" w:sz="4" w:space="0"/>
              <w:left w:val="single" w:color="000000" w:sz="4" w:space="0"/>
              <w:bottom w:val="single" w:color="000000" w:sz="4" w:space="0"/>
              <w:right w:val="single" w:color="auto" w:sz="4" w:space="0"/>
            </w:tcBorders>
            <w:shd w:val="clear" w:color="auto" w:fill="auto"/>
            <w:tcMar>
              <w:top w:w="15" w:type="dxa"/>
              <w:left w:w="15" w:type="dxa"/>
              <w:right w:w="15" w:type="dxa"/>
            </w:tcMar>
            <w:vAlign w:val="center"/>
          </w:tcPr>
          <w:p w14:paraId="3CA2EDA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rPr>
            </w:pPr>
            <w:r>
              <w:rPr>
                <w:rFonts w:hint="eastAsia"/>
                <w:lang w:val="en-US" w:eastAsia="zh-CN"/>
              </w:rPr>
              <w:t>1</w:t>
            </w:r>
          </w:p>
        </w:tc>
        <w:tc>
          <w:tcPr>
            <w:tcW w:w="298" w:type="pct"/>
            <w:tcBorders>
              <w:top w:val="single" w:color="000000" w:sz="4" w:space="0"/>
              <w:left w:val="single" w:color="000000" w:sz="4" w:space="0"/>
              <w:bottom w:val="single" w:color="000000" w:sz="4" w:space="0"/>
              <w:right w:val="single" w:color="auto" w:sz="4" w:space="0"/>
            </w:tcBorders>
            <w:vAlign w:val="center"/>
          </w:tcPr>
          <w:p w14:paraId="0D6FA98E">
            <w:pPr>
              <w:widowControl/>
              <w:spacing w:line="240" w:lineRule="auto"/>
              <w:ind w:firstLine="0" w:firstLineChars="0"/>
              <w:jc w:val="center"/>
              <w:textAlignment w:val="center"/>
              <w:rPr>
                <w:rFonts w:hint="eastAsia" w:cs="宋体"/>
                <w:color w:val="000000"/>
                <w:kern w:val="0"/>
                <w:sz w:val="22"/>
                <w:szCs w:val="22"/>
              </w:rPr>
            </w:pPr>
            <w:r>
              <w:rPr>
                <w:rFonts w:hint="eastAsia" w:cs="宋体"/>
                <w:color w:val="000000"/>
                <w:kern w:val="0"/>
                <w:sz w:val="22"/>
                <w:szCs w:val="22"/>
                <w:lang w:val="en-US" w:eastAsia="zh-CN"/>
              </w:rPr>
              <w:t>套</w:t>
            </w:r>
          </w:p>
        </w:tc>
      </w:tr>
      <w:tr w14:paraId="6EADA66E">
        <w:tblPrEx>
          <w:tblCellMar>
            <w:top w:w="0" w:type="dxa"/>
            <w:left w:w="0" w:type="dxa"/>
            <w:bottom w:w="0" w:type="dxa"/>
            <w:right w:w="0" w:type="dxa"/>
          </w:tblCellMar>
        </w:tblPrEx>
        <w:trPr>
          <w:trHeight w:val="825" w:hRule="atLeast"/>
        </w:trPr>
        <w:tc>
          <w:tcPr>
            <w:tcW w:w="309" w:type="pct"/>
            <w:tcBorders>
              <w:top w:val="single" w:color="000000" w:sz="4" w:space="0"/>
              <w:left w:val="single" w:color="auto" w:sz="4" w:space="0"/>
              <w:bottom w:val="single" w:color="000000" w:sz="4" w:space="0"/>
              <w:right w:val="single" w:color="000000" w:sz="4" w:space="0"/>
            </w:tcBorders>
            <w:shd w:val="clear" w:color="auto" w:fill="auto"/>
            <w:tcMar>
              <w:top w:w="15" w:type="dxa"/>
              <w:left w:w="15" w:type="dxa"/>
              <w:right w:w="15" w:type="dxa"/>
            </w:tcMar>
            <w:vAlign w:val="center"/>
          </w:tcPr>
          <w:p w14:paraId="2AAE7081">
            <w:pPr>
              <w:widowControl/>
              <w:spacing w:line="240" w:lineRule="auto"/>
              <w:ind w:firstLine="0" w:firstLineChars="0"/>
              <w:jc w:val="center"/>
              <w:textAlignment w:val="center"/>
              <w:rPr>
                <w:rFonts w:hint="eastAsia" w:eastAsia="宋体" w:cs="宋体"/>
                <w:color w:val="000000"/>
                <w:kern w:val="0"/>
                <w:sz w:val="22"/>
                <w:szCs w:val="22"/>
                <w:lang w:val="en-US" w:eastAsia="zh-CN"/>
              </w:rPr>
            </w:pPr>
            <w:r>
              <w:rPr>
                <w:rFonts w:hint="eastAsia" w:cs="宋体"/>
                <w:color w:val="000000"/>
                <w:kern w:val="0"/>
                <w:sz w:val="22"/>
                <w:szCs w:val="22"/>
                <w:lang w:val="en-US" w:eastAsia="zh-CN"/>
              </w:rPr>
              <w:t>5</w:t>
            </w:r>
          </w:p>
        </w:tc>
        <w:tc>
          <w:tcPr>
            <w:tcW w:w="88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B862B9B">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sz w:val="24"/>
                <w:szCs w:val="24"/>
              </w:rPr>
            </w:pPr>
            <w:r>
              <w:rPr>
                <w:rFonts w:hint="eastAsia"/>
                <w:sz w:val="24"/>
                <w:szCs w:val="24"/>
              </w:rPr>
              <w:t>运维审计系统</w:t>
            </w:r>
          </w:p>
        </w:tc>
        <w:tc>
          <w:tcPr>
            <w:tcW w:w="93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105E625">
            <w:pPr>
              <w:keepNext w:val="0"/>
              <w:keepLines w:val="0"/>
              <w:pageBreakBefore w:val="0"/>
              <w:widowControl w:val="0"/>
              <w:kinsoku/>
              <w:wordWrap/>
              <w:overflowPunct/>
              <w:topLinePunct w:val="0"/>
              <w:autoSpaceDE/>
              <w:autoSpaceDN/>
              <w:bidi w:val="0"/>
              <w:adjustRightInd/>
              <w:snapToGrid/>
              <w:ind w:firstLine="0" w:firstLineChars="0"/>
              <w:jc w:val="center"/>
              <w:textAlignment w:val="auto"/>
            </w:pPr>
            <w:r>
              <w:rPr>
                <w:rFonts w:hint="eastAsia"/>
              </w:rPr>
              <w:t>安全审计产品</w:t>
            </w:r>
          </w:p>
        </w:tc>
        <w:tc>
          <w:tcPr>
            <w:tcW w:w="219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FCFC09D">
            <w:pPr>
              <w:spacing w:line="240" w:lineRule="auto"/>
              <w:ind w:firstLine="0" w:firstLineChars="0"/>
              <w:jc w:val="left"/>
              <w:rPr>
                <w:rFonts w:hint="eastAsia" w:cs="宋体"/>
                <w:color w:val="000000"/>
                <w:kern w:val="0"/>
                <w:sz w:val="22"/>
                <w:szCs w:val="22"/>
              </w:rPr>
            </w:pPr>
            <w:r>
              <w:rPr>
                <w:rFonts w:hint="eastAsia" w:cs="宋体"/>
                <w:color w:val="000000"/>
                <w:kern w:val="0"/>
                <w:sz w:val="22"/>
                <w:szCs w:val="22"/>
              </w:rPr>
              <w:t>产品符合国产化要求，由专用的国产化硬件平台、国产化安全操作系统及功能软件构成；</w:t>
            </w:r>
          </w:p>
          <w:p w14:paraId="74A1ACC1">
            <w:pPr>
              <w:spacing w:line="240" w:lineRule="auto"/>
              <w:ind w:firstLine="0" w:firstLineChars="0"/>
              <w:jc w:val="left"/>
              <w:rPr>
                <w:rFonts w:hint="eastAsia" w:cs="宋体"/>
                <w:color w:val="000000"/>
                <w:kern w:val="0"/>
                <w:sz w:val="22"/>
                <w:szCs w:val="22"/>
              </w:rPr>
            </w:pPr>
            <w:r>
              <w:rPr>
                <w:rFonts w:hint="eastAsia" w:cs="宋体"/>
                <w:color w:val="000000"/>
                <w:kern w:val="0"/>
                <w:sz w:val="22"/>
                <w:szCs w:val="22"/>
              </w:rPr>
              <w:t>≤2U标准机架式设备，配置不少于6个千兆电口，4个千兆光口，配置不少于4个千兆多模光模块，硬盘容量不小于4TB；配置不少于2个扩展槽位用于接口扩展；</w:t>
            </w:r>
          </w:p>
          <w:p w14:paraId="6CFED170">
            <w:pPr>
              <w:spacing w:line="240" w:lineRule="auto"/>
              <w:ind w:firstLine="0" w:firstLineChars="0"/>
              <w:jc w:val="left"/>
              <w:rPr>
                <w:rFonts w:hint="eastAsia" w:cs="宋体"/>
                <w:color w:val="000000"/>
                <w:kern w:val="0"/>
                <w:sz w:val="22"/>
                <w:szCs w:val="22"/>
              </w:rPr>
            </w:pPr>
            <w:r>
              <w:rPr>
                <w:rFonts w:hint="eastAsia" w:cs="宋体"/>
                <w:color w:val="000000"/>
                <w:kern w:val="0"/>
                <w:sz w:val="22"/>
                <w:szCs w:val="22"/>
              </w:rPr>
              <w:t>图形并发数≥100，字符并发数≥500；</w:t>
            </w:r>
          </w:p>
          <w:p w14:paraId="2D78F363">
            <w:pPr>
              <w:spacing w:line="240" w:lineRule="auto"/>
              <w:ind w:firstLine="0" w:firstLineChars="0"/>
              <w:jc w:val="left"/>
              <w:rPr>
                <w:rFonts w:hint="eastAsia" w:cs="宋体"/>
                <w:color w:val="000000"/>
                <w:kern w:val="0"/>
                <w:sz w:val="22"/>
                <w:szCs w:val="22"/>
              </w:rPr>
            </w:pPr>
            <w:r>
              <w:rPr>
                <w:rFonts w:hint="eastAsia" w:cs="宋体"/>
                <w:color w:val="000000"/>
                <w:kern w:val="0"/>
                <w:sz w:val="22"/>
                <w:szCs w:val="22"/>
              </w:rPr>
              <w:t>设备采用物理旁路部署，不改变现有网络结构；</w:t>
            </w:r>
          </w:p>
          <w:p w14:paraId="1410B1A4">
            <w:pPr>
              <w:spacing w:line="240" w:lineRule="auto"/>
              <w:ind w:firstLine="0" w:firstLineChars="0"/>
              <w:jc w:val="left"/>
              <w:rPr>
                <w:rFonts w:hint="eastAsia" w:cs="宋体"/>
                <w:color w:val="000000"/>
                <w:kern w:val="0"/>
                <w:sz w:val="22"/>
                <w:szCs w:val="22"/>
              </w:rPr>
            </w:pPr>
            <w:r>
              <w:rPr>
                <w:rFonts w:hint="eastAsia" w:cs="宋体"/>
                <w:color w:val="000000"/>
                <w:kern w:val="0"/>
                <w:sz w:val="22"/>
                <w:szCs w:val="22"/>
              </w:rPr>
              <w:t>支持用户的增删改查、锁定、解锁、清空等操作，对用户进行全生命周期管理；支持用户有效期定义，针对临时用户或者短期用户可以建立有效期用户，过期后自动注销；支持以部门方式对用户进行分组管理；</w:t>
            </w:r>
          </w:p>
          <w:p w14:paraId="6BB7F483">
            <w:pPr>
              <w:spacing w:line="240" w:lineRule="auto"/>
              <w:ind w:firstLine="0" w:firstLineChars="0"/>
              <w:jc w:val="left"/>
              <w:rPr>
                <w:rFonts w:hint="eastAsia" w:cs="宋体"/>
                <w:color w:val="000000"/>
                <w:kern w:val="0"/>
                <w:sz w:val="22"/>
                <w:szCs w:val="22"/>
              </w:rPr>
            </w:pPr>
            <w:r>
              <w:rPr>
                <w:rFonts w:hint="eastAsia" w:cs="宋体"/>
                <w:color w:val="000000"/>
                <w:kern w:val="0"/>
                <w:sz w:val="22"/>
                <w:szCs w:val="22"/>
              </w:rPr>
              <w:t>支持本地认证和三方认证服务器接入认证，如AD、LDAP、Radius服务器,支持通过AD域服务器和LDAP服务器进行用户同步；支持双因子认证,认证方式支持动态口令认证、短信认证、数字证书认证、USB-KEY认证等多因素认证方式；</w:t>
            </w:r>
          </w:p>
          <w:p w14:paraId="16411154">
            <w:pPr>
              <w:spacing w:line="240" w:lineRule="auto"/>
              <w:ind w:firstLine="0" w:firstLineChars="0"/>
              <w:jc w:val="left"/>
              <w:rPr>
                <w:rFonts w:hint="eastAsia" w:cs="宋体"/>
                <w:color w:val="000000"/>
                <w:kern w:val="0"/>
                <w:sz w:val="22"/>
                <w:szCs w:val="22"/>
              </w:rPr>
            </w:pPr>
            <w:r>
              <w:rPr>
                <w:rFonts w:hint="eastAsia" w:cs="宋体"/>
                <w:color w:val="000000"/>
                <w:kern w:val="0"/>
                <w:sz w:val="22"/>
                <w:szCs w:val="22"/>
              </w:rPr>
              <w:t>支持常见运维标准协议：SSH、TELNET、RDP、VNC、FTP、SFTP、SCP；可通过应用发布的方式进行协议扩展，如浏览器（http、HTTPS）、数据库（Oracle、MySQL、SQL Server、DB2、Informix、Sybase、PostgreSQL等）、C/S客户端工具（VMware等）。</w:t>
            </w:r>
          </w:p>
          <w:p w14:paraId="7DCD4144">
            <w:pPr>
              <w:spacing w:line="240" w:lineRule="auto"/>
              <w:ind w:firstLine="0" w:firstLineChars="0"/>
              <w:jc w:val="left"/>
              <w:rPr>
                <w:rFonts w:hint="eastAsia" w:cs="宋体"/>
                <w:color w:val="000000"/>
                <w:kern w:val="0"/>
                <w:sz w:val="22"/>
                <w:szCs w:val="22"/>
              </w:rPr>
            </w:pPr>
            <w:r>
              <w:rPr>
                <w:rFonts w:hint="eastAsia" w:cs="宋体"/>
                <w:color w:val="000000"/>
                <w:kern w:val="0"/>
                <w:sz w:val="22"/>
                <w:szCs w:val="22"/>
              </w:rPr>
              <w:t>支持最新的html5技术，在同一WEB窗口页签中，无需JAVA应用插件或调用本地应用客户端，即可实现对目标设备的快速运维；</w:t>
            </w:r>
          </w:p>
          <w:p w14:paraId="3F89F3BC">
            <w:pPr>
              <w:spacing w:line="240" w:lineRule="auto"/>
              <w:ind w:firstLine="0" w:firstLineChars="0"/>
              <w:jc w:val="left"/>
              <w:rPr>
                <w:rFonts w:hint="eastAsia" w:cs="宋体"/>
                <w:color w:val="000000"/>
                <w:kern w:val="0"/>
                <w:sz w:val="22"/>
                <w:szCs w:val="22"/>
              </w:rPr>
            </w:pPr>
            <w:r>
              <w:rPr>
                <w:rFonts w:hint="eastAsia" w:cs="宋体"/>
                <w:color w:val="000000"/>
                <w:kern w:val="0"/>
                <w:sz w:val="22"/>
                <w:szCs w:val="22"/>
              </w:rPr>
              <w:t>支持实时监控系统CPU、内存、磁盘等硬件性能，支持将本机日志、告警日志通过SYSLOG外发至日志服务器。</w:t>
            </w:r>
          </w:p>
          <w:p w14:paraId="75CE8ACB">
            <w:pPr>
              <w:spacing w:line="240" w:lineRule="auto"/>
              <w:ind w:firstLine="0" w:firstLineChars="0"/>
              <w:jc w:val="left"/>
              <w:rPr>
                <w:rFonts w:hint="eastAsia" w:cs="宋体"/>
                <w:color w:val="000000"/>
                <w:kern w:val="0"/>
                <w:sz w:val="22"/>
                <w:szCs w:val="22"/>
              </w:rPr>
            </w:pPr>
            <w:r>
              <w:rPr>
                <w:rFonts w:hint="eastAsia" w:cs="宋体"/>
                <w:color w:val="000000"/>
                <w:kern w:val="0"/>
                <w:sz w:val="22"/>
                <w:szCs w:val="22"/>
              </w:rPr>
              <w:t>▲配置不少于50个主机/设备许可，用户数不限制，三年原厂商硬件维保服务，配置三年的软件升级许可，提供设备原厂商售后服务承诺；</w:t>
            </w:r>
          </w:p>
        </w:tc>
        <w:tc>
          <w:tcPr>
            <w:tcW w:w="379" w:type="pct"/>
            <w:tcBorders>
              <w:top w:val="single" w:color="000000" w:sz="4" w:space="0"/>
              <w:left w:val="single" w:color="000000" w:sz="4" w:space="0"/>
              <w:bottom w:val="single" w:color="000000" w:sz="4" w:space="0"/>
              <w:right w:val="single" w:color="auto" w:sz="4" w:space="0"/>
            </w:tcBorders>
            <w:shd w:val="clear" w:color="auto" w:fill="auto"/>
            <w:tcMar>
              <w:top w:w="15" w:type="dxa"/>
              <w:left w:w="15" w:type="dxa"/>
              <w:right w:w="15" w:type="dxa"/>
            </w:tcMar>
            <w:vAlign w:val="center"/>
          </w:tcPr>
          <w:p w14:paraId="739F291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rPr>
            </w:pPr>
            <w:r>
              <w:rPr>
                <w:rFonts w:hint="eastAsia"/>
                <w:lang w:val="en-US" w:eastAsia="zh-CN"/>
              </w:rPr>
              <w:t>1</w:t>
            </w:r>
          </w:p>
        </w:tc>
        <w:tc>
          <w:tcPr>
            <w:tcW w:w="298" w:type="pct"/>
            <w:tcBorders>
              <w:top w:val="single" w:color="000000" w:sz="4" w:space="0"/>
              <w:left w:val="single" w:color="000000" w:sz="4" w:space="0"/>
              <w:bottom w:val="single" w:color="000000" w:sz="4" w:space="0"/>
              <w:right w:val="single" w:color="auto" w:sz="4" w:space="0"/>
            </w:tcBorders>
            <w:vAlign w:val="center"/>
          </w:tcPr>
          <w:p w14:paraId="1A02E58E">
            <w:pPr>
              <w:widowControl/>
              <w:spacing w:line="240" w:lineRule="auto"/>
              <w:ind w:firstLine="0" w:firstLineChars="0"/>
              <w:jc w:val="center"/>
              <w:textAlignment w:val="center"/>
              <w:rPr>
                <w:rFonts w:hint="eastAsia" w:cs="宋体"/>
                <w:color w:val="000000"/>
                <w:kern w:val="0"/>
                <w:sz w:val="22"/>
                <w:szCs w:val="22"/>
              </w:rPr>
            </w:pPr>
            <w:r>
              <w:rPr>
                <w:rFonts w:hint="eastAsia" w:cs="宋体"/>
                <w:color w:val="000000"/>
                <w:kern w:val="0"/>
                <w:sz w:val="22"/>
                <w:szCs w:val="22"/>
                <w:lang w:val="en-US" w:eastAsia="zh-CN"/>
              </w:rPr>
              <w:t>套</w:t>
            </w:r>
          </w:p>
        </w:tc>
      </w:tr>
    </w:tbl>
    <w:p w14:paraId="19B74991"/>
    <w:p w14:paraId="780619C4">
      <w:pPr>
        <w:pStyle w:val="2"/>
      </w:pPr>
      <w:bookmarkStart w:id="17" w:name="_Toc63785502"/>
      <w:r>
        <w:rPr>
          <w:rFonts w:hint="eastAsia"/>
        </w:rPr>
        <w:t>电子政务云资源需求</w:t>
      </w:r>
      <w:bookmarkEnd w:id="17"/>
      <w:r>
        <w:rPr>
          <w:rFonts w:hint="eastAsia"/>
        </w:rPr>
        <w:t>（</w:t>
      </w:r>
      <w:r>
        <w:rPr>
          <w:rFonts w:hint="eastAsia"/>
          <w:color w:val="FF0000"/>
        </w:rPr>
        <w:t>仅针对上云项目</w:t>
      </w:r>
      <w:r>
        <w:rPr>
          <w:rFonts w:hint="eastAsia"/>
        </w:rPr>
        <w:t>）</w:t>
      </w:r>
    </w:p>
    <w:p w14:paraId="74A55596">
      <w:pPr>
        <w:rPr>
          <w:rFonts w:hint="eastAsia" w:eastAsia="宋体"/>
          <w:lang w:val="en-US" w:eastAsia="zh-CN"/>
        </w:rPr>
      </w:pPr>
      <w:r>
        <w:rPr>
          <w:rFonts w:hint="eastAsia"/>
          <w:lang w:val="en-US" w:eastAsia="zh-CN"/>
        </w:rPr>
        <w:t>无。</w:t>
      </w:r>
    </w:p>
    <w:p w14:paraId="7ADB2D44">
      <w:pPr>
        <w:pStyle w:val="2"/>
      </w:pPr>
      <w:bookmarkStart w:id="18" w:name="_Toc63785503"/>
      <w:r>
        <w:rPr>
          <w:rFonts w:hint="eastAsia"/>
        </w:rPr>
        <w:t>其他工作要求</w:t>
      </w:r>
      <w:bookmarkEnd w:id="18"/>
    </w:p>
    <w:p w14:paraId="3461D787">
      <w:pPr>
        <w:keepNext/>
        <w:keepLines/>
        <w:numPr>
          <w:ilvl w:val="1"/>
          <w:numId w:val="3"/>
        </w:numPr>
        <w:tabs>
          <w:tab w:val="left" w:pos="360"/>
        </w:tabs>
        <w:spacing w:before="120" w:line="240" w:lineRule="auto"/>
        <w:ind w:left="0" w:firstLine="0" w:firstLineChars="0"/>
        <w:outlineLvl w:val="1"/>
        <w:rPr>
          <w:rFonts w:ascii="仿宋" w:hAnsi="仿宋" w:eastAsia="仿宋"/>
          <w:b/>
          <w:vanish/>
          <w:color w:val="000000"/>
          <w:sz w:val="28"/>
          <w:szCs w:val="20"/>
        </w:rPr>
      </w:pPr>
      <w:bookmarkStart w:id="19" w:name="_Toc63151871"/>
      <w:bookmarkEnd w:id="19"/>
      <w:bookmarkStart w:id="20" w:name="_Toc63785439"/>
      <w:bookmarkEnd w:id="20"/>
      <w:bookmarkStart w:id="21" w:name="_Toc63585480"/>
      <w:bookmarkEnd w:id="21"/>
      <w:bookmarkStart w:id="22" w:name="_Toc63785504"/>
      <w:bookmarkEnd w:id="22"/>
      <w:bookmarkStart w:id="23" w:name="_Toc62209488"/>
      <w:bookmarkEnd w:id="23"/>
      <w:bookmarkStart w:id="24" w:name="_Toc63762370"/>
      <w:bookmarkEnd w:id="24"/>
      <w:bookmarkStart w:id="25" w:name="_Toc61968111"/>
      <w:bookmarkEnd w:id="25"/>
      <w:bookmarkStart w:id="26" w:name="_Toc62219358"/>
      <w:bookmarkEnd w:id="26"/>
    </w:p>
    <w:p w14:paraId="468C51AE">
      <w:pPr>
        <w:pStyle w:val="3"/>
      </w:pPr>
      <w:bookmarkStart w:id="27" w:name="_Toc63785505"/>
      <w:r>
        <w:rPr>
          <w:rFonts w:hint="eastAsia"/>
        </w:rPr>
        <w:t>售后服务要求</w:t>
      </w:r>
      <w:bookmarkEnd w:id="27"/>
    </w:p>
    <w:p w14:paraId="62AC1698">
      <w:pPr>
        <w:pStyle w:val="7"/>
        <w:snapToGrid w:val="0"/>
        <w:spacing w:line="360" w:lineRule="auto"/>
        <w:ind w:firstLine="480"/>
        <w:rPr>
          <w:rFonts w:ascii="宋体" w:hAnsi="宋体"/>
          <w:sz w:val="24"/>
          <w:szCs w:val="24"/>
        </w:rPr>
      </w:pPr>
      <w:r>
        <w:rPr>
          <w:rFonts w:hint="eastAsia" w:ascii="宋体" w:hAnsi="宋体"/>
          <w:sz w:val="24"/>
          <w:szCs w:val="24"/>
        </w:rPr>
        <w:t>本项目从系统验收通过之日起</w:t>
      </w:r>
      <w:r>
        <w:rPr>
          <w:rFonts w:hint="eastAsia" w:ascii="宋体" w:hAnsi="宋体"/>
          <w:sz w:val="24"/>
          <w:szCs w:val="24"/>
          <w:lang w:val="en-US" w:eastAsia="zh-CN"/>
        </w:rPr>
        <w:t>软硬件提供</w:t>
      </w:r>
      <w:r>
        <w:rPr>
          <w:rFonts w:hint="eastAsia" w:ascii="宋体" w:hAnsi="宋体"/>
          <w:sz w:val="24"/>
          <w:szCs w:val="24"/>
        </w:rPr>
        <w:t>1年内提供</w:t>
      </w:r>
      <w:r>
        <w:rPr>
          <w:rFonts w:ascii="宋体" w:hAnsi="宋体"/>
          <w:sz w:val="24"/>
          <w:szCs w:val="24"/>
        </w:rPr>
        <w:t>7*24小时免费技术支持</w:t>
      </w:r>
      <w:r>
        <w:rPr>
          <w:rFonts w:hint="eastAsia" w:ascii="宋体" w:hAnsi="宋体"/>
          <w:sz w:val="24"/>
          <w:szCs w:val="24"/>
        </w:rPr>
        <w:t>和售后服务，1年后进入有偿维护期。</w:t>
      </w:r>
    </w:p>
    <w:p w14:paraId="516F435B">
      <w:pPr>
        <w:pStyle w:val="7"/>
        <w:snapToGrid w:val="0"/>
        <w:spacing w:line="360" w:lineRule="auto"/>
        <w:ind w:firstLine="480"/>
        <w:rPr>
          <w:rFonts w:ascii="宋体" w:hAnsi="宋体"/>
          <w:sz w:val="24"/>
          <w:szCs w:val="24"/>
        </w:rPr>
      </w:pPr>
      <w:r>
        <w:rPr>
          <w:rFonts w:hint="eastAsia" w:ascii="宋体" w:hAnsi="宋体"/>
          <w:sz w:val="24"/>
          <w:szCs w:val="24"/>
        </w:rPr>
        <w:t>在质量保证期内，供应商将按照售后服务的承诺提供保修和运行维护服务，如果厂商对信息系统中软、硬件设备等产品中的部分保修期超过上述期限的，则按照厂商的规定进行免费保修。</w:t>
      </w:r>
    </w:p>
    <w:p w14:paraId="49AD53A9">
      <w:pPr>
        <w:pStyle w:val="7"/>
        <w:snapToGrid w:val="0"/>
        <w:spacing w:line="360" w:lineRule="auto"/>
        <w:ind w:firstLine="480"/>
        <w:rPr>
          <w:rFonts w:hint="eastAsia" w:ascii="宋体" w:hAnsi="宋体"/>
          <w:sz w:val="24"/>
          <w:szCs w:val="24"/>
        </w:rPr>
      </w:pPr>
      <w:r>
        <w:rPr>
          <w:rFonts w:hint="eastAsia" w:ascii="宋体" w:hAnsi="宋体"/>
          <w:sz w:val="24"/>
          <w:szCs w:val="24"/>
        </w:rPr>
        <w:t>在质量保证期内，供应商负责信息系统</w:t>
      </w:r>
      <w:r>
        <w:rPr>
          <w:rFonts w:hint="eastAsia" w:ascii="宋体" w:hAnsi="宋体"/>
          <w:sz w:val="24"/>
          <w:szCs w:val="24"/>
          <w:lang w:val="en-US" w:eastAsia="zh-CN"/>
        </w:rPr>
        <w:t>及相关安全产品的</w:t>
      </w:r>
      <w:r>
        <w:rPr>
          <w:rFonts w:hint="eastAsia" w:ascii="宋体" w:hAnsi="宋体"/>
          <w:sz w:val="24"/>
          <w:szCs w:val="24"/>
        </w:rPr>
        <w:t>的运行维护工作，确保</w:t>
      </w:r>
      <w:r>
        <w:rPr>
          <w:rFonts w:hint="eastAsia" w:ascii="宋体" w:hAnsi="宋体"/>
          <w:sz w:val="24"/>
          <w:szCs w:val="24"/>
          <w:lang w:val="en-US" w:eastAsia="zh-CN"/>
        </w:rPr>
        <w:t>相关项目内容</w:t>
      </w:r>
      <w:r>
        <w:rPr>
          <w:rFonts w:hint="eastAsia" w:ascii="宋体" w:hAnsi="宋体"/>
          <w:sz w:val="24"/>
          <w:szCs w:val="24"/>
        </w:rPr>
        <w:t>安全、稳定、可靠地运行。本项目涉及的运行维护工作范围为：</w:t>
      </w:r>
    </w:p>
    <w:p w14:paraId="09CC8BDB">
      <w:pPr>
        <w:pStyle w:val="7"/>
        <w:snapToGrid w:val="0"/>
        <w:spacing w:line="360" w:lineRule="auto"/>
        <w:ind w:firstLine="480"/>
        <w:rPr>
          <w:rFonts w:hint="eastAsia" w:ascii="宋体" w:hAnsi="宋体"/>
          <w:sz w:val="24"/>
          <w:szCs w:val="24"/>
        </w:rPr>
      </w:pPr>
      <w:r>
        <w:rPr>
          <w:rFonts w:hint="eastAsia" w:ascii="宋体" w:hAnsi="宋体"/>
          <w:sz w:val="24"/>
          <w:szCs w:val="24"/>
        </w:rPr>
        <w:t>（</w:t>
      </w:r>
      <w:r>
        <w:rPr>
          <w:rFonts w:hint="eastAsia" w:ascii="宋体" w:hAnsi="宋体"/>
          <w:sz w:val="24"/>
          <w:szCs w:val="24"/>
          <w:lang w:val="en-US" w:eastAsia="zh-CN"/>
        </w:rPr>
        <w:t>1</w:t>
      </w:r>
      <w:r>
        <w:rPr>
          <w:rFonts w:hint="eastAsia" w:ascii="宋体" w:hAnsi="宋体"/>
          <w:sz w:val="24"/>
          <w:szCs w:val="24"/>
        </w:rPr>
        <w:t>）本项目需要供应商提供本地化服务，即在上海市应设立常驻售后服务机构，处理所有售后服务事宜，同时提供7*24小时本地语言（中文）支持；</w:t>
      </w:r>
    </w:p>
    <w:p w14:paraId="0B3D3ADE">
      <w:pPr>
        <w:pStyle w:val="7"/>
        <w:snapToGrid w:val="0"/>
        <w:spacing w:line="360" w:lineRule="auto"/>
        <w:ind w:firstLine="480"/>
        <w:rPr>
          <w:rFonts w:hint="eastAsia" w:ascii="宋体" w:hAnsi="宋体"/>
          <w:sz w:val="24"/>
          <w:szCs w:val="24"/>
        </w:rPr>
      </w:pPr>
      <w:r>
        <w:rPr>
          <w:rFonts w:hint="eastAsia" w:ascii="宋体" w:hAnsi="宋体"/>
          <w:sz w:val="24"/>
          <w:szCs w:val="24"/>
        </w:rPr>
        <w:t>（</w:t>
      </w:r>
      <w:r>
        <w:rPr>
          <w:rFonts w:hint="eastAsia" w:ascii="宋体" w:hAnsi="宋体"/>
          <w:sz w:val="24"/>
          <w:szCs w:val="24"/>
          <w:lang w:val="en-US" w:eastAsia="zh-CN"/>
        </w:rPr>
        <w:t>2</w:t>
      </w:r>
      <w:r>
        <w:rPr>
          <w:rFonts w:hint="eastAsia" w:ascii="宋体" w:hAnsi="宋体"/>
          <w:sz w:val="24"/>
          <w:szCs w:val="24"/>
        </w:rPr>
        <w:t>）供应商需做出无推诿承诺。即供应商承诺无论由于哪一方产生的问题导致系统发生不正常情况时，需立即派工程师到场全力配合解决，使系统尽快恢复正常；</w:t>
      </w:r>
    </w:p>
    <w:p w14:paraId="1E4B5B4A">
      <w:pPr>
        <w:pStyle w:val="7"/>
        <w:snapToGrid w:val="0"/>
        <w:spacing w:line="360" w:lineRule="auto"/>
        <w:ind w:firstLine="480"/>
        <w:rPr>
          <w:rFonts w:hint="eastAsia" w:ascii="宋体" w:hAnsi="宋体"/>
          <w:sz w:val="24"/>
          <w:szCs w:val="24"/>
        </w:rPr>
      </w:pPr>
      <w:r>
        <w:rPr>
          <w:rFonts w:hint="eastAsia" w:ascii="宋体" w:hAnsi="宋体"/>
          <w:sz w:val="24"/>
          <w:szCs w:val="24"/>
        </w:rPr>
        <w:t>（</w:t>
      </w:r>
      <w:r>
        <w:rPr>
          <w:rFonts w:hint="eastAsia" w:ascii="宋体" w:hAnsi="宋体"/>
          <w:sz w:val="24"/>
          <w:szCs w:val="24"/>
          <w:lang w:val="en-US" w:eastAsia="zh-CN"/>
        </w:rPr>
        <w:t>3</w:t>
      </w:r>
      <w:r>
        <w:rPr>
          <w:rFonts w:hint="eastAsia" w:ascii="宋体" w:hAnsi="宋体"/>
          <w:sz w:val="24"/>
          <w:szCs w:val="24"/>
        </w:rPr>
        <w:t>）本项目所采购设备在出现硬件损坏时，备品、备件等应在采购要求规定时间范围之内到达并修复，并需要提供确保承诺实现的措施；</w:t>
      </w:r>
    </w:p>
    <w:p w14:paraId="1E80CF27">
      <w:pPr>
        <w:pStyle w:val="7"/>
        <w:snapToGrid w:val="0"/>
        <w:spacing w:line="360" w:lineRule="auto"/>
        <w:ind w:firstLine="480"/>
        <w:rPr>
          <w:rFonts w:hint="eastAsia" w:ascii="宋体" w:hAnsi="宋体"/>
          <w:sz w:val="24"/>
          <w:szCs w:val="24"/>
        </w:rPr>
      </w:pPr>
      <w:r>
        <w:rPr>
          <w:rFonts w:hint="eastAsia" w:ascii="宋体" w:hAnsi="宋体"/>
          <w:sz w:val="24"/>
          <w:szCs w:val="24"/>
        </w:rPr>
        <w:t>（</w:t>
      </w:r>
      <w:r>
        <w:rPr>
          <w:rFonts w:hint="eastAsia" w:ascii="宋体" w:hAnsi="宋体"/>
          <w:sz w:val="24"/>
          <w:szCs w:val="24"/>
          <w:lang w:val="en-US" w:eastAsia="zh-CN"/>
        </w:rPr>
        <w:t>4</w:t>
      </w:r>
      <w:r>
        <w:rPr>
          <w:rFonts w:hint="eastAsia" w:ascii="宋体" w:hAnsi="宋体"/>
          <w:sz w:val="24"/>
          <w:szCs w:val="24"/>
        </w:rPr>
        <w:t>）在质保期结束前，需由供应商工程师和采购人代表一起对此次新购买和升级的设备进行一次全面检查，任何缺陷均由供应商负责修理，在修理之后，供应商应将缺陷原因、修理内容、完成修理及恢复正常的时间和日期等报告给采购人，报告一式两份；</w:t>
      </w:r>
    </w:p>
    <w:p w14:paraId="0482E929">
      <w:pPr>
        <w:pStyle w:val="7"/>
        <w:snapToGrid w:val="0"/>
        <w:spacing w:line="360" w:lineRule="auto"/>
        <w:ind w:firstLine="480"/>
        <w:rPr>
          <w:rFonts w:hint="eastAsia" w:ascii="宋体" w:hAnsi="宋体"/>
          <w:sz w:val="24"/>
          <w:szCs w:val="24"/>
        </w:rPr>
      </w:pPr>
      <w:r>
        <w:rPr>
          <w:rFonts w:hint="eastAsia" w:ascii="宋体" w:hAnsi="宋体"/>
          <w:sz w:val="24"/>
          <w:szCs w:val="24"/>
        </w:rPr>
        <w:t>（</w:t>
      </w:r>
      <w:r>
        <w:rPr>
          <w:rFonts w:hint="eastAsia" w:ascii="宋体" w:hAnsi="宋体"/>
          <w:sz w:val="24"/>
          <w:szCs w:val="24"/>
          <w:lang w:val="en-US" w:eastAsia="zh-CN"/>
        </w:rPr>
        <w:t>5</w:t>
      </w:r>
      <w:r>
        <w:rPr>
          <w:rFonts w:hint="eastAsia" w:ascii="宋体" w:hAnsi="宋体"/>
          <w:sz w:val="24"/>
          <w:szCs w:val="24"/>
        </w:rPr>
        <w:t>）供应商需在响应文件中对售后服务的任务内容和服务方式进行详细罗列与界定，对于需要采购人面配合的内容也可同时加以说明；</w:t>
      </w:r>
    </w:p>
    <w:p w14:paraId="0AD78D47">
      <w:pPr>
        <w:pStyle w:val="7"/>
        <w:snapToGrid w:val="0"/>
        <w:spacing w:line="360" w:lineRule="auto"/>
        <w:ind w:firstLine="480"/>
        <w:rPr>
          <w:rFonts w:hint="eastAsia" w:ascii="宋体" w:hAnsi="宋体"/>
          <w:sz w:val="24"/>
          <w:szCs w:val="24"/>
        </w:rPr>
      </w:pPr>
      <w:r>
        <w:rPr>
          <w:rFonts w:hint="eastAsia" w:ascii="宋体" w:hAnsi="宋体"/>
          <w:sz w:val="24"/>
          <w:szCs w:val="24"/>
        </w:rPr>
        <w:t>（</w:t>
      </w:r>
      <w:r>
        <w:rPr>
          <w:rFonts w:hint="eastAsia" w:ascii="宋体" w:hAnsi="宋体"/>
          <w:sz w:val="24"/>
          <w:szCs w:val="24"/>
          <w:lang w:val="en-US" w:eastAsia="zh-CN"/>
        </w:rPr>
        <w:t>6</w:t>
      </w:r>
      <w:r>
        <w:rPr>
          <w:rFonts w:hint="eastAsia" w:ascii="宋体" w:hAnsi="宋体"/>
          <w:sz w:val="24"/>
          <w:szCs w:val="24"/>
        </w:rPr>
        <w:t>）以上所有服务的相关费用均需计入报价总价。</w:t>
      </w:r>
    </w:p>
    <w:p w14:paraId="55BA561E">
      <w:pPr>
        <w:pStyle w:val="3"/>
      </w:pPr>
      <w:bookmarkStart w:id="28" w:name="_Toc63785506"/>
      <w:r>
        <w:rPr>
          <w:rFonts w:hint="eastAsia"/>
        </w:rPr>
        <w:t>应急响应要求</w:t>
      </w:r>
      <w:bookmarkEnd w:id="28"/>
    </w:p>
    <w:p w14:paraId="0EE0E3E1">
      <w:pPr>
        <w:pStyle w:val="7"/>
        <w:snapToGrid w:val="0"/>
        <w:spacing w:line="360" w:lineRule="auto"/>
        <w:ind w:firstLine="480"/>
        <w:rPr>
          <w:rFonts w:ascii="宋体" w:hAnsi="宋体"/>
          <w:sz w:val="24"/>
          <w:szCs w:val="24"/>
        </w:rPr>
      </w:pPr>
      <w:r>
        <w:rPr>
          <w:rFonts w:hint="eastAsia" w:ascii="宋体" w:hAnsi="宋体"/>
          <w:sz w:val="24"/>
          <w:szCs w:val="24"/>
        </w:rPr>
        <w:t>供应商对系统故障应能够实时响应，若系统发生故障，接到通知后</w:t>
      </w:r>
      <w:r>
        <w:rPr>
          <w:rFonts w:ascii="宋体" w:hAnsi="宋体"/>
          <w:sz w:val="24"/>
          <w:szCs w:val="24"/>
        </w:rPr>
        <w:t>30分钟之内响应，专业工程师2小时内到达现场</w:t>
      </w:r>
      <w:r>
        <w:rPr>
          <w:rFonts w:hint="eastAsia" w:ascii="宋体" w:hAnsi="宋体"/>
          <w:sz w:val="24"/>
          <w:szCs w:val="24"/>
        </w:rPr>
        <w:t>。特殊故障与客户沟通协商后，按照协商的方式制定解决方案并进行处理。</w:t>
      </w:r>
    </w:p>
    <w:p w14:paraId="3DB7D897">
      <w:pPr>
        <w:pStyle w:val="7"/>
        <w:snapToGrid w:val="0"/>
        <w:spacing w:line="360" w:lineRule="auto"/>
        <w:ind w:firstLine="480"/>
        <w:rPr>
          <w:rFonts w:ascii="宋体" w:hAnsi="宋体"/>
          <w:sz w:val="24"/>
          <w:szCs w:val="24"/>
        </w:rPr>
      </w:pPr>
      <w:r>
        <w:rPr>
          <w:rFonts w:hint="eastAsia" w:ascii="宋体" w:hAnsi="宋体"/>
          <w:sz w:val="24"/>
          <w:szCs w:val="24"/>
        </w:rPr>
        <w:t>具体故障级别及对应的应急响应要求如下：</w:t>
      </w:r>
    </w:p>
    <w:p w14:paraId="4CAF5523">
      <w:pPr>
        <w:pStyle w:val="7"/>
        <w:snapToGrid w:val="0"/>
        <w:spacing w:line="360" w:lineRule="auto"/>
        <w:ind w:firstLine="480"/>
        <w:rPr>
          <w:rFonts w:ascii="宋体" w:hAnsi="宋体"/>
          <w:sz w:val="24"/>
          <w:szCs w:val="24"/>
        </w:rPr>
      </w:pPr>
      <w:r>
        <w:rPr>
          <w:rFonts w:hint="eastAsia" w:ascii="宋体" w:hAnsi="宋体"/>
          <w:sz w:val="24"/>
          <w:szCs w:val="24"/>
        </w:rPr>
        <w:t>一级故障：在</w:t>
      </w:r>
      <w:r>
        <w:rPr>
          <w:rFonts w:ascii="宋体" w:hAnsi="宋体"/>
          <w:sz w:val="24"/>
          <w:szCs w:val="24"/>
        </w:rPr>
        <w:t>1小时内确诊，总故障解决时间不超过4小时。</w:t>
      </w:r>
    </w:p>
    <w:p w14:paraId="6A4C2991">
      <w:pPr>
        <w:pStyle w:val="7"/>
        <w:snapToGrid w:val="0"/>
        <w:spacing w:line="360" w:lineRule="auto"/>
        <w:ind w:firstLine="480"/>
        <w:rPr>
          <w:rFonts w:ascii="宋体" w:hAnsi="宋体"/>
          <w:sz w:val="24"/>
          <w:szCs w:val="24"/>
        </w:rPr>
      </w:pPr>
      <w:r>
        <w:rPr>
          <w:rFonts w:hint="eastAsia" w:ascii="宋体" w:hAnsi="宋体"/>
          <w:sz w:val="24"/>
          <w:szCs w:val="24"/>
        </w:rPr>
        <w:t>二级故障：在</w:t>
      </w:r>
      <w:r>
        <w:rPr>
          <w:rFonts w:ascii="宋体" w:hAnsi="宋体"/>
          <w:sz w:val="24"/>
          <w:szCs w:val="24"/>
        </w:rPr>
        <w:t>2小时内确诊，并在4小时内由专家到达现场确诊并解决，总故障解决时间不超过8小时；</w:t>
      </w:r>
    </w:p>
    <w:p w14:paraId="2720DE41">
      <w:pPr>
        <w:pStyle w:val="7"/>
        <w:snapToGrid w:val="0"/>
        <w:spacing w:line="360" w:lineRule="auto"/>
        <w:ind w:firstLine="480"/>
        <w:rPr>
          <w:rFonts w:ascii="宋体" w:hAnsi="宋体"/>
          <w:sz w:val="24"/>
          <w:szCs w:val="24"/>
        </w:rPr>
      </w:pPr>
      <w:r>
        <w:rPr>
          <w:rFonts w:hint="eastAsia" w:ascii="宋体" w:hAnsi="宋体"/>
          <w:sz w:val="24"/>
          <w:szCs w:val="24"/>
        </w:rPr>
        <w:t>三、四级故障：在</w:t>
      </w:r>
      <w:r>
        <w:rPr>
          <w:rFonts w:ascii="宋体" w:hAnsi="宋体"/>
          <w:sz w:val="24"/>
          <w:szCs w:val="24"/>
        </w:rPr>
        <w:t>4小时内确诊故障，总故障解决时间不超过16小时。</w:t>
      </w:r>
    </w:p>
    <w:p w14:paraId="1657D6CC">
      <w:pPr>
        <w:pStyle w:val="3"/>
      </w:pPr>
      <w:bookmarkStart w:id="29" w:name="_Toc63785507"/>
      <w:r>
        <w:rPr>
          <w:rFonts w:hint="eastAsia"/>
        </w:rPr>
        <w:t>培训要求</w:t>
      </w:r>
      <w:bookmarkEnd w:id="29"/>
    </w:p>
    <w:p w14:paraId="4D64CCB8">
      <w:r>
        <w:rPr>
          <w:rFonts w:hint="eastAsia"/>
        </w:rPr>
        <w:t>对系统使用单位提供业务操作培训，应提供详细培训方案。</w:t>
      </w:r>
    </w:p>
    <w:p w14:paraId="3AE5107D">
      <w:r>
        <w:rPr>
          <w:rFonts w:hint="eastAsia"/>
        </w:rPr>
        <w:t>(1)在质量保证期内，提供2次与项目相关的必要培训。</w:t>
      </w:r>
    </w:p>
    <w:p w14:paraId="2A337B7B">
      <w:r>
        <w:rPr>
          <w:rFonts w:hint="eastAsia"/>
        </w:rPr>
        <w:t>(2)供应商需要开展分层次的人员培训工作，每次培训后应对参加培训人员进行测试，评估培训成果。培训应具有培训教材、培训环境和高水平的培训讲师。</w:t>
      </w:r>
    </w:p>
    <w:p w14:paraId="179DBD7D">
      <w:pPr>
        <w:rPr>
          <w:strike/>
          <w:szCs w:val="21"/>
        </w:rPr>
      </w:pPr>
      <w:r>
        <w:rPr>
          <w:rFonts w:hint="eastAsia"/>
        </w:rPr>
        <w:t>(3)供应商应提供一般用户的基础操作培训和部门信息管理员的日常应用维护的培训，确保用户对象能够掌握对应的操作技能。</w:t>
      </w:r>
    </w:p>
    <w:p w14:paraId="5FA88644">
      <w:pPr>
        <w:pStyle w:val="3"/>
      </w:pPr>
      <w:bookmarkStart w:id="30" w:name="_Toc63785509"/>
      <w:r>
        <w:rPr>
          <w:rFonts w:hint="eastAsia"/>
        </w:rPr>
        <w:t>进度要求</w:t>
      </w:r>
      <w:bookmarkEnd w:id="30"/>
    </w:p>
    <w:p w14:paraId="6D8F51D0">
      <w:r>
        <w:rPr>
          <w:rFonts w:hint="eastAsia"/>
        </w:rPr>
        <w:t>投标人应根据建设内容，分阶段制定合理的时间进度，并且应根据招标方要求进行调整和细化。</w:t>
      </w:r>
    </w:p>
    <w:p w14:paraId="43F182D6">
      <w:pPr>
        <w:rPr>
          <w:rFonts w:hint="eastAsia"/>
        </w:rPr>
      </w:pPr>
      <w:r>
        <w:rPr>
          <w:rFonts w:hint="eastAsia"/>
        </w:rPr>
        <w:t>总建设周期</w:t>
      </w:r>
      <w:r>
        <w:rPr>
          <w:rFonts w:hint="eastAsia"/>
          <w:lang w:val="en-US" w:eastAsia="zh-CN"/>
        </w:rPr>
        <w:t>为合同签订之后6</w:t>
      </w:r>
      <w:r>
        <w:rPr>
          <w:rFonts w:hint="eastAsia"/>
        </w:rPr>
        <w:t>个月</w:t>
      </w:r>
      <w:r>
        <w:rPr>
          <w:rFonts w:hint="eastAsia"/>
          <w:lang w:val="en-US" w:eastAsia="zh-CN"/>
        </w:rPr>
        <w:t>内</w:t>
      </w:r>
      <w:r>
        <w:rPr>
          <w:rFonts w:hint="eastAsia"/>
        </w:rPr>
        <w:t>完成</w:t>
      </w:r>
      <w:r>
        <w:rPr>
          <w:rFonts w:hint="eastAsia"/>
          <w:lang w:val="en-US" w:eastAsia="zh-CN"/>
        </w:rPr>
        <w:t>项目建设并通过项目验收</w:t>
      </w:r>
      <w:r>
        <w:rPr>
          <w:rFonts w:hint="eastAsia"/>
        </w:rPr>
        <w:t>。</w:t>
      </w:r>
    </w:p>
    <w:p w14:paraId="1C1FDFCE">
      <w:pPr>
        <w:pStyle w:val="3"/>
      </w:pPr>
      <w:bookmarkStart w:id="31" w:name="_Toc63785510"/>
      <w:r>
        <w:rPr>
          <w:rFonts w:hint="eastAsia"/>
        </w:rPr>
        <w:t>项目团队及人员要求</w:t>
      </w:r>
      <w:bookmarkEnd w:id="31"/>
    </w:p>
    <w:p w14:paraId="478DA53E">
      <w:r>
        <w:t>1）投标人</w:t>
      </w:r>
      <w:r>
        <w:rPr>
          <w:rFonts w:hint="eastAsia"/>
          <w:lang w:eastAsia="zh-CN"/>
        </w:rPr>
        <w:t>需</w:t>
      </w:r>
      <w:r>
        <w:t>具有稳定的在职技术保障力量，能够提供及时的技术支援或服务，应针对本项目提供不少于</w:t>
      </w:r>
      <w:r>
        <w:rPr>
          <w:rFonts w:hint="eastAsia"/>
          <w:lang w:val="en-US" w:eastAsia="zh-CN"/>
        </w:rPr>
        <w:t>5</w:t>
      </w:r>
      <w:r>
        <w:t>人的项目服务团队（包括项目经理、</w:t>
      </w:r>
      <w:r>
        <w:rPr>
          <w:rFonts w:hint="eastAsia"/>
          <w:lang w:val="en-US" w:eastAsia="zh-CN"/>
        </w:rPr>
        <w:t>技术</w:t>
      </w:r>
      <w:r>
        <w:t>经理、</w:t>
      </w:r>
      <w:r>
        <w:rPr>
          <w:rFonts w:hint="eastAsia"/>
          <w:lang w:val="en-US" w:eastAsia="zh-CN"/>
        </w:rPr>
        <w:t>实施人员</w:t>
      </w:r>
      <w:r>
        <w:t>等），投标单位的相关服务人员需具备相应的服务能力，需提供相关证明。</w:t>
      </w:r>
    </w:p>
    <w:tbl>
      <w:tblPr>
        <w:tblStyle w:val="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76"/>
        <w:gridCol w:w="2913"/>
        <w:gridCol w:w="1416"/>
        <w:gridCol w:w="1843"/>
        <w:gridCol w:w="1180"/>
      </w:tblGrid>
      <w:tr w14:paraId="3423E0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0" w:type="auto"/>
            <w:shd w:val="clear" w:color="auto" w:fill="auto"/>
            <w:noWrap/>
            <w:vAlign w:val="center"/>
          </w:tcPr>
          <w:p w14:paraId="1E4E0B84">
            <w:pPr>
              <w:widowControl/>
              <w:spacing w:line="240" w:lineRule="auto"/>
              <w:ind w:firstLine="0" w:firstLineChars="0"/>
              <w:jc w:val="center"/>
              <w:rPr>
                <w:b/>
              </w:rPr>
            </w:pPr>
            <w:r>
              <w:rPr>
                <w:rFonts w:hint="eastAsia"/>
                <w:b/>
              </w:rPr>
              <w:t>角色</w:t>
            </w:r>
          </w:p>
        </w:tc>
        <w:tc>
          <w:tcPr>
            <w:tcW w:w="0" w:type="auto"/>
            <w:shd w:val="clear" w:color="auto" w:fill="auto"/>
            <w:noWrap/>
            <w:vAlign w:val="center"/>
          </w:tcPr>
          <w:p w14:paraId="51458C83">
            <w:pPr>
              <w:widowControl/>
              <w:spacing w:line="240" w:lineRule="auto"/>
              <w:ind w:firstLine="0" w:firstLineChars="0"/>
              <w:jc w:val="center"/>
              <w:rPr>
                <w:b/>
              </w:rPr>
            </w:pPr>
            <w:r>
              <w:rPr>
                <w:rFonts w:hint="eastAsia"/>
                <w:b/>
              </w:rPr>
              <w:t>主要职责</w:t>
            </w:r>
          </w:p>
        </w:tc>
        <w:tc>
          <w:tcPr>
            <w:tcW w:w="0" w:type="auto"/>
            <w:shd w:val="clear" w:color="auto" w:fill="auto"/>
            <w:noWrap/>
            <w:vAlign w:val="center"/>
          </w:tcPr>
          <w:p w14:paraId="111D2242">
            <w:pPr>
              <w:widowControl/>
              <w:spacing w:line="240" w:lineRule="auto"/>
              <w:ind w:firstLine="0" w:firstLineChars="0"/>
              <w:jc w:val="center"/>
              <w:rPr>
                <w:b/>
              </w:rPr>
            </w:pPr>
            <w:r>
              <w:rPr>
                <w:rFonts w:hint="eastAsia"/>
                <w:b/>
              </w:rPr>
              <w:t>人员数量</w:t>
            </w:r>
          </w:p>
        </w:tc>
        <w:tc>
          <w:tcPr>
            <w:tcW w:w="0" w:type="auto"/>
            <w:vAlign w:val="center"/>
          </w:tcPr>
          <w:p w14:paraId="6E308350">
            <w:pPr>
              <w:widowControl/>
              <w:spacing w:line="240" w:lineRule="auto"/>
              <w:ind w:firstLine="0" w:firstLineChars="0"/>
              <w:jc w:val="center"/>
              <w:rPr>
                <w:b/>
              </w:rPr>
            </w:pPr>
            <w:r>
              <w:rPr>
                <w:rFonts w:hint="eastAsia"/>
                <w:b/>
              </w:rPr>
              <w:t>人员要求</w:t>
            </w:r>
          </w:p>
        </w:tc>
        <w:tc>
          <w:tcPr>
            <w:tcW w:w="0" w:type="auto"/>
            <w:shd w:val="clear" w:color="auto" w:fill="auto"/>
            <w:noWrap/>
            <w:vAlign w:val="center"/>
          </w:tcPr>
          <w:p w14:paraId="137B754B">
            <w:pPr>
              <w:widowControl/>
              <w:spacing w:line="240" w:lineRule="auto"/>
              <w:ind w:firstLine="0" w:firstLineChars="0"/>
              <w:jc w:val="center"/>
              <w:rPr>
                <w:b/>
              </w:rPr>
            </w:pPr>
            <w:r>
              <w:rPr>
                <w:rFonts w:hint="eastAsia"/>
                <w:b/>
              </w:rPr>
              <w:t>驻场要求</w:t>
            </w:r>
          </w:p>
        </w:tc>
      </w:tr>
      <w:tr w14:paraId="08A74C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0" w:type="auto"/>
            <w:shd w:val="clear" w:color="auto" w:fill="auto"/>
            <w:noWrap/>
            <w:vAlign w:val="center"/>
          </w:tcPr>
          <w:p w14:paraId="2047F061">
            <w:pPr>
              <w:widowControl/>
              <w:spacing w:line="240" w:lineRule="auto"/>
              <w:ind w:firstLine="0" w:firstLineChars="0"/>
              <w:jc w:val="center"/>
            </w:pPr>
            <w:r>
              <w:rPr>
                <w:rFonts w:hint="eastAsia"/>
              </w:rPr>
              <w:t>项目经理</w:t>
            </w:r>
          </w:p>
        </w:tc>
        <w:tc>
          <w:tcPr>
            <w:tcW w:w="0" w:type="auto"/>
            <w:shd w:val="clear" w:color="auto" w:fill="auto"/>
            <w:vAlign w:val="center"/>
          </w:tcPr>
          <w:p w14:paraId="4483C18D">
            <w:pPr>
              <w:widowControl/>
              <w:spacing w:line="240" w:lineRule="auto"/>
              <w:ind w:firstLine="0" w:firstLineChars="0"/>
              <w:jc w:val="center"/>
            </w:pPr>
            <w:r>
              <w:rPr>
                <w:rFonts w:hint="eastAsia"/>
              </w:rPr>
              <w:t>负责</w:t>
            </w:r>
            <w:r>
              <w:rPr>
                <w:rFonts w:hint="eastAsia"/>
                <w:lang w:val="en-US" w:eastAsia="zh-CN"/>
              </w:rPr>
              <w:t>整体</w:t>
            </w:r>
            <w:r>
              <w:rPr>
                <w:rFonts w:hint="eastAsia"/>
              </w:rPr>
              <w:t>项目质量和进度控制</w:t>
            </w:r>
          </w:p>
        </w:tc>
        <w:tc>
          <w:tcPr>
            <w:tcW w:w="0" w:type="auto"/>
            <w:shd w:val="clear" w:color="auto" w:fill="auto"/>
            <w:noWrap/>
            <w:vAlign w:val="center"/>
          </w:tcPr>
          <w:p w14:paraId="395510A7">
            <w:pPr>
              <w:widowControl/>
              <w:spacing w:line="240" w:lineRule="auto"/>
              <w:ind w:firstLine="0" w:firstLineChars="0"/>
              <w:jc w:val="center"/>
            </w:pPr>
            <w:r>
              <w:rPr>
                <w:rFonts w:hint="eastAsia"/>
                <w:lang w:val="en-US" w:eastAsia="zh-CN"/>
              </w:rPr>
              <w:t>1</w:t>
            </w:r>
            <w:r>
              <w:rPr>
                <w:rFonts w:hint="eastAsia"/>
              </w:rPr>
              <w:t>人</w:t>
            </w:r>
          </w:p>
        </w:tc>
        <w:tc>
          <w:tcPr>
            <w:tcW w:w="0" w:type="auto"/>
            <w:vAlign w:val="center"/>
          </w:tcPr>
          <w:p w14:paraId="1037F261">
            <w:pPr>
              <w:widowControl/>
              <w:spacing w:line="240" w:lineRule="auto"/>
              <w:ind w:firstLine="0" w:firstLineChars="0"/>
              <w:jc w:val="center"/>
            </w:pPr>
            <w:r>
              <w:rPr>
                <w:rFonts w:hint="eastAsia"/>
              </w:rPr>
              <w:t>本科及以上学历且具有信息系统项目管理师（高级）、高级分析师、高级工程师</w:t>
            </w:r>
          </w:p>
        </w:tc>
        <w:tc>
          <w:tcPr>
            <w:tcW w:w="0" w:type="auto"/>
            <w:shd w:val="clear" w:color="auto" w:fill="auto"/>
            <w:noWrap/>
            <w:vAlign w:val="center"/>
          </w:tcPr>
          <w:p w14:paraId="77776E4C">
            <w:pPr>
              <w:widowControl/>
              <w:spacing w:line="240" w:lineRule="auto"/>
              <w:ind w:firstLine="0" w:firstLineChars="0"/>
              <w:jc w:val="center"/>
            </w:pPr>
            <w:r>
              <w:rPr>
                <w:rFonts w:hint="eastAsia"/>
                <w:lang w:val="en-US" w:eastAsia="zh-CN"/>
              </w:rPr>
              <w:t>非</w:t>
            </w:r>
            <w:r>
              <w:rPr>
                <w:rFonts w:hint="eastAsia"/>
              </w:rPr>
              <w:t>驻场</w:t>
            </w:r>
          </w:p>
        </w:tc>
      </w:tr>
      <w:tr w14:paraId="557487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0" w:type="auto"/>
            <w:shd w:val="clear" w:color="auto" w:fill="auto"/>
            <w:noWrap/>
            <w:vAlign w:val="center"/>
          </w:tcPr>
          <w:p w14:paraId="764C1F60">
            <w:pPr>
              <w:widowControl/>
              <w:spacing w:line="240" w:lineRule="auto"/>
              <w:ind w:firstLine="0" w:firstLineChars="0"/>
              <w:jc w:val="center"/>
            </w:pPr>
            <w:r>
              <w:rPr>
                <w:rFonts w:hint="eastAsia"/>
                <w:lang w:val="en-US" w:eastAsia="zh-CN"/>
              </w:rPr>
              <w:t>技术</w:t>
            </w:r>
            <w:r>
              <w:rPr>
                <w:rFonts w:hint="eastAsia"/>
              </w:rPr>
              <w:t>经理</w:t>
            </w:r>
          </w:p>
        </w:tc>
        <w:tc>
          <w:tcPr>
            <w:tcW w:w="0" w:type="auto"/>
            <w:shd w:val="clear" w:color="auto" w:fill="auto"/>
            <w:vAlign w:val="center"/>
          </w:tcPr>
          <w:p w14:paraId="76563E15">
            <w:pPr>
              <w:widowControl/>
              <w:spacing w:line="240" w:lineRule="auto"/>
              <w:ind w:firstLine="0" w:firstLineChars="0"/>
              <w:jc w:val="center"/>
            </w:pPr>
            <w:r>
              <w:rPr>
                <w:rFonts w:hint="eastAsia"/>
              </w:rPr>
              <w:t>负责项目需求评估与</w:t>
            </w:r>
            <w:r>
              <w:rPr>
                <w:rFonts w:hint="eastAsia"/>
                <w:lang w:val="en-US" w:eastAsia="zh-CN"/>
              </w:rPr>
              <w:t>项目</w:t>
            </w:r>
            <w:r>
              <w:rPr>
                <w:rFonts w:hint="eastAsia"/>
              </w:rPr>
              <w:t>设计</w:t>
            </w:r>
          </w:p>
        </w:tc>
        <w:tc>
          <w:tcPr>
            <w:tcW w:w="0" w:type="auto"/>
            <w:shd w:val="clear" w:color="auto" w:fill="auto"/>
            <w:noWrap/>
            <w:vAlign w:val="center"/>
          </w:tcPr>
          <w:p w14:paraId="78DDD3E7">
            <w:pPr>
              <w:widowControl/>
              <w:spacing w:line="240" w:lineRule="auto"/>
              <w:ind w:firstLine="0" w:firstLineChars="0"/>
              <w:jc w:val="center"/>
            </w:pPr>
            <w:r>
              <w:rPr>
                <w:rFonts w:hint="eastAsia"/>
                <w:lang w:val="en-US" w:eastAsia="zh-CN"/>
              </w:rPr>
              <w:t>1</w:t>
            </w:r>
            <w:r>
              <w:rPr>
                <w:rFonts w:hint="eastAsia"/>
              </w:rPr>
              <w:t>人</w:t>
            </w:r>
          </w:p>
        </w:tc>
        <w:tc>
          <w:tcPr>
            <w:tcW w:w="0" w:type="auto"/>
            <w:vAlign w:val="center"/>
          </w:tcPr>
          <w:p w14:paraId="465956B2">
            <w:pPr>
              <w:widowControl/>
              <w:spacing w:line="240" w:lineRule="auto"/>
              <w:ind w:firstLine="0" w:firstLineChars="0"/>
              <w:jc w:val="center"/>
            </w:pPr>
            <w:r>
              <w:rPr>
                <w:rFonts w:hint="eastAsia"/>
              </w:rPr>
              <w:t>本科及以上学历且具有信息系统项目管理师（高级）、高级工程师</w:t>
            </w:r>
          </w:p>
        </w:tc>
        <w:tc>
          <w:tcPr>
            <w:tcW w:w="0" w:type="auto"/>
            <w:shd w:val="clear" w:color="auto" w:fill="auto"/>
            <w:noWrap/>
            <w:vAlign w:val="center"/>
          </w:tcPr>
          <w:p w14:paraId="70A71DB0">
            <w:pPr>
              <w:widowControl/>
              <w:spacing w:line="240" w:lineRule="auto"/>
              <w:ind w:firstLine="0" w:firstLineChars="0"/>
              <w:jc w:val="center"/>
            </w:pPr>
            <w:r>
              <w:rPr>
                <w:rFonts w:hint="eastAsia"/>
                <w:lang w:val="en-US" w:eastAsia="zh-CN"/>
              </w:rPr>
              <w:t>非</w:t>
            </w:r>
            <w:r>
              <w:rPr>
                <w:rFonts w:hint="eastAsia"/>
              </w:rPr>
              <w:t>驻场</w:t>
            </w:r>
          </w:p>
        </w:tc>
      </w:tr>
      <w:tr w14:paraId="436603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0" w:type="auto"/>
            <w:shd w:val="clear" w:color="auto" w:fill="auto"/>
            <w:noWrap/>
            <w:vAlign w:val="center"/>
          </w:tcPr>
          <w:p w14:paraId="04F6C832">
            <w:pPr>
              <w:widowControl/>
              <w:spacing w:line="240" w:lineRule="auto"/>
              <w:ind w:firstLine="0" w:firstLineChars="0"/>
              <w:jc w:val="center"/>
              <w:rPr>
                <w:rFonts w:hint="default" w:eastAsia="宋体"/>
                <w:lang w:val="en-US" w:eastAsia="zh-CN"/>
              </w:rPr>
            </w:pPr>
            <w:r>
              <w:rPr>
                <w:rFonts w:hint="eastAsia"/>
                <w:lang w:val="en-US" w:eastAsia="zh-CN"/>
              </w:rPr>
              <w:t>实施人员</w:t>
            </w:r>
          </w:p>
        </w:tc>
        <w:tc>
          <w:tcPr>
            <w:tcW w:w="0" w:type="auto"/>
            <w:shd w:val="clear" w:color="auto" w:fill="auto"/>
            <w:noWrap/>
            <w:vAlign w:val="center"/>
          </w:tcPr>
          <w:p w14:paraId="5286418C">
            <w:pPr>
              <w:widowControl/>
              <w:spacing w:line="240" w:lineRule="auto"/>
              <w:ind w:firstLine="0" w:firstLineChars="0"/>
              <w:jc w:val="center"/>
            </w:pPr>
            <w:r>
              <w:rPr>
                <w:rFonts w:hint="eastAsia"/>
              </w:rPr>
              <w:t>负责项目具体开发与实施</w:t>
            </w:r>
          </w:p>
        </w:tc>
        <w:tc>
          <w:tcPr>
            <w:tcW w:w="0" w:type="auto"/>
            <w:shd w:val="clear" w:color="auto" w:fill="auto"/>
            <w:noWrap/>
            <w:vAlign w:val="center"/>
          </w:tcPr>
          <w:p w14:paraId="3B9E1EDD">
            <w:pPr>
              <w:widowControl/>
              <w:spacing w:line="240" w:lineRule="auto"/>
              <w:ind w:firstLine="0" w:firstLineChars="0"/>
              <w:jc w:val="center"/>
            </w:pPr>
            <w:r>
              <w:rPr>
                <w:rFonts w:hint="eastAsia"/>
                <w:lang w:val="en-US" w:eastAsia="zh-CN"/>
              </w:rPr>
              <w:t>不少于3</w:t>
            </w:r>
            <w:r>
              <w:rPr>
                <w:rFonts w:hint="eastAsia"/>
              </w:rPr>
              <w:t>人</w:t>
            </w:r>
          </w:p>
        </w:tc>
        <w:tc>
          <w:tcPr>
            <w:tcW w:w="0" w:type="auto"/>
            <w:vAlign w:val="center"/>
          </w:tcPr>
          <w:p w14:paraId="46AF5E8B">
            <w:pPr>
              <w:widowControl/>
              <w:spacing w:line="240" w:lineRule="auto"/>
              <w:ind w:firstLine="0" w:firstLineChars="0"/>
              <w:jc w:val="center"/>
            </w:pPr>
          </w:p>
        </w:tc>
        <w:tc>
          <w:tcPr>
            <w:tcW w:w="0" w:type="auto"/>
            <w:shd w:val="clear" w:color="auto" w:fill="auto"/>
            <w:noWrap/>
            <w:vAlign w:val="center"/>
          </w:tcPr>
          <w:p w14:paraId="3E974A2B">
            <w:pPr>
              <w:widowControl/>
              <w:spacing w:line="240" w:lineRule="auto"/>
              <w:ind w:firstLine="0" w:firstLineChars="0"/>
              <w:jc w:val="center"/>
            </w:pPr>
            <w:r>
              <w:rPr>
                <w:rFonts w:hint="eastAsia"/>
                <w:lang w:val="en-US" w:eastAsia="zh-CN"/>
              </w:rPr>
              <w:t>非</w:t>
            </w:r>
            <w:r>
              <w:rPr>
                <w:rFonts w:hint="eastAsia"/>
              </w:rPr>
              <w:t>驻场</w:t>
            </w:r>
          </w:p>
        </w:tc>
      </w:tr>
    </w:tbl>
    <w:p w14:paraId="035D3BEE">
      <w:r>
        <w:t>2）投标人应针对本项目提供不少于</w:t>
      </w:r>
      <w:r>
        <w:rPr>
          <w:rFonts w:hint="eastAsia"/>
          <w:lang w:val="en-US" w:eastAsia="zh-CN"/>
        </w:rPr>
        <w:t>2</w:t>
      </w:r>
      <w:r>
        <w:t>人的质保期间支撑团队（其中技术经理</w:t>
      </w:r>
      <w:r>
        <w:rPr>
          <w:rFonts w:hint="eastAsia"/>
          <w:lang w:val="en-US" w:eastAsia="zh-CN"/>
        </w:rPr>
        <w:t>1</w:t>
      </w:r>
      <w:r>
        <w:t>人，</w:t>
      </w:r>
      <w:r>
        <w:rPr>
          <w:rFonts w:hint="eastAsia"/>
          <w:lang w:val="en-US" w:eastAsia="zh-CN"/>
        </w:rPr>
        <w:t>运维人员</w:t>
      </w:r>
      <w:r>
        <w:t>不少于</w:t>
      </w:r>
      <w:r>
        <w:rPr>
          <w:rFonts w:hint="eastAsia"/>
          <w:lang w:val="en-US" w:eastAsia="zh-CN"/>
        </w:rPr>
        <w:t>1</w:t>
      </w:r>
      <w:r>
        <w:t>人）；投标人的相关服务人员需具备相应的服务能力，需提供相关证明（最近一个季度依法缴纳社保费的证明）。</w:t>
      </w:r>
    </w:p>
    <w:tbl>
      <w:tblPr>
        <w:tblStyle w:val="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76"/>
        <w:gridCol w:w="3336"/>
        <w:gridCol w:w="1416"/>
        <w:gridCol w:w="1180"/>
        <w:gridCol w:w="1180"/>
      </w:tblGrid>
      <w:tr w14:paraId="4D3E2E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0" w:type="auto"/>
            <w:shd w:val="clear" w:color="auto" w:fill="auto"/>
            <w:noWrap/>
            <w:vAlign w:val="center"/>
          </w:tcPr>
          <w:p w14:paraId="7BFDBD02">
            <w:pPr>
              <w:widowControl/>
              <w:spacing w:line="240" w:lineRule="auto"/>
              <w:ind w:firstLine="0" w:firstLineChars="0"/>
              <w:jc w:val="center"/>
              <w:rPr>
                <w:b/>
              </w:rPr>
            </w:pPr>
            <w:r>
              <w:rPr>
                <w:rFonts w:hint="eastAsia"/>
                <w:b/>
              </w:rPr>
              <w:t>角色</w:t>
            </w:r>
          </w:p>
        </w:tc>
        <w:tc>
          <w:tcPr>
            <w:tcW w:w="0" w:type="auto"/>
            <w:shd w:val="clear" w:color="auto" w:fill="auto"/>
            <w:noWrap/>
            <w:vAlign w:val="center"/>
          </w:tcPr>
          <w:p w14:paraId="72426E8B">
            <w:pPr>
              <w:widowControl/>
              <w:spacing w:line="240" w:lineRule="auto"/>
              <w:ind w:firstLine="0" w:firstLineChars="0"/>
              <w:jc w:val="center"/>
              <w:rPr>
                <w:b/>
              </w:rPr>
            </w:pPr>
            <w:r>
              <w:rPr>
                <w:rFonts w:hint="eastAsia"/>
                <w:b/>
              </w:rPr>
              <w:t>主要职责</w:t>
            </w:r>
          </w:p>
        </w:tc>
        <w:tc>
          <w:tcPr>
            <w:tcW w:w="0" w:type="auto"/>
            <w:shd w:val="clear" w:color="auto" w:fill="auto"/>
            <w:noWrap/>
            <w:vAlign w:val="center"/>
          </w:tcPr>
          <w:p w14:paraId="7AA569FB">
            <w:pPr>
              <w:widowControl/>
              <w:spacing w:line="240" w:lineRule="auto"/>
              <w:ind w:firstLine="0" w:firstLineChars="0"/>
              <w:jc w:val="center"/>
              <w:rPr>
                <w:b/>
              </w:rPr>
            </w:pPr>
            <w:r>
              <w:rPr>
                <w:rFonts w:hint="eastAsia"/>
                <w:b/>
              </w:rPr>
              <w:t>人员数量</w:t>
            </w:r>
          </w:p>
        </w:tc>
        <w:tc>
          <w:tcPr>
            <w:tcW w:w="0" w:type="auto"/>
            <w:vAlign w:val="center"/>
          </w:tcPr>
          <w:p w14:paraId="234ADFCA">
            <w:pPr>
              <w:widowControl/>
              <w:spacing w:line="240" w:lineRule="auto"/>
              <w:ind w:firstLine="0" w:firstLineChars="0"/>
              <w:jc w:val="center"/>
              <w:rPr>
                <w:b/>
              </w:rPr>
            </w:pPr>
            <w:r>
              <w:rPr>
                <w:rFonts w:hint="eastAsia"/>
                <w:b/>
              </w:rPr>
              <w:t>人员要求</w:t>
            </w:r>
          </w:p>
        </w:tc>
        <w:tc>
          <w:tcPr>
            <w:tcW w:w="0" w:type="auto"/>
            <w:shd w:val="clear" w:color="auto" w:fill="auto"/>
            <w:noWrap/>
            <w:vAlign w:val="center"/>
          </w:tcPr>
          <w:p w14:paraId="4DABB55C">
            <w:pPr>
              <w:widowControl/>
              <w:spacing w:line="240" w:lineRule="auto"/>
              <w:ind w:firstLine="0" w:firstLineChars="0"/>
              <w:jc w:val="center"/>
              <w:rPr>
                <w:b/>
              </w:rPr>
            </w:pPr>
            <w:r>
              <w:rPr>
                <w:rFonts w:hint="eastAsia"/>
                <w:b/>
              </w:rPr>
              <w:t>驻场要求</w:t>
            </w:r>
          </w:p>
        </w:tc>
      </w:tr>
      <w:tr w14:paraId="38CBD2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0" w:type="auto"/>
            <w:shd w:val="clear" w:color="auto" w:fill="auto"/>
            <w:noWrap/>
            <w:vAlign w:val="center"/>
          </w:tcPr>
          <w:p w14:paraId="7BE2EAED">
            <w:pPr>
              <w:widowControl/>
              <w:spacing w:line="240" w:lineRule="auto"/>
              <w:ind w:firstLine="0" w:firstLineChars="0"/>
              <w:jc w:val="center"/>
            </w:pPr>
            <w:r>
              <w:rPr>
                <w:rFonts w:hint="eastAsia"/>
                <w:lang w:val="en-US" w:eastAsia="zh-CN"/>
              </w:rPr>
              <w:t>技术</w:t>
            </w:r>
            <w:r>
              <w:rPr>
                <w:rFonts w:hint="eastAsia"/>
              </w:rPr>
              <w:t>经理</w:t>
            </w:r>
          </w:p>
        </w:tc>
        <w:tc>
          <w:tcPr>
            <w:tcW w:w="0" w:type="auto"/>
            <w:shd w:val="clear" w:color="auto" w:fill="auto"/>
            <w:vAlign w:val="center"/>
          </w:tcPr>
          <w:p w14:paraId="728DAA07">
            <w:pPr>
              <w:widowControl/>
              <w:spacing w:line="240" w:lineRule="auto"/>
              <w:ind w:firstLine="0" w:firstLineChars="0"/>
              <w:jc w:val="center"/>
            </w:pPr>
            <w:r>
              <w:rPr>
                <w:rFonts w:hint="eastAsia"/>
              </w:rPr>
              <w:t>负责项目需求评估与</w:t>
            </w:r>
            <w:r>
              <w:rPr>
                <w:rFonts w:hint="eastAsia"/>
                <w:lang w:val="en-US" w:eastAsia="zh-CN"/>
              </w:rPr>
              <w:t>项目</w:t>
            </w:r>
            <w:r>
              <w:rPr>
                <w:rFonts w:hint="eastAsia"/>
              </w:rPr>
              <w:t>设计</w:t>
            </w:r>
          </w:p>
        </w:tc>
        <w:tc>
          <w:tcPr>
            <w:tcW w:w="0" w:type="auto"/>
            <w:shd w:val="clear" w:color="auto" w:fill="auto"/>
            <w:noWrap/>
            <w:vAlign w:val="center"/>
          </w:tcPr>
          <w:p w14:paraId="06FB5432">
            <w:pPr>
              <w:widowControl/>
              <w:spacing w:line="240" w:lineRule="auto"/>
              <w:ind w:firstLine="0" w:firstLineChars="0"/>
              <w:jc w:val="center"/>
            </w:pPr>
            <w:r>
              <w:rPr>
                <w:rFonts w:hint="eastAsia"/>
                <w:lang w:val="en-US" w:eastAsia="zh-CN"/>
              </w:rPr>
              <w:t>1</w:t>
            </w:r>
            <w:r>
              <w:rPr>
                <w:rFonts w:hint="eastAsia"/>
              </w:rPr>
              <w:t>人</w:t>
            </w:r>
          </w:p>
        </w:tc>
        <w:tc>
          <w:tcPr>
            <w:tcW w:w="0" w:type="auto"/>
            <w:vAlign w:val="center"/>
          </w:tcPr>
          <w:p w14:paraId="3F225F88">
            <w:pPr>
              <w:widowControl/>
              <w:spacing w:line="240" w:lineRule="auto"/>
              <w:ind w:firstLine="0" w:firstLineChars="0"/>
              <w:jc w:val="center"/>
              <w:rPr>
                <w:rFonts w:hint="default" w:eastAsia="宋体"/>
                <w:lang w:val="en-US" w:eastAsia="zh-CN"/>
              </w:rPr>
            </w:pPr>
          </w:p>
        </w:tc>
        <w:tc>
          <w:tcPr>
            <w:tcW w:w="0" w:type="auto"/>
            <w:shd w:val="clear" w:color="auto" w:fill="auto"/>
            <w:noWrap/>
            <w:vAlign w:val="center"/>
          </w:tcPr>
          <w:p w14:paraId="2E4DFBD6">
            <w:pPr>
              <w:widowControl/>
              <w:spacing w:line="240" w:lineRule="auto"/>
              <w:ind w:firstLine="0" w:firstLineChars="0"/>
              <w:jc w:val="center"/>
            </w:pPr>
            <w:r>
              <w:rPr>
                <w:rFonts w:hint="eastAsia"/>
                <w:lang w:val="en-US" w:eastAsia="zh-CN"/>
              </w:rPr>
              <w:t>非</w:t>
            </w:r>
            <w:r>
              <w:rPr>
                <w:rFonts w:hint="eastAsia"/>
              </w:rPr>
              <w:t>驻场</w:t>
            </w:r>
          </w:p>
        </w:tc>
      </w:tr>
      <w:tr w14:paraId="2B838F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0" w:type="auto"/>
            <w:shd w:val="clear" w:color="auto" w:fill="auto"/>
            <w:noWrap/>
            <w:vAlign w:val="center"/>
          </w:tcPr>
          <w:p w14:paraId="21326C64">
            <w:pPr>
              <w:widowControl/>
              <w:spacing w:line="240" w:lineRule="auto"/>
              <w:ind w:firstLine="0" w:firstLineChars="0"/>
              <w:jc w:val="center"/>
              <w:rPr>
                <w:rFonts w:hint="eastAsia" w:ascii="宋体" w:hAnsi="宋体" w:eastAsia="宋体" w:cs="Times New Roman"/>
                <w:kern w:val="2"/>
                <w:sz w:val="24"/>
                <w:szCs w:val="24"/>
                <w:lang w:val="en-US" w:eastAsia="zh-CN" w:bidi="ar-SA"/>
              </w:rPr>
            </w:pPr>
            <w:bookmarkStart w:id="32" w:name="_Toc63785511"/>
            <w:r>
              <w:rPr>
                <w:rFonts w:hint="eastAsia"/>
                <w:lang w:val="en-US" w:eastAsia="zh-CN"/>
              </w:rPr>
              <w:t>运维人员</w:t>
            </w:r>
          </w:p>
        </w:tc>
        <w:tc>
          <w:tcPr>
            <w:tcW w:w="0" w:type="auto"/>
            <w:shd w:val="clear" w:color="auto" w:fill="auto"/>
            <w:vAlign w:val="center"/>
          </w:tcPr>
          <w:p w14:paraId="03A4460E">
            <w:pPr>
              <w:widowControl/>
              <w:spacing w:line="240" w:lineRule="auto"/>
              <w:ind w:firstLine="0" w:firstLineChars="0"/>
              <w:jc w:val="center"/>
              <w:rPr>
                <w:rFonts w:hint="eastAsia" w:ascii="宋体" w:hAnsi="宋体" w:eastAsia="宋体" w:cs="Times New Roman"/>
                <w:kern w:val="2"/>
                <w:sz w:val="24"/>
                <w:szCs w:val="24"/>
                <w:lang w:val="en-US" w:eastAsia="zh-CN" w:bidi="ar-SA"/>
              </w:rPr>
            </w:pPr>
            <w:r>
              <w:rPr>
                <w:rFonts w:hint="eastAsia"/>
              </w:rPr>
              <w:t>负责项目具体</w:t>
            </w:r>
            <w:r>
              <w:rPr>
                <w:rFonts w:hint="eastAsia"/>
                <w:lang w:val="en-US" w:eastAsia="zh-CN"/>
              </w:rPr>
              <w:t>运维</w:t>
            </w:r>
          </w:p>
        </w:tc>
        <w:tc>
          <w:tcPr>
            <w:tcW w:w="0" w:type="auto"/>
            <w:shd w:val="clear" w:color="auto" w:fill="auto"/>
            <w:noWrap/>
            <w:vAlign w:val="center"/>
          </w:tcPr>
          <w:p w14:paraId="425FDC9D">
            <w:pPr>
              <w:widowControl/>
              <w:spacing w:line="240" w:lineRule="auto"/>
              <w:ind w:firstLine="0" w:firstLineChars="0"/>
              <w:jc w:val="center"/>
              <w:rPr>
                <w:rFonts w:hint="eastAsia" w:ascii="宋体" w:hAnsi="宋体" w:eastAsia="宋体" w:cs="Times New Roman"/>
                <w:kern w:val="2"/>
                <w:sz w:val="24"/>
                <w:szCs w:val="24"/>
                <w:lang w:val="en-US" w:eastAsia="zh-CN" w:bidi="ar-SA"/>
              </w:rPr>
            </w:pPr>
            <w:r>
              <w:rPr>
                <w:rFonts w:hint="eastAsia"/>
                <w:lang w:val="en-US" w:eastAsia="zh-CN"/>
              </w:rPr>
              <w:t>不少于1</w:t>
            </w:r>
            <w:r>
              <w:rPr>
                <w:rFonts w:hint="eastAsia"/>
              </w:rPr>
              <w:t>人</w:t>
            </w:r>
          </w:p>
        </w:tc>
        <w:tc>
          <w:tcPr>
            <w:tcW w:w="0" w:type="auto"/>
            <w:shd w:val="clear" w:color="auto" w:fill="auto"/>
            <w:vAlign w:val="center"/>
          </w:tcPr>
          <w:p w14:paraId="1BC6A4C6">
            <w:pPr>
              <w:widowControl/>
              <w:spacing w:line="240" w:lineRule="auto"/>
              <w:ind w:firstLine="0" w:firstLineChars="0"/>
              <w:jc w:val="center"/>
              <w:rPr>
                <w:rFonts w:hint="eastAsia" w:ascii="宋体" w:hAnsi="宋体" w:eastAsia="宋体" w:cs="Times New Roman"/>
                <w:kern w:val="2"/>
                <w:sz w:val="24"/>
                <w:szCs w:val="24"/>
                <w:lang w:val="en-US" w:eastAsia="zh-CN" w:bidi="ar-SA"/>
              </w:rPr>
            </w:pPr>
          </w:p>
        </w:tc>
        <w:tc>
          <w:tcPr>
            <w:tcW w:w="0" w:type="auto"/>
            <w:shd w:val="clear" w:color="auto" w:fill="auto"/>
            <w:noWrap/>
            <w:vAlign w:val="center"/>
          </w:tcPr>
          <w:p w14:paraId="37FD015D">
            <w:pPr>
              <w:widowControl/>
              <w:spacing w:line="240" w:lineRule="auto"/>
              <w:ind w:firstLine="0" w:firstLineChars="0"/>
              <w:jc w:val="center"/>
              <w:rPr>
                <w:rFonts w:hint="eastAsia" w:ascii="宋体" w:hAnsi="宋体" w:eastAsia="宋体" w:cs="Times New Roman"/>
                <w:kern w:val="2"/>
                <w:sz w:val="24"/>
                <w:szCs w:val="24"/>
                <w:lang w:val="en-US" w:eastAsia="zh-CN" w:bidi="ar-SA"/>
              </w:rPr>
            </w:pPr>
            <w:r>
              <w:rPr>
                <w:rFonts w:hint="eastAsia"/>
                <w:lang w:val="en-US" w:eastAsia="zh-CN"/>
              </w:rPr>
              <w:t>非</w:t>
            </w:r>
            <w:r>
              <w:rPr>
                <w:rFonts w:hint="eastAsia"/>
              </w:rPr>
              <w:t>驻场</w:t>
            </w:r>
          </w:p>
        </w:tc>
      </w:tr>
    </w:tbl>
    <w:p w14:paraId="7C65F4D6">
      <w:pPr>
        <w:pStyle w:val="3"/>
        <w:numPr>
          <w:ilvl w:val="-1"/>
          <w:numId w:val="0"/>
        </w:numPr>
        <w:ind w:left="0" w:firstLine="420"/>
        <w:rPr>
          <w:b w:val="0"/>
          <w:bCs w:val="0"/>
          <w:sz w:val="24"/>
          <w:szCs w:val="24"/>
        </w:rPr>
      </w:pPr>
      <w:r>
        <w:rPr>
          <w:rFonts w:hint="default"/>
          <w:b w:val="0"/>
          <w:bCs w:val="0"/>
          <w:sz w:val="24"/>
          <w:szCs w:val="24"/>
        </w:rPr>
        <w:t>投标人具有ITSS信息技术服务标准符合性证书的</w:t>
      </w:r>
      <w:r>
        <w:rPr>
          <w:rFonts w:hint="default"/>
          <w:b w:val="0"/>
          <w:bCs w:val="0"/>
          <w:sz w:val="24"/>
          <w:szCs w:val="24"/>
          <w:lang w:eastAsia="zh-CN"/>
        </w:rPr>
        <w:t>优先考虑</w:t>
      </w:r>
      <w:r>
        <w:rPr>
          <w:rFonts w:hint="default"/>
          <w:b w:val="0"/>
          <w:bCs w:val="0"/>
          <w:sz w:val="24"/>
          <w:szCs w:val="24"/>
        </w:rPr>
        <w:t>。</w:t>
      </w:r>
    </w:p>
    <w:p w14:paraId="2662ABE6">
      <w:pPr>
        <w:pStyle w:val="3"/>
      </w:pPr>
      <w:r>
        <w:t>等级保护要求</w:t>
      </w:r>
      <w:bookmarkEnd w:id="32"/>
    </w:p>
    <w:p w14:paraId="6727EB53">
      <w:r>
        <w:t xml:space="preserve">本项目等级保护要求： </w:t>
      </w:r>
    </w:p>
    <w:p w14:paraId="31B032A3">
      <w:pPr>
        <w:ind w:firstLine="897" w:firstLineChars="374"/>
        <w:rPr>
          <w:rFonts w:ascii="仿宋_GB2312" w:eastAsia="仿宋_GB2312" w:cs="仿宋_GB2312"/>
          <w:color w:val="000000"/>
          <w:kern w:val="0"/>
          <w:sz w:val="28"/>
          <w:szCs w:val="28"/>
        </w:rPr>
      </w:pPr>
      <w:r>
        <w:rPr>
          <w:rFonts w:hint="eastAsia"/>
        </w:rPr>
        <w:t>本项目按照等保2.0第三级进行建设</w:t>
      </w:r>
      <w:r>
        <w:rPr>
          <w:rFonts w:hint="eastAsia"/>
          <w:lang w:eastAsia="zh-CN"/>
        </w:rPr>
        <w:t>。</w:t>
      </w:r>
    </w:p>
    <w:p w14:paraId="19BBC55F">
      <w:pPr>
        <w:pStyle w:val="3"/>
      </w:pPr>
      <w:r>
        <w:rPr>
          <w:rFonts w:hint="eastAsia"/>
        </w:rPr>
        <w:t>商业密码应用需求</w:t>
      </w:r>
    </w:p>
    <w:p w14:paraId="61FDAAFB">
      <w:pPr>
        <w:ind w:firstLine="897" w:firstLineChars="374"/>
        <w:rPr>
          <w:rFonts w:hint="eastAsia"/>
          <w:lang w:eastAsia="zh-CN"/>
        </w:rPr>
      </w:pPr>
      <w:bookmarkStart w:id="33" w:name="_Toc63785512"/>
      <w:r>
        <w:rPr>
          <w:rFonts w:hint="eastAsia"/>
        </w:rPr>
        <w:t>本项目</w:t>
      </w:r>
      <w:r>
        <w:rPr>
          <w:rFonts w:hint="eastAsia"/>
          <w:lang w:val="en-US" w:eastAsia="zh-CN"/>
        </w:rPr>
        <w:t>需通过密码应用评测</w:t>
      </w:r>
      <w:r>
        <w:rPr>
          <w:rFonts w:hint="eastAsia"/>
          <w:lang w:eastAsia="zh-CN"/>
        </w:rPr>
        <w:t>。</w:t>
      </w:r>
    </w:p>
    <w:p w14:paraId="18B491A4">
      <w:pPr>
        <w:pStyle w:val="3"/>
      </w:pPr>
      <w:r>
        <w:rPr>
          <w:rFonts w:hint="eastAsia"/>
        </w:rPr>
        <w:t>技术文件要求</w:t>
      </w:r>
    </w:p>
    <w:p w14:paraId="6ACC8DAA">
      <w:r>
        <w:rPr>
          <w:rFonts w:hint="eastAsia"/>
          <w:lang w:val="en-US" w:eastAsia="zh-CN"/>
        </w:rPr>
        <w:t>项目建设完成后，</w:t>
      </w:r>
      <w:r>
        <w:rPr>
          <w:rFonts w:hint="eastAsia"/>
        </w:rPr>
        <w:t>投标人提供的书面技术资料应能确保系统正常运行所需的管理、运营及维护有关的全套文件。技术文件应该全面、完整、详细。投标人提供的技术文件至少应包括：</w:t>
      </w:r>
    </w:p>
    <w:p w14:paraId="5F18B60D">
      <w:r>
        <w:rPr>
          <w:rFonts w:hint="eastAsia"/>
        </w:rPr>
        <w:t>－</w:t>
      </w:r>
      <w:r>
        <w:t xml:space="preserve"> 系统说明文件； </w:t>
      </w:r>
    </w:p>
    <w:p w14:paraId="16874AFD">
      <w:r>
        <w:rPr>
          <w:rFonts w:hint="eastAsia"/>
        </w:rPr>
        <w:t>－</w:t>
      </w:r>
      <w:r>
        <w:t xml:space="preserve"> 技术手册(安装、测试、操作、维护、故障排除等)； </w:t>
      </w:r>
    </w:p>
    <w:p w14:paraId="3E6A035C">
      <w:r>
        <w:rPr>
          <w:rFonts w:hint="eastAsia"/>
        </w:rPr>
        <w:t>－</w:t>
      </w:r>
      <w:r>
        <w:t xml:space="preserve"> 项目文档，应该包括：</w:t>
      </w:r>
    </w:p>
    <w:p w14:paraId="1FF9ED27">
      <w:pPr>
        <w:ind w:left="360"/>
      </w:pPr>
      <w:r>
        <w:t>(1)软件需求说明书</w:t>
      </w:r>
    </w:p>
    <w:p w14:paraId="3F8222EC">
      <w:pPr>
        <w:ind w:left="360"/>
      </w:pPr>
      <w:r>
        <w:t>(2)</w:t>
      </w:r>
      <w:r>
        <w:tab/>
      </w:r>
      <w:r>
        <w:t>系统总体设计说明书</w:t>
      </w:r>
    </w:p>
    <w:p w14:paraId="269EB2D3">
      <w:pPr>
        <w:ind w:left="360"/>
      </w:pPr>
      <w:r>
        <w:t>(3)</w:t>
      </w:r>
      <w:r>
        <w:tab/>
      </w:r>
      <w:r>
        <w:t>应用软件功能清单</w:t>
      </w:r>
    </w:p>
    <w:p w14:paraId="545BEDAD">
      <w:pPr>
        <w:pStyle w:val="8"/>
        <w:ind w:firstLine="480"/>
      </w:pPr>
      <w:r>
        <w:rPr>
          <w:rFonts w:hint="eastAsia"/>
        </w:rPr>
        <w:t>提供全套技术文件纸介质</w:t>
      </w:r>
      <w:r>
        <w:t>3套以及电子文件1套。</w:t>
      </w:r>
      <w:bookmarkEnd w:id="33"/>
    </w:p>
    <w:p w14:paraId="09BC727F">
      <w:pPr>
        <w:pStyle w:val="2"/>
      </w:pPr>
      <w:bookmarkStart w:id="34" w:name="_Toc68798863"/>
      <w:r>
        <w:rPr>
          <w:rFonts w:hint="eastAsia"/>
        </w:rPr>
        <w:t>附录</w:t>
      </w:r>
      <w:bookmarkEnd w:id="34"/>
    </w:p>
    <w:p w14:paraId="1227310D">
      <w:pPr>
        <w:ind w:firstLine="482"/>
        <w:rPr>
          <w:b/>
        </w:rPr>
      </w:pPr>
      <w:r>
        <w:rPr>
          <w:rFonts w:hint="eastAsia"/>
          <w:b/>
        </w:rPr>
        <w:t>若项目建设过程中需符合相关技术标准或规范文件的要求，请将相关文件作为附件列出。</w:t>
      </w:r>
    </w:p>
    <w:p w14:paraId="28AB6404">
      <w:pPr>
        <w:ind w:firstLine="482"/>
      </w:pPr>
      <w:r>
        <w:rPr>
          <w:rFonts w:hint="eastAsia"/>
          <w:b/>
        </w:rPr>
        <w:t>参考如下：</w:t>
      </w:r>
    </w:p>
    <w:p w14:paraId="0B5945A1">
      <w:pPr>
        <w:pStyle w:val="3"/>
        <w:bidi w:val="0"/>
        <w:rPr>
          <w:rFonts w:hint="eastAsia"/>
        </w:rPr>
      </w:pPr>
      <w:r>
        <w:rPr>
          <w:rFonts w:hint="eastAsia"/>
        </w:rPr>
        <w:t>《中华人民共和国网络安全法》</w:t>
      </w:r>
    </w:p>
    <w:p w14:paraId="576B5D06">
      <w:pPr>
        <w:pStyle w:val="9"/>
        <w:spacing w:line="360" w:lineRule="auto"/>
        <w:ind w:firstLine="560"/>
        <w:rPr>
          <w:rFonts w:hint="eastAsia" w:ascii="仿宋_GB2312" w:hAnsi="仿宋_GB2312" w:eastAsia="仿宋_GB2312" w:cs="仿宋_GB2312"/>
        </w:rPr>
      </w:pPr>
      <w:r>
        <w:rPr>
          <w:rFonts w:hint="eastAsia" w:ascii="仿宋_GB2312" w:hAnsi="仿宋_GB2312" w:eastAsia="仿宋_GB2312" w:cs="仿宋_GB2312"/>
        </w:rPr>
        <w:object>
          <v:shape id="_x0000_i1025" o:spt="75" type="#_x0000_t75" style="height:42pt;width:157.5pt;" o:ole="t" filled="f" o:preferrelative="t" stroked="f" coordsize="21600,21600">
            <v:path/>
            <v:fill on="f" focussize="0,0"/>
            <v:stroke on="f" joinstyle="miter"/>
            <v:imagedata r:id="rId8" o:title=""/>
            <o:lock v:ext="edit" aspectratio="t"/>
            <w10:wrap type="none"/>
            <w10:anchorlock/>
          </v:shape>
          <o:OLEObject Type="Embed" ProgID="Package" ShapeID="_x0000_i1025" DrawAspect="Content" ObjectID="_1468075725" r:id="rId7">
            <o:LockedField>false</o:LockedField>
          </o:OLEObject>
        </w:object>
      </w:r>
    </w:p>
    <w:p w14:paraId="520E60B8">
      <w:pPr>
        <w:pStyle w:val="3"/>
        <w:bidi w:val="0"/>
        <w:rPr>
          <w:rFonts w:hint="eastAsia"/>
        </w:rPr>
      </w:pPr>
      <w:r>
        <w:rPr>
          <w:rFonts w:hint="eastAsia"/>
        </w:rPr>
        <w:t>《关键信息基础设施安全保护条例》</w:t>
      </w:r>
    </w:p>
    <w:p w14:paraId="1F8CD6E6">
      <w:pPr>
        <w:pStyle w:val="9"/>
        <w:spacing w:line="360" w:lineRule="auto"/>
        <w:ind w:firstLine="560"/>
        <w:rPr>
          <w:rFonts w:hint="eastAsia" w:ascii="仿宋_GB2312" w:hAnsi="仿宋_GB2312" w:eastAsia="仿宋_GB2312" w:cs="仿宋_GB2312"/>
        </w:rPr>
      </w:pPr>
      <w:r>
        <w:rPr>
          <w:rFonts w:hint="eastAsia" w:ascii="仿宋_GB2312" w:hAnsi="仿宋_GB2312" w:eastAsia="仿宋_GB2312" w:cs="仿宋_GB2312"/>
        </w:rPr>
        <w:object>
          <v:shape id="_x0000_i1026" o:spt="75" type="#_x0000_t75" style="height:42pt;width:180.5pt;" o:ole="t" filled="f" o:preferrelative="t" stroked="f" coordsize="21600,21600">
            <v:path/>
            <v:fill on="f" focussize="0,0"/>
            <v:stroke on="f" joinstyle="miter"/>
            <v:imagedata r:id="rId10" o:title=""/>
            <o:lock v:ext="edit" aspectratio="t"/>
            <w10:wrap type="none"/>
            <w10:anchorlock/>
          </v:shape>
          <o:OLEObject Type="Embed" ProgID="Package" ShapeID="_x0000_i1026" DrawAspect="Content" ObjectID="_1468075726" r:id="rId9">
            <o:LockedField>false</o:LockedField>
          </o:OLEObject>
        </w:object>
      </w:r>
    </w:p>
    <w:p w14:paraId="5CA51AFE">
      <w:pPr>
        <w:pStyle w:val="3"/>
        <w:bidi w:val="0"/>
        <w:rPr>
          <w:rFonts w:hint="eastAsia"/>
        </w:rPr>
      </w:pPr>
      <w:r>
        <w:rPr>
          <w:rFonts w:hint="eastAsia"/>
        </w:rPr>
        <w:t>《上海市安全管理平台预警体系建设工作方案》</w:t>
      </w:r>
    </w:p>
    <w:p w14:paraId="4882FC52">
      <w:pPr>
        <w:pStyle w:val="9"/>
        <w:spacing w:line="360" w:lineRule="auto"/>
        <w:ind w:firstLine="560"/>
        <w:jc w:val="left"/>
        <w:rPr>
          <w:rFonts w:hint="eastAsia" w:ascii="仿宋_GB2312" w:hAnsi="仿宋_GB2312" w:eastAsia="仿宋_GB2312" w:cs="仿宋_GB2312"/>
        </w:rPr>
      </w:pPr>
      <w:r>
        <w:rPr>
          <w:rFonts w:hint="eastAsia" w:ascii="仿宋_GB2312" w:hAnsi="仿宋_GB2312" w:eastAsia="仿宋_GB2312" w:cs="仿宋_GB2312"/>
        </w:rPr>
        <w:object>
          <v:shape id="_x0000_i1027" o:spt="75" type="#_x0000_t75" style="height:43.5pt;width:269pt;" o:ole="t" filled="f" o:preferrelative="t" stroked="f" coordsize="21600,21600">
            <v:path/>
            <v:fill on="f" focussize="0,0"/>
            <v:stroke on="f" joinstyle="miter"/>
            <v:imagedata r:id="rId12" o:title=""/>
            <o:lock v:ext="edit" aspectratio="t"/>
            <w10:wrap type="none"/>
            <w10:anchorlock/>
          </v:shape>
          <o:OLEObject Type="Embed" ProgID="Package" ShapeID="_x0000_i1027" DrawAspect="Content" ObjectID="_1468075727" r:id="rId11">
            <o:LockedField>false</o:LockedField>
          </o:OLEObject>
        </w:object>
      </w:r>
    </w:p>
    <w:p w14:paraId="28B21DAC">
      <w:pPr>
        <w:pStyle w:val="3"/>
        <w:bidi w:val="0"/>
        <w:rPr>
          <w:rFonts w:hint="default"/>
          <w:lang w:val="en-US" w:eastAsia="zh-CN"/>
        </w:rPr>
      </w:pPr>
      <w:r>
        <w:rPr>
          <w:rFonts w:hint="eastAsia"/>
          <w:lang w:val="en-US" w:eastAsia="zh-CN"/>
        </w:rPr>
        <w:t>《信息安全技术网络安全等级保护基本要求》</w:t>
      </w:r>
    </w:p>
    <w:p w14:paraId="2C24D1D9">
      <w:pPr>
        <w:rPr>
          <w:rFonts w:hint="eastAsia"/>
          <w:lang w:val="en-US" w:eastAsia="zh-CN"/>
        </w:rPr>
      </w:pPr>
      <w:r>
        <w:rPr>
          <w:rFonts w:hint="eastAsia"/>
          <w:lang w:val="en-US" w:eastAsia="zh-CN"/>
        </w:rPr>
        <w:object>
          <v:shape id="_x0000_i1028" o:spt="75" type="#_x0000_t75" style="height:77.2pt;width:77.2pt;" o:ole="t" filled="f" o:preferrelative="t" stroked="f" coordsize="21600,21600">
            <v:path/>
            <v:fill on="f" focussize="0,0"/>
            <v:stroke on="f"/>
            <v:imagedata r:id="rId14" o:title="oleimage"/>
            <o:lock v:ext="edit" aspectratio="t"/>
            <w10:wrap type="none"/>
            <w10:anchorlock/>
          </v:shape>
          <o:OLEObject Type="Embed" ProgID="Package" ShapeID="_x0000_i1028" DrawAspect="Icon" ObjectID="_1468075728" r:id="rId13">
            <o:LockedField>false</o:LockedField>
          </o:OLEObject>
        </w:object>
      </w:r>
    </w:p>
    <w:p w14:paraId="38DC1029">
      <w:pPr>
        <w:pStyle w:val="3"/>
        <w:bidi w:val="0"/>
        <w:rPr>
          <w:rFonts w:hint="default"/>
          <w:lang w:val="en-US" w:eastAsia="zh-CN"/>
        </w:rPr>
      </w:pPr>
      <w:r>
        <w:rPr>
          <w:rFonts w:hint="eastAsia"/>
          <w:lang w:val="en-US" w:eastAsia="zh-CN"/>
        </w:rPr>
        <w:t>《信息安全技术网络安全等级保护安全设计技术要求》</w:t>
      </w:r>
    </w:p>
    <w:p w14:paraId="0C6D417F">
      <w:pPr>
        <w:rPr>
          <w:rFonts w:hint="default"/>
          <w:lang w:val="en-US" w:eastAsia="zh-CN"/>
        </w:rPr>
      </w:pPr>
      <w:r>
        <w:rPr>
          <w:rFonts w:hint="default"/>
          <w:lang w:val="en-US" w:eastAsia="zh-CN"/>
        </w:rPr>
        <w:object>
          <v:shape id="_x0000_i1029" o:spt="75" alt="oleimage" type="#_x0000_t75" style="height:76.25pt;width:76.25pt;" o:ole="t" filled="f" o:preferrelative="t" stroked="f" coordsize="21600,21600">
            <v:path/>
            <v:fill on="f" focussize="0,0"/>
            <v:stroke on="f"/>
            <v:imagedata r:id="rId16" o:title="oleimage"/>
            <o:lock v:ext="edit" aspectratio="t"/>
            <w10:wrap type="none"/>
            <w10:anchorlock/>
          </v:shape>
          <o:OLEObject Type="Embed" ProgID="Package" ShapeID="_x0000_i1029" DrawAspect="Icon" ObjectID="_1468075729" r:id="rId15">
            <o:LockedField>false</o:LockedField>
          </o:OLEObject>
        </w:object>
      </w:r>
    </w:p>
    <w:p w14:paraId="18824192">
      <w:pPr>
        <w:rPr>
          <w:rFonts w:hint="default"/>
          <w:lang w:val="en-US" w:eastAsia="zh-CN"/>
        </w:rPr>
      </w:pPr>
      <w:bookmarkStart w:id="35" w:name="_GoBack"/>
      <w:bookmarkEnd w:id="35"/>
    </w:p>
    <w:sectPr>
      <w:footerReference r:id="rId5" w:type="first"/>
      <w:pgSz w:w="11906" w:h="16838"/>
      <w:pgMar w:top="1134" w:right="1797" w:bottom="1135" w:left="1797" w:header="340" w:footer="7" w:gutter="0"/>
      <w:pgNumType w:start="1"/>
      <w:cols w:space="720" w:num="1"/>
      <w:titlePg/>
      <w:docGrid w:type="linesAndChars" w:linePitch="326"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altName w:val="DejaVu Sans"/>
    <w:panose1 w:val="02020603050405020304"/>
    <w:charset w:val="86"/>
    <w:family w:val="auto"/>
    <w:pitch w:val="default"/>
    <w:sig w:usb0="00000000" w:usb1="00000000" w:usb2="00000009" w:usb3="00000000" w:csb0="400001FF" w:csb1="FFFF0000"/>
  </w:font>
  <w:font w:name="宋体">
    <w:altName w:val="方正书宋_GBK"/>
    <w:panose1 w:val="00000000000000000000"/>
    <w:charset w:val="86"/>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altName w:val="DejaVu Sans"/>
    <w:panose1 w:val="020B0604020202020204"/>
    <w:charset w:val="01"/>
    <w:family w:val="swiss"/>
    <w:pitch w:val="default"/>
    <w:sig w:usb0="E0002AFF" w:usb1="C0007843" w:usb2="00000009" w:usb3="00000000" w:csb0="400001FF" w:csb1="FFFF0000"/>
  </w:font>
  <w:font w:name="黑体">
    <w:altName w:val="方正黑体_GBK"/>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font>
  <w:font w:name="Symbol">
    <w:panose1 w:val="02000609000000000000"/>
    <w:charset w:val="02"/>
    <w:family w:val="roman"/>
    <w:pitch w:val="default"/>
    <w:sig w:usb0="800000AF" w:usb1="4000204A" w:usb2="00000000" w:usb3="00000000" w:csb0="20000000" w:csb1="00000000"/>
  </w:font>
  <w:font w:name="DejaVu Sans">
    <w:panose1 w:val="020B0603030804020204"/>
    <w:charset w:val="00"/>
    <w:family w:val="auto"/>
    <w:pitch w:val="default"/>
    <w:sig w:usb0="E7006EFF" w:usb1="D200FDFF" w:usb2="0A246029" w:usb3="0400200C" w:csb0="600001FF" w:csb1="DFFF0000"/>
  </w:font>
  <w:font w:name="Calibri">
    <w:altName w:val="DejaVu Sans"/>
    <w:panose1 w:val="020F0502020204030204"/>
    <w:charset w:val="00"/>
    <w:family w:val="swiss"/>
    <w:pitch w:val="default"/>
    <w:sig w:usb0="00000000" w:usb1="00000000" w:usb2="00000001" w:usb3="00000000" w:csb0="0000019F" w:csb1="00000000"/>
  </w:font>
  <w:font w:name="方正书宋_GBK">
    <w:panose1 w:val="02000000000000000000"/>
    <w:charset w:val="86"/>
    <w:family w:val="auto"/>
    <w:pitch w:val="default"/>
    <w:sig w:usb0="00000001" w:usb1="08000000" w:usb2="00000000" w:usb3="00000000" w:csb0="00040000" w:csb1="00000000"/>
  </w:font>
  <w:font w:name="方正黑体_GBK">
    <w:panose1 w:val="02000000000000000000"/>
    <w:charset w:val="86"/>
    <w:family w:val="auto"/>
    <w:pitch w:val="default"/>
    <w:sig w:usb0="00000001" w:usb1="08000000" w:usb2="00000000" w:usb3="00000000" w:csb0="00040000" w:csb1="00000000"/>
  </w:font>
  <w:font w:name="仿宋">
    <w:altName w:val="方正仿宋_GBK"/>
    <w:panose1 w:val="02010609060101010101"/>
    <w:charset w:val="86"/>
    <w:family w:val="modern"/>
    <w:pitch w:val="default"/>
    <w:sig w:usb0="00000000" w:usb1="00000000" w:usb2="00000016" w:usb3="00000000" w:csb0="00040001" w:csb1="00000000"/>
  </w:font>
  <w:font w:name="方正仿宋_GBK">
    <w:panose1 w:val="02000000000000000000"/>
    <w:charset w:val="86"/>
    <w:family w:val="auto"/>
    <w:pitch w:val="default"/>
    <w:sig w:usb0="00000001" w:usb1="08000000" w:usb2="00000000" w:usb3="00000000" w:csb0="00040000" w:csb1="00000000"/>
  </w:font>
  <w:font w:name="仿宋_GB2312">
    <w:panose1 w:val="02010609030101010101"/>
    <w:charset w:val="86"/>
    <w:family w:val="auto"/>
    <w:pitch w:val="default"/>
    <w:sig w:usb0="00000001" w:usb1="080E0000" w:usb2="00000000" w:usb3="00000000" w:csb0="00040000" w:csb1="00000000"/>
  </w:font>
  <w:font w:name="Arial">
    <w:altName w:val="DejaVu Sans"/>
    <w:panose1 w:val="00000000000000000000"/>
    <w:charset w:val="00"/>
    <w:family w:val="auto"/>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162327C">
    <w:pPr>
      <w:ind w:firstLine="0" w:firstLineChars="0"/>
      <w:jc w:val="center"/>
      <w:rPr>
        <w:lang w:val="zh-CN"/>
      </w:rPr>
    </w:pPr>
    <w:r>
      <w:rPr>
        <w:lang w:val="zh-CN"/>
      </w:rPr>
      <w:fldChar w:fldCharType="begin"/>
    </w:r>
    <w:r>
      <w:rPr>
        <w:lang w:val="zh-CN"/>
      </w:rPr>
      <w:instrText xml:space="preserve">PAGE   \* MERGEFORMAT</w:instrText>
    </w:r>
    <w:r>
      <w:rPr>
        <w:lang w:val="zh-CN"/>
      </w:rPr>
      <w:fldChar w:fldCharType="separate"/>
    </w:r>
    <w:r>
      <w:rPr>
        <w:lang w:val="zh-CN"/>
      </w:rPr>
      <w:t>1</w:t>
    </w:r>
    <w:r>
      <w:rPr>
        <w:lang w:val="zh-CN"/>
      </w:rPr>
      <w:fldChar w:fldCharType="end"/>
    </w:r>
  </w:p>
  <w:p w14:paraId="3E625BF8"/>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ABCC7CA"/>
    <w:multiLevelType w:val="singleLevel"/>
    <w:tmpl w:val="8ABCC7CA"/>
    <w:lvl w:ilvl="0" w:tentative="0">
      <w:start w:val="1"/>
      <w:numFmt w:val="decimal"/>
      <w:lvlText w:val="%1)"/>
      <w:lvlJc w:val="left"/>
      <w:pPr>
        <w:ind w:left="425" w:hanging="425"/>
      </w:pPr>
      <w:rPr>
        <w:rFonts w:hint="default"/>
      </w:rPr>
    </w:lvl>
  </w:abstractNum>
  <w:abstractNum w:abstractNumId="1">
    <w:nsid w:val="EDF5ED29"/>
    <w:multiLevelType w:val="singleLevel"/>
    <w:tmpl w:val="EDF5ED29"/>
    <w:lvl w:ilvl="0" w:tentative="0">
      <w:start w:val="1"/>
      <w:numFmt w:val="decimal"/>
      <w:suff w:val="nothing"/>
      <w:lvlText w:val="%1、"/>
      <w:lvlJc w:val="left"/>
    </w:lvl>
  </w:abstractNum>
  <w:abstractNum w:abstractNumId="2">
    <w:nsid w:val="6A2F4AB3"/>
    <w:multiLevelType w:val="multilevel"/>
    <w:tmpl w:val="6A2F4AB3"/>
    <w:lvl w:ilvl="0" w:tentative="0">
      <w:start w:val="1"/>
      <w:numFmt w:val="chineseCountingThousand"/>
      <w:pStyle w:val="2"/>
      <w:suff w:val="nothing"/>
      <w:lvlText w:val="%1、"/>
      <w:lvlJc w:val="left"/>
      <w:pPr>
        <w:ind w:left="425" w:hanging="425"/>
      </w:pPr>
      <w:rPr>
        <w:rFonts w:hint="eastAsia"/>
        <w:sz w:val="32"/>
        <w:szCs w:val="32"/>
      </w:rPr>
    </w:lvl>
    <w:lvl w:ilvl="1" w:tentative="0">
      <w:start w:val="1"/>
      <w:numFmt w:val="decimal"/>
      <w:pStyle w:val="3"/>
      <w:isLgl/>
      <w:suff w:val="nothing"/>
      <w:lvlText w:val="%1.%2、"/>
      <w:lvlJc w:val="left"/>
      <w:pPr>
        <w:ind w:left="1135" w:hanging="567"/>
      </w:pPr>
    </w:lvl>
    <w:lvl w:ilvl="2" w:tentative="0">
      <w:start w:val="1"/>
      <w:numFmt w:val="decimal"/>
      <w:isLgl/>
      <w:suff w:val="nothing"/>
      <w:lvlText w:val="%1.%2.%3、"/>
      <w:lvlJc w:val="left"/>
      <w:pPr>
        <w:ind w:left="1069" w:hanging="1069"/>
      </w:pPr>
      <w:rPr>
        <w:rFonts w:hint="default" w:ascii="宋体" w:hAnsi="宋体" w:eastAsia="宋体" w:cs="Arial"/>
      </w:rPr>
    </w:lvl>
    <w:lvl w:ilvl="3" w:tentative="0">
      <w:start w:val="1"/>
      <w:numFmt w:val="decimal"/>
      <w:isLgl/>
      <w:suff w:val="nothing"/>
      <w:lvlText w:val="%1.%2.%3.%4、"/>
      <w:lvlJc w:val="left"/>
      <w:pPr>
        <w:ind w:left="3403" w:hanging="851"/>
      </w:pPr>
    </w:lvl>
    <w:lvl w:ilvl="4" w:tentative="0">
      <w:start w:val="1"/>
      <w:numFmt w:val="decimal"/>
      <w:isLgl/>
      <w:suff w:val="nothing"/>
      <w:lvlText w:val="%1.%2.%3.%4.%5、"/>
      <w:lvlJc w:val="left"/>
      <w:pPr>
        <w:ind w:left="3544" w:hanging="992"/>
      </w:pPr>
      <w:rPr>
        <w:rFonts w:hint="eastAsia"/>
      </w:rPr>
    </w:lvl>
    <w:lvl w:ilvl="5" w:tentative="0">
      <w:start w:val="1"/>
      <w:numFmt w:val="decimal"/>
      <w:isLgl/>
      <w:suff w:val="nothing"/>
      <w:lvlText w:val="%1.%2.%3.%4.%5.%6、"/>
      <w:lvlJc w:val="left"/>
      <w:pPr>
        <w:ind w:left="1134" w:hanging="1134"/>
      </w:pPr>
      <w:rPr>
        <w:rFonts w:hint="eastAsia"/>
      </w:rPr>
    </w:lvl>
    <w:lvl w:ilvl="6" w:tentative="0">
      <w:start w:val="1"/>
      <w:numFmt w:val="decimal"/>
      <w:isLgl/>
      <w:lvlText w:val="%1.%2.%3.%4.%5.%6.%7"/>
      <w:lvlJc w:val="left"/>
      <w:pPr>
        <w:tabs>
          <w:tab w:val="left" w:pos="1800"/>
        </w:tabs>
        <w:ind w:left="1276" w:hanging="1276"/>
      </w:pPr>
      <w:rPr>
        <w:rFonts w:hint="eastAsia"/>
      </w:rPr>
    </w:lvl>
    <w:lvl w:ilvl="7" w:tentative="0">
      <w:start w:val="1"/>
      <w:numFmt w:val="decimal"/>
      <w:isLgl/>
      <w:lvlText w:val="%1.%2.%3.%4.%5.%6.%7.%8"/>
      <w:lvlJc w:val="left"/>
      <w:pPr>
        <w:tabs>
          <w:tab w:val="left" w:pos="1800"/>
        </w:tabs>
        <w:ind w:left="1418" w:hanging="1418"/>
      </w:pPr>
      <w:rPr>
        <w:rFonts w:hint="eastAsia"/>
      </w:rPr>
    </w:lvl>
    <w:lvl w:ilvl="8" w:tentative="0">
      <w:start w:val="1"/>
      <w:numFmt w:val="decimal"/>
      <w:isLgl/>
      <w:lvlText w:val="%1.%2.%3.%4.%5.%6.%7.%8.%9"/>
      <w:lvlJc w:val="left"/>
      <w:pPr>
        <w:tabs>
          <w:tab w:val="left" w:pos="2160"/>
        </w:tabs>
        <w:ind w:left="1559" w:hanging="1559"/>
      </w:pPr>
      <w:rPr>
        <w:rFonts w:hint="eastAsia"/>
      </w:r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oNotDisplayPageBoundaries w:val="1"/>
  <w:embedSystemFonts/>
  <w:bordersDoNotSurroundHeader w:val="0"/>
  <w:bordersDoNotSurroundFooter w:val="0"/>
  <w:trackRevisions w:val="1"/>
  <w:documentProtection w:enforcement="0"/>
  <w:defaultTabStop w:val="420"/>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GNhYmEzMTNhMjdkYThkNDYyOTNhN2M4MTNhMDJiODcifQ=="/>
  </w:docVars>
  <w:rsids>
    <w:rsidRoot w:val="00000000"/>
    <w:rsid w:val="042304ED"/>
    <w:rsid w:val="0A14667A"/>
    <w:rsid w:val="0E36006C"/>
    <w:rsid w:val="173D7E96"/>
    <w:rsid w:val="176C0D57"/>
    <w:rsid w:val="1ADA05D5"/>
    <w:rsid w:val="1D6EE4D0"/>
    <w:rsid w:val="2A4E1C97"/>
    <w:rsid w:val="2EEB80DD"/>
    <w:rsid w:val="2F7D6357"/>
    <w:rsid w:val="35B2271F"/>
    <w:rsid w:val="37DD5D5B"/>
    <w:rsid w:val="3D0F69E6"/>
    <w:rsid w:val="3FED9729"/>
    <w:rsid w:val="424F7CB9"/>
    <w:rsid w:val="48C01D6F"/>
    <w:rsid w:val="507F2A1F"/>
    <w:rsid w:val="51566BAA"/>
    <w:rsid w:val="56F9A250"/>
    <w:rsid w:val="5B1A029B"/>
    <w:rsid w:val="623F15D3"/>
    <w:rsid w:val="643F3BE8"/>
    <w:rsid w:val="645D785C"/>
    <w:rsid w:val="6568667A"/>
    <w:rsid w:val="65DE9FF8"/>
    <w:rsid w:val="679CECB7"/>
    <w:rsid w:val="67EF7BBD"/>
    <w:rsid w:val="6ED529FF"/>
    <w:rsid w:val="6F5C3AB0"/>
    <w:rsid w:val="6FB3D635"/>
    <w:rsid w:val="72434C88"/>
    <w:rsid w:val="73DE6648"/>
    <w:rsid w:val="76C91B17"/>
    <w:rsid w:val="76FDF91A"/>
    <w:rsid w:val="773F94FD"/>
    <w:rsid w:val="7B5F7BDF"/>
    <w:rsid w:val="7D796220"/>
    <w:rsid w:val="7EDFF4DF"/>
    <w:rsid w:val="7FB7EB74"/>
    <w:rsid w:val="AFCD7C49"/>
    <w:rsid w:val="BF7F1638"/>
    <w:rsid w:val="D574EF80"/>
    <w:rsid w:val="D97FE20F"/>
    <w:rsid w:val="DF9DE5A9"/>
    <w:rsid w:val="E7E54CFA"/>
    <w:rsid w:val="EEB41B85"/>
    <w:rsid w:val="F7E71BFD"/>
    <w:rsid w:val="FBFFF0B4"/>
    <w:rsid w:val="FDFE5BE3"/>
    <w:rsid w:val="FED33408"/>
    <w:rsid w:val="FFF764F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99"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spacing w:line="360" w:lineRule="auto"/>
      <w:ind w:firstLine="480" w:firstLineChars="200"/>
      <w:jc w:val="both"/>
    </w:pPr>
    <w:rPr>
      <w:rFonts w:ascii="宋体" w:hAnsi="宋体" w:eastAsia="宋体" w:cs="Times New Roman"/>
      <w:kern w:val="2"/>
      <w:sz w:val="24"/>
      <w:szCs w:val="24"/>
      <w:lang w:val="en-US" w:eastAsia="zh-CN" w:bidi="ar-SA"/>
    </w:rPr>
  </w:style>
  <w:style w:type="paragraph" w:styleId="2">
    <w:name w:val="heading 1"/>
    <w:basedOn w:val="1"/>
    <w:next w:val="1"/>
    <w:qFormat/>
    <w:uiPriority w:val="0"/>
    <w:pPr>
      <w:keepNext/>
      <w:keepLines/>
      <w:numPr>
        <w:ilvl w:val="0"/>
        <w:numId w:val="1"/>
      </w:numPr>
      <w:spacing w:before="120" w:after="120"/>
      <w:ind w:firstLine="0" w:firstLineChars="0"/>
      <w:outlineLvl w:val="0"/>
    </w:pPr>
    <w:rPr>
      <w:rFonts w:eastAsia="黑体"/>
      <w:b/>
      <w:bCs/>
      <w:kern w:val="44"/>
      <w:sz w:val="32"/>
      <w:szCs w:val="28"/>
    </w:rPr>
  </w:style>
  <w:style w:type="paragraph" w:styleId="3">
    <w:name w:val="heading 2"/>
    <w:basedOn w:val="1"/>
    <w:next w:val="1"/>
    <w:qFormat/>
    <w:uiPriority w:val="9"/>
    <w:pPr>
      <w:keepNext/>
      <w:keepLines/>
      <w:numPr>
        <w:ilvl w:val="1"/>
        <w:numId w:val="1"/>
      </w:numPr>
      <w:spacing w:before="120" w:after="120"/>
      <w:ind w:firstLine="0" w:firstLineChars="0"/>
      <w:outlineLvl w:val="1"/>
    </w:pPr>
    <w:rPr>
      <w:b/>
      <w:bCs/>
      <w:sz w:val="30"/>
      <w:szCs w:val="32"/>
    </w:rPr>
  </w:style>
  <w:style w:type="character" w:default="1" w:styleId="6">
    <w:name w:val="Default Paragraph Font"/>
    <w:semiHidden/>
    <w:qFormat/>
    <w:uiPriority w:val="0"/>
  </w:style>
  <w:style w:type="table" w:default="1" w:styleId="5">
    <w:name w:val="Normal Table"/>
    <w:semiHidden/>
    <w:qFormat/>
    <w:uiPriority w:val="0"/>
    <w:tblPr>
      <w:tblCellMar>
        <w:top w:w="0" w:type="dxa"/>
        <w:left w:w="108" w:type="dxa"/>
        <w:bottom w:w="0" w:type="dxa"/>
        <w:right w:w="108" w:type="dxa"/>
      </w:tblCellMar>
    </w:tblPr>
  </w:style>
  <w:style w:type="paragraph" w:styleId="4">
    <w:name w:val="header"/>
    <w:basedOn w:val="1"/>
    <w:qFormat/>
    <w:uiPriority w:val="99"/>
    <w:pPr>
      <w:pBdr>
        <w:bottom w:val="single" w:color="auto" w:sz="4" w:space="0"/>
      </w:pBdr>
      <w:tabs>
        <w:tab w:val="center" w:pos="4153"/>
        <w:tab w:val="right" w:pos="8306"/>
      </w:tabs>
      <w:snapToGrid w:val="0"/>
      <w:jc w:val="center"/>
    </w:pPr>
    <w:rPr>
      <w:rFonts w:ascii="Times New Roman" w:hAnsi="Times New Roman"/>
      <w:sz w:val="18"/>
      <w:szCs w:val="18"/>
    </w:rPr>
  </w:style>
  <w:style w:type="paragraph" w:customStyle="1" w:styleId="7">
    <w:name w:val="正文缩进1"/>
    <w:basedOn w:val="1"/>
    <w:autoRedefine/>
    <w:qFormat/>
    <w:uiPriority w:val="0"/>
    <w:pPr>
      <w:spacing w:line="240" w:lineRule="auto"/>
      <w:ind w:firstLine="420"/>
    </w:pPr>
    <w:rPr>
      <w:rFonts w:ascii="Times New Roman" w:hAnsi="Times New Roman"/>
      <w:sz w:val="21"/>
      <w:szCs w:val="20"/>
    </w:rPr>
  </w:style>
  <w:style w:type="paragraph" w:customStyle="1" w:styleId="8">
    <w:name w:val="正文正文2"/>
    <w:basedOn w:val="1"/>
    <w:autoRedefine/>
    <w:qFormat/>
    <w:uiPriority w:val="0"/>
    <w:pPr>
      <w:ind w:firstLine="460"/>
    </w:pPr>
    <w:rPr>
      <w:sz w:val="21"/>
      <w:szCs w:val="21"/>
    </w:rPr>
  </w:style>
  <w:style w:type="paragraph" w:customStyle="1" w:styleId="9">
    <w:name w:val="可研正文"/>
    <w:basedOn w:val="1"/>
    <w:qFormat/>
    <w:uiPriority w:val="0"/>
    <w:pPr>
      <w:ind w:firstLine="200" w:firstLineChars="200"/>
    </w:pPr>
    <w:rPr>
      <w:rFonts w:ascii="仿宋" w:hAnsi="仿宋" w:eastAsia="仿宋"/>
      <w:sz w:val="28"/>
      <w:szCs w:val="28"/>
    </w:rPr>
  </w:style>
</w:styles>
</file>

<file path=word/_rels/document.xml.rels><?xml version="1.0" encoding="UTF-8" standalone="yes"?>
<Relationships xmlns="http://schemas.openxmlformats.org/package/2006/relationships"><Relationship Id="rId9" Type="http://schemas.openxmlformats.org/officeDocument/2006/relationships/oleObject" Target="embeddings/oleObject2.bin"/><Relationship Id="rId8" Type="http://schemas.openxmlformats.org/officeDocument/2006/relationships/image" Target="media/image1.emf"/><Relationship Id="rId7" Type="http://schemas.openxmlformats.org/officeDocument/2006/relationships/oleObject" Target="embeddings/oleObject1.bin"/><Relationship Id="rId6" Type="http://schemas.openxmlformats.org/officeDocument/2006/relationships/theme" Target="theme/theme1.xml"/><Relationship Id="rId5" Type="http://schemas.openxmlformats.org/officeDocument/2006/relationships/footer" Target="footer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8" Type="http://schemas.openxmlformats.org/officeDocument/2006/relationships/fontTable" Target="fontTable.xml"/><Relationship Id="rId17" Type="http://schemas.openxmlformats.org/officeDocument/2006/relationships/numbering" Target="numbering.xml"/><Relationship Id="rId16" Type="http://schemas.openxmlformats.org/officeDocument/2006/relationships/image" Target="media/image5.png"/><Relationship Id="rId15" Type="http://schemas.openxmlformats.org/officeDocument/2006/relationships/oleObject" Target="embeddings/oleObject5.bin"/><Relationship Id="rId14" Type="http://schemas.openxmlformats.org/officeDocument/2006/relationships/image" Target="media/image4.png"/><Relationship Id="rId13" Type="http://schemas.openxmlformats.org/officeDocument/2006/relationships/oleObject" Target="embeddings/oleObject4.bin"/><Relationship Id="rId12" Type="http://schemas.openxmlformats.org/officeDocument/2006/relationships/image" Target="media/image3.emf"/><Relationship Id="rId11" Type="http://schemas.openxmlformats.org/officeDocument/2006/relationships/oleObject" Target="embeddings/oleObject3.bin"/><Relationship Id="rId10" Type="http://schemas.openxmlformats.org/officeDocument/2006/relationships/image" Target="media/image2.emf"/><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30</Pages>
  <Words>5808</Words>
  <Characters>7134</Characters>
  <Lines>0</Lines>
  <Paragraphs>0</Paragraphs>
  <TotalTime>79</TotalTime>
  <ScaleCrop>false</ScaleCrop>
  <LinksUpToDate>false</LinksUpToDate>
  <CharactersWithSpaces>7388</CharactersWithSpaces>
  <Application>WPS Office_12.8.2.18605_F1E327BC-269C-435d-A152-05C5408002CA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2024-05-15T23:04:00Z</dcterms:created>
  <dc:creator>user</dc:creator>
  <cp:lastModifiedBy>user</cp:lastModifiedBy>
  <dcterms:modified xsi:type="dcterms:W3CDTF">2025-04-22T08:56:06Z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2052-12.8.2.18605</vt:lpwstr>
  </property>
  <property fmtid="{D5CDD505-2E9C-101B-9397-08002B2CF9AE}" pid="3" name="ICV">
    <vt:lpwstr>ABBABEC7845FB83FF0E606684C689317_43</vt:lpwstr>
  </property>
  <property fmtid="{D5CDD505-2E9C-101B-9397-08002B2CF9AE}" pid="4" name="KSOTemplateDocerSaveRecord">
    <vt:lpwstr>eyJoZGlkIjoiZjdjNTlkYTZmOTgxNTE1YmFlNTMwM2E2ZjQ3MjI4ODcifQ==</vt:lpwstr>
  </property>
</Properties>
</file>