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8F35C">
      <w:pPr>
        <w:tabs>
          <w:tab w:val="left" w:pos="7513"/>
        </w:tabs>
        <w:spacing w:line="600" w:lineRule="exact"/>
        <w:ind w:firstLine="0" w:firstLineChars="0"/>
        <w:jc w:val="center"/>
        <w:rPr>
          <w:rFonts w:hint="eastAsia" w:ascii="华文中宋" w:hAnsi="仿宋" w:eastAsia="华文中宋" w:cs="仿宋"/>
          <w:b/>
          <w:sz w:val="36"/>
          <w:szCs w:val="32"/>
          <w:highlight w:val="none"/>
          <w:lang w:val="en-US" w:eastAsia="zh-CN"/>
        </w:rPr>
      </w:pPr>
      <w:r>
        <w:rPr>
          <w:rFonts w:hint="eastAsia" w:ascii="华文中宋" w:hAnsi="仿宋" w:eastAsia="华文中宋" w:cs="仿宋"/>
          <w:b/>
          <w:sz w:val="36"/>
          <w:szCs w:val="32"/>
          <w:highlight w:val="none"/>
          <w:lang w:val="en-US" w:eastAsia="zh-CN"/>
        </w:rPr>
        <w:t>上海法院电子卷宗质量管理子系统</w:t>
      </w:r>
    </w:p>
    <w:p w14:paraId="10F6EDAD">
      <w:pPr>
        <w:tabs>
          <w:tab w:val="left" w:pos="7513"/>
        </w:tabs>
        <w:spacing w:line="600" w:lineRule="exact"/>
        <w:ind w:firstLine="0" w:firstLineChars="0"/>
        <w:jc w:val="center"/>
        <w:rPr>
          <w:rFonts w:hint="eastAsia" w:ascii="华文中宋" w:hAnsi="仿宋" w:eastAsia="华文中宋" w:cs="仿宋"/>
          <w:b/>
          <w:sz w:val="36"/>
          <w:szCs w:val="32"/>
          <w:highlight w:val="none"/>
        </w:rPr>
      </w:pPr>
      <w:r>
        <w:rPr>
          <w:rFonts w:hint="eastAsia" w:ascii="华文中宋" w:hAnsi="仿宋" w:eastAsia="华文中宋" w:cs="仿宋"/>
          <w:b/>
          <w:sz w:val="36"/>
          <w:szCs w:val="32"/>
          <w:highlight w:val="none"/>
          <w:lang w:val="en-US" w:eastAsia="zh-CN"/>
        </w:rPr>
        <w:t>建设项目</w:t>
      </w:r>
      <w:r>
        <w:rPr>
          <w:rFonts w:hint="eastAsia" w:ascii="华文中宋" w:hAnsi="仿宋" w:eastAsia="华文中宋" w:cs="仿宋"/>
          <w:b/>
          <w:sz w:val="36"/>
          <w:szCs w:val="32"/>
          <w:highlight w:val="none"/>
        </w:rPr>
        <w:t>采购需求</w:t>
      </w:r>
    </w:p>
    <w:p w14:paraId="4A0C20CE">
      <w:pPr>
        <w:tabs>
          <w:tab w:val="left" w:pos="7513"/>
        </w:tabs>
        <w:spacing w:line="600" w:lineRule="exact"/>
        <w:ind w:firstLine="0" w:firstLineChars="0"/>
        <w:jc w:val="center"/>
        <w:rPr>
          <w:rFonts w:hint="eastAsia" w:ascii="华文中宋" w:hAnsi="仿宋" w:eastAsia="华文中宋" w:cs="仿宋"/>
          <w:b/>
          <w:sz w:val="36"/>
          <w:szCs w:val="32"/>
          <w:highlight w:val="none"/>
        </w:rPr>
      </w:pPr>
    </w:p>
    <w:p w14:paraId="154C2DBF">
      <w:pPr>
        <w:tabs>
          <w:tab w:val="left" w:pos="7513"/>
        </w:tabs>
        <w:ind w:firstLine="643" w:firstLineChars="200"/>
        <w:jc w:val="left"/>
        <w:outlineLvl w:val="0"/>
        <w:rPr>
          <w:rFonts w:hint="eastAsia" w:ascii="黑体" w:hAnsi="黑体" w:eastAsia="黑体" w:cs="黑体"/>
          <w:b/>
          <w:bCs/>
          <w:szCs w:val="32"/>
          <w:highlight w:val="none"/>
        </w:rPr>
      </w:pPr>
      <w:r>
        <w:rPr>
          <w:rFonts w:hint="eastAsia" w:ascii="黑体" w:hAnsi="黑体" w:eastAsia="黑体" w:cs="黑体"/>
          <w:b/>
          <w:bCs/>
          <w:szCs w:val="32"/>
          <w:highlight w:val="none"/>
        </w:rPr>
        <w:t>一、项目概述</w:t>
      </w:r>
    </w:p>
    <w:p w14:paraId="1B9D7B21">
      <w:pPr>
        <w:ind w:firstLine="643"/>
        <w:jc w:val="left"/>
        <w:outlineLvl w:val="1"/>
        <w:rPr>
          <w:rFonts w:hint="eastAsia" w:ascii="楷体" w:hAnsi="楷体" w:eastAsia="楷体" w:cs="楷体"/>
          <w:b/>
          <w:bCs/>
          <w:szCs w:val="32"/>
          <w:highlight w:val="none"/>
          <w:lang w:val="en-US" w:eastAsia="zh-CN"/>
        </w:rPr>
      </w:pPr>
      <w:r>
        <w:rPr>
          <w:rFonts w:hint="eastAsia" w:ascii="楷体" w:hAnsi="楷体" w:eastAsia="楷体" w:cs="楷体"/>
          <w:b/>
          <w:bCs/>
          <w:szCs w:val="32"/>
          <w:highlight w:val="none"/>
          <w:lang w:val="en-US" w:eastAsia="zh-CN"/>
        </w:rPr>
        <w:t>1、项目建设背景</w:t>
      </w:r>
    </w:p>
    <w:p w14:paraId="09A4E52F">
      <w:pPr>
        <w:tabs>
          <w:tab w:val="left" w:pos="7513"/>
        </w:tabs>
        <w:ind w:firstLine="640"/>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《中华人民共和国国民经济和社会发展第十四个五年规划和2035年远景目标纲要》中第五篇提及“加快数字化发展 建设数字中国”，提出迎接数字时代，激活数据要素潜能，推进网络强国建设，加快建设数字经济、数字社会、数字政府，以数字化转型整体驱动生产方式、生活方式和治理方式变革。迎接数字时代，激活数据要素潜能，推进网络强国建设，加快建设数字经济、数字社会、数字政府，以数字化转型整体驱动生产方式、生活方式和治理方式变革，打造数字经济新优势。</w:t>
      </w:r>
    </w:p>
    <w:p w14:paraId="3261E9C9">
      <w:pPr>
        <w:tabs>
          <w:tab w:val="left" w:pos="7513"/>
        </w:tabs>
        <w:ind w:firstLine="640"/>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随着信息化技术的不断发展，各行各业数字化进程均加速推进。法院卷宗数字化相关工作正面临着信息爆炸和技术变革带来的巨大压力，如何变被动为主动，适应</w:t>
      </w:r>
      <w:r>
        <w:rPr>
          <w:rFonts w:hint="eastAsia"/>
          <w:color w:val="000000" w:themeColor="text1"/>
          <w:highlight w:val="none"/>
          <w:lang w:val="en-US" w:eastAsia="zh-CN"/>
          <w14:textFill>
            <w14:solidFill>
              <w14:schemeClr w14:val="tx1"/>
            </w14:solidFill>
          </w14:textFill>
        </w:rPr>
        <w:t>数字化</w:t>
      </w:r>
      <w:r>
        <w:rPr>
          <w:rFonts w:hint="eastAsia"/>
          <w:color w:val="000000" w:themeColor="text1"/>
          <w:highlight w:val="none"/>
          <w14:textFill>
            <w14:solidFill>
              <w14:schemeClr w14:val="tx1"/>
            </w14:solidFill>
          </w14:textFill>
        </w:rPr>
        <w:t>发展的潮流已经成为档案部门不得不考虑的问题。</w:t>
      </w:r>
    </w:p>
    <w:p w14:paraId="43E95648">
      <w:pPr>
        <w:tabs>
          <w:tab w:val="left" w:pos="7513"/>
        </w:tabs>
        <w:ind w:firstLine="640"/>
        <w:jc w:val="left"/>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上海法院已经完成全流程网上办案子系统建设，依托诉讼材料收转、材料集中管理库、电子卷宗随案生成、案件流程管理等平台，实现案件立案、审理、裁判到结案归档等各环节业务网上办理。办案人员在网上签收、网上阅览、网上审批、网上签发、网上处理，不再流转直至归档，办案全过程网上留痕。法院工作人员也已经越来越深刻地认识到，利用新的理念、新的技术、新的方法来管理好卷宗、利用好卷宗的重要性，努力通过数字卷宗信息化融入整个社会信息化的进程，逐步改变传统的数字卷宗使用、管理模式并向卷宗的全电子化、高质量化、多用户、可监管、综合数字智能化的现代使用模式发展，通过</w:t>
      </w:r>
      <w:r>
        <w:rPr>
          <w:rFonts w:hint="eastAsia"/>
          <w:color w:val="000000" w:themeColor="text1"/>
          <w:highlight w:val="none"/>
          <w:lang w:val="en-US" w:eastAsia="zh-CN"/>
          <w14:textFill>
            <w14:solidFill>
              <w14:schemeClr w14:val="tx1"/>
            </w14:solidFill>
          </w14:textFill>
        </w:rPr>
        <w:t>前沿</w:t>
      </w:r>
      <w:r>
        <w:rPr>
          <w:rFonts w:hint="eastAsia"/>
          <w:color w:val="000000" w:themeColor="text1"/>
          <w:highlight w:val="none"/>
          <w14:textFill>
            <w14:solidFill>
              <w14:schemeClr w14:val="tx1"/>
            </w14:solidFill>
          </w14:textFill>
        </w:rPr>
        <w:t>技术手段使数字卷宗的价值和使用价值得到最充分的体现，不断适应和引领</w:t>
      </w:r>
      <w:r>
        <w:rPr>
          <w:rFonts w:hint="eastAsia"/>
          <w:color w:val="000000" w:themeColor="text1"/>
          <w:highlight w:val="none"/>
          <w:lang w:val="en-US" w:eastAsia="zh-CN"/>
          <w14:textFill>
            <w14:solidFill>
              <w14:schemeClr w14:val="tx1"/>
            </w14:solidFill>
          </w14:textFill>
        </w:rPr>
        <w:t>数字化</w:t>
      </w:r>
      <w:r>
        <w:rPr>
          <w:rFonts w:hint="eastAsia"/>
          <w:color w:val="000000" w:themeColor="text1"/>
          <w:highlight w:val="none"/>
          <w14:textFill>
            <w14:solidFill>
              <w14:schemeClr w14:val="tx1"/>
            </w14:solidFill>
          </w14:textFill>
        </w:rPr>
        <w:t>时代的浪潮，积极开展数助决策，强化卷宗档案数据利用效率。</w:t>
      </w:r>
    </w:p>
    <w:p w14:paraId="5DBBE245">
      <w:pPr>
        <w:tabs>
          <w:tab w:val="left" w:pos="7513"/>
        </w:tabs>
        <w:ind w:firstLine="640"/>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上海</w:t>
      </w:r>
      <w:r>
        <w:rPr>
          <w:rFonts w:hint="eastAsia"/>
          <w:color w:val="000000" w:themeColor="text1"/>
          <w:highlight w:val="none"/>
          <w:lang w:val="en-US" w:eastAsia="zh-CN"/>
          <w14:textFill>
            <w14:solidFill>
              <w14:schemeClr w14:val="tx1"/>
            </w14:solidFill>
          </w14:textFill>
        </w:rPr>
        <w:t>高级人民</w:t>
      </w:r>
      <w:r>
        <w:rPr>
          <w:rFonts w:hint="eastAsia"/>
          <w:color w:val="000000" w:themeColor="text1"/>
          <w:highlight w:val="none"/>
          <w14:textFill>
            <w14:solidFill>
              <w14:schemeClr w14:val="tx1"/>
            </w14:solidFill>
          </w14:textFill>
        </w:rPr>
        <w:t>法院以创建“国家级示范数字档案室”试点任务为目标，推进电子卷宗质量全流程智能监控和电子卷宗全生命周期安全管理，支持电子卷宗材料质量的智能识别修正，从源头保证电子卷宗材料完整合规、存储安全可靠，实现全市法院电子卷宗质检中心转型升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推动从电子卷宗全生命周期质量管理拓展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将现代技术与电子卷宗质量检测深度融合，在全流程网上办案、卷宗单套制应用基础上，利用数字化、模型化、人工智能等技术，推动以卷宗质量检测为核心的数智化应用，为审判工作质效提升提供数字化保障。</w:t>
      </w:r>
    </w:p>
    <w:p w14:paraId="1478281D">
      <w:pPr>
        <w:tabs>
          <w:tab w:val="left" w:pos="7513"/>
        </w:tabs>
        <w:ind w:firstLine="643" w:firstLineChars="200"/>
        <w:jc w:val="left"/>
        <w:outlineLvl w:val="0"/>
        <w:rPr>
          <w:rFonts w:ascii="仿宋" w:hAnsi="仿宋" w:cs="仿宋"/>
          <w:b/>
          <w:bCs/>
          <w:szCs w:val="32"/>
          <w:highlight w:val="none"/>
        </w:rPr>
      </w:pPr>
      <w:r>
        <w:rPr>
          <w:rFonts w:hint="eastAsia" w:ascii="楷体" w:hAnsi="楷体" w:eastAsia="楷体" w:cs="楷体"/>
          <w:b/>
          <w:bCs/>
          <w:szCs w:val="32"/>
          <w:highlight w:val="none"/>
          <w:lang w:val="en-US" w:eastAsia="zh-CN"/>
        </w:rPr>
        <w:t>2、项目建设范围</w:t>
      </w:r>
    </w:p>
    <w:p w14:paraId="7E985A06">
      <w:pPr>
        <w:tabs>
          <w:tab w:val="left" w:pos="7513"/>
        </w:tabs>
        <w:ind w:firstLine="640"/>
        <w:jc w:val="left"/>
        <w:rPr>
          <w:rFonts w:ascii="仿宋_GB2312" w:hAnsi="Calibri" w:eastAsia="仿宋_GB2312" w:cs="Times New Roman"/>
          <w:szCs w:val="32"/>
          <w:highlight w:val="none"/>
        </w:rPr>
      </w:pPr>
      <w:r>
        <w:rPr>
          <w:rFonts w:hint="eastAsia" w:ascii="仿宋_GB2312" w:hAnsi="Calibri" w:eastAsia="仿宋_GB2312" w:cs="Times New Roman"/>
          <w:szCs w:val="32"/>
          <w:highlight w:val="none"/>
        </w:rPr>
        <w:t>本项目最终执行地包括如下地点：上海市高级人民法院、上海各中级人民法院、基层人民法院。</w:t>
      </w:r>
    </w:p>
    <w:p w14:paraId="76F1D350">
      <w:pPr>
        <w:tabs>
          <w:tab w:val="left" w:pos="7513"/>
        </w:tabs>
        <w:ind w:left="0" w:leftChars="0" w:firstLine="643" w:firstLineChars="200"/>
        <w:jc w:val="left"/>
        <w:outlineLvl w:val="0"/>
        <w:rPr>
          <w:rFonts w:hint="default" w:ascii="仿宋" w:hAnsi="仿宋" w:cs="仿宋"/>
          <w:b/>
          <w:bCs/>
          <w:szCs w:val="32"/>
          <w:highlight w:val="none"/>
          <w:lang w:val="en-US" w:eastAsia="zh-CN"/>
        </w:rPr>
      </w:pPr>
      <w:r>
        <w:rPr>
          <w:rFonts w:hint="eastAsia" w:ascii="楷体" w:hAnsi="楷体" w:eastAsia="楷体" w:cs="楷体"/>
          <w:b/>
          <w:bCs/>
          <w:szCs w:val="32"/>
          <w:highlight w:val="none"/>
          <w:lang w:val="en-US" w:eastAsia="zh-CN"/>
        </w:rPr>
        <w:t>3、项目主要建设内容</w:t>
      </w:r>
    </w:p>
    <w:p w14:paraId="4C79793C">
      <w:pPr>
        <w:shd w:val="clear"/>
        <w:tabs>
          <w:tab w:val="left" w:pos="7513"/>
        </w:tabs>
        <w:ind w:firstLine="640" w:firstLineChars="200"/>
        <w:jc w:val="left"/>
        <w:outlineLvl w:val="0"/>
        <w:rPr>
          <w:rFonts w:hint="eastAsia" w:ascii="仿宋" w:hAnsi="仿宋" w:cs="仿宋"/>
          <w:b w:val="0"/>
          <w:bCs w:val="0"/>
          <w:szCs w:val="32"/>
          <w:highlight w:val="none"/>
          <w:lang w:val="en-US" w:eastAsia="zh-CN"/>
        </w:rPr>
      </w:pPr>
      <w:r>
        <w:rPr>
          <w:rFonts w:hint="eastAsia" w:ascii="仿宋" w:hAnsi="仿宋" w:cs="仿宋"/>
          <w:b w:val="0"/>
          <w:bCs w:val="0"/>
          <w:szCs w:val="32"/>
          <w:highlight w:val="none"/>
          <w:lang w:val="en-US" w:eastAsia="zh-CN"/>
        </w:rPr>
        <w:t>该项目依托上海法院现有人工智能辅助能力，利用多模态深度机器学习，构建电子卷宗质量检测模型中心，对电子卷宗合规性、完整性、可用性、及时性、卷宗编目归目质量等立体化质量检验，为法院在立案材料审查阶段、审理材料同步生成阶段、电子卷宗预归档整理/审核阶段、电子卷宗深度利用等环节进行质量管理，并通过卷宗质量管理态势中心展示电子卷宗数字化成果，形成质量评查报告，辅助法院全面了解电子卷宗质量及应用概况，及时发现案件卷宗质量问题，保证电子卷宗随案生成的质量和时效，为电子卷宗归档规范化管理提供保障，为全市法院电子卷宗随案生成和深度应用提供质量保证，切实减轻法官手动检查卷宗的工作负担，节约司法资源，提升审判质效。</w:t>
      </w:r>
    </w:p>
    <w:p w14:paraId="6B77F77C">
      <w:pPr>
        <w:shd w:val="clear"/>
        <w:tabs>
          <w:tab w:val="left" w:pos="7513"/>
        </w:tabs>
        <w:ind w:firstLine="643" w:firstLineChars="200"/>
        <w:jc w:val="left"/>
        <w:outlineLvl w:val="0"/>
        <w:rPr>
          <w:rFonts w:hint="default" w:ascii="仿宋" w:hAnsi="仿宋" w:cs="仿宋"/>
          <w:b/>
          <w:bCs/>
          <w:szCs w:val="32"/>
          <w:highlight w:val="none"/>
          <w:lang w:val="en-US" w:eastAsia="zh-CN"/>
        </w:rPr>
      </w:pPr>
      <w:r>
        <w:rPr>
          <w:rFonts w:hint="eastAsia" w:ascii="仿宋" w:hAnsi="仿宋" w:cs="仿宋"/>
          <w:b/>
          <w:bCs/>
          <w:szCs w:val="32"/>
          <w:highlight w:val="none"/>
          <w:lang w:val="en-US" w:eastAsia="zh-CN"/>
        </w:rPr>
        <w:t>主要建设内容包含：</w:t>
      </w:r>
    </w:p>
    <w:p w14:paraId="3C9C6326">
      <w:pPr>
        <w:shd w:val="clear"/>
        <w:tabs>
          <w:tab w:val="left" w:pos="7513"/>
        </w:tabs>
        <w:ind w:firstLine="643" w:firstLineChars="200"/>
        <w:jc w:val="left"/>
        <w:outlineLvl w:val="0"/>
        <w:rPr>
          <w:rFonts w:hint="default" w:ascii="仿宋" w:hAnsi="仿宋" w:cs="仿宋"/>
          <w:b/>
          <w:bCs/>
          <w:szCs w:val="32"/>
          <w:highlight w:val="none"/>
          <w:lang w:val="en-US" w:eastAsia="zh-CN"/>
        </w:rPr>
      </w:pPr>
      <w:r>
        <w:rPr>
          <w:rFonts w:hint="eastAsia" w:ascii="仿宋" w:hAnsi="仿宋" w:cs="仿宋"/>
          <w:b/>
          <w:bCs/>
          <w:szCs w:val="32"/>
          <w:highlight w:val="none"/>
          <w:lang w:val="en-US" w:eastAsia="zh-CN"/>
        </w:rPr>
        <w:t>一是建设电子卷宗质量管理应用场景</w:t>
      </w:r>
    </w:p>
    <w:p w14:paraId="3CEF53B8">
      <w:pPr>
        <w:tabs>
          <w:tab w:val="left" w:pos="7513"/>
        </w:tabs>
        <w:ind w:firstLine="640"/>
        <w:jc w:val="left"/>
        <w:rPr>
          <w:rFonts w:hint="eastAsia" w:ascii="仿宋_GB2312" w:hAnsi="Calibri" w:eastAsia="仿宋_GB2312" w:cs="Times New Roman"/>
          <w:szCs w:val="32"/>
          <w:highlight w:val="none"/>
          <w:lang w:val="en-US" w:eastAsia="zh-CN"/>
        </w:rPr>
      </w:pPr>
      <w:r>
        <w:rPr>
          <w:rFonts w:hint="eastAsia" w:ascii="仿宋_GB2312" w:hAnsi="Calibri" w:eastAsia="仿宋_GB2312" w:cs="Times New Roman"/>
          <w:szCs w:val="32"/>
          <w:highlight w:val="none"/>
          <w:lang w:val="en-US" w:eastAsia="zh-CN"/>
        </w:rPr>
        <w:t>在立案材料审查环节，设置卷宗质量检查点，对当事人递交的电子诉讼材料进行质量检验，包括：当事人递交材料审查、立案信息法律审查、卷宗编目审查、立案期限审查、公告期限审查。</w:t>
      </w:r>
    </w:p>
    <w:p w14:paraId="6E257169">
      <w:pPr>
        <w:tabs>
          <w:tab w:val="left" w:pos="7513"/>
        </w:tabs>
        <w:ind w:firstLine="640"/>
        <w:jc w:val="left"/>
        <w:rPr>
          <w:rFonts w:hint="eastAsia" w:ascii="仿宋_GB2312" w:hAnsi="Calibri" w:eastAsia="仿宋_GB2312" w:cs="Times New Roman"/>
          <w:szCs w:val="32"/>
          <w:highlight w:val="none"/>
          <w:lang w:val="en-US" w:eastAsia="zh-CN"/>
        </w:rPr>
      </w:pPr>
      <w:r>
        <w:rPr>
          <w:rFonts w:hint="eastAsia" w:ascii="仿宋_GB2312" w:hAnsi="Calibri" w:eastAsia="仿宋_GB2312" w:cs="Times New Roman"/>
          <w:szCs w:val="32"/>
          <w:highlight w:val="none"/>
          <w:lang w:val="en-US" w:eastAsia="zh-CN"/>
        </w:rPr>
        <w:t>在案件审理材料同步生成阶段，设置卷宗质量检查点，对案件审理过程中随案生成的电子卷宗挂接材料进行质量检验，针对存在质量问题的电子诉讼材料智能提示当事人和法官进行修订。包括：当事人补充提交材料审查、法官调查材料审查、执行查控材料审查、庭审材料审查、评议材料审查、法律文书审查、审理期限审查、执行期限审查。</w:t>
      </w:r>
    </w:p>
    <w:p w14:paraId="34845EB2">
      <w:pPr>
        <w:tabs>
          <w:tab w:val="left" w:pos="7513"/>
        </w:tabs>
        <w:ind w:firstLine="640"/>
        <w:jc w:val="left"/>
        <w:rPr>
          <w:rFonts w:hint="eastAsia" w:ascii="仿宋_GB2312" w:hAnsi="Calibri" w:eastAsia="仿宋_GB2312" w:cs="Times New Roman"/>
          <w:szCs w:val="32"/>
          <w:highlight w:val="none"/>
          <w:lang w:val="en-US" w:eastAsia="zh-CN"/>
        </w:rPr>
      </w:pPr>
      <w:r>
        <w:rPr>
          <w:rFonts w:hint="eastAsia" w:ascii="仿宋_GB2312" w:hAnsi="Calibri" w:eastAsia="仿宋_GB2312" w:cs="Times New Roman"/>
          <w:szCs w:val="32"/>
          <w:highlight w:val="none"/>
          <w:lang w:val="en-US" w:eastAsia="zh-CN"/>
        </w:rPr>
        <w:t>在电子卷宗预归档整理阶段，设置卷宗质量检查点，通过调用质量校验模型，实现对“目录卷”电子卷宗进行预归档审核、随案音像材料质量自动检查、“归档卷”电子卷宗质量检查。</w:t>
      </w:r>
    </w:p>
    <w:p w14:paraId="6652D45E">
      <w:pPr>
        <w:tabs>
          <w:tab w:val="left" w:pos="7513"/>
        </w:tabs>
        <w:ind w:firstLine="640"/>
        <w:jc w:val="left"/>
        <w:rPr>
          <w:rFonts w:hint="eastAsia" w:ascii="仿宋_GB2312" w:hAnsi="Calibri" w:eastAsia="仿宋_GB2312" w:cs="Times New Roman"/>
          <w:szCs w:val="32"/>
          <w:highlight w:val="none"/>
          <w:lang w:val="en-US" w:eastAsia="zh-CN"/>
        </w:rPr>
      </w:pPr>
      <w:r>
        <w:rPr>
          <w:rFonts w:hint="eastAsia" w:ascii="仿宋_GB2312" w:hAnsi="Calibri" w:eastAsia="仿宋_GB2312" w:cs="Times New Roman"/>
          <w:szCs w:val="32"/>
          <w:highlight w:val="none"/>
          <w:lang w:val="en-US" w:eastAsia="zh-CN"/>
        </w:rPr>
        <w:t>在电子卷宗预归档审核阶段，设置卷宗质量检查点，支持通过调用质量校验模型，对案件电子卷宗进行双向巡检，根据验卷结果自动回填质量评查结果，包括：电子诉讼档案预归档、电子诉讼档案质量初检、电子诉讼档案复查。</w:t>
      </w:r>
    </w:p>
    <w:p w14:paraId="1CFD7658">
      <w:pPr>
        <w:tabs>
          <w:tab w:val="left" w:pos="7513"/>
        </w:tabs>
        <w:ind w:firstLine="640"/>
        <w:jc w:val="left"/>
        <w:rPr>
          <w:rFonts w:hint="default" w:ascii="仿宋_GB2312" w:hAnsi="Calibri" w:eastAsia="仿宋_GB2312" w:cs="Times New Roman"/>
          <w:szCs w:val="32"/>
          <w:highlight w:val="none"/>
          <w:lang w:val="en-US" w:eastAsia="zh-CN"/>
        </w:rPr>
      </w:pPr>
      <w:r>
        <w:rPr>
          <w:rFonts w:hint="eastAsia" w:ascii="仿宋_GB2312" w:hAnsi="Calibri" w:eastAsia="仿宋_GB2312" w:cs="Times New Roman"/>
          <w:szCs w:val="32"/>
          <w:highlight w:val="none"/>
          <w:lang w:val="en-US" w:eastAsia="zh-CN"/>
        </w:rPr>
        <w:t>由于法院电子卷宗的专业性和案卷材料尤其是证据材料的原始记录属性和唯一性，加上利用率的不断提升，通过构建卷宗数字助理、新建卷宗质量评查、升级档案智能检索、升级档案借阅预览、升级档案编研应用，提升电子卷宗服务审判工作的能力。</w:t>
      </w:r>
    </w:p>
    <w:p w14:paraId="4C7F8B6B">
      <w:pPr>
        <w:shd w:val="clear"/>
        <w:tabs>
          <w:tab w:val="left" w:pos="7513"/>
        </w:tabs>
        <w:ind w:firstLine="643" w:firstLineChars="200"/>
        <w:jc w:val="left"/>
        <w:outlineLvl w:val="0"/>
        <w:rPr>
          <w:rFonts w:hint="default" w:ascii="仿宋" w:hAnsi="仿宋" w:cs="仿宋"/>
          <w:b/>
          <w:bCs/>
          <w:szCs w:val="32"/>
          <w:highlight w:val="none"/>
          <w:lang w:val="en-US" w:eastAsia="zh-CN"/>
        </w:rPr>
      </w:pPr>
      <w:r>
        <w:rPr>
          <w:rFonts w:hint="eastAsia" w:ascii="仿宋" w:hAnsi="仿宋" w:cs="仿宋"/>
          <w:b/>
          <w:bCs/>
          <w:szCs w:val="32"/>
          <w:highlight w:val="none"/>
          <w:lang w:val="en-US" w:eastAsia="zh-CN"/>
        </w:rPr>
        <w:t>二是建设卷宗质量校验模型中心</w:t>
      </w:r>
    </w:p>
    <w:p w14:paraId="5297A660">
      <w:pPr>
        <w:spacing w:line="360" w:lineRule="auto"/>
        <w:ind w:firstLine="560" w:firstLineChars="200"/>
        <w:rPr>
          <w:rFonts w:hint="default" w:ascii="Calibri" w:hAnsi="Calibri" w:cs="Times New Roman"/>
          <w:sz w:val="28"/>
          <w:szCs w:val="22"/>
          <w:highlight w:val="none"/>
          <w:lang w:val="en-US" w:eastAsia="zh-CN"/>
        </w:rPr>
      </w:pPr>
      <w:r>
        <w:rPr>
          <w:rFonts w:hint="eastAsia" w:ascii="Calibri" w:hAnsi="Calibri" w:cs="Times New Roman"/>
          <w:sz w:val="28"/>
          <w:szCs w:val="22"/>
          <w:highlight w:val="none"/>
          <w:lang w:val="en-US" w:eastAsia="zh-CN"/>
        </w:rPr>
        <w:t>依托法院现有人工智能能力，构建电子卷宗质量校验模型，实现对电子卷宗及时性、完整性、合规性、生成质量等方面进行检测，为电子卷宗随案生成全生命周期进行质量校验，避免出现遗漏、错误、延迟、质量低等具体问题，提高卷宗质量的同时使法官全面掌握案件材料办理情况，提高审判管理效率。卷宗质量校验模型建设内容主要包括：合规性质量校验模型集、完整性质量校验模型集、可用性质量校验模型集、及时性质量校验模型集、编目归目生成质量校验。</w:t>
      </w:r>
    </w:p>
    <w:p w14:paraId="4E307F29">
      <w:pPr>
        <w:shd w:val="clear"/>
        <w:tabs>
          <w:tab w:val="left" w:pos="7513"/>
        </w:tabs>
        <w:ind w:firstLine="643" w:firstLineChars="200"/>
        <w:jc w:val="left"/>
        <w:outlineLvl w:val="0"/>
        <w:rPr>
          <w:rFonts w:hint="default" w:ascii="仿宋" w:hAnsi="仿宋" w:cs="仿宋"/>
          <w:b/>
          <w:bCs/>
          <w:szCs w:val="32"/>
          <w:highlight w:val="none"/>
          <w:lang w:val="en-US" w:eastAsia="zh-CN"/>
        </w:rPr>
      </w:pPr>
      <w:r>
        <w:rPr>
          <w:rFonts w:hint="eastAsia" w:ascii="仿宋" w:hAnsi="仿宋" w:cs="仿宋"/>
          <w:b/>
          <w:bCs/>
          <w:szCs w:val="32"/>
          <w:highlight w:val="none"/>
          <w:lang w:val="en-US" w:eastAsia="zh-CN"/>
        </w:rPr>
        <w:t>三是建设卷宗质量校验任务管理</w:t>
      </w:r>
    </w:p>
    <w:p w14:paraId="635168E1">
      <w:pPr>
        <w:spacing w:line="360" w:lineRule="auto"/>
        <w:ind w:firstLine="560" w:firstLineChars="200"/>
        <w:rPr>
          <w:rFonts w:hint="eastAsia" w:ascii="仿宋" w:hAnsi="仿宋" w:cs="Times New Roman"/>
          <w:kern w:val="0"/>
          <w:sz w:val="28"/>
          <w:szCs w:val="28"/>
          <w:highlight w:val="none"/>
        </w:rPr>
      </w:pPr>
      <w:r>
        <w:rPr>
          <w:rFonts w:hint="eastAsia" w:ascii="仿宋" w:hAnsi="仿宋" w:cs="Times New Roman"/>
          <w:kern w:val="0"/>
          <w:sz w:val="28"/>
          <w:szCs w:val="28"/>
          <w:highlight w:val="none"/>
        </w:rPr>
        <w:t>为了提高卷宗质量监督的效率和质量，设计并建设卷宗质量校验任务管理模型：包括验卷流程配置和卷宗调度配置两大内容。</w:t>
      </w:r>
    </w:p>
    <w:p w14:paraId="3A3DD63B">
      <w:pPr>
        <w:spacing w:line="360" w:lineRule="auto"/>
        <w:ind w:firstLine="560" w:firstLineChars="200"/>
        <w:rPr>
          <w:rFonts w:hint="eastAsia" w:ascii="仿宋" w:hAnsi="仿宋" w:cs="Times New Roman"/>
          <w:kern w:val="0"/>
          <w:sz w:val="28"/>
          <w:szCs w:val="28"/>
          <w:highlight w:val="none"/>
        </w:rPr>
      </w:pPr>
      <w:r>
        <w:rPr>
          <w:rFonts w:hint="eastAsia" w:ascii="仿宋" w:hAnsi="仿宋" w:cs="Times New Roman"/>
          <w:kern w:val="0"/>
          <w:sz w:val="28"/>
          <w:szCs w:val="28"/>
          <w:highlight w:val="none"/>
          <w:lang w:eastAsia="zh-CN"/>
        </w:rPr>
        <w:t>（</w:t>
      </w:r>
      <w:r>
        <w:rPr>
          <w:rFonts w:hint="eastAsia" w:ascii="仿宋" w:hAnsi="仿宋" w:cs="Times New Roman"/>
          <w:kern w:val="0"/>
          <w:sz w:val="28"/>
          <w:szCs w:val="28"/>
          <w:highlight w:val="none"/>
        </w:rPr>
        <w:t>1</w:t>
      </w:r>
      <w:r>
        <w:rPr>
          <w:rFonts w:hint="eastAsia" w:ascii="仿宋" w:hAnsi="仿宋" w:cs="Times New Roman"/>
          <w:kern w:val="0"/>
          <w:sz w:val="28"/>
          <w:szCs w:val="28"/>
          <w:highlight w:val="none"/>
          <w:lang w:eastAsia="zh-CN"/>
        </w:rPr>
        <w:t>）</w:t>
      </w:r>
      <w:r>
        <w:rPr>
          <w:rFonts w:hint="eastAsia" w:ascii="仿宋" w:hAnsi="仿宋" w:cs="Times New Roman"/>
          <w:kern w:val="0"/>
          <w:sz w:val="28"/>
          <w:szCs w:val="28"/>
          <w:highlight w:val="none"/>
        </w:rPr>
        <w:t>.验卷流程配置包括流程配置、流程监控和流程版本管理。通过流程配置，用户可以自定义卷宗质量检测的各个步骤，包括数据输入、数据处理、结果输出等。流程监控功能则允许用户实时查看流程的运行状态，及时发现并解决问题。此外，流程版本管理功能可以帮助用户跟踪流程的变化，方便回溯和比较不同版本的流程。通过这些功能，从而提高卷宗质量检测的效率和准确性。</w:t>
      </w:r>
    </w:p>
    <w:p w14:paraId="43DAD3AF">
      <w:pPr>
        <w:spacing w:line="360" w:lineRule="auto"/>
        <w:ind w:firstLine="560" w:firstLineChars="200"/>
        <w:rPr>
          <w:rFonts w:ascii="仿宋" w:hAnsi="仿宋" w:cs="Times New Roman"/>
          <w:kern w:val="0"/>
          <w:sz w:val="28"/>
          <w:szCs w:val="28"/>
          <w:highlight w:val="none"/>
        </w:rPr>
      </w:pPr>
      <w:r>
        <w:rPr>
          <w:rFonts w:hint="eastAsia" w:ascii="仿宋" w:hAnsi="仿宋" w:cs="Times New Roman"/>
          <w:kern w:val="0"/>
          <w:sz w:val="28"/>
          <w:szCs w:val="28"/>
          <w:highlight w:val="none"/>
          <w:lang w:eastAsia="zh-CN"/>
        </w:rPr>
        <w:t>（</w:t>
      </w:r>
      <w:r>
        <w:rPr>
          <w:rFonts w:hint="eastAsia" w:ascii="仿宋" w:hAnsi="仿宋" w:cs="Times New Roman"/>
          <w:kern w:val="0"/>
          <w:sz w:val="28"/>
          <w:szCs w:val="28"/>
          <w:highlight w:val="none"/>
        </w:rPr>
        <w:t>2</w:t>
      </w:r>
      <w:r>
        <w:rPr>
          <w:rFonts w:hint="eastAsia" w:ascii="仿宋" w:hAnsi="仿宋" w:cs="Times New Roman"/>
          <w:kern w:val="0"/>
          <w:sz w:val="28"/>
          <w:szCs w:val="28"/>
          <w:highlight w:val="none"/>
          <w:lang w:eastAsia="zh-CN"/>
        </w:rPr>
        <w:t>）</w:t>
      </w:r>
      <w:r>
        <w:rPr>
          <w:rFonts w:hint="eastAsia" w:ascii="仿宋" w:hAnsi="仿宋" w:cs="Times New Roman"/>
          <w:kern w:val="0"/>
          <w:sz w:val="28"/>
          <w:szCs w:val="28"/>
          <w:highlight w:val="none"/>
        </w:rPr>
        <w:t>.卷宗调度配置包括调度配置、调度监控等功能模块。通过调度配置，用户可以设置流程和校验规则的执行时间和频率，以及优先级等参数。调度监控功能则可以实时显示调度任务的状态，提供详细的执行日志，帮助用户了解任务的执行情况。</w:t>
      </w:r>
    </w:p>
    <w:p w14:paraId="067E4FAD">
      <w:pPr>
        <w:shd w:val="clear"/>
        <w:tabs>
          <w:tab w:val="left" w:pos="7513"/>
        </w:tabs>
        <w:ind w:firstLine="643" w:firstLineChars="200"/>
        <w:jc w:val="left"/>
        <w:outlineLvl w:val="0"/>
        <w:rPr>
          <w:rFonts w:hint="default" w:ascii="仿宋" w:hAnsi="仿宋" w:cs="仿宋"/>
          <w:b/>
          <w:bCs/>
          <w:szCs w:val="32"/>
          <w:highlight w:val="none"/>
          <w:lang w:val="en-US" w:eastAsia="zh-CN"/>
        </w:rPr>
      </w:pPr>
      <w:r>
        <w:rPr>
          <w:rFonts w:hint="eastAsia" w:ascii="仿宋" w:hAnsi="仿宋" w:cs="仿宋"/>
          <w:b/>
          <w:bCs/>
          <w:szCs w:val="32"/>
          <w:highlight w:val="none"/>
          <w:lang w:val="en-US" w:eastAsia="zh-CN"/>
        </w:rPr>
        <w:t>四是建设卷宗质量管理态势中心</w:t>
      </w:r>
    </w:p>
    <w:p w14:paraId="406EDFF8">
      <w:pPr>
        <w:spacing w:line="360" w:lineRule="auto"/>
        <w:ind w:firstLine="560" w:firstLineChars="200"/>
        <w:rPr>
          <w:rFonts w:hint="eastAsia" w:ascii="Calibri" w:hAnsi="Calibri" w:cs="Times New Roman"/>
          <w:sz w:val="28"/>
          <w:szCs w:val="22"/>
          <w:highlight w:val="none"/>
          <w:lang w:val="en-US" w:eastAsia="zh-CN"/>
        </w:rPr>
      </w:pPr>
      <w:r>
        <w:rPr>
          <w:rFonts w:hint="eastAsia" w:ascii="Calibri" w:hAnsi="Calibri" w:cs="Times New Roman"/>
          <w:sz w:val="28"/>
          <w:szCs w:val="22"/>
          <w:highlight w:val="none"/>
          <w:lang w:val="en-US" w:eastAsia="zh-CN"/>
        </w:rPr>
        <w:t>建设卷宗数字化成果展示、卷宗质量监督一张图和卷宗校验运行一张图是三大态势分析工具，通过图表、图形等视觉元素，将数据中所蕴含的卷宗数字化成果趋势、卷宗质量问题分析及趋势、校验模型运行情况展现。</w:t>
      </w:r>
    </w:p>
    <w:p w14:paraId="0B7786C1">
      <w:pPr>
        <w:rPr>
          <w:rFonts w:hint="eastAsia" w:ascii="Calibri" w:hAnsi="Calibri" w:cs="Times New Roman"/>
          <w:sz w:val="28"/>
          <w:szCs w:val="22"/>
          <w:highlight w:val="none"/>
          <w:lang w:val="en-US" w:eastAsia="zh-CN"/>
        </w:rPr>
      </w:pPr>
      <w:r>
        <w:rPr>
          <w:rFonts w:hint="eastAsia" w:ascii="Calibri" w:hAnsi="Calibri" w:cs="Times New Roman"/>
          <w:sz w:val="28"/>
          <w:szCs w:val="22"/>
          <w:highlight w:val="none"/>
          <w:lang w:val="en-US" w:eastAsia="zh-CN"/>
        </w:rPr>
        <w:br w:type="page"/>
      </w:r>
    </w:p>
    <w:p w14:paraId="0D3F6C02">
      <w:pPr>
        <w:numPr>
          <w:ilvl w:val="-1"/>
          <w:numId w:val="0"/>
        </w:numPr>
        <w:tabs>
          <w:tab w:val="left" w:pos="7513"/>
        </w:tabs>
        <w:ind w:firstLine="643" w:firstLineChars="200"/>
        <w:jc w:val="left"/>
        <w:outlineLvl w:val="0"/>
        <w:rPr>
          <w:rFonts w:hint="eastAsia" w:ascii="黑体" w:hAnsi="黑体" w:eastAsia="黑体" w:cs="黑体"/>
          <w:b/>
          <w:bCs/>
          <w:szCs w:val="32"/>
          <w:highlight w:val="none"/>
          <w:lang w:val="en-US" w:eastAsia="zh-CN"/>
        </w:rPr>
      </w:pPr>
      <w:r>
        <w:rPr>
          <w:rFonts w:hint="eastAsia" w:ascii="黑体" w:hAnsi="黑体" w:eastAsia="黑体" w:cs="黑体"/>
          <w:b/>
          <w:bCs/>
          <w:szCs w:val="32"/>
          <w:highlight w:val="none"/>
          <w:lang w:val="en-US" w:eastAsia="zh-CN"/>
        </w:rPr>
        <w:t>二、项目建设要求</w:t>
      </w:r>
    </w:p>
    <w:p w14:paraId="09F35CE8">
      <w:pPr>
        <w:numPr>
          <w:ilvl w:val="0"/>
          <w:numId w:val="1"/>
        </w:numPr>
        <w:tabs>
          <w:tab w:val="left" w:pos="7513"/>
        </w:tabs>
        <w:ind w:firstLine="643" w:firstLineChars="200"/>
        <w:jc w:val="left"/>
        <w:outlineLvl w:val="0"/>
        <w:rPr>
          <w:rFonts w:hint="eastAsia" w:ascii="仿宋" w:hAnsi="仿宋" w:cs="仿宋"/>
          <w:b/>
          <w:bCs/>
          <w:szCs w:val="32"/>
          <w:highlight w:val="none"/>
        </w:rPr>
      </w:pPr>
      <w:r>
        <w:rPr>
          <w:rFonts w:hint="eastAsia" w:ascii="仿宋" w:hAnsi="仿宋" w:cs="仿宋"/>
          <w:b/>
          <w:bCs/>
          <w:szCs w:val="32"/>
          <w:highlight w:val="none"/>
        </w:rPr>
        <w:t>卷宗质量管理应用场景</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32"/>
        <w:gridCol w:w="786"/>
        <w:gridCol w:w="886"/>
        <w:gridCol w:w="1057"/>
        <w:gridCol w:w="5058"/>
      </w:tblGrid>
      <w:tr w14:paraId="74EC0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429" w:type="pct"/>
            <w:shd w:val="clear" w:color="auto" w:fill="auto"/>
            <w:vAlign w:val="center"/>
          </w:tcPr>
          <w:p w14:paraId="0348BA4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461" w:type="pct"/>
            <w:shd w:val="clear" w:color="auto" w:fill="auto"/>
            <w:vAlign w:val="center"/>
          </w:tcPr>
          <w:p w14:paraId="4A47A9B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模块名称</w:t>
            </w:r>
          </w:p>
        </w:tc>
        <w:tc>
          <w:tcPr>
            <w:tcW w:w="1140" w:type="pct"/>
            <w:gridSpan w:val="2"/>
            <w:shd w:val="clear" w:color="auto" w:fill="auto"/>
            <w:vAlign w:val="center"/>
          </w:tcPr>
          <w:p w14:paraId="7834A45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功能名称</w:t>
            </w:r>
          </w:p>
        </w:tc>
        <w:tc>
          <w:tcPr>
            <w:tcW w:w="2968" w:type="pct"/>
            <w:shd w:val="clear" w:color="auto" w:fill="auto"/>
            <w:vAlign w:val="center"/>
          </w:tcPr>
          <w:p w14:paraId="25B364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功能建设要求</w:t>
            </w:r>
          </w:p>
        </w:tc>
      </w:tr>
      <w:tr w14:paraId="10815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078AD0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461" w:type="pct"/>
            <w:vMerge w:val="restart"/>
            <w:shd w:val="clear" w:color="auto" w:fill="auto"/>
            <w:noWrap/>
            <w:vAlign w:val="center"/>
          </w:tcPr>
          <w:p w14:paraId="1EE856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立案材料审查阶段</w:t>
            </w:r>
          </w:p>
        </w:tc>
        <w:tc>
          <w:tcPr>
            <w:tcW w:w="520" w:type="pct"/>
            <w:vMerge w:val="restart"/>
            <w:shd w:val="clear" w:color="auto" w:fill="auto"/>
            <w:vAlign w:val="center"/>
          </w:tcPr>
          <w:p w14:paraId="4D1F9DF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当事人递交材料审查</w:t>
            </w:r>
          </w:p>
        </w:tc>
        <w:tc>
          <w:tcPr>
            <w:tcW w:w="620" w:type="pct"/>
            <w:vMerge w:val="restart"/>
            <w:shd w:val="clear" w:color="auto" w:fill="auto"/>
            <w:vAlign w:val="center"/>
          </w:tcPr>
          <w:p w14:paraId="38E28A5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纸质材料扫描质量审查</w:t>
            </w:r>
          </w:p>
        </w:tc>
        <w:tc>
          <w:tcPr>
            <w:tcW w:w="2968" w:type="pct"/>
            <w:shd w:val="clear" w:color="auto" w:fill="auto"/>
            <w:vAlign w:val="center"/>
          </w:tcPr>
          <w:p w14:paraId="33AFD9D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最高人民法院《纸质档案数字化规范》要求，通过调用图片倒置、倾斜、黑边、污点污线等检测增强模型，数据采集中心对当事人递交的纸质扫描后的材料进行质量审查，审查材料包括：起诉状、证据材料、身份证明、授权委托书等，质量审查内容包括：在现有对不符合阅读方向的数字图像进行自动旋转还原，对出现偏斜的图像自动纠偏处理，对数字图像进行裁边、去污点等影响图像质量的杂质处理，新增修正材料前后匹对。校验结果通过卷宗数字助理通知数据采集中心，并可对材料进行修正。</w:t>
            </w:r>
          </w:p>
        </w:tc>
      </w:tr>
      <w:tr w14:paraId="2E234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C0151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461" w:type="pct"/>
            <w:vMerge w:val="continue"/>
            <w:shd w:val="clear" w:color="auto" w:fill="auto"/>
            <w:noWrap/>
            <w:vAlign w:val="center"/>
          </w:tcPr>
          <w:p w14:paraId="75FFA26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8C191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34302F92">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2A08A98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支持通过调用材料页码连续性检测模型，对提交材料页码进行连续性校验判断，并通过数字助理提示数据采集中心的卷宗扫描人员，扫描人员可展开详情展示材料中错误页码的位置来判断是否重新扫描。</w:t>
            </w:r>
          </w:p>
        </w:tc>
      </w:tr>
      <w:tr w14:paraId="1A5BA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43505D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w:t>
            </w:r>
          </w:p>
        </w:tc>
        <w:tc>
          <w:tcPr>
            <w:tcW w:w="461" w:type="pct"/>
            <w:vMerge w:val="continue"/>
            <w:shd w:val="clear" w:color="auto" w:fill="auto"/>
            <w:noWrap/>
            <w:vAlign w:val="center"/>
          </w:tcPr>
          <w:p w14:paraId="44E9702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03B96E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572D8A38">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45A29E9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支持通过调用未编目检测，审查文件是否漏扫，并通过卷宗数字助理提示卷宗扫描人员进行补扫插入。</w:t>
            </w:r>
          </w:p>
        </w:tc>
      </w:tr>
      <w:tr w14:paraId="53CB5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3A9EE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w:t>
            </w:r>
          </w:p>
        </w:tc>
        <w:tc>
          <w:tcPr>
            <w:tcW w:w="461" w:type="pct"/>
            <w:vMerge w:val="continue"/>
            <w:shd w:val="clear" w:color="auto" w:fill="auto"/>
            <w:noWrap/>
            <w:vAlign w:val="center"/>
          </w:tcPr>
          <w:p w14:paraId="4A86E83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7EA611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4FAE8194">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559028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通过原告材料校验模型模型、各案件目录检测模型等，审查提交材料有无缺失，并通过数字助理同步数据初检/复核人员展示材料清单用于校验核对实体材料、展示内容包括：材料总份数、总页数汇总，编目名称和件内材料顺序展示名称。</w:t>
            </w:r>
          </w:p>
        </w:tc>
      </w:tr>
      <w:tr w14:paraId="120F5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81AA01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w:t>
            </w:r>
          </w:p>
        </w:tc>
        <w:tc>
          <w:tcPr>
            <w:tcW w:w="461" w:type="pct"/>
            <w:vMerge w:val="continue"/>
            <w:shd w:val="clear" w:color="auto" w:fill="auto"/>
            <w:noWrap/>
            <w:vAlign w:val="center"/>
          </w:tcPr>
          <w:p w14:paraId="1144D5C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ECC950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384560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电子诉讼材料质量审查</w:t>
            </w:r>
          </w:p>
        </w:tc>
        <w:tc>
          <w:tcPr>
            <w:tcW w:w="2968" w:type="pct"/>
            <w:shd w:val="clear" w:color="auto" w:fill="auto"/>
            <w:vAlign w:val="center"/>
          </w:tcPr>
          <w:p w14:paraId="1071A0D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用内容可读性检测下的各模型，支持对当事人在线提交的电子诉讼材料进行质量审查，审查内容包括：PDF目录数据与数字图像对应是否准确，已挂接图像与实际递交数量是否一致，数字图像是否能正常打开，打开后的PDF图像阅读效果是否符合使用者阅览习惯，校验结果通过卷宗数字助理通知立案法官。</w:t>
            </w:r>
          </w:p>
        </w:tc>
      </w:tr>
      <w:tr w14:paraId="5030A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8B4014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w:t>
            </w:r>
          </w:p>
        </w:tc>
        <w:tc>
          <w:tcPr>
            <w:tcW w:w="461" w:type="pct"/>
            <w:vMerge w:val="continue"/>
            <w:shd w:val="clear" w:color="auto" w:fill="auto"/>
            <w:noWrap/>
            <w:vAlign w:val="center"/>
          </w:tcPr>
          <w:p w14:paraId="6C03327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16729D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399E2119">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232E73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立案阶段，当事人网上递交审核阶段，结合同目录下重复材料检测模型，将本次递交材料和已经提交的材料进行智能核验是否存在重复。校验结果通过卷宗数字助理通知数据采集中心，并可对材料进行自动删除。</w:t>
            </w:r>
          </w:p>
        </w:tc>
      </w:tr>
      <w:tr w14:paraId="2D46A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BD3240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w:t>
            </w:r>
          </w:p>
        </w:tc>
        <w:tc>
          <w:tcPr>
            <w:tcW w:w="461" w:type="pct"/>
            <w:vMerge w:val="continue"/>
            <w:shd w:val="clear" w:color="auto" w:fill="auto"/>
            <w:noWrap/>
            <w:vAlign w:val="center"/>
          </w:tcPr>
          <w:p w14:paraId="511D22D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4FADCD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立案信息法律审查</w:t>
            </w:r>
          </w:p>
        </w:tc>
        <w:tc>
          <w:tcPr>
            <w:tcW w:w="620" w:type="pct"/>
            <w:vMerge w:val="restart"/>
            <w:shd w:val="clear" w:color="auto" w:fill="auto"/>
            <w:vAlign w:val="center"/>
          </w:tcPr>
          <w:p w14:paraId="4CCF177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当事人身份信息</w:t>
            </w:r>
          </w:p>
        </w:tc>
        <w:tc>
          <w:tcPr>
            <w:tcW w:w="2968" w:type="pct"/>
            <w:shd w:val="clear" w:color="auto" w:fill="auto"/>
            <w:vAlign w:val="center"/>
          </w:tcPr>
          <w:p w14:paraId="0F063A5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通过调用原告材料校验模型，支持对当事人提交的身份信息材料进行验证，验证内容包括:  当事人的姓名、身份证号、联系方式等和审判系统中原、被告等信息是否一致，校验结果通过卷宗数字助理通知立案法官。</w:t>
            </w:r>
          </w:p>
        </w:tc>
      </w:tr>
      <w:tr w14:paraId="5C962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C961DC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w:t>
            </w:r>
          </w:p>
        </w:tc>
        <w:tc>
          <w:tcPr>
            <w:tcW w:w="461" w:type="pct"/>
            <w:vMerge w:val="continue"/>
            <w:shd w:val="clear" w:color="auto" w:fill="auto"/>
            <w:noWrap/>
            <w:vAlign w:val="center"/>
          </w:tcPr>
          <w:p w14:paraId="7DB1C54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8B7DE2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39685CD3">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58A883C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有代理人的案件，系统基于授权委托信息项校验模型智巡是否符合提供授权委托材料，如律师函、律师证、委托书、委托人身份证明材料等。并同时调用卷内目录一致性检测等模型，支持对其他目录中是否有错误归入其他目录下的材料，如律师函、律师证、委托书、委托人身份证明材料，校验结果通过卷宗数字助理通知立案法官。</w:t>
            </w:r>
          </w:p>
        </w:tc>
      </w:tr>
      <w:tr w14:paraId="546A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8800DD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w:t>
            </w:r>
          </w:p>
        </w:tc>
        <w:tc>
          <w:tcPr>
            <w:tcW w:w="461" w:type="pct"/>
            <w:vMerge w:val="continue"/>
            <w:shd w:val="clear" w:color="auto" w:fill="auto"/>
            <w:noWrap/>
            <w:vAlign w:val="center"/>
          </w:tcPr>
          <w:p w14:paraId="133E8AA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8486AC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071BF4B7">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728C827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基于原告材料校验模型，支持法官通过卷宗数字助理对当事人扫描材料内容导出文本格式文件，用于优化原有超长页数材料内容不好复制（超过20页以上）</w:t>
            </w:r>
          </w:p>
        </w:tc>
      </w:tr>
      <w:tr w14:paraId="12736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799B9A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w:t>
            </w:r>
          </w:p>
        </w:tc>
        <w:tc>
          <w:tcPr>
            <w:tcW w:w="461" w:type="pct"/>
            <w:vMerge w:val="continue"/>
            <w:shd w:val="clear" w:color="auto" w:fill="auto"/>
            <w:noWrap/>
            <w:vAlign w:val="center"/>
          </w:tcPr>
          <w:p w14:paraId="0B6A791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BF5982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0C3CF04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立案信息审查</w:t>
            </w:r>
          </w:p>
        </w:tc>
        <w:tc>
          <w:tcPr>
            <w:tcW w:w="2968" w:type="pct"/>
            <w:shd w:val="clear" w:color="auto" w:fill="auto"/>
            <w:vAlign w:val="center"/>
          </w:tcPr>
          <w:p w14:paraId="355D0D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用立案流程材料校验模型、举证通知书院印校验等模型，支持对立案产生的卷宗材料的法律文书进行审查，审查内容包括举证通知书、受理公告、受理通知书、应诉通知书、强清受理公告等院印是否缺失、立案情况表、立案审判表、立案信息卡等内容是否完整，签名是否缺失，校验结果通过卷宗数字助理通知立案法官。</w:t>
            </w:r>
          </w:p>
        </w:tc>
      </w:tr>
      <w:tr w14:paraId="04103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573F1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w:t>
            </w:r>
          </w:p>
        </w:tc>
        <w:tc>
          <w:tcPr>
            <w:tcW w:w="461" w:type="pct"/>
            <w:vMerge w:val="continue"/>
            <w:shd w:val="clear" w:color="auto" w:fill="auto"/>
            <w:noWrap/>
            <w:vAlign w:val="center"/>
          </w:tcPr>
          <w:p w14:paraId="25EEE3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18696A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7F2A22EA">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0620FD3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二审案件立案成功后，系统需自动校验该案是否为双方当事人上诉案件，若是的情况下，系统需自动调用胜诉退费账号确认书校验模型，智巡上诉双方当事人是否都已提供胜诉退费账号确认书，校验结果通过卷宗数字助理通知立案法官。</w:t>
            </w:r>
          </w:p>
        </w:tc>
      </w:tr>
      <w:tr w14:paraId="34430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96CF9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w:t>
            </w:r>
          </w:p>
        </w:tc>
        <w:tc>
          <w:tcPr>
            <w:tcW w:w="461" w:type="pct"/>
            <w:vMerge w:val="continue"/>
            <w:shd w:val="clear" w:color="auto" w:fill="auto"/>
            <w:noWrap/>
            <w:vAlign w:val="center"/>
          </w:tcPr>
          <w:p w14:paraId="47568D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152A22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2A1816A2">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6B8D5A3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新增是否胜诉退费征询短信，审判系统收到验卷结果后视情况自动发送当事人确认书短信给缺少胜诉退费账号的上诉人进行账号采集确认，并视胜诉退费金额发送不同短信内容，若遇金额少于10元的案件可发送是否放弃胜诉退费的征询短信，并将征询结果自动归卷，通过信息化手段助力健全相关胜诉退费机制。</w:t>
            </w:r>
          </w:p>
        </w:tc>
      </w:tr>
      <w:tr w14:paraId="7CE21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ADAB78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w:t>
            </w:r>
          </w:p>
        </w:tc>
        <w:tc>
          <w:tcPr>
            <w:tcW w:w="461" w:type="pct"/>
            <w:vMerge w:val="continue"/>
            <w:shd w:val="clear" w:color="auto" w:fill="auto"/>
            <w:noWrap/>
            <w:vAlign w:val="center"/>
          </w:tcPr>
          <w:p w14:paraId="62399E6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00034D1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卷宗编目审查</w:t>
            </w:r>
          </w:p>
        </w:tc>
        <w:tc>
          <w:tcPr>
            <w:tcW w:w="620" w:type="pct"/>
            <w:shd w:val="clear" w:color="auto" w:fill="auto"/>
            <w:vAlign w:val="center"/>
          </w:tcPr>
          <w:p w14:paraId="67F7F07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按案模板审查</w:t>
            </w:r>
          </w:p>
        </w:tc>
        <w:tc>
          <w:tcPr>
            <w:tcW w:w="2968" w:type="pct"/>
            <w:shd w:val="clear" w:color="auto" w:fill="auto"/>
            <w:vAlign w:val="center"/>
          </w:tcPr>
          <w:p w14:paraId="7216F55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立案阶段通过调用各案件目录检测模型，支持不同的案件类型（刑事一审、刑事二审、民事一审、民事二审、行政一审、行政二审、首次执行案件）进行审查，审查内容包括目录分类是否准确，立案材料排列是否规范等，校验结果通过卷宗数字助理通知立案法官。</w:t>
            </w:r>
          </w:p>
        </w:tc>
      </w:tr>
      <w:tr w14:paraId="4698B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BF952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w:t>
            </w:r>
          </w:p>
        </w:tc>
        <w:tc>
          <w:tcPr>
            <w:tcW w:w="461" w:type="pct"/>
            <w:vMerge w:val="continue"/>
            <w:shd w:val="clear" w:color="auto" w:fill="auto"/>
            <w:noWrap/>
            <w:vAlign w:val="center"/>
          </w:tcPr>
          <w:p w14:paraId="2862CE0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30F73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F26824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卷宗挂接文件审查</w:t>
            </w:r>
          </w:p>
        </w:tc>
        <w:tc>
          <w:tcPr>
            <w:tcW w:w="2968" w:type="pct"/>
            <w:shd w:val="clear" w:color="auto" w:fill="auto"/>
            <w:vAlign w:val="center"/>
          </w:tcPr>
          <w:p w14:paraId="0552171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在立案阶段支持调用卷内目录一致性检测模型等模型，审查宗卷挂接文件是否准确，校验结果通过卷宗数字助理通知立案法官。</w:t>
            </w:r>
          </w:p>
        </w:tc>
      </w:tr>
      <w:tr w14:paraId="05FBB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1C8BEE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w:t>
            </w:r>
          </w:p>
        </w:tc>
        <w:tc>
          <w:tcPr>
            <w:tcW w:w="461" w:type="pct"/>
            <w:vMerge w:val="continue"/>
            <w:shd w:val="clear" w:color="auto" w:fill="auto"/>
            <w:noWrap/>
            <w:vAlign w:val="center"/>
          </w:tcPr>
          <w:p w14:paraId="410150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06CF9C7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立案期限审查</w:t>
            </w:r>
          </w:p>
        </w:tc>
        <w:tc>
          <w:tcPr>
            <w:tcW w:w="620" w:type="pct"/>
            <w:shd w:val="clear" w:color="auto" w:fill="auto"/>
            <w:vAlign w:val="center"/>
          </w:tcPr>
          <w:p w14:paraId="7B445F2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时限审查</w:t>
            </w:r>
          </w:p>
        </w:tc>
        <w:tc>
          <w:tcPr>
            <w:tcW w:w="2968" w:type="pct"/>
            <w:shd w:val="clear" w:color="auto" w:fill="auto"/>
            <w:vAlign w:val="center"/>
          </w:tcPr>
          <w:p w14:paraId="67B60D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立案阶段通过调用立案期限检测模型，对立案材料的相关信息进行审查，审查内容包括法院立案时限、立案通知书上传时限、立案信息移送审判庭时限、立案通知书入卷时限等，并根据当前业务流程提示流程剩余时间。校验结果通过卷宗数字助理通知立案法官。</w:t>
            </w:r>
          </w:p>
        </w:tc>
      </w:tr>
      <w:tr w14:paraId="4E77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61D30C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w:t>
            </w:r>
          </w:p>
        </w:tc>
        <w:tc>
          <w:tcPr>
            <w:tcW w:w="461" w:type="pct"/>
            <w:vMerge w:val="continue"/>
            <w:shd w:val="clear" w:color="auto" w:fill="auto"/>
            <w:noWrap/>
            <w:vAlign w:val="center"/>
          </w:tcPr>
          <w:p w14:paraId="5C45957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0E67F4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637AD3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超期提示及预警</w:t>
            </w:r>
          </w:p>
        </w:tc>
        <w:tc>
          <w:tcPr>
            <w:tcW w:w="2968" w:type="pct"/>
            <w:shd w:val="clear" w:color="auto" w:fill="auto"/>
            <w:vAlign w:val="center"/>
          </w:tcPr>
          <w:p w14:paraId="6A9B9EA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针对已超期的案件进行高亮提醒和超期时间计算，对于即将超期的案件进行高亮预警并提示剩余时间，提示办案人员尽快完成案件流程。校验结果通过卷宗数字助理通知立案法官。</w:t>
            </w:r>
          </w:p>
        </w:tc>
      </w:tr>
      <w:tr w14:paraId="3E85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3ED42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w:t>
            </w:r>
          </w:p>
        </w:tc>
        <w:tc>
          <w:tcPr>
            <w:tcW w:w="461" w:type="pct"/>
            <w:vMerge w:val="continue"/>
            <w:shd w:val="clear" w:color="auto" w:fill="auto"/>
            <w:noWrap/>
            <w:vAlign w:val="center"/>
          </w:tcPr>
          <w:p w14:paraId="0C111AB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4CD70F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公告期限审查</w:t>
            </w:r>
          </w:p>
        </w:tc>
        <w:tc>
          <w:tcPr>
            <w:tcW w:w="620" w:type="pct"/>
            <w:shd w:val="clear" w:color="auto" w:fill="auto"/>
            <w:vAlign w:val="center"/>
          </w:tcPr>
          <w:p w14:paraId="750882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时效提示</w:t>
            </w:r>
          </w:p>
        </w:tc>
        <w:tc>
          <w:tcPr>
            <w:tcW w:w="2968" w:type="pct"/>
            <w:shd w:val="clear" w:color="auto" w:fill="auto"/>
            <w:vAlign w:val="center"/>
          </w:tcPr>
          <w:p w14:paraId="2859B3C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在立案阶段通过调用公告期限审查模型，依据不同的案件类型，对案件公告发布的时效进行计算，并提示案件的剩余送达时效时间。校验结果通过卷宗数字助理通知立案法官。</w:t>
            </w:r>
          </w:p>
        </w:tc>
      </w:tr>
      <w:tr w14:paraId="73CD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0504C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18</w:t>
            </w:r>
          </w:p>
        </w:tc>
        <w:tc>
          <w:tcPr>
            <w:tcW w:w="461" w:type="pct"/>
            <w:vMerge w:val="continue"/>
            <w:shd w:val="clear" w:color="auto" w:fill="auto"/>
            <w:noWrap/>
            <w:vAlign w:val="center"/>
          </w:tcPr>
          <w:p w14:paraId="529C4CD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ACA14D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DDB24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公告到期和即将到期提醒</w:t>
            </w:r>
          </w:p>
        </w:tc>
        <w:tc>
          <w:tcPr>
            <w:tcW w:w="2968" w:type="pct"/>
            <w:shd w:val="clear" w:color="auto" w:fill="auto"/>
            <w:vAlign w:val="center"/>
          </w:tcPr>
          <w:p w14:paraId="3D59C26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针对公告到期的案件进行高亮提醒并展示到期时间，对于公告即将到期的案件进行高亮提醒并提示剩余时间，帮助办案人员更直观的了解案件的公告情况。校验结果通过卷宗数字助理通知立案法官。</w:t>
            </w:r>
          </w:p>
        </w:tc>
      </w:tr>
      <w:tr w14:paraId="6364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B015AE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19</w:t>
            </w:r>
          </w:p>
        </w:tc>
        <w:tc>
          <w:tcPr>
            <w:tcW w:w="461" w:type="pct"/>
            <w:vMerge w:val="restart"/>
            <w:shd w:val="clear" w:color="auto" w:fill="auto"/>
            <w:noWrap/>
            <w:vAlign w:val="center"/>
          </w:tcPr>
          <w:p w14:paraId="4A6E451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审理材料同步生成阶段</w:t>
            </w:r>
          </w:p>
        </w:tc>
        <w:tc>
          <w:tcPr>
            <w:tcW w:w="520" w:type="pct"/>
            <w:vMerge w:val="restart"/>
            <w:shd w:val="clear" w:color="auto" w:fill="auto"/>
            <w:vAlign w:val="center"/>
          </w:tcPr>
          <w:p w14:paraId="01A037F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当事人补充提交材料审查</w:t>
            </w:r>
          </w:p>
        </w:tc>
        <w:tc>
          <w:tcPr>
            <w:tcW w:w="620" w:type="pct"/>
            <w:vMerge w:val="restart"/>
            <w:shd w:val="clear" w:color="auto" w:fill="auto"/>
            <w:vAlign w:val="center"/>
          </w:tcPr>
          <w:p w14:paraId="71F5CC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纸质证据材料扫描质量自动审查</w:t>
            </w:r>
          </w:p>
        </w:tc>
        <w:tc>
          <w:tcPr>
            <w:tcW w:w="2968" w:type="pct"/>
            <w:shd w:val="clear" w:color="auto" w:fill="auto"/>
            <w:vAlign w:val="center"/>
          </w:tcPr>
          <w:p w14:paraId="1782061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最高人民法院《纸质档案数字化规范》要求，通过调用原告材料校验模型、被告材料校验等模型，对当事人递交的纸质扫描后的证据材料进行合规性审查，审查材料包括：诉讼证据材料、授权委托书、应诉证据材料、答辩状等。校验结果通过卷宗数字助理通知办案法官。</w:t>
            </w:r>
          </w:p>
        </w:tc>
      </w:tr>
      <w:tr w14:paraId="33DBB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9640C6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20</w:t>
            </w:r>
          </w:p>
        </w:tc>
        <w:tc>
          <w:tcPr>
            <w:tcW w:w="461" w:type="pct"/>
            <w:vMerge w:val="continue"/>
            <w:shd w:val="clear" w:color="auto" w:fill="auto"/>
            <w:noWrap/>
            <w:vAlign w:val="center"/>
          </w:tcPr>
          <w:p w14:paraId="45926F4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727275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2611BCB8">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7A8537E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支持通过调用未编目检测等模型，审查文件是否漏扫，并通过卷宗数字助理提示卷宗扫描人员进行补扫插入。</w:t>
            </w:r>
          </w:p>
        </w:tc>
      </w:tr>
      <w:tr w14:paraId="3A437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4276B8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21</w:t>
            </w:r>
          </w:p>
        </w:tc>
        <w:tc>
          <w:tcPr>
            <w:tcW w:w="461" w:type="pct"/>
            <w:vMerge w:val="continue"/>
            <w:shd w:val="clear" w:color="auto" w:fill="auto"/>
            <w:noWrap/>
            <w:vAlign w:val="center"/>
          </w:tcPr>
          <w:p w14:paraId="23EE76B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3DFB7C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64E0EB4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电子诉讼材料质量自动审查</w:t>
            </w:r>
          </w:p>
        </w:tc>
        <w:tc>
          <w:tcPr>
            <w:tcW w:w="2968" w:type="pct"/>
            <w:shd w:val="clear" w:color="auto" w:fill="auto"/>
            <w:vAlign w:val="center"/>
          </w:tcPr>
          <w:p w14:paraId="2210FC5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用内容可读性检测下的各模型，支持对当事人在线提交的电子诉讼材料进行质量审查，审查内容包括：PDF目录数据与数字图像对应是否准确，已挂接图像与实际递交数量是否一致，数字图像是否能正常打开，打开后的PDF图像阅读效果是否符合使用者阅览习惯，校验结果通过卷宗数字助理通知办案法官。</w:t>
            </w:r>
          </w:p>
        </w:tc>
      </w:tr>
      <w:tr w14:paraId="3FCE6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15D0E1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22</w:t>
            </w:r>
          </w:p>
        </w:tc>
        <w:tc>
          <w:tcPr>
            <w:tcW w:w="461" w:type="pct"/>
            <w:vMerge w:val="continue"/>
            <w:shd w:val="clear" w:color="auto" w:fill="auto"/>
            <w:noWrap/>
            <w:vAlign w:val="center"/>
          </w:tcPr>
          <w:p w14:paraId="442380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E226C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4A174274">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0361BF9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案件审理阶段，当事人网上提交证据材料过程中，担心没有提交成功，所以会出现重复提交。因此在材料递交审核阶段，结合同目录下重复材料检测模型，将本次递交材料和系统已有卷宗材料进行智能核验，校验结果通过卷宗数字助理通知办案法官。</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另外，在材料递交审查阶段增加删除材料和删除材料理由的功能，允许办案法官删除重复性材料，对材料名称进行修改，并对操作过程进行留痕，后续备查。</w:t>
            </w:r>
          </w:p>
        </w:tc>
      </w:tr>
      <w:tr w14:paraId="03882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B9B030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23</w:t>
            </w:r>
          </w:p>
        </w:tc>
        <w:tc>
          <w:tcPr>
            <w:tcW w:w="461" w:type="pct"/>
            <w:vMerge w:val="continue"/>
            <w:shd w:val="clear" w:color="auto" w:fill="auto"/>
            <w:noWrap/>
            <w:vAlign w:val="center"/>
          </w:tcPr>
          <w:p w14:paraId="355B70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268BF4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614BF7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授权委托材料智能巡检</w:t>
            </w:r>
          </w:p>
        </w:tc>
        <w:tc>
          <w:tcPr>
            <w:tcW w:w="2968" w:type="pct"/>
            <w:shd w:val="clear" w:color="auto" w:fill="auto"/>
            <w:vAlign w:val="center"/>
          </w:tcPr>
          <w:p w14:paraId="4736CD5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排期成功后，针对有代理人的案件，系统基于授权委托信息项校验模型智巡卷宗材料是否符合提供标准，校验结果通过卷宗数字助理通知办案法官。</w:t>
            </w:r>
          </w:p>
        </w:tc>
      </w:tr>
      <w:tr w14:paraId="008D1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189275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24</w:t>
            </w:r>
          </w:p>
        </w:tc>
        <w:tc>
          <w:tcPr>
            <w:tcW w:w="461" w:type="pct"/>
            <w:vMerge w:val="continue"/>
            <w:shd w:val="clear" w:color="auto" w:fill="auto"/>
            <w:noWrap/>
            <w:vAlign w:val="center"/>
          </w:tcPr>
          <w:p w14:paraId="6E2769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3E9E9C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AF7986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补充授权委托材料通知机制</w:t>
            </w:r>
          </w:p>
        </w:tc>
        <w:tc>
          <w:tcPr>
            <w:tcW w:w="2968" w:type="pct"/>
            <w:shd w:val="clear" w:color="auto" w:fill="auto"/>
            <w:vAlign w:val="center"/>
          </w:tcPr>
          <w:p w14:paraId="2548FEC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若未提供或不符合要求，系统自动给当事人发送补充授权委托材料通知短信，责令限期补充提供。若在开庭前三天还未提供的，需进行二次催办。并附带提供材料内容标准和授权委托书模板供其查看下载参考。如公司是法定代表人需提供身份证明、营业执照、授权委托书、律所委托函等；在线开庭需随身携带律师执业证、身份证等，需在庭审前在线示证等。</w:t>
            </w:r>
          </w:p>
        </w:tc>
      </w:tr>
      <w:tr w14:paraId="62227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33915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25</w:t>
            </w:r>
          </w:p>
        </w:tc>
        <w:tc>
          <w:tcPr>
            <w:tcW w:w="461" w:type="pct"/>
            <w:vMerge w:val="continue"/>
            <w:shd w:val="clear" w:color="auto" w:fill="auto"/>
            <w:noWrap/>
            <w:vAlign w:val="center"/>
          </w:tcPr>
          <w:p w14:paraId="25AD3BA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13C9E94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法官调查材料审查</w:t>
            </w:r>
          </w:p>
        </w:tc>
        <w:tc>
          <w:tcPr>
            <w:tcW w:w="620" w:type="pct"/>
            <w:shd w:val="clear" w:color="auto" w:fill="auto"/>
            <w:vAlign w:val="center"/>
          </w:tcPr>
          <w:p w14:paraId="2A499A0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行政复议情况巡检服务</w:t>
            </w:r>
          </w:p>
        </w:tc>
        <w:tc>
          <w:tcPr>
            <w:tcW w:w="2968" w:type="pct"/>
            <w:shd w:val="clear" w:color="auto" w:fill="auto"/>
            <w:vAlign w:val="center"/>
          </w:tcPr>
          <w:p w14:paraId="2EE23E6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在排期、开庭、结案阶段，根据行政案件审理规则，通过行政复议情况信息项校验模型，对行政案件行政复议情况双向巡，若缺少的行政复议信息内容，则调用自动抽取插件回填至相应缺少信息的功能页面</w:t>
            </w:r>
          </w:p>
        </w:tc>
      </w:tr>
      <w:tr w14:paraId="57B65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F16E2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26</w:t>
            </w:r>
          </w:p>
        </w:tc>
        <w:tc>
          <w:tcPr>
            <w:tcW w:w="461" w:type="pct"/>
            <w:vMerge w:val="continue"/>
            <w:shd w:val="clear" w:color="auto" w:fill="auto"/>
            <w:noWrap/>
            <w:vAlign w:val="center"/>
          </w:tcPr>
          <w:p w14:paraId="7335F6C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178BA0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44FE4C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重大行政案件巡检服务</w:t>
            </w:r>
          </w:p>
        </w:tc>
        <w:tc>
          <w:tcPr>
            <w:tcW w:w="2968" w:type="pct"/>
            <w:shd w:val="clear" w:color="auto" w:fill="auto"/>
            <w:vAlign w:val="center"/>
          </w:tcPr>
          <w:p w14:paraId="2F21E89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在结案阶段，根据重大行政案件的审理规则，通过重大行政案件审理信息项校验模型，对重大行政案件结案巡检，若获取缺少的案件审理信息内容，则调用自动抽取插件回填至相应缺少信息的功能页面</w:t>
            </w:r>
          </w:p>
        </w:tc>
      </w:tr>
      <w:tr w14:paraId="1A7CA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E3530D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27</w:t>
            </w:r>
          </w:p>
        </w:tc>
        <w:tc>
          <w:tcPr>
            <w:tcW w:w="461" w:type="pct"/>
            <w:vMerge w:val="continue"/>
            <w:shd w:val="clear" w:color="auto" w:fill="auto"/>
            <w:noWrap/>
            <w:vAlign w:val="center"/>
          </w:tcPr>
          <w:p w14:paraId="1F2DC27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4BA32F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70F0F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审批事项智能核验服务</w:t>
            </w:r>
          </w:p>
        </w:tc>
        <w:tc>
          <w:tcPr>
            <w:tcW w:w="2968" w:type="pct"/>
            <w:shd w:val="clear" w:color="auto" w:fill="auto"/>
            <w:vAlign w:val="center"/>
          </w:tcPr>
          <w:p w14:paraId="21579FD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根据审判、执行系统中各项审批事项流程规则，通过结案流程材料校验模型，对审批事项智能核验，若流程信息缺漏，则调用数字助理审批事项自动抽取插件回填至相应缺少信息的功能页面</w:t>
            </w:r>
          </w:p>
        </w:tc>
      </w:tr>
      <w:tr w14:paraId="50D58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170104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28</w:t>
            </w:r>
          </w:p>
        </w:tc>
        <w:tc>
          <w:tcPr>
            <w:tcW w:w="461" w:type="pct"/>
            <w:vMerge w:val="continue"/>
            <w:shd w:val="clear" w:color="auto" w:fill="auto"/>
            <w:noWrap/>
            <w:vAlign w:val="center"/>
          </w:tcPr>
          <w:p w14:paraId="0D8EA97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A010DA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4EE543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工作记录监测结果通知</w:t>
            </w:r>
          </w:p>
        </w:tc>
        <w:tc>
          <w:tcPr>
            <w:tcW w:w="2968" w:type="pct"/>
            <w:shd w:val="clear" w:color="auto" w:fill="auto"/>
            <w:vAlign w:val="center"/>
          </w:tcPr>
          <w:p w14:paraId="664E91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审判系统、执行系统中的工作记录信息与电子卷宗中工作记录双向核验功能，若出现记录不一致情况、缺少签名等情况，结果通过数字助理的通知中心同步法官，按照通知管理和推送时效管理配置情况在指定的入口展示，方便其快速查看监测结果，实现即触即阅、辅助高效办案。</w:t>
            </w:r>
          </w:p>
        </w:tc>
      </w:tr>
      <w:tr w14:paraId="2B730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AC31B7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29</w:t>
            </w:r>
          </w:p>
        </w:tc>
        <w:tc>
          <w:tcPr>
            <w:tcW w:w="461" w:type="pct"/>
            <w:vMerge w:val="continue"/>
            <w:shd w:val="clear" w:color="auto" w:fill="auto"/>
            <w:noWrap/>
            <w:vAlign w:val="center"/>
          </w:tcPr>
          <w:p w14:paraId="09DC26C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395DEB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879A4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程序转换监测结果通知</w:t>
            </w:r>
          </w:p>
        </w:tc>
        <w:tc>
          <w:tcPr>
            <w:tcW w:w="2968" w:type="pct"/>
            <w:shd w:val="clear" w:color="auto" w:fill="auto"/>
            <w:vAlign w:val="center"/>
          </w:tcPr>
          <w:p w14:paraId="2C3864F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针对简易转普通、小额转普通、简易一般性规定转普通等审判程序转换，若从卷宗中获取信息内容与审判系统中信息内容存在缺漏或不一致的情况，校验结果通过卷宗数字助理通知办案法官。</w:t>
            </w:r>
          </w:p>
        </w:tc>
      </w:tr>
      <w:tr w14:paraId="1DC4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66A0C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30</w:t>
            </w:r>
          </w:p>
        </w:tc>
        <w:tc>
          <w:tcPr>
            <w:tcW w:w="461" w:type="pct"/>
            <w:vMerge w:val="continue"/>
            <w:shd w:val="clear" w:color="auto" w:fill="auto"/>
            <w:noWrap/>
            <w:vAlign w:val="center"/>
          </w:tcPr>
          <w:p w14:paraId="45D3E13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66897A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1BBE40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民事案件本案当事人未成年人信息双向巡检服务</w:t>
            </w:r>
          </w:p>
        </w:tc>
        <w:tc>
          <w:tcPr>
            <w:tcW w:w="2968" w:type="pct"/>
            <w:shd w:val="clear" w:color="auto" w:fill="auto"/>
            <w:vAlign w:val="center"/>
          </w:tcPr>
          <w:p w14:paraId="0B34EE6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在排期、开庭、结案阶段，民事案件本案当事人为未成年人时，通过未成年人信息项缺失校验模型进行民事案件本案当事人为未成年人信息双向巡检，调用自动抽取插件回填至相应缺少信息的功能页面。</w:t>
            </w:r>
          </w:p>
        </w:tc>
      </w:tr>
      <w:tr w14:paraId="68691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7E1B2B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31</w:t>
            </w:r>
          </w:p>
        </w:tc>
        <w:tc>
          <w:tcPr>
            <w:tcW w:w="461" w:type="pct"/>
            <w:vMerge w:val="continue"/>
            <w:shd w:val="clear" w:color="auto" w:fill="auto"/>
            <w:noWrap/>
            <w:vAlign w:val="center"/>
          </w:tcPr>
          <w:p w14:paraId="09FF1F4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3F3266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EE8578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民事案件非本案当事人未成年信息巡检</w:t>
            </w:r>
          </w:p>
        </w:tc>
        <w:tc>
          <w:tcPr>
            <w:tcW w:w="2968" w:type="pct"/>
            <w:shd w:val="clear" w:color="auto" w:fill="auto"/>
            <w:vAlign w:val="center"/>
          </w:tcPr>
          <w:p w14:paraId="57C9C0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民事案件非本案当事人为未成年人时（如离婚案件，抚育案件等），通过未成年人信息项缺失校验模型进行民事案件非本案当事人为未成年人信息双向巡检，调用自动抽取插件回填至相应缺少信息的功能页面</w:t>
            </w:r>
          </w:p>
        </w:tc>
      </w:tr>
      <w:tr w14:paraId="7D2F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70EB20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32</w:t>
            </w:r>
          </w:p>
        </w:tc>
        <w:tc>
          <w:tcPr>
            <w:tcW w:w="461" w:type="pct"/>
            <w:vMerge w:val="continue"/>
            <w:shd w:val="clear" w:color="auto" w:fill="auto"/>
            <w:noWrap/>
            <w:vAlign w:val="center"/>
          </w:tcPr>
          <w:p w14:paraId="6A412BE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481542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AECF11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刑事案件本案当事人未成年人信息巡检</w:t>
            </w:r>
          </w:p>
        </w:tc>
        <w:tc>
          <w:tcPr>
            <w:tcW w:w="2968" w:type="pct"/>
            <w:shd w:val="clear" w:color="auto" w:fill="auto"/>
            <w:vAlign w:val="center"/>
          </w:tcPr>
          <w:p w14:paraId="3F6A3B0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在排期、开庭、结案阶段，刑事案件本案当事人为未成年人时，通过未成年人信息项缺失校验模型进行刑事案件本案当事人为未成年人信息双向巡检，调用自动抽取插件回填至相应缺少信息的功能页面</w:t>
            </w:r>
          </w:p>
        </w:tc>
      </w:tr>
      <w:tr w14:paraId="5B199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3BC7F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33</w:t>
            </w:r>
          </w:p>
        </w:tc>
        <w:tc>
          <w:tcPr>
            <w:tcW w:w="461" w:type="pct"/>
            <w:vMerge w:val="continue"/>
            <w:shd w:val="clear" w:color="auto" w:fill="auto"/>
            <w:noWrap/>
            <w:vAlign w:val="center"/>
          </w:tcPr>
          <w:p w14:paraId="4D220EB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91DBE0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62B781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诉讼请求双向巡检服务</w:t>
            </w:r>
          </w:p>
        </w:tc>
        <w:tc>
          <w:tcPr>
            <w:tcW w:w="2968" w:type="pct"/>
            <w:shd w:val="clear" w:color="auto" w:fill="auto"/>
            <w:vAlign w:val="center"/>
          </w:tcPr>
          <w:p w14:paraId="5BA0986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根据道交类案件的诉讼请求校验规则，通过道交案件诉讼请求佐证材料校验模型，对道交案件诉讼请求信息双向巡检，如果在审判系统中有诉讼请求信息未填写完整，则调用自动抽取插件回填至相应缺少信息的功能页面</w:t>
            </w:r>
          </w:p>
        </w:tc>
      </w:tr>
      <w:tr w14:paraId="25A7F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8DDE4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34</w:t>
            </w:r>
          </w:p>
        </w:tc>
        <w:tc>
          <w:tcPr>
            <w:tcW w:w="461" w:type="pct"/>
            <w:vMerge w:val="continue"/>
            <w:shd w:val="clear" w:color="auto" w:fill="auto"/>
            <w:noWrap/>
            <w:vAlign w:val="center"/>
          </w:tcPr>
          <w:p w14:paraId="4571641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FD8098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DCB17C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刑事一审涉外案件监测结果通知</w:t>
            </w:r>
          </w:p>
        </w:tc>
        <w:tc>
          <w:tcPr>
            <w:tcW w:w="2968" w:type="pct"/>
            <w:shd w:val="clear" w:color="auto" w:fill="auto"/>
            <w:vAlign w:val="center"/>
          </w:tcPr>
          <w:p w14:paraId="2943A20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根据刑事一审涉外案件的审理规则，通过被告材料校验、判决书、调解书、裁定书拟稿信息项校验等模型，开发刑事一审涉外案件核验服务，从卷宗中获取的被告人信息、审理程序、裁判文书等信息与审判系统中登记的内容进行比对核验，若存在不一致或缺失的情况，校验结果通过卷宗数字助理通知办案法官。</w:t>
            </w:r>
          </w:p>
        </w:tc>
      </w:tr>
      <w:tr w14:paraId="2EB42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0B2BC2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35</w:t>
            </w:r>
          </w:p>
        </w:tc>
        <w:tc>
          <w:tcPr>
            <w:tcW w:w="461" w:type="pct"/>
            <w:vMerge w:val="continue"/>
            <w:shd w:val="clear" w:color="auto" w:fill="auto"/>
            <w:noWrap/>
            <w:vAlign w:val="center"/>
          </w:tcPr>
          <w:p w14:paraId="1E4A1C8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6607E0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E96A72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被告人羁押情况双向巡检服务</w:t>
            </w:r>
          </w:p>
        </w:tc>
        <w:tc>
          <w:tcPr>
            <w:tcW w:w="2968" w:type="pct"/>
            <w:shd w:val="clear" w:color="auto" w:fill="auto"/>
            <w:vAlign w:val="center"/>
          </w:tcPr>
          <w:p w14:paraId="2B575CC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在排期、开庭、结案阶段，根据刑事案件的审理规则，通过被告人羁押情况信息项校验模型，对被告人羁押情况双向巡检，若缺少的羁押信息内容，则调用自动抽取插件回填至相应缺少信息的功能页面</w:t>
            </w:r>
          </w:p>
        </w:tc>
      </w:tr>
      <w:tr w14:paraId="79FB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351996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36</w:t>
            </w:r>
          </w:p>
        </w:tc>
        <w:tc>
          <w:tcPr>
            <w:tcW w:w="461" w:type="pct"/>
            <w:vMerge w:val="continue"/>
            <w:shd w:val="clear" w:color="auto" w:fill="auto"/>
            <w:noWrap/>
            <w:vAlign w:val="center"/>
          </w:tcPr>
          <w:p w14:paraId="5FC57B2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B5A494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15E9A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被告人强制措施情况双向巡检服务</w:t>
            </w:r>
          </w:p>
        </w:tc>
        <w:tc>
          <w:tcPr>
            <w:tcW w:w="2968" w:type="pct"/>
            <w:shd w:val="clear" w:color="auto" w:fill="auto"/>
            <w:vAlign w:val="center"/>
          </w:tcPr>
          <w:p w14:paraId="4327158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根据刑事案件中拘传、取保候审、监视居住、拘留、逮捕的强制措施规则，通过被告人强制措施情况信息项校验模型，对被告人强制措施情况双向巡检，若已登记强制措施信息缺少佐证材料，则调用自动抽取插件回填至相应缺少信息的功能页面</w:t>
            </w:r>
          </w:p>
        </w:tc>
      </w:tr>
      <w:tr w14:paraId="5EDC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953E53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37</w:t>
            </w:r>
          </w:p>
        </w:tc>
        <w:tc>
          <w:tcPr>
            <w:tcW w:w="461" w:type="pct"/>
            <w:vMerge w:val="continue"/>
            <w:shd w:val="clear" w:color="auto" w:fill="auto"/>
            <w:noWrap/>
            <w:vAlign w:val="center"/>
          </w:tcPr>
          <w:p w14:paraId="7A28A8B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4B6AC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DABA49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电子送达审查服务</w:t>
            </w:r>
          </w:p>
        </w:tc>
        <w:tc>
          <w:tcPr>
            <w:tcW w:w="2968" w:type="pct"/>
            <w:shd w:val="clear" w:color="auto" w:fill="auto"/>
            <w:vAlign w:val="center"/>
          </w:tcPr>
          <w:p w14:paraId="1B02600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在通知书电子送达前，调用通知书信息项校验等模型对通知书内容项进行校验，校验通过则进行电子送达，异常情况在电子送达页面提示暂停送达，并提供异常原因提示。异常如未处理则通过数字助理通知法官。</w:t>
            </w:r>
          </w:p>
        </w:tc>
      </w:tr>
      <w:tr w14:paraId="38CA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FA0358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38</w:t>
            </w:r>
          </w:p>
        </w:tc>
        <w:tc>
          <w:tcPr>
            <w:tcW w:w="461" w:type="pct"/>
            <w:vMerge w:val="continue"/>
            <w:shd w:val="clear" w:color="auto" w:fill="auto"/>
            <w:noWrap/>
            <w:vAlign w:val="center"/>
          </w:tcPr>
          <w:p w14:paraId="2F12F6B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36D6A85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执行查控材料审查</w:t>
            </w:r>
          </w:p>
        </w:tc>
        <w:tc>
          <w:tcPr>
            <w:tcW w:w="620" w:type="pct"/>
            <w:shd w:val="clear" w:color="auto" w:fill="auto"/>
            <w:vAlign w:val="center"/>
          </w:tcPr>
          <w:p w14:paraId="73449C7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财产查询审查服务</w:t>
            </w:r>
          </w:p>
        </w:tc>
        <w:tc>
          <w:tcPr>
            <w:tcW w:w="2968" w:type="pct"/>
            <w:shd w:val="clear" w:color="auto" w:fill="auto"/>
            <w:vAlign w:val="center"/>
          </w:tcPr>
          <w:p w14:paraId="103D9ED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执行案件开始财产查询后，通过财产查询校验模型进行过程信息完整性检验，异常结果通过数字助理通知法官。</w:t>
            </w:r>
          </w:p>
        </w:tc>
      </w:tr>
      <w:tr w14:paraId="3362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6C1B0A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39</w:t>
            </w:r>
          </w:p>
        </w:tc>
        <w:tc>
          <w:tcPr>
            <w:tcW w:w="461" w:type="pct"/>
            <w:vMerge w:val="continue"/>
            <w:shd w:val="clear" w:color="auto" w:fill="auto"/>
            <w:noWrap/>
            <w:vAlign w:val="center"/>
          </w:tcPr>
          <w:p w14:paraId="41D0171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FA56E0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EE600D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财产控制审查服务</w:t>
            </w:r>
          </w:p>
        </w:tc>
        <w:tc>
          <w:tcPr>
            <w:tcW w:w="2968" w:type="pct"/>
            <w:shd w:val="clear" w:color="auto" w:fill="auto"/>
            <w:vAlign w:val="center"/>
          </w:tcPr>
          <w:p w14:paraId="1CE8FD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执行案件开始财产控制，系统检测到有新增查封、扣押、冻结结构化数据时，通过财产控制校验模型模型进行过程信息完整性检验，异常结果通过数字助理通知法官。</w:t>
            </w:r>
          </w:p>
        </w:tc>
      </w:tr>
      <w:tr w14:paraId="77D8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BE3975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40</w:t>
            </w:r>
          </w:p>
        </w:tc>
        <w:tc>
          <w:tcPr>
            <w:tcW w:w="461" w:type="pct"/>
            <w:vMerge w:val="continue"/>
            <w:shd w:val="clear" w:color="auto" w:fill="auto"/>
            <w:noWrap/>
            <w:vAlign w:val="center"/>
          </w:tcPr>
          <w:p w14:paraId="1B2E4C4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79221E6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庭审材料审查</w:t>
            </w:r>
          </w:p>
        </w:tc>
        <w:tc>
          <w:tcPr>
            <w:tcW w:w="620" w:type="pct"/>
            <w:shd w:val="clear" w:color="auto" w:fill="auto"/>
            <w:vAlign w:val="center"/>
          </w:tcPr>
          <w:p w14:paraId="7A0BFAE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行政机关负责人出庭情况巡检服务</w:t>
            </w:r>
          </w:p>
        </w:tc>
        <w:tc>
          <w:tcPr>
            <w:tcW w:w="2968" w:type="pct"/>
            <w:shd w:val="clear" w:color="auto" w:fill="auto"/>
            <w:vAlign w:val="center"/>
          </w:tcPr>
          <w:p w14:paraId="2E31E9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开庭、结案阶段，根据行政案件审理规则，通过行政机关负责人出庭情况信息项校验模型，对行政机关负责人出庭情况双向巡检，若缺少行政机关负责人出庭情况内容，则调用自动抽取插件回填至相应缺少信息的功能页面</w:t>
            </w:r>
          </w:p>
        </w:tc>
      </w:tr>
      <w:tr w14:paraId="53A65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9B4107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41</w:t>
            </w:r>
          </w:p>
        </w:tc>
        <w:tc>
          <w:tcPr>
            <w:tcW w:w="461" w:type="pct"/>
            <w:vMerge w:val="continue"/>
            <w:shd w:val="clear" w:color="auto" w:fill="auto"/>
            <w:noWrap/>
            <w:vAlign w:val="center"/>
          </w:tcPr>
          <w:p w14:paraId="79B2B89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C0528C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4369D55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庭审笔录录音录像质量审查</w:t>
            </w:r>
          </w:p>
        </w:tc>
        <w:tc>
          <w:tcPr>
            <w:tcW w:w="2968" w:type="pct"/>
            <w:shd w:val="clear" w:color="auto" w:fill="auto"/>
            <w:vAlign w:val="center"/>
          </w:tcPr>
          <w:p w14:paraId="026E7D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用音频质量检测增强模型，对庭审录音进行质量检测，异常结果通过数字助理的通知中心同步法官，并可通过调用音频质量增强插件对庭审的录音进行降噪音、去除杂音、提升声音清晰度，通过音视频对比插件展示新增原音频和调优后的音频对比，并对播放音频段自动标注提示，并对视频画面的模糊、抖动、色彩失真等问题自动标注提示。</w:t>
            </w:r>
          </w:p>
        </w:tc>
      </w:tr>
      <w:tr w14:paraId="5188F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F76E15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42</w:t>
            </w:r>
          </w:p>
        </w:tc>
        <w:tc>
          <w:tcPr>
            <w:tcW w:w="461" w:type="pct"/>
            <w:vMerge w:val="continue"/>
            <w:shd w:val="clear" w:color="auto" w:fill="auto"/>
            <w:noWrap/>
            <w:vAlign w:val="center"/>
          </w:tcPr>
          <w:p w14:paraId="2C1B77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B9864E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0276CA8A">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3DBD57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用视频质量检测增强模型，对庭审录像进行质量检测，异常结果通过数字助理的通知中心同步法官，并可通过调用视频质量增强插件对庭审的录音进行降噪音、去除杂音、提升视频清晰度，通过音视频对比插件展示原视频和调优后的视频对比，并可通过音视频对比插件，音视频不同步、不匹配等问题自动标注提示.</w:t>
            </w:r>
          </w:p>
        </w:tc>
      </w:tr>
      <w:tr w14:paraId="2BF3C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82B2DE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43</w:t>
            </w:r>
          </w:p>
        </w:tc>
        <w:tc>
          <w:tcPr>
            <w:tcW w:w="461" w:type="pct"/>
            <w:vMerge w:val="continue"/>
            <w:shd w:val="clear" w:color="auto" w:fill="auto"/>
            <w:noWrap/>
            <w:vAlign w:val="center"/>
          </w:tcPr>
          <w:p w14:paraId="206B5D0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68320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38162E72">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79A858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转换笔录和录音录像一致性检测增强模型，对庭审笔录转换文字和录音录像一致性检测，异常结果通过数字助理的通知中心同步法官，并可通过调用数据助理的转换笔录和录音录像对比插件，对笔录和音视频不同步不匹配的问题自动标注提示</w:t>
            </w:r>
          </w:p>
        </w:tc>
      </w:tr>
      <w:tr w14:paraId="0FF4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F1C14B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44</w:t>
            </w:r>
          </w:p>
        </w:tc>
        <w:tc>
          <w:tcPr>
            <w:tcW w:w="461" w:type="pct"/>
            <w:vMerge w:val="continue"/>
            <w:shd w:val="clear" w:color="auto" w:fill="auto"/>
            <w:noWrap/>
            <w:vAlign w:val="center"/>
          </w:tcPr>
          <w:p w14:paraId="64FEA73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F26387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856BE3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排期阶段智能校验</w:t>
            </w:r>
          </w:p>
        </w:tc>
        <w:tc>
          <w:tcPr>
            <w:tcW w:w="2968" w:type="pct"/>
            <w:shd w:val="clear" w:color="auto" w:fill="auto"/>
            <w:vAlign w:val="center"/>
          </w:tcPr>
          <w:p w14:paraId="364C996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在排期完成阶段，通过庭审材料校验模型进行过程信息完整性校验，校验结果通过数字助理同步法官。</w:t>
            </w:r>
          </w:p>
        </w:tc>
      </w:tr>
      <w:tr w14:paraId="32F67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2D4B0A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45</w:t>
            </w:r>
          </w:p>
        </w:tc>
        <w:tc>
          <w:tcPr>
            <w:tcW w:w="461" w:type="pct"/>
            <w:vMerge w:val="continue"/>
            <w:shd w:val="clear" w:color="auto" w:fill="auto"/>
            <w:noWrap/>
            <w:vAlign w:val="center"/>
          </w:tcPr>
          <w:p w14:paraId="4DE5F47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8DAD4E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EE611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庭审阶段智能校验</w:t>
            </w:r>
          </w:p>
        </w:tc>
        <w:tc>
          <w:tcPr>
            <w:tcW w:w="2968" w:type="pct"/>
            <w:shd w:val="clear" w:color="auto" w:fill="auto"/>
            <w:vAlign w:val="center"/>
          </w:tcPr>
          <w:p w14:paraId="2926F3C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在排期完成阶段，通过庭审材料校验模型、合议庭笔录签名缺失校验等模型进行过程信息完整性和安全合规性校验，校验结果通过数字助理同步法官。</w:t>
            </w:r>
          </w:p>
        </w:tc>
      </w:tr>
      <w:tr w14:paraId="7C631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46AE27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46</w:t>
            </w:r>
          </w:p>
        </w:tc>
        <w:tc>
          <w:tcPr>
            <w:tcW w:w="461" w:type="pct"/>
            <w:vMerge w:val="continue"/>
            <w:shd w:val="clear" w:color="auto" w:fill="auto"/>
            <w:noWrap/>
            <w:vAlign w:val="center"/>
          </w:tcPr>
          <w:p w14:paraId="564BACD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38B59DB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评议材料审查</w:t>
            </w:r>
          </w:p>
        </w:tc>
        <w:tc>
          <w:tcPr>
            <w:tcW w:w="620" w:type="pct"/>
            <w:shd w:val="clear" w:color="auto" w:fill="auto"/>
            <w:vAlign w:val="center"/>
          </w:tcPr>
          <w:p w14:paraId="60DC4D5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减刑假释案件信息双向巡检服务</w:t>
            </w:r>
          </w:p>
        </w:tc>
        <w:tc>
          <w:tcPr>
            <w:tcW w:w="2968" w:type="pct"/>
            <w:shd w:val="clear" w:color="auto" w:fill="auto"/>
            <w:vAlign w:val="center"/>
          </w:tcPr>
          <w:p w14:paraId="4B9533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在结案阶段，通过假释减刑案件结案信息项校验模型进行减刑案件结案信息双向巡检，调用自动抽取插件回填至相应缺少信息的功能页面</w:t>
            </w:r>
          </w:p>
        </w:tc>
      </w:tr>
      <w:tr w14:paraId="040EE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882F66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47</w:t>
            </w:r>
          </w:p>
        </w:tc>
        <w:tc>
          <w:tcPr>
            <w:tcW w:w="461" w:type="pct"/>
            <w:vMerge w:val="continue"/>
            <w:shd w:val="clear" w:color="auto" w:fill="auto"/>
            <w:noWrap/>
            <w:vAlign w:val="center"/>
          </w:tcPr>
          <w:p w14:paraId="20C0A56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3BF187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322388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公示情况双向巡检服务</w:t>
            </w:r>
          </w:p>
        </w:tc>
        <w:tc>
          <w:tcPr>
            <w:tcW w:w="2968" w:type="pct"/>
            <w:shd w:val="clear" w:color="auto" w:fill="auto"/>
            <w:vAlign w:val="center"/>
          </w:tcPr>
          <w:p w14:paraId="2D5E978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调用公示情况信息项校验模型，开发减刑假释案件公示信息双向巡检功能，如是否公示为“是”，但公示结果为空；或者是否公示为“否”，但未公示原因为空等，调用自动抽取插件回填至相应缺少信息的功能页面。</w:t>
            </w:r>
          </w:p>
        </w:tc>
      </w:tr>
      <w:tr w14:paraId="01CA5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2ECC37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48</w:t>
            </w:r>
          </w:p>
        </w:tc>
        <w:tc>
          <w:tcPr>
            <w:tcW w:w="461" w:type="pct"/>
            <w:vMerge w:val="continue"/>
            <w:shd w:val="clear" w:color="auto" w:fill="auto"/>
            <w:noWrap/>
            <w:vAlign w:val="center"/>
          </w:tcPr>
          <w:p w14:paraId="5214A7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92E67D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AADD73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诉讼费减、免、缓交案件情况智能验卷服务</w:t>
            </w:r>
          </w:p>
        </w:tc>
        <w:tc>
          <w:tcPr>
            <w:tcW w:w="2968" w:type="pct"/>
            <w:shd w:val="clear" w:color="auto" w:fill="auto"/>
            <w:vAlign w:val="center"/>
          </w:tcPr>
          <w:p w14:paraId="35FB23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在结案阶段，通过诉讼费减、免、缓交结案法律援助佐证材料校验模型，对诉讼费减、免、缓交结案信息进行双向巡检，若法律援助信息未填写完整，调用自动抽取插件回填至相应缺少信息的功能页面</w:t>
            </w:r>
          </w:p>
        </w:tc>
      </w:tr>
      <w:tr w14:paraId="4A59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E9488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49</w:t>
            </w:r>
          </w:p>
        </w:tc>
        <w:tc>
          <w:tcPr>
            <w:tcW w:w="461" w:type="pct"/>
            <w:vMerge w:val="continue"/>
            <w:shd w:val="clear" w:color="auto" w:fill="auto"/>
            <w:noWrap/>
            <w:vAlign w:val="center"/>
          </w:tcPr>
          <w:p w14:paraId="03E875F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327D18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00D66E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鉴定信息双向巡检服务</w:t>
            </w:r>
          </w:p>
        </w:tc>
        <w:tc>
          <w:tcPr>
            <w:tcW w:w="2968" w:type="pct"/>
            <w:shd w:val="clear" w:color="auto" w:fill="auto"/>
            <w:vAlign w:val="center"/>
          </w:tcPr>
          <w:p w14:paraId="50AA271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道交案件结案鉴定佐证材料校验模型，对鉴定结案信息双向巡检，如果在系统中有鉴定申请记录，但本案的鉴定机构、鉴定情况和鉴定结束日期未填写完整，则调用自动抽取插件回填至相应缺少信息的功能页面</w:t>
            </w:r>
          </w:p>
        </w:tc>
      </w:tr>
      <w:tr w14:paraId="551F1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FEFDA9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50</w:t>
            </w:r>
          </w:p>
        </w:tc>
        <w:tc>
          <w:tcPr>
            <w:tcW w:w="461" w:type="pct"/>
            <w:vMerge w:val="continue"/>
            <w:shd w:val="clear" w:color="auto" w:fill="auto"/>
            <w:noWrap/>
            <w:vAlign w:val="center"/>
          </w:tcPr>
          <w:p w14:paraId="792FC33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F8ED21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296946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刑事速裁案件智能验卷服务</w:t>
            </w:r>
          </w:p>
        </w:tc>
        <w:tc>
          <w:tcPr>
            <w:tcW w:w="2968" w:type="pct"/>
            <w:shd w:val="clear" w:color="auto" w:fill="auto"/>
            <w:vAlign w:val="center"/>
          </w:tcPr>
          <w:p w14:paraId="182E7DE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刑事速裁案件速裁信息项校验模型，对刑事速裁案件智能双向巡检，若缺少的信息内容，如启动非法证据排除情况、法院自行启动速裁程序情况等，则调用自动抽取插件回填至相应缺少信息的功能页面</w:t>
            </w:r>
          </w:p>
        </w:tc>
      </w:tr>
      <w:tr w14:paraId="4BB7F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49C2A4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51</w:t>
            </w:r>
          </w:p>
        </w:tc>
        <w:tc>
          <w:tcPr>
            <w:tcW w:w="461" w:type="pct"/>
            <w:vMerge w:val="continue"/>
            <w:shd w:val="clear" w:color="auto" w:fill="auto"/>
            <w:noWrap/>
            <w:vAlign w:val="center"/>
          </w:tcPr>
          <w:p w14:paraId="48A16FA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6D716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1D52E6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被告人刑期信息监测结果通知</w:t>
            </w:r>
          </w:p>
        </w:tc>
        <w:tc>
          <w:tcPr>
            <w:tcW w:w="2968" w:type="pct"/>
            <w:shd w:val="clear" w:color="auto" w:fill="auto"/>
            <w:vAlign w:val="center"/>
          </w:tcPr>
          <w:p w14:paraId="6E6BF6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在结案阶段，通过被告人刑期信息项校验模型，开发被告人刑期信息核验服务，若存在不一致或缺失的情况，通过数字助理的通知中心同步立案法官，可调用自动抽取插件回填至相应缺少信息的功能页面</w:t>
            </w:r>
          </w:p>
        </w:tc>
      </w:tr>
      <w:tr w14:paraId="1916D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6317F1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52</w:t>
            </w:r>
          </w:p>
        </w:tc>
        <w:tc>
          <w:tcPr>
            <w:tcW w:w="461" w:type="pct"/>
            <w:vMerge w:val="continue"/>
            <w:shd w:val="clear" w:color="auto" w:fill="auto"/>
            <w:noWrap/>
            <w:vAlign w:val="center"/>
          </w:tcPr>
          <w:p w14:paraId="27B8C0A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101367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53CFBA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改判案件结案方式双向巡检服务</w:t>
            </w:r>
          </w:p>
        </w:tc>
        <w:tc>
          <w:tcPr>
            <w:tcW w:w="2968" w:type="pct"/>
            <w:shd w:val="clear" w:color="auto" w:fill="auto"/>
            <w:vAlign w:val="center"/>
          </w:tcPr>
          <w:p w14:paraId="21BB59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在结案阶段，通过改判案件结案信息项校验模型，对改判案件结案信息进行双向巡检功能，若改判原因为空时，调用自动抽取插件回填至相应缺少信息的功能页面</w:t>
            </w:r>
          </w:p>
        </w:tc>
      </w:tr>
      <w:tr w14:paraId="508C8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3F4980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53</w:t>
            </w:r>
          </w:p>
        </w:tc>
        <w:tc>
          <w:tcPr>
            <w:tcW w:w="461" w:type="pct"/>
            <w:vMerge w:val="continue"/>
            <w:shd w:val="clear" w:color="auto" w:fill="auto"/>
            <w:noWrap/>
            <w:vAlign w:val="center"/>
          </w:tcPr>
          <w:p w14:paraId="53F6425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2D620D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46F4EB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发回重审案件结案方式双向巡检服务</w:t>
            </w:r>
          </w:p>
        </w:tc>
        <w:tc>
          <w:tcPr>
            <w:tcW w:w="2968" w:type="pct"/>
            <w:shd w:val="clear" w:color="auto" w:fill="auto"/>
            <w:vAlign w:val="center"/>
          </w:tcPr>
          <w:p w14:paraId="0BED2B0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在结案阶段，通过发回重申案件结案信息项校验模型，对发回重审案件结案信息进行双向巡检，若发回重审原因为空时，调用自动抽取插件回填至相应缺少信息的功能页面</w:t>
            </w:r>
          </w:p>
        </w:tc>
      </w:tr>
      <w:tr w14:paraId="00AA2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FF760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54</w:t>
            </w:r>
          </w:p>
        </w:tc>
        <w:tc>
          <w:tcPr>
            <w:tcW w:w="461" w:type="pct"/>
            <w:vMerge w:val="continue"/>
            <w:shd w:val="clear" w:color="auto" w:fill="auto"/>
            <w:noWrap/>
            <w:vAlign w:val="center"/>
          </w:tcPr>
          <w:p w14:paraId="4325093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4A14A5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0DC6E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移送案件结案方式双向巡检服务</w:t>
            </w:r>
          </w:p>
        </w:tc>
        <w:tc>
          <w:tcPr>
            <w:tcW w:w="2968" w:type="pct"/>
            <w:shd w:val="clear" w:color="auto" w:fill="auto"/>
            <w:vAlign w:val="center"/>
          </w:tcPr>
          <w:p w14:paraId="070D830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在结案阶段，通过移送案件结案信息项校验模型，对移送案件结案信息进行双向巡检，若移送原因为空时，调用自动抽取插件回填至相应缺少信息的功能页面</w:t>
            </w:r>
          </w:p>
        </w:tc>
      </w:tr>
      <w:tr w14:paraId="4E79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A2002E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55</w:t>
            </w:r>
          </w:p>
        </w:tc>
        <w:tc>
          <w:tcPr>
            <w:tcW w:w="461" w:type="pct"/>
            <w:vMerge w:val="continue"/>
            <w:shd w:val="clear" w:color="auto" w:fill="auto"/>
            <w:noWrap/>
            <w:vAlign w:val="center"/>
          </w:tcPr>
          <w:p w14:paraId="7686E09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1A76C3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7A0C27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撤诉案件结案方式双向巡检服务</w:t>
            </w:r>
          </w:p>
        </w:tc>
        <w:tc>
          <w:tcPr>
            <w:tcW w:w="2968" w:type="pct"/>
            <w:shd w:val="clear" w:color="auto" w:fill="auto"/>
            <w:vAlign w:val="center"/>
          </w:tcPr>
          <w:p w14:paraId="15CB0B4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在结案阶段，调用撤诉案件结案信息项校验模型，对撤诉案件结案信息进行双向巡检，若撤诉理由为空时，调用自动抽取插件回填至相应缺少信息的功能页面</w:t>
            </w:r>
          </w:p>
        </w:tc>
      </w:tr>
      <w:tr w14:paraId="1A51B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A4D9B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56</w:t>
            </w:r>
          </w:p>
        </w:tc>
        <w:tc>
          <w:tcPr>
            <w:tcW w:w="461" w:type="pct"/>
            <w:vMerge w:val="continue"/>
            <w:shd w:val="clear" w:color="auto" w:fill="auto"/>
            <w:noWrap/>
            <w:vAlign w:val="center"/>
          </w:tcPr>
          <w:p w14:paraId="0E59485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D8E267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71DE21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离婚案件结案方式双向巡检服务</w:t>
            </w:r>
          </w:p>
        </w:tc>
        <w:tc>
          <w:tcPr>
            <w:tcW w:w="2968" w:type="pct"/>
            <w:shd w:val="clear" w:color="auto" w:fill="auto"/>
            <w:vAlign w:val="center"/>
          </w:tcPr>
          <w:p w14:paraId="5C1E65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离婚案件结案信息佐证材料校验模型，对离婚案件结案信息进行双向巡检，若缺少的当事人身份信息，包括当事人性别、生日及身份证号码有效性等，调用自动抽取插件回填至相应缺少信息的功能页面</w:t>
            </w:r>
          </w:p>
        </w:tc>
      </w:tr>
      <w:tr w14:paraId="4B2F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99BF79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57</w:t>
            </w:r>
          </w:p>
        </w:tc>
        <w:tc>
          <w:tcPr>
            <w:tcW w:w="461" w:type="pct"/>
            <w:vMerge w:val="continue"/>
            <w:shd w:val="clear" w:color="auto" w:fill="auto"/>
            <w:noWrap/>
            <w:vAlign w:val="center"/>
          </w:tcPr>
          <w:p w14:paraId="5632A8E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7C06BA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F268AF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保护禁令案件结案方式双向巡检服务</w:t>
            </w:r>
          </w:p>
        </w:tc>
        <w:tc>
          <w:tcPr>
            <w:tcW w:w="2968" w:type="pct"/>
            <w:shd w:val="clear" w:color="auto" w:fill="auto"/>
            <w:vAlign w:val="center"/>
          </w:tcPr>
          <w:p w14:paraId="5CE89D8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保令、民保更字号案件，在结案阶段，通过保护禁令案件结案信息项校验模型，对保护禁令案件结案信息进行双向巡检，若缺少信息，如保护令作出日期、措施种类、保护有效期开始、结束日期等，调用自动抽取插件回填至相应缺少信息的功能页面</w:t>
            </w:r>
          </w:p>
        </w:tc>
      </w:tr>
      <w:tr w14:paraId="250EA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AC3682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58</w:t>
            </w:r>
          </w:p>
        </w:tc>
        <w:tc>
          <w:tcPr>
            <w:tcW w:w="461" w:type="pct"/>
            <w:vMerge w:val="continue"/>
            <w:shd w:val="clear" w:color="auto" w:fill="auto"/>
            <w:noWrap/>
            <w:vAlign w:val="center"/>
          </w:tcPr>
          <w:p w14:paraId="3351198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02976F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A4844A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被告人作案情况监测结果通知</w:t>
            </w:r>
          </w:p>
        </w:tc>
        <w:tc>
          <w:tcPr>
            <w:tcW w:w="2968" w:type="pct"/>
            <w:shd w:val="clear" w:color="auto" w:fill="auto"/>
            <w:vAlign w:val="center"/>
          </w:tcPr>
          <w:p w14:paraId="51C6E8B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根据刑事案件的审理规则，通过被告人作案情况信息项校验模型，开发被告人作案信息核验服务，从裁判文书、检察意见书等卷宗材料中获取的被告人作案信息内容（如，作案时间、作案地点等信息）与审判系统中登记的作案信息内容进行比对核验，若存在不一致或缺失的情况，通过数字助理的通知中心同步立案法官，可调用自动抽取插件回填至相应缺少信息的功能页面</w:t>
            </w:r>
          </w:p>
        </w:tc>
      </w:tr>
      <w:tr w14:paraId="237C0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35866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59</w:t>
            </w:r>
          </w:p>
        </w:tc>
        <w:tc>
          <w:tcPr>
            <w:tcW w:w="461" w:type="pct"/>
            <w:vMerge w:val="continue"/>
            <w:shd w:val="clear" w:color="auto" w:fill="auto"/>
            <w:noWrap/>
            <w:vAlign w:val="center"/>
          </w:tcPr>
          <w:p w14:paraId="29E830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0107A37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法律文书审查</w:t>
            </w:r>
          </w:p>
        </w:tc>
        <w:tc>
          <w:tcPr>
            <w:tcW w:w="620" w:type="pct"/>
            <w:shd w:val="clear" w:color="auto" w:fill="auto"/>
            <w:vAlign w:val="center"/>
          </w:tcPr>
          <w:p w14:paraId="083FA5B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原审作出生效法律文书巡检服务</w:t>
            </w:r>
          </w:p>
        </w:tc>
        <w:tc>
          <w:tcPr>
            <w:tcW w:w="2968" w:type="pct"/>
            <w:shd w:val="clear" w:color="auto" w:fill="auto"/>
            <w:vAlign w:val="center"/>
          </w:tcPr>
          <w:p w14:paraId="6657528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根据民事申请再审审查案件的审理规则，通过原审作出生效法律文书信息项校验模型，对原审作出生效法律文书双向巡检，若原审作出生效法律文书中申请再审事由、提起再审事由等信息缺少内容，则调用自动抽取插件回填至相应缺少信息的功能页面</w:t>
            </w:r>
          </w:p>
        </w:tc>
      </w:tr>
      <w:tr w14:paraId="44F9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739403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60</w:t>
            </w:r>
          </w:p>
        </w:tc>
        <w:tc>
          <w:tcPr>
            <w:tcW w:w="461" w:type="pct"/>
            <w:vMerge w:val="continue"/>
            <w:shd w:val="clear" w:color="auto" w:fill="auto"/>
            <w:noWrap/>
            <w:vAlign w:val="center"/>
          </w:tcPr>
          <w:p w14:paraId="58E08F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468EBC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C20B94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民事申请再审案件听证信息核验服务</w:t>
            </w:r>
          </w:p>
        </w:tc>
        <w:tc>
          <w:tcPr>
            <w:tcW w:w="2968" w:type="pct"/>
            <w:shd w:val="clear" w:color="auto" w:fill="auto"/>
            <w:vAlign w:val="center"/>
          </w:tcPr>
          <w:p w14:paraId="5736892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在结案阶段，通过民事申请再商案件听证信息佐证材料校验模型，对民事申请再审案件听证信息的双向巡检，若缺少的听证信息内容，则调用自动抽取插件回填至相应缺少信息的功能页面</w:t>
            </w:r>
          </w:p>
        </w:tc>
      </w:tr>
      <w:tr w14:paraId="437D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E422D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61</w:t>
            </w:r>
          </w:p>
        </w:tc>
        <w:tc>
          <w:tcPr>
            <w:tcW w:w="461" w:type="pct"/>
            <w:vMerge w:val="continue"/>
            <w:shd w:val="clear" w:color="auto" w:fill="auto"/>
            <w:noWrap/>
            <w:vAlign w:val="center"/>
          </w:tcPr>
          <w:p w14:paraId="1D2686C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3D60C9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8CC965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按案模板审查</w:t>
            </w:r>
          </w:p>
        </w:tc>
        <w:tc>
          <w:tcPr>
            <w:tcW w:w="2968" w:type="pct"/>
            <w:shd w:val="clear" w:color="auto" w:fill="auto"/>
            <w:vAlign w:val="center"/>
          </w:tcPr>
          <w:p w14:paraId="1DBD5FB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通过调用各案件目录检测模型，支持不同的案件类型（刑事一审、刑事二审、民事一审、民事二审、行政一审、行政二审、首次执行案件）进行审查，审查内容包括目录分类是否准确，立案材料排列是否规范等，校验结果通过卷宗数字助理通知办案法官。</w:t>
            </w:r>
          </w:p>
        </w:tc>
      </w:tr>
      <w:tr w14:paraId="0E133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40364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62</w:t>
            </w:r>
          </w:p>
        </w:tc>
        <w:tc>
          <w:tcPr>
            <w:tcW w:w="461" w:type="pct"/>
            <w:vMerge w:val="continue"/>
            <w:shd w:val="clear" w:color="auto" w:fill="auto"/>
            <w:noWrap/>
            <w:vAlign w:val="center"/>
          </w:tcPr>
          <w:p w14:paraId="0269663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43D5DF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A8006F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卷宗挂接文件审查</w:t>
            </w:r>
          </w:p>
        </w:tc>
        <w:tc>
          <w:tcPr>
            <w:tcW w:w="2968" w:type="pct"/>
            <w:shd w:val="clear" w:color="auto" w:fill="auto"/>
            <w:vAlign w:val="center"/>
          </w:tcPr>
          <w:p w14:paraId="31A007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在结案阶段支持调用未编目检测等模型，审查宗卷挂接文件是否准确，并提供卷宗数字助理提示法官</w:t>
            </w:r>
          </w:p>
        </w:tc>
      </w:tr>
      <w:tr w14:paraId="77141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9362CE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63</w:t>
            </w:r>
          </w:p>
        </w:tc>
        <w:tc>
          <w:tcPr>
            <w:tcW w:w="461" w:type="pct"/>
            <w:vMerge w:val="continue"/>
            <w:shd w:val="clear" w:color="auto" w:fill="auto"/>
            <w:noWrap/>
            <w:vAlign w:val="center"/>
          </w:tcPr>
          <w:p w14:paraId="276F43E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267837A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审理期限审查</w:t>
            </w:r>
          </w:p>
        </w:tc>
        <w:tc>
          <w:tcPr>
            <w:tcW w:w="620" w:type="pct"/>
            <w:shd w:val="clear" w:color="auto" w:fill="auto"/>
            <w:vAlign w:val="center"/>
          </w:tcPr>
          <w:p w14:paraId="641B12E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时限审查</w:t>
            </w:r>
          </w:p>
        </w:tc>
        <w:tc>
          <w:tcPr>
            <w:tcW w:w="2968" w:type="pct"/>
            <w:shd w:val="clear" w:color="auto" w:fill="auto"/>
            <w:vAlign w:val="center"/>
          </w:tcPr>
          <w:p w14:paraId="6BAC1F5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审理阶段通过调用审理期限检测模型，对民事案件、刑事案件、行政案件、特别程序案件、审判监督程序案件、督促程序案件的电子卷宗归档预审核时限进行审查，并根据当前业务流程情况提供流程剩余时间。校验结果通过卷宗数字助理通知立案法官。</w:t>
            </w:r>
          </w:p>
        </w:tc>
      </w:tr>
      <w:tr w14:paraId="74571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8B5DB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64</w:t>
            </w:r>
          </w:p>
        </w:tc>
        <w:tc>
          <w:tcPr>
            <w:tcW w:w="461" w:type="pct"/>
            <w:vMerge w:val="continue"/>
            <w:shd w:val="clear" w:color="auto" w:fill="auto"/>
            <w:noWrap/>
            <w:vAlign w:val="center"/>
          </w:tcPr>
          <w:p w14:paraId="3C95F4F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D7C7E8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5496CE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超期提示及预警</w:t>
            </w:r>
          </w:p>
        </w:tc>
        <w:tc>
          <w:tcPr>
            <w:tcW w:w="2968" w:type="pct"/>
            <w:shd w:val="clear" w:color="auto" w:fill="auto"/>
            <w:vAlign w:val="center"/>
          </w:tcPr>
          <w:p w14:paraId="5774FEA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针对已超期的案件进行高亮提醒和超期时间计算，对于即将超期的案件进行高亮预警并提示剩余时间，提示办案人员尽快完成案件流程。校验结果通过卷宗数字助理通知立案法官。</w:t>
            </w:r>
          </w:p>
        </w:tc>
      </w:tr>
      <w:tr w14:paraId="3AB8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6D30DC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65</w:t>
            </w:r>
          </w:p>
        </w:tc>
        <w:tc>
          <w:tcPr>
            <w:tcW w:w="461" w:type="pct"/>
            <w:vMerge w:val="continue"/>
            <w:shd w:val="clear" w:color="auto" w:fill="auto"/>
            <w:noWrap/>
            <w:vAlign w:val="center"/>
          </w:tcPr>
          <w:p w14:paraId="012114D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7757B21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执行期限审查</w:t>
            </w:r>
          </w:p>
        </w:tc>
        <w:tc>
          <w:tcPr>
            <w:tcW w:w="620" w:type="pct"/>
            <w:shd w:val="clear" w:color="auto" w:fill="auto"/>
            <w:vAlign w:val="center"/>
          </w:tcPr>
          <w:p w14:paraId="205B87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时限审查</w:t>
            </w:r>
          </w:p>
        </w:tc>
        <w:tc>
          <w:tcPr>
            <w:tcW w:w="2968" w:type="pct"/>
            <w:shd w:val="clear" w:color="auto" w:fill="auto"/>
            <w:vAlign w:val="center"/>
          </w:tcPr>
          <w:p w14:paraId="7372A0D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在执行阶段通过调用执行期限检测模型，对执行案件中申请财产保全和申请证据保全的流程时限进行审查，并根据当前业务流程情况提供流程剩余时间。校验结果通过卷宗数字助理通知立案法官。</w:t>
            </w:r>
          </w:p>
        </w:tc>
      </w:tr>
      <w:tr w14:paraId="4D58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11190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66</w:t>
            </w:r>
          </w:p>
        </w:tc>
        <w:tc>
          <w:tcPr>
            <w:tcW w:w="461" w:type="pct"/>
            <w:vMerge w:val="continue"/>
            <w:shd w:val="clear" w:color="auto" w:fill="auto"/>
            <w:noWrap/>
            <w:vAlign w:val="center"/>
          </w:tcPr>
          <w:p w14:paraId="35FEC60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723611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F6123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超期提示及预警</w:t>
            </w:r>
          </w:p>
        </w:tc>
        <w:tc>
          <w:tcPr>
            <w:tcW w:w="2968" w:type="pct"/>
            <w:shd w:val="clear" w:color="auto" w:fill="auto"/>
            <w:vAlign w:val="center"/>
          </w:tcPr>
          <w:p w14:paraId="3BE5CF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针对已超期的案件进行高亮提醒和超期时间计算，对于即将超期的案件进行高亮预警并提示剩余时间，提示办案人员尽快完成案件流程。校验结果通过卷宗数字助理通知立案法官。</w:t>
            </w:r>
          </w:p>
        </w:tc>
      </w:tr>
      <w:tr w14:paraId="0211A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08881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67</w:t>
            </w:r>
          </w:p>
        </w:tc>
        <w:tc>
          <w:tcPr>
            <w:tcW w:w="461" w:type="pct"/>
            <w:vMerge w:val="restart"/>
            <w:shd w:val="clear" w:color="auto" w:fill="auto"/>
            <w:noWrap/>
            <w:vAlign w:val="center"/>
          </w:tcPr>
          <w:p w14:paraId="5C807DA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电子卷宗预归档整理阶段</w:t>
            </w:r>
          </w:p>
        </w:tc>
        <w:tc>
          <w:tcPr>
            <w:tcW w:w="520" w:type="pct"/>
            <w:vMerge w:val="restart"/>
            <w:shd w:val="clear" w:color="auto" w:fill="auto"/>
            <w:vAlign w:val="center"/>
          </w:tcPr>
          <w:p w14:paraId="5CFA19A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“目录卷”预归档审核</w:t>
            </w:r>
          </w:p>
        </w:tc>
        <w:tc>
          <w:tcPr>
            <w:tcW w:w="620" w:type="pct"/>
            <w:shd w:val="clear" w:color="auto" w:fill="auto"/>
            <w:vAlign w:val="center"/>
          </w:tcPr>
          <w:p w14:paraId="1A75A46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正副卷审查</w:t>
            </w:r>
          </w:p>
        </w:tc>
        <w:tc>
          <w:tcPr>
            <w:tcW w:w="2968" w:type="pct"/>
            <w:shd w:val="clear" w:color="auto" w:fill="auto"/>
            <w:vAlign w:val="center"/>
          </w:tcPr>
          <w:p w14:paraId="0EF730F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未归入副卷材料检测模型，支持对重要材料未归入副卷进行审查，审查内容包括：包括拟稿、会议挺笔录、专业法官会议记录、审委会会议记录、审理报告是否归入副卷等。校验结果通过卷宗数字助理通知法官，并可对材料进行修正。</w:t>
            </w:r>
          </w:p>
        </w:tc>
      </w:tr>
      <w:tr w14:paraId="3BB3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FDA904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68</w:t>
            </w:r>
          </w:p>
        </w:tc>
        <w:tc>
          <w:tcPr>
            <w:tcW w:w="461" w:type="pct"/>
            <w:vMerge w:val="continue"/>
            <w:shd w:val="clear" w:color="auto" w:fill="auto"/>
            <w:noWrap/>
            <w:vAlign w:val="center"/>
          </w:tcPr>
          <w:p w14:paraId="105E2ED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F08D29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6D19A5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补充提交材料审查</w:t>
            </w:r>
          </w:p>
        </w:tc>
        <w:tc>
          <w:tcPr>
            <w:tcW w:w="2968" w:type="pct"/>
            <w:shd w:val="clear" w:color="auto" w:fill="auto"/>
            <w:vAlign w:val="center"/>
          </w:tcPr>
          <w:p w14:paraId="2B4E19E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支持通过未编目检测，审查文件是否漏扫，并通过卷宗数字助理提示卷宗扫描人员进行补扫插入。</w:t>
            </w:r>
          </w:p>
        </w:tc>
      </w:tr>
      <w:tr w14:paraId="41A2B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A66334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69</w:t>
            </w:r>
          </w:p>
        </w:tc>
        <w:tc>
          <w:tcPr>
            <w:tcW w:w="461" w:type="pct"/>
            <w:vMerge w:val="continue"/>
            <w:shd w:val="clear" w:color="auto" w:fill="auto"/>
            <w:noWrap/>
            <w:vAlign w:val="center"/>
          </w:tcPr>
          <w:p w14:paraId="5FA8109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83C624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83554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扫描质量审查</w:t>
            </w:r>
          </w:p>
        </w:tc>
        <w:tc>
          <w:tcPr>
            <w:tcW w:w="2968" w:type="pct"/>
            <w:shd w:val="clear" w:color="auto" w:fill="auto"/>
            <w:vAlign w:val="center"/>
          </w:tcPr>
          <w:p w14:paraId="6DB8E6E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最高人民法院《纸质档案数字化规范》要求，通过调用图片倒置检测增强等模型，对当事人递交的纸质扫描后的材料进行质量审查，审查材料包括：起诉状、证据材料、身份证明、授权委托书等，质量审查内容包括：在现有对不符合阅读方向的数字图像进行自动旋转还原，对出现偏斜的图像自动纠偏处理，对数字图像进行裁边、去污点等影响图像质量的杂质处理，新增修正材料前后匹对。校验结果通过卷宗数字助理通知法官，并可对材料进行修正。</w:t>
            </w:r>
          </w:p>
        </w:tc>
      </w:tr>
      <w:tr w14:paraId="52298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164AAA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70</w:t>
            </w:r>
          </w:p>
        </w:tc>
        <w:tc>
          <w:tcPr>
            <w:tcW w:w="461" w:type="pct"/>
            <w:vMerge w:val="continue"/>
            <w:shd w:val="clear" w:color="auto" w:fill="auto"/>
            <w:noWrap/>
            <w:vAlign w:val="center"/>
          </w:tcPr>
          <w:p w14:paraId="1F1EFFC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F4945D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788751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重复材料删除</w:t>
            </w:r>
          </w:p>
        </w:tc>
        <w:tc>
          <w:tcPr>
            <w:tcW w:w="2968" w:type="pct"/>
            <w:shd w:val="clear" w:color="auto" w:fill="auto"/>
            <w:vAlign w:val="center"/>
          </w:tcPr>
          <w:p w14:paraId="304F180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预归档阶段，调用同目录下重复材料检测模型、重复裁定书检测等模型对目录下相同文件名称、重要法律文书，如裁定书、判决书、调解书等进行重复材料校验，校验结果通过数字助理提示到法官，并对重复材料保留材料进行勾选确认后一键删除。</w:t>
            </w:r>
          </w:p>
        </w:tc>
      </w:tr>
      <w:tr w14:paraId="1428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FA82C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71</w:t>
            </w:r>
          </w:p>
        </w:tc>
        <w:tc>
          <w:tcPr>
            <w:tcW w:w="461" w:type="pct"/>
            <w:vMerge w:val="continue"/>
            <w:shd w:val="clear" w:color="auto" w:fill="auto"/>
            <w:noWrap/>
            <w:vAlign w:val="center"/>
          </w:tcPr>
          <w:p w14:paraId="34C90FC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0BF1DF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3A0933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无需归档材料删除</w:t>
            </w:r>
          </w:p>
        </w:tc>
        <w:tc>
          <w:tcPr>
            <w:tcW w:w="2968" w:type="pct"/>
            <w:shd w:val="clear" w:color="auto" w:fill="auto"/>
            <w:vAlign w:val="center"/>
          </w:tcPr>
          <w:p w14:paraId="65B741F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预归档阶段，调用绿标身份证复印件无需归档等模型对挂接材料进行校验、获取出不需要要进行归档的材料，如绿标的营业执照复印件、身份证复印件、律师证复印件，空白的送达回证等，校验结果通过数字助理提示到法官，并对无需归档的材料一键从归档目录中移除。</w:t>
            </w:r>
          </w:p>
        </w:tc>
      </w:tr>
      <w:tr w14:paraId="1C6D5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4E8B8F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72</w:t>
            </w:r>
          </w:p>
        </w:tc>
        <w:tc>
          <w:tcPr>
            <w:tcW w:w="461" w:type="pct"/>
            <w:vMerge w:val="continue"/>
            <w:shd w:val="clear" w:color="auto" w:fill="auto"/>
            <w:noWrap/>
            <w:vAlign w:val="center"/>
          </w:tcPr>
          <w:p w14:paraId="7CD6537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77DA97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C14959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按案模板审查</w:t>
            </w:r>
          </w:p>
        </w:tc>
        <w:tc>
          <w:tcPr>
            <w:tcW w:w="2968" w:type="pct"/>
            <w:shd w:val="clear" w:color="auto" w:fill="auto"/>
            <w:vAlign w:val="center"/>
          </w:tcPr>
          <w:p w14:paraId="5930E95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预归档阶段通过调用各案件目录检测模型，支持不同的案件类型（刑事一审、刑事二审、民事一审、民事二审、行政一审、行政二审、首次执行案件）进行审查，审查内容包括目录分类是否准确，立案材料排列是否规范等，校验结果通过卷宗数字助理通知法官</w:t>
            </w:r>
          </w:p>
        </w:tc>
      </w:tr>
      <w:tr w14:paraId="48893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54242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73</w:t>
            </w:r>
          </w:p>
        </w:tc>
        <w:tc>
          <w:tcPr>
            <w:tcW w:w="461" w:type="pct"/>
            <w:vMerge w:val="continue"/>
            <w:shd w:val="clear" w:color="auto" w:fill="auto"/>
            <w:noWrap/>
            <w:vAlign w:val="center"/>
          </w:tcPr>
          <w:p w14:paraId="001F9E8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BFBF9B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C3BDD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卷宗挂接文件审查</w:t>
            </w:r>
          </w:p>
        </w:tc>
        <w:tc>
          <w:tcPr>
            <w:tcW w:w="2968" w:type="pct"/>
            <w:shd w:val="clear" w:color="auto" w:fill="auto"/>
            <w:vAlign w:val="center"/>
          </w:tcPr>
          <w:p w14:paraId="2B03EB2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在预归档阶段支持调用未编目检测等模型，审查宗卷挂接文件是否准确，校验结果通过卷宗数字助理通知法官</w:t>
            </w:r>
          </w:p>
        </w:tc>
      </w:tr>
      <w:tr w14:paraId="2CC57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7BA65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74</w:t>
            </w:r>
          </w:p>
        </w:tc>
        <w:tc>
          <w:tcPr>
            <w:tcW w:w="461" w:type="pct"/>
            <w:vMerge w:val="continue"/>
            <w:shd w:val="clear" w:color="auto" w:fill="auto"/>
            <w:noWrap/>
            <w:vAlign w:val="center"/>
          </w:tcPr>
          <w:p w14:paraId="5679844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7A6872E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随案音像材料质量检查</w:t>
            </w:r>
          </w:p>
        </w:tc>
        <w:tc>
          <w:tcPr>
            <w:tcW w:w="620" w:type="pct"/>
            <w:shd w:val="clear" w:color="auto" w:fill="auto"/>
            <w:vAlign w:val="center"/>
          </w:tcPr>
          <w:p w14:paraId="5F41F9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庭审视频审查</w:t>
            </w:r>
          </w:p>
        </w:tc>
        <w:tc>
          <w:tcPr>
            <w:tcW w:w="2968" w:type="pct"/>
            <w:shd w:val="clear" w:color="auto" w:fill="auto"/>
            <w:vAlign w:val="center"/>
          </w:tcPr>
          <w:p w14:paraId="6F9A7C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调用视频质量检测增强模型，对庭审视频进行质量审查，审查内容包括视频内容可读，连续性检测，异常视频通过卷宗数字助理提示法官，并提供视频增强插件，对视频降噪音、去除杂音、提升视频清晰度基础检测能力，并可一键查看原视频和调优后的视频对比。</w:t>
            </w:r>
          </w:p>
        </w:tc>
      </w:tr>
      <w:tr w14:paraId="34A9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FE4B7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75</w:t>
            </w:r>
          </w:p>
        </w:tc>
        <w:tc>
          <w:tcPr>
            <w:tcW w:w="461" w:type="pct"/>
            <w:vMerge w:val="continue"/>
            <w:shd w:val="clear" w:color="auto" w:fill="auto"/>
            <w:noWrap/>
            <w:vAlign w:val="center"/>
          </w:tcPr>
          <w:p w14:paraId="147082D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3AFEAA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E3482C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音视频数量校对</w:t>
            </w:r>
          </w:p>
        </w:tc>
        <w:tc>
          <w:tcPr>
            <w:tcW w:w="2968" w:type="pct"/>
            <w:shd w:val="clear" w:color="auto" w:fill="auto"/>
            <w:vAlign w:val="center"/>
          </w:tcPr>
          <w:p w14:paraId="2D2B254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支持调用音频、视频文件个数校验等模型，通过数字助理展示音视频数量总数和清单，对于预归档提交的归档信息中的音视频数量进行对比，校验结果通过卷宗数字助理通知法官</w:t>
            </w:r>
          </w:p>
        </w:tc>
      </w:tr>
      <w:tr w14:paraId="43B8D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D7D720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76</w:t>
            </w:r>
          </w:p>
        </w:tc>
        <w:tc>
          <w:tcPr>
            <w:tcW w:w="461" w:type="pct"/>
            <w:vMerge w:val="continue"/>
            <w:shd w:val="clear" w:color="auto" w:fill="auto"/>
            <w:noWrap/>
            <w:vAlign w:val="center"/>
          </w:tcPr>
          <w:p w14:paraId="2031699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01F43F9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裁判文书质量检查</w:t>
            </w:r>
          </w:p>
        </w:tc>
        <w:tc>
          <w:tcPr>
            <w:tcW w:w="620" w:type="pct"/>
            <w:shd w:val="clear" w:color="auto" w:fill="auto"/>
            <w:vAlign w:val="center"/>
          </w:tcPr>
          <w:p w14:paraId="0C83726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与“大数据”裁判文书综合分析系统对接</w:t>
            </w:r>
          </w:p>
        </w:tc>
        <w:tc>
          <w:tcPr>
            <w:tcW w:w="2968" w:type="pct"/>
            <w:shd w:val="clear" w:color="auto" w:fill="auto"/>
            <w:vAlign w:val="center"/>
          </w:tcPr>
          <w:p w14:paraId="0A1ACCB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实现与“大数据”裁判文书综合分析系统对接，利用该系统对民商事案件、知识产权案件电子卷宗挂接材料“裁判文书”进行内容完整性、引述完整性和逻辑一致性分析。</w:t>
            </w:r>
          </w:p>
        </w:tc>
      </w:tr>
      <w:tr w14:paraId="639C7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65F1E1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77</w:t>
            </w:r>
          </w:p>
        </w:tc>
        <w:tc>
          <w:tcPr>
            <w:tcW w:w="461" w:type="pct"/>
            <w:vMerge w:val="continue"/>
            <w:shd w:val="clear" w:color="auto" w:fill="auto"/>
            <w:noWrap/>
            <w:vAlign w:val="center"/>
          </w:tcPr>
          <w:p w14:paraId="0CD1E5A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981DC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87ADFA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与裁判文书质检系统对接</w:t>
            </w:r>
          </w:p>
        </w:tc>
        <w:tc>
          <w:tcPr>
            <w:tcW w:w="2968" w:type="pct"/>
            <w:shd w:val="clear" w:color="auto" w:fill="auto"/>
            <w:vAlign w:val="center"/>
          </w:tcPr>
          <w:p w14:paraId="5FC8B6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实现与裁判文书质检系统对接，实现对文书质量从法官编写、附法条、定稿、敏感词筛查、上网、撤回、上网后筛查评查校验，对上网文书敏感信息的删除，对文书内容与审判系统的信息比对，保证上海法院裁判文书的规范性，满足文书制作和公开的规范。</w:t>
            </w:r>
          </w:p>
        </w:tc>
      </w:tr>
      <w:tr w14:paraId="250AC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8F8967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78</w:t>
            </w:r>
          </w:p>
        </w:tc>
        <w:tc>
          <w:tcPr>
            <w:tcW w:w="461" w:type="pct"/>
            <w:vMerge w:val="continue"/>
            <w:shd w:val="clear" w:color="auto" w:fill="auto"/>
            <w:noWrap/>
            <w:vAlign w:val="center"/>
          </w:tcPr>
          <w:p w14:paraId="5468448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0DB094A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“归档卷”质量检查</w:t>
            </w:r>
          </w:p>
        </w:tc>
        <w:tc>
          <w:tcPr>
            <w:tcW w:w="620" w:type="pct"/>
            <w:shd w:val="clear" w:color="auto" w:fill="auto"/>
            <w:vAlign w:val="center"/>
          </w:tcPr>
          <w:p w14:paraId="291582D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来源目录审查</w:t>
            </w:r>
          </w:p>
        </w:tc>
        <w:tc>
          <w:tcPr>
            <w:tcW w:w="2968" w:type="pct"/>
            <w:shd w:val="clear" w:color="auto" w:fill="auto"/>
            <w:vAlign w:val="center"/>
          </w:tcPr>
          <w:p w14:paraId="3390800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支持调用结案流程材料校验等模型，对“归档卷”来源目录进行审查，缺失材料通用卷宗数字助理提示到书记员，并提供插件实现可自动标注“视为归档”下所缺材料信息。</w:t>
            </w:r>
          </w:p>
        </w:tc>
      </w:tr>
      <w:tr w14:paraId="5AA4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151EBA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79</w:t>
            </w:r>
          </w:p>
        </w:tc>
        <w:tc>
          <w:tcPr>
            <w:tcW w:w="461" w:type="pct"/>
            <w:vMerge w:val="continue"/>
            <w:shd w:val="clear" w:color="auto" w:fill="auto"/>
            <w:noWrap/>
            <w:vAlign w:val="center"/>
          </w:tcPr>
          <w:p w14:paraId="63BF3E7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B4DE8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E7F40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光盘附件审查</w:t>
            </w:r>
          </w:p>
        </w:tc>
        <w:tc>
          <w:tcPr>
            <w:tcW w:w="2968" w:type="pct"/>
            <w:shd w:val="clear" w:color="auto" w:fill="auto"/>
            <w:vAlign w:val="center"/>
          </w:tcPr>
          <w:p w14:paraId="47E5CCD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通过庭审光盘数校验等模型，针对法官在预归档环节进行后补刻录光盘的情况下，将刻录光盘数和证物袋数进行核对，不一致则通过卷宗数字助理提示到书记员，并可按照最新刻录光盘数自动校正到证物袋数</w:t>
            </w:r>
          </w:p>
        </w:tc>
      </w:tr>
      <w:tr w14:paraId="579FB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96B68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80</w:t>
            </w:r>
          </w:p>
        </w:tc>
        <w:tc>
          <w:tcPr>
            <w:tcW w:w="461" w:type="pct"/>
            <w:vMerge w:val="continue"/>
            <w:shd w:val="clear" w:color="auto" w:fill="auto"/>
            <w:noWrap/>
            <w:vAlign w:val="center"/>
          </w:tcPr>
          <w:p w14:paraId="01B53D2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2201B2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67EAEE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拟定归档电子卷宗保管期限</w:t>
            </w:r>
          </w:p>
        </w:tc>
        <w:tc>
          <w:tcPr>
            <w:tcW w:w="2968" w:type="pct"/>
            <w:shd w:val="clear" w:color="auto" w:fill="auto"/>
            <w:vAlign w:val="center"/>
          </w:tcPr>
          <w:p w14:paraId="6D95362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根据电子卷宗保管期限的设定，按照不同的案件类型，对保管期限进行自动划定，并将各案件类型的划定要求提供法官参考</w:t>
            </w:r>
          </w:p>
        </w:tc>
      </w:tr>
      <w:tr w14:paraId="2F0C5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8A69DF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81</w:t>
            </w:r>
          </w:p>
        </w:tc>
        <w:tc>
          <w:tcPr>
            <w:tcW w:w="461" w:type="pct"/>
            <w:vMerge w:val="continue"/>
            <w:shd w:val="clear" w:color="auto" w:fill="auto"/>
            <w:noWrap/>
            <w:vAlign w:val="center"/>
          </w:tcPr>
          <w:p w14:paraId="4D91DD6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3FB31F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7F8BB0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按案模板审查</w:t>
            </w:r>
          </w:p>
        </w:tc>
        <w:tc>
          <w:tcPr>
            <w:tcW w:w="2968" w:type="pct"/>
            <w:shd w:val="clear" w:color="auto" w:fill="auto"/>
            <w:vAlign w:val="center"/>
          </w:tcPr>
          <w:p w14:paraId="7B9619C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用各案件目录检测模型，支持不同的案件类型（刑事一审、刑事二审、民事一审、民事二审、行政一审、行政二审、首次执行案件）进行“来源目录”中卷宗材料审查，审查内容包括目录分类是否准确，卷宗材料顺序是否规范等。校验结果通过卷宗数字助理通知法官</w:t>
            </w:r>
          </w:p>
        </w:tc>
      </w:tr>
      <w:tr w14:paraId="45D19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023D46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82</w:t>
            </w:r>
          </w:p>
        </w:tc>
        <w:tc>
          <w:tcPr>
            <w:tcW w:w="461" w:type="pct"/>
            <w:vMerge w:val="continue"/>
            <w:shd w:val="clear" w:color="auto" w:fill="auto"/>
            <w:noWrap/>
            <w:vAlign w:val="center"/>
          </w:tcPr>
          <w:p w14:paraId="4606D80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684776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4CEB35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予以退回审查</w:t>
            </w:r>
          </w:p>
        </w:tc>
        <w:tc>
          <w:tcPr>
            <w:tcW w:w="2968" w:type="pct"/>
            <w:shd w:val="clear" w:color="auto" w:fill="auto"/>
            <w:vAlign w:val="center"/>
          </w:tcPr>
          <w:p w14:paraId="46E7677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档案科归档审核要求，从完整性质量校验、合规性质量校验、及时性质量校验、可用性质量校验和编目归目质量校验中挑选出予以退回校验模型组合，通过调用检测模型，对案件提交归档触发予以退回审查，校验结果通过卷宗数字助理通知法官</w:t>
            </w:r>
          </w:p>
        </w:tc>
      </w:tr>
      <w:tr w14:paraId="2F1A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238005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83</w:t>
            </w:r>
          </w:p>
        </w:tc>
        <w:tc>
          <w:tcPr>
            <w:tcW w:w="461" w:type="pct"/>
            <w:vMerge w:val="restart"/>
            <w:shd w:val="clear" w:color="auto" w:fill="auto"/>
            <w:noWrap/>
            <w:vAlign w:val="center"/>
          </w:tcPr>
          <w:p w14:paraId="51BE31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电子卷宗预归档审核阶段</w:t>
            </w:r>
          </w:p>
        </w:tc>
        <w:tc>
          <w:tcPr>
            <w:tcW w:w="520" w:type="pct"/>
            <w:vMerge w:val="restart"/>
            <w:shd w:val="clear" w:color="auto" w:fill="auto"/>
            <w:vAlign w:val="center"/>
          </w:tcPr>
          <w:p w14:paraId="2375A1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电子诉讼档案预归档</w:t>
            </w:r>
          </w:p>
        </w:tc>
        <w:tc>
          <w:tcPr>
            <w:tcW w:w="620" w:type="pct"/>
            <w:shd w:val="clear" w:color="auto" w:fill="auto"/>
            <w:vAlign w:val="center"/>
          </w:tcPr>
          <w:p w14:paraId="118E90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归档信息双向巡检服务</w:t>
            </w:r>
          </w:p>
        </w:tc>
        <w:tc>
          <w:tcPr>
            <w:tcW w:w="2968" w:type="pct"/>
            <w:shd w:val="clear" w:color="auto" w:fill="auto"/>
            <w:vAlign w:val="center"/>
          </w:tcPr>
          <w:p w14:paraId="7944D8E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归档或补充归档阶段，根据不同案件类型的归档校验规则，调用完整性、合规性、准确性、可用性校验中各模型，对案件归档信息双向巡检，如缺少归档申请信息，则调用数字助理归档信息自动抽取插件回填至相应缺少信息的功能页面</w:t>
            </w:r>
          </w:p>
        </w:tc>
      </w:tr>
      <w:tr w14:paraId="52FC5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44A9FF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84</w:t>
            </w:r>
          </w:p>
        </w:tc>
        <w:tc>
          <w:tcPr>
            <w:tcW w:w="461" w:type="pct"/>
            <w:vMerge w:val="continue"/>
            <w:shd w:val="clear" w:color="auto" w:fill="auto"/>
            <w:noWrap/>
            <w:vAlign w:val="center"/>
          </w:tcPr>
          <w:p w14:paraId="2605DF3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404D8A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22773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合并审理材料监测结果通知</w:t>
            </w:r>
          </w:p>
        </w:tc>
        <w:tc>
          <w:tcPr>
            <w:tcW w:w="2968" w:type="pct"/>
            <w:shd w:val="clear" w:color="auto" w:fill="auto"/>
            <w:vAlign w:val="center"/>
          </w:tcPr>
          <w:p w14:paraId="6C4F641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如果本案有合并审理登记信息，通过合并审理案件关联材料校验模型，在归档阶段识别本案的关联案件的庭审材料是否按照合并审理入卷规则自动入卷，若校验识别后发现材料缺失或材料质量存在问题等，则对合并审理案件的办案人员给予提醒审查本案归档材料是否存在瑕疵或缺失，结果通过数字助理的通知中心同步法官。</w:t>
            </w:r>
          </w:p>
        </w:tc>
      </w:tr>
      <w:tr w14:paraId="56577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22277D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85</w:t>
            </w:r>
          </w:p>
        </w:tc>
        <w:tc>
          <w:tcPr>
            <w:tcW w:w="461" w:type="pct"/>
            <w:vMerge w:val="continue"/>
            <w:shd w:val="clear" w:color="auto" w:fill="auto"/>
            <w:noWrap/>
            <w:vAlign w:val="center"/>
          </w:tcPr>
          <w:p w14:paraId="712DF78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081B4C4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电子诉讼档案质量初检</w:t>
            </w:r>
          </w:p>
        </w:tc>
        <w:tc>
          <w:tcPr>
            <w:tcW w:w="620" w:type="pct"/>
            <w:shd w:val="clear" w:color="auto" w:fill="auto"/>
            <w:vAlign w:val="center"/>
          </w:tcPr>
          <w:p w14:paraId="0132A90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卷宗挂接文件审查</w:t>
            </w:r>
          </w:p>
        </w:tc>
        <w:tc>
          <w:tcPr>
            <w:tcW w:w="2968" w:type="pct"/>
            <w:shd w:val="clear" w:color="auto" w:fill="auto"/>
            <w:vAlign w:val="center"/>
          </w:tcPr>
          <w:p w14:paraId="715999B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在预归档审核阶段，支持调用未编目检测等模型，审查宗卷挂接文件是否准确，并提供卷宗数字助理提示法官</w:t>
            </w:r>
          </w:p>
        </w:tc>
      </w:tr>
      <w:tr w14:paraId="2D820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2CA2CF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86</w:t>
            </w:r>
          </w:p>
        </w:tc>
        <w:tc>
          <w:tcPr>
            <w:tcW w:w="461" w:type="pct"/>
            <w:vMerge w:val="continue"/>
            <w:shd w:val="clear" w:color="auto" w:fill="auto"/>
            <w:noWrap/>
            <w:vAlign w:val="center"/>
          </w:tcPr>
          <w:p w14:paraId="4AE73AC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449EDC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639FD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退回理由自动回填</w:t>
            </w:r>
          </w:p>
        </w:tc>
        <w:tc>
          <w:tcPr>
            <w:tcW w:w="2968" w:type="pct"/>
            <w:shd w:val="clear" w:color="auto" w:fill="auto"/>
            <w:vAlign w:val="center"/>
          </w:tcPr>
          <w:p w14:paraId="0869749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调用完整性、合规性、准确性、可用性校验中各模型，升级档案管理系统，在档案列表增加瑕疵提示，可展开详细界面对该档案调用模型进行智能校验，并可切换不同种类的验卷问题列表展示，可对验卷的结果进行复制、编辑、删除、备注等操作。根据智能验卷结果，将卷宗的瑕疵材料和对应的问题自动回填退回时的退回理由，可对退回理由进行修改，并将退回状态和退回理由同步档案管理系统</w:t>
            </w:r>
          </w:p>
        </w:tc>
      </w:tr>
      <w:tr w14:paraId="6D05A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94408A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87</w:t>
            </w:r>
          </w:p>
        </w:tc>
        <w:tc>
          <w:tcPr>
            <w:tcW w:w="461" w:type="pct"/>
            <w:vMerge w:val="continue"/>
            <w:shd w:val="clear" w:color="auto" w:fill="auto"/>
            <w:noWrap/>
            <w:vAlign w:val="center"/>
          </w:tcPr>
          <w:p w14:paraId="30C3CC3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1FB9307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电子诉讼档案质量复查</w:t>
            </w:r>
          </w:p>
        </w:tc>
        <w:tc>
          <w:tcPr>
            <w:tcW w:w="620" w:type="pct"/>
            <w:shd w:val="clear" w:color="auto" w:fill="auto"/>
            <w:vAlign w:val="center"/>
          </w:tcPr>
          <w:p w14:paraId="28D5F63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档案权重</w:t>
            </w:r>
          </w:p>
        </w:tc>
        <w:tc>
          <w:tcPr>
            <w:tcW w:w="2968" w:type="pct"/>
            <w:shd w:val="clear" w:color="auto" w:fill="auto"/>
            <w:vAlign w:val="center"/>
          </w:tcPr>
          <w:p w14:paraId="7DFF27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根据档案归档时校验出的问题数量、问题严重程度自动生成档案校验权重，可根据权重对档案进行排序，筛选，优先管理问题较多的案件档案</w:t>
            </w:r>
          </w:p>
        </w:tc>
      </w:tr>
      <w:tr w14:paraId="3887A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92A88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88</w:t>
            </w:r>
          </w:p>
        </w:tc>
        <w:tc>
          <w:tcPr>
            <w:tcW w:w="461" w:type="pct"/>
            <w:vMerge w:val="continue"/>
            <w:shd w:val="clear" w:color="auto" w:fill="auto"/>
            <w:noWrap/>
            <w:vAlign w:val="center"/>
          </w:tcPr>
          <w:p w14:paraId="2FAAFC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C0184F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FF4780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归档案件检验报告</w:t>
            </w:r>
          </w:p>
        </w:tc>
        <w:tc>
          <w:tcPr>
            <w:tcW w:w="2968" w:type="pct"/>
            <w:shd w:val="clear" w:color="auto" w:fill="auto"/>
            <w:vAlign w:val="center"/>
          </w:tcPr>
          <w:p w14:paraId="2DFD20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根据校验的结果分时段、案件类型等不同维度生成对应验卷报告，验卷报告包括校验的问题总数，问题分类及频率，严重问题占比等校验信息</w:t>
            </w:r>
          </w:p>
        </w:tc>
      </w:tr>
      <w:tr w14:paraId="2B161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BD5E42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89</w:t>
            </w:r>
          </w:p>
        </w:tc>
        <w:tc>
          <w:tcPr>
            <w:tcW w:w="461" w:type="pct"/>
            <w:vMerge w:val="restart"/>
            <w:shd w:val="clear" w:color="auto" w:fill="auto"/>
            <w:noWrap/>
            <w:vAlign w:val="center"/>
          </w:tcPr>
          <w:p w14:paraId="572F9A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电子卷宗深度利用</w:t>
            </w:r>
          </w:p>
        </w:tc>
        <w:tc>
          <w:tcPr>
            <w:tcW w:w="520" w:type="pct"/>
            <w:vMerge w:val="restart"/>
            <w:shd w:val="clear" w:color="auto" w:fill="auto"/>
            <w:vAlign w:val="center"/>
          </w:tcPr>
          <w:p w14:paraId="22C947D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卷宗数字助理</w:t>
            </w:r>
          </w:p>
        </w:tc>
        <w:tc>
          <w:tcPr>
            <w:tcW w:w="620" w:type="pct"/>
            <w:shd w:val="clear" w:color="auto" w:fill="auto"/>
            <w:vAlign w:val="center"/>
          </w:tcPr>
          <w:p w14:paraId="5285C15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集成入口—集成展示入口</w:t>
            </w:r>
          </w:p>
        </w:tc>
        <w:tc>
          <w:tcPr>
            <w:tcW w:w="2968" w:type="pct"/>
            <w:shd w:val="clear" w:color="auto" w:fill="auto"/>
            <w:vAlign w:val="center"/>
          </w:tcPr>
          <w:p w14:paraId="1168BB2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提供数字助理嵌入入口，集成在审判、执行系统界面统一展示</w:t>
            </w:r>
          </w:p>
        </w:tc>
      </w:tr>
      <w:tr w14:paraId="7090C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4BCE9D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90</w:t>
            </w:r>
          </w:p>
        </w:tc>
        <w:tc>
          <w:tcPr>
            <w:tcW w:w="461" w:type="pct"/>
            <w:vMerge w:val="continue"/>
            <w:shd w:val="clear" w:color="auto" w:fill="auto"/>
            <w:noWrap/>
            <w:vAlign w:val="center"/>
          </w:tcPr>
          <w:p w14:paraId="31E029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01F0A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4AB380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通知管理—通知中心与COCALL对接接口</w:t>
            </w:r>
          </w:p>
        </w:tc>
        <w:tc>
          <w:tcPr>
            <w:tcW w:w="2968" w:type="pct"/>
            <w:shd w:val="clear" w:color="auto" w:fill="auto"/>
            <w:vAlign w:val="center"/>
          </w:tcPr>
          <w:p w14:paraId="4CD419C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实现消息中心与COCALL的接口对接，将消息中心的信息同步精准推送相关办案人员的COCALL账号，通过多渠道精准提醒，避免办案人员遗漏消息。</w:t>
            </w:r>
          </w:p>
        </w:tc>
      </w:tr>
      <w:tr w14:paraId="34EB7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697EF7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91</w:t>
            </w:r>
          </w:p>
        </w:tc>
        <w:tc>
          <w:tcPr>
            <w:tcW w:w="461" w:type="pct"/>
            <w:vMerge w:val="continue"/>
            <w:shd w:val="clear" w:color="auto" w:fill="auto"/>
            <w:noWrap/>
            <w:vAlign w:val="center"/>
          </w:tcPr>
          <w:p w14:paraId="5ED3551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7ABB3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BF6874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通知管理—通知中心与审判系统对接接口</w:t>
            </w:r>
          </w:p>
        </w:tc>
        <w:tc>
          <w:tcPr>
            <w:tcW w:w="2968" w:type="pct"/>
            <w:shd w:val="clear" w:color="auto" w:fill="auto"/>
            <w:vAlign w:val="center"/>
          </w:tcPr>
          <w:p w14:paraId="2BF5FF6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实现消息中心与审判系统的接口对接，将消息中心的信息同步在展示入口展示，通过多渠道精准提醒，避免办案人员遗漏消息。</w:t>
            </w:r>
          </w:p>
        </w:tc>
      </w:tr>
      <w:tr w14:paraId="77EC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BA4C8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92</w:t>
            </w:r>
          </w:p>
        </w:tc>
        <w:tc>
          <w:tcPr>
            <w:tcW w:w="461" w:type="pct"/>
            <w:vMerge w:val="continue"/>
            <w:shd w:val="clear" w:color="auto" w:fill="auto"/>
            <w:noWrap/>
            <w:vAlign w:val="center"/>
          </w:tcPr>
          <w:p w14:paraId="4587B03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263544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EA5453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通知管理—通知中心与执行系统对接接口</w:t>
            </w:r>
          </w:p>
        </w:tc>
        <w:tc>
          <w:tcPr>
            <w:tcW w:w="2968" w:type="pct"/>
            <w:shd w:val="clear" w:color="auto" w:fill="auto"/>
            <w:vAlign w:val="center"/>
          </w:tcPr>
          <w:p w14:paraId="3936262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实现消息中心与执行系统的接口对接，将消息中心的信息同步在展示入口展示，通过多渠道精准提醒，避免办案人员遗漏消息。</w:t>
            </w:r>
          </w:p>
        </w:tc>
      </w:tr>
      <w:tr w14:paraId="4B25E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5687BC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93</w:t>
            </w:r>
          </w:p>
        </w:tc>
        <w:tc>
          <w:tcPr>
            <w:tcW w:w="461" w:type="pct"/>
            <w:vMerge w:val="continue"/>
            <w:shd w:val="clear" w:color="auto" w:fill="auto"/>
            <w:noWrap/>
            <w:vAlign w:val="center"/>
          </w:tcPr>
          <w:p w14:paraId="5EBB2C7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C22513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C12488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通知管理—通知模板服务</w:t>
            </w:r>
          </w:p>
        </w:tc>
        <w:tc>
          <w:tcPr>
            <w:tcW w:w="2968" w:type="pct"/>
            <w:shd w:val="clear" w:color="auto" w:fill="auto"/>
            <w:vAlign w:val="center"/>
          </w:tcPr>
          <w:p w14:paraId="57EF41F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构建通知模板管理功能，实现不同消息种类的通知模板的创建、删除、更新管理等。</w:t>
            </w:r>
          </w:p>
        </w:tc>
      </w:tr>
      <w:tr w14:paraId="1CD4E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1C0283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94</w:t>
            </w:r>
          </w:p>
        </w:tc>
        <w:tc>
          <w:tcPr>
            <w:tcW w:w="461" w:type="pct"/>
            <w:vMerge w:val="continue"/>
            <w:shd w:val="clear" w:color="auto" w:fill="auto"/>
            <w:noWrap/>
            <w:vAlign w:val="center"/>
          </w:tcPr>
          <w:p w14:paraId="1C23C5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4A5FAF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814863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通知管理—用户选择服务</w:t>
            </w:r>
          </w:p>
        </w:tc>
        <w:tc>
          <w:tcPr>
            <w:tcW w:w="2968" w:type="pct"/>
            <w:shd w:val="clear" w:color="auto" w:fill="auto"/>
            <w:vAlign w:val="center"/>
          </w:tcPr>
          <w:p w14:paraId="3416B9F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构建用户选择服务，该服务将提供选择目标用户和各种应用程序模块的服务。支持将批量消息发送到特定用户组或不同应用程序模块。支持根据不同用户的不同业务需求，选择可推送的消息模板及内容。</w:t>
            </w:r>
          </w:p>
        </w:tc>
      </w:tr>
      <w:tr w14:paraId="320B2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9C9014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95</w:t>
            </w:r>
          </w:p>
        </w:tc>
        <w:tc>
          <w:tcPr>
            <w:tcW w:w="461" w:type="pct"/>
            <w:vMerge w:val="continue"/>
            <w:shd w:val="clear" w:color="auto" w:fill="auto"/>
            <w:noWrap/>
            <w:vAlign w:val="center"/>
          </w:tcPr>
          <w:p w14:paraId="346E5DE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BB6D61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94E0EF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通知管理—用户配置文件服务</w:t>
            </w:r>
          </w:p>
        </w:tc>
        <w:tc>
          <w:tcPr>
            <w:tcW w:w="2968" w:type="pct"/>
            <w:shd w:val="clear" w:color="auto" w:fill="auto"/>
            <w:vAlign w:val="center"/>
          </w:tcPr>
          <w:p w14:paraId="0904BB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构建用户配置文件服务，该服务将提供各种功能，包括管理用户配置文件和其消息通知需求偏好设置。提供取消订阅通知以及通知接收频率等功能。"消息通知服务“将依赖于此服务。</w:t>
            </w:r>
          </w:p>
        </w:tc>
      </w:tr>
      <w:tr w14:paraId="42680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C72004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96</w:t>
            </w:r>
          </w:p>
        </w:tc>
        <w:tc>
          <w:tcPr>
            <w:tcW w:w="461" w:type="pct"/>
            <w:vMerge w:val="continue"/>
            <w:shd w:val="clear" w:color="auto" w:fill="auto"/>
            <w:noWrap/>
            <w:vAlign w:val="center"/>
          </w:tcPr>
          <w:p w14:paraId="6323A3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89069B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1B996F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通知管理—通知分析服务</w:t>
            </w:r>
          </w:p>
        </w:tc>
        <w:tc>
          <w:tcPr>
            <w:tcW w:w="2968" w:type="pct"/>
            <w:shd w:val="clear" w:color="auto" w:fill="auto"/>
            <w:vAlign w:val="center"/>
          </w:tcPr>
          <w:p w14:paraId="05C34A6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消息通知分析服务，该服务将执行所有的分析工作，并识别通知使用情况、趋势以及进行报告。它将从分析数据库和通知数据库中提取所有最终的通知消息，用于分析和报告目的。如每天/每秒的总通知数。哪个通知系统使用最频繁。消息的平均大小和频率。基于优先级过滤消息等等.</w:t>
            </w:r>
          </w:p>
        </w:tc>
      </w:tr>
      <w:tr w14:paraId="0F8FC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2390E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97</w:t>
            </w:r>
          </w:p>
        </w:tc>
        <w:tc>
          <w:tcPr>
            <w:tcW w:w="461" w:type="pct"/>
            <w:vMerge w:val="continue"/>
            <w:shd w:val="clear" w:color="auto" w:fill="auto"/>
            <w:noWrap/>
            <w:vAlign w:val="center"/>
          </w:tcPr>
          <w:p w14:paraId="0FD1255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DA0AFE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F1DCF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通知管理—通知跟踪处理服务</w:t>
            </w:r>
          </w:p>
        </w:tc>
        <w:tc>
          <w:tcPr>
            <w:tcW w:w="2968" w:type="pct"/>
            <w:shd w:val="clear" w:color="auto" w:fill="auto"/>
            <w:vAlign w:val="center"/>
          </w:tcPr>
          <w:p w14:paraId="05F2774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构建消息通知跟踪处理服务，该服务将持续读取事件中心队列并跟踪所有发送的通知。它捕获通知的元数据，如传输时间、传送状态、通信渠道、消息类型等，供应用可视化展示。</w:t>
            </w:r>
          </w:p>
        </w:tc>
      </w:tr>
      <w:tr w14:paraId="262B8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12CD09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98</w:t>
            </w:r>
          </w:p>
        </w:tc>
        <w:tc>
          <w:tcPr>
            <w:tcW w:w="461" w:type="pct"/>
            <w:vMerge w:val="continue"/>
            <w:shd w:val="clear" w:color="auto" w:fill="auto"/>
            <w:noWrap/>
            <w:vAlign w:val="center"/>
          </w:tcPr>
          <w:p w14:paraId="0227A27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F0F190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2C1CD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通知管理—通知管理配置</w:t>
            </w:r>
          </w:p>
        </w:tc>
        <w:tc>
          <w:tcPr>
            <w:tcW w:w="2968" w:type="pct"/>
            <w:shd w:val="clear" w:color="auto" w:fill="auto"/>
            <w:vAlign w:val="center"/>
          </w:tcPr>
          <w:p w14:paraId="6B49E89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配置不同的通知类型在各展示入口的显示开关配置，包括审判、执行系统、干警及时通讯工具（COCALL）</w:t>
            </w:r>
          </w:p>
        </w:tc>
      </w:tr>
      <w:tr w14:paraId="0F5C8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6AAC81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99</w:t>
            </w:r>
          </w:p>
        </w:tc>
        <w:tc>
          <w:tcPr>
            <w:tcW w:w="461" w:type="pct"/>
            <w:vMerge w:val="continue"/>
            <w:shd w:val="clear" w:color="auto" w:fill="auto"/>
            <w:noWrap/>
            <w:vAlign w:val="center"/>
          </w:tcPr>
          <w:p w14:paraId="4A63C86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70216E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D44FE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通知管理—定时通知服务</w:t>
            </w:r>
          </w:p>
        </w:tc>
        <w:tc>
          <w:tcPr>
            <w:tcW w:w="2968" w:type="pct"/>
            <w:shd w:val="clear" w:color="auto" w:fill="auto"/>
            <w:vAlign w:val="center"/>
          </w:tcPr>
          <w:p w14:paraId="1424446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构建定时通知服务，该服务将提供API来安排立即或指定时间的通知。可以是以下任何一种:秒·分钟·每小时·每天·每周·每月·每年·自定义频率等，还可能有其他自动触发的服务，基于预定时间进行消息触发。</w:t>
            </w:r>
          </w:p>
        </w:tc>
      </w:tr>
      <w:tr w14:paraId="53FB1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650DE1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100</w:t>
            </w:r>
          </w:p>
        </w:tc>
        <w:tc>
          <w:tcPr>
            <w:tcW w:w="461" w:type="pct"/>
            <w:vMerge w:val="continue"/>
            <w:shd w:val="clear" w:color="auto" w:fill="auto"/>
            <w:noWrap/>
            <w:vAlign w:val="center"/>
          </w:tcPr>
          <w:p w14:paraId="0A71466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370694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16046AB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校验管理—校验展示</w:t>
            </w:r>
          </w:p>
        </w:tc>
        <w:tc>
          <w:tcPr>
            <w:tcW w:w="2968" w:type="pct"/>
            <w:shd w:val="clear" w:color="auto" w:fill="auto"/>
            <w:vAlign w:val="center"/>
          </w:tcPr>
          <w:p w14:paraId="1C4D2F0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展示卷宗清单内容用于核对实体材料，展示：材料总份数、总页数、编码名称、件内材料顺序展示。</w:t>
            </w:r>
          </w:p>
        </w:tc>
      </w:tr>
      <w:tr w14:paraId="6DCC4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336461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101</w:t>
            </w:r>
          </w:p>
        </w:tc>
        <w:tc>
          <w:tcPr>
            <w:tcW w:w="461" w:type="pct"/>
            <w:vMerge w:val="continue"/>
            <w:shd w:val="clear" w:color="auto" w:fill="auto"/>
            <w:noWrap/>
            <w:vAlign w:val="center"/>
          </w:tcPr>
          <w:p w14:paraId="005594A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287436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30FEBA8B">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7B48132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展示卷宗完整性校验、合规性校验、编目归目校验、可用性校验、安全性校验的结果，展现形式为问题级别、卷宗号、各阶段、校验类型、瑕疵总数。问题级别主要有予以提示、予以修正、予以退回</w:t>
            </w:r>
          </w:p>
        </w:tc>
      </w:tr>
      <w:tr w14:paraId="46A5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6B4DA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102</w:t>
            </w:r>
          </w:p>
        </w:tc>
        <w:tc>
          <w:tcPr>
            <w:tcW w:w="461" w:type="pct"/>
            <w:vMerge w:val="continue"/>
            <w:shd w:val="clear" w:color="auto" w:fill="auto"/>
            <w:noWrap/>
            <w:vAlign w:val="center"/>
          </w:tcPr>
          <w:p w14:paraId="4320569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E5AEBE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02722CB2">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044334A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依据卷宗号、阶段、权限等信息，支持用户对卷宗的校验结果进行查看，可进行卷宗的查看、翻阅、目录的跳转，瑕疵展示按照如下大类进行分组展示：完整性质量校验、安全合规性质量校验、及时性质量校验、可用性质量校验和编目归目质量，每个分组依次展示校验模块、校验结果、以及提供具体详情内容的展示。</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根据不同的校验结果，提供不同的处理插件入口，如修正插件、对比插件等</w:t>
            </w:r>
          </w:p>
        </w:tc>
      </w:tr>
      <w:tr w14:paraId="4AFF0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1E312D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103</w:t>
            </w:r>
          </w:p>
        </w:tc>
        <w:tc>
          <w:tcPr>
            <w:tcW w:w="461" w:type="pct"/>
            <w:vMerge w:val="continue"/>
            <w:shd w:val="clear" w:color="auto" w:fill="auto"/>
            <w:noWrap/>
            <w:vAlign w:val="center"/>
          </w:tcPr>
          <w:p w14:paraId="5088F05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32A7F5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229EE29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校验管理—校验处理</w:t>
            </w:r>
          </w:p>
        </w:tc>
        <w:tc>
          <w:tcPr>
            <w:tcW w:w="2968" w:type="pct"/>
            <w:shd w:val="clear" w:color="auto" w:fill="auto"/>
            <w:vAlign w:val="center"/>
          </w:tcPr>
          <w:p w14:paraId="0184FC4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对校验结果进行忽略操作，做为异常情况进行汇总，触发重新上报机制，对忽略后的校验结果不再重新通知，并同步触发配置中心的阈值预警。</w:t>
            </w:r>
          </w:p>
        </w:tc>
      </w:tr>
      <w:tr w14:paraId="3711D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4D8186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104</w:t>
            </w:r>
          </w:p>
        </w:tc>
        <w:tc>
          <w:tcPr>
            <w:tcW w:w="461" w:type="pct"/>
            <w:vMerge w:val="continue"/>
            <w:shd w:val="clear" w:color="auto" w:fill="auto"/>
            <w:noWrap/>
            <w:vAlign w:val="center"/>
          </w:tcPr>
          <w:p w14:paraId="7895F56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CD33B8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736875E6">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4F7EB07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校验结果进行确认操作，校验内容移入待处理列表。首次加入处理状态为待处理，所有的校验结果优先判断待处理列表中是否已经解决，如已经解决，则处理状态为已处理，待处理列表中自动移除。可点击查看所有处理列表，包含首次通知时间，校验内容，处理状态（待处理、已处理），更新时间。</w:t>
            </w:r>
          </w:p>
        </w:tc>
      </w:tr>
      <w:tr w14:paraId="7C329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F9EA04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105</w:t>
            </w:r>
          </w:p>
        </w:tc>
        <w:tc>
          <w:tcPr>
            <w:tcW w:w="461" w:type="pct"/>
            <w:vMerge w:val="continue"/>
            <w:shd w:val="clear" w:color="auto" w:fill="auto"/>
            <w:noWrap/>
            <w:vAlign w:val="center"/>
          </w:tcPr>
          <w:p w14:paraId="3A196D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A4D84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249386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修正处理—附件材料多余自动优化插件</w:t>
            </w:r>
          </w:p>
        </w:tc>
        <w:tc>
          <w:tcPr>
            <w:tcW w:w="2968" w:type="pct"/>
            <w:shd w:val="clear" w:color="auto" w:fill="auto"/>
            <w:vAlign w:val="center"/>
          </w:tcPr>
          <w:p w14:paraId="694659F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根据智能验卷检测结果通知消息，支持用户通过插件进行支持根据不同案件类型，不同流程阶段对无需归档的卷宗进行预警提示，在确认后自动一键删除，并保留原始文件，可提供撤回删除操作。</w:t>
            </w:r>
          </w:p>
        </w:tc>
      </w:tr>
      <w:tr w14:paraId="26326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A0E95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106</w:t>
            </w:r>
          </w:p>
        </w:tc>
        <w:tc>
          <w:tcPr>
            <w:tcW w:w="461" w:type="pct"/>
            <w:vMerge w:val="continue"/>
            <w:shd w:val="clear" w:color="auto" w:fill="auto"/>
            <w:noWrap/>
            <w:vAlign w:val="center"/>
          </w:tcPr>
          <w:p w14:paraId="4947E21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307208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1173D5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修正处理—重复材料自动删除插件</w:t>
            </w:r>
          </w:p>
        </w:tc>
        <w:tc>
          <w:tcPr>
            <w:tcW w:w="2968" w:type="pct"/>
            <w:shd w:val="clear" w:color="auto" w:fill="auto"/>
            <w:vAlign w:val="center"/>
          </w:tcPr>
          <w:p w14:paraId="411CFC2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根据智能验卷检测结果通知消息，支持用户通过插件对重复材料确认保留的材料进行选择，在确认后自动一键删除，并保留原始文件，可提供撤回删除操作。</w:t>
            </w:r>
          </w:p>
        </w:tc>
      </w:tr>
      <w:tr w14:paraId="684D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EB029A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107</w:t>
            </w:r>
          </w:p>
        </w:tc>
        <w:tc>
          <w:tcPr>
            <w:tcW w:w="461" w:type="pct"/>
            <w:vMerge w:val="continue"/>
            <w:shd w:val="clear" w:color="auto" w:fill="auto"/>
            <w:noWrap/>
            <w:vAlign w:val="center"/>
          </w:tcPr>
          <w:p w14:paraId="0FE6F4F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C9237B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7566F1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修正处理—图像材料自动旋转及纠偏插件</w:t>
            </w:r>
          </w:p>
        </w:tc>
        <w:tc>
          <w:tcPr>
            <w:tcW w:w="2968" w:type="pct"/>
            <w:shd w:val="clear" w:color="auto" w:fill="auto"/>
            <w:vAlign w:val="center"/>
          </w:tcPr>
          <w:p w14:paraId="1DA870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对倒置倾斜的图片类卷宗材料进行旋转及纠偏处理，以达到视觉上基本不感觉偏斜为准。对于多页附件中单个图片倾斜/倒置自动纠偏，支持单独优化处理后自动合并。并保留原始文件，可提供撤回操作。</w:t>
            </w:r>
          </w:p>
        </w:tc>
      </w:tr>
      <w:tr w14:paraId="2A8F6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39573D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108</w:t>
            </w:r>
          </w:p>
        </w:tc>
        <w:tc>
          <w:tcPr>
            <w:tcW w:w="461" w:type="pct"/>
            <w:vMerge w:val="continue"/>
            <w:shd w:val="clear" w:color="auto" w:fill="auto"/>
            <w:noWrap/>
            <w:vAlign w:val="center"/>
          </w:tcPr>
          <w:p w14:paraId="70518D6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6B75B0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EDE21D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修正处理—图像材料自动裁边处理插件</w:t>
            </w:r>
          </w:p>
        </w:tc>
        <w:tc>
          <w:tcPr>
            <w:tcW w:w="2968" w:type="pct"/>
            <w:shd w:val="clear" w:color="auto" w:fill="auto"/>
            <w:vAlign w:val="center"/>
          </w:tcPr>
          <w:p w14:paraId="6A39079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对黑边的图片类卷宗材料进行裁边处理，在距页边最外延2厘米处裁剪图像，对于多页附件中单个图片存在黑边情况自动裁边，支持单独优化处理后自动合并。并保留原始文件，可提供撤回操作。</w:t>
            </w:r>
          </w:p>
        </w:tc>
      </w:tr>
      <w:tr w14:paraId="47126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7A952E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109</w:t>
            </w:r>
          </w:p>
        </w:tc>
        <w:tc>
          <w:tcPr>
            <w:tcW w:w="461" w:type="pct"/>
            <w:vMerge w:val="continue"/>
            <w:shd w:val="clear" w:color="auto" w:fill="auto"/>
            <w:noWrap/>
            <w:vAlign w:val="center"/>
          </w:tcPr>
          <w:p w14:paraId="6D39E89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DD3401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B02296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修正处理—图像材料自动去污插件</w:t>
            </w:r>
          </w:p>
        </w:tc>
        <w:tc>
          <w:tcPr>
            <w:tcW w:w="2968" w:type="pct"/>
            <w:shd w:val="clear" w:color="auto" w:fill="auto"/>
            <w:vAlign w:val="center"/>
          </w:tcPr>
          <w:p w14:paraId="154CCD1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对有污点、污线的图片类卷宗材料进行去污处理，对于多页附件中单个图片存在污点、污线情况自动去污处理，支持单独优化处理后自动合并。并保留原始文件，可提供撤回操作。</w:t>
            </w:r>
          </w:p>
        </w:tc>
      </w:tr>
      <w:tr w14:paraId="4F78A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40C100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110</w:t>
            </w:r>
          </w:p>
        </w:tc>
        <w:tc>
          <w:tcPr>
            <w:tcW w:w="461" w:type="pct"/>
            <w:vMerge w:val="continue"/>
            <w:shd w:val="clear" w:color="auto" w:fill="auto"/>
            <w:noWrap/>
            <w:vAlign w:val="center"/>
          </w:tcPr>
          <w:p w14:paraId="2720274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114D2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0691D9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修正处理—录音质量增强插件</w:t>
            </w:r>
          </w:p>
        </w:tc>
        <w:tc>
          <w:tcPr>
            <w:tcW w:w="2968" w:type="pct"/>
            <w:shd w:val="clear" w:color="auto" w:fill="auto"/>
            <w:vAlign w:val="center"/>
          </w:tcPr>
          <w:p w14:paraId="2EEB061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提供原音频和调优音频的对比播放功能，拖动原音频的播放进度条可自动切换到调优音频的播放进度条</w:t>
            </w:r>
          </w:p>
        </w:tc>
      </w:tr>
      <w:tr w14:paraId="2EADC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5FE80C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111</w:t>
            </w:r>
          </w:p>
        </w:tc>
        <w:tc>
          <w:tcPr>
            <w:tcW w:w="461" w:type="pct"/>
            <w:vMerge w:val="continue"/>
            <w:shd w:val="clear" w:color="auto" w:fill="auto"/>
            <w:noWrap/>
            <w:vAlign w:val="center"/>
          </w:tcPr>
          <w:p w14:paraId="4C3CBA1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178F93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706C79E9">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2FB6C4C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提供音频修复（包括：降噪音、去除杂音、提升声音清晰度）位置的标注展示，点击标注位置将对原音频和调优音频同步自动定位到音频播放位置</w:t>
            </w:r>
          </w:p>
        </w:tc>
      </w:tr>
      <w:tr w14:paraId="0BCFF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643794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112</w:t>
            </w:r>
          </w:p>
        </w:tc>
        <w:tc>
          <w:tcPr>
            <w:tcW w:w="461" w:type="pct"/>
            <w:vMerge w:val="continue"/>
            <w:shd w:val="clear" w:color="auto" w:fill="auto"/>
            <w:noWrap/>
            <w:vAlign w:val="center"/>
          </w:tcPr>
          <w:p w14:paraId="1E1158D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291C20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053B3F6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修正处理—录像质量增强插件</w:t>
            </w:r>
          </w:p>
        </w:tc>
        <w:tc>
          <w:tcPr>
            <w:tcW w:w="2968" w:type="pct"/>
            <w:shd w:val="clear" w:color="auto" w:fill="auto"/>
            <w:vAlign w:val="center"/>
          </w:tcPr>
          <w:p w14:paraId="6D8A2ED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提供原视频和调优视频的的对比播放功能，拖动原视频的播放进度条可自动切换到调优视频的播放进度条</w:t>
            </w:r>
          </w:p>
        </w:tc>
      </w:tr>
      <w:tr w14:paraId="4C26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6B2BC1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113</w:t>
            </w:r>
          </w:p>
        </w:tc>
        <w:tc>
          <w:tcPr>
            <w:tcW w:w="461" w:type="pct"/>
            <w:vMerge w:val="continue"/>
            <w:shd w:val="clear" w:color="auto" w:fill="auto"/>
            <w:noWrap/>
            <w:vAlign w:val="center"/>
          </w:tcPr>
          <w:p w14:paraId="3ED44EB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14EAEE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692970D1">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6607DFC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提供视频修复（包括：降噪音、去除杂音、提升视频清晰度）位置的标注展示，点击标注位置将对原视频和调优视频同步自动定位到视频播放位置</w:t>
            </w:r>
          </w:p>
        </w:tc>
      </w:tr>
      <w:tr w14:paraId="0F7EC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69EE44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114</w:t>
            </w:r>
          </w:p>
        </w:tc>
        <w:tc>
          <w:tcPr>
            <w:tcW w:w="461" w:type="pct"/>
            <w:vMerge w:val="continue"/>
            <w:shd w:val="clear" w:color="auto" w:fill="auto"/>
            <w:noWrap/>
            <w:vAlign w:val="center"/>
          </w:tcPr>
          <w:p w14:paraId="0CDB271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117BF7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E9B9C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修正处理—材料空白自动优化插件</w:t>
            </w:r>
          </w:p>
        </w:tc>
        <w:tc>
          <w:tcPr>
            <w:tcW w:w="2968" w:type="pct"/>
            <w:shd w:val="clear" w:color="auto" w:fill="auto"/>
            <w:vAlign w:val="center"/>
          </w:tcPr>
          <w:p w14:paraId="2D0853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根据智能验卷检测结果通知消息，支持用户通过插件对空白页智能区分只写了标题未填录的附件、多页笔录/证据的尾页、完全空白的页面，支持去除空白页后自动合并。并保留原始文件，可提供撤回操作。</w:t>
            </w:r>
          </w:p>
        </w:tc>
      </w:tr>
      <w:tr w14:paraId="064A1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6B3A21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115</w:t>
            </w:r>
          </w:p>
        </w:tc>
        <w:tc>
          <w:tcPr>
            <w:tcW w:w="461" w:type="pct"/>
            <w:vMerge w:val="continue"/>
            <w:shd w:val="clear" w:color="auto" w:fill="auto"/>
            <w:noWrap/>
            <w:vAlign w:val="center"/>
          </w:tcPr>
          <w:p w14:paraId="3F1F145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03A73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90883C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修正处理—编目自动优化插件</w:t>
            </w:r>
          </w:p>
        </w:tc>
        <w:tc>
          <w:tcPr>
            <w:tcW w:w="2968" w:type="pct"/>
            <w:shd w:val="clear" w:color="auto" w:fill="auto"/>
            <w:vAlign w:val="center"/>
          </w:tcPr>
          <w:p w14:paraId="52A413F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根据智能验卷检测结果通知消息，支持用户通过插件对材料重新编目。并保留原始文件，可提供撤回操作。</w:t>
            </w:r>
          </w:p>
        </w:tc>
      </w:tr>
      <w:tr w14:paraId="41A1A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D85CF8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116</w:t>
            </w:r>
          </w:p>
        </w:tc>
        <w:tc>
          <w:tcPr>
            <w:tcW w:w="461" w:type="pct"/>
            <w:vMerge w:val="continue"/>
            <w:shd w:val="clear" w:color="auto" w:fill="auto"/>
            <w:noWrap/>
            <w:vAlign w:val="center"/>
          </w:tcPr>
          <w:p w14:paraId="5BB4CE3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B97D31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999541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修正处理—归目自动优化插件</w:t>
            </w:r>
          </w:p>
        </w:tc>
        <w:tc>
          <w:tcPr>
            <w:tcW w:w="2968" w:type="pct"/>
            <w:shd w:val="clear" w:color="auto" w:fill="auto"/>
            <w:vAlign w:val="center"/>
          </w:tcPr>
          <w:p w14:paraId="1F520C5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根据智能验卷检测结果通知消息，支持用户通过插件对材料重新挂接至准确的目录。并保留原始文件，记录优化前的目录位置，可提供撤回操作。</w:t>
            </w:r>
          </w:p>
        </w:tc>
      </w:tr>
      <w:tr w14:paraId="4375D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EB63C8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117</w:t>
            </w:r>
          </w:p>
        </w:tc>
        <w:tc>
          <w:tcPr>
            <w:tcW w:w="461" w:type="pct"/>
            <w:vMerge w:val="continue"/>
            <w:shd w:val="clear" w:color="auto" w:fill="auto"/>
            <w:noWrap/>
            <w:vAlign w:val="center"/>
          </w:tcPr>
          <w:p w14:paraId="4DD0703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BFA98A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317A6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对比展示—扫描件对比插件</w:t>
            </w:r>
          </w:p>
        </w:tc>
        <w:tc>
          <w:tcPr>
            <w:tcW w:w="2968" w:type="pct"/>
            <w:shd w:val="clear" w:color="auto" w:fill="auto"/>
            <w:vAlign w:val="center"/>
          </w:tcPr>
          <w:p w14:paraId="3C12E9B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提供重复材料扫描件的对比展示。根据第一份材料切换页码，可自动同步定位到重复材料相同内容页的页码。并识别出两份以上的重复材料组，对比界面可切换不同的材料，并同步实现自动定位功能</w:t>
            </w:r>
          </w:p>
        </w:tc>
      </w:tr>
      <w:tr w14:paraId="6D96F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CECA66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118</w:t>
            </w:r>
          </w:p>
        </w:tc>
        <w:tc>
          <w:tcPr>
            <w:tcW w:w="461" w:type="pct"/>
            <w:vMerge w:val="continue"/>
            <w:shd w:val="clear" w:color="auto" w:fill="auto"/>
            <w:noWrap/>
            <w:vAlign w:val="center"/>
          </w:tcPr>
          <w:p w14:paraId="2E27E6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99C744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928A4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对比展示—扫描件对比插件</w:t>
            </w:r>
          </w:p>
        </w:tc>
        <w:tc>
          <w:tcPr>
            <w:tcW w:w="2968" w:type="pct"/>
            <w:shd w:val="clear" w:color="auto" w:fill="auto"/>
            <w:vAlign w:val="center"/>
          </w:tcPr>
          <w:p w14:paraId="3B7962E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正卷中判决书、调解书、裁判书正本和副卷中拟稿内容对比展示，展示方式左侧固定正本，右侧展示拟稿。判决书、调解书、正本自动去章展示，拟稿自动去除首页审批表，从第二页开始和正本进行对比。切换正本各页，将自动切换拟稿的对应页码，如定位到正本的某一页和拟稿中内容不一致，则对该页进行逐行扫描，对不一致的内容在图层上进行标亮提示。</w:t>
            </w:r>
          </w:p>
        </w:tc>
      </w:tr>
      <w:tr w14:paraId="59B5B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89BB3F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119</w:t>
            </w:r>
          </w:p>
        </w:tc>
        <w:tc>
          <w:tcPr>
            <w:tcW w:w="461" w:type="pct"/>
            <w:vMerge w:val="continue"/>
            <w:shd w:val="clear" w:color="auto" w:fill="auto"/>
            <w:noWrap/>
            <w:vAlign w:val="center"/>
          </w:tcPr>
          <w:p w14:paraId="2530AC5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3ECFE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73F6024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对比展示—录音录像对比插件</w:t>
            </w:r>
          </w:p>
        </w:tc>
        <w:tc>
          <w:tcPr>
            <w:tcW w:w="2968" w:type="pct"/>
            <w:shd w:val="clear" w:color="auto" w:fill="auto"/>
            <w:vAlign w:val="center"/>
          </w:tcPr>
          <w:p w14:paraId="3C2AE60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提供音视频同步播放功能，提供左右文件的切换和选择功能。音视频文件类型支持AVI、MPEG (MPG)、MP4 (M4V) 、MOV。提供播放、暂停、快进、快退、拖拉进度栏等操作功能</w:t>
            </w:r>
          </w:p>
        </w:tc>
      </w:tr>
      <w:tr w14:paraId="34533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73CB9F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120</w:t>
            </w:r>
          </w:p>
        </w:tc>
        <w:tc>
          <w:tcPr>
            <w:tcW w:w="461" w:type="pct"/>
            <w:vMerge w:val="continue"/>
            <w:shd w:val="clear" w:color="auto" w:fill="auto"/>
            <w:noWrap/>
            <w:vAlign w:val="center"/>
          </w:tcPr>
          <w:p w14:paraId="6660524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9972E2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3FBCA9B4">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35AB172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音视频不同步、不匹配位置自动标注，点击标注位置将自动定位到音频和视频的播放位置。</w:t>
            </w:r>
          </w:p>
        </w:tc>
      </w:tr>
      <w:tr w14:paraId="4AF4F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EACE64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121</w:t>
            </w:r>
          </w:p>
        </w:tc>
        <w:tc>
          <w:tcPr>
            <w:tcW w:w="461" w:type="pct"/>
            <w:vMerge w:val="continue"/>
            <w:shd w:val="clear" w:color="auto" w:fill="auto"/>
            <w:noWrap/>
            <w:vAlign w:val="center"/>
          </w:tcPr>
          <w:p w14:paraId="5DFEC4D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4C4047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506D9155">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1723F06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提供音视频波形图对比功能，通过总览图方式直观查看音视频之间的差异</w:t>
            </w:r>
          </w:p>
        </w:tc>
      </w:tr>
      <w:tr w14:paraId="4420E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CF4201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122</w:t>
            </w:r>
          </w:p>
        </w:tc>
        <w:tc>
          <w:tcPr>
            <w:tcW w:w="461" w:type="pct"/>
            <w:vMerge w:val="continue"/>
            <w:shd w:val="clear" w:color="auto" w:fill="auto"/>
            <w:noWrap/>
            <w:vAlign w:val="center"/>
          </w:tcPr>
          <w:p w14:paraId="6562AE5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BB35FA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restart"/>
            <w:shd w:val="clear" w:color="auto" w:fill="auto"/>
            <w:vAlign w:val="center"/>
          </w:tcPr>
          <w:p w14:paraId="57EACA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对比展示—转换笔录和录音录像对比插件</w:t>
            </w:r>
          </w:p>
        </w:tc>
        <w:tc>
          <w:tcPr>
            <w:tcW w:w="2968" w:type="pct"/>
            <w:shd w:val="clear" w:color="auto" w:fill="auto"/>
            <w:vAlign w:val="center"/>
          </w:tcPr>
          <w:p w14:paraId="3A90E23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提供文本内容和录音录像同步播放功能，提供左右文件的切换和选择功能，文本提供滚动和选择功能，录音录像提供播放、暂停、快进、快退、拖拉进度栏等操作功能。</w:t>
            </w:r>
          </w:p>
        </w:tc>
      </w:tr>
      <w:tr w14:paraId="5F8B5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2C11B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123</w:t>
            </w:r>
          </w:p>
        </w:tc>
        <w:tc>
          <w:tcPr>
            <w:tcW w:w="461" w:type="pct"/>
            <w:vMerge w:val="continue"/>
            <w:shd w:val="clear" w:color="auto" w:fill="auto"/>
            <w:noWrap/>
            <w:vAlign w:val="center"/>
          </w:tcPr>
          <w:p w14:paraId="05237B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7B8F28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vMerge w:val="continue"/>
            <w:shd w:val="clear" w:color="auto" w:fill="auto"/>
            <w:vAlign w:val="center"/>
          </w:tcPr>
          <w:p w14:paraId="3A7BFD2F">
            <w:pPr>
              <w:keepNext w:val="0"/>
              <w:keepLines w:val="0"/>
              <w:pageBreakBefore w:val="0"/>
              <w:widowControl/>
              <w:kinsoku/>
              <w:wordWrap/>
              <w:overflowPunct/>
              <w:topLinePunct w:val="0"/>
              <w:autoSpaceDE/>
              <w:autoSpaceDN/>
              <w:bidi w:val="0"/>
              <w:adjustRightInd/>
              <w:snapToGrid/>
              <w:ind w:firstLine="0" w:firstLineChars="0"/>
              <w:jc w:val="left"/>
              <w:rPr>
                <w:rFonts w:hint="eastAsia" w:ascii="仿宋" w:hAnsi="仿宋" w:eastAsia="仿宋" w:cs="仿宋"/>
                <w:i w:val="0"/>
                <w:iCs w:val="0"/>
                <w:color w:val="000000"/>
                <w:sz w:val="28"/>
                <w:szCs w:val="28"/>
                <w:highlight w:val="none"/>
                <w:u w:val="none"/>
              </w:rPr>
            </w:pPr>
          </w:p>
        </w:tc>
        <w:tc>
          <w:tcPr>
            <w:tcW w:w="2968" w:type="pct"/>
            <w:shd w:val="clear" w:color="auto" w:fill="auto"/>
            <w:vAlign w:val="center"/>
          </w:tcPr>
          <w:p w14:paraId="18153F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文本内容和音视频不一致位置自动标注，点击标注位置可自动框选文本内容，和定位到音视频播放进度条。</w:t>
            </w:r>
          </w:p>
        </w:tc>
      </w:tr>
      <w:tr w14:paraId="60247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317C47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124</w:t>
            </w:r>
          </w:p>
        </w:tc>
        <w:tc>
          <w:tcPr>
            <w:tcW w:w="461" w:type="pct"/>
            <w:vMerge w:val="continue"/>
            <w:shd w:val="clear" w:color="auto" w:fill="auto"/>
            <w:noWrap/>
            <w:vAlign w:val="center"/>
          </w:tcPr>
          <w:p w14:paraId="438A40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7B5FAF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827703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自动回填—当事人未成年人信息自动回填</w:t>
            </w:r>
          </w:p>
        </w:tc>
        <w:tc>
          <w:tcPr>
            <w:tcW w:w="2968" w:type="pct"/>
            <w:shd w:val="clear" w:color="auto" w:fill="auto"/>
            <w:vAlign w:val="center"/>
          </w:tcPr>
          <w:p w14:paraId="5FFD08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事案件本案当事为未成年、非本案当事人为未成年、刑事案件本案当事为未成年情况下，支持法官通过插件展示从卷宗中提取的未成年人信息，如未成年人姓名、性别、身份信息、监护人姓名，关系，身份信息等，法官确认后可一键自动回填至审判系统界面。记录保存，并提供撤回操作。</w:t>
            </w:r>
          </w:p>
        </w:tc>
      </w:tr>
      <w:tr w14:paraId="7F361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39DD0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125</w:t>
            </w:r>
          </w:p>
        </w:tc>
        <w:tc>
          <w:tcPr>
            <w:tcW w:w="461" w:type="pct"/>
            <w:vMerge w:val="continue"/>
            <w:shd w:val="clear" w:color="auto" w:fill="auto"/>
            <w:noWrap/>
            <w:vAlign w:val="center"/>
          </w:tcPr>
          <w:p w14:paraId="18C7DCD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F9A76D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01CF3C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自动回填—减刑假释案件自动回填</w:t>
            </w:r>
          </w:p>
        </w:tc>
        <w:tc>
          <w:tcPr>
            <w:tcW w:w="2968" w:type="pct"/>
            <w:shd w:val="clear" w:color="auto" w:fill="auto"/>
            <w:vAlign w:val="center"/>
          </w:tcPr>
          <w:p w14:paraId="05BD89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减刑假释案件，支持法官通过插件展示不同的内容，如从卷宗公示文书或未公示说明材料中提取公示信息内容，包括公示结果、未公示原因等，如从卷宗结案信息中提取的内容，如减刑后主刑刑期、原审判决是否剥夺政治权利、被减刑假释人的出生日期、列管地信息、被假释人员的社区矫正机构意见等，法官确认后可一键自动回填至审判系统界面。记录保存，并提供撤回操作。</w:t>
            </w:r>
          </w:p>
        </w:tc>
      </w:tr>
      <w:tr w14:paraId="10BFE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1D3BC0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126</w:t>
            </w:r>
          </w:p>
        </w:tc>
        <w:tc>
          <w:tcPr>
            <w:tcW w:w="461" w:type="pct"/>
            <w:vMerge w:val="continue"/>
            <w:shd w:val="clear" w:color="auto" w:fill="auto"/>
            <w:noWrap/>
            <w:vAlign w:val="center"/>
          </w:tcPr>
          <w:p w14:paraId="5B9288E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EFDB56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43417F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自动回填—结案方式输入情况自动回填</w:t>
            </w:r>
          </w:p>
        </w:tc>
        <w:tc>
          <w:tcPr>
            <w:tcW w:w="2968" w:type="pct"/>
            <w:shd w:val="clear" w:color="auto" w:fill="auto"/>
            <w:vAlign w:val="center"/>
          </w:tcPr>
          <w:p w14:paraId="092C6C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法官通过插件展示不同结案方式下提取的展示内容，若结案方式为“改判”、“撤销或变更原裁定”、“改判或变更原裁判”、“判决：改判”、“裁定撤销原判决，驳回当事人起诉”，从改判案件结案信息中自动抽取缺少的改判原因；若结案方式为“发回重审”、“裁定：发回重审”，从裁判文书中自动抽取发回重审原因信息；若结案方式为“移送”、“移送其他法院管辖”、“被上级法院指定管辖”，从移送函件、裁判文书中自动抽取出移送原因信息；若结案方式为“裁定：撤诉”，从撤诉申请书、裁判文书中自动抽取出撤诉理由信息；若结案方式为“判决”、“调解”，离婚情况不为空并且不是“无”时，从当事人身份证明材料中自动抽取出当事人身份信息，包括当事人性别、生日及身份证号码有效性等；若结案方式为作出保护禁令、变更保护禁令或延长保护禁令时，则从保护禁令相关材料中自动抽取出保护禁令信息，如保护令作出日期、措施种类、保护有效期开始、结束日期等；法官确认后可一键自动回填至审判系统界面。记录保存，并提供撤回操作。</w:t>
            </w:r>
          </w:p>
        </w:tc>
      </w:tr>
      <w:tr w14:paraId="4B54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7A294B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127</w:t>
            </w:r>
          </w:p>
        </w:tc>
        <w:tc>
          <w:tcPr>
            <w:tcW w:w="461" w:type="pct"/>
            <w:vMerge w:val="continue"/>
            <w:shd w:val="clear" w:color="auto" w:fill="auto"/>
            <w:noWrap/>
            <w:vAlign w:val="center"/>
          </w:tcPr>
          <w:p w14:paraId="7B2B58F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9B40C4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668339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自动回填—诉讼费减、免、缓交案件情况自动回填</w:t>
            </w:r>
          </w:p>
        </w:tc>
        <w:tc>
          <w:tcPr>
            <w:tcW w:w="2968" w:type="pct"/>
            <w:shd w:val="clear" w:color="auto" w:fill="auto"/>
            <w:vAlign w:val="center"/>
          </w:tcPr>
          <w:p w14:paraId="499BACD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如果结案信息含诉讼费减交、诉讼费免交、诉讼费缓交，支持法官通过插件展示从法援函等材料中自动提取的法援信息，内容包括：申请人信息，申请事项、受理机构、受理时间等，法官确认后可一键自动回填至审判系统界面。记录保存，并提供撤回操作。</w:t>
            </w:r>
          </w:p>
        </w:tc>
      </w:tr>
      <w:tr w14:paraId="4B213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CA5C4E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128</w:t>
            </w:r>
          </w:p>
        </w:tc>
        <w:tc>
          <w:tcPr>
            <w:tcW w:w="461" w:type="pct"/>
            <w:vMerge w:val="continue"/>
            <w:shd w:val="clear" w:color="auto" w:fill="auto"/>
            <w:noWrap/>
            <w:vAlign w:val="center"/>
          </w:tcPr>
          <w:p w14:paraId="6829503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EBB3B3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0DFAC8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自动回填—道交案件自动回填</w:t>
            </w:r>
          </w:p>
        </w:tc>
        <w:tc>
          <w:tcPr>
            <w:tcW w:w="2968" w:type="pct"/>
            <w:shd w:val="clear" w:color="auto" w:fill="auto"/>
            <w:vAlign w:val="center"/>
          </w:tcPr>
          <w:p w14:paraId="378BBE4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道交案件，如果在有鉴定申请记录，支持法官通过插件展示从鉴定委托函、鉴定报告等材料中自动提取的鉴定信息，内容包括：鉴定机构、鉴定情况和鉴定结束日期等，如有诉讼请求信息，通过插件展示从起诉状、鉴定报告等材料中自动提取的诉讼请求信息，内容包括：诉讼请求、事实和理由、申请日期等，法官确认后可一键自动回填至审判系统界面。记录保存，并提供撤回操作。</w:t>
            </w:r>
          </w:p>
        </w:tc>
      </w:tr>
      <w:tr w14:paraId="1D761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0773F8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129</w:t>
            </w:r>
          </w:p>
        </w:tc>
        <w:tc>
          <w:tcPr>
            <w:tcW w:w="461" w:type="pct"/>
            <w:vMerge w:val="continue"/>
            <w:shd w:val="clear" w:color="auto" w:fill="auto"/>
            <w:noWrap/>
            <w:vAlign w:val="center"/>
          </w:tcPr>
          <w:p w14:paraId="2851DA9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2B3B30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1EA72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自动回填—刑事案件自动回填</w:t>
            </w:r>
          </w:p>
        </w:tc>
        <w:tc>
          <w:tcPr>
            <w:tcW w:w="2968" w:type="pct"/>
            <w:shd w:val="clear" w:color="auto" w:fill="auto"/>
            <w:vAlign w:val="center"/>
          </w:tcPr>
          <w:p w14:paraId="164F6F7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法官通过插件展示从原审作出生效法律文书等材料中自动提取的申请再审事由、提起再审事由等信息，支持法官通过插件展示从民事申请再审案件听证信息等材料中自动提取的听证信息内容，包括：听证机关、听证时间、听证地点、听证申请人、听证内容等；支持法官通过插件展示从刑事速裁案件卷宗材料中自动提取的信息内容，如启动非法证据排除情况、法院自行启动速裁程序情况等；支持法官通过插件展示从卷宗中获取羁押信息内容；支持法官通过插件展示从裁判文书、检察意见书等卷宗材料中自动提取的相关强制措施信息内容，法官确认后可一键自动回填至审判系统界面。记录保存，并提供撤回操作。</w:t>
            </w:r>
          </w:p>
        </w:tc>
      </w:tr>
      <w:tr w14:paraId="184F1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D4A177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130</w:t>
            </w:r>
          </w:p>
        </w:tc>
        <w:tc>
          <w:tcPr>
            <w:tcW w:w="461" w:type="pct"/>
            <w:vMerge w:val="continue"/>
            <w:shd w:val="clear" w:color="auto" w:fill="auto"/>
            <w:noWrap/>
            <w:vAlign w:val="center"/>
          </w:tcPr>
          <w:p w14:paraId="7A9897A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92DCCC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B73E7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自动回填—行政案件自动回填</w:t>
            </w:r>
          </w:p>
        </w:tc>
        <w:tc>
          <w:tcPr>
            <w:tcW w:w="2968" w:type="pct"/>
            <w:shd w:val="clear" w:color="auto" w:fill="auto"/>
            <w:vAlign w:val="center"/>
          </w:tcPr>
          <w:p w14:paraId="2E9D48F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法官通过插件展示从卷宗中获取不同行政案件下的信息内容，针对性情复议情况，获取行政复议信息内容，如复议机关名称、被诉行政行为情况、行政复议结果等；针对重大行政案件，获取案件审理信息内容，如专家法官会议情况、审判委员会会议讨论情况等；针对行政机关负责人出庭案件，获取行政机关负责人出庭情况内容，如出庭人员姓名，职务等；法官确认后可一键自动回填至审判系统界面。记录保存，并提供撤回操作。</w:t>
            </w:r>
          </w:p>
        </w:tc>
      </w:tr>
      <w:tr w14:paraId="6A71D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6E5881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131</w:t>
            </w:r>
          </w:p>
        </w:tc>
        <w:tc>
          <w:tcPr>
            <w:tcW w:w="461" w:type="pct"/>
            <w:vMerge w:val="continue"/>
            <w:shd w:val="clear" w:color="auto" w:fill="auto"/>
            <w:noWrap/>
            <w:vAlign w:val="center"/>
          </w:tcPr>
          <w:p w14:paraId="33331AD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8E1843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236C57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自动回填—审批事项自动回填</w:t>
            </w:r>
          </w:p>
        </w:tc>
        <w:tc>
          <w:tcPr>
            <w:tcW w:w="2968" w:type="pct"/>
            <w:shd w:val="clear" w:color="auto" w:fill="auto"/>
            <w:vAlign w:val="center"/>
          </w:tcPr>
          <w:p w14:paraId="7932D50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支持法官通过插件展示从卷宗中获取审批事项内容，内容包括审判标题、内容，审判批次等，法官确认后可一键自动回填至审判系统界面。记录保存，并提供撤回操作。</w:t>
            </w:r>
          </w:p>
        </w:tc>
      </w:tr>
      <w:tr w14:paraId="3EFE2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vMerge w:val="restart"/>
            <w:shd w:val="clear" w:color="auto" w:fill="auto"/>
            <w:noWrap/>
            <w:vAlign w:val="center"/>
          </w:tcPr>
          <w:p w14:paraId="6D6773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132</w:t>
            </w:r>
          </w:p>
        </w:tc>
        <w:tc>
          <w:tcPr>
            <w:tcW w:w="461" w:type="pct"/>
            <w:vMerge w:val="continue"/>
            <w:shd w:val="clear" w:color="auto" w:fill="auto"/>
            <w:noWrap/>
            <w:vAlign w:val="center"/>
          </w:tcPr>
          <w:p w14:paraId="5A700F2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43A38F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9950CB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自动回填—归档信息自动回填</w:t>
            </w:r>
          </w:p>
        </w:tc>
        <w:tc>
          <w:tcPr>
            <w:tcW w:w="2968" w:type="pct"/>
            <w:shd w:val="clear" w:color="auto" w:fill="auto"/>
            <w:vAlign w:val="center"/>
          </w:tcPr>
          <w:p w14:paraId="4CE441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仿宋" w:hAnsi="仿宋" w:eastAsia="仿宋" w:cs="仿宋"/>
                <w:i w:val="0"/>
                <w:iCs w:val="0"/>
                <w:color w:val="000000"/>
                <w:sz w:val="28"/>
                <w:szCs w:val="28"/>
                <w:highlight w:val="none"/>
                <w:u w:val="none"/>
                <w:lang w:val="en-US"/>
              </w:rPr>
            </w:pPr>
            <w:r>
              <w:rPr>
                <w:rFonts w:hint="eastAsia" w:ascii="仿宋" w:hAnsi="仿宋" w:eastAsia="仿宋" w:cs="仿宋"/>
                <w:i w:val="0"/>
                <w:iCs w:val="0"/>
                <w:color w:val="000000"/>
                <w:kern w:val="0"/>
                <w:sz w:val="28"/>
                <w:szCs w:val="28"/>
                <w:highlight w:val="none"/>
                <w:u w:val="none"/>
                <w:lang w:val="en-US" w:eastAsia="zh-CN" w:bidi="ar"/>
              </w:rPr>
              <w:t>支持法官通过插件展示从卷宗材料中自动识别出归档申请信息，内容包括申请人、申请时间、归档原因、文件数量等，法官确认后可一键自动回填至审判系统界面。记录保存，并提供撤回操作。</w:t>
            </w:r>
          </w:p>
        </w:tc>
      </w:tr>
      <w:tr w14:paraId="25B0B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vMerge w:val="continue"/>
            <w:shd w:val="clear" w:color="auto" w:fill="auto"/>
            <w:noWrap/>
            <w:vAlign w:val="center"/>
          </w:tcPr>
          <w:p w14:paraId="1B1039C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461" w:type="pct"/>
            <w:vMerge w:val="continue"/>
            <w:shd w:val="clear" w:color="auto" w:fill="auto"/>
            <w:noWrap/>
            <w:vAlign w:val="center"/>
          </w:tcPr>
          <w:p w14:paraId="7CD31A4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A55C76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3589" w:type="pct"/>
            <w:gridSpan w:val="2"/>
            <w:shd w:val="clear" w:color="auto" w:fill="auto"/>
            <w:vAlign w:val="center"/>
          </w:tcPr>
          <w:p w14:paraId="5EDD147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仿宋" w:hAnsi="仿宋" w:eastAsia="仿宋" w:cs="仿宋"/>
                <w:i w:val="0"/>
                <w:iCs w:val="0"/>
                <w:color w:val="000000"/>
                <w:kern w:val="0"/>
                <w:sz w:val="28"/>
                <w:szCs w:val="28"/>
                <w:highlight w:val="none"/>
                <w:u w:val="none"/>
                <w:lang w:val="en-US" w:eastAsia="zh-CN" w:bidi="ar"/>
              </w:rPr>
            </w:pPr>
            <w:r>
              <w:rPr>
                <w:rFonts w:hint="eastAsia" w:ascii="仿宋" w:hAnsi="仿宋" w:cs="仿宋"/>
                <w:color w:val="000000" w:themeColor="text1"/>
                <w:kern w:val="0"/>
                <w:sz w:val="28"/>
                <w:szCs w:val="28"/>
                <w:highlight w:val="none"/>
                <w:u w:val="none"/>
                <w:vertAlign w:val="baseline"/>
                <w:lang w:val="en-US" w:eastAsia="zh-CN" w:bidi="ar"/>
                <w14:textFill>
                  <w14:solidFill>
                    <w14:schemeClr w14:val="tx1"/>
                  </w14:solidFill>
                </w14:textFill>
              </w:rPr>
              <w:t>需</w:t>
            </w:r>
            <w:r>
              <w:rPr>
                <w:rFonts w:hint="eastAsia" w:ascii="仿宋" w:hAnsi="仿宋" w:cs="仿宋"/>
                <w:color w:val="000000"/>
                <w:kern w:val="0"/>
                <w:sz w:val="28"/>
                <w:szCs w:val="28"/>
                <w:highlight w:val="none"/>
                <w:u w:val="none"/>
                <w:vertAlign w:val="baseline"/>
                <w:lang w:val="en-US" w:eastAsia="zh-CN" w:bidi="ar"/>
              </w:rPr>
              <w:t>提供详实的</w:t>
            </w:r>
            <w:r>
              <w:rPr>
                <w:rFonts w:hint="eastAsia" w:ascii="仿宋" w:hAnsi="仿宋" w:eastAsia="仿宋" w:cs="仿宋"/>
                <w:i w:val="0"/>
                <w:iCs w:val="0"/>
                <w:color w:val="000000"/>
                <w:kern w:val="0"/>
                <w:sz w:val="28"/>
                <w:szCs w:val="28"/>
                <w:highlight w:val="none"/>
                <w:u w:val="none"/>
                <w:lang w:val="en-US" w:eastAsia="zh-CN" w:bidi="ar"/>
              </w:rPr>
              <w:t>卷宗数字助理业务流程</w:t>
            </w:r>
            <w:r>
              <w:rPr>
                <w:rFonts w:hint="eastAsia" w:ascii="仿宋" w:hAnsi="仿宋" w:cs="仿宋"/>
                <w:i w:val="0"/>
                <w:iCs w:val="0"/>
                <w:color w:val="000000"/>
                <w:kern w:val="0"/>
                <w:sz w:val="28"/>
                <w:szCs w:val="28"/>
                <w:highlight w:val="none"/>
                <w:u w:val="none"/>
                <w:lang w:val="en-US" w:eastAsia="zh-CN" w:bidi="ar"/>
              </w:rPr>
              <w:t>设计</w:t>
            </w:r>
            <w:r>
              <w:rPr>
                <w:rFonts w:hint="eastAsia" w:ascii="仿宋" w:hAnsi="仿宋" w:eastAsia="仿宋" w:cs="仿宋"/>
                <w:i w:val="0"/>
                <w:iCs w:val="0"/>
                <w:color w:val="000000"/>
                <w:kern w:val="0"/>
                <w:sz w:val="28"/>
                <w:szCs w:val="28"/>
                <w:highlight w:val="none"/>
                <w:u w:val="none"/>
                <w:lang w:val="en-US" w:eastAsia="zh-CN" w:bidi="ar"/>
              </w:rPr>
              <w:t>图</w:t>
            </w:r>
            <w:r>
              <w:rPr>
                <w:rFonts w:hint="eastAsia" w:ascii="仿宋" w:hAnsi="仿宋" w:cs="仿宋"/>
                <w:i w:val="0"/>
                <w:iCs w:val="0"/>
                <w:color w:val="000000"/>
                <w:kern w:val="0"/>
                <w:sz w:val="28"/>
                <w:szCs w:val="28"/>
                <w:highlight w:val="none"/>
                <w:u w:val="none"/>
                <w:lang w:val="en-US" w:eastAsia="zh-CN" w:bidi="ar"/>
              </w:rPr>
              <w:t>，并对整体业务流进行说明。</w:t>
            </w:r>
          </w:p>
        </w:tc>
      </w:tr>
      <w:tr w14:paraId="3A51A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6A73A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133</w:t>
            </w:r>
          </w:p>
        </w:tc>
        <w:tc>
          <w:tcPr>
            <w:tcW w:w="461" w:type="pct"/>
            <w:vMerge w:val="continue"/>
            <w:shd w:val="clear" w:color="auto" w:fill="auto"/>
            <w:noWrap/>
            <w:vAlign w:val="center"/>
          </w:tcPr>
          <w:p w14:paraId="438D728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2600D1F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卷宗质量评查</w:t>
            </w:r>
          </w:p>
        </w:tc>
        <w:tc>
          <w:tcPr>
            <w:tcW w:w="620" w:type="pct"/>
            <w:shd w:val="clear" w:color="auto" w:fill="auto"/>
            <w:vAlign w:val="center"/>
          </w:tcPr>
          <w:p w14:paraId="20E229B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评查数字模型—编目归目校验评分模型</w:t>
            </w:r>
          </w:p>
        </w:tc>
        <w:tc>
          <w:tcPr>
            <w:tcW w:w="2968" w:type="pct"/>
            <w:shd w:val="clear" w:color="auto" w:fill="auto"/>
            <w:vAlign w:val="center"/>
          </w:tcPr>
          <w:p w14:paraId="4FCCFFA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针对编目归目校验过程各节点流程情况建立评分模型：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模型输入：在上海法院全流程网上办案及卷宗归档过程中，案件信息录入、证据材料上传、法律文书制作等环节，针对获取到的案件卷宗材料调用技术底座中的编目及OCR处理能力对卷宗材料进行处理。通过调用技术底座的司法文书要素处理能力，对该类型的电子卷宗内容中的关键要素进行标注训练并结合编目归目规则研发出模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2.模型实施：在每个节点实施编目归目校验的过程中，记录相应的数据。这包括但不限于案件信息是否齐全、证据材料是否上传完整、法律文书是否规范等。输出编目归目评查得分。</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3.模型应用：模型产生结果作为结果数据推送到卷宗开放服务中心及卷宗数字化智能辅助能力-卷宗编目归目校验模型中。</w:t>
            </w:r>
          </w:p>
        </w:tc>
      </w:tr>
      <w:tr w14:paraId="49505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E00E5A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134</w:t>
            </w:r>
          </w:p>
        </w:tc>
        <w:tc>
          <w:tcPr>
            <w:tcW w:w="461" w:type="pct"/>
            <w:vMerge w:val="continue"/>
            <w:shd w:val="clear" w:color="auto" w:fill="auto"/>
            <w:noWrap/>
            <w:vAlign w:val="center"/>
          </w:tcPr>
          <w:p w14:paraId="0BB7CD7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A34F40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E2A066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评查数字模型—合规性质量校验评分模型</w:t>
            </w:r>
          </w:p>
        </w:tc>
        <w:tc>
          <w:tcPr>
            <w:tcW w:w="2968" w:type="pct"/>
            <w:shd w:val="clear" w:color="auto" w:fill="auto"/>
            <w:vAlign w:val="center"/>
          </w:tcPr>
          <w:p w14:paraId="40E3CF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针对合规性校验过程各节点流程情况建立评分模型：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模型输入：在上海法院全流程网上办案及卷宗归档过程中，立案、案件报结、卷宗归档过程中，采集卷宗数据信息，通过调用技术底座的司法文书要素处理能力，对该类型的电子卷宗内容中的关键要素进行标注训练并结合卷宗合规性质量校验规则研发出模型。例如查验报结登记与卷宗是否相符、评查案件事实是否清楚、证据是否确实充分、适用法律是否正确、裁判文书是否规范等问题的评查环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2.模型实施：在每个节点实施合规性校验的过程中，记录相应的数据。这包括但不限于文件完整度、合规性程度、完成时间等。输出合规性评查得分。</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3.模型应用：模型产生结果作为结果数据推送到配置中心服务于上层案件评查相关应用。</w:t>
            </w:r>
          </w:p>
        </w:tc>
      </w:tr>
      <w:tr w14:paraId="45BAF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917BBF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135</w:t>
            </w:r>
          </w:p>
        </w:tc>
        <w:tc>
          <w:tcPr>
            <w:tcW w:w="461" w:type="pct"/>
            <w:vMerge w:val="continue"/>
            <w:shd w:val="clear" w:color="auto" w:fill="auto"/>
            <w:noWrap/>
            <w:vAlign w:val="center"/>
          </w:tcPr>
          <w:p w14:paraId="3AAB01C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4CBFE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92120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评查数字模型—完整性质量校验评分模型</w:t>
            </w:r>
          </w:p>
        </w:tc>
        <w:tc>
          <w:tcPr>
            <w:tcW w:w="2968" w:type="pct"/>
            <w:shd w:val="clear" w:color="auto" w:fill="auto"/>
            <w:vAlign w:val="center"/>
          </w:tcPr>
          <w:p w14:paraId="47190C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针对完整性校验过程各节点流程情况建立评分模型：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模型输入：在上海法院全流程网上办案及卷宗归档过程中，立案、案件报结、卷宗归档过程中，采集卷宗数据信息，针对获取到的案件卷宗材料调用技术底座中的编目及OCR处理能力对卷宗材料进行处理。获取卷宗中文件数、过程信息、卷宗材料内容信息等数据内容。</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模型实施：对卷宗中文件数（是否有音视频文件及个数），过程信息（立案材料、执行通知材料、财产查询等）、卷宗材料内容信息（授权委托信息、案件结案信息、未成年相关信息等）建立含是否，下钻数量是否合规的判断规则，并进行标注训练。输出完整性评查得分。</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3.模型应用：模型产生结果作为结果数据推送到配置中心服务于上层案件评查相关应用。</w:t>
            </w:r>
          </w:p>
        </w:tc>
      </w:tr>
      <w:tr w14:paraId="3BEF3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6C291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136</w:t>
            </w:r>
          </w:p>
        </w:tc>
        <w:tc>
          <w:tcPr>
            <w:tcW w:w="461" w:type="pct"/>
            <w:vMerge w:val="continue"/>
            <w:shd w:val="clear" w:color="auto" w:fill="auto"/>
            <w:noWrap/>
            <w:vAlign w:val="center"/>
          </w:tcPr>
          <w:p w14:paraId="0ED0BFD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E876A7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CA57B8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评查数字模型—可用性质量校验评分模型</w:t>
            </w:r>
          </w:p>
        </w:tc>
        <w:tc>
          <w:tcPr>
            <w:tcW w:w="2968" w:type="pct"/>
            <w:shd w:val="clear" w:color="auto" w:fill="auto"/>
            <w:vAlign w:val="center"/>
          </w:tcPr>
          <w:p w14:paraId="131B3B1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针对可用性校验过程各节点流程情况建立评分模型：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模型输入：在上海法院全流程网上办案立案及卷宗归档过程中，采集卷宗数据信息，针对获取到的案件卷宗材料调用技术底座中的编目及OCR处理能力对卷宗材料进行处理，获卷宗材料内容信息、元数据信息、文件格式信息等数据内容。</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2.模型实施：根据各个节点的实际情况和重要性，为每个评分标准分配权重。例如，元数据是否完整、内容是否可读、音频视频材料格式是否规范、图片材料是否清晰等。输出可用性评查得分。</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3.模型应用：模型产生结果作为结果数据推送到配置中心服务于上层案件评查相关应用。</w:t>
            </w:r>
          </w:p>
        </w:tc>
      </w:tr>
      <w:tr w14:paraId="270AD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607865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137</w:t>
            </w:r>
          </w:p>
        </w:tc>
        <w:tc>
          <w:tcPr>
            <w:tcW w:w="461" w:type="pct"/>
            <w:vMerge w:val="continue"/>
            <w:shd w:val="clear" w:color="auto" w:fill="auto"/>
            <w:noWrap/>
            <w:vAlign w:val="center"/>
          </w:tcPr>
          <w:p w14:paraId="29E1B29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4454BF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980A53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评查数字模型—及时性质量校验评分模型</w:t>
            </w:r>
          </w:p>
        </w:tc>
        <w:tc>
          <w:tcPr>
            <w:tcW w:w="2968" w:type="pct"/>
            <w:shd w:val="clear" w:color="auto" w:fill="auto"/>
            <w:vAlign w:val="center"/>
          </w:tcPr>
          <w:p w14:paraId="09EF387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针对可用性校验过程各节点流程情况建立评分模型：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1.模型输入：在上海法院全流程网上办案立案及卷宗归档过程中，采集卷宗数据信息，针对获取到的案件卷宗材料调用技术底座中的编目及OCR处理能力对卷宗材料进行处理，对卷宗内设计及时性相关数据做提取。</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2.模型实施：根据各个节点的实际情况和重要性，为每个评分标准分配权重。例如，卷宗提交、处理、审查、归档的及时性综合规则。输出卷宗处理及时性评查得分。</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3.模型应用：模型产生结果作为结果数据推送到配置中心服务于上层案件评查相关应用。</w:t>
            </w:r>
          </w:p>
        </w:tc>
      </w:tr>
      <w:tr w14:paraId="53E8A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EFEF1E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138</w:t>
            </w:r>
          </w:p>
        </w:tc>
        <w:tc>
          <w:tcPr>
            <w:tcW w:w="461" w:type="pct"/>
            <w:vMerge w:val="continue"/>
            <w:shd w:val="clear" w:color="auto" w:fill="auto"/>
            <w:noWrap/>
            <w:vAlign w:val="center"/>
          </w:tcPr>
          <w:p w14:paraId="5F68BF3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6850A8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w:t>
            </w:r>
            <w:r>
              <w:rPr>
                <w:rFonts w:hint="eastAsia" w:ascii="仿宋" w:hAnsi="仿宋" w:cs="仿宋"/>
                <w:i w:val="0"/>
                <w:iCs w:val="0"/>
                <w:color w:val="000000"/>
                <w:kern w:val="0"/>
                <w:sz w:val="28"/>
                <w:szCs w:val="28"/>
                <w:highlight w:val="none"/>
                <w:u w:val="none"/>
                <w:lang w:val="en-US" w:eastAsia="zh-CN" w:bidi="ar"/>
              </w:rPr>
              <w:t>质量</w:t>
            </w:r>
            <w:r>
              <w:rPr>
                <w:rFonts w:hint="eastAsia" w:ascii="仿宋" w:hAnsi="仿宋" w:eastAsia="仿宋" w:cs="仿宋"/>
                <w:i w:val="0"/>
                <w:iCs w:val="0"/>
                <w:color w:val="000000"/>
                <w:kern w:val="0"/>
                <w:sz w:val="28"/>
                <w:szCs w:val="28"/>
                <w:highlight w:val="none"/>
                <w:u w:val="none"/>
                <w:lang w:val="en-US" w:eastAsia="zh-CN" w:bidi="ar"/>
              </w:rPr>
              <w:t>评查</w:t>
            </w:r>
          </w:p>
        </w:tc>
        <w:tc>
          <w:tcPr>
            <w:tcW w:w="620" w:type="pct"/>
            <w:shd w:val="clear" w:color="auto" w:fill="auto"/>
            <w:vAlign w:val="center"/>
          </w:tcPr>
          <w:p w14:paraId="404A152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校验规则配置—编目归目校验评分规则配置</w:t>
            </w:r>
          </w:p>
        </w:tc>
        <w:tc>
          <w:tcPr>
            <w:tcW w:w="2968" w:type="pct"/>
            <w:shd w:val="clear" w:color="auto" w:fill="auto"/>
            <w:vAlign w:val="center"/>
          </w:tcPr>
          <w:p w14:paraId="36E1F30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1.评分权重定义：依据业务需求，利用编目归目校验评分模型，定义各节点得分的得分权重，生成编目归目校验评分规则。</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校验评分规则可以从以下几个方面结合法院业务专家经验进行得分权重配置：</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完整性：检查卷宗材料是否齐全、完整，是否包括所有必要的文件和资料。</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规范性：检查卷宗材料是否符合规范要求，如文件名、文件格式、文件内容是否符合法律规定和标准。</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准确性：检查卷宗材料中的信息是否准确无误，如时间、地点、人物、事件等。</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清晰性：检查卷宗材料是否清晰可读，文字、图片等是否清晰、易于辨认。</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逻辑性：检查卷宗材料是否通顺，前后是否一致，是否存在矛盾或不合理之处。</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2.评分规则管理：对编目归目校验评分规则进行管理，包括规则的增加、删除、修改、查询。</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3.评分规则发布：确认编目归目校验评分规则后，可对评分规则进行发布和停用管理。</w:t>
            </w:r>
          </w:p>
        </w:tc>
      </w:tr>
      <w:tr w14:paraId="7A396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FBA5D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139</w:t>
            </w:r>
          </w:p>
        </w:tc>
        <w:tc>
          <w:tcPr>
            <w:tcW w:w="461" w:type="pct"/>
            <w:vMerge w:val="continue"/>
            <w:shd w:val="clear" w:color="auto" w:fill="auto"/>
            <w:noWrap/>
            <w:vAlign w:val="center"/>
          </w:tcPr>
          <w:p w14:paraId="1E5247D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7569EF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5DDF62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校验规则配置—合规性质量校验评分规则配置</w:t>
            </w:r>
          </w:p>
        </w:tc>
        <w:tc>
          <w:tcPr>
            <w:tcW w:w="2968" w:type="pct"/>
            <w:shd w:val="clear" w:color="auto" w:fill="auto"/>
            <w:vAlign w:val="center"/>
          </w:tcPr>
          <w:p w14:paraId="3440DC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1.评分权重定义：依据业务需求，利用合规性质量校验评分模型，定义各节点得分的得分权重，生成合规性质量校验评分规则。</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合规性质量校验评分规则可以从以下几个方面结合法院业务专家经验进行得分权重配置：：</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卷宗封面：检查卷宗封面是否填写齐全、准确无误，是否符合规范要求。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卷宗目录：检查卷宗目录是否齐全、准确无误，是否符合规范要求。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卷宗页码：检查卷宗页码是否连续、准确无误，是否符合规范要求。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卷宗归档：检查卷宗归档是否符合规范要求，是否有遗漏或缺失的文件。</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根据以上方面，可以制定相应的评分规则，并为每个规则分配一定的分值。</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2.评分规则管理：对合规性质量校验评分规则进行管理，包括规则的增加、删除、修改、查询。</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3.评分规则发布：确认合规性质量校验评分规则后，可对评分规则进行发布和停用管理。</w:t>
            </w:r>
          </w:p>
        </w:tc>
      </w:tr>
      <w:tr w14:paraId="55C2D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D6471E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140</w:t>
            </w:r>
          </w:p>
        </w:tc>
        <w:tc>
          <w:tcPr>
            <w:tcW w:w="461" w:type="pct"/>
            <w:vMerge w:val="continue"/>
            <w:shd w:val="clear" w:color="auto" w:fill="auto"/>
            <w:noWrap/>
            <w:vAlign w:val="center"/>
          </w:tcPr>
          <w:p w14:paraId="56C074E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AFC392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132A55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校验规则配置—完整性质量校验评分规则配置</w:t>
            </w:r>
          </w:p>
        </w:tc>
        <w:tc>
          <w:tcPr>
            <w:tcW w:w="2968" w:type="pct"/>
            <w:shd w:val="clear" w:color="auto" w:fill="auto"/>
            <w:vAlign w:val="center"/>
          </w:tcPr>
          <w:p w14:paraId="633921A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1.评分权重定义：依据业务需求，利用完整性质量校验评分模型，定义各节点得分的得分权重，生成完整性质量校验评分规则。</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完整性质量校验评分规则可以从以下几个方面结合法院业务专家经验进行得分权重配置：：</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卷宗总体完整性：检查卷宗中的文件数量正卷文件数、副卷文件数、音视频文件数等是否齐全、完整，是否符合规范要求。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过程信息完整性：检查立案材料、庭审材料、被告材料等过程信息是否完整符合规范要求。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内容完整性：检查授权委托信息、减刑假释案件结案信息等是否完整符合规范要求。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文件格式：检查卷宗中文件的格式是否符合规范要求，如排版、固定格式要求等。</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文件签名：检查卷宗中需要签名的地方是否都有签名，是否符合规范要求。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文件盖章：检查卷宗中需要盖章的地方是否都有盖章，是否符合规范要求。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根据以上方面，可以制定相应的评分规则，并为每个规则分配一定的分值。</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2.评分规则管理：对完整性质量校验评分规则进行管理，包括规则的增加、删除、修改、查询</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3.评分规则发布：确认完整性质量校验评分规则后，可对评分规则进行发布和停用管理</w:t>
            </w:r>
          </w:p>
        </w:tc>
      </w:tr>
      <w:tr w14:paraId="338EC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051C64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141</w:t>
            </w:r>
          </w:p>
        </w:tc>
        <w:tc>
          <w:tcPr>
            <w:tcW w:w="461" w:type="pct"/>
            <w:vMerge w:val="continue"/>
            <w:shd w:val="clear" w:color="auto" w:fill="auto"/>
            <w:noWrap/>
            <w:vAlign w:val="center"/>
          </w:tcPr>
          <w:p w14:paraId="060EF1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55C76D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EE9E39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校验规则配置—可用性质量校验评分规则配置</w:t>
            </w:r>
          </w:p>
        </w:tc>
        <w:tc>
          <w:tcPr>
            <w:tcW w:w="2968" w:type="pct"/>
            <w:shd w:val="clear" w:color="auto" w:fill="auto"/>
            <w:vAlign w:val="center"/>
          </w:tcPr>
          <w:p w14:paraId="279F929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1.评分权重定义：依据业务需求，利用可用性质量校验评分模型，定义各节点得分的得分权重，生成可用性质量校验评分规则。</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可用性质量校验评分规则可以从以下几个方面结合法院业务专家经验进行得分权重配置：：</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元数据可用性：对卷宗材料元数据是否完整可用进行评查评分规则设计。</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内容可读性：对卷宗材料图片、音视频、表格、文档等可读性进行评查评分规则设计。</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页码连续性：对卷宗材料页码连续性进行评查评分规则设计。</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文件重复性：对卷宗材料同步目录下裁定、判决、调解书出现重复的情形进行评查评分规则设计。</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根据以上方面，可以制定相应的评分规则，并为每个规则分配一定的分值。</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2.评分规则管理：对可用性质量校验评分规则进行管理，包括规则的增加、删除、修改、查询。</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3.评分规则发布：确认可用性质量校验评分规则后，可对评分规则进行发布和停用管理。</w:t>
            </w:r>
          </w:p>
        </w:tc>
      </w:tr>
      <w:tr w14:paraId="5375E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55783E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142</w:t>
            </w:r>
          </w:p>
        </w:tc>
        <w:tc>
          <w:tcPr>
            <w:tcW w:w="461" w:type="pct"/>
            <w:vMerge w:val="continue"/>
            <w:shd w:val="clear" w:color="auto" w:fill="auto"/>
            <w:noWrap/>
            <w:vAlign w:val="center"/>
          </w:tcPr>
          <w:p w14:paraId="4785185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55E6FB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3BDF56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校验规则配置—及时性质量校验评分规则配置</w:t>
            </w:r>
          </w:p>
        </w:tc>
        <w:tc>
          <w:tcPr>
            <w:tcW w:w="2968" w:type="pct"/>
            <w:shd w:val="clear" w:color="auto" w:fill="auto"/>
            <w:vAlign w:val="center"/>
          </w:tcPr>
          <w:p w14:paraId="79249F1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1.评分权重定义：依据业务需求，利用及时性质量校验评分模型，定义各节点得分的得分权重，生成及时性质量校验评分规则。</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及时性质量校验评分规则可以从以下几个方面结合法院业务专家经验进行得分权重配置：：</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卷宗提交及时性：检查卷宗是否按照规定的时间节点和要求及时提交，是否有延迟或遗漏的情况。</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卷宗处理及时性：检查卷宗是否在规定的时间内得到处理，是否有拖延或积压的情况。</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卷宗审查及时性：检查卷宗是否在规定的时间内得到审查和审批，是否有延迟或遗漏的情况。</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卷宗归档及时性：检查卷宗是否在规定的时间内得到归档，是否有延迟或遗漏的情况。</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根据以上方面，可以制定相应的评分规则，并为每个规则分配一定的分值。</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2.评分规则管理：对及时性质量校验评分规则进行管理，包括规则的增加、删除、修改、查询</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3.评分规则发布：确认及时性质量校验评分规则后，可对评分规则进行发布和停用管理</w:t>
            </w:r>
          </w:p>
        </w:tc>
      </w:tr>
      <w:tr w14:paraId="077A6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DBAD75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143</w:t>
            </w:r>
          </w:p>
        </w:tc>
        <w:tc>
          <w:tcPr>
            <w:tcW w:w="461" w:type="pct"/>
            <w:vMerge w:val="continue"/>
            <w:shd w:val="clear" w:color="auto" w:fill="auto"/>
            <w:noWrap/>
            <w:vAlign w:val="center"/>
          </w:tcPr>
          <w:p w14:paraId="33E5CA3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28F3F1F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卷宗质量评查</w:t>
            </w:r>
          </w:p>
        </w:tc>
        <w:tc>
          <w:tcPr>
            <w:tcW w:w="620" w:type="pct"/>
            <w:shd w:val="clear" w:color="auto" w:fill="auto"/>
            <w:vAlign w:val="center"/>
          </w:tcPr>
          <w:p w14:paraId="02E09EC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评查任务发布—任务列表</w:t>
            </w:r>
          </w:p>
        </w:tc>
        <w:tc>
          <w:tcPr>
            <w:tcW w:w="2968" w:type="pct"/>
            <w:shd w:val="clear" w:color="auto" w:fill="auto"/>
            <w:vAlign w:val="center"/>
          </w:tcPr>
          <w:p w14:paraId="66A5101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显示所有待评查的案件，可按照时间顺序、案件名称、当事人、承办法官等不同维度进行排列，方便法官快速查找和定位案件。</w:t>
            </w:r>
          </w:p>
        </w:tc>
      </w:tr>
      <w:tr w14:paraId="7A57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F25412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144</w:t>
            </w:r>
          </w:p>
        </w:tc>
        <w:tc>
          <w:tcPr>
            <w:tcW w:w="461" w:type="pct"/>
            <w:vMerge w:val="continue"/>
            <w:shd w:val="clear" w:color="auto" w:fill="auto"/>
            <w:noWrap/>
            <w:vAlign w:val="center"/>
          </w:tcPr>
          <w:p w14:paraId="039A521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C734A4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2846A1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评查任务发布—评查任务分配</w:t>
            </w:r>
          </w:p>
        </w:tc>
        <w:tc>
          <w:tcPr>
            <w:tcW w:w="2968" w:type="pct"/>
            <w:shd w:val="clear" w:color="auto" w:fill="auto"/>
            <w:vAlign w:val="center"/>
          </w:tcPr>
          <w:p w14:paraId="3FCDECD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选择评查类型，分为常规评查、专项评查、重点评查。根据设定的比例，随机抽取条件范围内的案件文书、材料卷宗进行评查。抽取的条件包括：承办部门、承办人、案件状态、是否评查，承办人支持手动输入快速过滤。也可以根据年度、代字、当事人、案由、结案方式等特征选取特定案件进行评查。左侧根据条件查询到案件列表后，需要通过一定方式抽取到右侧提交评查。其中包括三种随机方式：按比例，按每人X件，按每合议庭X件等。</w:t>
            </w:r>
          </w:p>
        </w:tc>
      </w:tr>
      <w:tr w14:paraId="44493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BF115B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145</w:t>
            </w:r>
          </w:p>
        </w:tc>
        <w:tc>
          <w:tcPr>
            <w:tcW w:w="461" w:type="pct"/>
            <w:vMerge w:val="continue"/>
            <w:shd w:val="clear" w:color="auto" w:fill="auto"/>
            <w:noWrap/>
            <w:vAlign w:val="center"/>
          </w:tcPr>
          <w:p w14:paraId="138345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B2466A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BD9C4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评查任务发布—任务进度监控</w:t>
            </w:r>
          </w:p>
        </w:tc>
        <w:tc>
          <w:tcPr>
            <w:tcW w:w="2968" w:type="pct"/>
            <w:shd w:val="clear" w:color="auto" w:fill="auto"/>
            <w:vAlign w:val="center"/>
          </w:tcPr>
          <w:p w14:paraId="306DA4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支持在任务列表中显示每个任务的进度情况，以便管理者和当事人了解案件的评查进度。</w:t>
            </w:r>
          </w:p>
        </w:tc>
      </w:tr>
      <w:tr w14:paraId="16289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BF8643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146</w:t>
            </w:r>
          </w:p>
        </w:tc>
        <w:tc>
          <w:tcPr>
            <w:tcW w:w="461" w:type="pct"/>
            <w:vMerge w:val="continue"/>
            <w:shd w:val="clear" w:color="auto" w:fill="auto"/>
            <w:noWrap/>
            <w:vAlign w:val="center"/>
          </w:tcPr>
          <w:p w14:paraId="1AE9BC2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3B4D1B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0DBE71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评查任务发布—任务提醒</w:t>
            </w:r>
          </w:p>
        </w:tc>
        <w:tc>
          <w:tcPr>
            <w:tcW w:w="2968" w:type="pct"/>
            <w:shd w:val="clear" w:color="auto" w:fill="auto"/>
            <w:vAlign w:val="center"/>
          </w:tcPr>
          <w:p w14:paraId="6AAF0C4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支持在系统内设置任务提醒功能，及时通知法官进行案件评查，防止任务超期或遗漏。</w:t>
            </w:r>
          </w:p>
        </w:tc>
      </w:tr>
      <w:tr w14:paraId="1E9B1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0D151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147</w:t>
            </w:r>
          </w:p>
        </w:tc>
        <w:tc>
          <w:tcPr>
            <w:tcW w:w="461" w:type="pct"/>
            <w:vMerge w:val="continue"/>
            <w:shd w:val="clear" w:color="auto" w:fill="auto"/>
            <w:noWrap/>
            <w:vAlign w:val="center"/>
          </w:tcPr>
          <w:p w14:paraId="1313A3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EB7E5D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8CA7DA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评查任务发布—任务标记</w:t>
            </w:r>
          </w:p>
        </w:tc>
        <w:tc>
          <w:tcPr>
            <w:tcW w:w="2968" w:type="pct"/>
            <w:shd w:val="clear" w:color="auto" w:fill="auto"/>
            <w:vAlign w:val="center"/>
          </w:tcPr>
          <w:p w14:paraId="3FD7B41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支持在任务发布后对任务进行标记，如标记为“已评查”、“已审核”等状态，方便管理。</w:t>
            </w:r>
          </w:p>
        </w:tc>
      </w:tr>
      <w:tr w14:paraId="7E637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5FF39A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148</w:t>
            </w:r>
          </w:p>
        </w:tc>
        <w:tc>
          <w:tcPr>
            <w:tcW w:w="461" w:type="pct"/>
            <w:vMerge w:val="continue"/>
            <w:shd w:val="clear" w:color="auto" w:fill="auto"/>
            <w:noWrap/>
            <w:vAlign w:val="center"/>
          </w:tcPr>
          <w:p w14:paraId="7691C7A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39DE4E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0EF9B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评查任务发布—任务统计</w:t>
            </w:r>
          </w:p>
        </w:tc>
        <w:tc>
          <w:tcPr>
            <w:tcW w:w="2968" w:type="pct"/>
            <w:shd w:val="clear" w:color="auto" w:fill="auto"/>
            <w:vAlign w:val="center"/>
          </w:tcPr>
          <w:p w14:paraId="599CE66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支持对任务发布、任务分配、任务进度、申诉情况等数据进行统计和分析，为法院管理提供数据支持。</w:t>
            </w:r>
          </w:p>
        </w:tc>
      </w:tr>
      <w:tr w14:paraId="1B63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B95161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149</w:t>
            </w:r>
          </w:p>
        </w:tc>
        <w:tc>
          <w:tcPr>
            <w:tcW w:w="461" w:type="pct"/>
            <w:vMerge w:val="continue"/>
            <w:shd w:val="clear" w:color="auto" w:fill="auto"/>
            <w:noWrap/>
            <w:vAlign w:val="center"/>
          </w:tcPr>
          <w:p w14:paraId="081B6C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F844D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6326CB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评分评价概览—卷宗质量评查总体评分-评分标准设定</w:t>
            </w:r>
          </w:p>
        </w:tc>
        <w:tc>
          <w:tcPr>
            <w:tcW w:w="2968" w:type="pct"/>
            <w:shd w:val="clear" w:color="auto" w:fill="auto"/>
            <w:vAlign w:val="center"/>
          </w:tcPr>
          <w:p w14:paraId="68A8FD4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支持在系统中设置评分标准和各项指标的权重，可以根据法院的实际情况和需求进行调整和修改。</w:t>
            </w:r>
          </w:p>
        </w:tc>
      </w:tr>
      <w:tr w14:paraId="5DE1C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BFBDB7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150</w:t>
            </w:r>
          </w:p>
        </w:tc>
        <w:tc>
          <w:tcPr>
            <w:tcW w:w="461" w:type="pct"/>
            <w:vMerge w:val="continue"/>
            <w:shd w:val="clear" w:color="auto" w:fill="auto"/>
            <w:noWrap/>
            <w:vAlign w:val="center"/>
          </w:tcPr>
          <w:p w14:paraId="32A715C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BCECD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A694DC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评分评价概览—卷宗质量评查总体评分-自动评分</w:t>
            </w:r>
          </w:p>
        </w:tc>
        <w:tc>
          <w:tcPr>
            <w:tcW w:w="2968" w:type="pct"/>
            <w:shd w:val="clear" w:color="auto" w:fill="auto"/>
            <w:vAlign w:val="center"/>
          </w:tcPr>
          <w:p w14:paraId="2C43FD2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通过系统对卷宗进行自动化评查，根据预设的评分规则标准和模型算法，自动计算出卷宗的总体评分。</w:t>
            </w:r>
          </w:p>
        </w:tc>
      </w:tr>
      <w:tr w14:paraId="1253E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F62C4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151</w:t>
            </w:r>
          </w:p>
        </w:tc>
        <w:tc>
          <w:tcPr>
            <w:tcW w:w="461" w:type="pct"/>
            <w:vMerge w:val="continue"/>
            <w:shd w:val="clear" w:color="auto" w:fill="auto"/>
            <w:noWrap/>
            <w:vAlign w:val="center"/>
          </w:tcPr>
          <w:p w14:paraId="1C9B499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306670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D87FBF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评分评价概览—卷宗质量评查总体评分-评查报告</w:t>
            </w:r>
          </w:p>
        </w:tc>
        <w:tc>
          <w:tcPr>
            <w:tcW w:w="2968" w:type="pct"/>
            <w:shd w:val="clear" w:color="auto" w:fill="auto"/>
            <w:vAlign w:val="center"/>
          </w:tcPr>
          <w:p w14:paraId="7C2172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根据卷宗自动评分的结果，自动生成卷宗质量评查报告，支持人工对评分进行修正，并输入评查结果和评分理由。同时，可以通过系统内置的卷宗评查规范和标准，为法官提供评查指导和参考。</w:t>
            </w:r>
          </w:p>
        </w:tc>
      </w:tr>
      <w:tr w14:paraId="00A6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5E502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152</w:t>
            </w:r>
          </w:p>
        </w:tc>
        <w:tc>
          <w:tcPr>
            <w:tcW w:w="461" w:type="pct"/>
            <w:vMerge w:val="continue"/>
            <w:shd w:val="clear" w:color="auto" w:fill="auto"/>
            <w:noWrap/>
            <w:vAlign w:val="center"/>
          </w:tcPr>
          <w:p w14:paraId="4737729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6DC4B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235451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评分评价概览—卷宗质量评查总体评分-评分统计</w:t>
            </w:r>
          </w:p>
        </w:tc>
        <w:tc>
          <w:tcPr>
            <w:tcW w:w="2968" w:type="pct"/>
            <w:shd w:val="clear" w:color="auto" w:fill="auto"/>
            <w:vAlign w:val="center"/>
          </w:tcPr>
          <w:p w14:paraId="4C8078A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支持对所有评查卷宗的评分数据进行统计和分析，可以展示平均分、最高分、最低分、评分分布等数据，以便管理者了解整体卷宗质量情况。</w:t>
            </w:r>
          </w:p>
        </w:tc>
      </w:tr>
      <w:tr w14:paraId="2CE9A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E06B7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153</w:t>
            </w:r>
          </w:p>
        </w:tc>
        <w:tc>
          <w:tcPr>
            <w:tcW w:w="461" w:type="pct"/>
            <w:vMerge w:val="continue"/>
            <w:shd w:val="clear" w:color="auto" w:fill="auto"/>
            <w:noWrap/>
            <w:vAlign w:val="center"/>
          </w:tcPr>
          <w:p w14:paraId="1547B38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CF3A11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C0A8FC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评分评价概览—卷宗质量评查总体评分-评查报告同步</w:t>
            </w:r>
          </w:p>
        </w:tc>
        <w:tc>
          <w:tcPr>
            <w:tcW w:w="2968" w:type="pct"/>
            <w:shd w:val="clear" w:color="auto" w:fill="auto"/>
            <w:vAlign w:val="center"/>
          </w:tcPr>
          <w:p w14:paraId="053B81E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对评查卷宗报告进行一键同步法官，可挑选卷宗报告进行同步或者选择全部同步，评查报告通过数字助理通知到负责卷宗的法官</w:t>
            </w:r>
          </w:p>
        </w:tc>
      </w:tr>
      <w:tr w14:paraId="3E36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54D91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154</w:t>
            </w:r>
          </w:p>
        </w:tc>
        <w:tc>
          <w:tcPr>
            <w:tcW w:w="461" w:type="pct"/>
            <w:vMerge w:val="continue"/>
            <w:shd w:val="clear" w:color="auto" w:fill="auto"/>
            <w:noWrap/>
            <w:vAlign w:val="center"/>
          </w:tcPr>
          <w:p w14:paraId="2D7DC8D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EEDD8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B4E42D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评分评价概览—卷宗质量评查总体评分-评分结果反馈</w:t>
            </w:r>
          </w:p>
        </w:tc>
        <w:tc>
          <w:tcPr>
            <w:tcW w:w="2968" w:type="pct"/>
            <w:shd w:val="clear" w:color="auto" w:fill="auto"/>
            <w:vAlign w:val="center"/>
          </w:tcPr>
          <w:p w14:paraId="0FA12F9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支持将评分结果及时反馈给法官了解自己的卷宗质量和改进情况，同时也可以让律师对代理的案件进行监督和管理。</w:t>
            </w:r>
          </w:p>
        </w:tc>
      </w:tr>
      <w:tr w14:paraId="2B580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B7429D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155</w:t>
            </w:r>
          </w:p>
        </w:tc>
        <w:tc>
          <w:tcPr>
            <w:tcW w:w="461" w:type="pct"/>
            <w:vMerge w:val="continue"/>
            <w:shd w:val="clear" w:color="auto" w:fill="auto"/>
            <w:noWrap/>
            <w:vAlign w:val="center"/>
          </w:tcPr>
          <w:p w14:paraId="513EDB8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9269B2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5D5A29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评分评价概览—卷宗质量评查总体评分-评查报告业务庭汇总</w:t>
            </w:r>
          </w:p>
        </w:tc>
        <w:tc>
          <w:tcPr>
            <w:tcW w:w="2968" w:type="pct"/>
            <w:shd w:val="clear" w:color="auto" w:fill="auto"/>
            <w:vAlign w:val="center"/>
          </w:tcPr>
          <w:p w14:paraId="5B986F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按照业务庭汇总评查结果通过数字助理通知到同步庭长，庭长可查看负责业务庭下所有评查卷宗的质量问题，以及负责卷宗的法官</w:t>
            </w:r>
          </w:p>
        </w:tc>
      </w:tr>
      <w:tr w14:paraId="55C9B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977CA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156</w:t>
            </w:r>
          </w:p>
        </w:tc>
        <w:tc>
          <w:tcPr>
            <w:tcW w:w="461" w:type="pct"/>
            <w:vMerge w:val="continue"/>
            <w:shd w:val="clear" w:color="auto" w:fill="auto"/>
            <w:noWrap/>
            <w:vAlign w:val="center"/>
          </w:tcPr>
          <w:p w14:paraId="79247F9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C357A6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DC13E6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评分评价概览—卷宗质量评查评分-历史评分记录及分析</w:t>
            </w:r>
          </w:p>
        </w:tc>
        <w:tc>
          <w:tcPr>
            <w:tcW w:w="2968" w:type="pct"/>
            <w:shd w:val="clear" w:color="auto" w:fill="auto"/>
            <w:vAlign w:val="center"/>
          </w:tcPr>
          <w:p w14:paraId="66087E3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支持保存历史评分记录，方便管理者对卷宗质量的变化趋势进行分析和比较，及时发现和解决潜在问题。</w:t>
            </w:r>
          </w:p>
        </w:tc>
      </w:tr>
      <w:tr w14:paraId="260B5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5922C6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157</w:t>
            </w:r>
          </w:p>
        </w:tc>
        <w:tc>
          <w:tcPr>
            <w:tcW w:w="461" w:type="pct"/>
            <w:vMerge w:val="continue"/>
            <w:shd w:val="clear" w:color="auto" w:fill="auto"/>
            <w:noWrap/>
            <w:vAlign w:val="center"/>
          </w:tcPr>
          <w:p w14:paraId="45503E1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D2FC3F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0FBA89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评分评价概览—卷宗质量评查评分-同比环比分析展示</w:t>
            </w:r>
          </w:p>
        </w:tc>
        <w:tc>
          <w:tcPr>
            <w:tcW w:w="2968" w:type="pct"/>
            <w:shd w:val="clear" w:color="auto" w:fill="auto"/>
            <w:vAlign w:val="center"/>
          </w:tcPr>
          <w:p w14:paraId="58FDD9D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对于卷宗质量评查结果，支持以同年不同案由案件或承办业务科室等为维度进行同比分析展示。也支持同一案由历年（前后1年）为维度进行环比分析展示。</w:t>
            </w:r>
          </w:p>
        </w:tc>
      </w:tr>
      <w:tr w14:paraId="4193E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58C83D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158</w:t>
            </w:r>
          </w:p>
        </w:tc>
        <w:tc>
          <w:tcPr>
            <w:tcW w:w="461" w:type="pct"/>
            <w:vMerge w:val="continue"/>
            <w:shd w:val="clear" w:color="auto" w:fill="auto"/>
            <w:noWrap/>
            <w:vAlign w:val="center"/>
          </w:tcPr>
          <w:p w14:paraId="22FB15B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DC70CC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66818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扣分项核对—扣分项核对—扣分详细信息展示</w:t>
            </w:r>
          </w:p>
        </w:tc>
        <w:tc>
          <w:tcPr>
            <w:tcW w:w="2968" w:type="pct"/>
            <w:shd w:val="clear" w:color="auto" w:fill="auto"/>
            <w:vAlign w:val="center"/>
          </w:tcPr>
          <w:p w14:paraId="5BE246A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除了展示扣分项的名称和扣分标准外，还可以增加对扣分项的详细描述和解释，帮助法官更好地理解扣分的理由和依据。</w:t>
            </w:r>
          </w:p>
        </w:tc>
      </w:tr>
      <w:tr w14:paraId="641EF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03738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159</w:t>
            </w:r>
          </w:p>
        </w:tc>
        <w:tc>
          <w:tcPr>
            <w:tcW w:w="461" w:type="pct"/>
            <w:vMerge w:val="continue"/>
            <w:shd w:val="clear" w:color="auto" w:fill="auto"/>
            <w:noWrap/>
            <w:vAlign w:val="center"/>
          </w:tcPr>
          <w:p w14:paraId="5FA91B4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9309DD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A57FE5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扣分项核对—扣分项核对—扣分依据文件关联</w:t>
            </w:r>
          </w:p>
        </w:tc>
        <w:tc>
          <w:tcPr>
            <w:tcW w:w="2968" w:type="pct"/>
            <w:shd w:val="clear" w:color="auto" w:fill="auto"/>
            <w:vAlign w:val="center"/>
          </w:tcPr>
          <w:p w14:paraId="086B84A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支持将扣分项与相关的文件进行关联，例如涉及到的事实证据、法律条款等。法官可以方便地查阅和参考这些文件，以确保扣分项的核对准确无误。</w:t>
            </w:r>
          </w:p>
        </w:tc>
      </w:tr>
      <w:tr w14:paraId="3D2C9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7F0643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160</w:t>
            </w:r>
          </w:p>
        </w:tc>
        <w:tc>
          <w:tcPr>
            <w:tcW w:w="461" w:type="pct"/>
            <w:vMerge w:val="continue"/>
            <w:shd w:val="clear" w:color="auto" w:fill="auto"/>
            <w:noWrap/>
            <w:vAlign w:val="center"/>
          </w:tcPr>
          <w:p w14:paraId="1DB4A19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B8E949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5B86E8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扣分项核对—扣分项核对—扣分项核对流程设计</w:t>
            </w:r>
          </w:p>
        </w:tc>
        <w:tc>
          <w:tcPr>
            <w:tcW w:w="2968" w:type="pct"/>
            <w:shd w:val="clear" w:color="auto" w:fill="auto"/>
            <w:vAlign w:val="center"/>
          </w:tcPr>
          <w:p w14:paraId="34CC81A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设计一个清晰、易操作的扣分项核对流程。法官可以按照流程逐步进行核对，确保每个扣分项都得到了准确的比对和确认。</w:t>
            </w:r>
          </w:p>
        </w:tc>
      </w:tr>
      <w:tr w14:paraId="31CC6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3050223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161</w:t>
            </w:r>
          </w:p>
        </w:tc>
        <w:tc>
          <w:tcPr>
            <w:tcW w:w="461" w:type="pct"/>
            <w:vMerge w:val="continue"/>
            <w:shd w:val="clear" w:color="auto" w:fill="auto"/>
            <w:noWrap/>
            <w:vAlign w:val="center"/>
          </w:tcPr>
          <w:p w14:paraId="5966672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38CDED7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9216F5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扣分项核对—扣分项核对—扣分项标注与解释</w:t>
            </w:r>
          </w:p>
        </w:tc>
        <w:tc>
          <w:tcPr>
            <w:tcW w:w="2968" w:type="pct"/>
            <w:shd w:val="clear" w:color="auto" w:fill="auto"/>
            <w:vAlign w:val="center"/>
          </w:tcPr>
          <w:p w14:paraId="01471BE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对于某些扣分项，可以提供标注或解释功能。当法官选择某个扣分项时，可以自动显示相关的标注或解释，帮助法官更好地理解和判断。</w:t>
            </w:r>
          </w:p>
        </w:tc>
      </w:tr>
      <w:tr w14:paraId="7A2FE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4A217D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162</w:t>
            </w:r>
          </w:p>
        </w:tc>
        <w:tc>
          <w:tcPr>
            <w:tcW w:w="461" w:type="pct"/>
            <w:vMerge w:val="continue"/>
            <w:shd w:val="clear" w:color="auto" w:fill="auto"/>
            <w:noWrap/>
            <w:vAlign w:val="center"/>
          </w:tcPr>
          <w:p w14:paraId="201B3B6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5D60B7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63AE7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扣分项核对—扣分项核对—扣分项申诉与管理</w:t>
            </w:r>
          </w:p>
        </w:tc>
        <w:tc>
          <w:tcPr>
            <w:tcW w:w="2968" w:type="pct"/>
            <w:shd w:val="clear" w:color="auto" w:fill="auto"/>
            <w:vAlign w:val="center"/>
          </w:tcPr>
          <w:p w14:paraId="212B4ED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如果法官对某个扣分项存在异议或疑问，可以设计一个申诉机制。法官可以在该机制下提交申诉理由和证据，以便管理方进行审核和处理。</w:t>
            </w:r>
          </w:p>
        </w:tc>
      </w:tr>
      <w:tr w14:paraId="5377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3169B9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163</w:t>
            </w:r>
          </w:p>
        </w:tc>
        <w:tc>
          <w:tcPr>
            <w:tcW w:w="461" w:type="pct"/>
            <w:vMerge w:val="continue"/>
            <w:shd w:val="clear" w:color="auto" w:fill="auto"/>
            <w:noWrap/>
            <w:vAlign w:val="center"/>
          </w:tcPr>
          <w:p w14:paraId="18A8DC0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E0C09D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59F902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扣分项核对—扣分项核对—扣分数据分析及可视化</w:t>
            </w:r>
          </w:p>
        </w:tc>
        <w:tc>
          <w:tcPr>
            <w:tcW w:w="2968" w:type="pct"/>
            <w:shd w:val="clear" w:color="auto" w:fill="auto"/>
            <w:vAlign w:val="center"/>
          </w:tcPr>
          <w:p w14:paraId="06C50E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将扣分项的数据以图表、表格等形式进行可视化展示。这样可以让管理者更直观地了解扣分情况，便于分析问题并采取改进措施。</w:t>
            </w:r>
          </w:p>
        </w:tc>
      </w:tr>
      <w:tr w14:paraId="148E3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D267CC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164</w:t>
            </w:r>
          </w:p>
        </w:tc>
        <w:tc>
          <w:tcPr>
            <w:tcW w:w="461" w:type="pct"/>
            <w:vMerge w:val="continue"/>
            <w:shd w:val="clear" w:color="auto" w:fill="auto"/>
            <w:noWrap/>
            <w:vAlign w:val="center"/>
          </w:tcPr>
          <w:p w14:paraId="09E8F29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E0CCC2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653F8E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扣分项核对—扣分项核对—扣分项汇总与报告</w:t>
            </w:r>
          </w:p>
        </w:tc>
        <w:tc>
          <w:tcPr>
            <w:tcW w:w="2968" w:type="pct"/>
            <w:shd w:val="clear" w:color="auto" w:fill="auto"/>
            <w:vAlign w:val="center"/>
          </w:tcPr>
          <w:p w14:paraId="6FABD70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提供扣分项的汇总功能，将多个案件的扣分项数据进行合并和分析。同时，生成详细的扣分报告，包括扣分项的统计数据、具体扣分情况等，方便管理者进行查阅和评估。</w:t>
            </w:r>
          </w:p>
        </w:tc>
      </w:tr>
      <w:tr w14:paraId="218FA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500AB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165</w:t>
            </w:r>
          </w:p>
        </w:tc>
        <w:tc>
          <w:tcPr>
            <w:tcW w:w="461" w:type="pct"/>
            <w:vMerge w:val="continue"/>
            <w:shd w:val="clear" w:color="auto" w:fill="auto"/>
            <w:noWrap/>
            <w:vAlign w:val="center"/>
          </w:tcPr>
          <w:p w14:paraId="0BBDBA4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73B5CB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2FBC7F3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扣分项核对—扣分项核对—扣分项审核</w:t>
            </w:r>
          </w:p>
        </w:tc>
        <w:tc>
          <w:tcPr>
            <w:tcW w:w="2968" w:type="pct"/>
            <w:shd w:val="clear" w:color="auto" w:fill="auto"/>
            <w:vAlign w:val="center"/>
          </w:tcPr>
          <w:p w14:paraId="2818847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1.为确保扣分项的准确性和公正性，可以设计一个详细的审核流程。该流程可以包括扣分项的提交、初审、复审、审核意见记录等环节，确保每个扣分项都得到恰当的审核和确认。</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2.为方便管理者了解扣分项审核的具体情况，可以设计一个审核意见记录功能。法官可以在该功能下输入对扣分项的审核意见和理由，以便管理者查阅和监督。</w:t>
            </w:r>
          </w:p>
        </w:tc>
      </w:tr>
      <w:tr w14:paraId="6040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7E86449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166</w:t>
            </w:r>
          </w:p>
        </w:tc>
        <w:tc>
          <w:tcPr>
            <w:tcW w:w="461" w:type="pct"/>
            <w:vMerge w:val="continue"/>
            <w:shd w:val="clear" w:color="auto" w:fill="auto"/>
            <w:noWrap/>
            <w:vAlign w:val="center"/>
          </w:tcPr>
          <w:p w14:paraId="6389AAB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4EE013A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B1186E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结果修正审核—原始扣分原因查看</w:t>
            </w:r>
          </w:p>
        </w:tc>
        <w:tc>
          <w:tcPr>
            <w:tcW w:w="2968" w:type="pct"/>
            <w:shd w:val="clear" w:color="auto" w:fill="auto"/>
            <w:vAlign w:val="center"/>
          </w:tcPr>
          <w:p w14:paraId="07106B7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为方便管理人员了解扣分项的原始扣分原因，设计原始扣分原因查看功能。该功能可以展示每个扣分项的原始扣分原因和扣分标准，帮助管理者更好地了解卷宗扣分的依据。</w:t>
            </w:r>
          </w:p>
        </w:tc>
      </w:tr>
      <w:tr w14:paraId="19EB6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D0916B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167</w:t>
            </w:r>
          </w:p>
        </w:tc>
        <w:tc>
          <w:tcPr>
            <w:tcW w:w="461" w:type="pct"/>
            <w:vMerge w:val="continue"/>
            <w:shd w:val="clear" w:color="auto" w:fill="auto"/>
            <w:noWrap/>
            <w:vAlign w:val="center"/>
          </w:tcPr>
          <w:p w14:paraId="6DE58C9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057FB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E19C25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结果修正审核—原始扣分材料查看</w:t>
            </w:r>
          </w:p>
        </w:tc>
        <w:tc>
          <w:tcPr>
            <w:tcW w:w="2968" w:type="pct"/>
            <w:shd w:val="clear" w:color="auto" w:fill="auto"/>
            <w:vAlign w:val="center"/>
          </w:tcPr>
          <w:p w14:paraId="4F0AE46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支持对原始扣分材料进行查看和下载，这些材料可以包括相关的证据材料、法律文书等。这样可以帮助管理者更好地了解扣分项的具体情况，提高审核的准确性和公正性。</w:t>
            </w:r>
          </w:p>
        </w:tc>
      </w:tr>
      <w:tr w14:paraId="5BCFF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78AD86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168</w:t>
            </w:r>
          </w:p>
        </w:tc>
        <w:tc>
          <w:tcPr>
            <w:tcW w:w="461" w:type="pct"/>
            <w:vMerge w:val="continue"/>
            <w:shd w:val="clear" w:color="auto" w:fill="auto"/>
            <w:noWrap/>
            <w:vAlign w:val="center"/>
          </w:tcPr>
          <w:p w14:paraId="33F9C7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5784785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0E2E337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结果修正审核—修正内容查看</w:t>
            </w:r>
          </w:p>
        </w:tc>
        <w:tc>
          <w:tcPr>
            <w:tcW w:w="2968" w:type="pct"/>
            <w:shd w:val="clear" w:color="auto" w:fill="auto"/>
            <w:vAlign w:val="center"/>
          </w:tcPr>
          <w:p w14:paraId="564CC7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该功能可以展示每个扣分项的修正内容、修正时间、修正人等信息，帮助管理者了解卷宗评分扣分项的修改历史。</w:t>
            </w:r>
          </w:p>
        </w:tc>
      </w:tr>
      <w:tr w14:paraId="75570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601DC5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169</w:t>
            </w:r>
          </w:p>
        </w:tc>
        <w:tc>
          <w:tcPr>
            <w:tcW w:w="461" w:type="pct"/>
            <w:vMerge w:val="continue"/>
            <w:shd w:val="clear" w:color="auto" w:fill="auto"/>
            <w:noWrap/>
            <w:vAlign w:val="center"/>
          </w:tcPr>
          <w:p w14:paraId="397375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0904EC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11155D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结果修正审核—修正审核意见</w:t>
            </w:r>
          </w:p>
        </w:tc>
        <w:tc>
          <w:tcPr>
            <w:tcW w:w="2968" w:type="pct"/>
            <w:shd w:val="clear" w:color="auto" w:fill="auto"/>
            <w:vAlign w:val="center"/>
          </w:tcPr>
          <w:p w14:paraId="2625E8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支持对修正后的卷宗评分扣分项进行再次审核，设计审核意见功能。该功能可以展示修正后的扣分项及审核意见、审核时间、审核人等信息，以便管理者进行再次审核和确认。</w:t>
            </w:r>
          </w:p>
        </w:tc>
      </w:tr>
      <w:tr w14:paraId="00220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vMerge w:val="restart"/>
            <w:shd w:val="clear" w:color="auto" w:fill="auto"/>
            <w:noWrap/>
            <w:vAlign w:val="center"/>
          </w:tcPr>
          <w:p w14:paraId="79663A0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170</w:t>
            </w:r>
          </w:p>
        </w:tc>
        <w:tc>
          <w:tcPr>
            <w:tcW w:w="461" w:type="pct"/>
            <w:vMerge w:val="continue"/>
            <w:shd w:val="clear" w:color="auto" w:fill="auto"/>
            <w:noWrap/>
            <w:vAlign w:val="center"/>
          </w:tcPr>
          <w:p w14:paraId="47473F8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061586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55BCA80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结果修正审核—修正结果汇总与分析</w:t>
            </w:r>
          </w:p>
        </w:tc>
        <w:tc>
          <w:tcPr>
            <w:tcW w:w="2968" w:type="pct"/>
            <w:shd w:val="clear" w:color="auto" w:fill="auto"/>
            <w:vAlign w:val="center"/>
          </w:tcPr>
          <w:p w14:paraId="35422CE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修正后的卷宗评分扣分项数据进行统计和分析，以便管理者更好地了解卷宗质量情况。具体可以设计一些数据指标，如修正后扣分项审核通过率、审核意见分布等，帮助法院管理人员发现问题并采取改进措施。</w:t>
            </w:r>
          </w:p>
        </w:tc>
      </w:tr>
      <w:tr w14:paraId="0EE39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vMerge w:val="continue"/>
            <w:shd w:val="clear" w:color="auto" w:fill="auto"/>
            <w:noWrap/>
            <w:vAlign w:val="center"/>
          </w:tcPr>
          <w:p w14:paraId="626787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461" w:type="pct"/>
            <w:vMerge w:val="continue"/>
            <w:shd w:val="clear" w:color="auto" w:fill="auto"/>
            <w:noWrap/>
            <w:vAlign w:val="center"/>
          </w:tcPr>
          <w:p w14:paraId="22E0958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20B0EA7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3589" w:type="pct"/>
            <w:gridSpan w:val="2"/>
            <w:shd w:val="clear" w:color="auto" w:fill="auto"/>
            <w:vAlign w:val="center"/>
          </w:tcPr>
          <w:p w14:paraId="7AFBCD8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cs="仿宋"/>
                <w:color w:val="000000"/>
                <w:kern w:val="0"/>
                <w:sz w:val="28"/>
                <w:szCs w:val="28"/>
                <w:highlight w:val="none"/>
                <w:u w:val="none"/>
                <w:vertAlign w:val="baseline"/>
                <w:lang w:val="en-US" w:eastAsia="zh-CN" w:bidi="ar"/>
              </w:rPr>
              <w:t>需提供详实的</w:t>
            </w:r>
            <w:r>
              <w:rPr>
                <w:rFonts w:hint="eastAsia" w:ascii="仿宋" w:hAnsi="仿宋" w:eastAsia="仿宋" w:cs="仿宋"/>
                <w:i w:val="0"/>
                <w:iCs w:val="0"/>
                <w:color w:val="000000"/>
                <w:kern w:val="0"/>
                <w:sz w:val="28"/>
                <w:szCs w:val="28"/>
                <w:highlight w:val="none"/>
                <w:u w:val="none"/>
                <w:lang w:val="en-US" w:eastAsia="zh-CN" w:bidi="ar"/>
              </w:rPr>
              <w:t>卷宗质量评查业务流程</w:t>
            </w:r>
            <w:r>
              <w:rPr>
                <w:rFonts w:hint="eastAsia" w:ascii="仿宋" w:hAnsi="仿宋" w:cs="仿宋"/>
                <w:i w:val="0"/>
                <w:iCs w:val="0"/>
                <w:color w:val="000000"/>
                <w:kern w:val="0"/>
                <w:sz w:val="28"/>
                <w:szCs w:val="28"/>
                <w:highlight w:val="none"/>
                <w:u w:val="none"/>
                <w:lang w:val="en-US" w:eastAsia="zh-CN" w:bidi="ar"/>
              </w:rPr>
              <w:t>设计</w:t>
            </w:r>
            <w:r>
              <w:rPr>
                <w:rFonts w:hint="eastAsia" w:ascii="仿宋" w:hAnsi="仿宋" w:eastAsia="仿宋" w:cs="仿宋"/>
                <w:i w:val="0"/>
                <w:iCs w:val="0"/>
                <w:color w:val="000000"/>
                <w:kern w:val="0"/>
                <w:sz w:val="28"/>
                <w:szCs w:val="28"/>
                <w:highlight w:val="none"/>
                <w:u w:val="none"/>
                <w:lang w:val="en-US" w:eastAsia="zh-CN" w:bidi="ar"/>
              </w:rPr>
              <w:t>图</w:t>
            </w:r>
            <w:r>
              <w:rPr>
                <w:rFonts w:hint="eastAsia" w:ascii="仿宋" w:hAnsi="仿宋" w:cs="仿宋"/>
                <w:i w:val="0"/>
                <w:iCs w:val="0"/>
                <w:color w:val="000000"/>
                <w:kern w:val="0"/>
                <w:sz w:val="28"/>
                <w:szCs w:val="28"/>
                <w:highlight w:val="none"/>
                <w:u w:val="none"/>
                <w:lang w:val="en-US" w:eastAsia="zh-CN" w:bidi="ar"/>
              </w:rPr>
              <w:t>，并对整体业务流进行说明。</w:t>
            </w:r>
          </w:p>
        </w:tc>
      </w:tr>
      <w:tr w14:paraId="44353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2A1105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171</w:t>
            </w:r>
          </w:p>
        </w:tc>
        <w:tc>
          <w:tcPr>
            <w:tcW w:w="461" w:type="pct"/>
            <w:vMerge w:val="continue"/>
            <w:shd w:val="clear" w:color="auto" w:fill="auto"/>
            <w:noWrap/>
            <w:vAlign w:val="center"/>
          </w:tcPr>
          <w:p w14:paraId="123F406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5EBBF98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卷宗智能检索（升级）</w:t>
            </w:r>
          </w:p>
        </w:tc>
        <w:tc>
          <w:tcPr>
            <w:tcW w:w="620" w:type="pct"/>
            <w:shd w:val="clear" w:color="auto" w:fill="auto"/>
            <w:vAlign w:val="center"/>
          </w:tcPr>
          <w:p w14:paraId="632115E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综合检索（升级）</w:t>
            </w:r>
          </w:p>
        </w:tc>
        <w:tc>
          <w:tcPr>
            <w:tcW w:w="2968" w:type="pct"/>
            <w:shd w:val="clear" w:color="auto" w:fill="auto"/>
            <w:vAlign w:val="center"/>
          </w:tcPr>
          <w:p w14:paraId="53E9B66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新增模糊检索，选择在文件目录、案卷目录以及全文中进行模糊检索，模糊关键词支持文字、数字、符号以及图片、语音等组合。</w:t>
            </w:r>
          </w:p>
        </w:tc>
      </w:tr>
      <w:tr w14:paraId="55AA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4E931B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172</w:t>
            </w:r>
          </w:p>
        </w:tc>
        <w:tc>
          <w:tcPr>
            <w:tcW w:w="461" w:type="pct"/>
            <w:vMerge w:val="continue"/>
            <w:shd w:val="clear" w:color="auto" w:fill="auto"/>
            <w:noWrap/>
            <w:vAlign w:val="center"/>
          </w:tcPr>
          <w:p w14:paraId="64612F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72FCC2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C7407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多模态智能检索（新增）</w:t>
            </w:r>
          </w:p>
        </w:tc>
        <w:tc>
          <w:tcPr>
            <w:tcW w:w="2968" w:type="pct"/>
            <w:shd w:val="clear" w:color="auto" w:fill="auto"/>
            <w:vAlign w:val="center"/>
          </w:tcPr>
          <w:p w14:paraId="5964183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调用技术底座能力，新增多模态智能检索，提供对全宗文本、图像、音频、视频等多种方式对案件信息进行检索，提高检索效率和准确性。例如，法官可以通过输入文字关键词、上传图片、输入语音等方式，快速找到与该关键词或图片相关的案件信息，同时支持对检索结果进行聚类、分类、过滤等操作，进一步优化检索结果，提高检索效率和准确性。</w:t>
            </w:r>
          </w:p>
        </w:tc>
      </w:tr>
      <w:tr w14:paraId="1310F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B39629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173</w:t>
            </w:r>
          </w:p>
        </w:tc>
        <w:tc>
          <w:tcPr>
            <w:tcW w:w="461" w:type="pct"/>
            <w:vMerge w:val="continue"/>
            <w:shd w:val="clear" w:color="auto" w:fill="auto"/>
            <w:noWrap/>
            <w:vAlign w:val="center"/>
          </w:tcPr>
          <w:p w14:paraId="0E7D37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97F182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EEB5AA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新增检索结果展示(新增）</w:t>
            </w:r>
          </w:p>
        </w:tc>
        <w:tc>
          <w:tcPr>
            <w:tcW w:w="2968" w:type="pct"/>
            <w:shd w:val="clear" w:color="auto" w:fill="auto"/>
            <w:vAlign w:val="center"/>
          </w:tcPr>
          <w:p w14:paraId="5A9A35B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检索结果中，支持显示所有匹配的记录，每条记录应包括标题、摘要、关键词、正文等部分，用户可以自由选择显示哪些部分</w:t>
            </w:r>
          </w:p>
        </w:tc>
      </w:tr>
      <w:tr w14:paraId="78202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C2023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174</w:t>
            </w:r>
          </w:p>
        </w:tc>
        <w:tc>
          <w:tcPr>
            <w:tcW w:w="461" w:type="pct"/>
            <w:vMerge w:val="continue"/>
            <w:shd w:val="clear" w:color="auto" w:fill="auto"/>
            <w:noWrap/>
            <w:vAlign w:val="center"/>
          </w:tcPr>
          <w:p w14:paraId="6CC3C91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720D97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3DC9BE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新增检索结果排序（新增）</w:t>
            </w:r>
          </w:p>
        </w:tc>
        <w:tc>
          <w:tcPr>
            <w:tcW w:w="2968" w:type="pct"/>
            <w:shd w:val="clear" w:color="auto" w:fill="auto"/>
            <w:vAlign w:val="center"/>
          </w:tcPr>
          <w:p w14:paraId="0EC2A40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检索结果中，支持按照相关度、时间、重要度等进行排序，法官可以自由选择排序方式</w:t>
            </w:r>
          </w:p>
        </w:tc>
      </w:tr>
      <w:tr w14:paraId="5FDBF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DC9C8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175</w:t>
            </w:r>
          </w:p>
        </w:tc>
        <w:tc>
          <w:tcPr>
            <w:tcW w:w="461" w:type="pct"/>
            <w:vMerge w:val="continue"/>
            <w:shd w:val="clear" w:color="auto" w:fill="auto"/>
            <w:noWrap/>
            <w:vAlign w:val="center"/>
          </w:tcPr>
          <w:p w14:paraId="36F6945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restart"/>
            <w:shd w:val="clear" w:color="auto" w:fill="auto"/>
            <w:vAlign w:val="center"/>
          </w:tcPr>
          <w:p w14:paraId="188AE1F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卷宗借阅预览（升级）</w:t>
            </w:r>
          </w:p>
        </w:tc>
        <w:tc>
          <w:tcPr>
            <w:tcW w:w="620" w:type="pct"/>
            <w:shd w:val="clear" w:color="auto" w:fill="auto"/>
            <w:vAlign w:val="center"/>
          </w:tcPr>
          <w:p w14:paraId="5965AE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借阅管理（升级）</w:t>
            </w:r>
          </w:p>
        </w:tc>
        <w:tc>
          <w:tcPr>
            <w:tcW w:w="2968" w:type="pct"/>
            <w:shd w:val="clear" w:color="auto" w:fill="auto"/>
            <w:vAlign w:val="center"/>
          </w:tcPr>
          <w:p w14:paraId="76F165E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调用技术底座能力，自动判别借阅期限，网上在线借阅的电子卷宗，到期支持强制收回阅读权限；审批时支持指定查看截止时间，表示该电子全文在截止时间内允许被查阅，超期则自动取消查阅，如要继续查阅，需重新申请借阅。</w:t>
            </w:r>
          </w:p>
        </w:tc>
      </w:tr>
      <w:tr w14:paraId="5F428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4493E7B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176</w:t>
            </w:r>
          </w:p>
        </w:tc>
        <w:tc>
          <w:tcPr>
            <w:tcW w:w="461" w:type="pct"/>
            <w:vMerge w:val="continue"/>
            <w:shd w:val="clear" w:color="auto" w:fill="auto"/>
            <w:noWrap/>
            <w:vAlign w:val="center"/>
          </w:tcPr>
          <w:p w14:paraId="1D3D4AA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DDCAB8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D1F38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卷宗借阅控制（新增）</w:t>
            </w:r>
          </w:p>
        </w:tc>
        <w:tc>
          <w:tcPr>
            <w:tcW w:w="2968" w:type="pct"/>
            <w:shd w:val="clear" w:color="auto" w:fill="auto"/>
            <w:vAlign w:val="center"/>
          </w:tcPr>
          <w:p w14:paraId="526C07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根据《法院卷宗查阅暂行规定》借阅人员可以向业务部门申请借阅电子卷宗，管理员通过后，借阅人员可以查看借阅信息和下载卷宗，支持通过调用技术底座能力，输出借阅控制，包括但不限于水印、打印次数等控制。</w:t>
            </w:r>
          </w:p>
        </w:tc>
      </w:tr>
      <w:tr w14:paraId="01F0C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6638243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177</w:t>
            </w:r>
          </w:p>
        </w:tc>
        <w:tc>
          <w:tcPr>
            <w:tcW w:w="461" w:type="pct"/>
            <w:vMerge w:val="continue"/>
            <w:shd w:val="clear" w:color="auto" w:fill="auto"/>
            <w:noWrap/>
            <w:vAlign w:val="center"/>
          </w:tcPr>
          <w:p w14:paraId="277C3A9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799CEBD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3550755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借阅时间限制（新增）</w:t>
            </w:r>
          </w:p>
        </w:tc>
        <w:tc>
          <w:tcPr>
            <w:tcW w:w="2968" w:type="pct"/>
            <w:shd w:val="clear" w:color="auto" w:fill="auto"/>
            <w:vAlign w:val="center"/>
          </w:tcPr>
          <w:p w14:paraId="3F71FC9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支持根据借阅规则设置借阅时间，对借阅时间进行限制，如24小时或48小时等，到期自动提示。</w:t>
            </w:r>
          </w:p>
        </w:tc>
      </w:tr>
      <w:tr w14:paraId="6618C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5B2A30D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178</w:t>
            </w:r>
          </w:p>
        </w:tc>
        <w:tc>
          <w:tcPr>
            <w:tcW w:w="461" w:type="pct"/>
            <w:vMerge w:val="continue"/>
            <w:shd w:val="clear" w:color="auto" w:fill="auto"/>
            <w:noWrap/>
            <w:vAlign w:val="center"/>
          </w:tcPr>
          <w:p w14:paraId="16A7747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242C5F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D0AE3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借阅数量限制（新增）</w:t>
            </w:r>
          </w:p>
        </w:tc>
        <w:tc>
          <w:tcPr>
            <w:tcW w:w="2968" w:type="pct"/>
            <w:shd w:val="clear" w:color="auto" w:fill="auto"/>
            <w:vAlign w:val="center"/>
          </w:tcPr>
          <w:p w14:paraId="7B27C2F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支持根据借阅规则设置借阅部门或人员最多可以借阅的卷宗数量，方便管理。</w:t>
            </w:r>
          </w:p>
        </w:tc>
      </w:tr>
      <w:tr w14:paraId="5BB85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016ED14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179</w:t>
            </w:r>
          </w:p>
        </w:tc>
        <w:tc>
          <w:tcPr>
            <w:tcW w:w="461" w:type="pct"/>
            <w:vMerge w:val="continue"/>
            <w:shd w:val="clear" w:color="auto" w:fill="auto"/>
            <w:noWrap/>
            <w:vAlign w:val="center"/>
          </w:tcPr>
          <w:p w14:paraId="1C7D419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2FA47F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79041C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借阅提醒（新增）</w:t>
            </w:r>
          </w:p>
        </w:tc>
        <w:tc>
          <w:tcPr>
            <w:tcW w:w="2968" w:type="pct"/>
            <w:shd w:val="clear" w:color="auto" w:fill="auto"/>
            <w:vAlign w:val="center"/>
          </w:tcPr>
          <w:p w14:paraId="5B3855D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支持对即将到期未归还卷宗，系统自动提醒借阅人员归还。</w:t>
            </w:r>
          </w:p>
        </w:tc>
      </w:tr>
      <w:tr w14:paraId="6344F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1B871EF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180</w:t>
            </w:r>
          </w:p>
        </w:tc>
        <w:tc>
          <w:tcPr>
            <w:tcW w:w="461" w:type="pct"/>
            <w:vMerge w:val="continue"/>
            <w:shd w:val="clear" w:color="auto" w:fill="auto"/>
            <w:noWrap/>
            <w:vAlign w:val="center"/>
          </w:tcPr>
          <w:p w14:paraId="3649984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6D36D5C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466A16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卷宗借阅预览（新增）</w:t>
            </w:r>
          </w:p>
        </w:tc>
        <w:tc>
          <w:tcPr>
            <w:tcW w:w="2968" w:type="pct"/>
            <w:shd w:val="clear" w:color="auto" w:fill="auto"/>
            <w:vAlign w:val="center"/>
          </w:tcPr>
          <w:p w14:paraId="7B30CF2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提供缩略图预览模式及单页大图阅读模式，为法官快速通览卷宗及详细阅览卷宗的需求，支持不同位置的多份卷宗材料进行同时平铺比对阅览，方便法官对材料是否一致进行核对。</w:t>
            </w:r>
          </w:p>
        </w:tc>
      </w:tr>
      <w:tr w14:paraId="188E0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shd w:val="clear" w:color="auto" w:fill="auto"/>
            <w:noWrap/>
            <w:vAlign w:val="center"/>
          </w:tcPr>
          <w:p w14:paraId="2F7C24F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181</w:t>
            </w:r>
          </w:p>
        </w:tc>
        <w:tc>
          <w:tcPr>
            <w:tcW w:w="461" w:type="pct"/>
            <w:vMerge w:val="continue"/>
            <w:shd w:val="clear" w:color="auto" w:fill="auto"/>
            <w:noWrap/>
            <w:vAlign w:val="center"/>
          </w:tcPr>
          <w:p w14:paraId="08E7456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181D75F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15321AA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借阅卷宗版面标识（新增）</w:t>
            </w:r>
          </w:p>
        </w:tc>
        <w:tc>
          <w:tcPr>
            <w:tcW w:w="2968" w:type="pct"/>
            <w:shd w:val="clear" w:color="auto" w:fill="auto"/>
            <w:vAlign w:val="center"/>
          </w:tcPr>
          <w:p w14:paraId="18B614B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除支持对电子卷宗文字内容进行批注外，新增支持对借阅的电子卷宗进行页面批注、对辅助问题进行标识，图片复制、音视频检索、收藏、划线。</w:t>
            </w:r>
          </w:p>
        </w:tc>
      </w:tr>
      <w:tr w14:paraId="61A6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vMerge w:val="restart"/>
            <w:shd w:val="clear" w:color="auto" w:fill="auto"/>
            <w:noWrap/>
            <w:vAlign w:val="center"/>
          </w:tcPr>
          <w:p w14:paraId="78332D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182</w:t>
            </w:r>
          </w:p>
        </w:tc>
        <w:tc>
          <w:tcPr>
            <w:tcW w:w="461" w:type="pct"/>
            <w:vMerge w:val="continue"/>
            <w:shd w:val="clear" w:color="auto" w:fill="auto"/>
            <w:noWrap/>
            <w:vAlign w:val="center"/>
          </w:tcPr>
          <w:p w14:paraId="3DD9276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20" w:type="pct"/>
            <w:vMerge w:val="continue"/>
            <w:shd w:val="clear" w:color="auto" w:fill="auto"/>
            <w:vAlign w:val="center"/>
          </w:tcPr>
          <w:p w14:paraId="0EBFBF5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20" w:type="pct"/>
            <w:shd w:val="clear" w:color="auto" w:fill="auto"/>
            <w:vAlign w:val="center"/>
          </w:tcPr>
          <w:p w14:paraId="620393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关联卷宗快捷查询（新增）</w:t>
            </w:r>
          </w:p>
        </w:tc>
        <w:tc>
          <w:tcPr>
            <w:tcW w:w="2968" w:type="pct"/>
            <w:shd w:val="clear" w:color="auto" w:fill="auto"/>
            <w:vAlign w:val="center"/>
          </w:tcPr>
          <w:p w14:paraId="5BAB155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为了实现便捷查询的功能，系统提供了标记标签、添加附件、关联卷宗、文件调位、添加批注、设置关注功能，帮助法官实现快速查询。</w:t>
            </w:r>
          </w:p>
        </w:tc>
      </w:tr>
      <w:tr w14:paraId="6716F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29" w:type="pct"/>
            <w:vMerge w:val="continue"/>
            <w:shd w:val="clear" w:color="auto" w:fill="auto"/>
            <w:noWrap/>
            <w:vAlign w:val="center"/>
          </w:tcPr>
          <w:p w14:paraId="76E256D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4570" w:type="pct"/>
            <w:gridSpan w:val="4"/>
            <w:shd w:val="clear" w:color="auto" w:fill="auto"/>
            <w:noWrap/>
            <w:vAlign w:val="center"/>
          </w:tcPr>
          <w:p w14:paraId="779D52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cs="仿宋"/>
                <w:color w:val="000000"/>
                <w:kern w:val="0"/>
                <w:sz w:val="28"/>
                <w:szCs w:val="28"/>
                <w:highlight w:val="none"/>
                <w:u w:val="none"/>
                <w:vertAlign w:val="baseline"/>
                <w:lang w:val="en-US" w:eastAsia="zh-CN" w:bidi="ar"/>
              </w:rPr>
              <w:t>需提供详实的</w:t>
            </w:r>
            <w:r>
              <w:rPr>
                <w:rFonts w:hint="eastAsia" w:ascii="仿宋" w:hAnsi="仿宋" w:eastAsia="仿宋" w:cs="仿宋"/>
                <w:i w:val="0"/>
                <w:iCs w:val="0"/>
                <w:color w:val="000000"/>
                <w:kern w:val="0"/>
                <w:sz w:val="28"/>
                <w:szCs w:val="28"/>
                <w:highlight w:val="none"/>
                <w:u w:val="none"/>
                <w:lang w:val="en-US" w:eastAsia="zh-CN" w:bidi="ar"/>
              </w:rPr>
              <w:t>卷宗质量管理应用场景业务流程</w:t>
            </w:r>
            <w:r>
              <w:rPr>
                <w:rFonts w:hint="eastAsia" w:ascii="仿宋" w:hAnsi="仿宋" w:cs="仿宋"/>
                <w:i w:val="0"/>
                <w:iCs w:val="0"/>
                <w:color w:val="000000"/>
                <w:kern w:val="0"/>
                <w:sz w:val="28"/>
                <w:szCs w:val="28"/>
                <w:highlight w:val="none"/>
                <w:u w:val="none"/>
                <w:lang w:val="en-US" w:eastAsia="zh-CN" w:bidi="ar"/>
              </w:rPr>
              <w:t>设计</w:t>
            </w:r>
            <w:r>
              <w:rPr>
                <w:rFonts w:hint="eastAsia" w:ascii="仿宋" w:hAnsi="仿宋" w:eastAsia="仿宋" w:cs="仿宋"/>
                <w:i w:val="0"/>
                <w:iCs w:val="0"/>
                <w:color w:val="000000"/>
                <w:kern w:val="0"/>
                <w:sz w:val="28"/>
                <w:szCs w:val="28"/>
                <w:highlight w:val="none"/>
                <w:u w:val="none"/>
                <w:lang w:val="en-US" w:eastAsia="zh-CN" w:bidi="ar"/>
              </w:rPr>
              <w:t>图</w:t>
            </w:r>
            <w:r>
              <w:rPr>
                <w:rFonts w:hint="eastAsia" w:ascii="仿宋" w:hAnsi="仿宋" w:cs="仿宋"/>
                <w:i w:val="0"/>
                <w:iCs w:val="0"/>
                <w:color w:val="000000"/>
                <w:kern w:val="0"/>
                <w:sz w:val="28"/>
                <w:szCs w:val="28"/>
                <w:highlight w:val="none"/>
                <w:u w:val="none"/>
                <w:lang w:val="en-US" w:eastAsia="zh-CN" w:bidi="ar"/>
              </w:rPr>
              <w:t>，并对系统功能在</w:t>
            </w:r>
            <w:r>
              <w:rPr>
                <w:rFonts w:hint="eastAsia" w:ascii="仿宋" w:hAnsi="仿宋" w:cs="仿宋"/>
                <w:color w:val="000000"/>
                <w:kern w:val="0"/>
                <w:sz w:val="28"/>
                <w:szCs w:val="28"/>
                <w:highlight w:val="none"/>
                <w:u w:val="none"/>
                <w:lang w:val="en-US" w:eastAsia="zh-CN" w:bidi="ar"/>
              </w:rPr>
              <w:t>不同的业务阶段进行</w:t>
            </w:r>
            <w:r>
              <w:rPr>
                <w:rFonts w:hint="eastAsia" w:ascii="仿宋" w:hAnsi="仿宋" w:cs="仿宋"/>
                <w:i w:val="0"/>
                <w:iCs w:val="0"/>
                <w:color w:val="000000"/>
                <w:kern w:val="0"/>
                <w:sz w:val="28"/>
                <w:szCs w:val="28"/>
                <w:highlight w:val="none"/>
                <w:u w:val="none"/>
                <w:lang w:val="en-US" w:eastAsia="zh-CN" w:bidi="ar"/>
              </w:rPr>
              <w:t>业务流说明。</w:t>
            </w:r>
          </w:p>
        </w:tc>
      </w:tr>
    </w:tbl>
    <w:p w14:paraId="74F3A39A">
      <w:pPr>
        <w:numPr>
          <w:ilvl w:val="0"/>
          <w:numId w:val="0"/>
        </w:numPr>
        <w:tabs>
          <w:tab w:val="left" w:pos="7513"/>
        </w:tabs>
        <w:jc w:val="left"/>
        <w:outlineLvl w:val="0"/>
        <w:rPr>
          <w:rFonts w:hint="eastAsia" w:ascii="仿宋" w:hAnsi="仿宋" w:eastAsia="仿宋" w:cs="仿宋"/>
          <w:b/>
          <w:bCs/>
          <w:szCs w:val="32"/>
          <w:highlight w:val="none"/>
          <w:lang w:val="en-US" w:eastAsia="zh-CN"/>
        </w:rPr>
      </w:pPr>
    </w:p>
    <w:p w14:paraId="27763D2C">
      <w:pPr>
        <w:numPr>
          <w:ilvl w:val="0"/>
          <w:numId w:val="1"/>
        </w:numPr>
        <w:tabs>
          <w:tab w:val="left" w:pos="7513"/>
        </w:tabs>
        <w:ind w:firstLine="643" w:firstLineChars="200"/>
        <w:jc w:val="left"/>
        <w:outlineLvl w:val="0"/>
        <w:rPr>
          <w:rFonts w:hint="eastAsia" w:ascii="仿宋" w:hAnsi="仿宋" w:eastAsia="仿宋" w:cs="仿宋"/>
          <w:b/>
          <w:bCs/>
          <w:szCs w:val="32"/>
          <w:highlight w:val="none"/>
          <w:lang w:val="en-US" w:eastAsia="zh-CN"/>
        </w:rPr>
      </w:pPr>
      <w:r>
        <w:rPr>
          <w:rFonts w:hint="eastAsia" w:ascii="仿宋" w:hAnsi="仿宋" w:cs="仿宋"/>
          <w:b/>
          <w:bCs/>
          <w:szCs w:val="32"/>
          <w:highlight w:val="none"/>
          <w:lang w:eastAsia="zh-CN"/>
        </w:rPr>
        <w:t>卷宗质量校验模型中心</w:t>
      </w:r>
    </w:p>
    <w:tbl>
      <w:tblPr>
        <w:tblStyle w:val="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857"/>
        <w:gridCol w:w="815"/>
        <w:gridCol w:w="1014"/>
        <w:gridCol w:w="5071"/>
      </w:tblGrid>
      <w:tr w14:paraId="0197B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123BB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F05F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模块名称</w:t>
            </w:r>
          </w:p>
        </w:tc>
        <w:tc>
          <w:tcPr>
            <w:tcW w:w="1073" w:type="pct"/>
            <w:gridSpan w:val="2"/>
            <w:tcBorders>
              <w:top w:val="single" w:color="000000" w:sz="4" w:space="0"/>
              <w:left w:val="single" w:color="000000" w:sz="4" w:space="0"/>
              <w:bottom w:val="single" w:color="000000" w:sz="4" w:space="0"/>
              <w:right w:val="nil"/>
            </w:tcBorders>
            <w:shd w:val="clear" w:color="auto" w:fill="auto"/>
            <w:vAlign w:val="center"/>
          </w:tcPr>
          <w:p w14:paraId="505C631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功能名称</w:t>
            </w:r>
          </w:p>
        </w:tc>
        <w:tc>
          <w:tcPr>
            <w:tcW w:w="29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6B5E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功能建设要求</w:t>
            </w:r>
          </w:p>
        </w:tc>
      </w:tr>
      <w:tr w14:paraId="4F70B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6D3D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50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3895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合规性质量校验</w:t>
            </w: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D528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院印/公章缺省检验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4B9C0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原告起诉状、被告答辩状单位公章校验模型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8242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目录挂接文件涉及原告（单位）起诉状、被告（单位）提供的答辩状的公章进行有无校验，通过调用现有技术底座司法文书要素处理能力和OCR处理能力，对该类型案件的电子卷宗内容中涉及公章的关键要素进行标注训练，构建检验模型自动识别和定位原告起诉状、被告答辩状中涉盖章在附件中的位置信息，确保原告起诉状、被告答辩状盖有单位公章。</w:t>
            </w:r>
          </w:p>
        </w:tc>
      </w:tr>
      <w:tr w14:paraId="7CD05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DC8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0B67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5F9F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000E09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判决书、调解书、裁定书院印校验模型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ABC3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目录挂接文件涉及民事判决书、刑事判决书、行政判决书和刑事附带民事判决书院印，上诉、抗诉案件裁定书院印，调解书院印，通过调用技术底座司法文书要素处理和OCR处理能力，对电子卷宗挂接的法律文书关键要素进行标注训练，构建检验模型自动识别和定位多个盖章在附件中的位置信息，在入卷过程中以检测判决书、调解书、裁定书是否加盖院印。</w:t>
            </w:r>
          </w:p>
        </w:tc>
      </w:tr>
      <w:tr w14:paraId="6A6DA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CFF3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F9FF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60F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2C71CC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指定管辖的请示、报请指定管辖函院印校验模型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F542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民事案件电子卷宗目录挂接文件涉及指定管辖的请示、报请指定管辖函的民商事案件电子卷宗挂接文件，包括指定管辖的请示、报请指定管辖函院印院印，通过调用技术底座OCR能力，对该类型的电子卷宗内容中的关键要素进行标注训练，构建检验模型自动识别和定位多个盖章在附件中的位置信息，以检测指定管辖的请示、报请指定管辖函院印是否加盖院印。</w:t>
            </w:r>
          </w:p>
        </w:tc>
      </w:tr>
      <w:tr w14:paraId="3202B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688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CE9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1E95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DF5480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案件受理通知书、应诉通知书、举证通知书、执行通知书院印校验模型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6FB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目录挂接文件涉及受理通知书、应诉通知书、举证通知书、执行通知书加盖院印，通过调用技术底座的OCR处理能力，对该类型的电子卷宗内容中的关键要素进行标注训练，构建检验模型自动识别和定位多个盖章在附件中的位置信息，以检测受理通知书是否加盖院印。</w:t>
            </w:r>
          </w:p>
        </w:tc>
      </w:tr>
      <w:tr w14:paraId="3A752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6573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1E3E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EF4C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C4CBEF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财产报告令院印校验模型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7B34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案件电子卷宗目录挂接文件涉及财产报告令是否加盖院印，通过调用技术底座的OCR能力和语义解析能力，对该类型的电子卷宗内容中的关键要素进行标注训练，构建检验模型自动识别和定位多个盖章在附件中的位置信息，以检测财产报告令是否加盖院印。</w:t>
            </w:r>
          </w:p>
        </w:tc>
      </w:tr>
      <w:tr w14:paraId="42A7E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9C23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7153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4F2D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E3BCCF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搜查令院印校验模型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D5FB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案件电子卷宗目录挂接文件涉及搜查令的执行案件电子卷宗挂接文件，包括搜查令院印，通过调用技术底座的OCR能力和语义解析能力，对该类型的电子卷宗内容中的关键要素进行标注训练，构建检验模型自动识别和定位多个盖章在附件中的位置信息，以检测搜查令是否加盖院印。</w:t>
            </w:r>
          </w:p>
        </w:tc>
      </w:tr>
      <w:tr w14:paraId="7B410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A843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7E3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88A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60C9E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悬赏公告院印校验模型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1D3F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案件电子卷宗目录挂接文件涉及悬赏公告的执行案件电子卷宗挂接文件，包括悬赏公告院印，通过调用技术底座的OCR能力和语义解析能力，对该类型的电子卷宗内容中的关键要素进行标注训练，构建检验模型自动识别和定位多个盖章在附件中的位置信息，以检测悬赏公告是否加盖了院印。</w:t>
            </w:r>
          </w:p>
        </w:tc>
      </w:tr>
      <w:tr w14:paraId="606DB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A34C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1BEA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BBF0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65E0A1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司法审计报告院印校验模型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1F6A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案件电子卷宗目录挂接文件涉及司法审计报告的执行案件电子卷宗挂接文件，包括司法审计报告院印，通过调用技术底座的OCR能力和语义解析能力，对该类型的电子卷宗内容中的关键要素进行标注训练，构建检验模型自动识别和定位多个盖章在附件中的位置信息，以检测司法审计报告是否加盖了院印。</w:t>
            </w:r>
          </w:p>
        </w:tc>
      </w:tr>
      <w:tr w14:paraId="1A8A6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423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FB9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AE30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C5A9C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限制消费令院印校验模型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98B1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案件电子卷宗目录挂接文件涉及限制消费令的执行案件电子卷宗挂接文件，包括限制消费令院印，通过调用技术底座的OCR能力和语义解析能力，对该类型的电子卷宗内容中的关键要素进行标注训练，构建检验模型自动识别和定位多个盖章在附件中的位置信息，以检测限制消费令是否加盖了院印。</w:t>
            </w:r>
          </w:p>
        </w:tc>
      </w:tr>
      <w:tr w14:paraId="3902E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6B3A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0FA3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C562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8198CB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失信决定书院印校验模型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B72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案件电子卷宗目录挂接文件涉及失信决定书的执行案件电子卷宗挂接文件，包括失信决定书院印，通过调用技术底座的OCR能力和语义解析能力，对该类型的电子卷宗内容中的关键要素进行标注训练，构建检验模型自动识别和定位多个盖章在附件中的位置信息，以检测失信决定书是否加盖了院印。</w:t>
            </w:r>
          </w:p>
        </w:tc>
      </w:tr>
      <w:tr w14:paraId="4A8C4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9B3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7D7A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4130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706D0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拟终结本次执行程序告知书院印校验模型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B1BF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案件电子卷宗目录挂接文件涉及拟终结本次执行程序告知书的执行案件电子卷宗挂接文件，包括拟终结本次执行程序告知书院印，通过调用技术底座的OCR能力和语义解析能力，，对该类型的电子卷宗内容中的关键要素进行标注训练，构建检验模型自动识别和定位多个盖章在附件中的位置信息，以检测拟终结本次执行程序告知书是否加盖了院印。</w:t>
            </w:r>
          </w:p>
        </w:tc>
      </w:tr>
      <w:tr w14:paraId="7EDFB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A91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8D32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7445D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电子/手写签名缺失检验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B5C4A1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专业法官会议签名缺失校验模型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DAE9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挂接文件涉及专业法官会议纪要签名是否缺失校验，通过调用技术底座OCR能力及语义解析能力，对电子卷宗中涉及专业法官会议纪要文书签名信息要素进行标注训练，输出检验模型，并结合法院现有电子签章系统的签名信息进行缺失判断，判断逻辑1，专业法官会议使用电子签名，则优先判断电子签名和会议参会人是否一致，并识别出未签名的参会人。判断逻辑2，专业法官会议未使用电子签名，则先智能提取出专业法官会议中多个位置的手写签名，判断手写签名和会议参会人是否一致，并识别出未签名的参会人。</w:t>
            </w:r>
          </w:p>
        </w:tc>
      </w:tr>
      <w:tr w14:paraId="4B7A0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3A94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44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8F00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F4EA7A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合议庭笔录签名缺失校验模型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52A1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挂接文件涉及合议庭笔录签名是否缺失校验，通过调用技术底座OCR能力及语义解析能力，对电子卷宗中涉及合议庭笔录签名信息进行标注训练，输出检验模型，并结合法院现有电子签章系统的签名信息进行缺失判断，判断逻辑1，合议庭笔录使用电子签名，则优先判断电子签名和审判成员信息是否一致，并识别出未签名的审判成员。判断逻辑2，合议庭笔录未使用电子签名，则先智能提取出合议庭笔录中多个位置的手写签名，判断手写签名和审判成员信息是否一致，并识别出未签名的审判成员。</w:t>
            </w:r>
          </w:p>
        </w:tc>
      </w:tr>
      <w:tr w14:paraId="535E7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6D1A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A67E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0190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EEC8ED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执行立案审查流程管理信息表审查人和审批人签名缺失校验模型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0F3D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执行案件电子卷宗涉及执行立案审查流程管理信息表审查人和审批人是否缺失签名信息进行校验模型，支持通过调用技术底座的司法文书要素处理能力、OCR能力及语义解析能力，对执行案件电子卷宗内容中涉及执行立案审查流程管理信息表要素进行标注训练，并结合电子签章系统的签名信息进行缺失判断，判断逻辑1，执行立案审查流程管理信息表使用电子签名，则优先判断电子签名和审判成员信息是否一致，并识别出缺失的审查人和审判人。判断逻辑2，合议庭笔录未使用电子签名，则先智能提取出合议庭笔录中多个位置的手写签名，判断执行立案审查流程管理信息表未使用电子签名，则先智能提取出执行立案审查流程管理信息表中多个位置的手写签名，判断手写签名和审判成员信息是否一致，并识别出缺失的审查人和审判人。</w:t>
            </w:r>
          </w:p>
        </w:tc>
      </w:tr>
      <w:tr w14:paraId="4F65F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51D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F582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E190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44FD66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庭改元数据表签名缺失校验模型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E010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构建庭改元数据表签名缺失校验模型，对电子卷宗目录挂接文件涉及庭改元数据表签名是否缺失进行校验，通过调用技术底座的司法文书要素处理能力、OCR能力以语义解析能力，对该类型的电子卷宗内容中的要素进行标注训练，并结合电子签章系统的签名信息进行缺失判断，判断逻辑1，元数据表使用电子签名，则优先判断电子签名和庭审记录人员信息是否一致，并识别出缺失的签名。判断逻辑2，元数据表未使用电子签名，则先智能提取出元数据表中多个位置的手写签名，判断手写签名和庭审记录人员信息是否一致，并识别出缺失的签名。</w:t>
            </w:r>
          </w:p>
        </w:tc>
      </w:tr>
      <w:tr w14:paraId="57834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8244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6A9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F84F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BCCE7C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反诉状、证据副本送达回证的送达人签名缺失校验模型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36525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目录挂接文件涉及反诉状、证据副本送达回证的送达人签名缺失校验，包括反诉状、证据副本送达回证的送达人签名，通过调用技术底座的司法文书要素处理能力和OCR处理能力，对该类型电子卷宗内容中的关键要素进行标注训练，输出反诉状、证据副本送达回证的送达人签名缺失校验模型，以检测反诉状、证据副本送达回证中的签名位置是否缺失签名。</w:t>
            </w:r>
          </w:p>
        </w:tc>
      </w:tr>
      <w:tr w14:paraId="57A4C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959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1750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B746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466EA5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答辩状手写签名缺失校验模型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5596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目录挂接文件涉及涉及被告（单位）答辩状手写签名缺失校验，通过调用技术底座的司法文书要素处理能力和OCR处理能力，并结合法院现有电子签章系统的签名信息进行缺失判断，对该类型的电子卷宗内容中的关键要素进行标注训练，构建检验模型，以检测答辩状签名位置是否存在缺失签名。</w:t>
            </w:r>
          </w:p>
        </w:tc>
      </w:tr>
      <w:tr w14:paraId="0C511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C0D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BCD9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6D86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B761A1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起诉状手写签名缺失校验模型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D830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目录挂接文件涉及原告（个人）起诉状手写签名缺失校验，通过调用技术底座的司法文书要素处理能力和OCR处理能力，对该类型的电子卷宗内容中的关键要素进行标注训练，构建检验模型，以检测起诉状签名位置是否缺失签名。</w:t>
            </w:r>
          </w:p>
        </w:tc>
      </w:tr>
      <w:tr w14:paraId="2AEB8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55B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415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5B8C3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正本/拟稿内容一致性校验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5D4122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正卷中送达公告和副卷中送达拟稿数量一致性检测模型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78A4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对电子卷宗正/副中送达公告、送达拟稿数量一致性校验，通过调用OCR能力结合相似文本推荐能力，对电子卷宗挂接材料关键编目要素进行标注训练，构建正/副卷送达公告数量一致性校验模型，以检测正卷中送达公告和副卷中送达拟稿数量一致。</w:t>
            </w:r>
          </w:p>
        </w:tc>
      </w:tr>
      <w:tr w14:paraId="7AEBF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53B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BDAF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3FBD0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CA645A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正本和拟稿调解书内容一致性检测模型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0777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调解书、调解书拟稿的电子卷宗挂接文件，包括正卷中调解书正本和副卷中拟稿，通过调用技术底座的司法文书要素处理能力和OCR处理能力，对挂接材料关键编目要素进行标注训练，构建一致性校验模型，对调解书正本和拟稿内容（去除首页审批表）进行对比分析，检测所有页的对比内容是否一致。如出现某页内容不一致的情况，则提供调解书正本和拟稿的对比展示，可切换页，并展示每页不一致内容，粒度到行。</w:t>
            </w:r>
          </w:p>
        </w:tc>
      </w:tr>
      <w:tr w14:paraId="050C5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6C26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1A41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9049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65738F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正本和拟稿裁定书内容一致性检测模型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6702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裁定书、裁定书拟稿的电子卷宗挂接文件，包括正卷中裁定书正本和副卷中拟稿，通过调用技术底座的司法文书要素处理能力和OCR处理能力，对挂接材料关键编目要素进行标注训练，构建一致性校验模型，对裁定书正本和拟稿内容（去除首页审批表）进行对比分析，检测所有页的对比内容是否一致。如出现某页内容不一致的情况，则提供裁定书正本和拟稿的对比展示，可切换页，并展示每页不一致内容，粒度到行。</w:t>
            </w:r>
          </w:p>
        </w:tc>
      </w:tr>
      <w:tr w14:paraId="71B09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9C83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4D5A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37D1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048F7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正本和拟稿判决书内容一致性检测模型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B446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判决书、判决书拟稿的电子卷宗挂接文件，包括正卷中判决书正本和副卷中拟稿，通过调用技术底座的司法文书要素处理能力和OCR处理能力，对挂接材料关键编目要素进行标注训练，构建一致性校验模型，对判决书正本和拟稿内容（去除首页审批表）进行对比分析，检测所有页的对比内容是否一致。如出现某页内容不一致的情况，则提供判决书正本和拟稿的对比展示，可切换页，并展示每页不一致内容，粒度到行。</w:t>
            </w:r>
          </w:p>
        </w:tc>
      </w:tr>
      <w:tr w14:paraId="776A9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AA7B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A96F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7D6B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E546C3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微法庭多媒体笔录和文字笔录数量一致性检测模型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B238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微法庭多媒体笔录、文字笔录的电子卷宗挂接文件，包括微法庭多媒体笔录和文字笔录，通过调用技术底座的编目引擎和OCR处理能力，对挂接材料关键编目要素进行标注训练，构建一致性校验模型，以检测微法庭多媒体笔录和文字笔录数量一致。</w:t>
            </w:r>
          </w:p>
        </w:tc>
      </w:tr>
      <w:tr w14:paraId="41658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C9D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AA21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D87E1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日期逻辑校验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AF7133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案件受理日期大于结案日期校验</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DB31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事案件、刑事案件、执行案件提供受理日期大于结案日期的逻辑校验，通过调用技术底座的司法文书要素处理能力和语义解析能力，对该类型电子卷宗的关键要素进行标注训练，输出逻辑校验模型，检测案件受理日期大于结案日期校验。</w:t>
            </w:r>
          </w:p>
        </w:tc>
      </w:tr>
      <w:tr w14:paraId="27887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C530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552F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4F06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74C37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案件判决日期大于结案日期校验模型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24D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判决书的民商事案件电子卷宗挂接文件，包括判决书日期、结案日期，通过调用技术底座的司法文书要素处理能力和语义解析能力，对该类型的电子卷宗内容中的关键要素进行标注训练，构建逻辑校验模型，判决日期大于结案日期。</w:t>
            </w:r>
          </w:p>
        </w:tc>
      </w:tr>
      <w:tr w14:paraId="75AD4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8216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ADF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E0AD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AF9949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案件判决书送达日期大于结案日期校验模型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FE82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送达回证的民商事案件电子卷宗挂接文件，包括判决书送达日期、结案日期，通过调用技术底座的司法文书要素处理能力和语义解析能力，对该类型的电子卷宗内容中的关键要素进行标注训练，构建逻辑校验模型，判决书落款日期不为结案日期或者拟稿落款日期不为结案日期。</w:t>
            </w:r>
          </w:p>
        </w:tc>
      </w:tr>
      <w:tr w14:paraId="3720B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5105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643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B16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C495AE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案件申归日期小于结案日期校验</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558F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事案件、刑事案件、执行案件提供申归日期小于结案日期逻辑校验，通过调用技术底座的司法文书要素处理能力和语义解析能力，对该类型电子卷宗的关键要素进行标注训练，输出逻辑校验模型，检测案件申归日期小于结案日期逻辑校验。</w:t>
            </w:r>
          </w:p>
        </w:tc>
      </w:tr>
      <w:tr w14:paraId="4E372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D7AE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2062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DDEB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53ACAE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案件判决书和拟稿落款日期不为结案日期校验模型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2122B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判决书和拟稿的民事案件和刑事案件电子卷宗挂接文件，包括判决书落款日期、结案日期，通过调用技术底座的司法文书要素处理能力和ORC能力，对该类型的电子卷宗内容中的关键要素进行标注训练，构建逻辑校验模型，判决书落款日期不为结案日期或者拟稿落款日期不为结案日期。</w:t>
            </w:r>
          </w:p>
        </w:tc>
      </w:tr>
      <w:tr w14:paraId="28E85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5BBC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29</w:t>
            </w:r>
          </w:p>
        </w:tc>
        <w:tc>
          <w:tcPr>
            <w:tcW w:w="50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B198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完整性质量校验</w:t>
            </w: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2C675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随案生成完整性检验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A2731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原告材料校验模型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2DB3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起诉状、当事人身份信息，授权委托材料（含授权委托书、律所公函、律师证、工作人员的劳动关系等）、证据清单及证据材料，通过调用技术底座的编目引擎和OCR处理能力，对挂接材料关键编目要素进行标注训练，构建检验模型，以检测电子卷宗挂接文件中是否缺失原告材料。</w:t>
            </w:r>
          </w:p>
        </w:tc>
      </w:tr>
      <w:tr w14:paraId="5B61C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82D6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CADB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3DA7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6E5695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立案流程材料校验模型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E11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立案审查情况表、立案审判表、举证通知书、受理通知书、应诉通知书、原审法院案件复核或上诉移送函，原审判决书、裁定书、调解书等，通过调用技术底座的编目引擎和OCR处理能力，对挂接材料关键编目要素进行标注训练，构建检验模型，以检测电子卷宗挂接文件中是否缺失立案流程材料。</w:t>
            </w:r>
          </w:p>
        </w:tc>
      </w:tr>
      <w:tr w14:paraId="16D3C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33B1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F663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EBE6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D1FF48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庭审材料校验模型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853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起诉状、排期传票、合议庭成员告知书、变更合议庭组成人员及书记员告知书、合议庭组成人员告知书、合议庭评议笔录、合议庭音视频文件、开庭传票公告等，通过调用技术底座的编目引擎和OCR处理能力，对挂接材料关键编目要素进行标注训练，构建检验模型，以检测电子卷宗挂接文件中是否缺失庭审材料。</w:t>
            </w:r>
          </w:p>
        </w:tc>
      </w:tr>
      <w:tr w14:paraId="4C73A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B263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3D3C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C40F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3D5879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案件送达回证校验模型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19F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送达起诉书、送达地址确认书、判决书送达回证、裁定书送达回证、调解书送达回证、决定书送达回证、司法建议书送达回证等，通过调用技术底座的编目引擎和OCR处理能力，对挂接材料关键编目要素进行标注训练，构建检验模型，以检测电子卷宗挂接文件中是否缺失送达回证。</w:t>
            </w:r>
          </w:p>
        </w:tc>
      </w:tr>
      <w:tr w14:paraId="1264A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AB57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153B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4729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F51FEB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案件结案流程材料校验模型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17E0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案件审判流程情况表、裁定书、调解书、判决书、卷宗移送表、判决书公告、裁定书公告、调解书公告等，通过调用技术底座的编目引擎和OCR处理能力，对挂接材料关键编目要素进行标注训练，构建检验模型，以检测电子卷宗挂接文件中是否缺失结案流程材料。</w:t>
            </w:r>
          </w:p>
        </w:tc>
      </w:tr>
      <w:tr w14:paraId="6467B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4071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CE2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E73D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64A6C1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执行通知材料校验模型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211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执行案件电子卷宗挂接文件包括执行通知书（通知被执行人用）、报告财产令（命令被执行人报告财产用）、被执行人风险告知书等，通过调用技术底座的编目引擎和OCR处理能力，对挂接材料关键编目要素进行标注训练，构建检验模型，以检测电子卷宗挂接文件中是否缺失执行通知。</w:t>
            </w:r>
          </w:p>
        </w:tc>
      </w:tr>
      <w:tr w14:paraId="4E547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F495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B111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84B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3065FF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民商事二审案件开庭信息校验模型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BF56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二审民商事案件电子卷宗挂接文件，包括庭审笔录、庭审录音录像等，通过调用技术底座的编目引擎和OCR处理能力，对挂接材料关键编目要素进行标注训练，构建检验模型，以检测电子卷宗挂接文件中是否缺失二审案件开庭信息。</w:t>
            </w:r>
          </w:p>
        </w:tc>
      </w:tr>
      <w:tr w14:paraId="271EB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4309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8C0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E861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67619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案件被告材料校验模型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4D6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答辩状、当事人身份信息，授权委托材料（含授权委托书、律所公函、律师证、工作人员的劳动关系等）、证据清单及证据材料等，通过调用技术底座的编目引擎和OCR处理能力，对挂接材料关键编目要素进行标注训练，构建检验模型，以检测电子卷宗挂接文件中是否缺失被告材料。</w:t>
            </w:r>
          </w:p>
        </w:tc>
      </w:tr>
      <w:tr w14:paraId="26002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C004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449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3F39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AD4CF6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执行案件财产查询校验模型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2DD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执行案件电子卷宗挂接文件，包括约谈时生成的谈话笔录、搜查时生成的搜查笔录和搜查令、传唤时生成的传票等，通过调用技术底座的编目引擎和OCR处理能力，对挂接材料关键编目要素进行标注训练，构建检验模型，以检测电子卷宗挂接文件中是否缺失财产查询。</w:t>
            </w:r>
          </w:p>
        </w:tc>
      </w:tr>
      <w:tr w14:paraId="53913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09C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619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FC4A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01C86E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执行案件财产控制校验模型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D858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执行案件电子卷宗挂接文件，包括查封车辆时生成的协助执行通知书（查封车辆）、执行裁定书（查封车辆）；解除查封车辆时生成的协助执行通知书（解除查封车辆）、执行裁定书（解除查封车辆）；扣押车辆时生成的协助执行通知书（扣押车辆）、执行裁定书（扣押车辆）；解除扣押车辆时生成的协助执行通知书（解除扣押车辆）、执行裁定书（解除扣押车辆）；冻结存款时生成的协助冻结存款通知书，解除冻结存款时生成的解除冻结存款通知书、协助公示通知书（解除冻结）等，通过调用技术底座的编目引擎和OCR处理能力，对挂接材料关键编目要素进行标注训练，构建检验模型，以检测电子卷宗挂接文件中是否缺失财产控制。</w:t>
            </w:r>
          </w:p>
        </w:tc>
      </w:tr>
      <w:tr w14:paraId="15ABC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E00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68E5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99051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3D952C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胜诉退费账号确认书校验模型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D6F7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双方当事人胜诉退费账号确认书等，通过调用技术底座的编目引擎和OCR处理能力，对挂接材料关键编目要素进行标注训练，构建检验模型，以检测电子卷宗挂接文件中是否缺失胜诉退费账号确认书。</w:t>
            </w:r>
          </w:p>
        </w:tc>
      </w:tr>
      <w:tr w14:paraId="0C35B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C37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AE91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FE9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3F561E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民商事案件和刑事案件民事本案、非本案、刑事本案当事人未成年信息佐证材料校验模型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67A0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案件和刑事案件电子卷宗挂接文件，对于当事人或非当事人为未成年人的情况，判断佐证材料是否缺失，佐证材料包含出生证明、学校证明、监护人身份证明、公安证明等，通过调用技术底座的编目引擎和OCR处理能力，对挂接材料关键编目要素进行标注训练，构建检验模型，以检测电子卷宗挂接文件中是否缺失未成年信息佐证材料</w:t>
            </w:r>
          </w:p>
        </w:tc>
      </w:tr>
      <w:tr w14:paraId="65814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2663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C2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1955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963122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离婚案件结案信息佐证材料校验模型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EF6B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离婚案件电子卷宗挂接文件，包括当事人身份证明材料等，通过调用技术底座的编目引擎和OCR处理能力，对挂接材料关键编目要素进行标注训练，构建检验模型，以检测电子卷宗挂接文件中是否缺失佐证材料。</w:t>
            </w:r>
          </w:p>
        </w:tc>
      </w:tr>
      <w:tr w14:paraId="3E58F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8D87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3666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073F8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20A9FF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案件诉讼费减、免、缓交结案法律援助佐证材料校验模型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BD3C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涉及法援函、低保证明材料、残疾证、重病证明、申请法律援助申请书等，通过调用技术底座的编目引擎和OCR处理能力，对挂接材料关键编目要素进行标注训练，构建检验模型，以检测电子卷宗挂接文件中是否缺失法律援助佐证材料。</w:t>
            </w:r>
          </w:p>
        </w:tc>
      </w:tr>
      <w:tr w14:paraId="2C6C6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D50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943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E0F1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8924AA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道交案件结案鉴定佐证材料校验模型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2620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道路交通事故案件电子卷宗涉及鉴定委托函、鉴定报告等，通过调用技术底座的编目引擎和OCR处理能力，对挂接材料关键编目要素进行标注训练，构建检验模型，以检测电子卷宗挂接文件中是否缺失鉴定佐证材料。</w:t>
            </w:r>
          </w:p>
        </w:tc>
      </w:tr>
      <w:tr w14:paraId="17BA8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66A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F64B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7241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44885C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道交案件诉讼请求佐证材料校验模型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1220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道路交通事故案件电子卷宗涉及责任认定书、医疗诊断证明、修理费用发票等，通过调用技术底座的编目引擎和OCR处理能力，对挂接材料关键编目要素进行标注训练，构建检验模型，以检测电子卷宗挂接文件中是否缺失诉讼请求佐证材料。</w:t>
            </w:r>
          </w:p>
        </w:tc>
      </w:tr>
      <w:tr w14:paraId="52EF5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D090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5D11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F56A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9D917D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民事申请再审案件听证信息佐证材料校验模型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0D52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事申请再审案件电子卷宗挂接文件，包括再审申请书、原审判决书、裁定书、调解书等，通过调用技术底座的编目引擎和OCR处理能力，对挂接材料关键编目要素进行标注训练，构建检验模型，以检测电子卷宗挂接文件中是否缺失听证信息佐证材料。</w:t>
            </w:r>
          </w:p>
        </w:tc>
      </w:tr>
      <w:tr w14:paraId="17636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F7C5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B003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A65F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FF895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劳动、人事争议案件仲裁情况佐证材料校验模型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87D2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劳动人事争议仲裁申请书、申请人与被申请人存在劳动关系的证明材料，含劳动合同、工作证、入职登记表、社保单、解除或终止劳动关系证明等，通过调用技术底座的编目引擎和OCR处理能力，对挂接材料关键编目要素进行标注训练，构建检验模型，以检测电子卷宗挂接文件中是否缺失仲裁情况佐证材料。</w:t>
            </w:r>
          </w:p>
        </w:tc>
      </w:tr>
      <w:tr w14:paraId="62E3F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0F96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29CD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2C1D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F4C2B1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合并审理案件关联材料校验模型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DB5D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合并审理案件电子卷宗挂接文件，包括关联案件的庭审材料等，通过调用技术底座的编目引擎和OCR处理能力，对挂接材料关键编目要素进行标注训练，构建检验模型，以检测电子卷宗挂接文件中是否缺失关联材料是否缺失，包括关联案件的庭审材料等。</w:t>
            </w:r>
          </w:p>
        </w:tc>
      </w:tr>
      <w:tr w14:paraId="5F8BC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625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DFB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234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CFEFAE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刑事案件已登记假释案件的结案信息佐证材料校验模型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9432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刑事案件已登记假释案件电子卷宗挂接文件，包括服刑期间的奖励材料、矫正情况证明、改造情况证明材料、疾病诊断证明材料等，通过调用技术底座的编目引擎和OCR处理能力，对挂接材料关键编目要素进行标注训练，构建检验模型，以检测电子卷宗挂接文件中是否缺失佐证材料。</w:t>
            </w:r>
          </w:p>
        </w:tc>
      </w:tr>
      <w:tr w14:paraId="2BC62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1C1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42A9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880D4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挂接文件信息项完整性校验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954C4A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授权委托信息项校验模型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2FAB4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涉及授权委托书信息齐全进行有无缺失校验，根据代理人类型不同，代理人为公民，校验代理人的姓名、性别、身份证信息、现住址等信息。代理人为法人，校验法人的全称、地址、法定代表人姓名等信息。代理人为律师，校验律师姓名、律师证信息。通过调用技术底座的司法文书要素处理能力，对该类型的电子卷宗内容中的关键要素进行标注训练，构建检验模型，以检测电子卷宗挂接文件中是否缺失授权委托信息。</w:t>
            </w:r>
          </w:p>
        </w:tc>
      </w:tr>
      <w:tr w14:paraId="00BF6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FEDE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F2D5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2162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4CF10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假释减刑案件结案信息项校验模型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44B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结案信息的假释减刑案件电子卷宗挂接文件包括：减刑后主刑刑期是否缺失、原审判决是否剥夺政治权利、被减刑假释人的出生日期、列管他信息、被假释人员的社区矫正机构意见是否缺失等，通过调用技术底座的司法文书要素处理能力，对该类型的电子卷宗内容中的关键要素进行标注训练，构建检验模型，以检测电子卷宗挂接文件中是否缺失假释减刑案件的结案信息。</w:t>
            </w:r>
          </w:p>
        </w:tc>
      </w:tr>
      <w:tr w14:paraId="22757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5577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96C7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687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8C3F80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未成年人信息项缺失校验模型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59A7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未成年人信息电子卷宗挂接文件包括未成年人的姓名、性别、出生年月日、身份证信息、联系方式、法定监护人信息（姓名、身份证信息、联系方式等），通过调用技术底座的司法文书要素处理能力，对该类型的电子卷宗内容中的关键要素进行标注训练，构建检验模型，以检测电子卷宗挂接文件中是否缺失未成年人的信息。</w:t>
            </w:r>
          </w:p>
        </w:tc>
      </w:tr>
      <w:tr w14:paraId="50578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F316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4559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CF2E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0A7341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改判案件结案信息项校验模型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EF0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改判案件电子卷宗挂接文件包括：结案方式、判断改判原因等，通过调用技术底座的司法文书要素处理能力，对该类型的电子卷宗内容中的关键要素进行标注训练，构建检验模型，以检测电子卷宗挂接文件中是否缺失改判案件的结案信息。</w:t>
            </w:r>
          </w:p>
        </w:tc>
      </w:tr>
      <w:tr w14:paraId="33F40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EBA5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B5A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7491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D92727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发回重申案件结案信息项校验模型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99EA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结案信息的发回重申案件电子卷宗挂接文件，包括：结案方式、发回重申的原因等，通过调用技术底座的司法文书要素处理能力，对该类型的电子卷宗内容中的关键要素进行标注训练，构建检验模型，以检测电子卷宗挂接文件中是否缺失发回重申案件的结案信息。</w:t>
            </w:r>
          </w:p>
        </w:tc>
      </w:tr>
      <w:tr w14:paraId="4761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63E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BE3F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C19C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1D27C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移送案件结案信息项校验模型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BBF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结案信息的移送案件电子卷宗挂接文件，包括：结案方式、移送的原因等，通过调用技术底座的司法文书要素处理能力，对该类型的电子卷宗内容中的关键要素进行标注训练，构建检验模型，以检测电子卷宗挂接文件中是否缺失移动案件的结案信息。</w:t>
            </w:r>
          </w:p>
        </w:tc>
      </w:tr>
      <w:tr w14:paraId="0E045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F78B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49C2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98E5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3A2DE0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撤诉案件结案信息项校验模型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7AE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结案信息的撤诉案件电子卷宗挂接文件，包括：结案方式、撤诉的理由等，通过调用技术底座的司法文书要素处理能力，对该类型的电子卷宗内容中的关键要素进行标注训练，构建检验模型，以检测电子卷宗挂接文件中是否缺失撤诉案件的结案信息。</w:t>
            </w:r>
          </w:p>
        </w:tc>
      </w:tr>
      <w:tr w14:paraId="0CEC8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5B39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C19A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C9A2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81515D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保护禁令案件结案信息项校验模型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1B2D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结案信息的民保令、民保更字号案件电子卷宗挂接文件，包括：结案方式、保护令作出日期、措施种类、保护有效期开始、结束日期等，通过调用技术底座的司法文书要素处理能力，对该类型的电子卷宗内容中的关键要素进行标注训练，构建检验模型，以检测电子卷宗挂接文件中是否缺失保护禁令案件的结案信息。</w:t>
            </w:r>
          </w:p>
        </w:tc>
      </w:tr>
      <w:tr w14:paraId="4BDF5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81AB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1110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2A95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3E5EC4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原审作出生效法律文书信息项校验模型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CD0A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原审作出的生效法律文书电子卷宗挂接文件，包括：校验申请再审事由和提起再审事由（当事人申请再审的理由、法院决定再审的理由、当事人提起再审的理由）等，通过调用技术底座的司法文书要素处理能力，对该类型的电子卷宗内容中的关键要素进行标注训练，构建检验模型，以检测电子卷宗挂接文件中是否缺失原审作出生效法律文书信息。</w:t>
            </w:r>
          </w:p>
        </w:tc>
      </w:tr>
      <w:tr w14:paraId="6B909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F575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5CB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7D5D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3825F3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民事申请再商案件听证信息项校验模型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9141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听证信息的申请再商案件电子卷宗挂接文件，包括：申请再审的案由、当事人基本情况，申请再审的法定事由、当事人申请再审的请求和主张、申请再审所依据的主要证据和理由、原审判结果等，通过调用技术底座的司法文书要素处理能力，对该类型的电子卷宗内容中的关键要素进行标注训练，构建检验模型，以检测电子卷宗挂接文件中是否缺失民事申请再商案件的听证信息。</w:t>
            </w:r>
          </w:p>
        </w:tc>
      </w:tr>
      <w:tr w14:paraId="0097C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E319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4E60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8A41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F263A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劳动争议、人事争议案件仲裁情况信息项校验模型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32C1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仲裁情况信息的劳动争议、人事争议案件电子卷宗挂接文件，包括：劳动争议仲裁委员会所在地、仲裁机构名称、仲裁机构收到申请时间、申请人仲裁内容，被申请人仲裁内容，申请仲裁结果、仲裁机构类型等，通过调用技术底座的司法文书要素处理能力，对该类型的电子卷宗内容中的关键要素进行标注训练，构建检验模型，以检测电子卷宗挂接文件中是否缺失劳动争议、人事争议案件的仲裁情况信息。</w:t>
            </w:r>
          </w:p>
        </w:tc>
      </w:tr>
      <w:tr w14:paraId="743CA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14F2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CB50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C40B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22147A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刑事速裁案件速裁信息项校验模型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2B54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速裁信息的刑事速裁案件电子卷宗挂接文件，包括：启动非法证据排除情况、法院自行启动速裁程序情况等，通过调用技术底座的司法文书要素处理能力，对该类型的电子卷宗内容中的关键要素进行标注训练，构建检验模型，以检测电子卷宗挂接文件中是否缺失刑事速裁案件的速裁信息。</w:t>
            </w:r>
          </w:p>
        </w:tc>
      </w:tr>
      <w:tr w14:paraId="6CC34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1B5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3480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B7C7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098B72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刑事案件被告人刑期信息项校验模型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B295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被告人刑期信息的刑事案件电子卷宗挂接文件，包括：被告人刑期信息中的刑期类型、刑期起止时间、刑期执行情况等，通过调用技术底座的司法文书要素处理能力，对该类型的电子卷宗内容中的关键要素进行标注训练，构建检验模型，以检测电子卷宗挂接文件中是否缺失刑事案件的被告人刑期信息。</w:t>
            </w:r>
          </w:p>
        </w:tc>
      </w:tr>
      <w:tr w14:paraId="2BFA4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D889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D555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FE58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3DF17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刑事案件被告人作案情况信息项校验模型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CF0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被告人作案情况的刑事案件电子卷宗挂接文件，包括：被告人作案时的具体时间、地点，包括作案的时间段、作案的地点等，通过调用技术底座的司法文书要素处理能力，对该类型的电子卷宗内容中的关键要素进行标注训练，构建检验模型，以检测电子卷宗挂接文件中是否缺失刑事案件的被告人作案情况。</w:t>
            </w:r>
          </w:p>
        </w:tc>
      </w:tr>
      <w:tr w14:paraId="2E32C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4D10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FCC9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0398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B3F99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刑事案件被告人羁押情况信息项校验模型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20B3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被告人羁押情况的刑事案件电子卷宗挂接文件，包括：羁押时间、地点、原因、法律依据等，通过调用技术底座的司法文书要素处理能力，对该类型的电子卷宗内容中的关键要素进行标注训练，构建检验模型，以检测电子卷宗挂接文件中是否缺失刑事案件的被告人羁押情况。</w:t>
            </w:r>
          </w:p>
        </w:tc>
      </w:tr>
      <w:tr w14:paraId="784F9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25B5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C228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E7F8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D3628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刑事案件被告人强制措施情况信息项校验模型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D06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被告人强制措施情况信息的刑事案件电子卷宗挂接文件，根据强制措施规则不同，强制措施规则为拘传时校验拘传时间、拘传次数；强制措施规则为取保候审时校验取保候审条件，是否遵守规定；强制措施规则为监视居住时校验监视居住条件、是否遵守规定；强制措施规则为拘留时校验拘留时间，拘留程序；逮捕判断逮捕时间、逮捕程序，通过调用技术底座的司法文书要素处理能力，对该类型的电子卷宗内容中的关键要素进行标注训练，构建检验模型，以检测电子卷宗挂接文件中是否缺失刑事案件的被告人强制措施情况信息。</w:t>
            </w:r>
          </w:p>
        </w:tc>
      </w:tr>
      <w:tr w14:paraId="3B19E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EA50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341B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BD1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A099AF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刑事案件公示情况信息项校验模型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A1D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公示情况的减刑假释案件电子卷宗挂接文件（公示文书或未公示说明材料），包括：是否公示、公示结果、未公示原因等，通过调用技术底座的司法文书要素处理能力，对该类型的电子卷宗内容中的关键要素进行标注训练，构建检验模型，以检测电子卷宗挂接文件中是否减刑假释案件的公示情况。</w:t>
            </w:r>
          </w:p>
        </w:tc>
      </w:tr>
      <w:tr w14:paraId="71BD3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682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B36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C98C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D5F4E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行政案件行政复议情况信息项校验模型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C750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行政复议情况信息的行政案件电子卷宗挂接文件，包括：复议机关名称、被诉行政行为情况、行政复议结果等，通过调用技术底座的司法文书要素处理能力，对该类型的电子卷宗内容中的关键要素进行标注训练，构建检验模型，以检测电子卷宗挂接文件中是否缺失行政案件的行政复议情况信息。</w:t>
            </w:r>
          </w:p>
        </w:tc>
      </w:tr>
      <w:tr w14:paraId="2D37A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14AA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4424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417F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787F3A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行政案件重大行政案件审理信息项校验模型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3E10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审理信息的重大行政案件电子卷宗挂接文件，包括：专家法官会议情况、审判委员会会议讨论情况等，通过调用技术底座的司法文书要素处理能力，对该类型的电子卷宗内容中的关键要素进行标注训练，构建检验模型，以检测电子卷宗挂接文件中是否缺失重大行政案件的审理信息。</w:t>
            </w:r>
          </w:p>
        </w:tc>
      </w:tr>
      <w:tr w14:paraId="5FCE5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095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D116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5130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961479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行政案件行政机关负责人出庭情况信息项校验模型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306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行政机关负责人出庭情况的行政案件电子卷宗挂接文件，包括：行政机关负责人出庭情况内容中出庭人员姓名，职务等，通过调用技术底座的司法文书要素处理能力，对该类型的电子卷宗内容中的关键要素进行标注训练，构建检验模型，以检测电子卷宗挂接文件中是否缺失行政案件的行政机关负责人出庭情况。</w:t>
            </w:r>
          </w:p>
        </w:tc>
      </w:tr>
      <w:tr w14:paraId="30F13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5185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BC9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5E7FC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F0F6F3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民商事案件起诉状信息项校验模型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45087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起诉状信息的民商事案件电子卷宗挂接文件，包括：当事人基本情况、诉讼请求、事实和理由、证据和证据来源等，通过调用技术底座的司法文书要素处理能力，对该类型的电子卷宗内容中的关键要素进行标注训练，构建检验模型，以检测电子卷宗挂接文件中是否缺失民商事案件的起诉状信息。</w:t>
            </w:r>
          </w:p>
        </w:tc>
      </w:tr>
      <w:tr w14:paraId="5EC93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4AF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DDB6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7B5EF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281C83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民商事案件、执行案件通知书信息项校验模型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7476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执行通知书信息的民商事案件、执行案件电子卷宗挂接文件，包括：标题、被执行人、案号、审判组织信息、联系人信息，开户行名称、开户行银行、账号等，通过调用技术底座的司法文书要素处理能力，对该类型的电子卷宗内容中的关键要素进行标注训练，构建检验模型，以检测电子卷宗挂接文件中是否缺失执行通知书信息。</w:t>
            </w:r>
          </w:p>
        </w:tc>
      </w:tr>
      <w:tr w14:paraId="510DC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2653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CC5A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3CAD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EF0061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执行案件财产报告令信息项校验模型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8D27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财产报告令信息的执行案件电子卷宗挂接文件，包括：校验财产报告令的标题、被执行人、案号等，通过调用技术底座的司法文书要素处理能力，对该类型的电子卷宗内容中的关键要素进行标注训练，构建检验模型，以检测电子卷宗挂接文件中是否缺失执行案件的财产报告令信息。</w:t>
            </w:r>
          </w:p>
        </w:tc>
      </w:tr>
      <w:tr w14:paraId="48F56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AB48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2C2B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C8BBC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5B93D3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民商事案件、执行案件送达回证信息项校验模型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4A0B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送达回证信息的民商事案件、执行案件电子卷宗挂接文件，包括：标题、送达人姓名、案号等，通过调用技术底座的司法文书要素处理能力，对该类型的电子卷宗内容中的关键要素进行标注训练，构建检验模型，以检测电子卷宗挂接文件中是否缺失执行案件的送达回证信息。</w:t>
            </w:r>
          </w:p>
        </w:tc>
      </w:tr>
      <w:tr w14:paraId="6ED02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E336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7FD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FB2D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E0942B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执行案件财产查询反馈汇总表信息项校验模型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599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财产查询反馈汇总表信息的执行案件电子卷宗挂接文件，包括：标题、被执行人、查询范围、提起查询日期等，通过调用技术底座的司法文书要素处理能力，对该类型的电子卷宗内容中的关键要素进行标注训练，构建检验模型，以检测电子卷宗挂接文件中是否缺失执行案件的财产查询反馈汇总表信息。</w:t>
            </w:r>
          </w:p>
        </w:tc>
      </w:tr>
      <w:tr w14:paraId="4FFEE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DD86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7627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0F0C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BEB779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执行案件现场财产调查工作记录/谈话记录信息项校验模型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611C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现场财产调查工作记录或谈话记录信息的执行案件电子卷宗挂接文件，包括：标题、案号、关键字段(“住所地”“注册地”“实际经营地”“无财立”)等，通过调用技术底座的司法文书要素处理能力，对该类型的电子卷宗内容中的关键要素进行标注训练，构建检验模型，以检测电子卷宗挂接文件中是否缺失执行案件的现场财产调查工作记录或谈话记录信息。</w:t>
            </w:r>
          </w:p>
        </w:tc>
      </w:tr>
      <w:tr w14:paraId="68421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15B1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DC3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D0A9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ADFF8B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执行案件搜查令信息项校验模型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75F3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搜查令信息的执行案件电子卷宗挂接文件，包括：标题、搜查原因、案号等，通过调用技术底座的司法文书要素处理能力，对该类型的电子卷宗内容中的关键要素进行标注训练，构建检验模型，以检测电子卷宗挂接文件中是否缺失执行案件的搜查令信息。</w:t>
            </w:r>
          </w:p>
        </w:tc>
      </w:tr>
      <w:tr w14:paraId="46AD8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44EE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2C98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6AA6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832E96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执行案件悬赏公告信息项校验模型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F3FB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悬赏公告信息的执行案件电子卷宗挂接文件，包括：标题、悬赏条件、被执行人、案号等，通过调用技术底座的司法文书要素处理能力，对该类型的电子卷宗内容中的关键要素进行标注训练，构建检验模型，以检测电子卷宗挂接文件中是否缺失执行案件的悬赏公告信息。</w:t>
            </w:r>
          </w:p>
        </w:tc>
      </w:tr>
      <w:tr w14:paraId="4DD4A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485D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1172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F6CD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73CAF4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执行案件司法审计报告信息项校验模型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300E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司法审计报告信息的执行案件电子卷宗挂接文件，包括：标题、审计内容、案号等，通过调用技术底座的司法文书要素处理能力，对该类型的电子卷宗内容中的关键要素进行标注训练，构建检验模型，以检测电子卷宗挂接文件中是否缺失执行案件的司法审计报告信息。</w:t>
            </w:r>
          </w:p>
        </w:tc>
      </w:tr>
      <w:tr w14:paraId="285BE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CB1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08B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CF63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685EC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执行案件限制消费令信息项校验模型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787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限制消费令信息的执行案件电子卷宗挂接文件，包括：标题、被执行人、限制消费内容、案号等，通过调用技术底座的司法文书要素处理能力，对该类型的电子卷宗内容中的关键要素进行标注训练，构建检验模型，以检测电子卷宗挂接文件中是否缺失执行案件的限制消费令信息。</w:t>
            </w:r>
          </w:p>
        </w:tc>
      </w:tr>
      <w:tr w14:paraId="52099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F274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3369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CFE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74FAD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执行案件失信决定书信息项校验模型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B8B7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失信决定书信息的执行案件电子卷宗挂接文件，包括：标题、被执行人、案号等，通过调用技术底座的司法文书要素处理能力，对该类型的电子卷宗内容中的关键要素进行标注训练，构建检验模型，以检测电子卷宗挂接文件中是否缺失执行案件的失信决定书信息。</w:t>
            </w:r>
          </w:p>
        </w:tc>
      </w:tr>
      <w:tr w14:paraId="31F07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962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A120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068F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90C0F4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执行案件约谈笔录信息项校验模型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2330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约谈笔录信息的执行案件电子卷宗挂接文件，包括：约谈时间、关键字段(终结本次执行程序)等，通过调用技术底座的司法文书要素处理能力，对该类型的电子卷宗内容中的关键要素进行标注训练，构建检验模型，以检测电子卷宗挂接文件中是否缺失执行案件的约谈笔录信息。</w:t>
            </w:r>
          </w:p>
        </w:tc>
      </w:tr>
      <w:tr w14:paraId="2497C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55F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2E9A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2167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4B8A5F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执行案件拟终结本次执行程序告知书信息项校验模型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288A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拟终结本次执行程序告知书信息的执行案件电子卷宗挂接文件，包括：标题、申请执行人、案号等，通过调用技术底座的司法文书要素处理能力，对该类型的电子卷宗内容中的关键要素进行标注训练，构建检验模型，以检测电子卷宗挂接文件中是否缺失执行案件的拟终结本次执行程序告知书信息。</w:t>
            </w:r>
          </w:p>
        </w:tc>
      </w:tr>
      <w:tr w14:paraId="5BB9D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62F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95A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B10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B5EF2E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执行案件终结本次执行程序申请书信息项校验模型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E290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终结本次执行程序申请书信息的执行案件电子卷宗挂接文件，包括：标题、申请执行人名称、关键字段（“终结本次执行程序”）等，通过调用技术底座的司法文书要素处理能力，对该类型的电子卷宗内容中的关键要素进行标注训练，构建检验模型，以检测电子卷宗挂接文件中是否缺失执行案件的终结本次执行程序申请书信息。</w:t>
            </w:r>
          </w:p>
        </w:tc>
      </w:tr>
      <w:tr w14:paraId="26B5E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8C5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FE85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711EE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9F0BDF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民商事案件合议庭评议笔录信息项校验模型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529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案件合议庭评议笔录的执行案件电子卷宗挂接文件，包括：关键字段（“终结本次执行程序”）、案号等，通过调用技术底座的司法文书要素处理能力，对该类型的电子卷宗内容中的关键要素进行标注训练，构建检验模型，以检测电子卷宗挂接文件中是否缺失执行案件的合议庭评议笔录信息。</w:t>
            </w:r>
          </w:p>
        </w:tc>
      </w:tr>
      <w:tr w14:paraId="0ED47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C3BA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5DBD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5534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A3F866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执行案件终结本次执行程序案件办理情况表信息项校验模型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7AA35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终结本次执行程序案件办理情况表信息的执行案件电子卷宗挂接文件，包括：实际到位金额、案号等，通过调用技术底座的司法文书要素处理能力，对该类型的电子卷宗内容中的关键要素进行标注训练，构建检验模型，以检测电子卷宗挂接文件中是否缺失执行案件的终结本次执行程序案件办理情况表信息。</w:t>
            </w:r>
          </w:p>
        </w:tc>
      </w:tr>
      <w:tr w14:paraId="29ECE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14F8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84E9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78A6E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2B711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执行案件终本裁定书信息项校验模型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9216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终本裁定书信息的执行案件电子卷宗挂接文件，包括：关键字段（“终结本次执行程序”）、案号等，通过调用技术底座的司法文书要素处理能力，对该类型的电子卷宗内容中的关键要素进行标注训练，构建检验模型，以检测电子卷宗挂接文件中是否缺失执行案件的终本裁定书信息。</w:t>
            </w:r>
          </w:p>
        </w:tc>
      </w:tr>
      <w:tr w14:paraId="1C8A0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5EA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A18E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5CE5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BD3321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执行案件终本裁定书的送达回证信息项校验模型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975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送达回证信息的执行案件电子卷宗挂接文件，包括：标题、被执行人、案号等，通过调用技术底座的司法文书要素处理能力，对该类型的电子卷宗内容中的关键要素进行标注训练，构建检验模型，以检测电子卷宗挂接文件中是否缺失执行案件的送达回证信息。</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支持执行案件在案件报结环节对终本裁定书的送达回证进行校验，校验内容包括：标题、送达文书名称是否缺失，案号是否一致。</w:t>
            </w:r>
          </w:p>
        </w:tc>
      </w:tr>
      <w:tr w14:paraId="42A8F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817C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CE02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B508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499E45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执行案件送达地址确认书信息项校验模型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7EA1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送达地址确认书信息的执行案件电子卷宗挂接文件，包括：案由、案号等，通过调用技术底座的司法文书要素处理能力，对该类型的电子卷宗内容中的关键要素进行标注训练，构建检验模型，以检测电子卷宗挂接文件中是否缺失执行案件的送达地址确认书信息。</w:t>
            </w:r>
          </w:p>
        </w:tc>
      </w:tr>
      <w:tr w14:paraId="2643D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3EF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F82E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C4190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2242B0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民商事案件和执行案件判决书、调解书、裁定书拟稿信息项校验模型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18A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判决书、调解书、裁定书拟稿信息的民商事案件、执行案件电子卷宗挂接文件，包括：承办部门、案号等，通过调用技术底座的司法文书要素处理能力，对该类型的电子卷宗内容中的关键要素进行标注训练，构建检验模型，以检测电子卷宗挂接文件中是否缺失执行案件的执行通知书信息。</w:t>
            </w:r>
          </w:p>
        </w:tc>
      </w:tr>
      <w:tr w14:paraId="59080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B5D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2308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475B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归档章节完整性检测</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340E00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正卷文件数、总页数、证物袋数校验</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11F2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依据《电子文件归档与电子档案管理规范》中《电子文件归档登记表》规范，结合上海高院的归档信息登记表要求，获取归档信息登记表中登记的正卷文件数和卷宗正卷的文件，并计算出正卷文件总数，将把获取到的卷宗正卷文件总数与归档信息登记表中登记的正卷文件数进行对比校验，确保数字准确一致。获取归档信息登记表中登记的正卷总页数和卷宗正卷的文件，并计算出正卷总页数，将把实际计算的总页数与归档信息登记表中登记的正卷文件数进行对比校验，确保数字准确一致。获取归档信息登记表中的正卷证物袋数和卷宗正卷目录中证物袋，并计算出证物袋数量，将实际计算的证物袋数量与归档信息登记表中登记的正卷证物袋数进行对比校验，确保数字准确一致</w:t>
            </w:r>
          </w:p>
        </w:tc>
      </w:tr>
      <w:tr w14:paraId="299A3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4290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1E0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B0E6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2C1D72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副卷文件数、总页数、证物袋数校验</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8679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依据《电子文件归档与电子档案管理规范》中《电子文件归档登记表》规范，结合上海高院的归档信息登记表要求，获取归档信息登记表中登记的副卷文件数和卷宗副卷的文件，并计算出副卷文件总数，将把获取到的卷宗副卷文件总数与归档信息登记表中登记的副卷文件数进行对比校验，确保数字准确一致。获取归档信息登记表中登记的副卷总页数和卷宗副卷的文件，并计算出副卷总页数和，将把实际计算的总页数与归档信息登记表中登记的副卷文件数进行对比校验，确保数字准确一致。获取归档信息登记表中的副卷证物袋数和卷宗副卷目录中证物袋，并计算出证物袋数量，将实际计算的证物袋数量与归档信息登记表中登记的副卷证物袋数进行对比校验，确保数字准确一致</w:t>
            </w:r>
          </w:p>
        </w:tc>
      </w:tr>
      <w:tr w14:paraId="675B2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F24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01CD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F89C0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62D3E3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案件音频、视频文件个数校验</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11A3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依据《电子文件归档与电子档案管理规范》中《电子文件归档登记表》规范，结合上海高院的归档信息登记表要求，获取归档信息登记表中登记的音频文件个数和卷宗音频文件，并计算出音频文件个数，将把实际计算的音频文件个数与归档信息登记表中登记的音频文件个数进行对比校验，确保数字准确一致。获取归档信息登记表中登记的视频文件个数和卷宗视频文件，并计算出视频文件个数，将把实际计算的视频文件个数与归档信息登记表中登记的视频文件个数进行对比校验，确保数字准确一致</w:t>
            </w:r>
          </w:p>
        </w:tc>
      </w:tr>
      <w:tr w14:paraId="7E272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08C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A364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0D170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4C88A6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案件庭审光盘数校验</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ECE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依据《电子文件归档与电子档案管理规范》中《电子文件归档登记表》规范，结合上海高院的归档信息登记表要求，获取归档信息登记表中的庭审光盘数和庭审光盘刻录序列号，并计算出庭审光盘总数，将实际计算的庭审光盘总数与归档信息登记表中登记的庭审光盘数进行对比校验，确保数字准确一致</w:t>
            </w:r>
          </w:p>
        </w:tc>
      </w:tr>
      <w:tr w14:paraId="12079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0A88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93</w:t>
            </w:r>
          </w:p>
        </w:tc>
        <w:tc>
          <w:tcPr>
            <w:tcW w:w="50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363A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可用性质量校验</w:t>
            </w: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46F29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卷宗原材料可读性检测</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EA15B4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卷宗数据格式检测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03E5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依据《电子档案管理应用技术要求（人民法院行业标准）》中非结构化数据要求对卷宗材料格式进行校验，识别出不符合格式要求的材料。视频格式应支持:AVI、MPEG (MPG)、MP4 (M4V) 、MOV。图片格式应支持:JPEG (JPG)、PNG。其他附件文档格式应支持: TXT、DOC、DOCX、XLS、XLSX、PDF、WPS。</w:t>
            </w:r>
          </w:p>
        </w:tc>
      </w:tr>
      <w:tr w14:paraId="2569A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654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63C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579A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5FEEB6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文书元数据检测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6694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文书类格式材料元数据监测，检测内容包括：立档单位名称、档号、年度、机构或问题，保管期限、题名、日期、责任者、文件编号、密级、件号、子件号、稿本、文件组合类型、页数、格式信息、计算机文件名、计算机文件大小、文档创建程序、紧急程度、扫描分辨率、扫描色彩模式、存储格式、存储路径等。</w:t>
            </w:r>
          </w:p>
        </w:tc>
      </w:tr>
      <w:tr w14:paraId="28831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E46F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CFE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0CA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79ED8C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图片元数据检测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890B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针对电子卷宗挂接文件，对图片类格式材料元数据监测，检测内容包括：档号、年度、题名、摄影者、著录者、摄影时间、数字化时间 、修改时间、人物、地点、版权佶息、在线存址、离线存址、密级、业务活动描述、计算机文件名、计算机文件大 小、格式信息、垂直分辨率、水平分辨率、图像宽度、图像高度、色彩空间等。</w:t>
            </w:r>
          </w:p>
        </w:tc>
      </w:tr>
      <w:tr w14:paraId="4882E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E47D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A1C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9224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C39610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音频元数据检测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6FE9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针对电子卷宗挂接文件，对音频类格式材料元数据检测，检测内容包括：档号、年度、题名、录音者、录音时间、人物、地点、业务活 动描述、密级、保管期限、计算机文件名、格式信息、计算机文件大小、时间长度、音频编码标准、音频比特率、音频、采样率、 音频采样精度、 声道数等。</w:t>
            </w:r>
          </w:p>
        </w:tc>
      </w:tr>
      <w:tr w14:paraId="20B89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252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54E4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CC1B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EFA6A0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视频元数据检测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090F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针对电子卷宗挂接文件，对视频类格式材料元数据检测，检测内容包括：档号、年度、题名、摄像者、编辑者、 摄像时间、人物、地点、业务活动描述、密级、保管期限、计算机文件名、格式信息、计算机文件大小、时间长度、 视频编码标准、 色彩空间、帧大小、帧速率、视频比特率、音频编码标准、音频比特率、音频采样率、音频采样精度、 声道数等。</w:t>
            </w:r>
          </w:p>
        </w:tc>
      </w:tr>
      <w:tr w14:paraId="39C44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64C3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6C4C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010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496B68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图片格式材料内容可读性检测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97BF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针对电子卷宗挂接文件，对图片格式材料内容可读性检测，检测有无异常加密，是否能够被正常打开和浏览。</w:t>
            </w:r>
          </w:p>
        </w:tc>
      </w:tr>
      <w:tr w14:paraId="11D75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A02E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62D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BDC2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0F41B4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视频格式材料内容可读性检测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E640C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针对电子卷宗挂接文件，对视频格式材料内容可读性检测，检测有无异常加密，是否能够被正常打开和浏览。</w:t>
            </w:r>
          </w:p>
        </w:tc>
      </w:tr>
      <w:tr w14:paraId="3295E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7D2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88F0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4F96F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5F539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表格类材料内容可读性检测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9411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针对电子卷宗挂接文件，对表格类材料内容可读性检测，支持检测XLS、XLSX格式表格文件是否可以被正常打开和浏览。在检测过程中，支持检查表格有无异常加密，是否能够被正常打开和浏览。</w:t>
            </w:r>
          </w:p>
        </w:tc>
      </w:tr>
      <w:tr w14:paraId="4C44A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AF39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6630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00D0C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DD26A5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文档类材料内容可读性检测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90A6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针对电子卷宗挂接文件，对文档类材料内容可读性检测，检测TXT、DOC、DOCX、PDF、WPS格式文件是否可以被正常打开和浏览。在检测过程中，支持检查文档有无异常加密，是否能够被正常打开和浏览。</w:t>
            </w:r>
          </w:p>
        </w:tc>
      </w:tr>
      <w:tr w14:paraId="0A9C3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2F2C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889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43EB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74EF0B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页码连续性检测模型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8337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识别页码信息，通过调用技术底座的司法文书要素处理能力和OCR处理能力，对该类型的电子卷宗内容中的关键要素进行标注训练，构建检验模型，以检测电子卷宗挂接文件页码是否连续、是否存在页码跳跃、重复或缺失的情况。</w:t>
            </w:r>
          </w:p>
        </w:tc>
      </w:tr>
      <w:tr w14:paraId="47BCB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5B6D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6674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AF5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重复材料检测</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CDD936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同目录下重复材料检测模型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558C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编目引擎和OCR处理能力，对该类型的电子卷宗内容进行标注训练，构建检验模型，对同一个目录下同名材料，对比两份材料的所有页，所有页内容一致则判断为重复材料，以检测电子卷宗挂接文件中是否存在同目录下重复材料。</w:t>
            </w:r>
          </w:p>
        </w:tc>
      </w:tr>
      <w:tr w14:paraId="68C5A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E0C3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9282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A313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043AFB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重复裁定书检测模型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8503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编目引擎和OCR处理能力，对该类型的电子卷宗内容进行标注训练，构建检验模型，同一案件的不同裁判文书进行对比分析，对比两份裁定书的所有页，所有页内容一致则判断为重复材料，以检测电子卷宗挂接文件中是否存在重复裁定书。并提供重复材料组预览，以第一份材料为主，可切换展示对比材料。</w:t>
            </w:r>
          </w:p>
        </w:tc>
      </w:tr>
      <w:tr w14:paraId="4E7E7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91EE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03DE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F10D1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C30E5E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重复判决书检测模型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7048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编目引擎和OCR处理能力，对该类型的电子卷宗内容进行标注训练，构建检验模型，同一案件的不同判决书进行对比分析，对比两份判决书的所有页，所有页内容一致则判断为重复材料，以检测电子卷宗挂接文件中是否存在重复判决书。并提供重复材料组预览，以第一份材料为主，可切换展示对比材料。</w:t>
            </w:r>
          </w:p>
        </w:tc>
      </w:tr>
      <w:tr w14:paraId="0C3F3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168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8B52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BF26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6C45AC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重复调解书检测模型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7A15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编目引擎和OCR处理能力，对该类型的电子卷宗内容进行标注训练，构建检验模型，同一案件的不同调解书进行对比分析，对比两份调解书的所有页，所有页内容一致则判断为重复材料，以检测电子卷宗挂接文件中是否存在重复调解书。并提供重复材料组预览，以第一份材料为主，可切换展示对比材料。</w:t>
            </w:r>
          </w:p>
        </w:tc>
      </w:tr>
      <w:tr w14:paraId="33BD6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B629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5C22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341DF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音视频可用性检测</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020F51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音频质量检测升级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39EF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音频增强能力，对于重要证据音频卷宗材料（特别是庭审举证质证环节）音频质量进行标注训练，构建检测增强模型，包括：降噪音、去除杂音、提升声音清晰度基础检测能力，新增原音频和调优后的音频对比，并对播放音频段自动标注提示。</w:t>
            </w:r>
          </w:p>
        </w:tc>
      </w:tr>
      <w:tr w14:paraId="06CC9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7204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58A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D6DF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6AF0B5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视频质量检测升级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1AC5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视频增强能力，对于重要证据视频卷宗材料（特别是庭审举证质证环节）视频质量进行标注训练，构建检测增强模型，包括：降噪音、去除杂音、提升视频清晰度基础检测能力，新增原视频和调优后的视频对比，并对视频画面的模糊、抖动、色彩失真等问题自动标注提示。</w:t>
            </w:r>
          </w:p>
        </w:tc>
      </w:tr>
      <w:tr w14:paraId="580BD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1DE5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CBA3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E52A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E8E723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音视频一致性检测升级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A3A22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音视频增强能力，对于重要证据音视频卷宗材料（特别是庭审举证质证环节）音视频对比进行标注训练，构建音视频一致性检测模型，包括：音视频不同步、音视频不匹配，新增新增音频和视频对比，对音视频不同步、不匹配等问题自动标注提示。</w:t>
            </w:r>
          </w:p>
        </w:tc>
      </w:tr>
      <w:tr w14:paraId="2AF9F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382C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15F4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3985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616F3B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转换笔录和录音录像一致性检测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93C5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语音识别、音字转换能力和音视频增强能力，对于重要证据音视频卷宗材料（特别是庭审举证质证环节）音视频和语音转换文字对比进行标注训练，构建文本和音视频转换蚊子一致性检测模型，包括：文字与音视频不同步、文字与音视频不匹配，新增新增文字和音视频对比，对不同步、不匹配等问题自动标注提示。</w:t>
            </w:r>
          </w:p>
        </w:tc>
      </w:tr>
      <w:tr w14:paraId="2BE75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2B5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FCE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08E7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C68605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件视频时长检测升级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DFB0E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视频增强能力，对于重要证据视频卷宗材料（特别是庭审举证质证环节）视频质量进行标注训练，构建检测增强模型，包括：视频时长基础检测能力，新增视频测量时长和规定时间要求比较，对视频时长不符合规定要求的问题自动标注提示。</w:t>
            </w:r>
          </w:p>
        </w:tc>
      </w:tr>
      <w:tr w14:paraId="4A980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3F4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EC05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59ACF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图像可用性检测</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8BD151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图片倒置检测升级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2DF3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针对电子卷宗挂接文件，通过调用技术底座的图像增强能力，对于上下颠倒的图片类卷宗材料进行标注训练，构建检验模型，支持多种格式，包括：JPEG (JPG)、PNG格式，新增精准定位至卷宗哪份附件第几页材料出现倒置。</w:t>
            </w:r>
          </w:p>
        </w:tc>
      </w:tr>
      <w:tr w14:paraId="757D9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2797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1EF0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9994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65859F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图片倾斜检测升级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8D44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针对电子卷宗挂接文件，通过调用技术底座的图像增强能力，对于倾斜或者横置的图片类卷宗材料进行标注训练，构建检验模型，支持多种格式，包括：JPEG (JPG)、PNG格式，新增精准定位到哪份附件第几页材料出现倾斜或者横置。</w:t>
            </w:r>
          </w:p>
        </w:tc>
      </w:tr>
      <w:tr w14:paraId="20F1E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496E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BF74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1A66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9825C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图片黑边检测升级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FEA5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针对电子卷宗挂接文件，通过调用技术底座的图像增强能力，对于黑边的图片类卷宗材料进行标注训练，构建检验模型，支持多种格式，包括：JPEG (JPG)、PNG格式，新增精准定位到哪份附件第几页材料存在黑边。</w:t>
            </w:r>
          </w:p>
        </w:tc>
      </w:tr>
      <w:tr w14:paraId="3DCE9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4442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936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76C11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59141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图片污点污线升级</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ACB2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针对电子卷宗挂接文件，通过调用技术底座的图像增强能力，对于污点、污线等影响图像质量的图片类卷宗材料进行标注训练，构建检验模型，支持多种格式，包括：JPEG (JPG)、PNG格式，新增精准定位到哪份附件第几页材料存在污点、污线。</w:t>
            </w:r>
          </w:p>
        </w:tc>
      </w:tr>
      <w:tr w14:paraId="34945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19B7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AFE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AC58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E64599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图片格式材料空白检测模型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DF10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通过调用技术底座的图像增强能力，对于图片类卷宗材料（特别针对金融类案件中交易记录、合同协议、财务报告等）中的校验标题未填录的附件、多页笔录/证据的尾页、完全空白的页面、包含水印的空白页进行标注训练，构建检验模型，支持多种格式，包括：JPEG (JPG)、PNG格式，新增精准定位到哪份附件第几页材料存在空白，生成图片空白预优化流程。</w:t>
            </w:r>
          </w:p>
        </w:tc>
      </w:tr>
      <w:tr w14:paraId="71D02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1B28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117</w:t>
            </w:r>
          </w:p>
        </w:tc>
        <w:tc>
          <w:tcPr>
            <w:tcW w:w="50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7C3E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及时性质量校验</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334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立案期限校验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6BAA9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FC7F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案件和执行案件电子卷宗挂接文件，包括立案日期、起诉状日期、移送日期、立案通知书生成日期、立案通知书入卷日期等，通过调用技术底座的司法文书要素处理能力，对该类型的电子卷宗内容中的关键要素进行标注训练，构建检验模型，对立案电子卷宗材料质量审限期内进行质量审查，包括：立案通知书入卷，法院应在收到起诉状或口头起诉后7日内立案，立案庭应在决定立案的三日内移送审判庭，立案2日内上传立案通知书，立案通知书上传入卷。</w:t>
            </w:r>
          </w:p>
        </w:tc>
      </w:tr>
      <w:tr w14:paraId="50634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C0DF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7CA7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53F1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公告送达校验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E66CFA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公告送达期限检测模型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3BF8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案件和执行案件电子卷宗挂接文件，包括公告发送日期、公告送达日期、公告类型等，通过调用技术底座的司法文书要素处理能力，对该类型的电子卷宗内容中的关键要素进行标注训练，构建检验模型，对民商事案件和执行案件电子卷宗材料质量审限期内进行质量审查，包括：国内自发出公告之日起经过60天的，视为送达。涉外国内公告送达自发出公告之日起经过60天的，视为送达。在涉外民事诉讼中，人民法院通过外交途径向受送达人送达的期间，包括公告期间、转交送达期间、发生效力期间以及再转达期间。根据有关国际条约的规定而向受送达人送达的期间，视为送达。</w:t>
            </w:r>
          </w:p>
        </w:tc>
      </w:tr>
      <w:tr w14:paraId="21CC1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FC25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71D7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89D65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审理期限校验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C0A8F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督促程序案件审理期限检测模型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96AB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案件（民事案件一审，适用普通程序审理的民事案件）电子卷宗挂接文件，包括预归档审核日期、一审立案日期、二审立案日期、程序类型等，通过调用技术底座的司法文书要素处理能力，对该类型的电子卷宗内容中的关键要素进行标注训练，构建检验模型，对不同程序类型的民事案件电子卷宗材料质量进行预归档审核，包括：在立案之日起六个月内审结，并完成电子卷宗全部内容预归档审核；适用简易程序的，应当在立案之日起三个月内审结，并完成电子卷宗全部内容预归档审核。民事案件二审，在第二审立案之日起三个月内审结，并完成电子卷宗全部内容预归档审核；</w:t>
            </w:r>
          </w:p>
        </w:tc>
      </w:tr>
      <w:tr w14:paraId="7A14F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05F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E630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0424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B2F0D5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件特别程序案件审理期限检测模型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9A9D4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法院审理选民资格案件、宣告失踪或宣告死亡案件、认定公民无民事行为能力或者限制民事行为能力案件、认定财产无主案件、确认调解协议案件和实现担保物权案件）电子卷宗挂接文件，包括预归档审核日期、一审立案日期、二审立案日期、公告期等，通过调用技术底座的司法文书要素处理能力，对该类型的电子卷宗内容中的关键要素进行标注训练，构建检验模型，对特别程序类型的民事案件电子卷宗材料质量进行预归档审核，包括：在当在立案之日起三十日内或者公告期满后三十日内审结，完成电子卷宗材料质量预归档审核。</w:t>
            </w:r>
          </w:p>
        </w:tc>
      </w:tr>
      <w:tr w14:paraId="6C740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F905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FB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47BB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EA257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审判监督程序案件审理期限检测模型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128D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审判监督程序案件电子卷宗挂接文件，包括审结日期、民事再审申请书接收日期等，通过调用技术底座的司法文书要素处理能力，对该类型的电子卷宗内容中的关键要素进行标注训练，构建检验模型，对审判监督程序案件电子卷宗材料质量进行预归档审核，包括：案件审结期限当自收到民事再审申请书之日起三个月内审查，并完成电子卷宗全部内容预归档审核。</w:t>
            </w:r>
          </w:p>
        </w:tc>
      </w:tr>
      <w:tr w14:paraId="0F495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7AF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FD0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7EF0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B4EB03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督促程序案件审理期限检测模型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574D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督促程序案件电子卷宗挂接文件，包括审结日期、民事再审申请书接收日期等，通过调用技术底座的司法文书要素处理能力，对该类型的电子卷宗内容中的关键要素进行标注训练，构建检验模型，对督促程序案件电子卷宗材料质量审限期内进行质量审查，包括：监督程序审限当自收到民事再审申请书之日起三个月内审查，并完成电子卷宗全部内容归档审核。</w:t>
            </w:r>
          </w:p>
        </w:tc>
      </w:tr>
      <w:tr w14:paraId="66557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892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0196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D244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895EDA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刑事案件审理期限检测模型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2EFD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刑事案件电子卷宗挂接文件，包括审结日期、案件类型等，通过调用技术底座的司法文书要素处理能力，对该类型的电子卷宗内容中的关键要素进行标注训练，构建检验模型，对不同程序类型的刑事案件电子卷宗材料质量进行预归档审核，包括：刑事一审案件电子卷宗在审限期内的质量审查，刑事一审案件的审理期限为三个月，特殊情况下可以延长一个月。对于可能判死刑的案件或者附带民事诉讼的案件，支持根据承办法院报请最高人民法院批准后才能延长审理期限，并在审限期内完成电子卷宗质量校验。</w:t>
            </w:r>
          </w:p>
        </w:tc>
      </w:tr>
      <w:tr w14:paraId="000A6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13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7D1A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C225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0426A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行政案件审理期限检测模型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ACCD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行政案件电子卷宗挂接文件，包括受理日期、裁定日期、判决日期等，通过调用技术底座的司法文书要素处理能力，对该类型的电子卷宗内容中的关键要素进行标注训练，构建检验模型，对行政案件复杂程度在审限期内完成行政案件电子卷宗全部挂接材料质量校验，包括，在受理案件后一个月内作出判决或裁定，如果案件复杂、涉及人员较多或需要调查取证的，根据延长审理期限，但最长不得超过三个月内完成电子卷宗预归档质量校验。</w:t>
            </w:r>
          </w:p>
        </w:tc>
      </w:tr>
      <w:tr w14:paraId="5B6BF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3B0F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2437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9B07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30D74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执行案件审理期限检测模型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872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执行案件电子卷宗挂接文件，包括立案日期、执行日期、有无可执行信息等，通过调用技术底座的司法文书要素处理能力，对该类型的电子卷宗内容中的关键要素进行标注训练，构建检验模型，对执行案件电子卷宗在审限期限内完成全部材料质量校验，包括：支持有相关的财产可以供执行的，在立案之日起的6个月之内执行完毕。</w:t>
            </w:r>
          </w:p>
        </w:tc>
      </w:tr>
      <w:tr w14:paraId="36BD8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0D0C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94DC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1014E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执行期限校验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64ADBB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执行案件申请财产保全期限检测模型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595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执行案件电子卷宗挂接文件，包括申请财产保全日期、裁定日期、执行日期、申请书入卷日期等，通过调用技术底座的司法文书要素处理能力，对该类型的电子卷宗内容中的关键要素进行标注训练，构建检验模型，对执行案件电子卷宗材料质量审限期内进行质量审查，包括：原告申请财产保全，法院在接到申请后48小时内作出裁定，同意的立即执行，申请人应在采取保全措施后15日内起诉，财产保全申请书入卷。</w:t>
            </w:r>
          </w:p>
        </w:tc>
      </w:tr>
      <w:tr w14:paraId="44556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74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57C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1C471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B72BE0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执行案件申请证据保全期限检测模型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8B4D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执行案件电子卷宗挂接文件，包括申请证据保全日期、裁定日期、执行日期、申请书入卷日期等，通过调用技术底座的司法文书要素处理能力，对该类型的电子卷宗内容中的关键要素进行标注训练，构建检验模型，对执行案件电子卷宗材料质量审限期内进行质量审查，包括：原告申请证据保全，法院在接到申请后48小时内作出裁定，同意的立即执行，申请人应在采取保全措施后15日内起诉，证据保全申请书入卷。</w:t>
            </w:r>
          </w:p>
        </w:tc>
      </w:tr>
      <w:tr w14:paraId="10A58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8E0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128</w:t>
            </w:r>
          </w:p>
        </w:tc>
        <w:tc>
          <w:tcPr>
            <w:tcW w:w="50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6CED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编目归目质量校验</w:t>
            </w: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85AE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卷宗挂接文件检测卷内模板条目</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B51CE5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未归入副卷材料检测模型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690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拟稿、合议庭笔录、专业法官会议记录、审委会会议记录、审理报告等，通过调用技术底座的编目引擎和OCR处理能力，对挂接材料关键编目要素进行标注训练，构建检验模型，以检测电子卷宗挂接文件中是否未归入副卷材料。</w:t>
            </w:r>
          </w:p>
        </w:tc>
      </w:tr>
      <w:tr w14:paraId="1F20D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9EFA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E23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1FC9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C8B5AD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律师事务所函未归入委托授权书目录模型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DF68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律师事务所函、律所函、委托书（含律师事务所函）等，通过调用技术底座的编目引擎和OCR处理能力，对挂接材料关键编目要素进行标注训练，构建检验模型，以检测律师事务所函未归入委托授权书目录。</w:t>
            </w:r>
          </w:p>
        </w:tc>
      </w:tr>
      <w:tr w14:paraId="69643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246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912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A6B5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461125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鉴定申请书未归入鉴定/评估/审计申请书及相关材料目录模型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EFBD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针对电子卷宗挂接文件，如鉴定申请书等，通过调用技术底座的编目引擎和OCR处理能力，对挂接材料关键编目要素进行标注训练，构建检验模型，以检测鉴定申请书未归入鉴定/评估/审计申请书及相关材料目录。</w:t>
            </w:r>
          </w:p>
        </w:tc>
      </w:tr>
      <w:tr w14:paraId="759C5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EBD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E179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8F8A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7257A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谈话记录未归入谈话笔录目录模型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7A0E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针对电子卷宗挂接文件，如谈话记录等，通过调用技术底座的编目引擎和OCR处理能力，对挂接材料关键编目要素进行标注训练，构建检验模型，以检测谈话记录未归入相关目录。</w:t>
            </w:r>
          </w:p>
        </w:tc>
      </w:tr>
      <w:tr w14:paraId="2B980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3811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C7F4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6456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D788F4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被告材料误归入原告目录模型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7DDB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被告身份证明、被告委托书等，通过调用技术底座的编目引擎和OCR处理能力，对挂接材料关键编目要素进行标注训练（排除原告目录下举证的被告材料），构建检验模型，以检测被告提交的材料被错误地归入原告的目录。</w:t>
            </w:r>
          </w:p>
        </w:tc>
      </w:tr>
      <w:tr w14:paraId="475E8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9C5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44A1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4F94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480515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原告材料误归入被告目录模型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C8D0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原告身份证明、原告委托书等，通过调用技术底座的编目引擎和OCR处理能力，对挂接材料关键编目要素进行标注训练（排除被告目录下举证的原告材料），构建检验模型，以检测原告提交的材料被错误地归入被告的目录。</w:t>
            </w:r>
          </w:p>
        </w:tc>
      </w:tr>
      <w:tr w14:paraId="4A072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DC7A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A548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BC88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9ADD24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法院材料误入被告材料、原告材料模型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A0E7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合议庭笔录、带签发的判决书、落实防止干预司法案件三个规定情况承诺书等，通过调用技术底座的编目引擎和OCR处理能力，对挂接材料关键编目要素进行标注训练，构建检验模型，以检测法院材料是否错误地归入原告、被告目录。</w:t>
            </w:r>
          </w:p>
        </w:tc>
      </w:tr>
      <w:tr w14:paraId="43FB1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8736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8D8D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E746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1807ED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合议庭笔录未放置在合议庭评议案件笔录/工作记录目录检测模型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B7A7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针对电子卷宗挂接文件，如合议庭笔录等，通过调用技术底座的编目引擎和OCR处理能力，对挂接材料关键编目要素进行标注训练，构建检验模型，以检测合议庭笔录为归入合议庭评议案件笔录/工作记录目录。</w:t>
            </w:r>
          </w:p>
        </w:tc>
      </w:tr>
      <w:tr w14:paraId="469F8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1A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D39C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1E43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0849C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送达材料未归入送达地址确认书、送达回证或其他送达凭证检测模型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0E86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针对电子卷宗挂接文件，如送达回证、送达地址确认书等，通过调用技术底座的编目引擎和OCR处理能力，对挂接材料关键编目要素进行标注训练，构建检验模型，以检测送达材料未归入相关目录</w:t>
            </w:r>
          </w:p>
        </w:tc>
      </w:tr>
      <w:tr w14:paraId="7689D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7C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2CF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98CEA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AA8D1E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备考表归目准确性检测模型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3E5F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针对电子卷宗挂接文件，如备考表等，通过调用技术底座的编目引擎和OCR处理能力，对挂接材料关键编目要素进行标注训练，构建检验模型，以检测正卷副卷中的备考表未归入备考表目录</w:t>
            </w:r>
          </w:p>
        </w:tc>
      </w:tr>
      <w:tr w14:paraId="6889E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8ED0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6035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294F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按案模板条目检测</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B40959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刑事一审案件目录检测模型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D82F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刑事一审案件电子卷宗条目，如检察院材料、自诉人材料、被告人材料、法院材料、公安机关材料、第三方机构材料、音视频材料、其他诉讼相关材料等，通过调用技术底座的编目引擎，对条目要素进行标注训练，构建检验模型，以检测识别不符合要求的目录</w:t>
            </w:r>
          </w:p>
        </w:tc>
      </w:tr>
      <w:tr w14:paraId="67A0E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A5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4927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BDAB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DD23D1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刑事二审案件目录检测模型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A01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针对刑事二审案件电子卷宗条目，如检察院材料、上诉方材料、被上(抗) 诉方材料、原审材料、法院材料、公安机关材料、第三方机构材料、音视频材料、其他诉讼相关材料等，通过调用技术底座的编目引擎，对条目要素进行标注训练，构建检验模型，以检测识别不符合要求的目录</w:t>
            </w:r>
          </w:p>
        </w:tc>
      </w:tr>
      <w:tr w14:paraId="27808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FFB3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6EC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D435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C12843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民事一审案件目录检测模型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1E87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事一审案件电子卷宗条目，如原告材料、被告材料、第三人材料、法院材料、第三方机构材料、音视频视频材料、其他诉讼相关材料等，通过调用技术底座的编目引擎，对条目要素进行标注训练，构建检验模型，以检测识别不符合要求的目录</w:t>
            </w:r>
          </w:p>
        </w:tc>
      </w:tr>
      <w:tr w14:paraId="2BD71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5AFA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AD95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1687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2795EF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民事二审案件目录检测模型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D0E9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事二审案件电子卷宗条目，如上诉人材料、被上诉人材料、原审材料、法院材料、第三方机构材料、音视频材料、其他诉讼相关材料等，通过调用技术底座的编目引擎，对条目要素进行标注训练，构建检验模型，以检测识别不符合要求的目录</w:t>
            </w:r>
          </w:p>
        </w:tc>
      </w:tr>
      <w:tr w14:paraId="7386E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6AF2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5C00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4E79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3449C9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行政一审案件目录检测模型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29B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行政一审案件电子卷宗条目，如原告材料、被告材料、第三人材料、法院材料、第三方机构材料、音视频材料、其他诉讼相关材料等，通过调用技术底座的编目引擎，对条目要素进行标注训练，构建检验模型，以检测识别不符合要求的目录</w:t>
            </w:r>
          </w:p>
        </w:tc>
      </w:tr>
      <w:tr w14:paraId="7249E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AFD1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A81A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94B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568EE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行政二审案件目录检测模型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3106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行政二审案件电子卷宗条目，如上诉人材料、被上诉人材料、原审材料、法院材料、第三方机构材料、其他诉讼相关材料等，通过调用技术底座的编目引擎，对条目要素进行标注训练，构建检验模型，以检测识别不符合要求的目录</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行政二审案件目录分类按照如下分类依次进行检测，识别不符合要求的目录，包括</w:t>
            </w:r>
          </w:p>
        </w:tc>
      </w:tr>
      <w:tr w14:paraId="04112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B91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7C7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8A08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BA20AD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首次执行案件目录检测模型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FFAC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首次执行案件电子卷宗条目，如执行立案材料、委托执行材料、执行通知材料、失信惩戒材料、财产查控材料、财产评估材料、财产拍卖材料、财产处置材料、终本执行材料、执行制裁材料、音视频材料、其他执行相关材料等，通过调用技术底座的编目引擎，对条目要素进行标注训练，构建检验模型，以检测识别不符合要求的目录。</w:t>
            </w:r>
          </w:p>
        </w:tc>
      </w:tr>
      <w:tr w14:paraId="6492A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1031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C5F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0EA2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绿标空白材料无需归档校验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06573A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绿标身份证复印件无需归档模型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4339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身份证复印件等，通过调用技术底座的司法文书要素处理能力和OCR处理能力，对挂接材料关键内容要素进行标注训练，构建检验模型，以识别自诉人身份证明/授权委托书/法定代表人身份证明，被告人身份证明/授权委托书/法定代表人身份证明，身份证复印件/当事人身份证明/授权委托书/法定代表人身份证明，其他诉讼参与人的身份证明以及委托手续，原告身份证明/授权委托书/法定代表人身份证明，第三人身份证明/授权委托书/法定代表人身份证明，上诉人身份证明/授权委托书/法定代表人身份证明,被上诉人身份证明/授权委托书/法定代表人身份证明目录无需归档处理的绿标身份证复印件。</w:t>
            </w:r>
          </w:p>
        </w:tc>
      </w:tr>
      <w:tr w14:paraId="6B484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7368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828F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C13E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22D6C4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绿标营业执照复印件无需归档模型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7BE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营业执照复印件等，通过调用技术底座的司法文书要素处理能力和OCR处理能力，对挂接材料关键内容要素进行标注训练，构建检验模型，以识别自诉人身份证明/授权委托书/法定代表人身份证明，被告人身份证明/授权委托书/法定代表人身份证明，身份证复印件/当事人身份证明/授权委托书/法定代表人身份证明，其他诉讼参与人的身份证明以及委托手续，原告身份证明/授权委托书/法定代表人身份证明，第三人身份证明/授权委托书/法定代表人身份证明，上诉人身份证明/授权委托书/法定代表人身份证明,被上诉人身份证明/授权委托书/法定代表人身份证明目录无需归档处理的绿标营业执照复印件。</w:t>
            </w:r>
          </w:p>
        </w:tc>
      </w:tr>
      <w:tr w14:paraId="24C76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CA57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F1C3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474B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B0FF7F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绿标银行卡复印件无需归档模型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220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银行卡复印件等，通过调用技术底座的司法文书要素处理能力和OCR处理能力，对挂接材料关键内容要素进行标注训练，构建检验模型，以识别原告举证材料、被告举证材料、第三人举证材料、上诉人举证材料、被上诉人告举证材料目录无需归档处理的绿标银行卡复印件。</w:t>
            </w:r>
          </w:p>
        </w:tc>
      </w:tr>
      <w:tr w14:paraId="28077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FAAE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537C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7125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5E9268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绿标律师证文件无需归档模型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34CE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如律师证复印件等，通过调用技术底座的司法文书要素处理能力和OCR处理能力，对挂接材料关键内容要素进行标注训练，构建检验模型，以识别自诉人身份证明/授权委托书/法定代表人身份证明，被告人身份证明/授权委托书/法定代表人身份证明，身份证复印件/当事人身份证明/授权委托书/法定代表人身份证明，其他诉讼参与人的身份证明以及委托手续，原告身份证明/授权委托书/法定代表人身份证明，第三人身份证明/授权委托书/法定代表人身份证明，上诉人身份证明/授权委托书/法定代表人身份证明,被上诉人身份证明/授权委托书/法定代表人身份证明目录无需归档处理的绿标律师证复印件。</w:t>
            </w:r>
          </w:p>
        </w:tc>
      </w:tr>
      <w:tr w14:paraId="398A4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583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149</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72A8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1DE9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E9DDFF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空白送达回证无需归档模型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39CE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涉及送达回证的民商事案件电子卷宗挂接文件，包括签名、签章、代收人和代收理由等，通过调用技术底座的司法文书要素处理能力和OCR处理能力，对挂接材料关键内容要素进行标注训练，构建检验模型，依据签名、签章、代收人和代收理由均为空判定为空白送达回证。</w:t>
            </w:r>
          </w:p>
        </w:tc>
      </w:tr>
      <w:tr w14:paraId="025A9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E05A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150</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3438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DAD76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归目准确性校验</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3365E8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同一目录下相同类型材料顺序检测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D958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针对民商事案件、刑事案件、知识产权案件、行政案件电子卷宗，提供同一目录下相同类型材料形成的先后顺序排列检测</w:t>
            </w:r>
          </w:p>
        </w:tc>
      </w:tr>
      <w:tr w14:paraId="69BD4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101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151</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49B7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DC6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27974F5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卷宗分册检测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6D78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针对电子卷宗，提供一本卷超过200页后未分册检测</w:t>
            </w:r>
          </w:p>
        </w:tc>
      </w:tr>
      <w:tr w14:paraId="4B6FA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EB80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152</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F56E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6029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4050C5F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卷内目录一致性检测模型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C5EB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针对电子卷宗挂接文件的关键要素如文件页码、文件名称、标题等，调用技术底座的司法文书要素处理能力，对关键要素进行标注训练，构建检验模型，判断卷内目录与实际文件页码及名称一致性检测</w:t>
            </w:r>
          </w:p>
        </w:tc>
      </w:tr>
      <w:tr w14:paraId="664FB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DAFF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153</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443E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30BA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6B9A44B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关键材料检测模型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1ACF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针对电子卷宗挂接文件，包括卷宗封面、卷宗目录、卷底、备考表、证物袋等，通过调用技术底座的编目引擎和OCR处理能力，对挂接材料关键编目要素进行标注训练，构建检验模型，判断是否缺少必要材料</w:t>
            </w:r>
          </w:p>
        </w:tc>
      </w:tr>
      <w:tr w14:paraId="2819B2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7EB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154</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1D3E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AAB9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编目规范性检测</w:t>
            </w: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7DA996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未编目/错误编目检测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C878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针对电子卷宗，提供提供材料未编目检测.针对全案件电子卷宗，提供编目结果错误检测</w:t>
            </w:r>
          </w:p>
        </w:tc>
      </w:tr>
      <w:tr w14:paraId="1B9D3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404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155</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6E34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97D5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34321DF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缺少当事人要素检测模型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2F57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身份证、律师执业证、法定代表人身份证明、营业执照、传票、起诉状、答辩状等，通过调用技术底座的编目引擎和OCR处理能力，对挂接材料关键编目要素进行标注训练，构建检验模型，以检测编目结果是否缺少当事人要素。</w:t>
            </w:r>
          </w:p>
        </w:tc>
      </w:tr>
      <w:tr w14:paraId="06682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68D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156</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C331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D09C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114CE7B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缺少案号要素检测模型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9508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执行案件电子卷宗挂接文件，包括判决书、裁定书、调解书等，通过调用技术底座的编目引擎和OCR处理能力，对挂接材料关键编目要素进行标注训练，构建检验模型，以检测编目结果是否缺少案号要素。</w:t>
            </w:r>
          </w:p>
        </w:tc>
      </w:tr>
      <w:tr w14:paraId="1E199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3A61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157</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B96C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D9D4B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52479DC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当事人要素一致性检测模型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2502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电子卷宗挂接文件，包括身份证、律师执业证、法定代表人身份证明、营业执照、传票、起诉状、答辩状等，通过调用技术底座的编目引擎和OCR处理能力，对挂接材料关键编目要素进行标注训练，构建检验模型，以检测编目结果要素是否与当事人要素一致。</w:t>
            </w:r>
          </w:p>
        </w:tc>
      </w:tr>
      <w:tr w14:paraId="78943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vMerge w:val="restart"/>
            <w:tcBorders>
              <w:top w:val="single" w:color="000000" w:sz="4" w:space="0"/>
              <w:left w:val="single" w:color="000000" w:sz="4" w:space="0"/>
              <w:right w:val="single" w:color="000000" w:sz="4" w:space="0"/>
            </w:tcBorders>
            <w:shd w:val="clear" w:color="auto" w:fill="auto"/>
            <w:noWrap/>
            <w:vAlign w:val="center"/>
          </w:tcPr>
          <w:p w14:paraId="576248A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158</w:t>
            </w:r>
          </w:p>
        </w:tc>
        <w:tc>
          <w:tcPr>
            <w:tcW w:w="50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3D3B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4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201C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95" w:type="pct"/>
            <w:tcBorders>
              <w:top w:val="single" w:color="000000" w:sz="4" w:space="0"/>
              <w:left w:val="single" w:color="000000" w:sz="4" w:space="0"/>
              <w:bottom w:val="single" w:color="000000" w:sz="4" w:space="0"/>
              <w:right w:val="nil"/>
            </w:tcBorders>
            <w:shd w:val="clear" w:color="auto" w:fill="auto"/>
            <w:vAlign w:val="center"/>
          </w:tcPr>
          <w:p w14:paraId="73A8166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案号要素一致性检测模型</w:t>
            </w:r>
          </w:p>
        </w:tc>
        <w:tc>
          <w:tcPr>
            <w:tcW w:w="29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E024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针对民商事、执行案件电子卷宗挂接文件，包括判决书、裁定书、调解书等，通过调用技术底座的编目引擎和OCR处理能力，对挂接材料关键编目要素进行标注训练，构建检验模型，以检测编目结果是否和案号要素一致。</w:t>
            </w:r>
          </w:p>
        </w:tc>
      </w:tr>
      <w:tr w14:paraId="190FC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47" w:type="pct"/>
            <w:vMerge w:val="continue"/>
            <w:tcBorders>
              <w:left w:val="single" w:color="000000" w:sz="4" w:space="0"/>
              <w:bottom w:val="single" w:color="000000" w:sz="4" w:space="0"/>
              <w:right w:val="single" w:color="000000" w:sz="4" w:space="0"/>
            </w:tcBorders>
            <w:shd w:val="clear" w:color="auto" w:fill="auto"/>
            <w:noWrap/>
            <w:vAlign w:val="center"/>
          </w:tcPr>
          <w:p w14:paraId="2398AAA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kern w:val="0"/>
                <w:sz w:val="28"/>
                <w:szCs w:val="28"/>
                <w:highlight w:val="none"/>
                <w:u w:val="none"/>
                <w:lang w:val="en-US" w:eastAsia="zh-CN" w:bidi="ar"/>
              </w:rPr>
            </w:pPr>
          </w:p>
        </w:tc>
        <w:tc>
          <w:tcPr>
            <w:tcW w:w="455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51F5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kern w:val="0"/>
                <w:sz w:val="28"/>
                <w:szCs w:val="28"/>
                <w:highlight w:val="none"/>
                <w:u w:val="none"/>
                <w:lang w:val="en-US" w:eastAsia="zh-CN" w:bidi="ar"/>
              </w:rPr>
            </w:pPr>
            <w:r>
              <w:rPr>
                <w:rFonts w:hint="eastAsia" w:ascii="仿宋" w:hAnsi="仿宋" w:cs="仿宋"/>
                <w:color w:val="000000"/>
                <w:kern w:val="0"/>
                <w:sz w:val="28"/>
                <w:szCs w:val="28"/>
                <w:highlight w:val="none"/>
                <w:u w:val="none"/>
                <w:vertAlign w:val="baseline"/>
                <w:lang w:val="en-US" w:eastAsia="zh-CN" w:bidi="ar"/>
              </w:rPr>
              <w:t>需提供详实的</w:t>
            </w:r>
            <w:r>
              <w:rPr>
                <w:rFonts w:hint="eastAsia" w:ascii="仿宋" w:hAnsi="仿宋" w:eastAsia="仿宋" w:cs="仿宋"/>
                <w:i w:val="0"/>
                <w:iCs w:val="0"/>
                <w:color w:val="000000"/>
                <w:kern w:val="0"/>
                <w:sz w:val="28"/>
                <w:szCs w:val="28"/>
                <w:highlight w:val="none"/>
                <w:u w:val="none"/>
                <w:lang w:val="en-US" w:eastAsia="zh-CN" w:bidi="ar"/>
              </w:rPr>
              <w:t>卷宗质量校验模型中心调用能力业务流程</w:t>
            </w:r>
            <w:r>
              <w:rPr>
                <w:rFonts w:hint="eastAsia" w:ascii="仿宋" w:hAnsi="仿宋" w:cs="仿宋"/>
                <w:i w:val="0"/>
                <w:iCs w:val="0"/>
                <w:color w:val="000000"/>
                <w:kern w:val="0"/>
                <w:sz w:val="28"/>
                <w:szCs w:val="28"/>
                <w:highlight w:val="none"/>
                <w:u w:val="none"/>
                <w:lang w:val="en-US" w:eastAsia="zh-CN" w:bidi="ar"/>
              </w:rPr>
              <w:t>设计图，并对整体业务流进行说明。</w:t>
            </w:r>
          </w:p>
        </w:tc>
      </w:tr>
    </w:tbl>
    <w:p w14:paraId="44C285F5">
      <w:pPr>
        <w:numPr>
          <w:ilvl w:val="0"/>
          <w:numId w:val="0"/>
        </w:numPr>
        <w:tabs>
          <w:tab w:val="left" w:pos="7513"/>
        </w:tabs>
        <w:jc w:val="left"/>
        <w:outlineLvl w:val="0"/>
        <w:rPr>
          <w:rFonts w:hint="eastAsia" w:ascii="仿宋" w:hAnsi="仿宋" w:eastAsia="仿宋" w:cs="仿宋"/>
          <w:b/>
          <w:bCs/>
          <w:szCs w:val="32"/>
          <w:highlight w:val="none"/>
          <w:lang w:val="en-US" w:eastAsia="zh-CN"/>
        </w:rPr>
      </w:pPr>
    </w:p>
    <w:p w14:paraId="7420BB7D">
      <w:pPr>
        <w:numPr>
          <w:ilvl w:val="0"/>
          <w:numId w:val="1"/>
        </w:numPr>
        <w:tabs>
          <w:tab w:val="left" w:pos="7513"/>
        </w:tabs>
        <w:ind w:firstLine="643" w:firstLineChars="200"/>
        <w:jc w:val="left"/>
        <w:outlineLvl w:val="0"/>
        <w:rPr>
          <w:rFonts w:hint="eastAsia" w:ascii="仿宋" w:hAnsi="仿宋" w:eastAsia="仿宋" w:cs="仿宋"/>
          <w:b/>
          <w:bCs/>
          <w:szCs w:val="32"/>
          <w:highlight w:val="none"/>
          <w:lang w:val="en-US" w:eastAsia="zh-CN"/>
        </w:rPr>
      </w:pPr>
      <w:r>
        <w:rPr>
          <w:rFonts w:hint="eastAsia" w:ascii="仿宋" w:hAnsi="仿宋" w:cs="仿宋"/>
          <w:b/>
          <w:bCs/>
          <w:szCs w:val="32"/>
          <w:highlight w:val="none"/>
          <w:lang w:eastAsia="zh-CN"/>
        </w:rPr>
        <w:t>质量校验任务管理</w:t>
      </w:r>
    </w:p>
    <w:tbl>
      <w:tblPr>
        <w:tblStyle w:val="9"/>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8"/>
        <w:gridCol w:w="1050"/>
        <w:gridCol w:w="871"/>
        <w:gridCol w:w="1043"/>
        <w:gridCol w:w="5057"/>
      </w:tblGrid>
      <w:tr w14:paraId="4AE85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4DEC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7B6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模块名称</w:t>
            </w:r>
          </w:p>
        </w:tc>
        <w:tc>
          <w:tcPr>
            <w:tcW w:w="11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27FA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功能名称</w:t>
            </w:r>
          </w:p>
        </w:tc>
        <w:tc>
          <w:tcPr>
            <w:tcW w:w="29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CE3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功能建设要求</w:t>
            </w:r>
          </w:p>
        </w:tc>
      </w:tr>
      <w:tr w14:paraId="5F641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D7393D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6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2F66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验卷流程管理</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0DFA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流程配置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DA63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新增流程信息</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ADE5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流程基本信息配置功能，主要包括流程编号、流程名称、流程类别、流程描述、流程编排、版本号、创建人、使用部门、备注等信息，实现流程基本信息新增；例如：通过新增流程信息功能，可以完成院印/公章缺失检测流程基本信息配置，并对该流程名称、流程类别、流程描述等信息项进行定义，实现验卷流程院印/公章缺失检测流程的动态化定义；同时提供流程编排功能，通过该功能完成院印/公章缺失检测下不同质量校验模型的逻辑运算，并支持定义校验模型执行顺序，满足立案审查阶段对应卷宗材料院印/公章缺失检测要求</w:t>
            </w:r>
          </w:p>
        </w:tc>
      </w:tr>
      <w:tr w14:paraId="5329F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8DAF7F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9D5F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1EBE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6393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编辑流程信息</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CDC5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流程基本信息编辑功能，支持流程名称修改、流程类别选择、版本号、流程描述和备注等信息项修改；例如卷宗质量管理应用场景中补充提交材料审查、庭审材料审查等应用需求变化时，通过该功能可以完成卷宗挂接文件检测卷内模板条目检测流程基本信息项的修改，以更好的满足档案人员卷宗管理诉求</w:t>
            </w:r>
          </w:p>
        </w:tc>
      </w:tr>
      <w:tr w14:paraId="30EE2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2CECC7B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C290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EF58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F126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校验流程信息</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1A72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流程基本信息校验：支持对流程编号、流程名称、版本号数据规范校验；新增、编辑流程信息项，对版本号进行纯数字版本规范要求进行校验，对流程名称中文字符、长度小于10个字符验证</w:t>
            </w:r>
          </w:p>
        </w:tc>
      </w:tr>
      <w:tr w14:paraId="04FBD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0DA4064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83AC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DD28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553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删除流程信息</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A8AD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删除流程信息：通过选择对应流程信息，根据流程编号执行流程信息删除，例如删除院印/签章缺失检测、卷宗挂接文件检测卷宗模板条目等流程，支持流程逻辑删除，可实现流程信息版本控制、管理</w:t>
            </w:r>
          </w:p>
        </w:tc>
      </w:tr>
      <w:tr w14:paraId="22AE1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701482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B497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EA52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D807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流程编号生成</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4A3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编号生成：依据流程类别，根据新增流程信息创建时间，按照流程类别+时间+序号的方式自动流程编号；流程类别默认包括卷宗完整性检测、卷宗可用性检测、卷宗安全合规性检测、卷宗编目归目检测、卷宗及时性流程配置；例如在2023年10月18日第一次新增验卷流程卷宗完整性检测的基本信息时，流程编号将按照规范要求自动生成，生成如下JZWZX20231018001,JZWZX表示针对卷宗完整性作验卷审查的流程</w:t>
            </w:r>
          </w:p>
        </w:tc>
      </w:tr>
      <w:tr w14:paraId="3E15A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74821A0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F2B5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2DDA3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流程编排</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DE37A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卷宗完整性流程编排</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C6D2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提供统一卷宗完整性流程配置中心</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1、用户选择完整性检测的案件类型、审判环节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具体配置完整检测步骤及检测逻辑关系，支持下拉多选选择数据总量检测，下拉多选过程信息完整性检测、下拉多选关键材料缺失、下拉多选关键材料关联性检测等完整性检测校验，同时支持不同校验模型执行顺序配置，不同校验模型间逻辑运算，实现对卷宗完整性检测的流程编排</w:t>
            </w:r>
          </w:p>
        </w:tc>
      </w:tr>
      <w:tr w14:paraId="6DD4E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666C213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E657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AAC23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E853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卷宗可用性流程编排</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C2C1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提供统一卷宗可用性流程配置中心</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1、用户选择可用性检测的审判环节</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具体配置可用性检测步骤及检测逻辑关系，支持下拉多选内容可读性检测、下拉多选重复材料识别、下拉多选音视频可用性检测及下拉多选图像可用性检测，同时支持不同校验模型执行顺序配置，不同校验模型逻辑运算，实现对卷宗可用性检测的流程编排</w:t>
            </w:r>
          </w:p>
        </w:tc>
      </w:tr>
      <w:tr w14:paraId="0236E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F3120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9676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6A01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C2015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卷宗安全合规性流程编排</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CD3E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提供统一卷宗安全合规性流程配置中心</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1、用户选择安全合规性检测的案由、卷宗目录</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具体配置安全合规性检测步骤及检测逻辑关系，支持树形下拉多选签章检测、树形下拉多选签名缺失检测、树形下拉多选数量内容一致性检测、树形下拉多选疑似涉密筛查检测、树形下拉多选日期逻辑错误检测，通过卷宗安全合规性下的不同校验模型组合、逻辑运算，实现卷宗安全合规性检测流程编排</w:t>
            </w:r>
          </w:p>
        </w:tc>
      </w:tr>
      <w:tr w14:paraId="3DCE1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18FB51C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8EF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C912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8D19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编目归目检测流程编排</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A4BE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提供统一卷宗编目归目检测流程配置中心</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1、首先具体选择刑事案件、民商事案件及行政案件，选择案件卷宗目录</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具体配置卷宗编目归目检测步骤及检测逻辑关系，支持下拉多选卷宗挂接文件检测、下拉多选按案模板条目检测、树形下拉多选绿标空白无需归档材料检测，通过编目归目检测下的不同校验模型组合、逻辑运算，实现卷宗编目归目检测流程编排</w:t>
            </w:r>
          </w:p>
        </w:tc>
      </w:tr>
      <w:tr w14:paraId="66A85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6062B0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D542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CCAF1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835E7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卷宗巡查/评查流程编排</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1383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提供统一的卷宗巡查/评查流程配置中心，为档案管理员提供自配置、可视化的档案巡查、评查配置，快速完成检测点配置</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1、支持下拉单选卷宗预归档巡查、归档评查，满足办案人员选择对不同归档阶段卷宗巡查评查流程编排</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档案管理员按照完整性检测、卷宗安全合规性、卷宗可用性、卷宗及时性等校验模型作执行流程编排，并配置巡查/评查规则，同时巡查/评查完成后，给出评查结果分数；评分规则：满分100分，其中卷宗完整性30分，卷宗安全合规性30分，卷宗可用性40分，按照没出现一个质量问题扣1分计算，当分数低于100分时，办案人员需对卷宗进行整改，提高卷宗质量</w:t>
            </w:r>
          </w:p>
        </w:tc>
      </w:tr>
      <w:tr w14:paraId="5CF5A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5D025E2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62C9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4B03D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检测阈值预警</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3AAE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阈值设置</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8593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把校验模型分成重要、一般两种，重要是指校验卷宗材料内容直接影响法官绩效，乃至案件审理的校验模型，一般是指法官可对该部分内容作忽略处理的；系统支持对流程进行阈值设置，对于重要校验模型，卷宗质量问题数可设置3、5、10三个阈值范围，对于一般校验模型，卷宗质量问题数可设置10、15、25三个阈值范围，进一步对卷宗校验做定量预警，及时通知办案人员或档案管理员对卷宗质量进行整改，完善管理制度</w:t>
            </w:r>
          </w:p>
        </w:tc>
      </w:tr>
      <w:tr w14:paraId="700C6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66A565E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870D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01940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2D9C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动态阈值</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2E06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在用户设置完成初始阈值后，根据卷宗验卷指标的实际运行情况进行智能地检测并发送告警。支持根据质量问题数和办案人员反馈情况作分析，动态调整质量问题阈值预警调整，例如验卷执行卷宗数据格式检测，输出非常多的问题，当办案人员对60%的问题进行忽略处理时，系统会自动调整该检测点阈值，不再针对该问题作预警</w:t>
            </w:r>
          </w:p>
        </w:tc>
      </w:tr>
      <w:tr w14:paraId="6B5A4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5EAD3DE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8EA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F6DC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73355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预警同步</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E13D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开发统一阈值预警反馈接口，一是对于卷宗质量问题超过阈值的流程，以以重要、一般两类校验模型按照分级、分频率反馈到数字助手中心，进而反馈到办案人员和档案管理员；二是对于一般校验模型预警，当承办人对于反馈的卷宗质量问题时作忽略操作时，阈值预警在对同一承办人、同一案件的卷宗质量问题超阈值时，不再通知案件承办人</w:t>
            </w:r>
          </w:p>
        </w:tc>
      </w:tr>
      <w:tr w14:paraId="3E10E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79DEF4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6D30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294B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流程列表</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31364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CCC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按照表格形式展示流程列表，列表信息：流程编号、流程名称、流程类别、流程描述、流程编排、版本号、自定义字段，流程列表支持分屏、分页展示；支持列表根据不同流程类别自配置展示，支持2个固定字段（创建人和创建时间）和3个自配置字段展示</w:t>
            </w:r>
          </w:p>
        </w:tc>
      </w:tr>
      <w:tr w14:paraId="08C91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1DC3FCF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5F45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9D66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2A6E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D01B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1、支持流程类别选择：下拉多选，默认展示所有类型并选中，可以对选中流程类别进行编辑变更，剔除不需要筛选的类型；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2、支持排序选择：下拉单选，创建时间近到远、创建时间远到近，默认为按照创建时间近到远；</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3、支持名称检索：默认展示所有流程信息，可以通过输入流程名称信息模糊搜索相应的所有流程信息，并支持选中对应流程记录，对流程进行编辑修改；</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4、支持流程状态选择：下拉多选，默认展示所有状态并选中，可以对选中流程进行流程发布</w:t>
            </w:r>
          </w:p>
        </w:tc>
      </w:tr>
      <w:tr w14:paraId="0C5C0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9BD042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7CBA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A7098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流程版本管理</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91E1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版本生成</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3F0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支持流程编辑、删除时提供流程版本自动生成功能</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1、流程编辑时，新的流程版本号大于原有版本时，系统自动生成历史流程版本信息</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2、当流程删除时，系统自动生成历史流程版本信息，并逻辑删除当前流程信息</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例如电子/手写签名缺失检验流程因场景应用业务需求变更时，需要对该流程中的校验模型作变更配置，修改校验模型间逻辑预算和执行顺序，系统实现原有电子/手写签名缺失检验流程自动生成历史版本，进而产生电子/手写签名缺失检验流程多版本生成和管理</w:t>
            </w:r>
          </w:p>
        </w:tc>
      </w:tr>
      <w:tr w14:paraId="471FA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07B4125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B180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2222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670F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AB52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树的形式展示流程版本列表，表格树以流程编号、流程名称为根行信息，根行下面以表格形式展现所有版本信息，展示信息流程编号、流程名称、流程类别、版本号、使用部门、流程状态（未使用、使用中）等信息，实现流程版本的全局查看</w:t>
            </w:r>
          </w:p>
        </w:tc>
      </w:tr>
      <w:tr w14:paraId="0E003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5C77570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18</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0D69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296C8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1AA3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03ED1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排序选择：支持单个流程内流程版本按照版本号升序、降序排列，默认为按照版本号降序展示。支持流程状态筛选：下拉多选，默认展示所有流程版本信息，可以选中流程状态进行流程过滤展示，并支持选中对应的流程版本记录，进行删除操作。支持排序选择：下拉选择时间，创建时间近到远、创建时间远到近，默认为按照创建时间近到远，并支持选中对应流程记录，对流程进行归档或删除操作</w:t>
            </w:r>
          </w:p>
        </w:tc>
      </w:tr>
      <w:tr w14:paraId="1CA18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2DF13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19</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50A0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F489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25F5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归档与删除</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96E6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对某流程信息的所有版本进行流程状态校验，对所有流程均未在使用中的流程，提供流程归档与删除操作功能，例如随着法院办案业务优化调整，不需要再对卷宗材料做重复材料检测时，系统提供对卷宗校验流程的归档和删除功能</w:t>
            </w:r>
          </w:p>
        </w:tc>
      </w:tr>
      <w:tr w14:paraId="39040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731849A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20</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E7C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40A7B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流程监控</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8E5D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7D5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示执行中的流程，卡片展示信息：流程编号、流程名称、流程类别、版本号、执行状态、执行时间、自配置字段，流程列表支持分屏、分页展示。支持列表根据不同流程自配置展示，支持2个固定字段【执行时间和执行状态（执行中、未执行）】和3个自配置字段（最近执行耗时、平均执行耗时、执行异常数）展示。例如展示院印/公章缺省检验流程、音视频可用性校验流程、电子/手写签名缺失检验等校验执行监控</w:t>
            </w:r>
          </w:p>
        </w:tc>
      </w:tr>
      <w:tr w14:paraId="77BB1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1626D3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21</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8681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8923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9D5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4F39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执行状态选择：下拉多选，默认展示所有使用中流程并选中，通过选择执行状态（执行中、未执行）进行过滤操作，并可以对选中流程进行查看操作。支持排序：下拉单选，执行时间近到远、创建时间远到近，默认为按照执行时间近到远。支持排序：支持最近执行耗时、平均执行耗时、执行异常数排序，可以进行单条件升降序排列，同时支持组合条件进行排序操作</w:t>
            </w:r>
          </w:p>
        </w:tc>
      </w:tr>
      <w:tr w14:paraId="056D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61030E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22</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27B2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B320D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日志管理</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9715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8034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按照表格形式展示日志记录信息，卡片展示信息：日志编号、记录时间、流程编码、流程名称、日志级别（DEBUG、INFO、WARNING、ERROR）、日志描述等信息，支持分屏、分页展示</w:t>
            </w:r>
          </w:p>
        </w:tc>
      </w:tr>
      <w:tr w14:paraId="4C63C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5D126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23</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289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11825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E6E8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60EE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支持日志级别、流程编码筛选：下拉多选，默认展示所有日志信息，可以通过选日志级别、流程进行对应流程、日志级别的信息展示，并支持选中对应日志信息进行日志详细信息查看</w:t>
            </w:r>
          </w:p>
        </w:tc>
      </w:tr>
      <w:tr w14:paraId="027E5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E2FDF1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24</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B46C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D0FE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A839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日志查看</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F5ED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日志列表选中对应日志记录，查看对应日志内容，主要包括日志编号、记录时间、流程编码、流程名称、日志级别、日志描述、流程执行步骤等信息</w:t>
            </w:r>
          </w:p>
        </w:tc>
      </w:tr>
      <w:tr w14:paraId="1AFCE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270ED5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25</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8F3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95A0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3930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异常链追溯</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DEC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流程执行异常链追溯，系统自动对关联流程的日志进行聚类、归纳、执行时间进行综合分析，以流程化、树形方式展示所有相关流程记录，便于使用人员快速定位分析问题；例如卷宗原材料可读性检测流程执行过程中出现问题，可通过异常链快速查看该流程执行步骤、执行耗时、执行异常点，并全面展现异常信息，协助管理员快速分析定位异常问题</w:t>
            </w:r>
          </w:p>
        </w:tc>
      </w:tr>
      <w:tr w14:paraId="155FF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7341CFF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26</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D55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562C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流程类别管理</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DA3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流程类别生成中心</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EC96A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的流程类别生成中心，主要包括类别编码、类别名称、描述、备注等信息，并对类别编号做字母、数字正则校验，实现流程列表的动态化、规范化生成管理；默认立案审查、审理材料同步生成、电子卷宗预归档整理、电子卷宗预归档审核、卷宗深度利用，同时用户可根据业务需要自配置相关流程类别。</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类别编辑：提供统一流程类别编辑中心，主要包括类别编码、类别名称、描述、备注等信息编辑更正，提供流程类别是否被使用校验，如果流程类别已经被某条流程使用，流程编号将不能修改。</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类别删除：通过流程类别数据筛选功能，检索出要删除流程类别信息，支持对流程类别进行校验、删除操作，并对流程类别是否被某流程使用进行校验操作，未被使用的流程才能被删除</w:t>
            </w:r>
          </w:p>
        </w:tc>
      </w:tr>
      <w:tr w14:paraId="5C275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0F01C54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27</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ACB5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CE16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05DB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列表数据管理</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0ED2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按照表格的形式展示流程类别列表，列表展示信息包括：类别编号、类别名称、描述字段，流程类别列表支持分屏、分页展示。</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支持编号、名称检索：默认展示所有类别信息，可以通过输入流程类别信息模糊搜索相应的所有流程类别信息，并支持选中对应流程类别记录，对类别进行编辑修改。</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支持排序选择：下拉单选，创建时间近到远、创建时间远到近，默认为按照创建时间近到远</w:t>
            </w:r>
          </w:p>
        </w:tc>
      </w:tr>
      <w:tr w14:paraId="68759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739914D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28</w:t>
            </w:r>
          </w:p>
        </w:tc>
        <w:tc>
          <w:tcPr>
            <w:tcW w:w="6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8B97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卷宗调度管理</w:t>
            </w: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BD17E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卷宗调度配置</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0F9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卷宗调度信息生成</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A253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新增卷宗调度信息表单主要信息调度名称、调度类型、调度时间、调度执行频率等信息，使用人员输入对应信息，提交验证，如果验证通过，新的调度基本信息将被添加到系统中，并显示在调度列表中供用户查看和使用；支持对卷宗完整性检测、卷宗巡查/评查、卷宗安全合规性等流程进行调度执行和调度编排；例如当事人递交材料审查调度生成，系统提供基本的信息项新增，实现当事人递交材料审查调度基本信息的动态化定义；同时提供调度编排功能，通过该功能完成当事人递交材料审查时对卷宗完整性、卷宗安全合规性、卷宗可用性等校验流程执行顺序配置，满足当事人递交材料审查的卷宗质量校验需求</w:t>
            </w:r>
          </w:p>
        </w:tc>
      </w:tr>
      <w:tr w14:paraId="2A52E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F0071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29</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6788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149E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CE1A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编辑卷宗调度</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A4F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选择已经存在的调度基本信息，编辑主要信息：调度名称、调度类型、调度时间、调度描述等信息，并在编辑后进行保存操作，系统将自动更新数据库中的相应记录，并更新调度列表，以确保数据的一致性和准确性。</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通过选择已经存在的调度基本信息，根据调度编号删除调度信息，同时对调度信息进行校验，对于执行中的调度不能执行删除</w:t>
            </w:r>
          </w:p>
        </w:tc>
      </w:tr>
      <w:tr w14:paraId="11981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4B4E0A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30</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3E5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A5EF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964D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卷宗调度任务编排</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DB8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通过选择已经选择已经生成卷宗调度基本信息记录，对该调度进行调度任务编排</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1、下拉单选调度对象，默认调度对象为空，通过卷宗完整性检测、卷宗可用性检测、卷宗安全合规性检测、卷宗编目归目检测、卷宗及时性检测等信息，展示该调用对象下的所有卷宗校验流程信息或校验模型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2、下拉多选，下拉树形多选卷宗校验流程信息</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3、重复第一、二部操作，选择可满足当事人递交材料、评议材料审查等应用场景卷宗质量校验所涉及的所有验卷流程信息</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4、对已选择的卷宗校验流程做逻辑运算配置、执行步骤配置，从而实现当事人提交材料、评议审查材料等应用场景的卷宗校验诉求，同时支持配置卷宗调度执行时间和频率</w:t>
            </w:r>
          </w:p>
        </w:tc>
      </w:tr>
      <w:tr w14:paraId="4580C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71F54A8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31</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F85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BB80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0B5C8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校验卷宗调度信息</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AE5B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支持调度基本信息校验</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1、保存调度信息时，系统自动检测待保存调度中调度对象是否已经被使用、调度执行时间等，如果调度对象已经被调度，系统自动提示该信息在同样时间已经被调度，建议不要重复调度</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2、对调度名称、调度类型做数据规范性校验</w:t>
            </w:r>
          </w:p>
        </w:tc>
      </w:tr>
      <w:tr w14:paraId="1D262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72F204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32</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36F2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799E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04EE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120E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按照表格形式展示流程列表，卡片展示信息：调度名称、调度类型、调度时间等信息，调度列表支持分屏、分页展示</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支持列表根据不同调度列表自配置展示，支持2个固定字段（创建人和创建时间）和3个自配置字段展示，并支持分屏、分页展示</w:t>
            </w:r>
          </w:p>
        </w:tc>
      </w:tr>
      <w:tr w14:paraId="4DFC5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1E5005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33</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E14B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4440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18C9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4E77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1、支持调度类型选择：下拉多选，默认展示所有类型并选中，可以对选中调度类型进行编辑变更，剔除不需要筛选的类型</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2、支持排序选择：下拉单选，创建时间近到远、创建时间远到近，默认为按照创建时间近到远</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3、支持排序选择：下拉单选，调度时间近到远、调度时间远到近，默认为按照调度时间近到远</w:t>
            </w:r>
          </w:p>
        </w:tc>
      </w:tr>
      <w:tr w14:paraId="3FEAC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9227C7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34</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B4F2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67BEC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卷宗调度执行</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696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任务发布</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8E4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通过调度列表展示页，选择对应的调度对其进行发布、执行、停止，例如对当事人递交材料审查调度任务发布、执行，同时支持对调度任务停止执行操作</w:t>
            </w:r>
          </w:p>
        </w:tc>
      </w:tr>
      <w:tr w14:paraId="29180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3C6421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35</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6C0F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DB96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1DA9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结果反馈</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4FB8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通过配置统一的调度执行结果反馈接口，将验调度执行结果数据同步到数字助理，将流程调度、校验规则调度执行结果反馈给档案管理员，当出现调度执行问题时，档案管理员能够及时排查、解决</w:t>
            </w:r>
          </w:p>
        </w:tc>
      </w:tr>
      <w:tr w14:paraId="0FFA4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7C9EE8F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36</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55C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2739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卷宗调度监控</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BCEE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1999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按照卡片形式展示执行中的流程，卡片展示信息：调度名称、调度类型、调度时间、调度对象信息，调度监控列表支持分屏、分页展示</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支持调度列表根据不同流程自配置展示，支持2个固定字段【调度执行时间和执行状态（执行中、未执行）】和3个自配置字段（最近调度执行耗时、平均执行耗时、执行异常数）展示；例如展示递交材料审查、补充提交材料审查、评议材料审查等调度执行监控</w:t>
            </w:r>
          </w:p>
        </w:tc>
      </w:tr>
      <w:tr w14:paraId="27BA6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690ED5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37</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BB68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5B8E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163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A6F5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1、支持执行状态选择：下拉多选，默认展示所有调度任务，通过选择执行状态（执行中、未执行）进行过滤操作，并可以对选中流程进行查看操作</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2、支持排序：下拉单选，调度执行时间近到远、创建时间远到近，默认为按照执行时间近到远</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3、支持排序：支持最近执行耗时、平均执行耗时、执行异常数排序，可以进行单条件升降序排列，同时支持组合条件进行排序操作</w:t>
            </w:r>
          </w:p>
        </w:tc>
      </w:tr>
      <w:tr w14:paraId="22869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CBE53E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38</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9B22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4C51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0652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异常告警</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84FB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配置统一调度异常反馈接口，支持异常告警数据同步到数据助理，提醒档案管理人员及时处理调度异常，保证卷宗质量监督工作的自动化运行；</w:t>
            </w:r>
          </w:p>
        </w:tc>
      </w:tr>
      <w:tr w14:paraId="5410F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673437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39</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0726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687D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卷宗调度日志</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36CA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E338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按照表格形式展示日志记录信息，卡片展示信息：日志编号、记录时间、调度名称、调度对象、日志级别（DEBUG、INFO、WARNING、ERROR）、日志描述等信息，支持分屏、分页展示</w:t>
            </w:r>
          </w:p>
        </w:tc>
      </w:tr>
      <w:tr w14:paraId="18EAE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3B7993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40</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F0BA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D910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F783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列表数据筛选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50B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支持日志级别、调度对象筛选：下拉多选，默认展示所有日志信息，可以通过选日志级别、调度进行对应调度、日志级别的信息展示，并支持选中对应日志信息进行日志详细信息查看</w:t>
            </w:r>
          </w:p>
        </w:tc>
      </w:tr>
      <w:tr w14:paraId="17551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48F0914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41</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5526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6BC3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822F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日志查看</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005F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日志列表选中对应日志记录，查看对应日志内容，主要包括日志编号、记录时间、调度名称、调度时间、调度对象、日志级别、日志描述、调度执行步骤等信息</w:t>
            </w:r>
          </w:p>
        </w:tc>
      </w:tr>
      <w:tr w14:paraId="73505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26E1FF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42</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A638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87DD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0C7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异常链追溯</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6597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流程执行异常链追溯，系统自动对关联流程的日志进行聚类、归纳、执行时间进行综合分析，以流程化、树形方式展示所有相关调度执行记录，便于使用人员快速定位分析问题；例如调度卷宗巡查流程时，当调度执行过程中出现问题时，可通过日志异常链追溯，快速定位、分析问题原因，并高效解决问题</w:t>
            </w:r>
          </w:p>
        </w:tc>
      </w:tr>
      <w:tr w14:paraId="424AA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2A5DABD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43</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E5CB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575EA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调度类型管理</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256B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调度类型任务管理</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D8F3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新增调度类型信息，主要包括类型编号、类型名称、描述、备注等信息，并对类型编号做字母、数字正则校验，实现调度类型数据的动态化、规范化生成管理；默认包括立案审查、审理材料同步生成、电子卷宗预归档整理、电子卷宗预归档审核、卷宗深度利用，同时支持档案管理员自配置新的调度类型</w:t>
            </w:r>
          </w:p>
        </w:tc>
      </w:tr>
      <w:tr w14:paraId="53A93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07606D2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44</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B19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9A97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18E3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编辑调度类型</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3952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提供统一调度类型编辑中心，主要包括类型名称、流程名称、描述、备注等信息编辑更正，提供流程类别是否被使用校验，如果流程类别已经被某条流程使用，流程编号将不能修改。通过调度类型数据筛选功能，检索出要删除调度类型信息，支持对调度类型进行校验、删除操作，并对调度类型是否被某调度使用进行校验操作，未被使用的调度类型才能被删除</w:t>
            </w:r>
          </w:p>
        </w:tc>
      </w:tr>
      <w:tr w14:paraId="2CD5C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2059992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45</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ADBF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B4616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8471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卷宗调度类型列表展示</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8DBC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按照表格的形式展示调度类型列表，列表展示信息包括：类型编号、类型名称、描述字段，调度类型列表支持分屏、分页展示</w:t>
            </w:r>
          </w:p>
        </w:tc>
      </w:tr>
      <w:tr w14:paraId="62282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92" w:type="pct"/>
            <w:tcBorders>
              <w:top w:val="single" w:color="000000" w:sz="4" w:space="0"/>
              <w:left w:val="single" w:color="000000" w:sz="4" w:space="0"/>
              <w:bottom w:val="nil"/>
              <w:right w:val="single" w:color="000000" w:sz="4" w:space="0"/>
            </w:tcBorders>
            <w:shd w:val="clear" w:color="auto" w:fill="auto"/>
            <w:noWrap/>
            <w:vAlign w:val="center"/>
          </w:tcPr>
          <w:p w14:paraId="1ABB6CA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46</w:t>
            </w: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4A57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C7A2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BB5A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2B4E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支持编号、名称检索：默认展示所有类别信息，可以通过输入调度类型名称信息模糊搜索相应的所有流程信息，并支持选中对应调度类型记录，对其进行编辑修改.</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支持排序选择：下拉单选，创建时间近到远、创建时间远到近，默认为按照创建时间近到远</w:t>
            </w:r>
          </w:p>
        </w:tc>
      </w:tr>
    </w:tbl>
    <w:p w14:paraId="390A2B66">
      <w:pPr>
        <w:numPr>
          <w:ilvl w:val="0"/>
          <w:numId w:val="0"/>
        </w:numPr>
        <w:tabs>
          <w:tab w:val="left" w:pos="7513"/>
        </w:tabs>
        <w:jc w:val="left"/>
        <w:outlineLvl w:val="0"/>
        <w:rPr>
          <w:rFonts w:hint="eastAsia" w:ascii="仿宋" w:hAnsi="仿宋" w:eastAsia="仿宋" w:cs="仿宋"/>
          <w:b/>
          <w:bCs/>
          <w:szCs w:val="32"/>
          <w:highlight w:val="none"/>
          <w:lang w:val="en-US" w:eastAsia="zh-CN"/>
        </w:rPr>
      </w:pPr>
    </w:p>
    <w:p w14:paraId="0F65BB95">
      <w:pPr>
        <w:numPr>
          <w:ilvl w:val="0"/>
          <w:numId w:val="1"/>
        </w:numPr>
        <w:tabs>
          <w:tab w:val="left" w:pos="7513"/>
        </w:tabs>
        <w:ind w:firstLine="643" w:firstLineChars="200"/>
        <w:jc w:val="left"/>
        <w:outlineLvl w:val="0"/>
        <w:rPr>
          <w:rFonts w:hint="eastAsia" w:ascii="仿宋" w:hAnsi="仿宋" w:eastAsia="仿宋" w:cs="仿宋"/>
          <w:b/>
          <w:bCs/>
          <w:szCs w:val="32"/>
          <w:highlight w:val="none"/>
          <w:lang w:val="en-US" w:eastAsia="zh-CN"/>
        </w:rPr>
      </w:pPr>
      <w:r>
        <w:rPr>
          <w:rFonts w:hint="eastAsia" w:ascii="仿宋" w:hAnsi="仿宋" w:cs="仿宋"/>
          <w:b/>
          <w:bCs/>
          <w:szCs w:val="32"/>
          <w:highlight w:val="none"/>
          <w:lang w:eastAsia="zh-CN"/>
        </w:rPr>
        <w:t>卷宗质量管理态势中心</w:t>
      </w:r>
    </w:p>
    <w:tbl>
      <w:tblPr>
        <w:tblStyle w:val="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1"/>
        <w:gridCol w:w="870"/>
        <w:gridCol w:w="858"/>
        <w:gridCol w:w="1086"/>
        <w:gridCol w:w="5017"/>
      </w:tblGrid>
      <w:tr w14:paraId="10F71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29E2F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5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2C99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模块名称</w:t>
            </w:r>
          </w:p>
        </w:tc>
        <w:tc>
          <w:tcPr>
            <w:tcW w:w="11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A33AD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功能名称</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E9E0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功能建设要求</w:t>
            </w:r>
          </w:p>
        </w:tc>
      </w:tr>
      <w:tr w14:paraId="0B69B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2A7A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3F8A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卷宗数字化成果展示</w:t>
            </w:r>
          </w:p>
        </w:tc>
        <w:tc>
          <w:tcPr>
            <w:tcW w:w="503" w:type="pct"/>
            <w:vMerge w:val="restart"/>
            <w:tcBorders>
              <w:top w:val="single" w:color="000000" w:sz="4" w:space="0"/>
              <w:left w:val="nil"/>
              <w:bottom w:val="single" w:color="000000" w:sz="4" w:space="0"/>
              <w:right w:val="single" w:color="000000" w:sz="4" w:space="0"/>
            </w:tcBorders>
            <w:shd w:val="clear" w:color="auto" w:fill="auto"/>
            <w:vAlign w:val="center"/>
          </w:tcPr>
          <w:p w14:paraId="67EB79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全市卷宗数字化成果总览</w:t>
            </w: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9F8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ACBA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卷宗数字化成果总览默认展示当天卷宗电子归档案件数，支持日、月、年三种时间切换展示电子归档案件数，通过切换日、月、年三个卡片，对应分析数据同步刷新展示</w:t>
            </w:r>
          </w:p>
        </w:tc>
      </w:tr>
      <w:tr w14:paraId="46C95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F653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027C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4BA189D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2A6B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65CD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通过读取档案系统数据信息，获取已经完成归档的案件数、卷宗材料份数、卷宗页数、音视频数总数</w:t>
            </w:r>
          </w:p>
        </w:tc>
      </w:tr>
      <w:tr w14:paraId="02545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464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B685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4A1FE93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C41A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案件类型总览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08C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按照表格形式展现刑事案件、民事案件、商事案件、行政案件等不同案件电子归档数</w:t>
            </w:r>
          </w:p>
        </w:tc>
      </w:tr>
      <w:tr w14:paraId="65426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4C16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7336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49A4049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BCFB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法院总览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F612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按照卡片方式展现各法院卷宗电子归档情况，卡片信息：法院归档案件总数、卷宗材料份数、卷宗页数、音视频数</w:t>
            </w:r>
          </w:p>
        </w:tc>
      </w:tr>
      <w:tr w14:paraId="00A53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3135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2B61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10CF76A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3B5E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TOP10</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CF69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按照卡片方式展示当前时间范围内电子归档数最多的10个案由信息，卡片信息：案由、电子归档案件数、电子归档占比</w:t>
            </w:r>
          </w:p>
        </w:tc>
      </w:tr>
      <w:tr w14:paraId="02FE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006C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6</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83A9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3385922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758A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滚动展示</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C71A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按照表格形式展现当日最新归档的案件信息，表格信息：案件名称、案号、卷宗页数、音视频数，支持分屏、分页呈现，默认滚动展示</w:t>
            </w:r>
          </w:p>
        </w:tc>
      </w:tr>
      <w:tr w14:paraId="61713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C6F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7</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61DE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1DFA852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145C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深度利用</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FF2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按照表格形式展现当前时间范围内案件档案借阅数、归还数、电子借阅占比</w:t>
            </w:r>
          </w:p>
        </w:tc>
      </w:tr>
      <w:tr w14:paraId="2B2F0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7DE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8</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9E65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2ADFEA5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43E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趋势分析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8C2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月展示卷宗数字化成果总览时，向用户提供直观的电子化归档情况，如果电子化归档案件、卷宗页数上升趋势明显，需时刻关注算力资源运行情况；同时向院领导呈现全院电子归档情况，为客户调整人员结构提供决策支撑</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1、支持通过曲线图分析当月按日归档案件数趋势分析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2、支持通过曲线图展现当月按日归档卷宗页数趋势分析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3、支持通过曲线图展现当月按日归档卷宗页数趋势分析</w:t>
            </w:r>
          </w:p>
        </w:tc>
      </w:tr>
      <w:tr w14:paraId="26FB9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327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9</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E9CC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63B9AC5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B102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占比分析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8800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当按年展示数字化成果总览时</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 xml:space="preserve">1、支持通过饼状图呈现当年案件电子归档占比分析 </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2、支持通过饼图呈现当年卷宗页数、音视频数电子归档占比分析</w:t>
            </w:r>
          </w:p>
        </w:tc>
      </w:tr>
      <w:tr w14:paraId="032B9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7E8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10</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CCD9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restart"/>
            <w:tcBorders>
              <w:top w:val="single" w:color="000000" w:sz="4" w:space="0"/>
              <w:left w:val="nil"/>
              <w:bottom w:val="single" w:color="000000" w:sz="4" w:space="0"/>
              <w:right w:val="single" w:color="000000" w:sz="4" w:space="0"/>
            </w:tcBorders>
            <w:shd w:val="clear" w:color="auto" w:fill="auto"/>
            <w:vAlign w:val="center"/>
          </w:tcPr>
          <w:p w14:paraId="58A99AE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各家法院卷宗数字化成果</w:t>
            </w: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8D79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60A3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各法院卷宗数字化成果默认展示当天当院案件归档数，支持日、月、年三种时间切换展示案件归档数据，通过切换日、月、年三个卡片，对应分析数据同步刷新展示</w:t>
            </w:r>
          </w:p>
        </w:tc>
      </w:tr>
      <w:tr w14:paraId="40A7D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43CF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11</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9F4C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5588B5F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D91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19F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支持阶段选择：树形下拉单选法院，默认展示上海高院案件归档情况，可通过选择法院，相应刷新呈现对应案件归档数据</w:t>
            </w:r>
          </w:p>
        </w:tc>
      </w:tr>
      <w:tr w14:paraId="63E41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9704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12</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3CB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770FFEE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97B2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43D8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通过读取档案系统数据信息，获取当前法院已经完成归档的案件数、卷宗材料份数、卷宗页数、音视频数总数</w:t>
            </w:r>
          </w:p>
        </w:tc>
      </w:tr>
      <w:tr w14:paraId="5A9FA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5B1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13</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9312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3A00109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B15D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案件类型总览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5CD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按照表格形式展现当前法院刑事案件、民事案件、商事案件、行政案件等不同案件电子归档数</w:t>
            </w:r>
          </w:p>
        </w:tc>
      </w:tr>
      <w:tr w14:paraId="685A3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EDAB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14</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5196D">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4AEA0E3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38DF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TOP10</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A697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按照卡片方式展示当前时间范围内当前法院电子归档数最多的10个案由信息，卡片信息：案由、电子归档案件数、电子归档占比</w:t>
            </w:r>
          </w:p>
        </w:tc>
      </w:tr>
      <w:tr w14:paraId="394C0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7C6F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15</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845C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0F4D2E7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55C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滚动展示</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53D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按照表格形式展现当日当前法院最新归档的案件信息，表格信息：案件名称、案号、卷宗页数、音视频数，支持分屏、分页呈现，默认滚动展示</w:t>
            </w:r>
          </w:p>
        </w:tc>
      </w:tr>
      <w:tr w14:paraId="4E765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F47C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16</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891B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44C096A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62BD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深度利用</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A4AF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按照表格形式展现当前时间范围内当前法院案件档案借阅数、归还数、电子借阅占比</w:t>
            </w:r>
          </w:p>
        </w:tc>
      </w:tr>
      <w:tr w14:paraId="62591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2F50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17</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B08F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3B4049D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137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趋势分析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1C4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月展示当前法院案件电子归档总览时，向用户提供直观的电子化归档情况，如果电子化归档案件、卷宗页数上升趋势明显，需时刻关注算力资源运行情况；同时向院领导呈现全院电子归档情况，为客户调整人员结构提供决策支撑</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1、支持通过曲线图分析当月按日归档案件数趋势分析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2、支持通过曲线图展现当月按日归档卷宗页数趋势分析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3、支持通过曲线图展现当月按日归档卷宗页数趋势分析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4、支持通过曲线图展现当月按日电子借阅占比趋势分析</w:t>
            </w:r>
          </w:p>
        </w:tc>
      </w:tr>
      <w:tr w14:paraId="14979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DC11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18</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6FB7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vAlign w:val="center"/>
          </w:tcPr>
          <w:p w14:paraId="7A9047F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4554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占比分析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F331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当按年展示数字化成果总览时，为档案管理员制定重点工作提供决策数据支撑</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1、支持通过饼状图呈现当年案件电子归档占比分析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2、支持通过饼图呈现当年卷宗页数、音视频数电子归档占比分析</w:t>
            </w:r>
          </w:p>
        </w:tc>
      </w:tr>
      <w:tr w14:paraId="129E3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108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19</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266B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restart"/>
            <w:tcBorders>
              <w:top w:val="single" w:color="000000" w:sz="4" w:space="0"/>
              <w:left w:val="nil"/>
              <w:bottom w:val="nil"/>
              <w:right w:val="single" w:color="000000" w:sz="4" w:space="0"/>
            </w:tcBorders>
            <w:shd w:val="clear" w:color="auto" w:fill="auto"/>
            <w:vAlign w:val="center"/>
          </w:tcPr>
          <w:p w14:paraId="00F5A2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档案库房管理总览</w:t>
            </w: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F7D9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档案管理情况</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2371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通过读取档案系统数据，对档案管理工作作基本统计分析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1、通过横向柱状图实时展示已整理、未整理、整理中的归档案件数</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2、通过环形图实时展示档案保管期限案件数情况（10年、30年、永久、销毁）</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3、通过卡片式方式实时展示归档案件数、签定归档案件数</w:t>
            </w:r>
          </w:p>
        </w:tc>
      </w:tr>
      <w:tr w14:paraId="14983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483A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20</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8E71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nil"/>
              <w:right w:val="single" w:color="000000" w:sz="4" w:space="0"/>
            </w:tcBorders>
            <w:shd w:val="clear" w:color="auto" w:fill="auto"/>
            <w:vAlign w:val="center"/>
          </w:tcPr>
          <w:p w14:paraId="2B00C3F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AB6A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档案门类分布</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2075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通过读取档案系统数据，对档案门类分布做统计分析，通过簇状柱状图按照电子、实物分类实时展示法律文书、证据材料、照片、录音录像等归档数据</w:t>
            </w:r>
          </w:p>
        </w:tc>
      </w:tr>
      <w:tr w14:paraId="6F4E6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A40C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21</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E28A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nil"/>
              <w:right w:val="single" w:color="000000" w:sz="4" w:space="0"/>
            </w:tcBorders>
            <w:shd w:val="clear" w:color="auto" w:fill="auto"/>
            <w:vAlign w:val="center"/>
          </w:tcPr>
          <w:p w14:paraId="7C27168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56E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档案利用分析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AEEB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通过卡片形式展现档案利用率、档案重复利用率、档案利用数、档案利用次数，同时通过环形图展示已查档完成人数及占比、未查档完成人数及占比</w:t>
            </w:r>
          </w:p>
        </w:tc>
      </w:tr>
      <w:tr w14:paraId="10D8B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853C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22</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9D0C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nil"/>
              <w:right w:val="single" w:color="000000" w:sz="4" w:space="0"/>
            </w:tcBorders>
            <w:shd w:val="clear" w:color="auto" w:fill="auto"/>
            <w:vAlign w:val="center"/>
          </w:tcPr>
          <w:p w14:paraId="04D55A4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EC1D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库房环境分析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019BF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通过卡片形式实时展示所有库房温度、湿度、状态、面积等环境数据</w:t>
            </w:r>
          </w:p>
        </w:tc>
      </w:tr>
      <w:tr w14:paraId="06176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1FEF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23</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7E00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nil"/>
              <w:right w:val="single" w:color="000000" w:sz="4" w:space="0"/>
            </w:tcBorders>
            <w:shd w:val="clear" w:color="auto" w:fill="auto"/>
            <w:vAlign w:val="center"/>
          </w:tcPr>
          <w:p w14:paraId="32A0421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73659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档案库房存储总览-借阅分析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242F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1、实时展示当天入库总量</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2、实时展示本月入库量及按月入库量趋势分析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3、实时展示本月出库量及按月出库量趋势分析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4、实时展示库房存案量</w:t>
            </w:r>
          </w:p>
        </w:tc>
      </w:tr>
      <w:tr w14:paraId="7F30E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721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24</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95B5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nil"/>
              <w:right w:val="single" w:color="000000" w:sz="4" w:space="0"/>
            </w:tcBorders>
            <w:shd w:val="clear" w:color="auto" w:fill="auto"/>
            <w:vAlign w:val="center"/>
          </w:tcPr>
          <w:p w14:paraId="528A13AE">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nil"/>
              <w:right w:val="single" w:color="000000" w:sz="4" w:space="0"/>
            </w:tcBorders>
            <w:shd w:val="clear" w:color="auto" w:fill="auto"/>
            <w:vAlign w:val="center"/>
          </w:tcPr>
          <w:p w14:paraId="3FED51C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档案库房存储总览--卷宗评查</w:t>
            </w:r>
          </w:p>
        </w:tc>
        <w:tc>
          <w:tcPr>
            <w:tcW w:w="2943" w:type="pct"/>
            <w:tcBorders>
              <w:top w:val="single" w:color="000000" w:sz="4" w:space="0"/>
              <w:left w:val="single" w:color="000000" w:sz="4" w:space="0"/>
              <w:bottom w:val="nil"/>
              <w:right w:val="single" w:color="000000" w:sz="4" w:space="0"/>
            </w:tcBorders>
            <w:shd w:val="clear" w:color="auto" w:fill="auto"/>
            <w:vAlign w:val="center"/>
          </w:tcPr>
          <w:p w14:paraId="0FF173C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实时各家法院卷宗评查情况，默认展示全市法院所有评查维度卷宗评查分析，卡片信息：法院名称、评查得分、完整性评查得分、安全合规性评查得分、可用性评查得分、及时性评查得分、编目归目评查得分</w:t>
            </w:r>
          </w:p>
        </w:tc>
      </w:tr>
      <w:tr w14:paraId="68271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F854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25</w:t>
            </w: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0405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卷宗质量监督一张图</w:t>
            </w:r>
          </w:p>
        </w:tc>
        <w:tc>
          <w:tcPr>
            <w:tcW w:w="503" w:type="pct"/>
            <w:vMerge w:val="restart"/>
            <w:tcBorders>
              <w:top w:val="single" w:color="000000" w:sz="4" w:space="0"/>
              <w:left w:val="nil"/>
              <w:bottom w:val="single" w:color="000000" w:sz="4" w:space="0"/>
              <w:right w:val="single" w:color="000000" w:sz="4" w:space="0"/>
            </w:tcBorders>
            <w:shd w:val="clear" w:color="auto" w:fill="auto"/>
            <w:noWrap/>
            <w:vAlign w:val="center"/>
          </w:tcPr>
          <w:p w14:paraId="6772370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全场景卷宗质量总览</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5BFC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4777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全场景卷宗质量总览默认展示当天卷宗质量数据，支持日、月、年三种时间切换展示卷宗质量数据，通过切换日、月、年三个卡片，对应分析数据同步刷新展示</w:t>
            </w:r>
          </w:p>
        </w:tc>
      </w:tr>
      <w:tr w14:paraId="37F19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8B8B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26</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D32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EB2716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6BA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514B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查询数据库相关数据，在总览页面展示案件数、卷宗材料份数、卷宗页数、音视频数、卷宗质量总数，为使用用户提供案件、卷宗、质量整体情况</w:t>
            </w:r>
          </w:p>
        </w:tc>
      </w:tr>
      <w:tr w14:paraId="50568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1CA5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27</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99BB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615CBE1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2265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56E6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现立案材料审查阶段、审理材料同步生成阶段、电子卷宗预归档整理阶段、电子卷宗预归档审核阶段四个阶段卷宗质量总数，卡片信息：当前阶段卷宗质量总数、完整性质量数、安全合规性质量数、可用性质量数、编目归目质量数</w:t>
            </w:r>
          </w:p>
        </w:tc>
      </w:tr>
      <w:tr w14:paraId="65D9D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4C2E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28</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3F9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7F7A13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FC92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法院总览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3FC2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按照卡片方式展现各法院卷宗质量总数，卡片信息：立案材料审查阶段卷宗质量数、审理材料同步生成阶段卷宗质量数、电子卷宗预归档整理阶段卷宗质量数、电子卷宗预归档审核阶段卷宗质量数</w:t>
            </w:r>
          </w:p>
        </w:tc>
      </w:tr>
      <w:tr w14:paraId="1CA56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577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29</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AEB8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09560A4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060E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实时呈现</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F70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当按日展示卷宗质量总览时，系统支持实时滚动展示最新的卷宗质量信息，支持分屏、分页呈现，默认滚动展示</w:t>
            </w:r>
          </w:p>
        </w:tc>
      </w:tr>
      <w:tr w14:paraId="69D98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9A63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30</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34E4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6EFB5FE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7E4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TOP10</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4A05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按照卡片方式展示当前时间范围内卷宗质量数最多的10个质量，卡片信息：质量名称、质量数</w:t>
            </w:r>
          </w:p>
        </w:tc>
      </w:tr>
      <w:tr w14:paraId="767A5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73C2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31</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5FFD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37A1E18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CD31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趋势分析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AD89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当按月展示卷宗质量总览时，指导业务人员加强对应阶段卷宗质量审查工作，提升卷宗质量</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1、支持通过曲线图分析当月按日卷宗质量趋势分析，同时支持按日呈现不同阶段卷宗质量趋势分析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2、支持通过曲线图展现当月按日呈现不同类型的卷宗质量趋势分析</w:t>
            </w:r>
          </w:p>
        </w:tc>
      </w:tr>
      <w:tr w14:paraId="4D413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AED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32</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E83E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742CAD05">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7FCC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占比分析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C9E03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当按年展示卷宗质量总览时</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1、支持通过饼状图呈现当年不同阶段卷宗质量占比</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2、支持通过饼图呈现当年不同类型卷宗质量占比</w:t>
            </w:r>
          </w:p>
        </w:tc>
      </w:tr>
      <w:tr w14:paraId="28F4B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A3F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33</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BF12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restart"/>
            <w:tcBorders>
              <w:top w:val="single" w:color="000000" w:sz="4" w:space="0"/>
              <w:left w:val="nil"/>
              <w:bottom w:val="single" w:color="000000" w:sz="4" w:space="0"/>
              <w:right w:val="single" w:color="000000" w:sz="4" w:space="0"/>
            </w:tcBorders>
            <w:shd w:val="clear" w:color="auto" w:fill="auto"/>
            <w:noWrap/>
            <w:vAlign w:val="center"/>
          </w:tcPr>
          <w:p w14:paraId="58693C7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各阶段卷宗质量分析</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8B3C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7B5A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支持日期选择：日、月、年三卡片切换，默认展示当天各阶段卷宗质量分析情况，通过切换日、月、年三个卡片，对应分析数据同步刷新展示</w:t>
            </w:r>
          </w:p>
        </w:tc>
      </w:tr>
      <w:tr w14:paraId="0C92C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7B5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34</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7343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6E60CB0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6D8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7ADB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阶段选择：下拉多选检查阶段（立案材料审查阶段、审理材料同步生成阶段、电子卷宗预归档整理阶段、电子卷宗预归档审核阶段），默认展示所有阶段卷宗质量分析，可通过选择不同阶段，相应刷新呈现对应卷宗质量分析</w:t>
            </w:r>
          </w:p>
        </w:tc>
      </w:tr>
      <w:tr w14:paraId="3FE43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3280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35</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9E2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724FA9E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6483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立案材料审查阶段</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A370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按照卡片形式展示当事人递交材料审查、卷宗信息法律审查、卷宗编目审查的卷宗质量分析，卡片信息：当前审查类型质量总数、完整性质量数、安全合规性质量数、可用性质量数</w:t>
            </w:r>
          </w:p>
        </w:tc>
      </w:tr>
      <w:tr w14:paraId="3DFC6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64C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36</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B9F7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41BB769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8B01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审理材料同步生成阶段</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E099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示当事人补充提交材料审查、法官调查材料审查、执行查控材料审查、庭审材料审查、评议材料审查、法律文书审查的卷宗质量分析，卡片信息：当前卷宗材料生成阶段质量总数、完整性质量数、安全合规性质量数、可用性质量数、编目归目质量数</w:t>
            </w:r>
          </w:p>
        </w:tc>
      </w:tr>
      <w:tr w14:paraId="46EBF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C097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37</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344D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00A3190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DA02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电子卷宗预归档整理阶段</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E5B6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示“目录卷”预归档审核、随案音像材料质量检查、“归档卷”质量检查的卷宗质量分析，卡片信息：当前预归档整理阶段质量总数、完整性质量数、安全合规性质量数、可用性质量数、编目归目质量数</w:t>
            </w:r>
          </w:p>
        </w:tc>
      </w:tr>
      <w:tr w14:paraId="0738A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0F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38</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39EB3">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988EC5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527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电子卷宗预归档审核阶段</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B773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按照卡片形式展示电子诉讼档案预归档、电子诉讼档案质量初检、电子诉讼档案质量复查的卷宗质量分析，卡片信息：当前审查类型质量总数、完整性质量数、安全合规性质量数、可用性质量数、编目归目质量数</w:t>
            </w:r>
          </w:p>
        </w:tc>
      </w:tr>
      <w:tr w14:paraId="1A3D8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EFFB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39</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02C8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40CA7C1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88BA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趋势分析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6F37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当按月展示卷宗质量总览时，指导业务人员加强对应阶段卷宗质量审查工作，提升卷宗质量</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1、支持通过曲线图展现当月按日呈现立案材料审查阶段当事人递交材料、卷宗信息法律审查、卷宗编目审查的卷宗质量趋势分析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2、支持通过曲线图展现当月按日呈现当事人补充提交材料审查、法官调查材料审查、执行查控材料审查、庭审材料审查、评议材料审查、法律文书审查的卷宗质量趋势分析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3、支持通过曲线图展现当月按日呈现“目录卷”预归档审核、随案音像材料质量检查、“归档卷”质量检查的卷宗质量趋势分析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4、支持通过曲线图展现当月按日呈现电子诉讼档案预归档、电子诉讼档案质量初检、电子诉讼档案质量复查的卷宗质量趋势分析</w:t>
            </w:r>
          </w:p>
        </w:tc>
      </w:tr>
      <w:tr w14:paraId="08D3D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B9FA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40</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4423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398A6BB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DCA5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占比分析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48D75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当按年展示卷宗质量总览时</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1、支持通过饼状图展现当月按日呈现立案材料审查阶段当事人递交材料、卷宗信息法律审查、卷宗编目审查的卷宗质量占比分析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2、支持通过饼状图展现当月按日呈现当事人补充提交材料审查、法官调查材料审查、执行查控材料审查、庭审材料审查、评议材料审查、法律文书审查的卷宗质量占比分析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3、支持通过饼状图展现当月按日呈现“目录卷”预归档审核、随案音像材料质量检查、“归档卷”质量检查的卷宗质量占比分析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4、支持通过饼状图展现当月按日呈现电子诉讼档案预归档、电子诉讼档案质量初检、电子诉讼档案质量复查的卷宗质量占比分析</w:t>
            </w:r>
          </w:p>
        </w:tc>
      </w:tr>
      <w:tr w14:paraId="412B2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BF0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41</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4E44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restart"/>
            <w:tcBorders>
              <w:top w:val="single" w:color="000000" w:sz="4" w:space="0"/>
              <w:left w:val="nil"/>
              <w:bottom w:val="single" w:color="000000" w:sz="4" w:space="0"/>
              <w:right w:val="single" w:color="000000" w:sz="4" w:space="0"/>
            </w:tcBorders>
            <w:shd w:val="clear" w:color="auto" w:fill="auto"/>
            <w:noWrap/>
            <w:vAlign w:val="center"/>
          </w:tcPr>
          <w:p w14:paraId="5058DE2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各法院卷宗质量分析</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E75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02D3A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支持日期选择：日、月、年三卡片切换，默认展示当天各法院卷宗质量分析情况，通过切换日、月、年三个卡片，对应分析数据同步刷新展示</w:t>
            </w:r>
          </w:p>
        </w:tc>
      </w:tr>
      <w:tr w14:paraId="279FE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36A7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42</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05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721F1A8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BB8C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BED7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支持阶段选择：树形下拉单选法院，默认展示上海高院卷宗质量分析，可通过选择法院，相应刷新呈现对应卷宗质量分析</w:t>
            </w:r>
          </w:p>
        </w:tc>
      </w:tr>
      <w:tr w14:paraId="445A7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CA9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43</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71E9">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060553E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06DF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案件总览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9605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查询数据库相关数据，展示当前法院的案件数、卷宗材料份数、卷宗页数、音视频数、卷宗质量总数，为使用用户提供案件、卷宗、质量整体情况</w:t>
            </w:r>
          </w:p>
        </w:tc>
      </w:tr>
      <w:tr w14:paraId="62F20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101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44</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E221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2302E1D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77A8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阶段总览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D84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现当前法院立案材料审查阶段、审理材料同步生成阶段、电子卷宗预归档整理阶段、电子卷宗预归档审核阶段四个阶段卷宗质量总数，卡片信息：当前阶段卷宗质量总数、完整性质量数、安全合规性质量数、可用性质量数、编目归目质量数</w:t>
            </w:r>
          </w:p>
        </w:tc>
      </w:tr>
      <w:tr w14:paraId="28195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C95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45</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B9BF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0B095CF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9A4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实时呈现</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E9F3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当按日展示当前法院卷宗质量时，系统支持实时滚动展示当前法院最新的卷宗质量信息，支持分屏、分页呈现，默认滚动展示</w:t>
            </w:r>
          </w:p>
        </w:tc>
      </w:tr>
      <w:tr w14:paraId="0C070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6C5A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46</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CD26A">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9A262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B66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全场景卷宗质量总览-TOP10</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95DDA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按照卡片方式展示当前时间范围内当前法院卷宗质量数最多的10个质量，卡片信息：质量名称、质量数</w:t>
            </w:r>
          </w:p>
        </w:tc>
      </w:tr>
      <w:tr w14:paraId="64DEB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E74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47</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B27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64DF41E2">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B94F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趋势分析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4C54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当按月展示当前法院卷宗质量总览时，指导办案业务人员加强高发质量问题处理，有针对性的提升卷宗质量；为院领导考核人员、组织提供角色数据支撑</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1、支持通过曲线图分析当月按日卷宗质量趋势分析，同时支持按日呈现不同阶段卷宗质量趋势分析</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2、支持通过曲线图展现当月按日呈现不同类型的卷宗质量趋势分析</w:t>
            </w:r>
          </w:p>
        </w:tc>
      </w:tr>
      <w:tr w14:paraId="447C4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9F27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48</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A415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C3CE7D8">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5C5B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占比分析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BBF7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当按年展示当前法院卷宗质量总览时</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1、支持通过饼状图呈现当年不同阶段卷宗质量占比</w:t>
            </w:r>
            <w:r>
              <w:rPr>
                <w:rFonts w:hint="eastAsia" w:ascii="仿宋" w:hAnsi="仿宋" w:eastAsia="仿宋" w:cs="仿宋"/>
                <w:i w:val="0"/>
                <w:iCs w:val="0"/>
                <w:color w:val="000000"/>
                <w:kern w:val="0"/>
                <w:sz w:val="28"/>
                <w:szCs w:val="28"/>
                <w:highlight w:val="none"/>
                <w:u w:val="none"/>
                <w:lang w:val="en-US" w:eastAsia="zh-CN" w:bidi="ar"/>
              </w:rPr>
              <w:br w:type="textWrapping"/>
            </w:r>
            <w:r>
              <w:rPr>
                <w:rFonts w:hint="eastAsia" w:ascii="仿宋" w:hAnsi="仿宋" w:eastAsia="仿宋" w:cs="仿宋"/>
                <w:i w:val="0"/>
                <w:iCs w:val="0"/>
                <w:color w:val="000000"/>
                <w:kern w:val="0"/>
                <w:sz w:val="28"/>
                <w:szCs w:val="28"/>
                <w:highlight w:val="none"/>
                <w:u w:val="none"/>
                <w:lang w:val="en-US" w:eastAsia="zh-CN" w:bidi="ar"/>
              </w:rPr>
              <w:t>2、支持通过饼图呈现当年不同类型卷宗质量占比</w:t>
            </w:r>
          </w:p>
        </w:tc>
      </w:tr>
      <w:tr w14:paraId="30DE0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10F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49</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65E1">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76B8D1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6451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卷宗评查总览--数据筛选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7A9C1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支持阶段选择：树形下拉单选评查周期，默认展示最近一次卷宗评查情况，可通过评查时间，相应刷新呈现对应评查情况</w:t>
            </w:r>
          </w:p>
        </w:tc>
      </w:tr>
      <w:tr w14:paraId="1D3E7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E28B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50</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D100B">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5019A44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4EEB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卷宗评查总览-各家法院</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4346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实时展示各家法院卷宗评查情况，默认展示全市法院所有评查维度卷宗评查分析，卡片信息：法院名称、评查质量问题数、完整性质量问题数、安全合规性质量问题数、可用性质量问题数、及时性质量问题数、编目归目质量问题数</w:t>
            </w:r>
          </w:p>
        </w:tc>
      </w:tr>
      <w:tr w14:paraId="4C347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2022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51</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488D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26BFD0C">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82EF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卷宗评查总览-质量分析</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A678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通过读取卷宗评查结果数据，对质量问题分类做统计分析，通过状柱状图实时展示完整性质量问题数、安全合规性质量问题数、可用性质量问题数、及时性质量问题数、编目归目质量问题数</w:t>
            </w:r>
          </w:p>
        </w:tc>
      </w:tr>
      <w:tr w14:paraId="64BFD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6C71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52</w:t>
            </w:r>
          </w:p>
        </w:tc>
        <w:tc>
          <w:tcPr>
            <w:tcW w:w="51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7705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卷宗校验运行总览</w:t>
            </w:r>
          </w:p>
        </w:tc>
        <w:tc>
          <w:tcPr>
            <w:tcW w:w="503" w:type="pct"/>
            <w:vMerge w:val="restart"/>
            <w:tcBorders>
              <w:top w:val="single" w:color="000000" w:sz="4" w:space="0"/>
              <w:left w:val="nil"/>
              <w:bottom w:val="single" w:color="000000" w:sz="4" w:space="0"/>
              <w:right w:val="single" w:color="000000" w:sz="4" w:space="0"/>
            </w:tcBorders>
            <w:shd w:val="clear" w:color="auto" w:fill="auto"/>
            <w:noWrap/>
            <w:vAlign w:val="center"/>
          </w:tcPr>
          <w:p w14:paraId="37A9D84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卷宗校验运行总览</w:t>
            </w: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FDD8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数据筛选</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FBD0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支持日期选择：日、月、年三卡片切换，默认展示当天校验规则调用次数，通过切换日、月、年三个卡片，对应分析数据同步刷新展示</w:t>
            </w:r>
          </w:p>
        </w:tc>
      </w:tr>
      <w:tr w14:paraId="46825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B896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53</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AC274">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1E41ECB6">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1E4A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校验类型选择</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DC96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支持校验类型选择：下拉多选校验类型（完整性检测、可用性、安全合规性、编目归目、及时性），默认展示所有类型的校验运行分析，可通过选择不同校验类型，相应刷新呈现对应校验规则运行数据</w:t>
            </w:r>
          </w:p>
        </w:tc>
      </w:tr>
      <w:tr w14:paraId="6B080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FC03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54</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DF3B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3DBD0BA0">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A83E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校验规则总览</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4D96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查询校验中心校验规则数，按照卡片的方式展示不同校验类型的校验规则数，卡片信息：不同类型校验总数、不同类别校验数</w:t>
            </w:r>
          </w:p>
        </w:tc>
      </w:tr>
      <w:tr w14:paraId="5B30A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7A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55</w:t>
            </w:r>
          </w:p>
        </w:tc>
        <w:tc>
          <w:tcPr>
            <w:tcW w:w="51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66C07">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503" w:type="pct"/>
            <w:vMerge w:val="continue"/>
            <w:tcBorders>
              <w:top w:val="single" w:color="000000" w:sz="4" w:space="0"/>
              <w:left w:val="nil"/>
              <w:bottom w:val="single" w:color="000000" w:sz="4" w:space="0"/>
              <w:right w:val="single" w:color="000000" w:sz="4" w:space="0"/>
            </w:tcBorders>
            <w:shd w:val="clear" w:color="auto" w:fill="auto"/>
            <w:noWrap/>
            <w:vAlign w:val="center"/>
          </w:tcPr>
          <w:p w14:paraId="401272EF">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 w:hAnsi="仿宋" w:eastAsia="仿宋" w:cs="仿宋"/>
                <w:i w:val="0"/>
                <w:iCs w:val="0"/>
                <w:color w:val="000000"/>
                <w:sz w:val="28"/>
                <w:szCs w:val="28"/>
                <w:highlight w:val="none"/>
                <w:u w:val="none"/>
              </w:rPr>
            </w:pPr>
          </w:p>
        </w:tc>
        <w:tc>
          <w:tcPr>
            <w:tcW w:w="6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5E9B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规则调用次数</w:t>
            </w:r>
          </w:p>
        </w:tc>
        <w:tc>
          <w:tcPr>
            <w:tcW w:w="29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FDF3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按照卡片形式展现不同类型校验规则调研次数，卡片信息：不同类型调用次数、不同类别调用次数</w:t>
            </w:r>
          </w:p>
        </w:tc>
      </w:tr>
    </w:tbl>
    <w:p w14:paraId="57D9D743">
      <w:pPr>
        <w:numPr>
          <w:ilvl w:val="0"/>
          <w:numId w:val="0"/>
        </w:numPr>
        <w:tabs>
          <w:tab w:val="left" w:pos="7513"/>
        </w:tabs>
        <w:jc w:val="left"/>
        <w:outlineLvl w:val="0"/>
        <w:rPr>
          <w:rFonts w:hint="eastAsia" w:ascii="仿宋" w:hAnsi="仿宋" w:eastAsia="仿宋" w:cs="仿宋"/>
          <w:b/>
          <w:bCs/>
          <w:szCs w:val="32"/>
          <w:highlight w:val="none"/>
          <w:lang w:val="en-US" w:eastAsia="zh-CN"/>
        </w:rPr>
      </w:pPr>
    </w:p>
    <w:p w14:paraId="0F613B0F">
      <w:pPr>
        <w:numPr>
          <w:ilvl w:val="0"/>
          <w:numId w:val="1"/>
        </w:numPr>
        <w:tabs>
          <w:tab w:val="left" w:pos="7513"/>
        </w:tabs>
        <w:ind w:firstLine="643" w:firstLineChars="200"/>
        <w:jc w:val="left"/>
        <w:outlineLvl w:val="0"/>
        <w:rPr>
          <w:rFonts w:hint="eastAsia" w:ascii="仿宋" w:hAnsi="仿宋" w:eastAsia="仿宋" w:cs="仿宋"/>
          <w:b/>
          <w:bCs/>
          <w:szCs w:val="32"/>
          <w:highlight w:val="none"/>
          <w:lang w:val="en-US" w:eastAsia="zh-CN"/>
        </w:rPr>
      </w:pPr>
      <w:r>
        <w:rPr>
          <w:rFonts w:hint="eastAsia" w:ascii="仿宋" w:hAnsi="仿宋" w:cs="仿宋"/>
          <w:b/>
          <w:bCs/>
          <w:szCs w:val="32"/>
          <w:highlight w:val="none"/>
          <w:lang w:val="en-US" w:eastAsia="zh-CN"/>
        </w:rPr>
        <w:t>系统整合与接口要求</w:t>
      </w:r>
    </w:p>
    <w:p w14:paraId="43552E99">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1）需按照上海法院“统一门户集成、统一用户管理、统一接入管理、统一授权管理、统一安全防护、统一资源管理”六个统一的总体要求，上海法院的信息化应用系统整合为“审判系统、执行系统、司法管理系统、诉讼服务系统、保障系统”五大应用系统+门户网站+数据中台的架构模式。本次项目建设内容需按照“六统一”的基本要求纳入上海法院</w:t>
      </w:r>
      <w:r>
        <w:rPr>
          <w:rFonts w:hint="eastAsia" w:ascii="宋体" w:hAnsi="宋体" w:cs="宋体"/>
          <w:color w:val="000000"/>
          <w:sz w:val="28"/>
          <w:szCs w:val="28"/>
          <w:highlight w:val="none"/>
          <w:lang w:val="en-US" w:eastAsia="zh-CN"/>
        </w:rPr>
        <w:t>审判系统</w:t>
      </w:r>
      <w:r>
        <w:rPr>
          <w:rFonts w:hint="eastAsia" w:ascii="宋体" w:hAnsi="宋体" w:cs="宋体"/>
          <w:color w:val="000000"/>
          <w:sz w:val="28"/>
          <w:szCs w:val="28"/>
          <w:highlight w:val="none"/>
        </w:rPr>
        <w:t>，与原有系统功能整合运行，建设完成后提供给全市法院使用。</w:t>
      </w:r>
    </w:p>
    <w:p w14:paraId="52B745B0">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统一授权管理：本次项目需使用上海法院现有权限管理体系管理维护应用系统资源操作权限，实现各类信息资源访问控制的管理维护，分配和管理用户与角色针对资源数据的访问权限。</w:t>
      </w:r>
    </w:p>
    <w:p w14:paraId="66B2DEFE">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统一用户管理：本次项目需使用上海法院现有的组织机构和用户管理功能，不得另建组织机构和用户管理功能。需以API接口方式动态获取用户数据，获取的用户数据不得落地存储。</w:t>
      </w:r>
    </w:p>
    <w:p w14:paraId="1AB6E6F0">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统一接入管理：上海法院在系统整合改造过程中，建设了基于微服务架构的上海法院应用系统开发、运行、管理和维护体系，建立了统一的数据标准、接口访问标准等标准体系，提供了各类主流数据和组件访问接口，包含统一数据交换平台等。本次项目建设过程中，需最大化复用已有的各类业务、技术标准和业务功能组件，系统已经实现的功能原则上直接调用，不得重复建设。</w:t>
      </w:r>
    </w:p>
    <w:p w14:paraId="2AE09625">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统一安全防护：审计信息集中统一管理，实现各类操作、数据访问等日志数据的记录和查询管理；利用上海法院已有的密码、数据加密、存储加密等功能实现关键数据的安全防护；实现敏感信息脱敏和防护；系统建设完成后符合等级保护要求并通过系统测评。</w:t>
      </w:r>
    </w:p>
    <w:p w14:paraId="18BCA8E1">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统一资源管理：与现有应用系统实现统一的数据资源管理，保证数据在上海三级法院的唯一性，实现一次录入、全面共享，一次变动、实时同步；统一系统运行资源，应用系统运行在上海法院服务器、云服务器、云资源平台上；统一架构体系，应用软件系统需使用上海法院的微服务应用开发体系，并与现有应用系统整合部署；统一的终端使用环境，应用软件需支持上海法院在用的国产化计算机终端、浏览器、流式软件、电子签章等软件环境。</w:t>
      </w:r>
    </w:p>
    <w:p w14:paraId="6583D71A">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统一标准规范：本项目需符合上海市高级人民法院法标的各项业务和技术标准。</w:t>
      </w:r>
    </w:p>
    <w:p w14:paraId="6584C29F">
      <w:pPr>
        <w:spacing w:line="360" w:lineRule="auto"/>
        <w:ind w:firstLine="480"/>
        <w:rPr>
          <w:rFonts w:ascii="宋体" w:hAnsi="宋体" w:cs="宋体"/>
          <w:color w:val="000000"/>
          <w:sz w:val="28"/>
          <w:szCs w:val="28"/>
          <w:highlight w:val="none"/>
        </w:rPr>
      </w:pPr>
      <w:r>
        <w:rPr>
          <w:rFonts w:hint="eastAsia" w:ascii="宋体" w:hAnsi="宋体" w:cs="宋体"/>
          <w:color w:val="000000"/>
          <w:sz w:val="28"/>
          <w:szCs w:val="28"/>
          <w:highlight w:val="none"/>
        </w:rPr>
        <w:t>（2）需充分了解上海法院现有信息化现状，理解本单位数字化建设的整体框架规划，分析现有应用系统使用情况。梳理本次建设项目与已建系统之间的建设和复用关系，现有网络、设备以及其他信息资源情况，确保项目整体网络资源、数据资源、能力统一接入和输出，保障全市网络、数据、能力资源充分利用和系统效率最大化。</w:t>
      </w:r>
    </w:p>
    <w:p w14:paraId="2FF3812F">
      <w:pPr>
        <w:bidi w:val="0"/>
        <w:ind w:left="0" w:leftChars="0" w:firstLine="560" w:firstLineChars="0"/>
        <w:rPr>
          <w:rFonts w:hint="eastAsia"/>
          <w:highlight w:val="none"/>
          <w:lang w:val="en-US" w:eastAsia="zh-CN"/>
        </w:rPr>
      </w:pPr>
      <w:r>
        <w:rPr>
          <w:rFonts w:hint="eastAsia" w:ascii="宋体" w:hAnsi="宋体" w:cs="宋体"/>
          <w:color w:val="000000"/>
          <w:sz w:val="28"/>
          <w:szCs w:val="28"/>
          <w:highlight w:val="none"/>
          <w:lang w:val="en-US" w:eastAsia="zh-CN"/>
        </w:rPr>
        <w:t>（3）本项目建设的卷宗质量管理应用场景，将在立案、审理、归档等阶段，通过调用上海法院现有人工智能辅助能力，供应商需</w:t>
      </w:r>
      <w:r>
        <w:rPr>
          <w:rFonts w:hint="eastAsia" w:ascii="宋体" w:hAnsi="宋体" w:cs="宋体"/>
          <w:color w:val="000000" w:themeColor="text1"/>
          <w:sz w:val="28"/>
          <w:szCs w:val="28"/>
          <w:highlight w:val="none"/>
          <w:lang w:val="en-US" w:eastAsia="zh-CN"/>
          <w14:textFill>
            <w14:solidFill>
              <w14:schemeClr w14:val="tx1"/>
            </w14:solidFill>
          </w14:textFill>
        </w:rPr>
        <w:t>承诺</w:t>
      </w:r>
      <w:r>
        <w:rPr>
          <w:rFonts w:hint="eastAsia" w:ascii="宋体" w:hAnsi="宋体" w:cs="宋体"/>
          <w:color w:val="000000"/>
          <w:sz w:val="28"/>
          <w:szCs w:val="28"/>
          <w:highlight w:val="none"/>
          <w:lang w:val="en-US" w:eastAsia="zh-CN"/>
        </w:rPr>
        <w:t>与现有系统进行无缝对接。</w:t>
      </w:r>
    </w:p>
    <w:p w14:paraId="03CDCCB0">
      <w:pPr>
        <w:bidi w:val="0"/>
        <w:ind w:left="0" w:leftChars="0" w:firstLine="560" w:firstLineChars="0"/>
        <w:rPr>
          <w:rFonts w:hint="default"/>
          <w:highlight w:val="none"/>
          <w:lang w:val="en-US" w:eastAsia="zh-CN"/>
        </w:rPr>
      </w:pPr>
      <w:r>
        <w:rPr>
          <w:rFonts w:hint="eastAsia" w:ascii="宋体" w:hAnsi="宋体" w:cs="宋体"/>
          <w:color w:val="000000"/>
          <w:sz w:val="28"/>
          <w:szCs w:val="28"/>
          <w:highlight w:val="none"/>
          <w:lang w:val="en-US" w:eastAsia="zh-CN"/>
        </w:rPr>
        <w:t>（4）因本项目需求产生的所有系统对接费用包含在本次报价内。</w:t>
      </w:r>
    </w:p>
    <w:p w14:paraId="2E63FCB2">
      <w:pPr>
        <w:numPr>
          <w:ilvl w:val="0"/>
          <w:numId w:val="0"/>
        </w:numPr>
        <w:tabs>
          <w:tab w:val="left" w:pos="7513"/>
        </w:tabs>
        <w:ind w:firstLine="643" w:firstLineChars="200"/>
        <w:jc w:val="left"/>
        <w:outlineLvl w:val="0"/>
        <w:rPr>
          <w:rFonts w:hint="eastAsia" w:ascii="黑体" w:hAnsi="黑体" w:eastAsia="黑体" w:cs="黑体"/>
          <w:b/>
          <w:bCs/>
          <w:szCs w:val="32"/>
          <w:highlight w:val="none"/>
        </w:rPr>
      </w:pPr>
      <w:bookmarkStart w:id="0" w:name="_Toc445714952"/>
      <w:bookmarkStart w:id="1" w:name="_Toc430868372"/>
      <w:bookmarkStart w:id="2" w:name="_Toc7991"/>
      <w:r>
        <w:rPr>
          <w:rFonts w:hint="eastAsia" w:ascii="黑体" w:hAnsi="黑体" w:eastAsia="黑体" w:cs="黑体"/>
          <w:b/>
          <w:bCs/>
          <w:szCs w:val="32"/>
          <w:highlight w:val="none"/>
          <w:lang w:val="en-US" w:eastAsia="zh-CN"/>
        </w:rPr>
        <w:t>三、</w:t>
      </w:r>
      <w:r>
        <w:rPr>
          <w:rFonts w:hint="eastAsia" w:ascii="黑体" w:hAnsi="黑体" w:eastAsia="黑体" w:cs="黑体"/>
          <w:b/>
          <w:bCs/>
          <w:szCs w:val="32"/>
          <w:highlight w:val="none"/>
        </w:rPr>
        <w:t>系统实施要求</w:t>
      </w:r>
      <w:bookmarkEnd w:id="0"/>
      <w:bookmarkEnd w:id="1"/>
      <w:bookmarkEnd w:id="2"/>
    </w:p>
    <w:p w14:paraId="17B277F5">
      <w:pPr>
        <w:outlineLvl w:val="1"/>
        <w:rPr>
          <w:rFonts w:ascii="楷体" w:hAnsi="楷体" w:eastAsia="楷体" w:cs="楷体"/>
          <w:b/>
          <w:bCs/>
          <w:szCs w:val="32"/>
          <w:highlight w:val="none"/>
        </w:rPr>
      </w:pPr>
      <w:bookmarkStart w:id="3" w:name="_Toc32168"/>
      <w:r>
        <w:rPr>
          <w:rFonts w:hint="eastAsia" w:ascii="楷体" w:hAnsi="楷体" w:eastAsia="楷体" w:cs="楷体"/>
          <w:b/>
          <w:bCs/>
          <w:szCs w:val="32"/>
          <w:highlight w:val="none"/>
        </w:rPr>
        <w:t>1、项目进度要求</w:t>
      </w:r>
      <w:bookmarkEnd w:id="3"/>
    </w:p>
    <w:p w14:paraId="0B47DABE">
      <w:pPr>
        <w:ind w:firstLine="560"/>
        <w:rPr>
          <w:rFonts w:ascii="宋体" w:hAnsi="宋体" w:cs="宋体"/>
          <w:color w:val="000000"/>
          <w:sz w:val="28"/>
          <w:szCs w:val="28"/>
          <w:highlight w:val="none"/>
        </w:rPr>
      </w:pPr>
      <w:r>
        <w:rPr>
          <w:rFonts w:hint="eastAsia" w:ascii="宋体" w:hAnsi="宋体" w:cs="宋体"/>
          <w:color w:val="000000"/>
          <w:sz w:val="28"/>
          <w:szCs w:val="28"/>
          <w:highlight w:val="none"/>
        </w:rPr>
        <w:t>自合同签订之日起</w:t>
      </w:r>
      <w:r>
        <w:rPr>
          <w:rFonts w:ascii="宋体" w:hAnsi="宋体" w:cs="宋体"/>
          <w:color w:val="000000"/>
          <w:sz w:val="28"/>
          <w:szCs w:val="28"/>
          <w:highlight w:val="none"/>
        </w:rPr>
        <w:t>12</w:t>
      </w:r>
      <w:r>
        <w:rPr>
          <w:rFonts w:hint="eastAsia" w:ascii="宋体" w:hAnsi="宋体" w:cs="宋体"/>
          <w:color w:val="000000"/>
          <w:sz w:val="28"/>
          <w:szCs w:val="28"/>
          <w:highlight w:val="none"/>
        </w:rPr>
        <w:t>个月内完成本项目建设内容（含</w:t>
      </w:r>
      <w:r>
        <w:rPr>
          <w:rFonts w:ascii="宋体" w:hAnsi="宋体" w:cs="宋体"/>
          <w:color w:val="000000"/>
          <w:sz w:val="28"/>
          <w:szCs w:val="28"/>
          <w:highlight w:val="none"/>
        </w:rPr>
        <w:t>2</w:t>
      </w:r>
      <w:r>
        <w:rPr>
          <w:rFonts w:hint="eastAsia" w:ascii="宋体" w:hAnsi="宋体" w:cs="宋体"/>
          <w:color w:val="000000"/>
          <w:sz w:val="28"/>
          <w:szCs w:val="28"/>
          <w:highlight w:val="none"/>
        </w:rPr>
        <w:t>个月系统试运行）。</w:t>
      </w:r>
    </w:p>
    <w:p w14:paraId="5B4A30BC">
      <w:pPr>
        <w:outlineLvl w:val="1"/>
        <w:rPr>
          <w:rFonts w:ascii="楷体" w:hAnsi="楷体" w:eastAsia="楷体" w:cs="楷体"/>
          <w:b/>
          <w:bCs/>
          <w:szCs w:val="32"/>
          <w:highlight w:val="none"/>
        </w:rPr>
      </w:pPr>
      <w:bookmarkStart w:id="4" w:name="_Toc28360"/>
      <w:bookmarkStart w:id="5" w:name="_Toc430868374"/>
      <w:bookmarkStart w:id="6" w:name="_Toc445714954"/>
      <w:bookmarkStart w:id="7" w:name="_Toc2614"/>
      <w:r>
        <w:rPr>
          <w:rFonts w:hint="eastAsia" w:ascii="楷体" w:hAnsi="楷体" w:eastAsia="楷体" w:cs="楷体"/>
          <w:b/>
          <w:bCs/>
          <w:szCs w:val="32"/>
          <w:highlight w:val="none"/>
        </w:rPr>
        <w:t>2、安装实施要求</w:t>
      </w:r>
    </w:p>
    <w:p w14:paraId="3AEBDA08">
      <w:pPr>
        <w:ind w:firstLine="560"/>
        <w:rPr>
          <w:rFonts w:ascii="宋体" w:hAnsi="宋体" w:cs="宋体"/>
          <w:sz w:val="28"/>
          <w:szCs w:val="28"/>
          <w:highlight w:val="none"/>
        </w:rPr>
      </w:pPr>
      <w:r>
        <w:rPr>
          <w:rFonts w:hint="eastAsia" w:ascii="宋体" w:hAnsi="宋体" w:cs="宋体"/>
          <w:sz w:val="28"/>
          <w:szCs w:val="28"/>
          <w:highlight w:val="none"/>
        </w:rPr>
        <w:t>本次项目所需云服务器、操作系统、数据库、中间件等产品由招标单位提供或申请。</w:t>
      </w:r>
    </w:p>
    <w:p w14:paraId="4161CCA8">
      <w:pPr>
        <w:ind w:firstLine="560"/>
        <w:rPr>
          <w:rFonts w:ascii="宋体" w:hAnsi="宋体" w:cs="宋体"/>
          <w:sz w:val="28"/>
          <w:szCs w:val="28"/>
          <w:highlight w:val="none"/>
        </w:rPr>
      </w:pPr>
      <w:r>
        <w:rPr>
          <w:rFonts w:hint="eastAsia" w:ascii="宋体" w:hAnsi="宋体" w:cs="宋体"/>
          <w:sz w:val="28"/>
          <w:szCs w:val="28"/>
          <w:highlight w:val="none"/>
        </w:rPr>
        <w:t>投标单位需要按照招标单位指定地点进行系统集成及设备安装，系统建设完成后符合上海大数据中心提供的国产化云环境运行的技术要求。</w:t>
      </w:r>
    </w:p>
    <w:bookmarkEnd w:id="4"/>
    <w:bookmarkEnd w:id="5"/>
    <w:bookmarkEnd w:id="6"/>
    <w:bookmarkEnd w:id="7"/>
    <w:p w14:paraId="4855BABF">
      <w:pPr>
        <w:outlineLvl w:val="1"/>
        <w:rPr>
          <w:rFonts w:ascii="楷体" w:hAnsi="楷体" w:eastAsia="楷体" w:cs="楷体"/>
          <w:b/>
          <w:bCs/>
          <w:szCs w:val="32"/>
          <w:highlight w:val="none"/>
        </w:rPr>
      </w:pPr>
      <w:bookmarkStart w:id="8" w:name="_Toc430868375"/>
      <w:bookmarkStart w:id="9" w:name="_Toc445714955"/>
      <w:bookmarkStart w:id="10" w:name="_Toc16301"/>
      <w:r>
        <w:rPr>
          <w:rFonts w:ascii="楷体" w:hAnsi="楷体" w:eastAsia="楷体" w:cs="楷体"/>
          <w:b/>
          <w:bCs/>
          <w:szCs w:val="32"/>
          <w:highlight w:val="none"/>
        </w:rPr>
        <w:t>3、</w:t>
      </w:r>
      <w:r>
        <w:rPr>
          <w:rFonts w:hint="eastAsia" w:ascii="楷体" w:hAnsi="楷体" w:eastAsia="楷体" w:cs="楷体"/>
          <w:b/>
          <w:bCs/>
          <w:szCs w:val="32"/>
          <w:highlight w:val="none"/>
        </w:rPr>
        <w:t>人员配置要求</w:t>
      </w:r>
    </w:p>
    <w:p w14:paraId="710F4A11">
      <w:pPr>
        <w:ind w:firstLine="560"/>
        <w:rPr>
          <w:rFonts w:ascii="宋体" w:hAnsi="宋体" w:cs="宋体"/>
          <w:sz w:val="28"/>
          <w:szCs w:val="28"/>
          <w:highlight w:val="none"/>
        </w:rPr>
      </w:pPr>
      <w:r>
        <w:rPr>
          <w:rFonts w:hint="eastAsia" w:ascii="宋体" w:hAnsi="宋体" w:cs="宋体"/>
          <w:sz w:val="28"/>
          <w:szCs w:val="28"/>
          <w:highlight w:val="none"/>
        </w:rPr>
        <w:t>本期项目实施期间，投标单位应安排具有专业技术水平的专职人员参与本次项目建设。投标单位参与本项目的人员，在项目建设期间保持基本稳定。如果出现人员变动需事先向招标单位汇报，替换人员需得到招标单位批准。投标单位应安排至少以下角色人员：</w:t>
      </w:r>
    </w:p>
    <w:p w14:paraId="5EF10F01">
      <w:pPr>
        <w:ind w:firstLine="560"/>
        <w:rPr>
          <w:rFonts w:ascii="宋体" w:hAnsi="宋体" w:cs="宋体"/>
          <w:sz w:val="28"/>
          <w:szCs w:val="28"/>
          <w:highlight w:val="none"/>
        </w:rPr>
      </w:pPr>
      <w:r>
        <w:rPr>
          <w:rFonts w:hint="eastAsia" w:ascii="宋体" w:hAnsi="宋体" w:cs="宋体"/>
          <w:sz w:val="28"/>
          <w:szCs w:val="28"/>
          <w:highlight w:val="none"/>
        </w:rPr>
        <w:t>项目</w:t>
      </w:r>
      <w:r>
        <w:rPr>
          <w:rFonts w:hint="eastAsia" w:ascii="宋体" w:hAnsi="宋体" w:cs="宋体"/>
          <w:sz w:val="28"/>
          <w:szCs w:val="28"/>
          <w:highlight w:val="none"/>
          <w:lang w:eastAsia="zh-CN"/>
        </w:rPr>
        <w:t>经理</w:t>
      </w:r>
      <w:r>
        <w:rPr>
          <w:rFonts w:hint="eastAsia" w:ascii="宋体" w:hAnsi="宋体" w:cs="宋体"/>
          <w:sz w:val="28"/>
          <w:szCs w:val="28"/>
          <w:highlight w:val="none"/>
        </w:rPr>
        <w:t>1名，具有信息系统项目管理师</w:t>
      </w:r>
      <w:r>
        <w:rPr>
          <w:rFonts w:hint="eastAsia" w:ascii="宋体" w:hAnsi="宋体" w:cs="宋体"/>
          <w:sz w:val="28"/>
          <w:szCs w:val="28"/>
          <w:highlight w:val="none"/>
          <w:lang w:eastAsia="zh-CN"/>
        </w:rPr>
        <w:t>（</w:t>
      </w:r>
      <w:r>
        <w:rPr>
          <w:rFonts w:hint="eastAsia" w:ascii="宋体" w:hAnsi="宋体" w:cs="宋体"/>
          <w:sz w:val="28"/>
          <w:szCs w:val="28"/>
          <w:highlight w:val="none"/>
          <w:lang w:val="en-US" w:eastAsia="zh-CN"/>
        </w:rPr>
        <w:t>高级）</w:t>
      </w:r>
      <w:r>
        <w:rPr>
          <w:rFonts w:hint="eastAsia" w:ascii="宋体" w:hAnsi="宋体" w:cs="宋体"/>
          <w:sz w:val="28"/>
          <w:szCs w:val="28"/>
          <w:highlight w:val="none"/>
        </w:rPr>
        <w:t>证书</w:t>
      </w:r>
      <w:r>
        <w:rPr>
          <w:rFonts w:hint="eastAsia" w:ascii="宋体" w:hAnsi="宋体" w:cs="宋体"/>
          <w:sz w:val="28"/>
          <w:szCs w:val="28"/>
          <w:highlight w:val="none"/>
          <w:lang w:eastAsia="zh-CN"/>
        </w:rPr>
        <w:t>、</w:t>
      </w:r>
      <w:r>
        <w:rPr>
          <w:rFonts w:hint="eastAsia" w:ascii="宋体" w:hAnsi="宋体" w:cs="宋体"/>
          <w:sz w:val="28"/>
          <w:szCs w:val="28"/>
          <w:highlight w:val="none"/>
        </w:rPr>
        <w:t>系统规划与管理师（高级）证书</w:t>
      </w:r>
      <w:r>
        <w:rPr>
          <w:rFonts w:hint="eastAsia" w:ascii="宋体" w:hAnsi="宋体" w:cs="宋体"/>
          <w:sz w:val="28"/>
          <w:szCs w:val="28"/>
          <w:highlight w:val="none"/>
          <w:lang w:eastAsia="zh-CN"/>
        </w:rPr>
        <w:t>优先考虑</w:t>
      </w:r>
      <w:r>
        <w:rPr>
          <w:rFonts w:hint="eastAsia" w:ascii="宋体" w:hAnsi="宋体" w:cs="宋体"/>
          <w:sz w:val="28"/>
          <w:szCs w:val="28"/>
          <w:highlight w:val="none"/>
        </w:rPr>
        <w:t>，负责对项目实行质量、安全、进度、成本管理等；</w:t>
      </w:r>
    </w:p>
    <w:p w14:paraId="293D5D2A">
      <w:pPr>
        <w:ind w:firstLine="560"/>
        <w:rPr>
          <w:rFonts w:ascii="宋体" w:hAnsi="宋体" w:cs="宋体"/>
          <w:sz w:val="28"/>
          <w:szCs w:val="28"/>
          <w:highlight w:val="none"/>
        </w:rPr>
      </w:pPr>
      <w:r>
        <w:rPr>
          <w:rFonts w:hint="eastAsia" w:ascii="宋体" w:hAnsi="宋体" w:cs="宋体"/>
          <w:sz w:val="28"/>
          <w:szCs w:val="28"/>
          <w:highlight w:val="none"/>
        </w:rPr>
        <w:t>技术负责人1名，具有具有网络或通信相关专业高级职称、信息安全相关认证等</w:t>
      </w:r>
      <w:r>
        <w:rPr>
          <w:rFonts w:hint="eastAsia" w:ascii="宋体" w:hAnsi="宋体" w:cs="宋体"/>
          <w:sz w:val="28"/>
          <w:szCs w:val="28"/>
          <w:highlight w:val="none"/>
          <w:lang w:eastAsia="zh-CN"/>
        </w:rPr>
        <w:t>优先考虑</w:t>
      </w:r>
      <w:r>
        <w:rPr>
          <w:rFonts w:hint="eastAsia" w:ascii="宋体" w:hAnsi="宋体" w:cs="宋体"/>
          <w:sz w:val="28"/>
          <w:szCs w:val="28"/>
          <w:highlight w:val="none"/>
        </w:rPr>
        <w:t>，负责对项目整体技术架构规划设计；</w:t>
      </w:r>
    </w:p>
    <w:p w14:paraId="19558696">
      <w:pPr>
        <w:ind w:firstLine="560"/>
        <w:rPr>
          <w:rFonts w:ascii="宋体" w:hAnsi="宋体" w:cs="宋体"/>
          <w:sz w:val="28"/>
          <w:szCs w:val="28"/>
          <w:highlight w:val="none"/>
        </w:rPr>
      </w:pPr>
      <w:r>
        <w:rPr>
          <w:rFonts w:hint="eastAsia" w:ascii="宋体" w:hAnsi="宋体" w:cs="宋体"/>
          <w:sz w:val="28"/>
          <w:szCs w:val="28"/>
          <w:highlight w:val="none"/>
        </w:rPr>
        <w:t>商务经理1名，负责与招标单位进行商务对接，发现合作中的问题并提出解决建议等；</w:t>
      </w:r>
    </w:p>
    <w:p w14:paraId="0C19BEA9">
      <w:pPr>
        <w:ind w:firstLine="560"/>
        <w:rPr>
          <w:rFonts w:hint="eastAsia" w:ascii="宋体" w:hAnsi="宋体" w:cs="宋体"/>
          <w:sz w:val="28"/>
          <w:szCs w:val="28"/>
          <w:highlight w:val="none"/>
        </w:rPr>
      </w:pPr>
      <w:r>
        <w:rPr>
          <w:rFonts w:hint="eastAsia" w:ascii="宋体" w:hAnsi="宋体" w:cs="宋体"/>
          <w:sz w:val="28"/>
          <w:szCs w:val="28"/>
          <w:highlight w:val="none"/>
        </w:rPr>
        <w:t>项目团队成员：</w:t>
      </w:r>
    </w:p>
    <w:p w14:paraId="6C42A546">
      <w:pPr>
        <w:ind w:firstLine="560"/>
        <w:rPr>
          <w:rFonts w:hint="eastAsia" w:ascii="宋体" w:hAnsi="宋体" w:cs="宋体"/>
          <w:sz w:val="28"/>
          <w:szCs w:val="28"/>
          <w:highlight w:val="none"/>
        </w:rPr>
      </w:pPr>
      <w:r>
        <w:rPr>
          <w:rFonts w:hint="eastAsia" w:ascii="宋体" w:hAnsi="宋体" w:cs="宋体"/>
          <w:sz w:val="28"/>
          <w:szCs w:val="28"/>
          <w:highlight w:val="none"/>
        </w:rPr>
        <w:t>软件开发人员</w:t>
      </w:r>
      <w:r>
        <w:rPr>
          <w:rFonts w:hint="eastAsia" w:ascii="宋体" w:hAnsi="宋体" w:cs="宋体"/>
          <w:sz w:val="28"/>
          <w:szCs w:val="28"/>
          <w:highlight w:val="none"/>
          <w:lang w:eastAsia="zh-CN"/>
        </w:rPr>
        <w:t>不少于</w:t>
      </w:r>
      <w:r>
        <w:rPr>
          <w:rFonts w:hint="eastAsia" w:ascii="宋体" w:hAnsi="宋体" w:cs="宋体"/>
          <w:sz w:val="28"/>
          <w:szCs w:val="28"/>
          <w:highlight w:val="none"/>
          <w:lang w:val="en-US" w:eastAsia="zh-CN"/>
        </w:rPr>
        <w:t>7名，</w:t>
      </w:r>
      <w:r>
        <w:rPr>
          <w:rFonts w:hint="eastAsia" w:ascii="宋体" w:hAnsi="宋体" w:cs="宋体"/>
          <w:sz w:val="28"/>
          <w:szCs w:val="28"/>
          <w:highlight w:val="none"/>
        </w:rPr>
        <w:t>负责根据用户要求，进行需求分析、设计、实现和测试等工作；</w:t>
      </w:r>
    </w:p>
    <w:p w14:paraId="5ABF28DA">
      <w:pPr>
        <w:ind w:firstLine="560"/>
        <w:rPr>
          <w:rFonts w:hint="eastAsia" w:ascii="宋体" w:hAnsi="宋体" w:cs="宋体"/>
          <w:sz w:val="28"/>
          <w:szCs w:val="28"/>
          <w:highlight w:val="none"/>
        </w:rPr>
      </w:pPr>
      <w:r>
        <w:rPr>
          <w:rFonts w:hint="eastAsia" w:ascii="宋体" w:hAnsi="宋体" w:cs="宋体"/>
          <w:sz w:val="28"/>
          <w:szCs w:val="28"/>
          <w:highlight w:val="none"/>
        </w:rPr>
        <w:t>售后技术支持人员</w:t>
      </w:r>
      <w:r>
        <w:rPr>
          <w:rFonts w:hint="eastAsia" w:ascii="宋体" w:hAnsi="宋体" w:cs="宋体"/>
          <w:sz w:val="28"/>
          <w:szCs w:val="28"/>
          <w:highlight w:val="none"/>
          <w:lang w:val="en-US" w:eastAsia="zh-CN"/>
        </w:rPr>
        <w:t>3</w:t>
      </w:r>
      <w:r>
        <w:rPr>
          <w:rFonts w:hint="eastAsia" w:ascii="宋体" w:hAnsi="宋体" w:cs="宋体"/>
          <w:sz w:val="28"/>
          <w:szCs w:val="28"/>
          <w:highlight w:val="none"/>
        </w:rPr>
        <w:t>名，负责为本项目相关系统提供售后服务，帮助用户诊断并解决其在使用系统过程中出现的有明显症状的，可能由系统导致的技术问题。</w:t>
      </w:r>
    </w:p>
    <w:p w14:paraId="6D95482F">
      <w:pPr>
        <w:ind w:firstLine="560"/>
        <w:rPr>
          <w:rFonts w:ascii="宋体" w:hAnsi="宋体" w:cs="宋体"/>
          <w:sz w:val="28"/>
          <w:szCs w:val="28"/>
          <w:highlight w:val="none"/>
        </w:rPr>
      </w:pPr>
      <w:r>
        <w:rPr>
          <w:rFonts w:hint="eastAsia" w:ascii="宋体" w:hAnsi="宋体" w:cs="宋体"/>
          <w:sz w:val="28"/>
          <w:szCs w:val="28"/>
          <w:highlight w:val="none"/>
        </w:rPr>
        <w:t>项目技术团队组成具有计算机相关专业职称或考试证书，例如：信息系统项目管理师、系统分析师、系统架构设计师、网络规划设计师、系统规划与管理师、软件评测师、软件设计师、网络工程师、系统集成项目管理工程师、数据库系统工程师</w:t>
      </w:r>
      <w:r>
        <w:rPr>
          <w:rFonts w:hint="eastAsia" w:ascii="宋体" w:hAnsi="宋体" w:cs="宋体"/>
          <w:sz w:val="28"/>
          <w:szCs w:val="28"/>
          <w:highlight w:val="none"/>
          <w:lang w:eastAsia="zh-CN"/>
        </w:rPr>
        <w:t>优先考虑</w:t>
      </w:r>
      <w:r>
        <w:rPr>
          <w:rFonts w:hint="eastAsia" w:ascii="宋体" w:hAnsi="宋体" w:cs="宋体"/>
          <w:sz w:val="28"/>
          <w:szCs w:val="28"/>
          <w:highlight w:val="none"/>
        </w:rPr>
        <w:t>。提供投标人为以上技术人员依法缴纳社保费的证明。</w:t>
      </w:r>
    </w:p>
    <w:p w14:paraId="7C82D88C">
      <w:pPr>
        <w:ind w:firstLine="560"/>
        <w:rPr>
          <w:rFonts w:ascii="宋体" w:hAnsi="宋体" w:cs="宋体"/>
          <w:sz w:val="28"/>
          <w:szCs w:val="28"/>
          <w:highlight w:val="none"/>
        </w:rPr>
      </w:pPr>
      <w:r>
        <w:rPr>
          <w:rFonts w:hint="eastAsia" w:ascii="宋体" w:hAnsi="宋体" w:cs="宋体"/>
          <w:sz w:val="28"/>
          <w:szCs w:val="28"/>
          <w:highlight w:val="none"/>
        </w:rPr>
        <w:t>投标单位应保证，在本项目建设期间，应保持持续稳定的人力投入。其中应承诺项目实施期间项目主要负责人（项目</w:t>
      </w:r>
      <w:r>
        <w:rPr>
          <w:rFonts w:hint="eastAsia" w:ascii="宋体" w:hAnsi="宋体" w:cs="宋体"/>
          <w:sz w:val="28"/>
          <w:szCs w:val="28"/>
          <w:highlight w:val="none"/>
          <w:lang w:eastAsia="zh-CN"/>
        </w:rPr>
        <w:t>经理</w:t>
      </w:r>
      <w:r>
        <w:rPr>
          <w:rFonts w:hint="eastAsia" w:ascii="宋体" w:hAnsi="宋体" w:cs="宋体"/>
          <w:sz w:val="28"/>
          <w:szCs w:val="28"/>
          <w:highlight w:val="none"/>
        </w:rPr>
        <w:t>、技术负责人）90%以上时间在本项目现场。组织或参与项目例会、项目协调会等项目相关会议。</w:t>
      </w:r>
    </w:p>
    <w:p w14:paraId="53ED305F">
      <w:pPr>
        <w:ind w:firstLine="560"/>
        <w:rPr>
          <w:rFonts w:ascii="宋体" w:hAnsi="宋体" w:cs="宋体"/>
          <w:sz w:val="28"/>
          <w:szCs w:val="28"/>
          <w:highlight w:val="none"/>
        </w:rPr>
      </w:pPr>
      <w:r>
        <w:rPr>
          <w:rFonts w:hint="eastAsia" w:ascii="宋体" w:hAnsi="宋体" w:cs="宋体"/>
          <w:sz w:val="28"/>
          <w:szCs w:val="28"/>
          <w:highlight w:val="none"/>
        </w:rPr>
        <w:t>项目在初验前，项目</w:t>
      </w:r>
      <w:r>
        <w:rPr>
          <w:rFonts w:hint="eastAsia" w:ascii="宋体" w:hAnsi="宋体" w:cs="宋体"/>
          <w:sz w:val="28"/>
          <w:szCs w:val="28"/>
          <w:highlight w:val="none"/>
          <w:lang w:eastAsia="zh-CN"/>
        </w:rPr>
        <w:t>经理</w:t>
      </w:r>
      <w:r>
        <w:rPr>
          <w:rFonts w:hint="eastAsia" w:ascii="宋体" w:hAnsi="宋体" w:cs="宋体"/>
          <w:sz w:val="28"/>
          <w:szCs w:val="28"/>
          <w:highlight w:val="none"/>
        </w:rPr>
        <w:t>不能撤离，在初验后根据需要有专业的维护团队在岗。</w:t>
      </w:r>
    </w:p>
    <w:p w14:paraId="773A4192">
      <w:pPr>
        <w:ind w:firstLine="560"/>
        <w:rPr>
          <w:rFonts w:ascii="宋体" w:hAnsi="宋体" w:cs="宋体"/>
          <w:sz w:val="28"/>
          <w:szCs w:val="28"/>
          <w:highlight w:val="none"/>
        </w:rPr>
      </w:pPr>
      <w:r>
        <w:rPr>
          <w:rFonts w:hint="eastAsia" w:ascii="宋体" w:hAnsi="宋体" w:cs="宋体"/>
          <w:sz w:val="28"/>
          <w:szCs w:val="28"/>
          <w:highlight w:val="none"/>
        </w:rPr>
        <w:t>投标单位应提供整体的项目系统集成、设备安装及实施管理方案。</w:t>
      </w:r>
    </w:p>
    <w:p w14:paraId="56EDED95">
      <w:pPr>
        <w:numPr>
          <w:ilvl w:val="0"/>
          <w:numId w:val="2"/>
        </w:numPr>
        <w:outlineLvl w:val="1"/>
        <w:rPr>
          <w:rFonts w:hint="default" w:ascii="楷体" w:hAnsi="楷体" w:eastAsia="楷体" w:cs="楷体"/>
          <w:b/>
          <w:bCs/>
          <w:color w:val="000000"/>
          <w:szCs w:val="32"/>
          <w:highlight w:val="none"/>
          <w:lang w:val="en-US" w:eastAsia="zh-CN"/>
        </w:rPr>
      </w:pPr>
      <w:r>
        <w:rPr>
          <w:rFonts w:hint="eastAsia" w:ascii="楷体" w:hAnsi="楷体" w:eastAsia="楷体" w:cs="楷体"/>
          <w:b/>
          <w:bCs/>
          <w:color w:val="000000"/>
          <w:szCs w:val="32"/>
          <w:highlight w:val="none"/>
          <w:lang w:val="en-US" w:eastAsia="zh-CN"/>
        </w:rPr>
        <w:t>进度与计划管理要求</w:t>
      </w:r>
    </w:p>
    <w:p w14:paraId="6AE74D21">
      <w:pPr>
        <w:ind w:firstLine="56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本项目建设周期为12个月。要求项目合同签订后，1-3个月内完成定制开发等相关工作，系统主体功能具备试运行条件。3-10个月内完成全部功能开发测试，并能够上线运行。同时试运行不少于2个月，期间应能够按照建设单位需求进行系统软件功能的持续优化、开发。</w:t>
      </w:r>
    </w:p>
    <w:p w14:paraId="5BC33C03">
      <w:pPr>
        <w:ind w:firstLine="56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招标单位有权监督和管理投标项目的测试、安装、集成、验收等各项工作，投标单位必须接受并服从采购人的监督、管理要求。</w:t>
      </w:r>
    </w:p>
    <w:p w14:paraId="03ADEA38">
      <w:pPr>
        <w:ind w:firstLine="560"/>
        <w:rPr>
          <w:rFonts w:hint="eastAsia" w:ascii="宋体" w:hAnsi="宋体" w:cs="宋体"/>
          <w:sz w:val="28"/>
          <w:szCs w:val="28"/>
          <w:highlight w:val="none"/>
          <w:lang w:val="en-US" w:eastAsia="zh-CN"/>
        </w:rPr>
      </w:pPr>
      <w:r>
        <w:rPr>
          <w:rFonts w:hint="eastAsia" w:ascii="宋体" w:hAnsi="宋体" w:cs="宋体"/>
          <w:sz w:val="28"/>
          <w:szCs w:val="28"/>
          <w:highlight w:val="none"/>
          <w:lang w:val="en-US" w:eastAsia="zh-CN"/>
        </w:rPr>
        <w:t>投标单位中标后必须提交正式的系统集成工作方案，明确系统集成方式、方法、过程步骤、需协调的事项等，并经采购人审核、同意。</w:t>
      </w:r>
    </w:p>
    <w:p w14:paraId="555E21A3">
      <w:pPr>
        <w:ind w:firstLine="560"/>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中标人在实施过程中必须按周、月提交进度报告，对项目问题等进行说明，制定合理的解决措施。</w:t>
      </w:r>
    </w:p>
    <w:p w14:paraId="124D5486">
      <w:pPr>
        <w:outlineLvl w:val="1"/>
        <w:rPr>
          <w:rFonts w:ascii="楷体" w:hAnsi="楷体" w:eastAsia="楷体" w:cs="楷体"/>
          <w:b/>
          <w:bCs/>
          <w:color w:val="000000"/>
          <w:szCs w:val="32"/>
          <w:highlight w:val="none"/>
        </w:rPr>
      </w:pPr>
      <w:r>
        <w:rPr>
          <w:rFonts w:hint="eastAsia" w:ascii="楷体" w:hAnsi="楷体" w:eastAsia="楷体" w:cs="楷体"/>
          <w:b/>
          <w:bCs/>
          <w:color w:val="000000"/>
          <w:szCs w:val="32"/>
          <w:highlight w:val="none"/>
          <w:lang w:val="en-US" w:eastAsia="zh-CN"/>
        </w:rPr>
        <w:t>5、</w:t>
      </w:r>
      <w:r>
        <w:rPr>
          <w:rFonts w:hint="eastAsia" w:ascii="楷体" w:hAnsi="楷体" w:eastAsia="楷体" w:cs="楷体"/>
          <w:b/>
          <w:bCs/>
          <w:color w:val="000000"/>
          <w:szCs w:val="32"/>
          <w:highlight w:val="none"/>
        </w:rPr>
        <w:t>质量与安全管理要求</w:t>
      </w:r>
    </w:p>
    <w:p w14:paraId="618ECF92">
      <w:pPr>
        <w:ind w:firstLine="560"/>
        <w:rPr>
          <w:rFonts w:ascii="宋体" w:hAnsi="宋体" w:cs="宋体"/>
          <w:sz w:val="28"/>
          <w:szCs w:val="28"/>
          <w:highlight w:val="none"/>
        </w:rPr>
      </w:pPr>
      <w:r>
        <w:rPr>
          <w:rFonts w:hint="eastAsia" w:ascii="宋体" w:hAnsi="宋体" w:cs="宋体"/>
          <w:sz w:val="28"/>
          <w:szCs w:val="28"/>
          <w:highlight w:val="none"/>
        </w:rPr>
        <w:t>投标单位需提交正式的质量控制方案，明确质量控制点、 控制内容、 质量要求、检查记录要求，并经采购人审核、批准。</w:t>
      </w:r>
    </w:p>
    <w:p w14:paraId="0D1962E3">
      <w:pPr>
        <w:ind w:firstLine="560"/>
        <w:rPr>
          <w:rFonts w:ascii="宋体" w:hAnsi="宋体" w:cs="宋体"/>
          <w:sz w:val="28"/>
          <w:szCs w:val="28"/>
          <w:highlight w:val="none"/>
        </w:rPr>
      </w:pPr>
      <w:r>
        <w:rPr>
          <w:rFonts w:hint="eastAsia" w:ascii="宋体" w:hAnsi="宋体" w:cs="宋体"/>
          <w:sz w:val="28"/>
          <w:szCs w:val="28"/>
          <w:highlight w:val="none"/>
        </w:rPr>
        <w:t>投标单位在项目实施过程中应开展质量保证活动，所提交的进度报告应包括质量报告内容，对质量问题制定改进措施并有效执行。</w:t>
      </w:r>
    </w:p>
    <w:p w14:paraId="3FF0C263">
      <w:pPr>
        <w:ind w:firstLine="560"/>
        <w:rPr>
          <w:rFonts w:ascii="宋体" w:hAnsi="宋体" w:cs="宋体"/>
          <w:sz w:val="28"/>
          <w:szCs w:val="28"/>
          <w:highlight w:val="none"/>
        </w:rPr>
      </w:pPr>
      <w:r>
        <w:rPr>
          <w:rFonts w:hint="eastAsia" w:ascii="宋体" w:hAnsi="宋体" w:cs="宋体"/>
          <w:sz w:val="28"/>
          <w:szCs w:val="28"/>
          <w:highlight w:val="none"/>
        </w:rPr>
        <w:t>投标单位需接受招标单位的质量监督检查，提供真实有效的相关质量活动记录、证据，无条件接受采购人提出的质量问题整改要求，承担质量责任及因质量问题导致的进度延迟责任。</w:t>
      </w:r>
    </w:p>
    <w:p w14:paraId="23842A24">
      <w:pPr>
        <w:ind w:firstLine="560"/>
        <w:rPr>
          <w:rFonts w:ascii="宋体" w:hAnsi="宋体" w:cs="宋体"/>
          <w:sz w:val="28"/>
          <w:szCs w:val="28"/>
          <w:highlight w:val="none"/>
        </w:rPr>
      </w:pPr>
      <w:r>
        <w:rPr>
          <w:rFonts w:hint="eastAsia" w:ascii="宋体" w:hAnsi="宋体" w:cs="宋体"/>
          <w:sz w:val="28"/>
          <w:szCs w:val="28"/>
          <w:highlight w:val="none"/>
        </w:rPr>
        <w:t>投标单位需服从监理方在招标单位授权范围内对本项目工程质量、安全的监督。</w:t>
      </w:r>
    </w:p>
    <w:p w14:paraId="3CB701C9">
      <w:pPr>
        <w:ind w:firstLine="560"/>
        <w:rPr>
          <w:rFonts w:ascii="宋体" w:hAnsi="宋体" w:cs="宋体"/>
          <w:sz w:val="28"/>
          <w:szCs w:val="28"/>
          <w:highlight w:val="none"/>
        </w:rPr>
      </w:pPr>
      <w:r>
        <w:rPr>
          <w:rFonts w:hint="eastAsia" w:ascii="宋体" w:hAnsi="宋体" w:cs="宋体"/>
          <w:sz w:val="28"/>
          <w:szCs w:val="28"/>
          <w:highlight w:val="none"/>
        </w:rPr>
        <w:t>投标单位工作人员在工作过程中，不得以任何形式私自外传、记录、下载和存储本系统中的任何信息和数据；不得使用未经招标单位主管部门许可的计算机和存储设备对上述信息和数据进行运行和操作。</w:t>
      </w:r>
    </w:p>
    <w:p w14:paraId="4F595FCD">
      <w:pPr>
        <w:ind w:firstLine="560"/>
        <w:rPr>
          <w:rFonts w:ascii="宋体" w:hAnsi="宋体" w:cs="宋体"/>
          <w:sz w:val="28"/>
          <w:szCs w:val="28"/>
          <w:highlight w:val="none"/>
        </w:rPr>
      </w:pPr>
      <w:r>
        <w:rPr>
          <w:rFonts w:hint="eastAsia" w:ascii="宋体" w:hAnsi="宋体" w:cs="宋体"/>
          <w:sz w:val="28"/>
          <w:szCs w:val="28"/>
          <w:highlight w:val="none"/>
        </w:rPr>
        <w:t>投标单位工作人员未经招标单位相关工作人员许可，不得将本系统中的任何信息和数据以任何形式在任何网络和媒体上发布和传播。</w:t>
      </w:r>
    </w:p>
    <w:p w14:paraId="57431D8A">
      <w:pPr>
        <w:ind w:firstLine="560"/>
        <w:rPr>
          <w:rFonts w:ascii="Times New Roman" w:hAnsi="Times New Roman"/>
          <w:sz w:val="28"/>
          <w:szCs w:val="20"/>
          <w:highlight w:val="none"/>
        </w:rPr>
      </w:pPr>
      <w:r>
        <w:rPr>
          <w:rFonts w:hint="eastAsia" w:ascii="宋体" w:hAnsi="宋体" w:cs="宋体"/>
          <w:sz w:val="28"/>
          <w:szCs w:val="28"/>
          <w:highlight w:val="none"/>
        </w:rPr>
        <w:t>维护工作中的一切行为，应该符合招标单位信息安全的有关规定</w:t>
      </w:r>
      <w:r>
        <w:rPr>
          <w:rFonts w:hint="eastAsia" w:ascii="Times New Roman" w:hAnsi="Times New Roman"/>
          <w:sz w:val="28"/>
          <w:szCs w:val="20"/>
          <w:highlight w:val="none"/>
        </w:rPr>
        <w:t>。</w:t>
      </w:r>
    </w:p>
    <w:p w14:paraId="01F13131">
      <w:pPr>
        <w:outlineLvl w:val="1"/>
        <w:rPr>
          <w:rFonts w:ascii="楷体" w:hAnsi="楷体" w:eastAsia="楷体" w:cs="楷体"/>
          <w:b/>
          <w:bCs/>
          <w:szCs w:val="32"/>
          <w:highlight w:val="none"/>
        </w:rPr>
      </w:pPr>
      <w:r>
        <w:rPr>
          <w:rFonts w:hint="eastAsia" w:ascii="楷体" w:hAnsi="楷体" w:eastAsia="楷体" w:cs="楷体"/>
          <w:b/>
          <w:bCs/>
          <w:szCs w:val="32"/>
          <w:highlight w:val="none"/>
          <w:lang w:val="en-US" w:eastAsia="zh-CN"/>
        </w:rPr>
        <w:t>6</w:t>
      </w:r>
      <w:r>
        <w:rPr>
          <w:rFonts w:ascii="楷体" w:hAnsi="楷体" w:eastAsia="楷体" w:cs="楷体"/>
          <w:b/>
          <w:bCs/>
          <w:szCs w:val="32"/>
          <w:highlight w:val="none"/>
        </w:rPr>
        <w:t>、</w:t>
      </w:r>
      <w:r>
        <w:rPr>
          <w:rFonts w:hint="eastAsia" w:ascii="楷体" w:hAnsi="楷体" w:eastAsia="楷体" w:cs="楷体"/>
          <w:b/>
          <w:bCs/>
          <w:szCs w:val="32"/>
          <w:highlight w:val="none"/>
        </w:rPr>
        <w:t>培训要求</w:t>
      </w:r>
    </w:p>
    <w:p w14:paraId="7D30D345">
      <w:pPr>
        <w:ind w:firstLine="560"/>
        <w:rPr>
          <w:rFonts w:ascii="宋体" w:hAnsi="宋体" w:cs="宋体"/>
          <w:sz w:val="28"/>
          <w:szCs w:val="28"/>
          <w:highlight w:val="none"/>
        </w:rPr>
      </w:pPr>
      <w:r>
        <w:rPr>
          <w:rFonts w:hint="eastAsia" w:ascii="宋体" w:hAnsi="宋体" w:cs="宋体"/>
          <w:sz w:val="28"/>
          <w:szCs w:val="28"/>
          <w:highlight w:val="none"/>
        </w:rPr>
        <w:t>本次</w:t>
      </w:r>
      <w:r>
        <w:rPr>
          <w:rFonts w:hint="eastAsia" w:ascii="宋体" w:hAnsi="宋体" w:cs="宋体"/>
          <w:sz w:val="28"/>
          <w:szCs w:val="28"/>
          <w:highlight w:val="none"/>
          <w:lang w:val="en-US" w:eastAsia="zh-CN"/>
        </w:rPr>
        <w:t>项目</w:t>
      </w:r>
      <w:r>
        <w:rPr>
          <w:rFonts w:hint="eastAsia" w:ascii="宋体" w:hAnsi="宋体" w:cs="宋体"/>
          <w:sz w:val="28"/>
          <w:szCs w:val="28"/>
          <w:highlight w:val="none"/>
        </w:rPr>
        <w:t>投标单位应负责对招标单位的技术支撑队伍进行维护培训，满足招标单位能独立进行系统维护需要；</w:t>
      </w:r>
    </w:p>
    <w:p w14:paraId="4259DE58">
      <w:pPr>
        <w:ind w:firstLine="560"/>
        <w:rPr>
          <w:rFonts w:ascii="宋体" w:hAnsi="宋体" w:cs="宋体"/>
          <w:sz w:val="28"/>
          <w:szCs w:val="28"/>
          <w:highlight w:val="none"/>
        </w:rPr>
      </w:pPr>
      <w:r>
        <w:rPr>
          <w:rFonts w:hint="eastAsia" w:ascii="宋体" w:hAnsi="宋体" w:cs="宋体"/>
          <w:sz w:val="28"/>
          <w:szCs w:val="28"/>
          <w:highlight w:val="none"/>
        </w:rPr>
        <w:t>投标单位应负责招标单位相关的工作人员、系统管理人员的技术培训，培训内容包括：技术培训、管理培训</w:t>
      </w:r>
      <w:r>
        <w:rPr>
          <w:rFonts w:hint="eastAsia" w:ascii="宋体" w:hAnsi="宋体" w:cs="宋体"/>
          <w:sz w:val="28"/>
          <w:szCs w:val="28"/>
          <w:highlight w:val="none"/>
          <w:lang w:eastAsia="zh-CN"/>
        </w:rPr>
        <w:t>、</w:t>
      </w:r>
      <w:r>
        <w:rPr>
          <w:rFonts w:hint="eastAsia" w:ascii="宋体" w:hAnsi="宋体" w:cs="宋体"/>
          <w:sz w:val="28"/>
          <w:szCs w:val="28"/>
          <w:highlight w:val="none"/>
        </w:rPr>
        <w:t>使用培训；</w:t>
      </w:r>
    </w:p>
    <w:p w14:paraId="1EEFC367">
      <w:pPr>
        <w:ind w:firstLine="560"/>
        <w:rPr>
          <w:rFonts w:ascii="宋体" w:hAnsi="宋体" w:cs="宋体"/>
          <w:sz w:val="28"/>
          <w:szCs w:val="28"/>
          <w:highlight w:val="none"/>
        </w:rPr>
      </w:pPr>
      <w:r>
        <w:rPr>
          <w:rFonts w:hint="eastAsia" w:ascii="宋体" w:hAnsi="宋体" w:cs="宋体"/>
          <w:sz w:val="28"/>
          <w:szCs w:val="28"/>
          <w:highlight w:val="none"/>
        </w:rPr>
        <w:t>培训方式采用集中培训、现场培训、发放宣传材料等相结合的方式，针对不同层次的人员，开设不同的培训课程和确定培训方式；</w:t>
      </w:r>
    </w:p>
    <w:p w14:paraId="2BC824DE">
      <w:pPr>
        <w:ind w:firstLine="560"/>
        <w:rPr>
          <w:rFonts w:ascii="宋体" w:hAnsi="宋体" w:cs="宋体"/>
          <w:sz w:val="28"/>
          <w:szCs w:val="28"/>
          <w:highlight w:val="none"/>
        </w:rPr>
      </w:pPr>
      <w:r>
        <w:rPr>
          <w:rFonts w:hint="eastAsia" w:ascii="宋体" w:hAnsi="宋体" w:cs="宋体"/>
          <w:sz w:val="28"/>
          <w:szCs w:val="28"/>
          <w:highlight w:val="none"/>
        </w:rPr>
        <w:t>投标单位应提出培训的课程、培训地点和所需的培训时间及培训教材， 如对合同中确定的培训地点、时间等项目，如果在项目实施过程中投标单位提出变更，应提出书面通知。</w:t>
      </w:r>
    </w:p>
    <w:p w14:paraId="34B8EA2B">
      <w:pPr>
        <w:outlineLvl w:val="1"/>
        <w:rPr>
          <w:rFonts w:ascii="楷体" w:hAnsi="楷体" w:eastAsia="楷体" w:cs="楷体"/>
          <w:b/>
          <w:bCs/>
          <w:szCs w:val="32"/>
          <w:highlight w:val="none"/>
        </w:rPr>
      </w:pPr>
      <w:r>
        <w:rPr>
          <w:rFonts w:hint="eastAsia" w:ascii="楷体" w:hAnsi="楷体" w:eastAsia="楷体" w:cs="楷体"/>
          <w:b/>
          <w:bCs/>
          <w:szCs w:val="32"/>
          <w:highlight w:val="none"/>
          <w:lang w:val="en-US" w:eastAsia="zh-CN"/>
        </w:rPr>
        <w:t>7</w:t>
      </w:r>
      <w:r>
        <w:rPr>
          <w:rFonts w:ascii="楷体" w:hAnsi="楷体" w:eastAsia="楷体" w:cs="楷体"/>
          <w:b/>
          <w:bCs/>
          <w:szCs w:val="32"/>
          <w:highlight w:val="none"/>
        </w:rPr>
        <w:t>、</w:t>
      </w:r>
      <w:r>
        <w:rPr>
          <w:rFonts w:hint="eastAsia" w:ascii="楷体" w:hAnsi="楷体" w:eastAsia="楷体" w:cs="楷体"/>
          <w:b/>
          <w:bCs/>
          <w:szCs w:val="32"/>
          <w:highlight w:val="none"/>
        </w:rPr>
        <w:t>验收要求</w:t>
      </w:r>
    </w:p>
    <w:p w14:paraId="5A19EB50">
      <w:pPr>
        <w:ind w:firstLine="560"/>
        <w:rPr>
          <w:rFonts w:ascii="宋体" w:hAnsi="宋体" w:cs="宋体"/>
          <w:sz w:val="28"/>
          <w:szCs w:val="28"/>
          <w:highlight w:val="none"/>
        </w:rPr>
      </w:pPr>
      <w:r>
        <w:rPr>
          <w:rFonts w:hint="eastAsia" w:ascii="宋体" w:hAnsi="宋体" w:cs="宋体"/>
          <w:sz w:val="28"/>
          <w:szCs w:val="28"/>
          <w:highlight w:val="none"/>
        </w:rPr>
        <w:t>投标单位与招标单位在验收过程中将密切合作，招标单位承诺：在法律法规和政策允许的范围内，积极为投标单位提供与项目相关的协调和帮助。</w:t>
      </w:r>
    </w:p>
    <w:p w14:paraId="2141913E">
      <w:pPr>
        <w:ind w:firstLine="560"/>
        <w:rPr>
          <w:rFonts w:ascii="宋体" w:hAnsi="宋体" w:cs="宋体"/>
          <w:sz w:val="28"/>
          <w:szCs w:val="28"/>
          <w:highlight w:val="none"/>
        </w:rPr>
      </w:pPr>
      <w:r>
        <w:rPr>
          <w:rFonts w:hint="eastAsia" w:ascii="宋体" w:hAnsi="宋体" w:cs="宋体"/>
          <w:sz w:val="28"/>
          <w:szCs w:val="28"/>
          <w:highlight w:val="none"/>
        </w:rPr>
        <w:t>投标单位可在合同工期内提交项目成果终稿并书面提出验收申请。投标单位递交合格的项目成果终稿之日视为投标单位实际工期结束日，项目终验验收不合格视为投标单位实际工期未结束（持续计算），直到投标单位提交合格的项目成果终稿之日为止。</w:t>
      </w:r>
    </w:p>
    <w:p w14:paraId="7B1248A5">
      <w:pPr>
        <w:ind w:firstLine="560"/>
        <w:rPr>
          <w:rFonts w:ascii="宋体" w:hAnsi="宋体" w:cs="宋体"/>
          <w:sz w:val="28"/>
          <w:szCs w:val="28"/>
          <w:highlight w:val="none"/>
        </w:rPr>
      </w:pPr>
      <w:r>
        <w:rPr>
          <w:rFonts w:hint="eastAsia" w:ascii="宋体" w:hAnsi="宋体" w:cs="宋体"/>
          <w:sz w:val="28"/>
          <w:szCs w:val="28"/>
          <w:highlight w:val="none"/>
        </w:rPr>
        <w:t>投标单位在递交项目成果终稿的同时向招标单位提出书面验收申请（项目</w:t>
      </w:r>
      <w:r>
        <w:rPr>
          <w:rFonts w:hint="eastAsia" w:ascii="宋体" w:hAnsi="宋体" w:cs="宋体"/>
          <w:sz w:val="28"/>
          <w:szCs w:val="28"/>
          <w:highlight w:val="none"/>
          <w:lang w:eastAsia="zh-CN"/>
        </w:rPr>
        <w:t>经理</w:t>
      </w:r>
      <w:r>
        <w:rPr>
          <w:rFonts w:hint="eastAsia" w:ascii="宋体" w:hAnsi="宋体" w:cs="宋体"/>
          <w:sz w:val="28"/>
          <w:szCs w:val="28"/>
          <w:highlight w:val="none"/>
        </w:rPr>
        <w:t>签字）。未向招标单位提交书面验收申请的，视为投标单位实际工期未结束。</w:t>
      </w:r>
    </w:p>
    <w:p w14:paraId="2BB1BA42">
      <w:pPr>
        <w:ind w:firstLine="560"/>
        <w:rPr>
          <w:rFonts w:ascii="宋体" w:hAnsi="宋体" w:cs="宋体"/>
          <w:sz w:val="28"/>
          <w:szCs w:val="28"/>
          <w:highlight w:val="none"/>
        </w:rPr>
      </w:pPr>
      <w:r>
        <w:rPr>
          <w:rFonts w:hint="eastAsia" w:ascii="宋体" w:hAnsi="宋体" w:cs="宋体"/>
          <w:sz w:val="28"/>
          <w:szCs w:val="28"/>
          <w:highlight w:val="none"/>
        </w:rPr>
        <w:t>招标单位对验收的认可、参加或放弃参加验收和测试，均不能减轻投标单对合同的任何责任。</w:t>
      </w:r>
    </w:p>
    <w:p w14:paraId="5731AC11">
      <w:pPr>
        <w:ind w:firstLine="560"/>
        <w:rPr>
          <w:rFonts w:ascii="Times New Roman" w:hAnsi="Times New Roman"/>
          <w:sz w:val="28"/>
          <w:szCs w:val="20"/>
          <w:highlight w:val="none"/>
        </w:rPr>
      </w:pPr>
      <w:r>
        <w:rPr>
          <w:rFonts w:hint="eastAsia" w:ascii="宋体" w:hAnsi="宋体" w:cs="宋体"/>
          <w:sz w:val="28"/>
          <w:szCs w:val="28"/>
          <w:highlight w:val="none"/>
        </w:rPr>
        <w:t>招标单位有权拒绝接收有明显缺陷的产品（服务）或要求进行改造，由此引起的一切费用由投标单位负责。改造后的产品（服务）重新进行验收。</w:t>
      </w:r>
    </w:p>
    <w:p w14:paraId="297557E2">
      <w:pPr>
        <w:numPr>
          <w:ilvl w:val="0"/>
          <w:numId w:val="0"/>
        </w:numPr>
        <w:tabs>
          <w:tab w:val="left" w:pos="7513"/>
        </w:tabs>
        <w:ind w:firstLine="643" w:firstLineChars="200"/>
        <w:jc w:val="left"/>
        <w:outlineLvl w:val="0"/>
        <w:rPr>
          <w:rFonts w:hint="eastAsia" w:ascii="黑体" w:hAnsi="黑体" w:eastAsia="黑体" w:cs="黑体"/>
          <w:b/>
          <w:bCs/>
          <w:szCs w:val="32"/>
          <w:highlight w:val="none"/>
        </w:rPr>
      </w:pPr>
      <w:r>
        <w:rPr>
          <w:rFonts w:hint="eastAsia" w:ascii="黑体" w:hAnsi="黑体" w:eastAsia="黑体" w:cs="黑体"/>
          <w:b/>
          <w:bCs/>
          <w:szCs w:val="32"/>
          <w:highlight w:val="none"/>
          <w:lang w:val="en-US" w:eastAsia="zh-CN"/>
        </w:rPr>
        <w:t>四、</w:t>
      </w:r>
      <w:r>
        <w:rPr>
          <w:rFonts w:hint="eastAsia" w:ascii="黑体" w:hAnsi="黑体" w:eastAsia="黑体" w:cs="黑体"/>
          <w:b/>
          <w:bCs/>
          <w:szCs w:val="32"/>
          <w:highlight w:val="none"/>
        </w:rPr>
        <w:t>售后服务</w:t>
      </w:r>
      <w:bookmarkEnd w:id="8"/>
      <w:bookmarkEnd w:id="9"/>
      <w:bookmarkEnd w:id="10"/>
      <w:r>
        <w:rPr>
          <w:rFonts w:hint="eastAsia" w:ascii="黑体" w:hAnsi="黑体" w:eastAsia="黑体" w:cs="黑体"/>
          <w:b/>
          <w:bCs/>
          <w:szCs w:val="32"/>
          <w:highlight w:val="none"/>
        </w:rPr>
        <w:t>要求</w:t>
      </w:r>
    </w:p>
    <w:p w14:paraId="697FB055">
      <w:pPr>
        <w:outlineLvl w:val="1"/>
        <w:rPr>
          <w:rFonts w:ascii="楷体" w:hAnsi="楷体" w:eastAsia="楷体" w:cs="楷体"/>
          <w:b/>
          <w:bCs/>
          <w:szCs w:val="32"/>
          <w:highlight w:val="none"/>
        </w:rPr>
      </w:pPr>
      <w:r>
        <w:rPr>
          <w:rFonts w:hint="eastAsia" w:ascii="楷体" w:hAnsi="楷体" w:eastAsia="楷体" w:cs="楷体"/>
          <w:b/>
          <w:bCs/>
          <w:szCs w:val="32"/>
          <w:highlight w:val="none"/>
        </w:rPr>
        <w:t>1、基本服务要求</w:t>
      </w:r>
    </w:p>
    <w:p w14:paraId="7F957E47">
      <w:pPr>
        <w:ind w:firstLine="560"/>
        <w:rPr>
          <w:rFonts w:ascii="宋体" w:hAnsi="宋体" w:cs="宋体"/>
          <w:sz w:val="28"/>
          <w:szCs w:val="28"/>
          <w:highlight w:val="none"/>
        </w:rPr>
      </w:pPr>
      <w:r>
        <w:rPr>
          <w:rFonts w:hint="eastAsia" w:ascii="宋体" w:hAnsi="宋体" w:cs="宋体"/>
          <w:sz w:val="28"/>
          <w:szCs w:val="28"/>
          <w:highlight w:val="none"/>
        </w:rPr>
        <w:t>投标单位需具有较强的系统集成能力，熟悉系统，并能够就系统的研发、测试及系统与硬件设备、系统软件之间的联调配备现场技术服务团队。</w:t>
      </w:r>
    </w:p>
    <w:p w14:paraId="0239945C">
      <w:pPr>
        <w:ind w:firstLine="560"/>
        <w:rPr>
          <w:rFonts w:ascii="宋体" w:hAnsi="宋体" w:cs="宋体"/>
          <w:sz w:val="28"/>
          <w:szCs w:val="28"/>
          <w:highlight w:val="none"/>
        </w:rPr>
      </w:pPr>
      <w:r>
        <w:rPr>
          <w:rFonts w:hint="eastAsia" w:ascii="宋体" w:hAnsi="宋体" w:cs="宋体"/>
          <w:sz w:val="28"/>
          <w:szCs w:val="28"/>
          <w:highlight w:val="none"/>
        </w:rPr>
        <w:t>系统上线后提供现场运维服务，保障系统的正常运行。质量</w:t>
      </w:r>
      <w:r>
        <w:rPr>
          <w:rFonts w:hint="eastAsia" w:ascii="宋体" w:hAnsi="宋体" w:cs="宋体"/>
          <w:sz w:val="28"/>
          <w:szCs w:val="28"/>
          <w:highlight w:val="none"/>
          <w:lang w:eastAsia="zh-CN"/>
        </w:rPr>
        <w:t>保证</w:t>
      </w:r>
      <w:r>
        <w:rPr>
          <w:rFonts w:hint="eastAsia" w:ascii="宋体" w:hAnsi="宋体" w:cs="宋体"/>
          <w:sz w:val="28"/>
          <w:szCs w:val="28"/>
          <w:highlight w:val="none"/>
        </w:rPr>
        <w:t>期从项目验收通过之日起3年。</w:t>
      </w:r>
    </w:p>
    <w:p w14:paraId="23EEC472">
      <w:pPr>
        <w:ind w:firstLine="560"/>
        <w:rPr>
          <w:rFonts w:ascii="宋体" w:hAnsi="宋体" w:cs="宋体"/>
          <w:sz w:val="28"/>
          <w:szCs w:val="28"/>
          <w:highlight w:val="none"/>
        </w:rPr>
      </w:pPr>
      <w:r>
        <w:rPr>
          <w:rFonts w:hint="eastAsia" w:ascii="宋体" w:hAnsi="宋体" w:cs="宋体"/>
          <w:sz w:val="28"/>
          <w:szCs w:val="28"/>
          <w:highlight w:val="none"/>
        </w:rPr>
        <w:t>提供限时修复服务：系统软件原因引起的故障，1个工作日内恢复使用。</w:t>
      </w:r>
    </w:p>
    <w:p w14:paraId="57CC5B66">
      <w:pPr>
        <w:outlineLvl w:val="1"/>
        <w:rPr>
          <w:rFonts w:ascii="楷体" w:hAnsi="楷体" w:eastAsia="楷体" w:cs="楷体"/>
          <w:b/>
          <w:bCs/>
          <w:szCs w:val="32"/>
          <w:highlight w:val="none"/>
        </w:rPr>
      </w:pPr>
      <w:r>
        <w:rPr>
          <w:rFonts w:hint="eastAsia" w:ascii="楷体" w:hAnsi="楷体" w:eastAsia="楷体" w:cs="楷体"/>
          <w:b/>
          <w:bCs/>
          <w:szCs w:val="32"/>
          <w:highlight w:val="none"/>
        </w:rPr>
        <w:t>2、电话支持要求</w:t>
      </w:r>
    </w:p>
    <w:p w14:paraId="675E4C36">
      <w:pPr>
        <w:ind w:firstLine="560"/>
        <w:rPr>
          <w:rFonts w:ascii="宋体" w:hAnsi="宋体" w:cs="宋体"/>
          <w:sz w:val="28"/>
          <w:szCs w:val="28"/>
          <w:highlight w:val="none"/>
        </w:rPr>
      </w:pPr>
      <w:r>
        <w:rPr>
          <w:rFonts w:hint="eastAsia" w:ascii="宋体" w:hAnsi="宋体" w:cs="宋体"/>
          <w:sz w:val="28"/>
          <w:szCs w:val="28"/>
          <w:highlight w:val="none"/>
        </w:rPr>
        <w:t>提供7*24电话支持，包含原厂支持中心的电话技术支持服务。</w:t>
      </w:r>
    </w:p>
    <w:p w14:paraId="721D6E66">
      <w:pPr>
        <w:outlineLvl w:val="1"/>
        <w:rPr>
          <w:rFonts w:ascii="楷体" w:hAnsi="楷体" w:eastAsia="楷体" w:cs="楷体"/>
          <w:b/>
          <w:bCs/>
          <w:szCs w:val="32"/>
          <w:highlight w:val="none"/>
        </w:rPr>
      </w:pPr>
      <w:r>
        <w:rPr>
          <w:rFonts w:hint="eastAsia" w:ascii="楷体" w:hAnsi="楷体" w:eastAsia="楷体" w:cs="楷体"/>
          <w:b/>
          <w:bCs/>
          <w:szCs w:val="32"/>
          <w:highlight w:val="none"/>
        </w:rPr>
        <w:t>3、现场服务要求</w:t>
      </w:r>
    </w:p>
    <w:p w14:paraId="3B9BB9E6">
      <w:pPr>
        <w:tabs>
          <w:tab w:val="left" w:pos="7513"/>
        </w:tabs>
        <w:spacing w:line="520" w:lineRule="exact"/>
        <w:ind w:firstLine="560"/>
        <w:jc w:val="left"/>
        <w:rPr>
          <w:rFonts w:ascii="宋体" w:hAnsi="宋体" w:cs="宋体"/>
          <w:sz w:val="28"/>
          <w:szCs w:val="28"/>
          <w:highlight w:val="none"/>
        </w:rPr>
      </w:pPr>
      <w:r>
        <w:rPr>
          <w:rFonts w:hint="eastAsia" w:ascii="宋体" w:hAnsi="宋体" w:cs="宋体"/>
          <w:sz w:val="28"/>
          <w:szCs w:val="28"/>
          <w:highlight w:val="none"/>
        </w:rPr>
        <w:t>提供5*9现场支持。</w:t>
      </w:r>
    </w:p>
    <w:p w14:paraId="40218EB3">
      <w:pPr>
        <w:outlineLvl w:val="1"/>
        <w:rPr>
          <w:rFonts w:ascii="楷体" w:hAnsi="楷体" w:eastAsia="楷体" w:cs="楷体"/>
          <w:b/>
          <w:bCs/>
          <w:szCs w:val="32"/>
          <w:highlight w:val="none"/>
        </w:rPr>
      </w:pPr>
      <w:r>
        <w:rPr>
          <w:rFonts w:hint="eastAsia" w:ascii="楷体" w:hAnsi="楷体" w:eastAsia="楷体" w:cs="楷体"/>
          <w:b/>
          <w:bCs/>
          <w:szCs w:val="32"/>
          <w:highlight w:val="none"/>
        </w:rPr>
        <w:t>4、非工作时间应急服务要求</w:t>
      </w:r>
    </w:p>
    <w:p w14:paraId="0D10C253">
      <w:pPr>
        <w:ind w:firstLine="560"/>
        <w:rPr>
          <w:rFonts w:ascii="宋体" w:hAnsi="宋体" w:cs="宋体"/>
          <w:sz w:val="28"/>
          <w:szCs w:val="28"/>
          <w:highlight w:val="none"/>
        </w:rPr>
      </w:pPr>
      <w:r>
        <w:rPr>
          <w:rFonts w:hint="eastAsia" w:ascii="宋体" w:hAnsi="宋体" w:cs="宋体"/>
          <w:sz w:val="28"/>
          <w:szCs w:val="28"/>
          <w:highlight w:val="none"/>
        </w:rPr>
        <w:t>提供非工作时间1小时内上门服务。</w:t>
      </w:r>
    </w:p>
    <w:p w14:paraId="7965AC81">
      <w:pPr>
        <w:ind w:firstLine="560"/>
        <w:rPr>
          <w:rFonts w:ascii="宋体" w:hAnsi="宋体" w:cs="宋体"/>
          <w:sz w:val="28"/>
          <w:szCs w:val="28"/>
          <w:highlight w:val="none"/>
        </w:rPr>
      </w:pPr>
      <w:r>
        <w:rPr>
          <w:rFonts w:hint="eastAsia" w:ascii="宋体" w:hAnsi="宋体" w:cs="宋体"/>
          <w:sz w:val="28"/>
          <w:szCs w:val="28"/>
          <w:highlight w:val="none"/>
        </w:rPr>
        <w:t>遇突发故障，工作时间需半小时响应，如有紧急或重大情况发生，根据院方要求增派工程师提供现场服务。</w:t>
      </w:r>
    </w:p>
    <w:p w14:paraId="370A8171">
      <w:pPr>
        <w:outlineLvl w:val="1"/>
        <w:rPr>
          <w:rFonts w:ascii="楷体" w:hAnsi="楷体" w:eastAsia="楷体" w:cs="楷体"/>
          <w:b/>
          <w:bCs/>
          <w:szCs w:val="32"/>
          <w:highlight w:val="none"/>
        </w:rPr>
      </w:pPr>
      <w:r>
        <w:rPr>
          <w:rFonts w:hint="eastAsia" w:ascii="楷体" w:hAnsi="楷体" w:eastAsia="楷体" w:cs="楷体"/>
          <w:b/>
          <w:bCs/>
          <w:szCs w:val="32"/>
          <w:highlight w:val="none"/>
        </w:rPr>
        <w:t>5、特定活动保障</w:t>
      </w:r>
    </w:p>
    <w:p w14:paraId="54811CFC">
      <w:pPr>
        <w:ind w:firstLine="560"/>
        <w:rPr>
          <w:rFonts w:hint="eastAsia" w:ascii="宋体" w:hAnsi="宋体" w:cs="宋体"/>
          <w:sz w:val="28"/>
          <w:szCs w:val="28"/>
          <w:highlight w:val="none"/>
        </w:rPr>
      </w:pPr>
      <w:r>
        <w:rPr>
          <w:rFonts w:hint="eastAsia" w:ascii="宋体" w:hAnsi="宋体" w:cs="宋体"/>
          <w:sz w:val="28"/>
          <w:szCs w:val="28"/>
          <w:highlight w:val="none"/>
        </w:rPr>
        <w:t>投标单位应承诺在招标单位特定活动时期,按照招标单位要求，提供专人进行活动保障。</w:t>
      </w:r>
    </w:p>
    <w:p w14:paraId="7EF4D691">
      <w:pPr>
        <w:numPr>
          <w:ilvl w:val="0"/>
          <w:numId w:val="0"/>
        </w:numPr>
        <w:tabs>
          <w:tab w:val="left" w:pos="7513"/>
        </w:tabs>
        <w:ind w:firstLine="643" w:firstLineChars="200"/>
        <w:jc w:val="left"/>
        <w:outlineLvl w:val="0"/>
        <w:rPr>
          <w:rFonts w:hint="eastAsia" w:ascii="黑体" w:hAnsi="黑体" w:eastAsia="黑体" w:cs="黑体"/>
          <w:b/>
          <w:bCs/>
          <w:szCs w:val="32"/>
        </w:rPr>
      </w:pPr>
      <w:r>
        <w:rPr>
          <w:rFonts w:hint="eastAsia" w:ascii="黑体" w:hAnsi="黑体" w:eastAsia="黑体" w:cs="黑体"/>
          <w:b/>
          <w:bCs/>
          <w:szCs w:val="32"/>
          <w:lang w:val="en-US" w:eastAsia="zh-CN"/>
        </w:rPr>
        <w:t>五、企业综合能力</w:t>
      </w:r>
      <w:r>
        <w:rPr>
          <w:rFonts w:hint="eastAsia" w:ascii="黑体" w:hAnsi="黑体" w:eastAsia="黑体" w:cs="黑体"/>
          <w:b/>
          <w:bCs/>
          <w:szCs w:val="32"/>
        </w:rPr>
        <w:t>要求</w:t>
      </w:r>
    </w:p>
    <w:p w14:paraId="07B8ABFE">
      <w:pPr>
        <w:ind w:firstLine="560"/>
        <w:rPr>
          <w:rFonts w:hint="eastAsia" w:ascii="宋体" w:hAnsi="宋体" w:cs="宋体"/>
          <w:sz w:val="28"/>
          <w:szCs w:val="28"/>
          <w:highlight w:val="none"/>
        </w:rPr>
      </w:pPr>
      <w:r>
        <w:rPr>
          <w:rFonts w:hint="eastAsia" w:ascii="宋体" w:hAnsi="宋体" w:cs="宋体"/>
          <w:sz w:val="28"/>
          <w:szCs w:val="28"/>
        </w:rPr>
        <w:t>投标人具有 ISO20000 信息技术服务管理体系认证证书、ITSS 信息技术服务标准符合性证书、 CCRC 信息系统安全集成服务或安全运维服务资质认证证书</w:t>
      </w:r>
      <w:r>
        <w:rPr>
          <w:rFonts w:hint="eastAsia" w:ascii="宋体" w:hAnsi="宋体" w:cs="宋体"/>
          <w:sz w:val="28"/>
          <w:szCs w:val="28"/>
          <w:lang w:eastAsia="zh-CN"/>
        </w:rPr>
        <w:t>优先考虑。</w:t>
      </w:r>
      <w:bookmarkStart w:id="11" w:name="_GoBack"/>
      <w:bookmarkEnd w:id="11"/>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PMingLiU">
    <w:altName w:val="文泉驿微米黑"/>
    <w:panose1 w:val="02010601000101010101"/>
    <w:charset w:val="88"/>
    <w:family w:val="auto"/>
    <w:pitch w:val="default"/>
    <w:sig w:usb0="00000000" w:usb1="00000000" w:usb2="00000010" w:usb3="00000000" w:csb0="00100000" w:csb1="00000000"/>
  </w:font>
  <w:font w:name="文泉驿微米黑">
    <w:panose1 w:val="020B0606030804020204"/>
    <w:charset w:val="86"/>
    <w:family w:val="auto"/>
    <w:pitch w:val="default"/>
    <w:sig w:usb0="E10002EF" w:usb1="6BDFFCFB" w:usb2="00800036" w:usb3="00000000" w:csb0="603E019F" w:csb1="DFD7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F31C6">
    <w:pPr>
      <w:pStyle w:val="5"/>
      <w:ind w:firstLine="360"/>
    </w:pPr>
  </w:p>
  <w:p w14:paraId="2437C1CA">
    <w:pPr>
      <w:pStyle w:val="5"/>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5F1F6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15F1F6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D375D">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28EA3">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BE9E3">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5C96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536D6">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C55CD8"/>
    <w:multiLevelType w:val="singleLevel"/>
    <w:tmpl w:val="A2C55CD8"/>
    <w:lvl w:ilvl="0" w:tentative="0">
      <w:start w:val="1"/>
      <w:numFmt w:val="decimal"/>
      <w:suff w:val="nothing"/>
      <w:lvlText w:val="%1、"/>
      <w:lvlJc w:val="left"/>
    </w:lvl>
  </w:abstractNum>
  <w:abstractNum w:abstractNumId="1">
    <w:nsid w:val="FEFCD4ED"/>
    <w:multiLevelType w:val="singleLevel"/>
    <w:tmpl w:val="FEFCD4ED"/>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NiMjlhZWVjNDkzNzA2ZjdlNDZiNjA5ODE3MWM0MDkifQ=="/>
  </w:docVars>
  <w:rsids>
    <w:rsidRoot w:val="17EF5645"/>
    <w:rsid w:val="000207DC"/>
    <w:rsid w:val="000E33FD"/>
    <w:rsid w:val="000F25EC"/>
    <w:rsid w:val="001003B7"/>
    <w:rsid w:val="00110934"/>
    <w:rsid w:val="002201E9"/>
    <w:rsid w:val="00283DEF"/>
    <w:rsid w:val="002C3DC2"/>
    <w:rsid w:val="002C4529"/>
    <w:rsid w:val="00302D35"/>
    <w:rsid w:val="00365368"/>
    <w:rsid w:val="0042752B"/>
    <w:rsid w:val="00451777"/>
    <w:rsid w:val="00494699"/>
    <w:rsid w:val="004C1835"/>
    <w:rsid w:val="004D592F"/>
    <w:rsid w:val="004D7DA1"/>
    <w:rsid w:val="004E7803"/>
    <w:rsid w:val="00527041"/>
    <w:rsid w:val="00580B2F"/>
    <w:rsid w:val="005C31A2"/>
    <w:rsid w:val="005E018F"/>
    <w:rsid w:val="006429CA"/>
    <w:rsid w:val="00647C00"/>
    <w:rsid w:val="006E2357"/>
    <w:rsid w:val="007479BA"/>
    <w:rsid w:val="0077066D"/>
    <w:rsid w:val="007809D1"/>
    <w:rsid w:val="00795936"/>
    <w:rsid w:val="007C15F0"/>
    <w:rsid w:val="008C7D8B"/>
    <w:rsid w:val="00961E4C"/>
    <w:rsid w:val="00992B97"/>
    <w:rsid w:val="00A22ECE"/>
    <w:rsid w:val="00B46918"/>
    <w:rsid w:val="00BB3384"/>
    <w:rsid w:val="00BF421A"/>
    <w:rsid w:val="00C66426"/>
    <w:rsid w:val="00D2629A"/>
    <w:rsid w:val="00D5348E"/>
    <w:rsid w:val="00DF3C56"/>
    <w:rsid w:val="00E74DCC"/>
    <w:rsid w:val="00E87FA2"/>
    <w:rsid w:val="00EF4EDC"/>
    <w:rsid w:val="00F945C8"/>
    <w:rsid w:val="00FA7647"/>
    <w:rsid w:val="01256EF0"/>
    <w:rsid w:val="01F44A7E"/>
    <w:rsid w:val="022E44A8"/>
    <w:rsid w:val="03A553E2"/>
    <w:rsid w:val="04567CE7"/>
    <w:rsid w:val="052D32B0"/>
    <w:rsid w:val="06141C07"/>
    <w:rsid w:val="067D77AC"/>
    <w:rsid w:val="0696086E"/>
    <w:rsid w:val="07155C37"/>
    <w:rsid w:val="0749768F"/>
    <w:rsid w:val="079E5EA4"/>
    <w:rsid w:val="07E52535"/>
    <w:rsid w:val="081D4EDF"/>
    <w:rsid w:val="09AF5ECF"/>
    <w:rsid w:val="09B47989"/>
    <w:rsid w:val="09E94F92"/>
    <w:rsid w:val="0A2A19F9"/>
    <w:rsid w:val="0AC0235E"/>
    <w:rsid w:val="0B6D6042"/>
    <w:rsid w:val="0BED7182"/>
    <w:rsid w:val="0CC954FA"/>
    <w:rsid w:val="0D074274"/>
    <w:rsid w:val="0D6C2329"/>
    <w:rsid w:val="0E772D33"/>
    <w:rsid w:val="0FC93A62"/>
    <w:rsid w:val="102313C5"/>
    <w:rsid w:val="1279351E"/>
    <w:rsid w:val="13E939FC"/>
    <w:rsid w:val="15AA58DF"/>
    <w:rsid w:val="15DC16BB"/>
    <w:rsid w:val="162714E3"/>
    <w:rsid w:val="16B5348F"/>
    <w:rsid w:val="171750B3"/>
    <w:rsid w:val="17C90AA4"/>
    <w:rsid w:val="17EF5645"/>
    <w:rsid w:val="1811244B"/>
    <w:rsid w:val="1ACF1846"/>
    <w:rsid w:val="1B4B7A22"/>
    <w:rsid w:val="1D3E783E"/>
    <w:rsid w:val="1E3E0E23"/>
    <w:rsid w:val="1E7E1EBC"/>
    <w:rsid w:val="1F1D250F"/>
    <w:rsid w:val="1F354C71"/>
    <w:rsid w:val="1F42113B"/>
    <w:rsid w:val="20315438"/>
    <w:rsid w:val="20783067"/>
    <w:rsid w:val="209B4FA7"/>
    <w:rsid w:val="20B03D63"/>
    <w:rsid w:val="20D079FE"/>
    <w:rsid w:val="2277734E"/>
    <w:rsid w:val="22B67A83"/>
    <w:rsid w:val="23041092"/>
    <w:rsid w:val="233269C6"/>
    <w:rsid w:val="23720241"/>
    <w:rsid w:val="2402360E"/>
    <w:rsid w:val="24A501A2"/>
    <w:rsid w:val="24CF6FCD"/>
    <w:rsid w:val="250C77E1"/>
    <w:rsid w:val="252E63EA"/>
    <w:rsid w:val="25551BC9"/>
    <w:rsid w:val="257A162F"/>
    <w:rsid w:val="25A26260"/>
    <w:rsid w:val="25AC5561"/>
    <w:rsid w:val="26415CA9"/>
    <w:rsid w:val="268A58A2"/>
    <w:rsid w:val="26D92385"/>
    <w:rsid w:val="26F1147D"/>
    <w:rsid w:val="276460F3"/>
    <w:rsid w:val="27E17743"/>
    <w:rsid w:val="28814A83"/>
    <w:rsid w:val="2A314286"/>
    <w:rsid w:val="2ABF1892"/>
    <w:rsid w:val="2B8054C5"/>
    <w:rsid w:val="2C0E2AD1"/>
    <w:rsid w:val="2C324A12"/>
    <w:rsid w:val="2C3D33B6"/>
    <w:rsid w:val="2C7F6773"/>
    <w:rsid w:val="2CC338BC"/>
    <w:rsid w:val="2CDF446E"/>
    <w:rsid w:val="2D60133C"/>
    <w:rsid w:val="2D6A1F89"/>
    <w:rsid w:val="2E310CF9"/>
    <w:rsid w:val="2EC61441"/>
    <w:rsid w:val="2FCA6D0F"/>
    <w:rsid w:val="300A7A53"/>
    <w:rsid w:val="300F6E18"/>
    <w:rsid w:val="30564A47"/>
    <w:rsid w:val="30676C54"/>
    <w:rsid w:val="30C220DC"/>
    <w:rsid w:val="30DF4A3C"/>
    <w:rsid w:val="31E00A6C"/>
    <w:rsid w:val="32A667DD"/>
    <w:rsid w:val="34AE6BFF"/>
    <w:rsid w:val="34D50630"/>
    <w:rsid w:val="3589141A"/>
    <w:rsid w:val="35B77D36"/>
    <w:rsid w:val="35E84393"/>
    <w:rsid w:val="361E7DB5"/>
    <w:rsid w:val="366559E4"/>
    <w:rsid w:val="36EF34FF"/>
    <w:rsid w:val="371F5B92"/>
    <w:rsid w:val="373331A0"/>
    <w:rsid w:val="37991DE9"/>
    <w:rsid w:val="37E1109A"/>
    <w:rsid w:val="3821593A"/>
    <w:rsid w:val="38D4425E"/>
    <w:rsid w:val="391A2AB5"/>
    <w:rsid w:val="39227BBC"/>
    <w:rsid w:val="396C52DB"/>
    <w:rsid w:val="3A157721"/>
    <w:rsid w:val="3A347BA7"/>
    <w:rsid w:val="3AF630AE"/>
    <w:rsid w:val="3B9667EE"/>
    <w:rsid w:val="3BF53366"/>
    <w:rsid w:val="3C1001A0"/>
    <w:rsid w:val="3CD92C87"/>
    <w:rsid w:val="3EE55913"/>
    <w:rsid w:val="3F47037C"/>
    <w:rsid w:val="3FA56E51"/>
    <w:rsid w:val="3FD17C46"/>
    <w:rsid w:val="3FFC746D"/>
    <w:rsid w:val="417B255F"/>
    <w:rsid w:val="41B8730F"/>
    <w:rsid w:val="43EB387E"/>
    <w:rsid w:val="45464C32"/>
    <w:rsid w:val="456A1771"/>
    <w:rsid w:val="468714F4"/>
    <w:rsid w:val="47C00CCC"/>
    <w:rsid w:val="47C85DD2"/>
    <w:rsid w:val="481605A8"/>
    <w:rsid w:val="496658A3"/>
    <w:rsid w:val="4A0155CC"/>
    <w:rsid w:val="4A3634C7"/>
    <w:rsid w:val="4ACA50C0"/>
    <w:rsid w:val="4AE178D7"/>
    <w:rsid w:val="4B6C76A8"/>
    <w:rsid w:val="4BF453E8"/>
    <w:rsid w:val="4C673E0C"/>
    <w:rsid w:val="4D493511"/>
    <w:rsid w:val="4DBA61BD"/>
    <w:rsid w:val="4E712D20"/>
    <w:rsid w:val="4F471CD3"/>
    <w:rsid w:val="4F653EA0"/>
    <w:rsid w:val="4F6E54B1"/>
    <w:rsid w:val="4F716D4F"/>
    <w:rsid w:val="4F884709"/>
    <w:rsid w:val="4FF07FD8"/>
    <w:rsid w:val="504A1A7A"/>
    <w:rsid w:val="507B7E86"/>
    <w:rsid w:val="508D7BB9"/>
    <w:rsid w:val="50BE4216"/>
    <w:rsid w:val="50F1639A"/>
    <w:rsid w:val="51114A88"/>
    <w:rsid w:val="51A927D1"/>
    <w:rsid w:val="51B80C66"/>
    <w:rsid w:val="525A1D1D"/>
    <w:rsid w:val="530A3743"/>
    <w:rsid w:val="53146370"/>
    <w:rsid w:val="53C658BC"/>
    <w:rsid w:val="54F77CF7"/>
    <w:rsid w:val="552D3719"/>
    <w:rsid w:val="55456CB4"/>
    <w:rsid w:val="554A7E27"/>
    <w:rsid w:val="5559450E"/>
    <w:rsid w:val="56085F32"/>
    <w:rsid w:val="56772E9D"/>
    <w:rsid w:val="56C34335"/>
    <w:rsid w:val="56F02C50"/>
    <w:rsid w:val="570C3478"/>
    <w:rsid w:val="573C7C43"/>
    <w:rsid w:val="597E4984"/>
    <w:rsid w:val="59861649"/>
    <w:rsid w:val="59C75EEA"/>
    <w:rsid w:val="5A987886"/>
    <w:rsid w:val="5AF727FF"/>
    <w:rsid w:val="5D521F6E"/>
    <w:rsid w:val="5E070FAB"/>
    <w:rsid w:val="5EA7453C"/>
    <w:rsid w:val="5EA93E10"/>
    <w:rsid w:val="5F0D0843"/>
    <w:rsid w:val="5FAA6092"/>
    <w:rsid w:val="5FF6FEED"/>
    <w:rsid w:val="604C7149"/>
    <w:rsid w:val="60964868"/>
    <w:rsid w:val="60F03F78"/>
    <w:rsid w:val="612105D5"/>
    <w:rsid w:val="61B01959"/>
    <w:rsid w:val="61E324A5"/>
    <w:rsid w:val="62C05BCC"/>
    <w:rsid w:val="62F13FD7"/>
    <w:rsid w:val="630A5099"/>
    <w:rsid w:val="63365E8E"/>
    <w:rsid w:val="63950E07"/>
    <w:rsid w:val="639A641D"/>
    <w:rsid w:val="63E257EE"/>
    <w:rsid w:val="64306D81"/>
    <w:rsid w:val="64326656"/>
    <w:rsid w:val="64F102BF"/>
    <w:rsid w:val="65B71508"/>
    <w:rsid w:val="65C9123C"/>
    <w:rsid w:val="670F7122"/>
    <w:rsid w:val="67A535E2"/>
    <w:rsid w:val="68906041"/>
    <w:rsid w:val="68D77510"/>
    <w:rsid w:val="69BA15C7"/>
    <w:rsid w:val="69C11892"/>
    <w:rsid w:val="6B402B26"/>
    <w:rsid w:val="6D7F11D1"/>
    <w:rsid w:val="6DB36A59"/>
    <w:rsid w:val="6DDB7D5E"/>
    <w:rsid w:val="6DFB3F5C"/>
    <w:rsid w:val="6E1D2124"/>
    <w:rsid w:val="6F96218E"/>
    <w:rsid w:val="70561270"/>
    <w:rsid w:val="709D579F"/>
    <w:rsid w:val="711F61B4"/>
    <w:rsid w:val="71C64881"/>
    <w:rsid w:val="71C74F63"/>
    <w:rsid w:val="721F584A"/>
    <w:rsid w:val="724335ED"/>
    <w:rsid w:val="728C7879"/>
    <w:rsid w:val="72E70F53"/>
    <w:rsid w:val="73F12089"/>
    <w:rsid w:val="740022CC"/>
    <w:rsid w:val="745D771F"/>
    <w:rsid w:val="7467234B"/>
    <w:rsid w:val="74920FD0"/>
    <w:rsid w:val="7507768A"/>
    <w:rsid w:val="75994786"/>
    <w:rsid w:val="75E41876"/>
    <w:rsid w:val="76373F9F"/>
    <w:rsid w:val="76944F4E"/>
    <w:rsid w:val="76C92E49"/>
    <w:rsid w:val="76EB4627"/>
    <w:rsid w:val="773A5AF5"/>
    <w:rsid w:val="779276DF"/>
    <w:rsid w:val="78056103"/>
    <w:rsid w:val="787E25CF"/>
    <w:rsid w:val="78F07BF0"/>
    <w:rsid w:val="790E0FE8"/>
    <w:rsid w:val="79330149"/>
    <w:rsid w:val="79C478F8"/>
    <w:rsid w:val="7A0B3779"/>
    <w:rsid w:val="7A5C3FD5"/>
    <w:rsid w:val="7A9419C0"/>
    <w:rsid w:val="7B503B39"/>
    <w:rsid w:val="7BB67714"/>
    <w:rsid w:val="7BEB3862"/>
    <w:rsid w:val="7BF7493E"/>
    <w:rsid w:val="7C1D7794"/>
    <w:rsid w:val="7C684EB3"/>
    <w:rsid w:val="7D127DC0"/>
    <w:rsid w:val="7D292894"/>
    <w:rsid w:val="7DA60233"/>
    <w:rsid w:val="7E9401E1"/>
    <w:rsid w:val="7F961D37"/>
    <w:rsid w:val="7FD665D7"/>
    <w:rsid w:val="7FDA7E75"/>
    <w:rsid w:val="7FF3CAB2"/>
    <w:rsid w:val="7FF6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3" w:firstLineChars="200"/>
      <w:jc w:val="both"/>
    </w:pPr>
    <w:rPr>
      <w:rFonts w:eastAsia="仿宋" w:asciiTheme="minorHAnsi" w:hAnsiTheme="minorHAnsi" w:cstheme="minorBidi"/>
      <w:kern w:val="2"/>
      <w:sz w:val="32"/>
      <w:szCs w:val="24"/>
      <w:lang w:val="en-US" w:eastAsia="zh-CN" w:bidi="ar-SA"/>
    </w:rPr>
  </w:style>
  <w:style w:type="paragraph" w:styleId="2">
    <w:name w:val="heading 1"/>
    <w:basedOn w:val="1"/>
    <w:next w:val="1"/>
    <w:link w:val="13"/>
    <w:qFormat/>
    <w:uiPriority w:val="0"/>
    <w:pPr>
      <w:keepNext/>
      <w:keepLines/>
      <w:spacing w:before="100" w:beforeAutospacing="1" w:after="100" w:afterAutospacing="1"/>
      <w:ind w:firstLine="200"/>
      <w:jc w:val="center"/>
      <w:outlineLvl w:val="0"/>
    </w:pPr>
    <w:rPr>
      <w:rFonts w:eastAsia="华文中宋"/>
      <w:b/>
      <w:bCs/>
      <w:kern w:val="44"/>
      <w:sz w:val="36"/>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qFormat/>
    <w:uiPriority w:val="0"/>
    <w:pPr>
      <w:jc w:val="left"/>
    </w:pPr>
  </w:style>
  <w:style w:type="paragraph" w:styleId="4">
    <w:name w:val="Balloon Text"/>
    <w:basedOn w:val="1"/>
    <w:link w:val="16"/>
    <w:qFormat/>
    <w:uiPriority w:val="0"/>
    <w:pPr>
      <w:spacing w:line="240" w:lineRule="auto"/>
    </w:pPr>
    <w:rPr>
      <w:sz w:val="18"/>
      <w:szCs w:val="18"/>
    </w:rPr>
  </w:style>
  <w:style w:type="paragraph" w:styleId="5">
    <w:name w:val="footer"/>
    <w:basedOn w:val="1"/>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Title"/>
    <w:basedOn w:val="1"/>
    <w:next w:val="1"/>
    <w:qFormat/>
    <w:uiPriority w:val="0"/>
    <w:pPr>
      <w:spacing w:before="240" w:after="60"/>
      <w:jc w:val="center"/>
      <w:outlineLvl w:val="0"/>
    </w:pPr>
    <w:rPr>
      <w:rFonts w:ascii="Cambria" w:hAnsi="Cambria"/>
      <w:bCs/>
    </w:rPr>
  </w:style>
  <w:style w:type="paragraph" w:styleId="8">
    <w:name w:val="annotation subject"/>
    <w:basedOn w:val="3"/>
    <w:next w:val="3"/>
    <w:link w:val="15"/>
    <w:qFormat/>
    <w:uiPriority w:val="0"/>
    <w:rPr>
      <w:b/>
      <w:bCs/>
    </w:rPr>
  </w:style>
  <w:style w:type="character" w:styleId="11">
    <w:name w:val="annotation reference"/>
    <w:basedOn w:val="10"/>
    <w:qFormat/>
    <w:uiPriority w:val="0"/>
    <w:rPr>
      <w:sz w:val="21"/>
      <w:szCs w:val="21"/>
    </w:rPr>
  </w:style>
  <w:style w:type="paragraph" w:styleId="12">
    <w:name w:val="List Paragraph"/>
    <w:basedOn w:val="1"/>
    <w:qFormat/>
    <w:uiPriority w:val="34"/>
    <w:pPr>
      <w:ind w:firstLine="200"/>
    </w:pPr>
    <w:rPr>
      <w:rFonts w:ascii="Times New Roman" w:hAnsi="宋体" w:cs="Times New Roman"/>
      <w:sz w:val="28"/>
      <w:szCs w:val="22"/>
    </w:rPr>
  </w:style>
  <w:style w:type="character" w:customStyle="1" w:styleId="13">
    <w:name w:val="标题 1 Char"/>
    <w:basedOn w:val="10"/>
    <w:link w:val="2"/>
    <w:qFormat/>
    <w:uiPriority w:val="0"/>
    <w:rPr>
      <w:rFonts w:eastAsia="华文中宋" w:asciiTheme="minorHAnsi" w:hAnsiTheme="minorHAnsi" w:cstheme="minorBidi"/>
      <w:b/>
      <w:bCs/>
      <w:kern w:val="44"/>
      <w:sz w:val="36"/>
      <w:szCs w:val="44"/>
    </w:rPr>
  </w:style>
  <w:style w:type="character" w:customStyle="1" w:styleId="14">
    <w:name w:val="批注文字 Char"/>
    <w:basedOn w:val="10"/>
    <w:link w:val="3"/>
    <w:qFormat/>
    <w:uiPriority w:val="0"/>
    <w:rPr>
      <w:rFonts w:eastAsia="仿宋" w:asciiTheme="minorHAnsi" w:hAnsiTheme="minorHAnsi" w:cstheme="minorBidi"/>
      <w:kern w:val="2"/>
      <w:sz w:val="32"/>
      <w:szCs w:val="24"/>
    </w:rPr>
  </w:style>
  <w:style w:type="character" w:customStyle="1" w:styleId="15">
    <w:name w:val="批注主题 Char"/>
    <w:basedOn w:val="14"/>
    <w:link w:val="8"/>
    <w:qFormat/>
    <w:uiPriority w:val="0"/>
    <w:rPr>
      <w:rFonts w:eastAsia="仿宋" w:asciiTheme="minorHAnsi" w:hAnsiTheme="minorHAnsi" w:cstheme="minorBidi"/>
      <w:b/>
      <w:bCs/>
      <w:kern w:val="2"/>
      <w:sz w:val="32"/>
      <w:szCs w:val="24"/>
    </w:rPr>
  </w:style>
  <w:style w:type="character" w:customStyle="1" w:styleId="16">
    <w:name w:val="批注框文本 Char"/>
    <w:basedOn w:val="10"/>
    <w:link w:val="4"/>
    <w:qFormat/>
    <w:uiPriority w:val="0"/>
    <w:rPr>
      <w:rFonts w:eastAsia="仿宋" w:asciiTheme="minorHAnsi" w:hAnsiTheme="minorHAnsi" w:cstheme="minorBidi"/>
      <w:kern w:val="2"/>
      <w:sz w:val="18"/>
      <w:szCs w:val="18"/>
    </w:rPr>
  </w:style>
  <w:style w:type="paragraph" w:customStyle="1" w:styleId="17">
    <w:name w:val="font0"/>
    <w:basedOn w:val="1"/>
    <w:qFormat/>
    <w:uiPriority w:val="0"/>
    <w:pPr>
      <w:widowControl/>
      <w:spacing w:before="100" w:beforeAutospacing="1" w:after="100" w:afterAutospacing="1" w:line="240" w:lineRule="auto"/>
      <w:ind w:firstLine="0" w:firstLineChars="0"/>
      <w:jc w:val="left"/>
    </w:pPr>
    <w:rPr>
      <w:rFonts w:ascii="PMingLiU" w:hAnsi="宋体" w:eastAsia="PMingLiU" w:cs="宋体"/>
      <w:b/>
      <w:bCs/>
      <w:color w:val="000000"/>
      <w:kern w:val="0"/>
      <w:sz w:val="22"/>
      <w:szCs w:val="22"/>
    </w:rPr>
  </w:style>
  <w:style w:type="paragraph" w:customStyle="1" w:styleId="18">
    <w:name w:val="font1"/>
    <w:basedOn w:val="1"/>
    <w:qFormat/>
    <w:uiPriority w:val="0"/>
    <w:pPr>
      <w:widowControl/>
      <w:spacing w:before="100" w:beforeAutospacing="1" w:after="100" w:afterAutospacing="1" w:line="240" w:lineRule="auto"/>
      <w:ind w:firstLine="0" w:firstLineChars="0"/>
      <w:jc w:val="left"/>
    </w:pPr>
    <w:rPr>
      <w:rFonts w:ascii="微软雅黑" w:hAnsi="微软雅黑" w:eastAsia="微软雅黑" w:cs="宋体"/>
      <w:color w:val="000000"/>
      <w:kern w:val="0"/>
      <w:sz w:val="18"/>
      <w:szCs w:val="18"/>
    </w:rPr>
  </w:style>
  <w:style w:type="paragraph" w:customStyle="1" w:styleId="19">
    <w:name w:val="font2"/>
    <w:basedOn w:val="1"/>
    <w:qFormat/>
    <w:uiPriority w:val="0"/>
    <w:pPr>
      <w:widowControl/>
      <w:spacing w:before="100" w:beforeAutospacing="1" w:after="100" w:afterAutospacing="1" w:line="240" w:lineRule="auto"/>
      <w:ind w:firstLine="0" w:firstLineChars="0"/>
      <w:jc w:val="left"/>
    </w:pPr>
    <w:rPr>
      <w:rFonts w:ascii="宋体" w:hAnsi="宋体" w:eastAsia="宋体" w:cs="宋体"/>
      <w:b/>
      <w:bCs/>
      <w:color w:val="000000"/>
      <w:kern w:val="0"/>
      <w:sz w:val="22"/>
      <w:szCs w:val="22"/>
    </w:rPr>
  </w:style>
  <w:style w:type="paragraph" w:customStyle="1" w:styleId="20">
    <w:name w:val="font3"/>
    <w:basedOn w:val="1"/>
    <w:qFormat/>
    <w:uiPriority w:val="0"/>
    <w:pPr>
      <w:widowControl/>
      <w:spacing w:before="100" w:beforeAutospacing="1" w:after="100" w:afterAutospacing="1" w:line="240" w:lineRule="auto"/>
      <w:ind w:firstLine="0" w:firstLineChars="0"/>
      <w:jc w:val="left"/>
    </w:pPr>
    <w:rPr>
      <w:rFonts w:ascii="PMingLiU" w:hAnsi="宋体" w:eastAsia="PMingLiU" w:cs="宋体"/>
      <w:color w:val="000000"/>
      <w:kern w:val="0"/>
      <w:sz w:val="22"/>
      <w:szCs w:val="22"/>
    </w:rPr>
  </w:style>
  <w:style w:type="paragraph" w:customStyle="1" w:styleId="21">
    <w:name w:val="font4"/>
    <w:basedOn w:val="1"/>
    <w:qFormat/>
    <w:uiPriority w:val="0"/>
    <w:pPr>
      <w:widowControl/>
      <w:spacing w:before="100" w:beforeAutospacing="1" w:after="100" w:afterAutospacing="1" w:line="240" w:lineRule="auto"/>
      <w:ind w:firstLine="0" w:firstLineChars="0"/>
      <w:jc w:val="left"/>
    </w:pPr>
    <w:rPr>
      <w:rFonts w:ascii="PMingLiU" w:hAnsi="宋体" w:eastAsia="PMingLiU" w:cs="宋体"/>
      <w:b/>
      <w:bCs/>
      <w:color w:val="000000"/>
      <w:kern w:val="0"/>
      <w:sz w:val="22"/>
      <w:szCs w:val="22"/>
    </w:rPr>
  </w:style>
  <w:style w:type="paragraph" w:customStyle="1" w:styleId="22">
    <w:name w:val="et3"/>
    <w:basedOn w:val="1"/>
    <w:qFormat/>
    <w:uiPriority w:val="0"/>
    <w:pPr>
      <w:widowControl/>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23">
    <w:name w:val="et4"/>
    <w:basedOn w:val="1"/>
    <w:qFormat/>
    <w:uiPriority w:val="0"/>
    <w:pPr>
      <w:widowControl/>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24">
    <w:name w:val="et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ind w:firstLine="0" w:firstLineChars="0"/>
      <w:jc w:val="left"/>
    </w:pPr>
    <w:rPr>
      <w:rFonts w:ascii="宋体" w:hAnsi="宋体" w:eastAsia="宋体" w:cs="宋体"/>
      <w:kern w:val="0"/>
      <w:sz w:val="24"/>
    </w:rPr>
  </w:style>
  <w:style w:type="paragraph" w:customStyle="1" w:styleId="25">
    <w:name w:val="et6"/>
    <w:basedOn w:val="1"/>
    <w:qFormat/>
    <w:uiPriority w:val="0"/>
    <w:pPr>
      <w:widowControl/>
      <w:pBdr>
        <w:top w:val="single" w:color="000000" w:sz="4" w:space="0"/>
        <w:bottom w:val="single" w:color="000000" w:sz="4" w:space="0"/>
      </w:pBdr>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26">
    <w:name w:val="et8"/>
    <w:basedOn w:val="1"/>
    <w:qFormat/>
    <w:uiPriority w:val="0"/>
    <w:pPr>
      <w:widowControl/>
      <w:pBdr>
        <w:top w:val="single" w:color="000000" w:sz="4" w:space="0"/>
        <w:bottom w:val="single" w:color="000000" w:sz="4" w:space="0"/>
        <w:right w:val="single" w:color="000000" w:sz="4" w:space="0"/>
      </w:pBdr>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27">
    <w:name w:val="et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ind w:firstLine="0" w:firstLineChars="0"/>
      <w:jc w:val="center"/>
    </w:pPr>
    <w:rPr>
      <w:rFonts w:ascii="宋体" w:hAnsi="宋体" w:eastAsia="宋体" w:cs="宋体"/>
      <w:kern w:val="0"/>
      <w:sz w:val="24"/>
    </w:rPr>
  </w:style>
  <w:style w:type="paragraph" w:customStyle="1" w:styleId="28">
    <w:name w:val="et1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2D050"/>
      <w:spacing w:before="100" w:beforeAutospacing="1" w:after="100" w:afterAutospacing="1" w:line="240" w:lineRule="auto"/>
      <w:ind w:firstLine="0" w:firstLineChars="0"/>
      <w:jc w:val="left"/>
    </w:pPr>
    <w:rPr>
      <w:rFonts w:ascii="宋体" w:hAnsi="宋体" w:eastAsia="宋体" w:cs="宋体"/>
      <w:kern w:val="0"/>
      <w:sz w:val="24"/>
    </w:rPr>
  </w:style>
  <w:style w:type="paragraph" w:customStyle="1" w:styleId="29">
    <w:name w:val="et11"/>
    <w:basedOn w:val="1"/>
    <w:qFormat/>
    <w:uiPriority w:val="0"/>
    <w:pPr>
      <w:widowControl/>
      <w:pBdr>
        <w:top w:val="single" w:color="000000" w:sz="4" w:space="0"/>
        <w:bottom w:val="single" w:color="000000" w:sz="4" w:space="0"/>
        <w:right w:val="single" w:color="000000" w:sz="4" w:space="0"/>
      </w:pBdr>
      <w:shd w:val="clear" w:color="auto" w:fill="92D050"/>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30">
    <w:name w:val="et1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92D050"/>
      <w:spacing w:before="100" w:beforeAutospacing="1" w:after="100" w:afterAutospacing="1" w:line="240" w:lineRule="auto"/>
      <w:ind w:firstLine="0" w:firstLineChars="0"/>
      <w:jc w:val="center"/>
    </w:pPr>
    <w:rPr>
      <w:rFonts w:ascii="宋体" w:hAnsi="宋体" w:eastAsia="宋体" w:cs="宋体"/>
      <w:kern w:val="0"/>
      <w:sz w:val="24"/>
    </w:rPr>
  </w:style>
  <w:style w:type="paragraph" w:customStyle="1" w:styleId="31">
    <w:name w:val="et13"/>
    <w:basedOn w:val="1"/>
    <w:qFormat/>
    <w:uiPriority w:val="0"/>
    <w:pPr>
      <w:widowControl/>
      <w:pBdr>
        <w:top w:val="single" w:color="000000" w:sz="4" w:space="0"/>
        <w:bottom w:val="single" w:color="000000" w:sz="4" w:space="0"/>
      </w:pBdr>
      <w:shd w:val="clear" w:color="auto" w:fill="92D050"/>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32">
    <w:name w:val="et14"/>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line="240" w:lineRule="auto"/>
      <w:ind w:firstLine="0" w:firstLineChars="0"/>
      <w:jc w:val="left"/>
    </w:pPr>
    <w:rPr>
      <w:rFonts w:ascii="宋体" w:hAnsi="宋体" w:eastAsia="宋体" w:cs="宋体"/>
      <w:kern w:val="0"/>
      <w:sz w:val="24"/>
    </w:rPr>
  </w:style>
  <w:style w:type="paragraph" w:customStyle="1" w:styleId="33">
    <w:name w:val="et15"/>
    <w:basedOn w:val="1"/>
    <w:qFormat/>
    <w:uiPriority w:val="0"/>
    <w:pPr>
      <w:widowControl/>
      <w:pBdr>
        <w:top w:val="single" w:color="000000" w:sz="4" w:space="0"/>
        <w:bottom w:val="single" w:color="000000" w:sz="4" w:space="0"/>
        <w:right w:val="single" w:color="000000" w:sz="4" w:space="0"/>
      </w:pBdr>
      <w:shd w:val="clear" w:color="auto" w:fill="FFFF00"/>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34">
    <w:name w:val="et16"/>
    <w:basedOn w:val="1"/>
    <w:autoRedefine/>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line="240" w:lineRule="auto"/>
      <w:ind w:firstLine="0" w:firstLineChars="0"/>
      <w:jc w:val="center"/>
    </w:pPr>
    <w:rPr>
      <w:rFonts w:ascii="宋体" w:hAnsi="宋体" w:eastAsia="宋体" w:cs="宋体"/>
      <w:kern w:val="0"/>
      <w:sz w:val="24"/>
    </w:rPr>
  </w:style>
  <w:style w:type="paragraph" w:customStyle="1" w:styleId="35">
    <w:name w:val="et17"/>
    <w:basedOn w:val="1"/>
    <w:autoRedefine/>
    <w:qFormat/>
    <w:uiPriority w:val="0"/>
    <w:pPr>
      <w:widowControl/>
      <w:pBdr>
        <w:top w:val="single" w:color="000000" w:sz="4" w:space="0"/>
        <w:bottom w:val="single" w:color="000000" w:sz="4" w:space="0"/>
      </w:pBdr>
      <w:shd w:val="clear" w:color="auto" w:fill="FFFF00"/>
      <w:spacing w:before="100" w:beforeAutospacing="1" w:after="100" w:afterAutospacing="1" w:line="240" w:lineRule="auto"/>
      <w:ind w:firstLine="0" w:firstLineChars="0"/>
      <w:jc w:val="left"/>
    </w:pPr>
    <w:rPr>
      <w:rFonts w:ascii="微软雅黑" w:hAnsi="微软雅黑" w:eastAsia="微软雅黑" w:cs="宋体"/>
      <w:kern w:val="0"/>
      <w:sz w:val="18"/>
      <w:szCs w:val="18"/>
    </w:rPr>
  </w:style>
  <w:style w:type="paragraph" w:customStyle="1" w:styleId="36">
    <w:name w:val="et18"/>
    <w:basedOn w:val="1"/>
    <w:autoRedefine/>
    <w:qFormat/>
    <w:uiPriority w:val="0"/>
    <w:pPr>
      <w:widowControl/>
      <w:pBdr>
        <w:top w:val="single" w:color="000000" w:sz="4" w:space="0"/>
        <w:left w:val="single" w:color="000000" w:sz="4" w:space="0"/>
        <w:bottom w:val="single" w:color="000000" w:sz="4" w:space="0"/>
        <w:right w:val="single" w:color="000000" w:sz="4" w:space="0"/>
      </w:pBdr>
      <w:shd w:val="clear" w:color="auto" w:fill="92D050"/>
      <w:spacing w:before="100" w:beforeAutospacing="1" w:after="100" w:afterAutospacing="1" w:line="240" w:lineRule="auto"/>
      <w:ind w:firstLine="0" w:firstLineChars="0"/>
      <w:jc w:val="center"/>
    </w:pPr>
    <w:rPr>
      <w:rFonts w:ascii="宋体" w:hAnsi="宋体" w:eastAsia="宋体" w:cs="宋体"/>
      <w:kern w:val="0"/>
      <w:sz w:val="24"/>
    </w:rPr>
  </w:style>
  <w:style w:type="paragraph" w:customStyle="1" w:styleId="37">
    <w:name w:val="et19"/>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ind w:firstLine="0" w:firstLineChars="0"/>
      <w:jc w:val="center"/>
    </w:pPr>
    <w:rPr>
      <w:rFonts w:ascii="宋体" w:hAnsi="宋体" w:eastAsia="宋体" w:cs="宋体"/>
      <w:kern w:val="0"/>
      <w:sz w:val="24"/>
    </w:rPr>
  </w:style>
  <w:style w:type="paragraph" w:customStyle="1" w:styleId="38">
    <w:name w:val="et21"/>
    <w:basedOn w:val="1"/>
    <w:autoRedefine/>
    <w:qFormat/>
    <w:uiPriority w:val="0"/>
    <w:pPr>
      <w:widowControl/>
      <w:pBdr>
        <w:top w:val="single" w:color="000000" w:sz="4" w:space="0"/>
        <w:left w:val="single" w:color="000000" w:sz="4" w:space="0"/>
        <w:bottom w:val="single" w:color="000000" w:sz="4" w:space="0"/>
        <w:right w:val="single" w:color="000000" w:sz="4" w:space="0"/>
      </w:pBdr>
      <w:shd w:val="clear" w:color="auto" w:fill="FFFF00"/>
      <w:spacing w:before="100" w:beforeAutospacing="1" w:after="100" w:afterAutospacing="1" w:line="240" w:lineRule="auto"/>
      <w:ind w:firstLine="0" w:firstLineChars="0"/>
      <w:jc w:val="center"/>
    </w:pPr>
    <w:rPr>
      <w:rFonts w:ascii="宋体" w:hAnsi="宋体" w:eastAsia="宋体" w:cs="宋体"/>
      <w:kern w:val="0"/>
      <w:sz w:val="24"/>
    </w:rPr>
  </w:style>
  <w:style w:type="paragraph" w:customStyle="1" w:styleId="39">
    <w:name w:val="et22"/>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ind w:firstLine="0" w:firstLineChars="0"/>
      <w:jc w:val="center"/>
    </w:pPr>
    <w:rPr>
      <w:rFonts w:ascii="宋体" w:hAnsi="宋体" w:eastAsia="宋体" w:cs="宋体"/>
      <w:color w:val="000000"/>
      <w:kern w:val="0"/>
      <w:sz w:val="24"/>
    </w:rPr>
  </w:style>
  <w:style w:type="character" w:customStyle="1" w:styleId="40">
    <w:name w:val="font41"/>
    <w:basedOn w:val="10"/>
    <w:autoRedefine/>
    <w:qFormat/>
    <w:uiPriority w:val="0"/>
    <w:rPr>
      <w:rFonts w:hint="eastAsia" w:ascii="PMingLiU" w:eastAsia="PMingLiU"/>
      <w:b/>
      <w:bCs/>
      <w:color w:val="000000"/>
      <w:sz w:val="22"/>
      <w:szCs w:val="22"/>
      <w:u w:val="none"/>
    </w:rPr>
  </w:style>
  <w:style w:type="character" w:customStyle="1" w:styleId="41">
    <w:name w:val="font21"/>
    <w:basedOn w:val="10"/>
    <w:autoRedefine/>
    <w:qFormat/>
    <w:uiPriority w:val="0"/>
    <w:rPr>
      <w:rFonts w:hint="eastAsia" w:ascii="宋体" w:hAnsi="宋体" w:eastAsia="宋体"/>
      <w:b/>
      <w:bCs/>
      <w:color w:val="000000"/>
      <w:sz w:val="22"/>
      <w:szCs w:val="22"/>
      <w:u w:val="none"/>
    </w:rPr>
  </w:style>
  <w:style w:type="character" w:customStyle="1" w:styleId="42">
    <w:name w:val="font11"/>
    <w:basedOn w:val="10"/>
    <w:autoRedefine/>
    <w:qFormat/>
    <w:uiPriority w:val="0"/>
    <w:rPr>
      <w:rFonts w:hint="eastAsia" w:ascii="仿宋" w:hAnsi="仿宋" w:eastAsia="仿宋" w:cs="仿宋"/>
      <w:b/>
      <w:bCs/>
      <w:color w:val="000000"/>
      <w:sz w:val="28"/>
      <w:szCs w:val="28"/>
      <w:u w:val="none"/>
    </w:rPr>
  </w:style>
  <w:style w:type="character" w:customStyle="1" w:styleId="43">
    <w:name w:val="font31"/>
    <w:basedOn w:val="10"/>
    <w:autoRedefine/>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176</Pages>
  <Words>7682</Words>
  <Characters>7731</Characters>
  <Lines>1384</Lines>
  <Paragraphs>389</Paragraphs>
  <TotalTime>0</TotalTime>
  <ScaleCrop>false</ScaleCrop>
  <LinksUpToDate>false</LinksUpToDate>
  <CharactersWithSpaces>7734</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2023-12-13T16:08:00Z</dcterms:created>
  <dc:creator>魏坤强</dc:creator>
  <cp:lastModifiedBy>user</cp:lastModifiedBy>
  <dcterms:modified xsi:type="dcterms:W3CDTF">2025-07-28T10:38:30Z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2052-12.8.2.1118</vt:lpwstr>
  </property>
  <property fmtid="{D5CDD505-2E9C-101B-9397-08002B2CF9AE}" pid="3" name="ICV">
    <vt:lpwstr>0CFD13A3043B4767ABE42795383A7DA3_13</vt:lpwstr>
  </property>
  <property fmtid="{D5CDD505-2E9C-101B-9397-08002B2CF9AE}" pid="4" name="KSOTemplateDocerSaveRecord">
    <vt:lpwstr>eyJoZGlkIjoiOTNiMjlhZWVjNDkzNzA2ZjdlNDZiNjA5ODE3MWM0MDkiLCJ1c2VySWQiOiI1Mzg5OTE5MTMifQ==</vt:lpwstr>
  </property>
</Properties>
</file>