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87E51">
      <w:pPr>
        <w:spacing w:line="560" w:lineRule="exact"/>
        <w:jc w:val="center"/>
        <w:rPr>
          <w:rFonts w:eastAsia="方正小标宋简体"/>
          <w:bCs/>
          <w:sz w:val="44"/>
          <w:szCs w:val="44"/>
        </w:rPr>
      </w:pPr>
      <w:bookmarkStart w:id="0" w:name="_Hlk116287180"/>
      <w:r>
        <w:rPr>
          <w:rFonts w:eastAsia="方正小标宋简体"/>
          <w:bCs/>
          <w:sz w:val="44"/>
          <w:szCs w:val="44"/>
        </w:rPr>
        <w:t>涉进博会红线外重点单位专项保障服务</w:t>
      </w:r>
      <w:bookmarkEnd w:id="0"/>
      <w:r>
        <w:rPr>
          <w:rFonts w:eastAsia="方正小标宋简体"/>
          <w:bCs/>
          <w:sz w:val="44"/>
          <w:szCs w:val="44"/>
        </w:rPr>
        <w:t>需求</w:t>
      </w:r>
    </w:p>
    <w:p w14:paraId="0F7DA450">
      <w:pPr>
        <w:spacing w:line="560" w:lineRule="exact"/>
        <w:jc w:val="center"/>
        <w:rPr>
          <w:rFonts w:eastAsia="方正小标宋简体"/>
          <w:bCs/>
          <w:sz w:val="44"/>
          <w:szCs w:val="44"/>
        </w:rPr>
      </w:pPr>
    </w:p>
    <w:p w14:paraId="393D52FD">
      <w:pPr>
        <w:spacing w:line="360" w:lineRule="auto"/>
        <w:ind w:firstLine="640" w:firstLineChars="200"/>
        <w:rPr>
          <w:rFonts w:eastAsia="黑体"/>
          <w:sz w:val="32"/>
          <w:szCs w:val="32"/>
        </w:rPr>
      </w:pPr>
      <w:r>
        <w:rPr>
          <w:rFonts w:eastAsia="黑体"/>
          <w:sz w:val="32"/>
          <w:szCs w:val="32"/>
        </w:rPr>
        <w:t>一、项目背景</w:t>
      </w:r>
    </w:p>
    <w:p w14:paraId="56DCA439">
      <w:pPr>
        <w:ind w:firstLine="640" w:firstLineChars="200"/>
        <w:rPr>
          <w:rFonts w:eastAsia="仿宋_GB2312"/>
          <w:sz w:val="32"/>
          <w:szCs w:val="32"/>
        </w:rPr>
      </w:pPr>
      <w:r>
        <w:rPr>
          <w:rFonts w:eastAsia="仿宋_GB2312"/>
          <w:sz w:val="32"/>
          <w:szCs w:val="32"/>
        </w:rPr>
        <w:t>今年，由商务部、上海市人民政府主办，中国国际进口博览局、国家会展中心（上海）有限责任公司承办的第八届中国国际进口博览会（以下简称“进博会”）将在国家会展中心（上海）举行。按照《第八届中国国际进口博览会城市服务保障总体方案》的部署要求，市委网信办会同市公安局，共同牵头开展进博会网络安全保卫工作，组织开展进博会安全安保社会面重点单位、要害部门、重要网络信息系统等网络安全专项检查，督促相关单位落实网络安全主体责任；加强网络安全协同防护，确保涉及进博会官方网站、线上办展、在线会议等涉博重要网络系统的安全、稳定运行。</w:t>
      </w:r>
    </w:p>
    <w:p w14:paraId="61DC2ACE">
      <w:pPr>
        <w:spacing w:line="360" w:lineRule="auto"/>
        <w:ind w:firstLine="640" w:firstLineChars="200"/>
        <w:rPr>
          <w:rFonts w:eastAsia="仿宋_GB2312"/>
          <w:sz w:val="32"/>
          <w:szCs w:val="32"/>
        </w:rPr>
      </w:pPr>
      <w:r>
        <w:rPr>
          <w:rFonts w:eastAsia="仿宋_GB2312"/>
          <w:sz w:val="32"/>
          <w:szCs w:val="32"/>
        </w:rPr>
        <w:t>目前，涉及直接为进博会提供服务的本市社会面重要网站和信息系统所属单位</w:t>
      </w:r>
      <w:r>
        <w:rPr>
          <w:rFonts w:eastAsia="仿宋_GB2312"/>
          <w:color w:val="auto"/>
          <w:sz w:val="32"/>
          <w:szCs w:val="32"/>
        </w:rPr>
        <w:t>为</w:t>
      </w:r>
      <w:r>
        <w:rPr>
          <w:rFonts w:eastAsia="仿宋_GB2312"/>
          <w:color w:val="auto"/>
          <w:sz w:val="32"/>
          <w:szCs w:val="32"/>
          <w:highlight w:val="none"/>
        </w:rPr>
        <w:t>61</w:t>
      </w:r>
      <w:r>
        <w:rPr>
          <w:rFonts w:eastAsia="仿宋_GB2312"/>
          <w:color w:val="auto"/>
          <w:sz w:val="32"/>
          <w:szCs w:val="32"/>
        </w:rPr>
        <w:t>家，</w:t>
      </w:r>
      <w:r>
        <w:rPr>
          <w:rFonts w:eastAsia="仿宋_GB2312"/>
          <w:sz w:val="32"/>
          <w:szCs w:val="32"/>
        </w:rPr>
        <w:t>包括党政机关、事业单位和国有企业。</w:t>
      </w:r>
    </w:p>
    <w:p w14:paraId="2D7F1CB3">
      <w:pPr>
        <w:spacing w:line="360" w:lineRule="auto"/>
        <w:ind w:firstLine="643" w:firstLineChars="200"/>
        <w:rPr>
          <w:rFonts w:eastAsia="仿宋_GB2312"/>
          <w:sz w:val="32"/>
          <w:szCs w:val="32"/>
        </w:rPr>
      </w:pPr>
      <w:r>
        <w:rPr>
          <w:rFonts w:eastAsia="黑体"/>
          <w:b/>
          <w:bCs/>
          <w:sz w:val="32"/>
          <w:szCs w:val="32"/>
        </w:rPr>
        <w:t>二、</w:t>
      </w:r>
      <w:r>
        <w:rPr>
          <w:rFonts w:eastAsia="黑体"/>
          <w:sz w:val="32"/>
          <w:szCs w:val="32"/>
        </w:rPr>
        <w:t>服务</w:t>
      </w:r>
      <w:bookmarkStart w:id="1" w:name="_Hlk115695248"/>
      <w:r>
        <w:rPr>
          <w:rFonts w:eastAsia="黑体"/>
          <w:sz w:val="32"/>
          <w:szCs w:val="32"/>
        </w:rPr>
        <w:t>需求</w:t>
      </w:r>
    </w:p>
    <w:p w14:paraId="35AAB629">
      <w:pPr>
        <w:spacing w:line="360" w:lineRule="auto"/>
        <w:ind w:firstLine="640" w:firstLineChars="200"/>
        <w:rPr>
          <w:rFonts w:eastAsia="楷体_GB2312"/>
          <w:sz w:val="32"/>
          <w:szCs w:val="32"/>
        </w:rPr>
      </w:pPr>
      <w:r>
        <w:rPr>
          <w:rFonts w:eastAsia="楷体_GB2312"/>
          <w:b w:val="0"/>
          <w:bCs w:val="0"/>
          <w:sz w:val="32"/>
          <w:szCs w:val="32"/>
        </w:rPr>
        <w:t>（一）</w:t>
      </w:r>
      <w:r>
        <w:rPr>
          <w:rFonts w:eastAsia="楷体_GB2312"/>
          <w:sz w:val="32"/>
          <w:szCs w:val="32"/>
        </w:rPr>
        <w:t>涉进博会红线外重点单位现场检查</w:t>
      </w:r>
      <w:bookmarkEnd w:id="1"/>
    </w:p>
    <w:p w14:paraId="54BC5922">
      <w:pPr>
        <w:ind w:firstLine="640" w:firstLineChars="200"/>
        <w:rPr>
          <w:rFonts w:eastAsia="仿宋_GB2312"/>
          <w:sz w:val="32"/>
          <w:szCs w:val="32"/>
        </w:rPr>
      </w:pPr>
      <w:r>
        <w:rPr>
          <w:rFonts w:eastAsia="仿宋_GB2312"/>
          <w:sz w:val="32"/>
          <w:szCs w:val="32"/>
        </w:rPr>
        <w:t>进博会召开前，对市委网信办指定的61家涉进博会重点单位、重要部门等</w:t>
      </w:r>
      <w:bookmarkStart w:id="2" w:name="_Hlk115698493"/>
      <w:r>
        <w:rPr>
          <w:rFonts w:eastAsia="仿宋_GB2312"/>
          <w:sz w:val="32"/>
          <w:szCs w:val="32"/>
        </w:rPr>
        <w:t>开展现场安全检查，重点检查网络安全技术防范机制、监测预警、应急处置等方面内容</w:t>
      </w:r>
      <w:bookmarkEnd w:id="2"/>
      <w:r>
        <w:rPr>
          <w:rFonts w:eastAsia="仿宋_GB2312"/>
          <w:sz w:val="32"/>
          <w:szCs w:val="32"/>
        </w:rPr>
        <w:t>，发现被检查单位可能存在的安全隐患，形成检查结果报告。同时根据检查结果提供优化整改建议，提升被检查单位重保能力。</w:t>
      </w:r>
    </w:p>
    <w:p w14:paraId="690800FC">
      <w:pPr>
        <w:spacing w:line="360" w:lineRule="auto"/>
        <w:ind w:firstLine="640" w:firstLineChars="200"/>
        <w:rPr>
          <w:rFonts w:eastAsia="楷体_GB2312"/>
        </w:rPr>
      </w:pPr>
      <w:bookmarkStart w:id="3" w:name="_Hlk115695321"/>
      <w:r>
        <w:rPr>
          <w:rFonts w:eastAsia="楷体_GB2312"/>
          <w:sz w:val="32"/>
          <w:szCs w:val="32"/>
        </w:rPr>
        <w:t>（二）涉进博会红线外重点单位渗透测试</w:t>
      </w:r>
      <w:bookmarkEnd w:id="3"/>
    </w:p>
    <w:p w14:paraId="52829EFE">
      <w:pPr>
        <w:ind w:firstLine="640" w:firstLineChars="200"/>
        <w:rPr>
          <w:rFonts w:eastAsia="仿宋_GB2312"/>
          <w:sz w:val="32"/>
          <w:szCs w:val="32"/>
        </w:rPr>
      </w:pPr>
      <w:r>
        <w:rPr>
          <w:rFonts w:eastAsia="仿宋_GB2312"/>
          <w:sz w:val="32"/>
          <w:szCs w:val="32"/>
        </w:rPr>
        <w:t>进博会召开前，以模拟黑客入侵的方式对社会面61家涉进博会重要单位的重要信息系统远程技术检测，综合自动化扫描工具扫描结果并结合人工测试和分析的手段，发现信息系统存在的输入输出缺陷、身份鉴别缺陷、业务逻辑缺陷、管理配置缺陷、信息泄露等安全漏洞，并以渗透测试报告的形式给出安全问题清单及整改建议。</w:t>
      </w:r>
    </w:p>
    <w:p w14:paraId="11F3AA44">
      <w:pPr>
        <w:spacing w:line="360" w:lineRule="auto"/>
        <w:ind w:firstLine="640" w:firstLineChars="200"/>
        <w:rPr>
          <w:rFonts w:eastAsia="楷体_GB2312"/>
          <w:sz w:val="32"/>
          <w:szCs w:val="32"/>
        </w:rPr>
      </w:pPr>
      <w:r>
        <w:rPr>
          <w:rFonts w:eastAsia="楷体_GB2312"/>
          <w:sz w:val="32"/>
          <w:szCs w:val="32"/>
        </w:rPr>
        <w:t>（三）涉进博会红线外重点单位应急机制演练</w:t>
      </w:r>
    </w:p>
    <w:p w14:paraId="6BA98A55">
      <w:pPr>
        <w:spacing w:line="360" w:lineRule="auto"/>
        <w:ind w:firstLine="640" w:firstLineChars="200"/>
        <w:rPr>
          <w:rFonts w:eastAsia="仿宋_GB2312"/>
          <w:sz w:val="32"/>
          <w:szCs w:val="32"/>
        </w:rPr>
      </w:pPr>
      <w:r>
        <w:rPr>
          <w:rFonts w:eastAsia="仿宋_GB2312"/>
          <w:sz w:val="32"/>
          <w:szCs w:val="32"/>
        </w:rPr>
        <w:t>进博会召开前，对部分涉进博会重点单位、重要部门的重要信息系统开展应急演练，着重演练应急机制的畅通情况；通过沙盘推演、攻击模拟等方式演练工作机制和责任落实、现场分析研判及处置流程、应急预案执行等内容。</w:t>
      </w:r>
    </w:p>
    <w:p w14:paraId="0F0B8158">
      <w:pPr>
        <w:spacing w:line="360" w:lineRule="auto"/>
        <w:ind w:firstLine="640" w:firstLineChars="200"/>
        <w:rPr>
          <w:rFonts w:eastAsia="黑体"/>
          <w:sz w:val="32"/>
          <w:szCs w:val="32"/>
        </w:rPr>
      </w:pPr>
      <w:r>
        <w:rPr>
          <w:rFonts w:eastAsia="黑体"/>
          <w:sz w:val="32"/>
          <w:szCs w:val="32"/>
        </w:rPr>
        <w:t>三、工作要求</w:t>
      </w:r>
    </w:p>
    <w:p w14:paraId="2FDD7A57">
      <w:pPr>
        <w:spacing w:line="360" w:lineRule="auto"/>
        <w:ind w:firstLine="640" w:firstLineChars="200"/>
        <w:rPr>
          <w:rFonts w:eastAsia="楷体_GB2312"/>
          <w:sz w:val="32"/>
          <w:szCs w:val="32"/>
        </w:rPr>
      </w:pPr>
      <w:r>
        <w:rPr>
          <w:rFonts w:eastAsia="楷体_GB2312"/>
          <w:sz w:val="32"/>
          <w:szCs w:val="32"/>
        </w:rPr>
        <w:t>（一）总体要求</w:t>
      </w:r>
    </w:p>
    <w:p w14:paraId="53232A38">
      <w:pPr>
        <w:spacing w:line="360" w:lineRule="auto"/>
        <w:ind w:firstLine="640" w:firstLineChars="200"/>
        <w:rPr>
          <w:rFonts w:eastAsia="仿宋_GB2312"/>
          <w:sz w:val="32"/>
          <w:szCs w:val="32"/>
        </w:rPr>
      </w:pPr>
      <w:r>
        <w:rPr>
          <w:rFonts w:eastAsia="仿宋_GB2312"/>
          <w:sz w:val="32"/>
          <w:szCs w:val="32"/>
        </w:rPr>
        <w:t>1.中选单位应根据市委网信办要求制定检查工作计划、工作流程、检查方案等；</w:t>
      </w:r>
    </w:p>
    <w:p w14:paraId="223225C2">
      <w:pPr>
        <w:spacing w:line="360" w:lineRule="auto"/>
        <w:ind w:firstLine="640" w:firstLineChars="200"/>
        <w:rPr>
          <w:rFonts w:eastAsia="仿宋_GB2312"/>
          <w:sz w:val="32"/>
          <w:szCs w:val="32"/>
        </w:rPr>
      </w:pPr>
      <w:r>
        <w:rPr>
          <w:rFonts w:eastAsia="仿宋_GB2312"/>
          <w:sz w:val="32"/>
          <w:szCs w:val="32"/>
        </w:rPr>
        <w:t>2.为了保证项目的顺利实施，确保项目质量达到预期目标，中选单位应成立项目实施组，并明确各角色职责，利于加强项目管理和各方面协调合作，使工作和责任更加清晰明确；</w:t>
      </w:r>
    </w:p>
    <w:p w14:paraId="31214979">
      <w:pPr>
        <w:spacing w:line="360" w:lineRule="auto"/>
        <w:ind w:firstLine="640" w:firstLineChars="200"/>
        <w:rPr>
          <w:rFonts w:eastAsia="仿宋_GB2312"/>
          <w:sz w:val="32"/>
          <w:szCs w:val="32"/>
        </w:rPr>
      </w:pPr>
      <w:r>
        <w:rPr>
          <w:rFonts w:eastAsia="仿宋_GB2312"/>
          <w:sz w:val="32"/>
          <w:szCs w:val="32"/>
        </w:rPr>
        <w:t>3.中选单位应根据检查测试结果，向被检查单位提出整改建议，并保留原始检查记录表和扫描测试报告。</w:t>
      </w:r>
    </w:p>
    <w:p w14:paraId="69EAD8B1">
      <w:pPr>
        <w:spacing w:line="360" w:lineRule="auto"/>
        <w:ind w:firstLine="640" w:firstLineChars="200"/>
        <w:rPr>
          <w:rFonts w:eastAsia="楷体_GB2312"/>
          <w:b/>
          <w:bCs/>
        </w:rPr>
      </w:pPr>
      <w:r>
        <w:rPr>
          <w:rFonts w:eastAsia="楷体_GB2312"/>
          <w:sz w:val="32"/>
          <w:szCs w:val="32"/>
        </w:rPr>
        <w:t>（二）涉进博会重点单位现场检查</w:t>
      </w:r>
    </w:p>
    <w:p w14:paraId="610EAB7C">
      <w:pPr>
        <w:spacing w:line="360" w:lineRule="auto"/>
        <w:ind w:firstLine="640" w:firstLineChars="200"/>
        <w:rPr>
          <w:rFonts w:eastAsia="仿宋_GB2312"/>
          <w:sz w:val="32"/>
          <w:szCs w:val="32"/>
        </w:rPr>
      </w:pPr>
      <w:bookmarkStart w:id="4" w:name="_Hlk115699327"/>
      <w:r>
        <w:rPr>
          <w:rFonts w:eastAsia="仿宋_GB2312"/>
          <w:sz w:val="32"/>
          <w:szCs w:val="32"/>
        </w:rPr>
        <w:t>1.中选单位应制定检查方案，方案内容包括现场检查内容、检查方法、风险评估方法等；</w:t>
      </w:r>
    </w:p>
    <w:p w14:paraId="31AB74FD">
      <w:pPr>
        <w:spacing w:line="360" w:lineRule="auto"/>
        <w:ind w:firstLine="640" w:firstLineChars="200"/>
        <w:rPr>
          <w:rFonts w:eastAsia="仿宋_GB2312"/>
          <w:sz w:val="32"/>
          <w:szCs w:val="32"/>
        </w:rPr>
      </w:pPr>
      <w:r>
        <w:rPr>
          <w:rFonts w:eastAsia="仿宋_GB2312"/>
          <w:sz w:val="32"/>
          <w:szCs w:val="32"/>
        </w:rPr>
        <w:t>2.检查内容应重点覆盖网络安全技术防范机制、监测预警、应急处置等方面。</w:t>
      </w:r>
    </w:p>
    <w:bookmarkEnd w:id="4"/>
    <w:p w14:paraId="28F2F870">
      <w:pPr>
        <w:spacing w:line="360" w:lineRule="auto"/>
        <w:ind w:firstLine="640" w:firstLineChars="200"/>
        <w:rPr>
          <w:rFonts w:eastAsia="楷体_GB2312"/>
          <w:sz w:val="32"/>
          <w:szCs w:val="32"/>
        </w:rPr>
      </w:pPr>
      <w:r>
        <w:rPr>
          <w:rFonts w:eastAsia="楷体_GB2312"/>
          <w:sz w:val="32"/>
          <w:szCs w:val="32"/>
        </w:rPr>
        <w:t>（三）红线外涉进博会重点单位渗透测试</w:t>
      </w:r>
    </w:p>
    <w:p w14:paraId="58D87563">
      <w:pPr>
        <w:spacing w:line="360" w:lineRule="auto"/>
        <w:ind w:firstLine="640" w:firstLineChars="200"/>
        <w:rPr>
          <w:rFonts w:eastAsia="仿宋_GB2312"/>
          <w:sz w:val="32"/>
          <w:szCs w:val="32"/>
        </w:rPr>
      </w:pPr>
      <w:r>
        <w:rPr>
          <w:rFonts w:eastAsia="仿宋_GB2312"/>
          <w:sz w:val="32"/>
          <w:szCs w:val="32"/>
        </w:rPr>
        <w:t>1.中选单位应制定渗透测试方案，方案内容包括测试原则、测试工具、测试内容、测试风险及规避等方面；</w:t>
      </w:r>
    </w:p>
    <w:p w14:paraId="2241A78D">
      <w:pPr>
        <w:spacing w:line="360" w:lineRule="auto"/>
        <w:ind w:firstLine="640" w:firstLineChars="200"/>
        <w:rPr>
          <w:rFonts w:eastAsia="仿宋_GB2312"/>
          <w:sz w:val="32"/>
          <w:szCs w:val="32"/>
        </w:rPr>
      </w:pPr>
      <w:r>
        <w:rPr>
          <w:rFonts w:eastAsia="仿宋_GB2312"/>
          <w:sz w:val="32"/>
          <w:szCs w:val="32"/>
        </w:rPr>
        <w:t>2.远程渗透测试内容应至少包括：SQL注入漏洞、XSS跨站漏洞、目录遍历漏洞等。</w:t>
      </w:r>
    </w:p>
    <w:p w14:paraId="27B6D6C5">
      <w:pPr>
        <w:spacing w:line="360" w:lineRule="auto"/>
        <w:ind w:firstLine="640" w:firstLineChars="200"/>
        <w:rPr>
          <w:rFonts w:eastAsia="仿宋_GB2312"/>
          <w:sz w:val="32"/>
          <w:szCs w:val="32"/>
        </w:rPr>
      </w:pPr>
      <w:r>
        <w:rPr>
          <w:rFonts w:eastAsia="仿宋_GB2312"/>
          <w:sz w:val="32"/>
          <w:szCs w:val="32"/>
        </w:rPr>
        <w:t>3.对于渗透测试过程发现的问题，中选单位应提供整改建议，并对整改结果进行复核。</w:t>
      </w:r>
    </w:p>
    <w:p w14:paraId="475C2F74">
      <w:pPr>
        <w:spacing w:line="360" w:lineRule="auto"/>
        <w:ind w:firstLine="640" w:firstLineChars="200"/>
        <w:rPr>
          <w:rFonts w:eastAsia="楷体_GB2312"/>
          <w:b/>
          <w:bCs/>
        </w:rPr>
      </w:pPr>
      <w:r>
        <w:rPr>
          <w:rFonts w:eastAsia="楷体_GB2312"/>
          <w:sz w:val="32"/>
          <w:szCs w:val="32"/>
        </w:rPr>
        <w:t>（四）红线外重点单位应急机制演练</w:t>
      </w:r>
    </w:p>
    <w:p w14:paraId="4C8ACD39">
      <w:pPr>
        <w:spacing w:line="360" w:lineRule="auto"/>
        <w:ind w:firstLine="640" w:firstLineChars="200"/>
        <w:rPr>
          <w:rFonts w:eastAsia="仿宋_GB2312"/>
          <w:sz w:val="32"/>
          <w:szCs w:val="32"/>
        </w:rPr>
      </w:pPr>
      <w:r>
        <w:rPr>
          <w:rFonts w:eastAsia="仿宋_GB2312"/>
          <w:sz w:val="32"/>
          <w:szCs w:val="32"/>
        </w:rPr>
        <w:t>中选单位应至少组织一场网络安全应急演练，重点考察参演单位的演练工作机制和责任落实、现场分析研判及处置流程、应急预案执行等方面执行情况是否与实际安全事件处置需求一致，并在安全事件发生时，协助主管部门开展风险研判及应急处置工作。</w:t>
      </w:r>
    </w:p>
    <w:p w14:paraId="24AB1AEF">
      <w:pPr>
        <w:spacing w:line="360" w:lineRule="auto"/>
        <w:ind w:firstLine="640" w:firstLineChars="200"/>
        <w:rPr>
          <w:rFonts w:eastAsia="黑体"/>
          <w:sz w:val="32"/>
          <w:szCs w:val="32"/>
        </w:rPr>
      </w:pPr>
      <w:r>
        <w:rPr>
          <w:rFonts w:hint="eastAsia" w:ascii="黑体" w:hAnsi="黑体" w:eastAsia="黑体"/>
          <w:sz w:val="32"/>
          <w:szCs w:val="32"/>
        </w:rPr>
        <w:t>四</w:t>
      </w:r>
      <w:r>
        <w:rPr>
          <w:rFonts w:eastAsia="黑体"/>
          <w:sz w:val="32"/>
          <w:szCs w:val="32"/>
        </w:rPr>
        <w:t>、供应商资质要求</w:t>
      </w:r>
    </w:p>
    <w:p w14:paraId="356D9312">
      <w:pPr>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项目负责人具有具有信息系统项目管理师（高级）证书、注册信息安全专业人员(CISP)的，具有不少于8年安全测评工作经验的优先考虑</w:t>
      </w:r>
      <w:r>
        <w:rPr>
          <w:rFonts w:eastAsia="仿宋_GB2312"/>
          <w:sz w:val="32"/>
          <w:szCs w:val="32"/>
        </w:rPr>
        <w:t>；</w:t>
      </w:r>
    </w:p>
    <w:p w14:paraId="4AD571DA">
      <w:pPr>
        <w:spacing w:line="36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供应商具有ISO27001信息安全管理体系认证证书、CCRC信息安全风险评估服务资质证书的</w:t>
      </w:r>
      <w:r>
        <w:rPr>
          <w:rFonts w:hint="eastAsia" w:eastAsia="仿宋_GB2312"/>
          <w:sz w:val="32"/>
          <w:szCs w:val="32"/>
          <w:lang w:val="en-US" w:eastAsia="zh-CN"/>
        </w:rPr>
        <w:t>优先考虑</w:t>
      </w:r>
      <w:r>
        <w:rPr>
          <w:rFonts w:eastAsia="仿宋_GB2312"/>
          <w:sz w:val="32"/>
          <w:szCs w:val="32"/>
        </w:rPr>
        <w:t>；</w:t>
      </w:r>
    </w:p>
    <w:p w14:paraId="703BB346">
      <w:pPr>
        <w:rPr>
          <w:rFonts w:eastAsia="仿宋_GB2312"/>
          <w:sz w:val="32"/>
          <w:szCs w:val="32"/>
        </w:rPr>
      </w:pPr>
      <w:r>
        <w:rPr>
          <w:rFonts w:eastAsia="仿宋_GB2312"/>
          <w:sz w:val="32"/>
          <w:szCs w:val="32"/>
        </w:rPr>
        <w:br w:type="page"/>
      </w:r>
      <w:bookmarkStart w:id="5" w:name="_GoBack"/>
      <w:bookmarkEnd w:id="5"/>
    </w:p>
    <w:p w14:paraId="75AB46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红线外</w:t>
      </w:r>
      <w:r>
        <w:rPr>
          <w:rFonts w:eastAsia="方正小标宋简体"/>
          <w:bCs/>
          <w:sz w:val="44"/>
          <w:szCs w:val="44"/>
        </w:rPr>
        <w:t>重点单位保障</w:t>
      </w:r>
      <w:r>
        <w:rPr>
          <w:rFonts w:hint="eastAsia" w:ascii="方正小标宋简体" w:hAnsi="方正小标宋简体" w:eastAsia="方正小标宋简体" w:cs="方正小标宋简体"/>
          <w:sz w:val="44"/>
          <w:szCs w:val="44"/>
        </w:rPr>
        <w:t>清单</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4"/>
        <w:gridCol w:w="7712"/>
      </w:tblGrid>
      <w:tr w14:paraId="59FB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505">
            <w:pPr>
              <w:keepNext w:val="0"/>
              <w:keepLines w:val="0"/>
              <w:widowControl/>
              <w:suppressLineNumbers w:val="0"/>
              <w:jc w:val="center"/>
              <w:textAlignment w:val="center"/>
              <w:rPr>
                <w:rFonts w:hint="eastAsia" w:ascii="黑体" w:hAnsi="黑体" w:eastAsia="黑体" w:cs="黑体"/>
                <w:i w:val="0"/>
                <w:color w:val="000000"/>
                <w:kern w:val="0"/>
                <w:sz w:val="28"/>
                <w:szCs w:val="28"/>
                <w:u w:val="none"/>
                <w:lang w:eastAsia="zh-CN" w:bidi="ar"/>
              </w:rPr>
            </w:pPr>
            <w:r>
              <w:rPr>
                <w:rFonts w:hint="eastAsia" w:ascii="黑体" w:hAnsi="黑体" w:eastAsia="黑体" w:cs="黑体"/>
                <w:i w:val="0"/>
                <w:color w:val="000000"/>
                <w:kern w:val="0"/>
                <w:sz w:val="28"/>
                <w:szCs w:val="28"/>
                <w:u w:val="none"/>
                <w:lang w:eastAsia="zh-CN" w:bidi="ar"/>
              </w:rPr>
              <w:t>序号</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514D">
            <w:pPr>
              <w:keepNext w:val="0"/>
              <w:keepLines w:val="0"/>
              <w:widowControl/>
              <w:suppressLineNumbers w:val="0"/>
              <w:jc w:val="center"/>
              <w:textAlignment w:val="center"/>
              <w:rPr>
                <w:rFonts w:hint="eastAsia" w:ascii="黑体" w:hAnsi="黑体" w:eastAsia="黑体" w:cs="黑体"/>
                <w:i w:val="0"/>
                <w:color w:val="000000"/>
                <w:kern w:val="0"/>
                <w:sz w:val="28"/>
                <w:szCs w:val="28"/>
                <w:u w:val="none"/>
                <w:lang w:eastAsia="zh-CN" w:bidi="ar"/>
              </w:rPr>
            </w:pPr>
            <w:r>
              <w:rPr>
                <w:rFonts w:hint="eastAsia" w:ascii="黑体" w:hAnsi="黑体" w:eastAsia="黑体" w:cs="黑体"/>
                <w:i w:val="0"/>
                <w:color w:val="000000"/>
                <w:kern w:val="0"/>
                <w:sz w:val="28"/>
                <w:szCs w:val="28"/>
                <w:u w:val="none"/>
                <w:lang w:eastAsia="zh-CN" w:bidi="ar"/>
              </w:rPr>
              <w:t>单位</w:t>
            </w:r>
          </w:p>
        </w:tc>
      </w:tr>
      <w:tr w14:paraId="0EA8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3C3C">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F64CCD">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上海城投水务（集团）有限公司</w:t>
            </w:r>
          </w:p>
        </w:tc>
      </w:tr>
      <w:tr w14:paraId="1836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C0BF">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229598">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上海浦东威立雅自来水有限公司</w:t>
            </w:r>
          </w:p>
        </w:tc>
      </w:tr>
      <w:tr w14:paraId="36E5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D518">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182F1A">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申能集团有限公司</w:t>
            </w:r>
          </w:p>
        </w:tc>
      </w:tr>
      <w:tr w14:paraId="3DB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5D64">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B43FF5">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上海燃气有限公司</w:t>
            </w:r>
          </w:p>
        </w:tc>
      </w:tr>
      <w:tr w14:paraId="4DAE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254F">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3979">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国家电网有限公司华东分部</w:t>
            </w:r>
          </w:p>
        </w:tc>
      </w:tr>
      <w:tr w14:paraId="38F1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F427">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6</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CFFC5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国网上海电力公司</w:t>
            </w:r>
          </w:p>
        </w:tc>
      </w:tr>
      <w:tr w14:paraId="12F2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A885">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7</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363611">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上海国际港务（集团）股份有限公司</w:t>
            </w:r>
          </w:p>
        </w:tc>
      </w:tr>
      <w:tr w14:paraId="69F2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D86">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8</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3BD6">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上海德高申通地铁广告有限公司</w:t>
            </w:r>
          </w:p>
        </w:tc>
      </w:tr>
      <w:tr w14:paraId="12A8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37C5">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9</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BCE">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中国民用航空华东地区空中交通管理局</w:t>
            </w:r>
          </w:p>
        </w:tc>
      </w:tr>
      <w:tr w14:paraId="2E12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580C">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10</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911FAE">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上海久事集团有限公司</w:t>
            </w:r>
          </w:p>
        </w:tc>
      </w:tr>
      <w:tr w14:paraId="4E42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A8A7">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11</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F9E54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中国东方航空股份有限公司</w:t>
            </w:r>
          </w:p>
        </w:tc>
      </w:tr>
      <w:tr w14:paraId="7890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FD13">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12</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E040">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春秋航空股份有限公司</w:t>
            </w:r>
          </w:p>
        </w:tc>
      </w:tr>
      <w:tr w14:paraId="6985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8D1B">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13</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439D">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上海吉祥航空股份有限公司</w:t>
            </w:r>
          </w:p>
        </w:tc>
      </w:tr>
      <w:tr w14:paraId="38EC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97AA">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14</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1A32A">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上海机场（集团）有限公司虹桥国际机场公司</w:t>
            </w:r>
          </w:p>
        </w:tc>
      </w:tr>
      <w:tr w14:paraId="2348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9E63">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15</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719A4">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上海大众公用事业（集团）股份有限公司</w:t>
            </w:r>
          </w:p>
        </w:tc>
      </w:tr>
      <w:tr w14:paraId="3AFA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6887">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16</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B42A">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东方有线网络有限公司</w:t>
            </w:r>
          </w:p>
        </w:tc>
      </w:tr>
      <w:tr w14:paraId="26F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F8ED">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17</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03A8">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上海文化广播影视集团有限公司（SMG）</w:t>
            </w:r>
          </w:p>
        </w:tc>
      </w:tr>
      <w:tr w14:paraId="26E0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7523">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18</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8B9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上海市水务局</w:t>
            </w:r>
          </w:p>
        </w:tc>
      </w:tr>
      <w:tr w14:paraId="5B5B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CD5D">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19</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3880">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市商务委</w:t>
            </w:r>
          </w:p>
        </w:tc>
      </w:tr>
      <w:tr w14:paraId="4A10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844B">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20</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E746">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上海市交通委员会交通指挥中心</w:t>
            </w:r>
          </w:p>
        </w:tc>
      </w:tr>
      <w:tr w14:paraId="2480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1300">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21</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6B5A8C">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上海市邮政管理局</w:t>
            </w:r>
          </w:p>
        </w:tc>
      </w:tr>
      <w:tr w14:paraId="1ED5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7E28">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22</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BD6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上海东方网股份有限公司</w:t>
            </w:r>
          </w:p>
        </w:tc>
      </w:tr>
      <w:tr w14:paraId="53FD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9A19">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23</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3A6D">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上海市大数据中心</w:t>
            </w:r>
          </w:p>
        </w:tc>
      </w:tr>
      <w:tr w14:paraId="3F91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34C8">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24</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8D24">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上海市大数据股份有限公司</w:t>
            </w:r>
          </w:p>
        </w:tc>
      </w:tr>
      <w:tr w14:paraId="7475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F07A">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25</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E341">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中科院上海分院</w:t>
            </w:r>
          </w:p>
        </w:tc>
      </w:tr>
      <w:tr w14:paraId="5F28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54E">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26</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4BA7">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交通银行股份有限公司</w:t>
            </w:r>
          </w:p>
        </w:tc>
      </w:tr>
      <w:tr w14:paraId="4926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BD71">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27</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325D">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上海浦东发展银行股份有限公司</w:t>
            </w:r>
          </w:p>
        </w:tc>
      </w:tr>
      <w:tr w14:paraId="186E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1E92">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28</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CB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上海农村商业银行股份有限公司</w:t>
            </w:r>
          </w:p>
        </w:tc>
      </w:tr>
      <w:tr w14:paraId="0C88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95D5">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29</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2414">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上海银行股份有限公司</w:t>
            </w:r>
          </w:p>
        </w:tc>
      </w:tr>
      <w:tr w14:paraId="3BD6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7998">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30</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B86">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中国太平洋保险（集团）股份有限公司</w:t>
            </w:r>
          </w:p>
        </w:tc>
      </w:tr>
      <w:tr w14:paraId="22B2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0976">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31</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854F">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中国银联股份有限公司</w:t>
            </w:r>
          </w:p>
        </w:tc>
      </w:tr>
      <w:tr w14:paraId="6E03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1312">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32</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60CC">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银行间市场清算所股份有限公司</w:t>
            </w:r>
          </w:p>
        </w:tc>
      </w:tr>
      <w:tr w14:paraId="6C57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5034">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33</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AAFB">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上海票据交易所股份有限公司</w:t>
            </w:r>
          </w:p>
        </w:tc>
      </w:tr>
      <w:tr w14:paraId="509D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4F3C">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34</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3B2EE">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城银清算服务有限责任公司</w:t>
            </w:r>
          </w:p>
        </w:tc>
      </w:tr>
      <w:tr w14:paraId="3D57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B25F">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35</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8C136">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跨境银行间支付清算有限责任公司</w:t>
            </w:r>
          </w:p>
        </w:tc>
      </w:tr>
      <w:tr w14:paraId="06E1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F383">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36</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7F1C">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上海中通吉网络技术有限公司</w:t>
            </w:r>
          </w:p>
        </w:tc>
      </w:tr>
      <w:tr w14:paraId="326D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7825">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37</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289B">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圆通速递有限公司</w:t>
            </w:r>
          </w:p>
        </w:tc>
      </w:tr>
      <w:tr w14:paraId="0C97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2A6A">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38</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AF1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申通速递有限公司</w:t>
            </w:r>
          </w:p>
        </w:tc>
      </w:tr>
      <w:tr w14:paraId="7696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A562">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39</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709F">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上海韵达货运有限公司</w:t>
            </w:r>
          </w:p>
        </w:tc>
      </w:tr>
      <w:tr w14:paraId="28DA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0213">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40</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FE9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上海德启信息科技有限公司</w:t>
            </w:r>
          </w:p>
        </w:tc>
      </w:tr>
      <w:tr w14:paraId="2DCB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A5E0">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41</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6D44">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优速物流有限公司</w:t>
            </w:r>
          </w:p>
        </w:tc>
      </w:tr>
      <w:tr w14:paraId="1C19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88CE">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42</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DEE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中国远洋海运集团有限公司</w:t>
            </w:r>
          </w:p>
        </w:tc>
      </w:tr>
      <w:tr w14:paraId="2E6F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CA10">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43</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8D6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中国商用飞机有限责任公司</w:t>
            </w:r>
          </w:p>
        </w:tc>
      </w:tr>
      <w:tr w14:paraId="6708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151E">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44</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B0B7">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中国宝武钢铁集团有限公司</w:t>
            </w:r>
          </w:p>
        </w:tc>
      </w:tr>
      <w:tr w14:paraId="68B8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3562">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45</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FF29C5">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光明（食品）集团有限公司</w:t>
            </w:r>
          </w:p>
        </w:tc>
      </w:tr>
      <w:tr w14:paraId="5CF8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4ECC">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46</w:t>
            </w:r>
          </w:p>
        </w:tc>
        <w:tc>
          <w:tcPr>
            <w:tcW w:w="4257"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F5260D">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百联集团有限公司</w:t>
            </w:r>
          </w:p>
        </w:tc>
      </w:tr>
      <w:tr w14:paraId="4248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6C19">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47</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A0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上海拉扎斯信息科技有限公司（饿了么）</w:t>
            </w:r>
          </w:p>
        </w:tc>
      </w:tr>
      <w:tr w14:paraId="046A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5597">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48</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E6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上海壹佰米网络科技有限公司（叮咚买菜）</w:t>
            </w:r>
          </w:p>
        </w:tc>
      </w:tr>
      <w:tr w14:paraId="4CB5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C674">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49</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294F">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携程计算机技术（上海）有限公司</w:t>
            </w:r>
          </w:p>
        </w:tc>
      </w:tr>
      <w:tr w14:paraId="4240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10CA">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50</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C18B3">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上海汉涛信息咨询有限公司</w:t>
            </w:r>
          </w:p>
        </w:tc>
      </w:tr>
      <w:tr w14:paraId="1FE3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159B">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51</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22DF">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分众传媒信息技术股份有限公司</w:t>
            </w:r>
          </w:p>
        </w:tc>
      </w:tr>
      <w:tr w14:paraId="1032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B4DF">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52</w:t>
            </w:r>
          </w:p>
        </w:tc>
        <w:tc>
          <w:tcPr>
            <w:tcW w:w="42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EDF2E">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壁虎数维智能科技（上海）有限公司</w:t>
            </w:r>
          </w:p>
        </w:tc>
      </w:tr>
      <w:tr w14:paraId="4743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66A2">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53</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249F">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上海云盾信息技术有限公司</w:t>
            </w:r>
          </w:p>
        </w:tc>
      </w:tr>
      <w:tr w14:paraId="06E7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F6D8">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54</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F821">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上海电气数智生态科技有限公司</w:t>
            </w:r>
          </w:p>
        </w:tc>
      </w:tr>
      <w:tr w14:paraId="2A1F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27C5">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55</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6774">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上海技孚信息技术有限公司</w:t>
            </w:r>
          </w:p>
        </w:tc>
      </w:tr>
      <w:tr w14:paraId="3D0E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427F">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56</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C935">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上海东方怡动信息技术有限公司</w:t>
            </w:r>
          </w:p>
        </w:tc>
      </w:tr>
      <w:tr w14:paraId="6CC0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0E7B">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57</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3F82">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帆软软件有限公司上海分公司</w:t>
            </w:r>
          </w:p>
        </w:tc>
      </w:tr>
      <w:tr w14:paraId="07FF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A014">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58</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4D5A">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中国银行股份有限公司上海市虹桥会展中心支行</w:t>
            </w:r>
          </w:p>
        </w:tc>
      </w:tr>
      <w:tr w14:paraId="48E3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9237">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59</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855C">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中国邮政速递物流股份有限公司上海市分公司</w:t>
            </w:r>
          </w:p>
        </w:tc>
      </w:tr>
      <w:tr w14:paraId="07B6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BE28">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60</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947B">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上海合合信息科技股份有限公司</w:t>
            </w:r>
          </w:p>
        </w:tc>
      </w:tr>
      <w:tr w14:paraId="46E2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B9F7">
            <w:pPr>
              <w:keepNext w:val="0"/>
              <w:keepLines w:val="0"/>
              <w:widowControl/>
              <w:suppressLineNumbers w:val="0"/>
              <w:jc w:val="center"/>
              <w:textAlignment w:val="center"/>
              <w:rPr>
                <w:rFonts w:hint="default" w:ascii="等线" w:hAnsi="等线" w:eastAsia="等线" w:cs="等线"/>
                <w:i w:val="0"/>
                <w:color w:val="000000"/>
                <w:sz w:val="28"/>
                <w:szCs w:val="28"/>
                <w:u w:val="none"/>
              </w:rPr>
            </w:pPr>
            <w:r>
              <w:rPr>
                <w:rFonts w:hint="default" w:ascii="等线" w:hAnsi="等线" w:eastAsia="等线" w:cs="等线"/>
                <w:i w:val="0"/>
                <w:color w:val="000000"/>
                <w:kern w:val="0"/>
                <w:sz w:val="28"/>
                <w:szCs w:val="28"/>
                <w:u w:val="none"/>
                <w:lang w:val="en-US" w:eastAsia="zh-CN" w:bidi="ar"/>
              </w:rPr>
              <w:t>61</w:t>
            </w:r>
          </w:p>
        </w:tc>
        <w:tc>
          <w:tcPr>
            <w:tcW w:w="4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6BBF">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上海软杰智能设备有限公司</w:t>
            </w:r>
          </w:p>
        </w:tc>
      </w:tr>
    </w:tbl>
    <w:p w14:paraId="71253147">
      <w:pPr>
        <w:spacing w:line="360" w:lineRule="auto"/>
        <w:ind w:firstLine="640" w:firstLineChars="200"/>
        <w:rPr>
          <w:rFonts w:hint="default"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3YWNjNzQzNGRlOGIwY2ZmOGE5OWM4Y2I3Yzg1MmEifQ=="/>
  </w:docVars>
  <w:rsids>
    <w:rsidRoot w:val="00026B03"/>
    <w:rsid w:val="00004CDE"/>
    <w:rsid w:val="00026B03"/>
    <w:rsid w:val="000944CB"/>
    <w:rsid w:val="000B5583"/>
    <w:rsid w:val="000E25C6"/>
    <w:rsid w:val="001200B2"/>
    <w:rsid w:val="00133DFE"/>
    <w:rsid w:val="00145313"/>
    <w:rsid w:val="0016181B"/>
    <w:rsid w:val="0019510D"/>
    <w:rsid w:val="001C36DA"/>
    <w:rsid w:val="001E7971"/>
    <w:rsid w:val="00234DA5"/>
    <w:rsid w:val="0024028A"/>
    <w:rsid w:val="00291E93"/>
    <w:rsid w:val="0029262E"/>
    <w:rsid w:val="002D67D8"/>
    <w:rsid w:val="002F6386"/>
    <w:rsid w:val="003075FE"/>
    <w:rsid w:val="00345ECC"/>
    <w:rsid w:val="003A6149"/>
    <w:rsid w:val="003C2428"/>
    <w:rsid w:val="004435D0"/>
    <w:rsid w:val="004D5EA6"/>
    <w:rsid w:val="005313DE"/>
    <w:rsid w:val="005B4FDB"/>
    <w:rsid w:val="005B6439"/>
    <w:rsid w:val="005E3488"/>
    <w:rsid w:val="00653742"/>
    <w:rsid w:val="006A6C2C"/>
    <w:rsid w:val="006A777F"/>
    <w:rsid w:val="006B6D82"/>
    <w:rsid w:val="006D00AD"/>
    <w:rsid w:val="006D1CB7"/>
    <w:rsid w:val="007259EE"/>
    <w:rsid w:val="00741265"/>
    <w:rsid w:val="00771E27"/>
    <w:rsid w:val="007E0BA6"/>
    <w:rsid w:val="008117EC"/>
    <w:rsid w:val="008211E5"/>
    <w:rsid w:val="00853437"/>
    <w:rsid w:val="008679D4"/>
    <w:rsid w:val="0087583A"/>
    <w:rsid w:val="008F3E49"/>
    <w:rsid w:val="009449F0"/>
    <w:rsid w:val="00982DAE"/>
    <w:rsid w:val="0099635E"/>
    <w:rsid w:val="009A0696"/>
    <w:rsid w:val="00A37C14"/>
    <w:rsid w:val="00A712C6"/>
    <w:rsid w:val="00A9129D"/>
    <w:rsid w:val="00A97B16"/>
    <w:rsid w:val="00AA4CA6"/>
    <w:rsid w:val="00AF0D6C"/>
    <w:rsid w:val="00B002FF"/>
    <w:rsid w:val="00B10884"/>
    <w:rsid w:val="00B23684"/>
    <w:rsid w:val="00B330BB"/>
    <w:rsid w:val="00B44818"/>
    <w:rsid w:val="00B651AA"/>
    <w:rsid w:val="00B820BE"/>
    <w:rsid w:val="00BE3581"/>
    <w:rsid w:val="00C603FD"/>
    <w:rsid w:val="00C72073"/>
    <w:rsid w:val="00CC4418"/>
    <w:rsid w:val="00CF08C4"/>
    <w:rsid w:val="00D37D8F"/>
    <w:rsid w:val="00D42CA3"/>
    <w:rsid w:val="00D4342B"/>
    <w:rsid w:val="00D510ED"/>
    <w:rsid w:val="00E00A81"/>
    <w:rsid w:val="00ED6C6F"/>
    <w:rsid w:val="00F01E29"/>
    <w:rsid w:val="00F844B7"/>
    <w:rsid w:val="00FC6BEE"/>
    <w:rsid w:val="138D27D5"/>
    <w:rsid w:val="17A51E60"/>
    <w:rsid w:val="25132607"/>
    <w:rsid w:val="255C819C"/>
    <w:rsid w:val="26CF834D"/>
    <w:rsid w:val="2C2F53F0"/>
    <w:rsid w:val="2FBB7A3C"/>
    <w:rsid w:val="34E06AA2"/>
    <w:rsid w:val="3CFFFD79"/>
    <w:rsid w:val="3D958EBE"/>
    <w:rsid w:val="3F5F354F"/>
    <w:rsid w:val="4FFFB095"/>
    <w:rsid w:val="67F51504"/>
    <w:rsid w:val="6BFDBB80"/>
    <w:rsid w:val="77FFAF0D"/>
    <w:rsid w:val="7EF48845"/>
    <w:rsid w:val="7FD9678A"/>
    <w:rsid w:val="7FDB06B1"/>
    <w:rsid w:val="7FFD778D"/>
    <w:rsid w:val="7FFF4BE9"/>
    <w:rsid w:val="BF179C80"/>
    <w:rsid w:val="DCFF4A9E"/>
    <w:rsid w:val="F2E7A566"/>
    <w:rsid w:val="F5B7C06B"/>
    <w:rsid w:val="FFA78B57"/>
    <w:rsid w:val="FFE8AD29"/>
    <w:rsid w:val="FFEFA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9"/>
    <w:semiHidden/>
    <w:unhideWhenUsed/>
    <w:qFormat/>
    <w:uiPriority w:val="99"/>
    <w:pPr>
      <w:spacing w:after="120"/>
    </w:pPr>
  </w:style>
  <w:style w:type="paragraph" w:styleId="6">
    <w:name w:val="Body Text Indent"/>
    <w:basedOn w:val="1"/>
    <w:link w:val="22"/>
    <w:semiHidden/>
    <w:unhideWhenUsed/>
    <w:qFormat/>
    <w:uiPriority w:val="99"/>
    <w:pPr>
      <w:spacing w:after="120"/>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link w:val="20"/>
    <w:unhideWhenUsed/>
    <w:qFormat/>
    <w:uiPriority w:val="99"/>
    <w:pPr>
      <w:ind w:firstLine="420" w:firstLineChars="100"/>
    </w:pPr>
    <w:rPr>
      <w:rFonts w:ascii="Calibri" w:hAnsi="Calibri"/>
    </w:rPr>
  </w:style>
  <w:style w:type="character" w:customStyle="1" w:styleId="12">
    <w:name w:val="列表段落 字符"/>
    <w:link w:val="13"/>
    <w:qFormat/>
    <w:uiPriority w:val="0"/>
    <w:rPr>
      <w:rFonts w:ascii="Calibri" w:hAnsi="Calibri"/>
    </w:rPr>
  </w:style>
  <w:style w:type="paragraph" w:customStyle="1" w:styleId="13">
    <w:name w:val="列表段落1"/>
    <w:basedOn w:val="1"/>
    <w:link w:val="12"/>
    <w:qFormat/>
    <w:uiPriority w:val="0"/>
    <w:pPr>
      <w:ind w:firstLine="420" w:firstLineChars="200"/>
    </w:pPr>
    <w:rPr>
      <w:rFonts w:ascii="Calibri" w:hAnsi="Calibri" w:eastAsiaTheme="minorEastAsia" w:cstheme="minorBidi"/>
      <w:szCs w:val="22"/>
    </w:rPr>
  </w:style>
  <w:style w:type="character" w:customStyle="1" w:styleId="14">
    <w:name w:val="页眉 字符"/>
    <w:basedOn w:val="11"/>
    <w:link w:val="8"/>
    <w:qFormat/>
    <w:uiPriority w:val="99"/>
    <w:rPr>
      <w:rFonts w:ascii="Times New Roman" w:hAnsi="Times New Roman" w:eastAsia="宋体" w:cs="Times New Roman"/>
      <w:sz w:val="18"/>
      <w:szCs w:val="18"/>
    </w:rPr>
  </w:style>
  <w:style w:type="character" w:customStyle="1" w:styleId="15">
    <w:name w:val="页脚 字符"/>
    <w:basedOn w:val="11"/>
    <w:link w:val="7"/>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1"/>
    <w:link w:val="2"/>
    <w:qFormat/>
    <w:uiPriority w:val="9"/>
    <w:rPr>
      <w:rFonts w:ascii="Times New Roman" w:hAnsi="Times New Roman" w:eastAsia="宋体" w:cs="Times New Roman"/>
      <w:b/>
      <w:bCs/>
      <w:kern w:val="44"/>
      <w:sz w:val="44"/>
      <w:szCs w:val="44"/>
    </w:rPr>
  </w:style>
  <w:style w:type="character" w:customStyle="1" w:styleId="18">
    <w:name w:val="标题 2 字符"/>
    <w:basedOn w:val="11"/>
    <w:link w:val="3"/>
    <w:qFormat/>
    <w:uiPriority w:val="9"/>
    <w:rPr>
      <w:rFonts w:asciiTheme="majorHAnsi" w:hAnsiTheme="majorHAnsi" w:eastAsiaTheme="majorEastAsia" w:cstheme="majorBidi"/>
      <w:b/>
      <w:bCs/>
      <w:sz w:val="32"/>
      <w:szCs w:val="32"/>
    </w:rPr>
  </w:style>
  <w:style w:type="character" w:customStyle="1" w:styleId="19">
    <w:name w:val="正文文本 字符"/>
    <w:basedOn w:val="11"/>
    <w:link w:val="5"/>
    <w:semiHidden/>
    <w:qFormat/>
    <w:uiPriority w:val="99"/>
    <w:rPr>
      <w:rFonts w:ascii="Times New Roman" w:hAnsi="Times New Roman" w:eastAsia="宋体" w:cs="Times New Roman"/>
      <w:szCs w:val="24"/>
    </w:rPr>
  </w:style>
  <w:style w:type="character" w:customStyle="1" w:styleId="20">
    <w:name w:val="正文文本首行缩进 字符"/>
    <w:basedOn w:val="19"/>
    <w:link w:val="9"/>
    <w:qFormat/>
    <w:uiPriority w:val="99"/>
    <w:rPr>
      <w:rFonts w:ascii="Calibri" w:hAnsi="Calibri" w:eastAsia="宋体" w:cs="Times New Roman"/>
      <w:szCs w:val="24"/>
    </w:rPr>
  </w:style>
  <w:style w:type="character" w:customStyle="1" w:styleId="21">
    <w:name w:val="标题 3 字符"/>
    <w:basedOn w:val="11"/>
    <w:link w:val="4"/>
    <w:qFormat/>
    <w:uiPriority w:val="9"/>
    <w:rPr>
      <w:rFonts w:ascii="Times New Roman" w:hAnsi="Times New Roman" w:eastAsia="宋体" w:cs="Times New Roman"/>
      <w:b/>
      <w:bCs/>
      <w:sz w:val="32"/>
      <w:szCs w:val="32"/>
    </w:rPr>
  </w:style>
  <w:style w:type="character" w:customStyle="1" w:styleId="22">
    <w:name w:val="正文文本缩进 字符"/>
    <w:basedOn w:val="11"/>
    <w:link w:val="6"/>
    <w:semiHidden/>
    <w:qFormat/>
    <w:uiPriority w:val="99"/>
    <w:rPr>
      <w:rFonts w:ascii="Times New Roman" w:hAnsi="Times New Roman" w:eastAsia="宋体" w:cs="Times New Roman"/>
      <w:szCs w:val="24"/>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2366</Words>
  <Characters>2477</Characters>
  <Lines>11</Lines>
  <Paragraphs>3</Paragraphs>
  <TotalTime>3</TotalTime>
  <ScaleCrop>false</ScaleCrop>
  <LinksUpToDate>false</LinksUpToDate>
  <CharactersWithSpaces>2477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2023-10-08T11:22:00Z</dcterms:created>
  <dc:creator>HP</dc:creator>
  <cp:lastModifiedBy>晋一民</cp:lastModifiedBy>
  <dcterms:modified xsi:type="dcterms:W3CDTF">2025-09-25T00:57:16Z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6BEFF3AB674F443F91DF6DADF58E4E0D_12</vt:lpwstr>
  </property>
  <property fmtid="{D5CDD505-2E9C-101B-9397-08002B2CF9AE}" pid="4" name="KSOTemplateDocerSaveRecord">
    <vt:lpwstr>eyJoZGlkIjoiNGM3MmY0OTNjM2FiYjM2YjE2NGRhZTljZmIyMTQyNWMiLCJ1c2VySWQiOiIxNjQzMTc3ODEwIn0=</vt:lpwstr>
  </property>
</Properties>
</file>