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line="360" w:lineRule="auto"/>
        <w:ind w:left="432" w:firstLine="0" w:firstLineChars="0"/>
        <w:contextualSpacing w:val="0"/>
        <w:jc w:val="center"/>
        <w:outlineLvl w:val="9"/>
        <w:rPr>
          <w:rFonts w:hint="eastAsia" w:ascii="宋体" w:hAnsi="宋体" w:eastAsia="宋体" w:cs="宋体"/>
          <w:b/>
          <w:bCs/>
          <w:color w:val="auto"/>
          <w:spacing w:val="-1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1"/>
          <w:sz w:val="44"/>
          <w:szCs w:val="44"/>
          <w:highlight w:val="none"/>
          <w:lang w:eastAsia="zh-CN"/>
        </w:rPr>
        <w:t>绿化专项整治（临港逐梦芯辰雕塑周边绿地整治）采购需求</w:t>
      </w:r>
    </w:p>
    <w:p>
      <w:pPr>
        <w:spacing w:before="97" w:line="360" w:lineRule="auto"/>
        <w:ind w:left="9"/>
        <w:outlineLvl w:val="1"/>
        <w:rPr>
          <w:rFonts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8"/>
          <w:sz w:val="30"/>
          <w:szCs w:val="30"/>
          <w:lang w:eastAsia="zh-CN"/>
        </w:rPr>
        <w:t>一、项目概况</w:t>
      </w:r>
    </w:p>
    <w:p>
      <w:pPr>
        <w:spacing w:before="115" w:line="360" w:lineRule="auto"/>
        <w:ind w:left="438"/>
        <w:outlineLvl w:val="2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-4"/>
          <w:sz w:val="22"/>
          <w:szCs w:val="22"/>
          <w:lang w:eastAsia="zh-CN"/>
        </w:rPr>
        <w:t>1.</w:t>
      </w:r>
      <w:r>
        <w:rPr>
          <w:rFonts w:ascii="宋体" w:hAnsi="宋体" w:eastAsia="宋体" w:cs="宋体"/>
          <w:b/>
          <w:bCs/>
          <w:color w:val="auto"/>
          <w:spacing w:val="-4"/>
          <w:sz w:val="22"/>
          <w:szCs w:val="22"/>
          <w:lang w:eastAsia="zh-CN"/>
        </w:rPr>
        <w:t>项目名称</w:t>
      </w:r>
    </w:p>
    <w:p>
      <w:pPr>
        <w:spacing w:before="93" w:line="360" w:lineRule="auto"/>
        <w:ind w:left="432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bookmarkStart w:id="0" w:name="_Hlk193286605"/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绿化专项整治（临港逐梦芯辰雕塑周边绿地整治）</w:t>
      </w:r>
    </w:p>
    <w:bookmarkEnd w:id="0"/>
    <w:p>
      <w:pPr>
        <w:spacing w:before="94" w:line="360" w:lineRule="auto"/>
        <w:ind w:left="428"/>
        <w:outlineLvl w:val="2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-3"/>
          <w:sz w:val="22"/>
          <w:szCs w:val="22"/>
          <w:lang w:eastAsia="zh-CN"/>
        </w:rPr>
        <w:t>2.</w:t>
      </w:r>
      <w:r>
        <w:rPr>
          <w:rFonts w:ascii="宋体" w:hAnsi="宋体" w:eastAsia="宋体" w:cs="宋体"/>
          <w:b/>
          <w:bCs/>
          <w:color w:val="auto"/>
          <w:spacing w:val="-3"/>
          <w:sz w:val="22"/>
          <w:szCs w:val="22"/>
          <w:lang w:eastAsia="zh-CN"/>
        </w:rPr>
        <w:t>项目地点</w:t>
      </w:r>
    </w:p>
    <w:p>
      <w:pPr>
        <w:spacing w:before="93" w:line="360" w:lineRule="auto"/>
        <w:ind w:left="432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临港新片区</w:t>
      </w:r>
    </w:p>
    <w:p>
      <w:pPr>
        <w:spacing w:before="96" w:line="360" w:lineRule="auto"/>
        <w:ind w:left="427"/>
        <w:outlineLvl w:val="2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-2"/>
          <w:sz w:val="22"/>
          <w:szCs w:val="22"/>
        </w:rPr>
        <w:t>3.</w:t>
      </w:r>
      <w:r>
        <w:rPr>
          <w:rFonts w:hint="eastAsia" w:ascii="宋体" w:hAnsi="宋体" w:eastAsia="宋体" w:cs="宋体"/>
          <w:b/>
          <w:bCs/>
          <w:color w:val="auto"/>
          <w:spacing w:val="-2"/>
          <w:sz w:val="22"/>
          <w:szCs w:val="22"/>
          <w:lang w:eastAsia="zh-CN"/>
        </w:rPr>
        <w:t>采购</w:t>
      </w:r>
      <w:r>
        <w:rPr>
          <w:rFonts w:ascii="宋体" w:hAnsi="宋体" w:eastAsia="宋体" w:cs="宋体"/>
          <w:b/>
          <w:bCs/>
          <w:color w:val="auto"/>
          <w:spacing w:val="-2"/>
          <w:sz w:val="22"/>
          <w:szCs w:val="22"/>
        </w:rPr>
        <w:t>范围与内容</w:t>
      </w:r>
    </w:p>
    <w:p>
      <w:pPr>
        <w:spacing w:before="94" w:line="360" w:lineRule="auto"/>
        <w:ind w:left="442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3.1</w:t>
      </w:r>
      <w:r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采购</w:t>
      </w:r>
      <w:r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  <w:t>范围及内容</w:t>
      </w:r>
    </w:p>
    <w:p>
      <w:pPr>
        <w:spacing w:before="94" w:line="360" w:lineRule="auto"/>
        <w:ind w:left="1" w:right="176" w:firstLine="440"/>
        <w:rPr>
          <w:rFonts w:ascii="宋体" w:hAnsi="宋体" w:eastAsia="宋体" w:cs="宋体"/>
          <w:color w:val="auto"/>
          <w:spacing w:val="-2"/>
          <w:sz w:val="22"/>
          <w:szCs w:val="22"/>
          <w:lang w:eastAsia="zh-CN"/>
        </w:rPr>
      </w:pPr>
      <w:bookmarkStart w:id="1" w:name="_Hlk193287002"/>
      <w:r>
        <w:rPr>
          <w:rFonts w:hint="eastAsia" w:ascii="宋体" w:hAnsi="宋体" w:eastAsia="宋体" w:cs="宋体"/>
          <w:color w:val="auto"/>
          <w:spacing w:val="-2"/>
          <w:sz w:val="22"/>
          <w:szCs w:val="22"/>
          <w:lang w:eastAsia="zh-CN"/>
        </w:rPr>
        <w:t>对临港逐梦芯辰雕塑周边绿地（西起图灵广场，东到海港大道，位于环湖一环景观带内）进行综合提升，总占地面积约2.4公顷</w:t>
      </w:r>
      <w:bookmarkEnd w:id="1"/>
      <w:r>
        <w:rPr>
          <w:rFonts w:hint="eastAsia" w:ascii="宋体" w:hAnsi="宋体" w:eastAsia="宋体" w:cs="宋体"/>
          <w:color w:val="auto"/>
          <w:spacing w:val="-2"/>
          <w:sz w:val="22"/>
          <w:szCs w:val="22"/>
          <w:lang w:eastAsia="zh-CN"/>
        </w:rPr>
        <w:t>。</w:t>
      </w:r>
    </w:p>
    <w:p>
      <w:pPr>
        <w:spacing w:before="32" w:line="360" w:lineRule="auto"/>
        <w:ind w:left="438"/>
        <w:outlineLvl w:val="2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5"/>
          <w:sz w:val="22"/>
          <w:szCs w:val="22"/>
          <w:lang w:eastAsia="zh-CN"/>
        </w:rPr>
        <w:t>4</w:t>
      </w:r>
      <w:r>
        <w:rPr>
          <w:rFonts w:ascii="宋体" w:hAnsi="宋体" w:eastAsia="宋体" w:cs="宋体"/>
          <w:b/>
          <w:bCs/>
          <w:color w:val="auto"/>
          <w:spacing w:val="-5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pacing w:val="-5"/>
          <w:sz w:val="22"/>
          <w:szCs w:val="22"/>
          <w:lang w:eastAsia="zh-CN"/>
        </w:rPr>
        <w:t>服务</w:t>
      </w:r>
      <w:r>
        <w:rPr>
          <w:rFonts w:ascii="宋体" w:hAnsi="宋体" w:eastAsia="宋体" w:cs="宋体"/>
          <w:b/>
          <w:bCs/>
          <w:color w:val="auto"/>
          <w:spacing w:val="-5"/>
          <w:sz w:val="22"/>
          <w:szCs w:val="22"/>
          <w:lang w:eastAsia="zh-CN"/>
        </w:rPr>
        <w:t>工作内容</w:t>
      </w:r>
    </w:p>
    <w:p>
      <w:pPr>
        <w:spacing w:before="94" w:line="360" w:lineRule="auto"/>
        <w:ind w:left="3" w:right="176" w:firstLine="440"/>
        <w:rPr>
          <w:rFonts w:ascii="宋体" w:hAnsi="宋体" w:eastAsia="宋体" w:cs="宋体"/>
          <w:color w:val="auto"/>
          <w:spacing w:val="-1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服务工作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内容包括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景观绿化优化改造、地表设备包装、搬迁</w:t>
      </w:r>
      <w:r>
        <w:rPr>
          <w:rFonts w:ascii="宋体" w:hAnsi="宋体" w:eastAsia="宋体" w:cs="宋体"/>
          <w:color w:val="auto"/>
          <w:spacing w:val="-11"/>
          <w:sz w:val="22"/>
          <w:szCs w:val="22"/>
          <w:lang w:eastAsia="zh-CN"/>
        </w:rPr>
        <w:t>等。</w:t>
      </w:r>
    </w:p>
    <w:p>
      <w:pPr>
        <w:pStyle w:val="2"/>
        <w:rPr>
          <w:color w:val="auto"/>
          <w:lang w:eastAsia="zh-CN"/>
        </w:rPr>
      </w:pPr>
    </w:p>
    <w:p>
      <w:pPr>
        <w:pStyle w:val="2"/>
        <w:rPr>
          <w:color w:val="auto"/>
          <w:lang w:eastAsia="zh-CN"/>
        </w:rPr>
      </w:pPr>
    </w:p>
    <w:p>
      <w:pPr>
        <w:spacing w:before="45" w:line="360" w:lineRule="auto"/>
        <w:ind w:left="9"/>
        <w:outlineLvl w:val="1"/>
        <w:rPr>
          <w:rFonts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5"/>
          <w:sz w:val="30"/>
          <w:szCs w:val="30"/>
          <w:lang w:eastAsia="zh-CN"/>
        </w:rPr>
        <w:t>二、技术质量要求</w:t>
      </w:r>
    </w:p>
    <w:p>
      <w:pPr>
        <w:spacing w:before="94" w:line="360" w:lineRule="auto"/>
        <w:ind w:left="1" w:right="176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本项目的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服务工作</w:t>
      </w:r>
      <w:r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  <w:t>要求</w:t>
      </w:r>
      <w:r>
        <w:rPr>
          <w:rFonts w:ascii="宋体" w:hAnsi="宋体" w:eastAsia="宋体" w:cs="宋体"/>
          <w:color w:val="auto"/>
          <w:spacing w:val="-2"/>
          <w:sz w:val="22"/>
          <w:szCs w:val="22"/>
          <w:lang w:eastAsia="zh-CN"/>
        </w:rPr>
        <w:t>适用国家现行法律、规范、规程、标准以及上海市现行规范标准，具体包括：</w:t>
      </w:r>
    </w:p>
    <w:p>
      <w:pPr>
        <w:spacing w:before="30" w:line="360" w:lineRule="auto"/>
        <w:ind w:left="3"/>
        <w:rPr>
          <w:rFonts w:ascii="Times New Roman" w:hAnsi="Times New Roman" w:eastAsia="Times New Roman" w:cs="Times New Roman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(1)</w:t>
      </w:r>
      <w:r>
        <w:rPr>
          <w:rFonts w:ascii="宋体" w:hAnsi="宋体" w:eastAsia="宋体" w:cs="宋体"/>
          <w:color w:val="auto"/>
          <w:spacing w:val="-1"/>
          <w:lang w:eastAsia="zh-CN"/>
        </w:rPr>
        <w:t>《园林绿化工程项目规范》</w:t>
      </w: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GB55014-2021</w:t>
      </w:r>
    </w:p>
    <w:p>
      <w:pPr>
        <w:spacing w:before="166" w:line="360" w:lineRule="auto"/>
        <w:ind w:left="3"/>
        <w:rPr>
          <w:rFonts w:ascii="Times New Roman" w:hAnsi="Times New Roman" w:eastAsia="Times New Roman" w:cs="Times New Roman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2</w:t>
      </w:r>
      <w:r>
        <w:rPr>
          <w:rFonts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)</w:t>
      </w:r>
      <w:r>
        <w:rPr>
          <w:rFonts w:ascii="宋体" w:hAnsi="宋体" w:eastAsia="宋体" w:cs="宋体"/>
          <w:color w:val="auto"/>
          <w:spacing w:val="-1"/>
          <w:lang w:eastAsia="zh-CN"/>
        </w:rPr>
        <w:t>《上海市河道绿化建设导则》</w:t>
      </w: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2009</w:t>
      </w:r>
    </w:p>
    <w:p>
      <w:pPr>
        <w:spacing w:before="166" w:line="360" w:lineRule="auto"/>
        <w:ind w:left="3"/>
        <w:rPr>
          <w:rFonts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3</w:t>
      </w:r>
      <w:r>
        <w:rPr>
          <w:rFonts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)</w:t>
      </w: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《上海市绿化条例》（</w:t>
      </w:r>
      <w:r>
        <w:rPr>
          <w:rFonts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2018</w:t>
      </w: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年修正</w:t>
      </w:r>
      <w:r>
        <w:rPr>
          <w:rFonts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)</w:t>
      </w: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上海市人民代表大会常务委员会公告第</w:t>
      </w:r>
      <w:r>
        <w:rPr>
          <w:rFonts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15</w:t>
      </w: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号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3"/>
          <w:lang w:eastAsia="zh-CN"/>
        </w:rPr>
        <w:t>4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)</w:t>
      </w:r>
      <w:r>
        <w:rPr>
          <w:rFonts w:ascii="宋体" w:hAnsi="宋体" w:eastAsia="宋体" w:cs="宋体"/>
          <w:color w:val="auto"/>
          <w:spacing w:val="-3"/>
          <w:lang w:eastAsia="zh-CN"/>
        </w:rPr>
        <w:t>《建筑设计防火规范》（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GB50016-2014(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2018</w:t>
      </w:r>
      <w:r>
        <w:rPr>
          <w:rFonts w:ascii="宋体" w:hAnsi="宋体" w:eastAsia="宋体" w:cs="宋体"/>
          <w:color w:val="auto"/>
          <w:spacing w:val="-4"/>
          <w:lang w:eastAsia="zh-CN"/>
        </w:rPr>
        <w:t>版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)</w:t>
      </w:r>
      <w:r>
        <w:rPr>
          <w:rFonts w:ascii="宋体" w:hAnsi="宋体" w:eastAsia="宋体" w:cs="宋体"/>
          <w:color w:val="auto"/>
          <w:spacing w:val="-4"/>
          <w:lang w:eastAsia="zh-CN"/>
        </w:rPr>
        <w:t>）</w:t>
      </w:r>
    </w:p>
    <w:p>
      <w:pPr>
        <w:spacing w:before="166" w:line="360" w:lineRule="auto"/>
        <w:ind w:left="1"/>
        <w:rPr>
          <w:rFonts w:ascii="Times New Roman" w:hAnsi="Times New Roman" w:eastAsia="Times New Roman" w:cs="Times New Roman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1"/>
          <w:lang w:eastAsia="zh-CN"/>
        </w:rPr>
        <w:t>5</w:t>
      </w: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)</w:t>
      </w:r>
      <w:r>
        <w:rPr>
          <w:rFonts w:ascii="宋体" w:hAnsi="宋体" w:eastAsia="宋体" w:cs="宋体"/>
          <w:color w:val="auto"/>
          <w:spacing w:val="-1"/>
          <w:lang w:eastAsia="zh-CN"/>
        </w:rPr>
        <w:t>《建筑内部装修设计防火规范》</w:t>
      </w: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(GB50222-2017)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7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7"/>
          <w:lang w:eastAsia="zh-CN"/>
        </w:rPr>
        <w:t>6</w:t>
      </w:r>
      <w:r>
        <w:rPr>
          <w:rFonts w:ascii="Times New Roman" w:hAnsi="Times New Roman" w:eastAsia="Times New Roman" w:cs="Times New Roman"/>
          <w:color w:val="auto"/>
          <w:spacing w:val="-7"/>
          <w:lang w:eastAsia="zh-CN"/>
        </w:rPr>
        <w:t>)</w:t>
      </w:r>
      <w:r>
        <w:rPr>
          <w:rFonts w:ascii="宋体" w:hAnsi="宋体" w:eastAsia="宋体" w:cs="宋体"/>
          <w:color w:val="auto"/>
          <w:spacing w:val="-7"/>
          <w:lang w:eastAsia="zh-CN"/>
        </w:rPr>
        <w:t>《上海市绿化条例》（</w:t>
      </w:r>
      <w:r>
        <w:rPr>
          <w:rFonts w:ascii="Times New Roman" w:hAnsi="Times New Roman" w:eastAsia="Times New Roman" w:cs="Times New Roman"/>
          <w:color w:val="auto"/>
          <w:spacing w:val="-7"/>
          <w:lang w:eastAsia="zh-CN"/>
        </w:rPr>
        <w:t>2015</w:t>
      </w:r>
      <w:r>
        <w:rPr>
          <w:rFonts w:ascii="宋体" w:hAnsi="宋体" w:eastAsia="宋体" w:cs="宋体"/>
          <w:color w:val="auto"/>
          <w:spacing w:val="-7"/>
          <w:lang w:eastAsia="zh-CN"/>
        </w:rPr>
        <w:t>）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3"/>
          <w:lang w:eastAsia="zh-CN"/>
        </w:rPr>
        <w:t>7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)</w:t>
      </w:r>
      <w:r>
        <w:rPr>
          <w:rFonts w:ascii="宋体" w:hAnsi="宋体" w:eastAsia="宋体" w:cs="宋体"/>
          <w:color w:val="auto"/>
          <w:spacing w:val="-3"/>
          <w:lang w:eastAsia="zh-CN"/>
        </w:rPr>
        <w:t>《园林绿化养护技术等级标准》（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DG/TJ08-0702-2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011</w:t>
      </w:r>
      <w:r>
        <w:rPr>
          <w:rFonts w:ascii="宋体" w:hAnsi="宋体" w:eastAsia="宋体" w:cs="宋体"/>
          <w:color w:val="auto"/>
          <w:spacing w:val="-4"/>
          <w:lang w:eastAsia="zh-CN"/>
        </w:rPr>
        <w:t>）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3"/>
          <w:lang w:eastAsia="zh-CN"/>
        </w:rPr>
        <w:t>8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)</w:t>
      </w:r>
      <w:r>
        <w:rPr>
          <w:rFonts w:ascii="宋体" w:hAnsi="宋体" w:eastAsia="宋体" w:cs="宋体"/>
          <w:color w:val="auto"/>
          <w:spacing w:val="-3"/>
          <w:lang w:eastAsia="zh-CN"/>
        </w:rPr>
        <w:t>《园林绿化植物栽植技术规程》（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DG/TJ0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8-18-2011</w:t>
      </w:r>
      <w:r>
        <w:rPr>
          <w:rFonts w:ascii="宋体" w:hAnsi="宋体" w:eastAsia="宋体" w:cs="宋体"/>
          <w:color w:val="auto"/>
          <w:spacing w:val="-4"/>
          <w:lang w:eastAsia="zh-CN"/>
        </w:rPr>
        <w:t>）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4"/>
          <w:lang w:eastAsia="zh-CN"/>
        </w:rPr>
        <w:t>9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)</w:t>
      </w:r>
      <w:r>
        <w:rPr>
          <w:rFonts w:ascii="宋体" w:hAnsi="宋体" w:eastAsia="宋体" w:cs="宋体"/>
          <w:color w:val="auto"/>
          <w:spacing w:val="-4"/>
          <w:lang w:eastAsia="zh-CN"/>
        </w:rPr>
        <w:t>《园林绿化养护技术规程》（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DG/TJ08-19-2011</w:t>
      </w:r>
      <w:r>
        <w:rPr>
          <w:rFonts w:ascii="宋体" w:hAnsi="宋体" w:eastAsia="宋体" w:cs="宋体"/>
          <w:color w:val="auto"/>
          <w:spacing w:val="-4"/>
          <w:lang w:eastAsia="zh-CN"/>
        </w:rPr>
        <w:t>）</w:t>
      </w:r>
    </w:p>
    <w:p>
      <w:pPr>
        <w:spacing w:before="167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3"/>
          <w:lang w:eastAsia="zh-CN"/>
        </w:rPr>
        <w:t>10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)</w:t>
      </w:r>
      <w:r>
        <w:rPr>
          <w:rFonts w:ascii="宋体" w:hAnsi="宋体" w:eastAsia="宋体" w:cs="宋体"/>
          <w:color w:val="auto"/>
          <w:spacing w:val="-3"/>
          <w:lang w:eastAsia="zh-CN"/>
        </w:rPr>
        <w:t>《行道树养护技术规程》（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DG/TJ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08-2105-2012</w:t>
      </w:r>
      <w:r>
        <w:rPr>
          <w:rFonts w:ascii="宋体" w:hAnsi="宋体" w:eastAsia="宋体" w:cs="宋体"/>
          <w:color w:val="auto"/>
          <w:spacing w:val="-4"/>
          <w:lang w:eastAsia="zh-CN"/>
        </w:rPr>
        <w:t>）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4"/>
          <w:lang w:eastAsia="zh-CN"/>
        </w:rPr>
        <w:t>11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)</w:t>
      </w:r>
      <w:r>
        <w:rPr>
          <w:rFonts w:ascii="宋体" w:hAnsi="宋体" w:eastAsia="宋体" w:cs="宋体"/>
          <w:color w:val="auto"/>
          <w:spacing w:val="-4"/>
          <w:lang w:eastAsia="zh-CN"/>
        </w:rPr>
        <w:t>《行道树栽植技术规程》（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DG/TJ08-54-2014</w:t>
      </w:r>
      <w:r>
        <w:rPr>
          <w:rFonts w:ascii="宋体" w:hAnsi="宋体" w:eastAsia="宋体" w:cs="宋体"/>
          <w:color w:val="auto"/>
          <w:spacing w:val="-4"/>
          <w:lang w:eastAsia="zh-CN"/>
        </w:rPr>
        <w:t>）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4"/>
          <w:lang w:eastAsia="zh-CN"/>
        </w:rPr>
        <w:t>12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)</w:t>
      </w:r>
      <w:r>
        <w:rPr>
          <w:rFonts w:ascii="宋体" w:hAnsi="宋体" w:eastAsia="宋体" w:cs="宋体"/>
          <w:color w:val="auto"/>
          <w:spacing w:val="-4"/>
          <w:lang w:eastAsia="zh-CN"/>
        </w:rPr>
        <w:t>《花坛、花镜技术规程》（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DG/TJ08-66-2016</w:t>
      </w:r>
      <w:r>
        <w:rPr>
          <w:rFonts w:ascii="宋体" w:hAnsi="宋体" w:eastAsia="宋体" w:cs="宋体"/>
          <w:color w:val="auto"/>
          <w:spacing w:val="-4"/>
          <w:lang w:eastAsia="zh-CN"/>
        </w:rPr>
        <w:t>）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3"/>
          <w:lang w:eastAsia="zh-CN"/>
        </w:rPr>
        <w:t>13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)</w:t>
      </w:r>
      <w:r>
        <w:rPr>
          <w:rFonts w:ascii="宋体" w:hAnsi="宋体" w:eastAsia="宋体" w:cs="宋体"/>
          <w:color w:val="auto"/>
          <w:spacing w:val="-3"/>
          <w:lang w:eastAsia="zh-CN"/>
        </w:rPr>
        <w:t>《花坪建植和养护技术规程》（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DG/TJ0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8-67-2015</w:t>
      </w:r>
      <w:r>
        <w:rPr>
          <w:rFonts w:ascii="宋体" w:hAnsi="宋体" w:eastAsia="宋体" w:cs="宋体"/>
          <w:color w:val="auto"/>
          <w:spacing w:val="-4"/>
          <w:lang w:eastAsia="zh-CN"/>
        </w:rPr>
        <w:t>）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4"/>
          <w:lang w:eastAsia="zh-CN"/>
        </w:rPr>
        <w:t>14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)</w:t>
      </w:r>
      <w:r>
        <w:rPr>
          <w:rFonts w:ascii="宋体" w:hAnsi="宋体" w:eastAsia="宋体" w:cs="宋体"/>
          <w:color w:val="auto"/>
          <w:spacing w:val="-4"/>
          <w:lang w:eastAsia="zh-CN"/>
        </w:rPr>
        <w:t>《立体绿化技术规程》（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DG/TJ08-75-2014</w:t>
      </w:r>
      <w:r>
        <w:rPr>
          <w:rFonts w:ascii="宋体" w:hAnsi="宋体" w:eastAsia="宋体" w:cs="宋体"/>
          <w:color w:val="auto"/>
          <w:spacing w:val="-4"/>
          <w:lang w:eastAsia="zh-CN"/>
        </w:rPr>
        <w:t>）</w:t>
      </w:r>
    </w:p>
    <w:p>
      <w:pPr>
        <w:spacing w:before="167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3"/>
          <w:lang w:eastAsia="zh-CN"/>
        </w:rPr>
        <w:t>15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)</w:t>
      </w:r>
      <w:r>
        <w:rPr>
          <w:rFonts w:ascii="宋体" w:hAnsi="宋体" w:eastAsia="宋体" w:cs="宋体"/>
          <w:color w:val="auto"/>
          <w:spacing w:val="-3"/>
          <w:lang w:eastAsia="zh-CN"/>
        </w:rPr>
        <w:t>《绿化植物保护技术规程》（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DG/T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J08-35-2014</w:t>
      </w:r>
      <w:r>
        <w:rPr>
          <w:rFonts w:ascii="宋体" w:hAnsi="宋体" w:eastAsia="宋体" w:cs="宋体"/>
          <w:color w:val="auto"/>
          <w:spacing w:val="-4"/>
          <w:lang w:eastAsia="zh-CN"/>
        </w:rPr>
        <w:t>）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1"/>
          <w:lang w:eastAsia="zh-CN"/>
        </w:rPr>
        <w:t>16</w:t>
      </w: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)</w:t>
      </w:r>
      <w:r>
        <w:rPr>
          <w:rFonts w:ascii="宋体" w:hAnsi="宋体" w:eastAsia="宋体" w:cs="宋体"/>
          <w:color w:val="auto"/>
          <w:spacing w:val="-1"/>
          <w:lang w:eastAsia="zh-CN"/>
        </w:rPr>
        <w:t>《上海市古树名木和古树后续资源保护条例》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3"/>
          <w:lang w:eastAsia="zh-CN"/>
        </w:rPr>
        <w:t>17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)</w:t>
      </w:r>
      <w:r>
        <w:rPr>
          <w:rFonts w:ascii="宋体" w:hAnsi="宋体" w:eastAsia="宋体" w:cs="宋体"/>
          <w:color w:val="auto"/>
          <w:spacing w:val="-3"/>
          <w:lang w:eastAsia="zh-CN"/>
        </w:rPr>
        <w:t>《绿化市容专用轮式电动作业机具安全技术规范》（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DB31/T923-2015</w:t>
      </w:r>
      <w:r>
        <w:rPr>
          <w:rFonts w:ascii="宋体" w:hAnsi="宋体" w:eastAsia="宋体" w:cs="宋体"/>
          <w:color w:val="auto"/>
          <w:spacing w:val="-3"/>
          <w:lang w:eastAsia="zh-CN"/>
        </w:rPr>
        <w:t>）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1"/>
          <w:lang w:eastAsia="zh-CN"/>
        </w:rPr>
        <w:t>18</w:t>
      </w: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)</w:t>
      </w:r>
      <w:r>
        <w:rPr>
          <w:rFonts w:ascii="宋体" w:hAnsi="宋体" w:eastAsia="宋体" w:cs="宋体"/>
          <w:color w:val="auto"/>
          <w:spacing w:val="-1"/>
          <w:lang w:eastAsia="zh-CN"/>
        </w:rPr>
        <w:t>《上海市建设工程文明施工管理规定》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1"/>
          <w:lang w:eastAsia="zh-CN"/>
        </w:rPr>
        <w:t>19</w:t>
      </w: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)</w:t>
      </w:r>
      <w:r>
        <w:rPr>
          <w:rFonts w:ascii="宋体" w:hAnsi="宋体" w:eastAsia="宋体" w:cs="宋体"/>
          <w:color w:val="auto"/>
          <w:spacing w:val="-1"/>
          <w:lang w:eastAsia="zh-CN"/>
        </w:rPr>
        <w:t>《上海市建设工程文明施工标准》</w:t>
      </w:r>
    </w:p>
    <w:p>
      <w:pPr>
        <w:spacing w:before="167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1"/>
          <w:lang w:eastAsia="zh-CN"/>
        </w:rPr>
        <w:t>20</w:t>
      </w: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)</w:t>
      </w:r>
      <w:r>
        <w:rPr>
          <w:rFonts w:ascii="宋体" w:hAnsi="宋体" w:eastAsia="宋体" w:cs="宋体"/>
          <w:color w:val="auto"/>
          <w:spacing w:val="-1"/>
          <w:lang w:eastAsia="zh-CN"/>
        </w:rPr>
        <w:t>《中华人民共和国突发事件应对法》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spacing w:val="-1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(2</w:t>
      </w:r>
      <w:r>
        <w:rPr>
          <w:rFonts w:hint="eastAsia" w:ascii="Times New Roman" w:hAnsi="Times New Roman" w:eastAsia="Times New Roman" w:cs="Times New Roman"/>
          <w:color w:val="auto"/>
          <w:spacing w:val="-1"/>
          <w:lang w:eastAsia="zh-CN"/>
        </w:rPr>
        <w:t>1</w:t>
      </w: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)</w:t>
      </w:r>
      <w:r>
        <w:rPr>
          <w:rFonts w:ascii="宋体" w:hAnsi="宋体" w:eastAsia="宋体" w:cs="宋体"/>
          <w:color w:val="auto"/>
          <w:spacing w:val="-1"/>
          <w:lang w:eastAsia="zh-CN"/>
        </w:rPr>
        <w:t>《中华人民共和国安全生产法》</w:t>
      </w:r>
    </w:p>
    <w:p>
      <w:pPr>
        <w:spacing w:before="166" w:line="360" w:lineRule="auto"/>
        <w:ind w:left="1" w:firstLine="440" w:firstLineChars="200"/>
        <w:rPr>
          <w:rFonts w:ascii="宋体" w:hAnsi="宋体" w:eastAsia="宋体" w:cs="宋体"/>
          <w:color w:val="auto"/>
          <w:lang w:eastAsia="zh-CN"/>
        </w:rPr>
      </w:pPr>
      <w:r>
        <w:rPr>
          <w:color w:val="auto"/>
          <w:sz w:val="22"/>
          <w:szCs w:val="20"/>
        </w:rPr>
        <w:t>各</w:t>
      </w:r>
      <w:r>
        <w:rPr>
          <w:rFonts w:hint="eastAsia" w:eastAsia="宋体"/>
          <w:color w:val="auto"/>
          <w:sz w:val="22"/>
          <w:szCs w:val="20"/>
          <w:lang w:eastAsia="zh-CN"/>
        </w:rPr>
        <w:t>供应商</w:t>
      </w:r>
      <w:r>
        <w:rPr>
          <w:color w:val="auto"/>
          <w:sz w:val="22"/>
          <w:szCs w:val="20"/>
        </w:rPr>
        <w:t>应充分注意，凡涉及国家或行业管理部门颁发的相关规范、规程和标准，无论其是否在本</w:t>
      </w:r>
      <w:r>
        <w:rPr>
          <w:rFonts w:hint="eastAsia" w:eastAsia="宋体"/>
          <w:color w:val="auto"/>
          <w:sz w:val="22"/>
          <w:szCs w:val="20"/>
          <w:lang w:eastAsia="zh-CN"/>
        </w:rPr>
        <w:t>采购</w:t>
      </w:r>
      <w:r>
        <w:rPr>
          <w:color w:val="auto"/>
          <w:sz w:val="22"/>
          <w:szCs w:val="20"/>
        </w:rPr>
        <w:t>文件中列明，</w:t>
      </w:r>
      <w:r>
        <w:rPr>
          <w:rFonts w:hint="eastAsia" w:eastAsia="宋体"/>
          <w:color w:val="auto"/>
          <w:sz w:val="22"/>
          <w:szCs w:val="20"/>
          <w:lang w:eastAsia="zh-CN"/>
        </w:rPr>
        <w:t>供应商</w:t>
      </w:r>
      <w:r>
        <w:rPr>
          <w:color w:val="auto"/>
          <w:sz w:val="22"/>
          <w:szCs w:val="20"/>
        </w:rPr>
        <w:t>应无条件执行。标准、规范等不一致的，以要求高者为准。</w:t>
      </w:r>
    </w:p>
    <w:p>
      <w:pPr>
        <w:spacing w:before="180" w:line="360" w:lineRule="auto"/>
        <w:ind w:left="3"/>
        <w:outlineLvl w:val="1"/>
        <w:rPr>
          <w:rFonts w:hint="default" w:ascii="宋体" w:hAnsi="宋体" w:eastAsia="宋体" w:cs="宋体"/>
          <w:b/>
          <w:bCs/>
          <w:color w:val="auto"/>
          <w:spacing w:val="-4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b/>
          <w:bCs/>
          <w:color w:val="auto"/>
          <w:spacing w:val="-4"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pacing w:val="-4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30"/>
          <w:szCs w:val="30"/>
          <w:lang w:eastAsia="zh-CN"/>
        </w:rPr>
        <w:t>采购</w:t>
      </w:r>
      <w:r>
        <w:rPr>
          <w:rFonts w:ascii="宋体" w:hAnsi="宋体" w:eastAsia="宋体" w:cs="宋体"/>
          <w:b/>
          <w:bCs/>
          <w:color w:val="auto"/>
          <w:spacing w:val="-4"/>
          <w:sz w:val="30"/>
          <w:szCs w:val="30"/>
          <w:lang w:eastAsia="zh-CN"/>
        </w:rPr>
        <w:t>实施内容及要求</w:t>
      </w:r>
    </w:p>
    <w:p>
      <w:pPr>
        <w:spacing w:before="116" w:line="360" w:lineRule="auto"/>
        <w:ind w:left="444"/>
        <w:outlineLvl w:val="3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6"/>
          <w:sz w:val="22"/>
          <w:szCs w:val="22"/>
          <w:lang w:eastAsia="zh-CN"/>
        </w:rPr>
        <w:t>3.1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lang w:eastAsia="zh-CN"/>
        </w:rPr>
        <w:t>场地现状及整治工作内容</w:t>
      </w:r>
    </w:p>
    <w:p>
      <w:pPr>
        <w:spacing w:before="91" w:line="360" w:lineRule="auto"/>
        <w:ind w:left="1" w:right="31" w:firstLine="440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目前基地的现状场地较高，整体视线不够通透，影响了环境的美观和使用的舒适度。场地内的乔木分布较为杂乱，缺乏系统性的规划，导致景观效果不佳。因此，针对场地内的上下木品种数量，需要进行进一步的梳理和搬迁，以提升整体绿地的质量和观赏性。在绿地整治提升方面，需要对现有的植被进行优化，选取适合当地气候和土壤条件的植物，确保其生长良好，并能够形成层次分明的景观效果。通过合理配置乔木、灌木和地被植物，营造出一个既美观又富有生机的绿地环境。将对现有的灯具和监控设备进行合杆处理，以减少视觉上的干扰，提高整体的美观性。通过合理布局和设计，使这些设施与周围环境相协调。在整治提升的过程中，需要始终坚持经济与美观相结合的原则，力求在控制成本的同时，提升场地的整体形象。最终目标是打造一个具备良好风貌形象的门户绿地，既能为过往行人提供一个舒适的休憩空间，也能提升整个基地的环境品质和吸引力。</w:t>
      </w:r>
    </w:p>
    <w:p>
      <w:pPr>
        <w:spacing w:before="91" w:line="360" w:lineRule="auto"/>
        <w:ind w:left="1" w:right="31" w:firstLine="440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整治服务完成期限：</w:t>
      </w:r>
      <w:r>
        <w:rPr>
          <w:rFonts w:hint="eastAsia" w:eastAsia="宋体"/>
          <w:color w:val="auto"/>
          <w:lang w:eastAsia="zh-CN"/>
        </w:rPr>
        <w:t>合同签订生效后60</w:t>
      </w: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天内，完成合同约定的全部服务工作并通过采购人验收。</w:t>
      </w:r>
    </w:p>
    <w:tbl>
      <w:tblPr>
        <w:tblStyle w:val="8"/>
        <w:tblW w:w="5183" w:type="pct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365"/>
        <w:gridCol w:w="1275"/>
        <w:gridCol w:w="1012"/>
        <w:gridCol w:w="885"/>
        <w:gridCol w:w="518"/>
        <w:gridCol w:w="622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绿化整治清单1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4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05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胸（地）径(cm)</w:t>
            </w:r>
          </w:p>
        </w:tc>
        <w:tc>
          <w:tcPr>
            <w:tcW w:w="55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高度(cm)</w:t>
            </w:r>
          </w:p>
        </w:tc>
        <w:tc>
          <w:tcPr>
            <w:tcW w:w="48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冠幅(cm)</w:t>
            </w:r>
          </w:p>
        </w:tc>
        <w:tc>
          <w:tcPr>
            <w:tcW w:w="28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567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D8-10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251-300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221以上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新栽，树形优美，全冠种植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场内移栽合欢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场内移栽，移至场内其他区域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场内移栽香樟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20-30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场内移栽，移至场内其他区域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场内移栽紫薇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场内移栽，移至场内其他区域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移栽乌桕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35-45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移栽香樟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20-35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移栽朴树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30-40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移栽落羽杉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20-25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移栽苦棟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移栽石楠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移栽梅花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移栽侧柏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移栽山茶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移栽蚊母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移栽枇杷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移栽卫矛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移栽枸骨树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</w:tbl>
    <w:p>
      <w:pPr>
        <w:pStyle w:val="2"/>
        <w:rPr>
          <w:rFonts w:hint="eastAsia" w:eastAsiaTheme="minorEastAsia"/>
          <w:color w:val="auto"/>
          <w:lang w:eastAsia="zh-CN"/>
        </w:rPr>
      </w:pPr>
    </w:p>
    <w:tbl>
      <w:tblPr>
        <w:tblStyle w:val="8"/>
        <w:tblW w:w="9041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511"/>
        <w:gridCol w:w="1016"/>
        <w:gridCol w:w="1016"/>
        <w:gridCol w:w="716"/>
        <w:gridCol w:w="816"/>
        <w:gridCol w:w="3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41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绿化整治清单2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0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高度(cm)</w:t>
            </w:r>
          </w:p>
        </w:tc>
        <w:tc>
          <w:tcPr>
            <w:tcW w:w="10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冠幅(cm)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4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大滨菊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31-35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21-25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新栽，每平方米36株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黄菖蒲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31-35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21-25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新栽，每平方米49株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常绿萱草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31-35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21-25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新栽，每平方米36株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常绿鸢尾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31-35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21-25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新栽，每平方米36株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细叶萼距花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21-25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新栽，每平方米36株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二月兰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21-25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新栽，每平方米36株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金边阔叶麦冬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21-25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新栽，每平方米36株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草坪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新栽，满铺百慕大追播黑麦草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立方米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营养土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立方米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</w:tbl>
    <w:p>
      <w:pPr>
        <w:pStyle w:val="2"/>
        <w:rPr>
          <w:rFonts w:hint="eastAsia" w:eastAsiaTheme="minorEastAsia"/>
          <w:color w:val="auto"/>
          <w:lang w:eastAsia="zh-CN"/>
        </w:rPr>
      </w:pPr>
    </w:p>
    <w:tbl>
      <w:tblPr>
        <w:tblStyle w:val="8"/>
        <w:tblW w:w="9064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383"/>
        <w:gridCol w:w="2865"/>
        <w:gridCol w:w="660"/>
        <w:gridCol w:w="690"/>
        <w:gridCol w:w="2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2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照明设施整治清单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 格 及 参 数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8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4.2m庭院灯40W 3000K，AC220V，IP65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新建，含基础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地灯12W 3000K，AC220V，IP65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新建，含基础（安装间距5m)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室外照明配电箱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不锈钢箱体，落地安装，参考尺寸1200*800*300，IP65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新建，含基础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电力线缆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YJV-5*4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PE32 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SC管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SC50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新建，预留过路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手孔井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600*600*700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接地极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2.5m热镀锌角钢钢50*50*5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L=2500mm）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接地极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40x4热镀锌扁钢扁钢L=5000mm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防水接线盒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86*86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配电箱集中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新建，无线远程控制，配电箱开启关闭</w:t>
            </w:r>
          </w:p>
        </w:tc>
      </w:tr>
    </w:tbl>
    <w:p>
      <w:pPr>
        <w:pStyle w:val="2"/>
        <w:rPr>
          <w:rFonts w:hint="eastAsia" w:eastAsiaTheme="minorEastAsia"/>
          <w:color w:val="auto"/>
          <w:lang w:eastAsia="zh-CN"/>
        </w:rPr>
      </w:pPr>
    </w:p>
    <w:tbl>
      <w:tblPr>
        <w:tblStyle w:val="8"/>
        <w:tblW w:w="1016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216"/>
        <w:gridCol w:w="3382"/>
        <w:gridCol w:w="817"/>
        <w:gridCol w:w="73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监控设施整治清单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 格 及 参 数</w:t>
            </w:r>
          </w:p>
        </w:tc>
        <w:tc>
          <w:tcPr>
            <w:tcW w:w="8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固定式监控摄像机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400万像素，5-50mm自动光圈镜头，日夜型，IP65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分支电源电缆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室外防水型FS-RVV 3X6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4芯万兆单模光纤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4芯室外万兆单模光缆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室外配管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PE50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室外配管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PE32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室外防雷接地设施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含接地体、扁钢、接地线等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室外防水背景音箱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30W,壁装防水音柱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广播信号传输电缆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室外防水型FS-RVV 3X6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广播信号传输电缆套管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PE32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发送端，单模单纤，2个百兆RJ45以太网接口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弱电手井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800*800x700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</w:tbl>
    <w:p>
      <w:pPr>
        <w:pStyle w:val="2"/>
        <w:rPr>
          <w:rFonts w:hint="eastAsia" w:eastAsiaTheme="minorEastAsia"/>
          <w:color w:val="auto"/>
          <w:lang w:eastAsia="zh-CN"/>
        </w:rPr>
      </w:pPr>
    </w:p>
    <w:tbl>
      <w:tblPr>
        <w:tblStyle w:val="8"/>
        <w:tblW w:w="91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777"/>
        <w:gridCol w:w="1410"/>
        <w:gridCol w:w="818"/>
        <w:gridCol w:w="7"/>
        <w:gridCol w:w="1755"/>
        <w:gridCol w:w="2618"/>
        <w:gridCol w:w="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4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拆除及改造清单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做法</w:t>
            </w:r>
          </w:p>
        </w:tc>
        <w:tc>
          <w:tcPr>
            <w:tcW w:w="26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7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拆现状原木座凳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现状原木座凳，移除，单个长20米，宽1米，高0.45米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875" w:hRule="atLeast"/>
        </w:trPr>
        <w:tc>
          <w:tcPr>
            <w:tcW w:w="7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val="en-US" w:eastAsia="zh-CN"/>
              </w:rPr>
              <w:t>移机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自动售卖机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2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</wp:posOffset>
                  </wp:positionV>
                  <wp:extent cx="845820" cy="1188720"/>
                  <wp:effectExtent l="0" t="0" r="1905" b="1905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086" cy="1181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1234440</wp:posOffset>
                  </wp:positionV>
                  <wp:extent cx="1508760" cy="1173480"/>
                  <wp:effectExtent l="0" t="0" r="5715" b="762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73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950" w:hRule="atLeast"/>
        </w:trPr>
        <w:tc>
          <w:tcPr>
            <w:tcW w:w="7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val="en-US" w:eastAsia="zh-CN"/>
              </w:rPr>
              <w:t>移机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直饮水设备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2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950" w:hRule="atLeast"/>
        </w:trPr>
        <w:tc>
          <w:tcPr>
            <w:tcW w:w="7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拆除灯杆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高度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30480</wp:posOffset>
                  </wp:positionV>
                  <wp:extent cx="601980" cy="1196340"/>
                  <wp:effectExtent l="0" t="0" r="7620" b="381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120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32" w:hRule="atLeast"/>
        </w:trPr>
        <w:tc>
          <w:tcPr>
            <w:tcW w:w="7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拆除树穴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m2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100厚有机覆盖物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87" w:hRule="atLeast"/>
        </w:trPr>
        <w:tc>
          <w:tcPr>
            <w:tcW w:w="7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升井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升高约0.5米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77" w:hRule="atLeast"/>
        </w:trPr>
        <w:tc>
          <w:tcPr>
            <w:tcW w:w="7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新建铺装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m2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50厚花岗岩火烧面（深灰，浅灰）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30厚1:3干硬性水泥砂浆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100厚C20混凝土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150厚级配碎石稳定层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素土夯实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0" w:hRule="atLeast"/>
        </w:trPr>
        <w:tc>
          <w:tcPr>
            <w:tcW w:w="7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雕塑西南地块微地形填方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m3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568.83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不含土源费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0" w:hRule="atLeast"/>
        </w:trPr>
        <w:tc>
          <w:tcPr>
            <w:tcW w:w="76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雕塑西南地块微地形挖方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m3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136.85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场地内消化</w:t>
            </w:r>
          </w:p>
        </w:tc>
      </w:tr>
    </w:tbl>
    <w:p>
      <w:pPr>
        <w:pStyle w:val="2"/>
        <w:rPr>
          <w:rFonts w:hint="eastAsia" w:eastAsiaTheme="minorEastAsia"/>
          <w:color w:val="auto"/>
          <w:lang w:eastAsia="zh-CN"/>
        </w:rPr>
      </w:pPr>
    </w:p>
    <w:tbl>
      <w:tblPr>
        <w:tblStyle w:val="8"/>
        <w:tblW w:w="9019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08"/>
        <w:gridCol w:w="3225"/>
        <w:gridCol w:w="885"/>
        <w:gridCol w:w="907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1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排水改造清单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盖板排水沟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内径宽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，沟深≥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，盖板上散铺卵石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</w:tr>
    </w:tbl>
    <w:p>
      <w:pPr>
        <w:pStyle w:val="2"/>
        <w:rPr>
          <w:rFonts w:hint="eastAsia" w:eastAsiaTheme="minorEastAsia"/>
          <w:color w:val="auto"/>
          <w:lang w:eastAsia="zh-CN"/>
        </w:rPr>
      </w:pPr>
    </w:p>
    <w:p>
      <w:pPr>
        <w:ind w:firstLine="440" w:firstLineChars="200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2"/>
        </w:rPr>
        <w:t>★</w:t>
      </w:r>
      <w:r>
        <w:rPr>
          <w:bCs/>
          <w:color w:val="auto"/>
          <w:sz w:val="22"/>
        </w:rPr>
        <w:t>说明：</w:t>
      </w:r>
      <w:r>
        <w:rPr>
          <w:rFonts w:hint="eastAsia" w:eastAsia="宋体"/>
          <w:b/>
          <w:color w:val="auto"/>
          <w:sz w:val="22"/>
          <w:szCs w:val="20"/>
          <w:lang w:eastAsia="zh-CN"/>
        </w:rPr>
        <w:t>供应商</w:t>
      </w:r>
      <w:r>
        <w:rPr>
          <w:b/>
          <w:color w:val="auto"/>
          <w:sz w:val="22"/>
          <w:szCs w:val="20"/>
        </w:rPr>
        <w:t>不得对表内工作量</w:t>
      </w:r>
      <w:r>
        <w:rPr>
          <w:rFonts w:hint="eastAsia"/>
          <w:b/>
          <w:color w:val="auto"/>
          <w:sz w:val="22"/>
          <w:szCs w:val="20"/>
          <w:lang w:eastAsia="zh-CN"/>
        </w:rPr>
        <w:t>数量</w:t>
      </w:r>
      <w:r>
        <w:rPr>
          <w:b/>
          <w:color w:val="auto"/>
          <w:sz w:val="22"/>
          <w:szCs w:val="20"/>
        </w:rPr>
        <w:t>进行缩减。</w:t>
      </w:r>
    </w:p>
    <w:p>
      <w:pPr>
        <w:spacing w:before="116" w:line="360" w:lineRule="auto"/>
        <w:ind w:left="444"/>
        <w:outlineLvl w:val="3"/>
        <w:rPr>
          <w:rFonts w:ascii="宋体" w:hAnsi="宋体" w:eastAsia="宋体" w:cs="宋体"/>
          <w:b/>
          <w:bCs/>
          <w:color w:val="auto"/>
          <w:spacing w:val="-6"/>
          <w:sz w:val="22"/>
          <w:szCs w:val="22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6"/>
          <w:sz w:val="22"/>
          <w:szCs w:val="22"/>
          <w:lang w:eastAsia="zh-CN"/>
        </w:rPr>
        <w:t>3.2整治作业要求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3.2.1总体要求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供应商必须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完成本项目中要求的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全部工作内容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并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根据项</w:t>
      </w:r>
      <w:r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  <w:t>目实际状况制定工作计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划，保质保量完成任务。协同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建设单位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及其它相关部门迅速处置应急事件</w:t>
      </w:r>
      <w:r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  <w:t>，制定相应的应急预案，除发生不可抗力事件，其它任何情况下必须保持改造绿化处于良好的状</w:t>
      </w:r>
      <w:r>
        <w:rPr>
          <w:rFonts w:ascii="宋体" w:hAnsi="宋体" w:eastAsia="宋体" w:cs="宋体"/>
          <w:color w:val="auto"/>
          <w:spacing w:val="-2"/>
          <w:sz w:val="22"/>
          <w:szCs w:val="22"/>
          <w:lang w:eastAsia="zh-CN"/>
        </w:rPr>
        <w:t>态。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3.2.2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场地清理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（1）供应商应在整治改造方案内充分考虑原有管线、地上地下障碍物及原有苗木等等一切因素。供应商在编制投标方案时要充分考虑由此而发生的费用，该费用摊销入每个子项的综合单价中，不再另行支付。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（2）整治改造期间临时设施搭设和用料堆放场地：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（3）本项目施工期间临时设施搭设和施工用料堆放场地，由供应商根据本项目具体情况结合施工方案自行确定，但不得影响周边单位及市民的正常办公、出行，需注意沿街界面干净整洁。相应的措施费一并在投标文件中自报，并计入总报价闭口包干。中标后，采购人有权根据现场情况统一安排调整，未经采购人同意供应商不得随意搭建临时设施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（4）现场不得搭设临时生活设施。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（5）现场整治改造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期间应做到有关文明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安全管理的规定，避免影响居民生活的扬尘、噪音及污染，并做到有效控制，所需费用在措施费计入总报价闭口包干。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3.2.3项目苗木、材料、制品的供应、运输、保护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(1)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凡项目用的主要材料均须在商务标文件中提供详细的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供货产地\制造商，以便采购人到实地进行质量监督。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(2)整治改造所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用的各种材料、成品、半成品、苗木都必须符合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质量标准、设计要求及国家规定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的技术指标；电缆、管材、配电箱等需注明提供品牌、厂商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，并有质保书或出厂检验合格证等相关质保资料。如不符合要求，应及时整改，采购人保留对不合格供应商或不合格材料予以调换的权利。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(3)植株应小心包裹、运送、拿放，以确保不受损伤。在栽种前除坏死部分外不要修剪，不得用有可能导致树皮破损、断枝或损坏树形的方式弄弯、捆、缚苗木。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(4)若植株不处于休眠状态,要在运送前根据供应商建议在叶面上喷洒防脱水剂。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(5)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任何对根系、茎干、枝叶不宜的保护措施都可以导致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植株被淘汰。所有苗木在运输和储存期间均应保护湿润，不可将苗木置于工地两天以上而不栽种。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(6)避免持枝干抬举或移动苗木。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(7)在装卸苗木时须小心，以防枝干、根系受损伤,受损的苗木应被淘汰。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3.2.4整治改造质量要求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(1)本项目中的绿化项目的质量达到《园林绿化项目施工质量验收规范》（DGTJ08-701-2008）的合格等级以上（含合格）标准并一次验收通过。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(2)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本绿化种植项目要求供应的乔木、花、灌木都须无病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虫害，未受污染和损伤，植株应分枝良好根系旺盛，每株植物的根系应主根、次根比例适宜。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(3)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要求严格按照绿化施工规范施工，种植上木时应先清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除房地基垃圾，所有种植区域进行必要的表层换土。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(4)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要求每株乔木视土壤情况更换种植好土，种植土应根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据植物对酸碱度的不同需求局部进行改良；应选用优质的种植土。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(5)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每株乔木应做好规范支撑，牢固、美观、整齐。落叶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乔木需保留三级以上叉枝（杉类除外），常绿乔木需全冠种植，保持树冠完整，切忌“杀头”处理。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(6)种植时应避开各种地下管线，按规范要求确保树木与管线的最小距离。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(7)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绿地内除种植乔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木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还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应种植花卉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或草坪，不能有土面裸露，同时要保证种植密度以确保近期的景观效果。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(8)成交供应商对本项目的整治改造质量负全面责任。要求竣工及移交时一次验收合格率100%、苗木成活率100%，并且长势良好；并按《建设项目质量管理条例》有关规定执行，</w:t>
      </w:r>
      <w:bookmarkStart w:id="2" w:name="_GoBack"/>
      <w:bookmarkEnd w:id="2"/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养护期为竣工验收后不少于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年。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(9)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园林栽植土必须具有满足园林栽植植物生长所需要的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水、肥、气、热的能力。严禁建筑垃圾和有害物质混入。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(10)粘土、砂土等应根据栽植土质量要求进行改良后方可栽植。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(11)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栽植喜酸性植物的土壤，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pH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值必须控制在小于等于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7.8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，无石灰反应。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裸根种苗一经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挖起应扶土保护，并将其根部埋置于可保持湿润之材料中，加水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以保持根部湿润直至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栽培；已栽或未栽种植物应加以保护以免干枯，如松针、麦草、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锯末或树皮碎皮以麻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袋、帆布、塑料布、其他织物或用其他覆盖物，储存的植物每隔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适当时间应喷水以维持根部湿润。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(12)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本项目所进绿化种植土土方根据上海市绿化局沪绿〔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2001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〕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0092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号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文规定，应在种植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前委托土壤检测单位进行检测，检测未达规定要求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，应对土壤进行改良，改良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后重新检测直至达到规定要求，并提供土壤检测合格证。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其一切检测费用均应包括在投标总报价中。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(13)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完成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时应当达到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合同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约定的质量标准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，质量的评定以国家或行业的质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量检验评定标准为依据。因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供应商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原因质量达不到自报项目质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量等级标准者，供应商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承担违约责任，并按合同总价的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2%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的标准计算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违约金。供应商也可在投标标书中自报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质量违约的处罚标准，以资竞争。质量违约金在项目结算时由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采购人直接在供应商应得的项目款中扣除。</w:t>
      </w:r>
    </w:p>
    <w:p>
      <w:pPr>
        <w:spacing w:before="116" w:line="360" w:lineRule="auto"/>
        <w:ind w:left="444"/>
        <w:outlineLvl w:val="3"/>
        <w:rPr>
          <w:rFonts w:ascii="宋体" w:hAnsi="宋体" w:eastAsia="宋体" w:cs="宋体"/>
          <w:b/>
          <w:bCs/>
          <w:color w:val="auto"/>
          <w:spacing w:val="-6"/>
          <w:sz w:val="22"/>
          <w:szCs w:val="22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6"/>
          <w:sz w:val="22"/>
          <w:szCs w:val="22"/>
          <w:lang w:eastAsia="zh-CN"/>
        </w:rPr>
        <w:t>3.3安全文明作业及应急处置要求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3.3.1现场安全文明措施与要求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供应商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应依据现行标准规范，结合合同标段实际环境、作业时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间长短等，制定相应的安全、文明施工具体措施，确保安全生产。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(1)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供应商应对养护人员进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行全员培训，有针对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性地开展安全交底活动，重点强调其岗位的安全风险及防范措施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；特种作业人员必须接受专业培训，持证上岗。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(2)建立职工（含劳务工等各种类型用工）花名册等档案资料，与职工签订劳动合同，为其办理国家规定的相关保险，并按规定标准安排专业健康体检和配备劳动防护用品。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(3)建立健全安全生产工作责任体系和组织管理网络，设置安全生产监管部门，配备专职安全监管人员，对施工作业安全进行现场监督；按照“横向到边，纵向到底”责任制要求将安全责任分解，供应商法定代表人与项目部、项目部与下属各责任部门必须签订安全协议书；定期召开安全生产工作会议，每月不少于一次；组织开展安全生产检查，每旬不少于一次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(4)凡占用机动车道进行的项目作业，必须按照规范要求设置维修作业控制区，并配置专用标志车（防撞车）和各项安全器材；施工人员上路作业必须统一着装，乘坐专用车辆，不得乘坐在无专用设施的货车车斗内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(5)进入作业现场的作业机械和车辆，应按规定配置警示标志、灯具。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(6)严格执行JGJ4688-2005《施工现场临时用电安全技术规范》规定，采用三级配电系统、TN-S接零保护系统、三级漏电保护系统；所有的配电箱、开关电箱符合要求，临时用电项目所用电器装置、元器件、电线电缆等电工产品必须按国家规定通过“3C”认证，并经市建设项目安全协会登记备案的进行配置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(7)如过程中发生重特大安全事故，供应商应快速、及时赶到现场，实施紧急处置，并协同有关单位和部门做好善后处理和稳定工作；紧急处置的结果须及时上报建设单位。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(8)创建文明工地，做到工地规范有序，便民利民，工完料清场地清，将项目对交通的影响降到最低，每旬至少进行一次文明工地检查。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3.3.2应急处置要求</w:t>
      </w:r>
    </w:p>
    <w:p>
      <w:pPr>
        <w:spacing w:before="94" w:line="360" w:lineRule="auto"/>
        <w:ind w:left="125" w:right="300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供应商</w:t>
      </w:r>
      <w:r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  <w:t>应结合项目实际，针对防台、防汛、防火、防震、突发事件处置、</w:t>
      </w:r>
      <w:r>
        <w:rPr>
          <w:rFonts w:ascii="宋体" w:hAnsi="宋体" w:eastAsia="宋体" w:cs="宋体"/>
          <w:color w:val="auto"/>
          <w:spacing w:val="-2"/>
          <w:sz w:val="22"/>
          <w:szCs w:val="22"/>
          <w:lang w:eastAsia="zh-CN"/>
        </w:rPr>
        <w:t>重大活动、迎检、信访等可能的事件制定有效可行的应急预案。</w:t>
      </w:r>
    </w:p>
    <w:p>
      <w:pPr>
        <w:spacing w:before="180" w:line="360" w:lineRule="auto"/>
        <w:ind w:left="3"/>
        <w:outlineLvl w:val="1"/>
        <w:rPr>
          <w:rFonts w:ascii="宋体" w:hAnsi="宋体" w:eastAsia="宋体" w:cs="宋体"/>
          <w:b/>
          <w:bCs/>
          <w:color w:val="auto"/>
          <w:spacing w:val="-4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30"/>
          <w:szCs w:val="30"/>
          <w:lang w:eastAsia="zh-CN"/>
        </w:rPr>
        <w:t>四、</w:t>
      </w:r>
      <w:r>
        <w:rPr>
          <w:rFonts w:ascii="宋体" w:hAnsi="宋体" w:eastAsia="宋体" w:cs="宋体"/>
          <w:b/>
          <w:bCs/>
          <w:color w:val="auto"/>
          <w:spacing w:val="-4"/>
          <w:sz w:val="30"/>
          <w:szCs w:val="30"/>
          <w:lang w:eastAsia="zh-CN"/>
        </w:rPr>
        <w:t>人员及设备要求</w:t>
      </w:r>
    </w:p>
    <w:p>
      <w:pPr>
        <w:snapToGrid/>
        <w:spacing w:before="94" w:line="360" w:lineRule="auto"/>
        <w:ind w:left="125" w:right="300" w:firstLine="440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4.1人员要求</w:t>
      </w:r>
    </w:p>
    <w:p>
      <w:pPr>
        <w:spacing w:before="94" w:line="360" w:lineRule="auto"/>
        <w:ind w:left="125" w:right="300" w:firstLine="440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供应商拟派的管理人员，实际以养护专业要求为准，供应商应根据项目特点，服务范围和服务要求，合理配备所需人员，并分配各岗点服务人数、安排班次，且必须是本单位职工，且为该项目施工现场的实际操作者。未经采购人同意，供应商不得调换或撤离上述人员，如采购人认为有必要，可要求供应商对上述人员中的部分人员作出更好的调整。</w:t>
      </w:r>
    </w:p>
    <w:p>
      <w:pPr>
        <w:tabs>
          <w:tab w:val="left" w:pos="3060"/>
        </w:tabs>
        <w:ind w:firstLine="440" w:firstLineChars="200"/>
        <w:rPr>
          <w:bCs/>
          <w:color w:val="auto"/>
          <w:sz w:val="22"/>
        </w:rPr>
      </w:pPr>
      <w:r>
        <w:rPr>
          <w:rFonts w:hint="eastAsia" w:eastAsia="宋体"/>
          <w:bCs/>
          <w:color w:val="auto"/>
          <w:sz w:val="22"/>
          <w:lang w:eastAsia="zh-CN"/>
        </w:rPr>
        <w:t>4.1.1</w:t>
      </w:r>
      <w:r>
        <w:rPr>
          <w:bCs/>
          <w:color w:val="auto"/>
          <w:sz w:val="22"/>
        </w:rPr>
        <w:t xml:space="preserve"> 管理人员配备要求</w:t>
      </w:r>
    </w:p>
    <w:p>
      <w:pPr>
        <w:jc w:val="center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>管理人员配置表</w:t>
      </w:r>
    </w:p>
    <w:tbl>
      <w:tblPr>
        <w:tblStyle w:val="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944"/>
        <w:gridCol w:w="1034"/>
        <w:gridCol w:w="1214"/>
        <w:gridCol w:w="542"/>
        <w:gridCol w:w="1526"/>
        <w:gridCol w:w="1777"/>
        <w:gridCol w:w="1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83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541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岗位类别</w:t>
            </w:r>
          </w:p>
        </w:tc>
        <w:tc>
          <w:tcPr>
            <w:tcW w:w="59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岗位名称</w:t>
            </w:r>
          </w:p>
        </w:tc>
        <w:tc>
          <w:tcPr>
            <w:tcW w:w="69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级别</w:t>
            </w:r>
          </w:p>
        </w:tc>
        <w:tc>
          <w:tcPr>
            <w:tcW w:w="311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数量</w:t>
            </w:r>
          </w:p>
        </w:tc>
        <w:tc>
          <w:tcPr>
            <w:tcW w:w="875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应提供资料</w:t>
            </w:r>
          </w:p>
        </w:tc>
        <w:tc>
          <w:tcPr>
            <w:tcW w:w="101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提供</w:t>
            </w:r>
            <w:r>
              <w:rPr>
                <w:rFonts w:hint="eastAsia" w:eastAsia="宋体"/>
                <w:b/>
                <w:bCs/>
                <w:color w:val="auto"/>
                <w:sz w:val="20"/>
                <w:szCs w:val="20"/>
                <w:lang w:eastAsia="zh-CN"/>
              </w:rPr>
              <w:t>证明材料</w:t>
            </w:r>
          </w:p>
        </w:tc>
        <w:tc>
          <w:tcPr>
            <w:tcW w:w="67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8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管理</w:t>
            </w:r>
          </w:p>
          <w:p>
            <w:pPr>
              <w:jc w:val="center"/>
              <w:rPr>
                <w:rFonts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人员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项目经理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绿化专业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中级</w:t>
            </w: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及</w:t>
            </w:r>
            <w:r>
              <w:rPr>
                <w:color w:val="auto"/>
                <w:sz w:val="20"/>
                <w:szCs w:val="20"/>
              </w:rPr>
              <w:t>工程师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社保缴金证明、绿化专业中级工程师及以上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" w:type="pct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其他专业技术人员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质量员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社保缴金证明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8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安全员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 w:bidi="ar"/>
              </w:rPr>
              <w:t>安全员C证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社保缴金证明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lang w:eastAsia="zh-CN"/>
              </w:rPr>
              <w:t>是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资料员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社保缴金证明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00" w:firstLineChars="2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备注：1、表中人员需提供近</w:t>
            </w: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3</w:t>
            </w:r>
            <w:r>
              <w:rPr>
                <w:color w:val="auto"/>
                <w:sz w:val="20"/>
                <w:szCs w:val="20"/>
              </w:rPr>
              <w:t>个月内任一月份在投标单位的的社保缴金证明</w:t>
            </w: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，须在查询列表中做出标注，以便查找</w:t>
            </w:r>
            <w:r>
              <w:rPr>
                <w:color w:val="auto"/>
                <w:sz w:val="20"/>
                <w:szCs w:val="20"/>
              </w:rPr>
              <w:t>；</w:t>
            </w:r>
          </w:p>
        </w:tc>
      </w:tr>
    </w:tbl>
    <w:p>
      <w:pPr>
        <w:tabs>
          <w:tab w:val="left" w:pos="3060"/>
        </w:tabs>
        <w:ind w:firstLine="440" w:firstLineChars="200"/>
        <w:rPr>
          <w:bCs/>
          <w:color w:val="auto"/>
          <w:sz w:val="22"/>
        </w:rPr>
      </w:pPr>
      <w:r>
        <w:rPr>
          <w:rFonts w:hint="eastAsia" w:eastAsia="宋体"/>
          <w:bCs/>
          <w:color w:val="auto"/>
          <w:sz w:val="22"/>
          <w:lang w:eastAsia="zh-CN"/>
        </w:rPr>
        <w:t>4.1.2</w:t>
      </w:r>
      <w:r>
        <w:rPr>
          <w:bCs/>
          <w:color w:val="auto"/>
          <w:sz w:val="22"/>
        </w:rPr>
        <w:t xml:space="preserve"> 技术作业工人配备要求</w:t>
      </w:r>
    </w:p>
    <w:p>
      <w:pPr>
        <w:jc w:val="center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>主要技术工人（骨干）配置表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316"/>
        <w:gridCol w:w="1224"/>
        <w:gridCol w:w="610"/>
        <w:gridCol w:w="610"/>
        <w:gridCol w:w="1408"/>
        <w:gridCol w:w="1569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225" w:type="pct"/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岗位类别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专业名称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级别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eastAsia="宋体"/>
                <w:b/>
                <w:bCs/>
                <w:color w:val="auto"/>
                <w:sz w:val="20"/>
                <w:szCs w:val="20"/>
                <w:lang w:eastAsia="zh-CN"/>
              </w:rPr>
              <w:t>最少</w:t>
            </w:r>
            <w:r>
              <w:rPr>
                <w:b/>
                <w:bCs/>
                <w:color w:val="auto"/>
                <w:sz w:val="20"/>
                <w:szCs w:val="20"/>
              </w:rPr>
              <w:t>数量</w:t>
            </w: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应提供资料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提供</w:t>
            </w:r>
            <w:r>
              <w:rPr>
                <w:rFonts w:hint="eastAsia" w:eastAsia="宋体"/>
                <w:b/>
                <w:bCs/>
                <w:color w:val="auto"/>
                <w:sz w:val="20"/>
                <w:szCs w:val="20"/>
                <w:lang w:eastAsia="zh-CN"/>
              </w:rPr>
              <w:t>证明材料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25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Cs w:val="20"/>
              </w:rPr>
              <w:t>养护员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绿化工 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社保缴金证明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25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Cs w:val="20"/>
              </w:rPr>
              <w:t>巡查员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/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社保缴金证明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" w:type="pct"/>
            <w:gridSpan w:val="8"/>
            <w:vAlign w:val="center"/>
          </w:tcPr>
          <w:p>
            <w:pPr>
              <w:ind w:firstLine="400" w:firstLineChars="2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备注：1、表中人员1～2类人员需提供近</w:t>
            </w: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3</w:t>
            </w:r>
            <w:r>
              <w:rPr>
                <w:color w:val="auto"/>
                <w:sz w:val="20"/>
                <w:szCs w:val="20"/>
              </w:rPr>
              <w:t>个月内任一月份在投标单位的的社保缴金证明</w:t>
            </w: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，须在查询列表中做出标注，以便查找</w:t>
            </w:r>
            <w:r>
              <w:rPr>
                <w:color w:val="auto"/>
                <w:sz w:val="20"/>
                <w:szCs w:val="20"/>
              </w:rPr>
              <w:t xml:space="preserve">。 </w:t>
            </w:r>
          </w:p>
        </w:tc>
      </w:tr>
    </w:tbl>
    <w:p>
      <w:pPr>
        <w:tabs>
          <w:tab w:val="left" w:pos="3060"/>
        </w:tabs>
        <w:ind w:firstLine="440" w:firstLineChars="200"/>
        <w:jc w:val="center"/>
        <w:rPr>
          <w:b/>
          <w:bCs/>
          <w:color w:val="auto"/>
          <w:sz w:val="22"/>
        </w:rPr>
      </w:pPr>
    </w:p>
    <w:p>
      <w:pPr>
        <w:tabs>
          <w:tab w:val="left" w:pos="3060"/>
        </w:tabs>
        <w:ind w:firstLine="440" w:firstLineChars="200"/>
        <w:jc w:val="center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>一线主要劳动力配置表</w:t>
      </w:r>
    </w:p>
    <w:tbl>
      <w:tblPr>
        <w:tblStyle w:val="8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098"/>
        <w:gridCol w:w="1292"/>
        <w:gridCol w:w="647"/>
        <w:gridCol w:w="678"/>
        <w:gridCol w:w="1626"/>
        <w:gridCol w:w="2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48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630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岗位类别</w:t>
            </w:r>
          </w:p>
        </w:tc>
        <w:tc>
          <w:tcPr>
            <w:tcW w:w="741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岗位名称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级别</w:t>
            </w:r>
          </w:p>
        </w:tc>
        <w:tc>
          <w:tcPr>
            <w:tcW w:w="38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数量</w:t>
            </w:r>
          </w:p>
        </w:tc>
        <w:tc>
          <w:tcPr>
            <w:tcW w:w="93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应提供资料</w:t>
            </w:r>
          </w:p>
        </w:tc>
        <w:tc>
          <w:tcPr>
            <w:tcW w:w="1584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48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一线劳动力</w:t>
            </w:r>
          </w:p>
        </w:tc>
        <w:tc>
          <w:tcPr>
            <w:tcW w:w="741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养护工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/</w:t>
            </w:r>
          </w:p>
        </w:tc>
        <w:tc>
          <w:tcPr>
            <w:tcW w:w="38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93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技术标内提供一线劳动力配备</w:t>
            </w:r>
          </w:p>
        </w:tc>
        <w:tc>
          <w:tcPr>
            <w:tcW w:w="1584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00" w:firstLineChars="200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备注：表中一线劳动力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可承诺在养护前配置到位。</w:t>
            </w:r>
          </w:p>
        </w:tc>
      </w:tr>
    </w:tbl>
    <w:p>
      <w:pPr>
        <w:snapToGrid/>
        <w:spacing w:before="94" w:line="360" w:lineRule="auto"/>
        <w:ind w:left="125" w:right="300" w:firstLine="440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4.1.3设备要求</w:t>
      </w:r>
    </w:p>
    <w:p>
      <w:pPr>
        <w:adjustRightInd/>
        <w:snapToGrid/>
        <w:spacing w:before="94" w:line="360" w:lineRule="auto"/>
        <w:ind w:left="125" w:right="300" w:firstLine="440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为提高养护工程质量和服务水平，供应商应采用机械化形式对设施的各类病害进行养护维修。本项目中设备要求（但不仅限于）详见下表。</w:t>
      </w:r>
    </w:p>
    <w:p>
      <w:pPr>
        <w:ind w:firstLine="3862" w:firstLineChars="1892"/>
        <w:rPr>
          <w:b/>
          <w:color w:val="auto"/>
          <w:spacing w:val="-3"/>
          <w:szCs w:val="20"/>
        </w:rPr>
      </w:pPr>
      <w:r>
        <w:rPr>
          <w:b/>
          <w:color w:val="auto"/>
          <w:spacing w:val="-3"/>
          <w:szCs w:val="20"/>
        </w:rPr>
        <w:t>机械设备配置表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146"/>
        <w:gridCol w:w="2394"/>
        <w:gridCol w:w="1060"/>
        <w:gridCol w:w="145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tblHeader/>
          <w:jc w:val="center"/>
        </w:trPr>
        <w:tc>
          <w:tcPr>
            <w:tcW w:w="764" w:type="pct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设备名称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型号规格</w:t>
            </w: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配置要求</w:t>
            </w: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数量要求</w:t>
            </w: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设备年限要求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b/>
                <w:color w:val="auto"/>
                <w:sz w:val="20"/>
                <w:szCs w:val="20"/>
                <w:lang w:eastAsia="zh-CN"/>
              </w:rPr>
              <w:t>提供证明材料（</w:t>
            </w:r>
            <w:r>
              <w:rPr>
                <w:rFonts w:hint="eastAsia"/>
                <w:color w:val="auto"/>
                <w:sz w:val="20"/>
                <w:szCs w:val="20"/>
              </w:rPr>
              <w:t>购买发票或租赁合同等</w:t>
            </w:r>
            <w:r>
              <w:rPr>
                <w:rFonts w:hint="eastAsia" w:eastAsia="宋体"/>
                <w:b/>
                <w:color w:val="auto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6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巡视</w:t>
            </w:r>
            <w:r>
              <w:rPr>
                <w:color w:val="auto"/>
                <w:sz w:val="20"/>
                <w:szCs w:val="20"/>
              </w:rPr>
              <w:t>车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自有或租赁</w:t>
            </w: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1</w:t>
            </w:r>
            <w:r>
              <w:rPr>
                <w:rFonts w:hint="eastAsia"/>
                <w:color w:val="auto"/>
                <w:sz w:val="20"/>
                <w:szCs w:val="20"/>
              </w:rPr>
              <w:t>辆</w:t>
            </w: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64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绿篱</w:t>
            </w:r>
            <w:r>
              <w:rPr>
                <w:rFonts w:hint="eastAsia"/>
                <w:color w:val="auto"/>
                <w:sz w:val="20"/>
                <w:szCs w:val="20"/>
              </w:rPr>
              <w:t>机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自有或租赁</w:t>
            </w: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4</w:t>
            </w:r>
            <w:r>
              <w:rPr>
                <w:color w:val="auto"/>
                <w:sz w:val="20"/>
                <w:szCs w:val="20"/>
              </w:rPr>
              <w:t>台</w:t>
            </w: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  <w:jc w:val="center"/>
        </w:trPr>
        <w:tc>
          <w:tcPr>
            <w:tcW w:w="764" w:type="pct"/>
            <w:vAlign w:val="center"/>
          </w:tcPr>
          <w:p>
            <w:pPr>
              <w:tabs>
                <w:tab w:val="left" w:pos="482"/>
              </w:tabs>
              <w:jc w:val="center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割灌机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自有或租赁</w:t>
            </w: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color w:val="auto"/>
                <w:sz w:val="20"/>
                <w:szCs w:val="20"/>
              </w:rPr>
              <w:t>台</w:t>
            </w: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64" w:type="pct"/>
            <w:vAlign w:val="center"/>
          </w:tcPr>
          <w:p>
            <w:pPr>
              <w:tabs>
                <w:tab w:val="left" w:pos="549"/>
              </w:tabs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树木削枝机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自有或租赁</w:t>
            </w:r>
          </w:p>
        </w:tc>
        <w:tc>
          <w:tcPr>
            <w:tcW w:w="608" w:type="pct"/>
            <w:vAlign w:val="center"/>
          </w:tcPr>
          <w:p>
            <w:pPr>
              <w:tabs>
                <w:tab w:val="left" w:pos="393"/>
              </w:tabs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1</w:t>
            </w:r>
            <w:r>
              <w:rPr>
                <w:color w:val="auto"/>
                <w:sz w:val="20"/>
                <w:szCs w:val="20"/>
              </w:rPr>
              <w:t>台</w:t>
            </w: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64" w:type="pct"/>
            <w:vAlign w:val="center"/>
          </w:tcPr>
          <w:p>
            <w:pPr>
              <w:tabs>
                <w:tab w:val="left" w:pos="549"/>
              </w:tabs>
              <w:jc w:val="center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背式吹风机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自有或租赁</w:t>
            </w:r>
          </w:p>
        </w:tc>
        <w:tc>
          <w:tcPr>
            <w:tcW w:w="608" w:type="pct"/>
            <w:vAlign w:val="center"/>
          </w:tcPr>
          <w:p>
            <w:pPr>
              <w:tabs>
                <w:tab w:val="left" w:pos="393"/>
              </w:tabs>
              <w:jc w:val="center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2台</w:t>
            </w: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6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水泵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自有或租赁</w:t>
            </w: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color w:val="auto"/>
                <w:sz w:val="20"/>
                <w:szCs w:val="20"/>
              </w:rPr>
              <w:t>台</w:t>
            </w: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  <w:jc w:val="center"/>
        </w:trPr>
        <w:tc>
          <w:tcPr>
            <w:tcW w:w="764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应急设备及物资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供应商</w:t>
            </w:r>
            <w:r>
              <w:rPr>
                <w:color w:val="auto"/>
                <w:sz w:val="20"/>
                <w:szCs w:val="20"/>
              </w:rPr>
              <w:t>自报</w:t>
            </w: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</w:tr>
    </w:tbl>
    <w:p>
      <w:pPr>
        <w:snapToGrid/>
        <w:spacing w:before="94" w:line="360" w:lineRule="auto"/>
        <w:ind w:left="125" w:right="300" w:firstLine="440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注：</w:t>
      </w:r>
    </w:p>
    <w:p>
      <w:pPr>
        <w:snapToGrid/>
        <w:spacing w:before="94" w:line="360" w:lineRule="auto"/>
        <w:ind w:left="125" w:right="300" w:firstLine="440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（1）上述设备中车辆的尾气排放标准必须符合国家和上海市的有关标准，严禁使用黄标车车辆。</w:t>
      </w:r>
    </w:p>
    <w:p>
      <w:pPr>
        <w:snapToGrid/>
        <w:spacing w:before="94" w:line="360" w:lineRule="auto"/>
        <w:ind w:left="125" w:right="300" w:firstLine="440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（2）上表中的机械，供应商可提供（如购买发票、租赁合同等原件及复印件）等相关证明材料复印件。若无或者不完整，应当提供中标后5日内配齐以上机械承诺，否则采购人有权不签订合同。</w:t>
      </w:r>
    </w:p>
    <w:p>
      <w:pPr>
        <w:spacing w:before="158" w:line="360" w:lineRule="auto"/>
        <w:ind w:left="7" w:right="58" w:firstLine="420"/>
        <w:rPr>
          <w:lang w:eastAsia="zh-CN"/>
        </w:rPr>
      </w:pPr>
    </w:p>
    <w:p>
      <w:pPr>
        <w:spacing w:before="158" w:line="360" w:lineRule="auto"/>
        <w:ind w:left="7" w:right="58" w:firstLine="420"/>
        <w:rPr>
          <w:lang w:eastAsia="zh-CN"/>
        </w:rPr>
      </w:pPr>
    </w:p>
    <w:p/>
    <w:p/>
    <w:sectPr>
      <w:footerReference r:id="rId3" w:type="default"/>
      <w:type w:val="continuous"/>
      <w:pgSz w:w="11907" w:h="16840"/>
      <w:pgMar w:top="1418" w:right="1701" w:bottom="1134" w:left="1701" w:header="1086" w:footer="82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dobe 宋体 Std L">
    <w:altName w:val="方正书宋_GBK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636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2ZTExMDU4NDI0OTk2MjcyNDQzZTc5ZTQwZjY4MmEifQ=="/>
  </w:docVars>
  <w:rsids>
    <w:rsidRoot w:val="00FC4B5D"/>
    <w:rsid w:val="00022B6D"/>
    <w:rsid w:val="00057866"/>
    <w:rsid w:val="00097552"/>
    <w:rsid w:val="000A0ECB"/>
    <w:rsid w:val="00185280"/>
    <w:rsid w:val="0019223B"/>
    <w:rsid w:val="001B2932"/>
    <w:rsid w:val="001C30C2"/>
    <w:rsid w:val="002074E0"/>
    <w:rsid w:val="002A00D5"/>
    <w:rsid w:val="00301F07"/>
    <w:rsid w:val="003060CB"/>
    <w:rsid w:val="003A5884"/>
    <w:rsid w:val="003F2226"/>
    <w:rsid w:val="00464D77"/>
    <w:rsid w:val="00567E10"/>
    <w:rsid w:val="00573D15"/>
    <w:rsid w:val="005A706F"/>
    <w:rsid w:val="005D54C1"/>
    <w:rsid w:val="006322A8"/>
    <w:rsid w:val="00661C6C"/>
    <w:rsid w:val="00666643"/>
    <w:rsid w:val="007063EC"/>
    <w:rsid w:val="00773A22"/>
    <w:rsid w:val="007840D5"/>
    <w:rsid w:val="00790319"/>
    <w:rsid w:val="007E2715"/>
    <w:rsid w:val="007E5C49"/>
    <w:rsid w:val="00832EB5"/>
    <w:rsid w:val="008505B5"/>
    <w:rsid w:val="008D6A0F"/>
    <w:rsid w:val="009069BB"/>
    <w:rsid w:val="00940604"/>
    <w:rsid w:val="009C78E7"/>
    <w:rsid w:val="00A50A31"/>
    <w:rsid w:val="00A97239"/>
    <w:rsid w:val="00B13653"/>
    <w:rsid w:val="00C05DD0"/>
    <w:rsid w:val="00C13C1D"/>
    <w:rsid w:val="00C33C32"/>
    <w:rsid w:val="00C82931"/>
    <w:rsid w:val="00D350D3"/>
    <w:rsid w:val="00DD6A3C"/>
    <w:rsid w:val="00DE30DA"/>
    <w:rsid w:val="00E065A1"/>
    <w:rsid w:val="00E320FE"/>
    <w:rsid w:val="00EF04D7"/>
    <w:rsid w:val="00FC4B5D"/>
    <w:rsid w:val="06185FDB"/>
    <w:rsid w:val="08743B2B"/>
    <w:rsid w:val="093B163F"/>
    <w:rsid w:val="0BAE4DAA"/>
    <w:rsid w:val="15583838"/>
    <w:rsid w:val="17510FF4"/>
    <w:rsid w:val="1948751F"/>
    <w:rsid w:val="1A1D2DB6"/>
    <w:rsid w:val="21B906D6"/>
    <w:rsid w:val="222B33EC"/>
    <w:rsid w:val="26BB4929"/>
    <w:rsid w:val="29064D5E"/>
    <w:rsid w:val="295C540A"/>
    <w:rsid w:val="296D63DA"/>
    <w:rsid w:val="2B0A5FE4"/>
    <w:rsid w:val="2B8D495F"/>
    <w:rsid w:val="2C936B22"/>
    <w:rsid w:val="2DAA0AF8"/>
    <w:rsid w:val="2EA81517"/>
    <w:rsid w:val="2F436871"/>
    <w:rsid w:val="304E094E"/>
    <w:rsid w:val="31070C66"/>
    <w:rsid w:val="32CE7B43"/>
    <w:rsid w:val="35866B83"/>
    <w:rsid w:val="3B676EB3"/>
    <w:rsid w:val="3BFF0B74"/>
    <w:rsid w:val="3DEFD0C6"/>
    <w:rsid w:val="3FB65A86"/>
    <w:rsid w:val="40557F70"/>
    <w:rsid w:val="43CB7D93"/>
    <w:rsid w:val="46A62856"/>
    <w:rsid w:val="51DA5080"/>
    <w:rsid w:val="51F320C1"/>
    <w:rsid w:val="54403171"/>
    <w:rsid w:val="544B6461"/>
    <w:rsid w:val="57FE147E"/>
    <w:rsid w:val="59F76695"/>
    <w:rsid w:val="5DD04FD5"/>
    <w:rsid w:val="5DF10480"/>
    <w:rsid w:val="5F474CD5"/>
    <w:rsid w:val="5FF8FDA6"/>
    <w:rsid w:val="60EF296D"/>
    <w:rsid w:val="628446C2"/>
    <w:rsid w:val="637D456C"/>
    <w:rsid w:val="671A6654"/>
    <w:rsid w:val="671B730B"/>
    <w:rsid w:val="6A812F93"/>
    <w:rsid w:val="6C291CCA"/>
    <w:rsid w:val="6D4D7517"/>
    <w:rsid w:val="6F147156"/>
    <w:rsid w:val="6FBF4F0E"/>
    <w:rsid w:val="6FFB51E0"/>
    <w:rsid w:val="77E51079"/>
    <w:rsid w:val="77F69860"/>
    <w:rsid w:val="78B53D94"/>
    <w:rsid w:val="79D41E97"/>
    <w:rsid w:val="7CA31CDD"/>
    <w:rsid w:val="7DDD6E65"/>
    <w:rsid w:val="7F1724B9"/>
    <w:rsid w:val="7F779671"/>
    <w:rsid w:val="7F7EBDE5"/>
    <w:rsid w:val="7F89D3B5"/>
    <w:rsid w:val="7FFF843F"/>
    <w:rsid w:val="9F2A2400"/>
    <w:rsid w:val="ABEF8C78"/>
    <w:rsid w:val="BC1CCB57"/>
    <w:rsid w:val="BCF908A9"/>
    <w:rsid w:val="BF4F350D"/>
    <w:rsid w:val="C55FD5E2"/>
    <w:rsid w:val="C7F6499C"/>
    <w:rsid w:val="CF7B7D64"/>
    <w:rsid w:val="D6F3A0DB"/>
    <w:rsid w:val="DCCEB63B"/>
    <w:rsid w:val="DEB7F807"/>
    <w:rsid w:val="DFFF5006"/>
    <w:rsid w:val="E9FE57D8"/>
    <w:rsid w:val="EE7FAEB9"/>
    <w:rsid w:val="EFD004C3"/>
    <w:rsid w:val="EFFAA55F"/>
    <w:rsid w:val="F67EBE32"/>
    <w:rsid w:val="F9E0A771"/>
    <w:rsid w:val="FAAE1B28"/>
    <w:rsid w:val="FBAF0BE9"/>
    <w:rsid w:val="FBFF7DB7"/>
    <w:rsid w:val="FE3E4863"/>
    <w:rsid w:val="FEFB8D8A"/>
    <w:rsid w:val="FFBFDC60"/>
    <w:rsid w:val="FFDED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annotation text"/>
    <w:basedOn w:val="1"/>
    <w:qFormat/>
    <w:uiPriority w:val="0"/>
  </w:style>
  <w:style w:type="paragraph" w:styleId="4">
    <w:name w:val="Body Text"/>
    <w:basedOn w:val="1"/>
    <w:semiHidden/>
    <w:qFormat/>
    <w:uiPriority w:val="0"/>
  </w:style>
  <w:style w:type="paragraph" w:styleId="5">
    <w:name w:val="footer"/>
    <w:basedOn w:val="1"/>
    <w:link w:val="2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</w:rPr>
  </w:style>
  <w:style w:type="paragraph" w:customStyle="1" w:styleId="14">
    <w:name w:val="[基本段落]"/>
    <w:basedOn w:val="1"/>
    <w:qFormat/>
    <w:uiPriority w:val="99"/>
    <w:pPr>
      <w:widowControl w:val="0"/>
      <w:kinsoku/>
      <w:snapToGrid/>
      <w:spacing w:line="288" w:lineRule="auto"/>
      <w:jc w:val="both"/>
      <w:textAlignment w:val="center"/>
    </w:pPr>
    <w:rPr>
      <w:rFonts w:ascii="Adobe 宋体 Std L" w:hAnsi="Calibri" w:eastAsia="Adobe 宋体 Std L" w:cs="Adobe 宋体 Std L"/>
      <w:snapToGrid/>
      <w:sz w:val="24"/>
      <w:szCs w:val="24"/>
      <w:lang w:val="zh-CN" w:eastAsia="zh-CN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10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8">
    <w:name w:val="font61"/>
    <w:basedOn w:val="10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10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1">
    <w:name w:val="页脚 字符"/>
    <w:basedOn w:val="10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6013</Words>
  <Characters>6810</Characters>
  <Lines>62</Lines>
  <Paragraphs>17</Paragraphs>
  <TotalTime>8</TotalTime>
  <ScaleCrop>false</ScaleCrop>
  <LinksUpToDate>false</LinksUpToDate>
  <CharactersWithSpaces>6879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2025-03-22T00:00:00Z</dcterms:created>
  <dc:creator>吴天</dc:creator>
  <cp:lastModifiedBy>顾文林</cp:lastModifiedBy>
  <dcterms:modified xsi:type="dcterms:W3CDTF">2025-08-12T17:49:44Z</dcterms:modified>
  <dc:title>招 标 文 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2024-06-13T16:28:19Z</vt:filetime>
  </property>
  <property fmtid="{D5CDD505-2E9C-101B-9397-08002B2CF9AE}" pid="4" name="KSOProductBuildVer">
    <vt:lpwstr>2052-12.8.2.1113</vt:lpwstr>
  </property>
  <property fmtid="{D5CDD505-2E9C-101B-9397-08002B2CF9AE}" pid="5" name="ICV">
    <vt:lpwstr>D745D4BDEE476E7BF0E77E68E860F00C_43</vt:lpwstr>
  </property>
  <property fmtid="{D5CDD505-2E9C-101B-9397-08002B2CF9AE}" pid="6" name="KSOTemplateDocerSaveRecord">
    <vt:lpwstr>eyJoZGlkIjoiMTY1NGUyZjM5ZDg3YjFlYjY3ZjY0YTllMWY0ZGM5ZmYiLCJ1c2VySWQiOiIyMzA3MDIzNTUifQ==</vt:lpwstr>
  </property>
</Properties>
</file>