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BDF5D">
      <w:pPr>
        <w:adjustRightInd w:val="0"/>
        <w:snapToGrid w:val="0"/>
        <w:jc w:val="center"/>
        <w:rPr>
          <w:rFonts w:hint="eastAsia" w:ascii="宋体" w:hAnsi="宋体" w:eastAsia="宋体" w:cs="宋体"/>
          <w:b/>
          <w:bCs/>
          <w:sz w:val="32"/>
          <w:szCs w:val="40"/>
        </w:rPr>
      </w:pPr>
      <w:r>
        <w:rPr>
          <w:rFonts w:hint="eastAsia" w:ascii="宋体" w:hAnsi="宋体" w:eastAsia="宋体" w:cs="宋体"/>
          <w:b/>
          <w:bCs/>
          <w:sz w:val="32"/>
          <w:szCs w:val="40"/>
        </w:rPr>
        <w:t>上海大学智能计算升级扩容子系统建设项目</w:t>
      </w:r>
    </w:p>
    <w:p w14:paraId="421C36A4">
      <w:pPr>
        <w:spacing w:line="360" w:lineRule="auto"/>
        <w:jc w:val="center"/>
        <w:rPr>
          <w:rFonts w:hint="eastAsia" w:ascii="宋体" w:hAnsi="宋体" w:eastAsia="宋体" w:cs="宋体"/>
          <w:b/>
          <w:bCs/>
          <w:sz w:val="32"/>
          <w:szCs w:val="40"/>
        </w:rPr>
      </w:pPr>
      <w:r>
        <w:rPr>
          <w:rFonts w:hint="eastAsia" w:ascii="宋体" w:hAnsi="宋体" w:eastAsia="宋体" w:cs="宋体"/>
          <w:b/>
          <w:bCs/>
          <w:sz w:val="32"/>
          <w:szCs w:val="40"/>
        </w:rPr>
        <w:t>技术指标需求</w:t>
      </w:r>
    </w:p>
    <w:p w14:paraId="5E415CAD">
      <w:pPr>
        <w:pStyle w:val="4"/>
        <w:numPr>
          <w:ilvl w:val="0"/>
          <w:numId w:val="1"/>
        </w:numPr>
        <w:tabs>
          <w:tab w:val="left" w:pos="567"/>
        </w:tabs>
        <w:adjustRightInd w:val="0"/>
        <w:snapToGrid w:val="0"/>
        <w:spacing w:before="0" w:after="0" w:line="360" w:lineRule="auto"/>
        <w:ind w:lef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项目概述</w:t>
      </w:r>
    </w:p>
    <w:p w14:paraId="28CB384F">
      <w:pPr>
        <w:spacing w:line="360" w:lineRule="auto"/>
        <w:ind w:firstLine="420"/>
        <w:rPr>
          <w:rFonts w:hint="eastAsia" w:ascii="宋体" w:hAnsi="宋体" w:eastAsia="宋体" w:cs="宋体"/>
        </w:rPr>
      </w:pPr>
      <w:r>
        <w:rPr>
          <w:rFonts w:hint="eastAsia" w:ascii="宋体" w:hAnsi="宋体" w:eastAsia="宋体" w:cs="宋体"/>
          <w:sz w:val="24"/>
        </w:rPr>
        <w:t>随着人工智能技术的快速发展，尤其是大模型应用在科研与教学中的深入，上海大学现有的智能计算平台已难以满足日益增长的高性能计算需求。为此，学校启动本次“智能计算平台升级扩容项目”，旨在对原有算力架构进行拓展和升级，全面支撑校内本地部署的大模型（如DeepSeek）和“千学百科”等AI基础设施的建设和运行。</w:t>
      </w:r>
    </w:p>
    <w:p w14:paraId="622A7702">
      <w:pPr>
        <w:spacing w:line="360" w:lineRule="auto"/>
        <w:ind w:firstLine="420"/>
        <w:rPr>
          <w:rFonts w:hint="eastAsia" w:ascii="宋体" w:hAnsi="宋体" w:eastAsia="宋体" w:cs="宋体"/>
        </w:rPr>
      </w:pPr>
      <w:r>
        <w:rPr>
          <w:rFonts w:hint="eastAsia" w:ascii="宋体" w:hAnsi="宋体" w:eastAsia="宋体" w:cs="宋体"/>
          <w:sz w:val="24"/>
        </w:rPr>
        <w:t>当前已部署平台在GPU规模、模型并发训练能力、推理响应效率等方面均存在扩展瓶颈。新项目将通过引入多台高性能GPU服务器和统一算力调度机制，构建集中化、资源弹性调度的计算底座，不仅增强平台整体性能，还可实现与原有资源池的无缝整合，从而显著提升AI平台的可用性与持续服务能力。</w:t>
      </w:r>
    </w:p>
    <w:p w14:paraId="011A3057">
      <w:pPr>
        <w:spacing w:line="360" w:lineRule="auto"/>
        <w:ind w:firstLine="420"/>
        <w:rPr>
          <w:rFonts w:hint="eastAsia" w:ascii="宋体" w:hAnsi="宋体" w:eastAsia="宋体" w:cs="宋体"/>
          <w:sz w:val="24"/>
        </w:rPr>
      </w:pPr>
      <w:r>
        <w:rPr>
          <w:rFonts w:hint="eastAsia" w:ascii="宋体" w:hAnsi="宋体" w:eastAsia="宋体" w:cs="宋体"/>
          <w:sz w:val="24"/>
        </w:rPr>
        <w:t>项目还将以平台为基础，扩展服务于教学实训、科研训练、垂类大模型开发等应用场景。特别是在推动“千学百科”知识大模型、教育大模型、科研图谱模型等校内自研模型的构建方面，算力平台将提供核心的训练与部署环境。同时，平台也将支撑全校师生在科研项目中的AI模型训练与推理需求，逐步推动“AI for all”战略在校园落地。</w:t>
      </w:r>
    </w:p>
    <w:p w14:paraId="656C8C26">
      <w:pPr>
        <w:pStyle w:val="20"/>
        <w:ind w:firstLine="480"/>
        <w:rPr>
          <w:rFonts w:hint="eastAsia" w:ascii="宋体" w:hAnsi="宋体" w:eastAsia="宋体" w:cs="宋体"/>
        </w:rPr>
      </w:pPr>
      <w:r>
        <w:rPr>
          <w:rFonts w:hint="eastAsia" w:ascii="宋体" w:hAnsi="宋体" w:eastAsia="宋体" w:cs="宋体"/>
        </w:rPr>
        <w:t>本次项目不仅是对已有平台的必要扩容，更是学校人工智能战略发展的关键基础设施建设。因此项目建设的建设核心就是满足校内大模型推理应用的需求以及满足AI教学科研的需求。</w:t>
      </w:r>
    </w:p>
    <w:p w14:paraId="70769457">
      <w:pPr>
        <w:pStyle w:val="4"/>
        <w:numPr>
          <w:ilvl w:val="0"/>
          <w:numId w:val="1"/>
        </w:numPr>
        <w:tabs>
          <w:tab w:val="left" w:pos="567"/>
        </w:tabs>
        <w:adjustRightInd w:val="0"/>
        <w:snapToGrid w:val="0"/>
        <w:spacing w:before="0" w:after="0" w:line="360" w:lineRule="auto"/>
        <w:ind w:lef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技术要求</w:t>
      </w:r>
    </w:p>
    <w:p w14:paraId="6235DCD2">
      <w:pPr>
        <w:spacing w:line="360" w:lineRule="auto"/>
        <w:ind w:firstLine="420"/>
        <w:rPr>
          <w:rFonts w:hint="eastAsia" w:ascii="宋体" w:hAnsi="宋体" w:eastAsia="宋体" w:cs="宋体"/>
          <w:sz w:val="24"/>
        </w:rPr>
      </w:pPr>
      <w:r>
        <w:rPr>
          <w:rFonts w:hint="eastAsia" w:ascii="宋体" w:hAnsi="宋体" w:eastAsia="宋体" w:cs="宋体"/>
          <w:sz w:val="24"/>
        </w:rPr>
        <w:t>新项目将通过引入AI 大模型应用平台，构建具备开源大模型本地部署、统一算力调度与智能优化能力的软件支撑体系，打造集中化、资源弹性适配的 AI 服务底座。该平台可深度整合现有志强 5000 系列算力资源，通过动态调度算法与性能优化模块，充分释放存量硬件潜力，不仅能显著提升平台整体服务能力，还可实现与校内现有 IT 架构的无缝衔接，有效满足 2000 用户并发访问需求。</w:t>
      </w:r>
    </w:p>
    <w:p w14:paraId="654B0879">
      <w:pPr>
        <w:spacing w:line="360" w:lineRule="auto"/>
        <w:ind w:firstLine="480" w:firstLineChars="200"/>
        <w:rPr>
          <w:rFonts w:hint="eastAsia" w:ascii="宋体" w:hAnsi="宋体" w:eastAsia="宋体" w:cs="宋体"/>
          <w:sz w:val="24"/>
        </w:rPr>
      </w:pPr>
      <w:r>
        <w:rPr>
          <w:rFonts w:hint="eastAsia" w:ascii="宋体" w:hAnsi="宋体" w:eastAsia="宋体" w:cs="宋体"/>
          <w:sz w:val="24"/>
        </w:rPr>
        <w:t>为满足本单位在自然语言处理领域部署4 套超大参数规模模型的推理需求，拟采购若干台高性能 AI 算力服务，具备超大模型并行计算能力、极高吞吐量的 token 生成速度，以支撑超大语言模型的FP8/FP16 精度高效部署、低延迟推理、多用户并发服务能力。</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3212"/>
        <w:gridCol w:w="1094"/>
        <w:gridCol w:w="1550"/>
        <w:gridCol w:w="2002"/>
      </w:tblGrid>
      <w:tr w14:paraId="2177E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660" w:type="dxa"/>
          </w:tcPr>
          <w:p w14:paraId="737A9B78">
            <w:pPr>
              <w:spacing w:line="360" w:lineRule="auto"/>
              <w:jc w:val="center"/>
              <w:rPr>
                <w:rFonts w:hint="eastAsia" w:ascii="宋体" w:hAnsi="宋体" w:eastAsia="宋体" w:cs="宋体"/>
              </w:rPr>
            </w:pPr>
            <w:r>
              <w:rPr>
                <w:rFonts w:hint="eastAsia" w:ascii="宋体" w:hAnsi="宋体" w:eastAsia="宋体" w:cs="宋体"/>
              </w:rPr>
              <w:t>序号</w:t>
            </w:r>
          </w:p>
        </w:tc>
        <w:tc>
          <w:tcPr>
            <w:tcW w:w="3212" w:type="dxa"/>
          </w:tcPr>
          <w:p w14:paraId="77D5BEF5">
            <w:pPr>
              <w:spacing w:line="360" w:lineRule="auto"/>
              <w:jc w:val="center"/>
              <w:rPr>
                <w:rFonts w:hint="eastAsia" w:ascii="宋体" w:hAnsi="宋体" w:eastAsia="宋体" w:cs="宋体"/>
              </w:rPr>
            </w:pPr>
            <w:r>
              <w:rPr>
                <w:rFonts w:hint="eastAsia" w:ascii="宋体" w:hAnsi="宋体" w:eastAsia="宋体" w:cs="宋体"/>
              </w:rPr>
              <w:t>服务内容</w:t>
            </w:r>
          </w:p>
        </w:tc>
        <w:tc>
          <w:tcPr>
            <w:tcW w:w="1094" w:type="dxa"/>
          </w:tcPr>
          <w:p w14:paraId="3FBA311D">
            <w:pPr>
              <w:spacing w:line="360" w:lineRule="auto"/>
              <w:jc w:val="center"/>
              <w:rPr>
                <w:rFonts w:hint="eastAsia" w:ascii="宋体" w:hAnsi="宋体" w:eastAsia="宋体" w:cs="宋体"/>
              </w:rPr>
            </w:pPr>
            <w:r>
              <w:rPr>
                <w:rFonts w:hint="eastAsia" w:ascii="宋体" w:hAnsi="宋体" w:eastAsia="宋体" w:cs="宋体"/>
              </w:rPr>
              <w:t>数量</w:t>
            </w:r>
          </w:p>
        </w:tc>
        <w:tc>
          <w:tcPr>
            <w:tcW w:w="1550" w:type="dxa"/>
          </w:tcPr>
          <w:p w14:paraId="027E8225">
            <w:pPr>
              <w:spacing w:line="360" w:lineRule="auto"/>
              <w:jc w:val="center"/>
              <w:rPr>
                <w:rFonts w:hint="eastAsia" w:ascii="宋体" w:hAnsi="宋体" w:eastAsia="宋体" w:cs="宋体"/>
              </w:rPr>
            </w:pPr>
            <w:r>
              <w:rPr>
                <w:rFonts w:hint="eastAsia" w:ascii="宋体" w:hAnsi="宋体" w:eastAsia="宋体" w:cs="宋体"/>
              </w:rPr>
              <w:t>单位</w:t>
            </w:r>
          </w:p>
        </w:tc>
        <w:tc>
          <w:tcPr>
            <w:tcW w:w="2002" w:type="dxa"/>
          </w:tcPr>
          <w:p w14:paraId="10B0E0B4">
            <w:pPr>
              <w:spacing w:line="360" w:lineRule="auto"/>
              <w:jc w:val="center"/>
              <w:rPr>
                <w:rFonts w:hint="eastAsia" w:ascii="宋体" w:hAnsi="宋体" w:eastAsia="宋体" w:cs="宋体"/>
              </w:rPr>
            </w:pPr>
            <w:r>
              <w:rPr>
                <w:rFonts w:hint="eastAsia" w:ascii="宋体" w:hAnsi="宋体" w:eastAsia="宋体" w:cs="宋体"/>
              </w:rPr>
              <w:t>备注</w:t>
            </w:r>
          </w:p>
        </w:tc>
      </w:tr>
      <w:tr w14:paraId="1D79F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Pr>
          <w:p w14:paraId="3C4386E1">
            <w:pPr>
              <w:spacing w:line="360" w:lineRule="auto"/>
              <w:jc w:val="center"/>
              <w:rPr>
                <w:rFonts w:hint="eastAsia" w:ascii="宋体" w:hAnsi="宋体" w:eastAsia="宋体" w:cs="宋体"/>
              </w:rPr>
            </w:pPr>
            <w:r>
              <w:rPr>
                <w:rFonts w:hint="eastAsia" w:ascii="宋体" w:hAnsi="宋体" w:eastAsia="宋体" w:cs="宋体"/>
              </w:rPr>
              <w:t>1</w:t>
            </w:r>
          </w:p>
        </w:tc>
        <w:tc>
          <w:tcPr>
            <w:tcW w:w="3212" w:type="dxa"/>
          </w:tcPr>
          <w:p w14:paraId="12C82CDC">
            <w:pPr>
              <w:spacing w:line="360" w:lineRule="auto"/>
              <w:jc w:val="center"/>
              <w:rPr>
                <w:rFonts w:hint="eastAsia" w:ascii="宋体" w:hAnsi="宋体" w:eastAsia="宋体" w:cs="宋体"/>
                <w:szCs w:val="21"/>
              </w:rPr>
            </w:pPr>
            <w:r>
              <w:rPr>
                <w:rFonts w:hint="eastAsia" w:ascii="宋体" w:hAnsi="宋体" w:eastAsia="宋体" w:cs="宋体"/>
                <w:sz w:val="24"/>
              </w:rPr>
              <w:t>高性能 AI 应用服务</w:t>
            </w:r>
          </w:p>
        </w:tc>
        <w:tc>
          <w:tcPr>
            <w:tcW w:w="1094" w:type="dxa"/>
          </w:tcPr>
          <w:p w14:paraId="2EB9A4E6">
            <w:pPr>
              <w:spacing w:line="360" w:lineRule="auto"/>
              <w:jc w:val="center"/>
              <w:rPr>
                <w:rFonts w:hint="eastAsia" w:ascii="宋体" w:hAnsi="宋体" w:eastAsia="宋体" w:cs="宋体"/>
                <w:szCs w:val="21"/>
              </w:rPr>
            </w:pPr>
            <w:r>
              <w:rPr>
                <w:rFonts w:hint="eastAsia" w:ascii="宋体" w:hAnsi="宋体" w:eastAsia="宋体" w:cs="宋体"/>
                <w:szCs w:val="21"/>
              </w:rPr>
              <w:t>4</w:t>
            </w:r>
          </w:p>
        </w:tc>
        <w:tc>
          <w:tcPr>
            <w:tcW w:w="1550" w:type="dxa"/>
          </w:tcPr>
          <w:p w14:paraId="0440C9A6">
            <w:pPr>
              <w:spacing w:line="360" w:lineRule="auto"/>
              <w:jc w:val="center"/>
              <w:rPr>
                <w:rFonts w:hint="eastAsia" w:ascii="宋体" w:hAnsi="宋体" w:eastAsia="宋体" w:cs="宋体"/>
                <w:szCs w:val="21"/>
              </w:rPr>
            </w:pPr>
            <w:r>
              <w:rPr>
                <w:rFonts w:hint="eastAsia" w:ascii="宋体" w:hAnsi="宋体" w:eastAsia="宋体" w:cs="宋体"/>
                <w:szCs w:val="21"/>
              </w:rPr>
              <w:t>项</w:t>
            </w:r>
          </w:p>
        </w:tc>
        <w:tc>
          <w:tcPr>
            <w:tcW w:w="2002" w:type="dxa"/>
          </w:tcPr>
          <w:p w14:paraId="4C82E1D2">
            <w:pPr>
              <w:spacing w:line="360" w:lineRule="auto"/>
              <w:jc w:val="center"/>
              <w:rPr>
                <w:rFonts w:hint="eastAsia" w:ascii="宋体" w:hAnsi="宋体" w:eastAsia="宋体" w:cs="宋体"/>
                <w:szCs w:val="21"/>
              </w:rPr>
            </w:pPr>
          </w:p>
        </w:tc>
      </w:tr>
      <w:tr w14:paraId="32174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Pr>
          <w:p w14:paraId="2DC68F2D">
            <w:pPr>
              <w:spacing w:line="360" w:lineRule="auto"/>
              <w:jc w:val="center"/>
              <w:rPr>
                <w:rFonts w:hint="eastAsia" w:ascii="宋体" w:hAnsi="宋体" w:eastAsia="宋体" w:cs="宋体"/>
                <w:color w:val="auto"/>
              </w:rPr>
            </w:pPr>
            <w:r>
              <w:rPr>
                <w:rFonts w:hint="eastAsia" w:ascii="宋体" w:hAnsi="宋体" w:eastAsia="宋体" w:cs="宋体"/>
                <w:color w:val="auto"/>
              </w:rPr>
              <w:t>2</w:t>
            </w:r>
          </w:p>
        </w:tc>
        <w:tc>
          <w:tcPr>
            <w:tcW w:w="3212" w:type="dxa"/>
          </w:tcPr>
          <w:p w14:paraId="4036B8F1">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常驻服务</w:t>
            </w:r>
          </w:p>
        </w:tc>
        <w:tc>
          <w:tcPr>
            <w:tcW w:w="1094" w:type="dxa"/>
          </w:tcPr>
          <w:p w14:paraId="6EC564BC">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48</w:t>
            </w:r>
          </w:p>
        </w:tc>
        <w:tc>
          <w:tcPr>
            <w:tcW w:w="1550" w:type="dxa"/>
          </w:tcPr>
          <w:p w14:paraId="7DB7D7D7">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人月</w:t>
            </w:r>
          </w:p>
        </w:tc>
        <w:tc>
          <w:tcPr>
            <w:tcW w:w="2002" w:type="dxa"/>
          </w:tcPr>
          <w:p w14:paraId="56681077">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本科或以上学历3年会以上工作经历</w:t>
            </w:r>
          </w:p>
        </w:tc>
      </w:tr>
    </w:tbl>
    <w:p w14:paraId="1114347A">
      <w:pPr>
        <w:pStyle w:val="5"/>
        <w:rPr>
          <w:rFonts w:hint="eastAsia" w:ascii="宋体" w:hAnsi="宋体" w:eastAsia="宋体" w:cs="宋体"/>
          <w:sz w:val="24"/>
          <w:szCs w:val="24"/>
        </w:rPr>
      </w:pPr>
      <w:r>
        <w:rPr>
          <w:rFonts w:hint="eastAsia" w:ascii="宋体" w:hAnsi="宋体" w:eastAsia="宋体" w:cs="宋体"/>
          <w:sz w:val="24"/>
          <w:szCs w:val="36"/>
        </w:rPr>
        <w:t>2.1高性能 AI应用服务技术要求</w:t>
      </w:r>
    </w:p>
    <w:p w14:paraId="7BD236BE">
      <w:pPr>
        <w:pStyle w:val="21"/>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本项目需构建4套 AI 大模型应用服务平台，为我校教学科研、学术创新等场景提供大模型推理、应用开发及服务支撑能力，需兼容当前主流千亿级、百亿级参数大模型的稳定部署与高效运行。</w:t>
      </w:r>
    </w:p>
    <w:p w14:paraId="792CB8C8">
      <w:pPr>
        <w:pStyle w:val="21"/>
        <w:ind w:firstLine="480" w:firstLineChars="200"/>
        <w:rPr>
          <w:rFonts w:hint="eastAsia" w:ascii="宋体" w:hAnsi="宋体" w:eastAsia="宋体" w:cs="宋体"/>
          <w:kern w:val="2"/>
          <w:sz w:val="24"/>
          <w:szCs w:val="24"/>
        </w:rPr>
      </w:pPr>
      <w:r>
        <w:rPr>
          <w:rFonts w:hint="eastAsia" w:ascii="宋体" w:hAnsi="宋体" w:eastAsia="宋体" w:cs="宋体"/>
          <w:color w:val="0070C0"/>
          <w:kern w:val="2"/>
          <w:sz w:val="24"/>
          <w:szCs w:val="24"/>
        </w:rPr>
        <w:t>平台调度系统</w:t>
      </w:r>
      <w:r>
        <w:rPr>
          <w:rFonts w:hint="eastAsia" w:ascii="宋体" w:hAnsi="宋体" w:eastAsia="宋体" w:cs="宋体"/>
          <w:kern w:val="2"/>
          <w:sz w:val="24"/>
          <w:szCs w:val="24"/>
        </w:rPr>
        <w:t>需具备规模化并发处理能力，最大满足全校范围内≥2000 路用户并发访问及推理请求，保障高峰时段服务稳定性与响应效率，单个用户不低于10-15 tokens/s。</w:t>
      </w:r>
    </w:p>
    <w:p w14:paraId="1FBE9BC7">
      <w:pPr>
        <w:pStyle w:val="21"/>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平台需满足大模型全参数推理需求，不得通过模型量化压缩（如 INT8 及以下精度）牺牲性能来适配硬件，需保障模型推理的准确性与完整性。</w:t>
      </w:r>
    </w:p>
    <w:p w14:paraId="5B972D31">
      <w:pPr>
        <w:pStyle w:val="21"/>
        <w:numPr>
          <w:ilvl w:val="0"/>
          <w:numId w:val="2"/>
        </w:numPr>
        <w:rPr>
          <w:rFonts w:hint="eastAsia" w:ascii="宋体" w:hAnsi="宋体" w:eastAsia="宋体" w:cs="宋体"/>
          <w:b/>
          <w:bCs/>
          <w:sz w:val="24"/>
          <w:szCs w:val="24"/>
        </w:rPr>
      </w:pPr>
      <w:r>
        <w:rPr>
          <w:rFonts w:hint="eastAsia" w:ascii="宋体" w:hAnsi="宋体" w:eastAsia="宋体" w:cs="宋体"/>
          <w:b/>
          <w:bCs/>
          <w:sz w:val="24"/>
          <w:szCs w:val="24"/>
        </w:rPr>
        <w:t>大模型应用平台基础技术参数要求</w:t>
      </w:r>
    </w:p>
    <w:p w14:paraId="1E16A0C8">
      <w:pPr>
        <w:pStyle w:val="21"/>
        <w:numPr>
          <w:ilvl w:val="0"/>
          <w:numId w:val="3"/>
        </w:numPr>
        <w:rPr>
          <w:rFonts w:hint="eastAsia" w:ascii="宋体" w:hAnsi="宋体" w:eastAsia="宋体" w:cs="宋体"/>
          <w:kern w:val="2"/>
          <w:sz w:val="24"/>
          <w:szCs w:val="24"/>
        </w:rPr>
      </w:pPr>
      <w:r>
        <w:rPr>
          <w:rFonts w:hint="eastAsia" w:ascii="宋体" w:hAnsi="宋体" w:eastAsia="宋体" w:cs="宋体"/>
          <w:kern w:val="2"/>
          <w:sz w:val="24"/>
          <w:szCs w:val="24"/>
        </w:rPr>
        <w:t>项目共需部署4 套上述大模型应用平台，整体平台总显存容量满足≥4312GB，从而满足多模型同时部署或单模型分布式推理需求。</w:t>
      </w:r>
    </w:p>
    <w:p w14:paraId="5DBF89AB">
      <w:pPr>
        <w:pStyle w:val="21"/>
        <w:numPr>
          <w:ilvl w:val="0"/>
          <w:numId w:val="3"/>
        </w:numPr>
        <w:rPr>
          <w:rFonts w:hint="eastAsia" w:ascii="宋体" w:hAnsi="宋体" w:eastAsia="宋体" w:cs="宋体"/>
          <w:kern w:val="2"/>
          <w:sz w:val="24"/>
          <w:szCs w:val="24"/>
        </w:rPr>
      </w:pPr>
      <w:r>
        <w:rPr>
          <w:rFonts w:hint="eastAsia" w:ascii="宋体" w:hAnsi="宋体" w:eastAsia="宋体" w:cs="宋体"/>
          <w:kern w:val="2"/>
          <w:sz w:val="24"/>
          <w:szCs w:val="24"/>
        </w:rPr>
        <w:t>每套应用平台能够提供满足 FP16 算力≥1536 TFLOPS，平台整体总 FP16 算力≥6144 TFLOPS，支持大模型推理过程中复杂张量运算的高效处理。</w:t>
      </w:r>
    </w:p>
    <w:p w14:paraId="24DB1B70">
      <w:pPr>
        <w:pStyle w:val="21"/>
        <w:numPr>
          <w:ilvl w:val="0"/>
          <w:numId w:val="3"/>
        </w:numPr>
        <w:rPr>
          <w:rFonts w:hint="eastAsia" w:ascii="宋体" w:hAnsi="宋体" w:eastAsia="宋体" w:cs="宋体"/>
          <w:kern w:val="2"/>
          <w:sz w:val="24"/>
          <w:szCs w:val="24"/>
        </w:rPr>
      </w:pPr>
      <w:r>
        <w:rPr>
          <w:rFonts w:hint="eastAsia" w:ascii="宋体" w:hAnsi="宋体" w:eastAsia="宋体" w:cs="宋体"/>
          <w:kern w:val="2"/>
          <w:sz w:val="24"/>
          <w:szCs w:val="24"/>
        </w:rPr>
        <w:t>支持主流 AI 加速框架（如 PyTorch、TensorFlow、MegEngine）的深度优化，提供框架级适配插件，降低模型部署损耗。</w:t>
      </w:r>
    </w:p>
    <w:p w14:paraId="2255E428">
      <w:pPr>
        <w:pStyle w:val="21"/>
        <w:numPr>
          <w:ilvl w:val="0"/>
          <w:numId w:val="2"/>
        </w:numPr>
        <w:rPr>
          <w:rFonts w:hint="eastAsia" w:ascii="宋体" w:hAnsi="宋体" w:eastAsia="宋体" w:cs="宋体"/>
          <w:b/>
          <w:bCs/>
          <w:sz w:val="24"/>
          <w:szCs w:val="24"/>
        </w:rPr>
      </w:pPr>
      <w:r>
        <w:rPr>
          <w:rFonts w:hint="eastAsia" w:ascii="宋体" w:hAnsi="宋体" w:eastAsia="宋体" w:cs="宋体"/>
          <w:b/>
          <w:bCs/>
          <w:sz w:val="24"/>
          <w:szCs w:val="24"/>
        </w:rPr>
        <w:t>主流大模型适配范围</w:t>
      </w:r>
    </w:p>
    <w:p w14:paraId="27DAA263">
      <w:pPr>
        <w:pStyle w:val="21"/>
        <w:numPr>
          <w:ilvl w:val="0"/>
          <w:numId w:val="4"/>
        </w:numPr>
        <w:rPr>
          <w:rFonts w:hint="eastAsia" w:ascii="宋体" w:hAnsi="宋体" w:eastAsia="宋体" w:cs="宋体"/>
          <w:kern w:val="2"/>
          <w:sz w:val="24"/>
          <w:szCs w:val="24"/>
        </w:rPr>
      </w:pPr>
      <w:r>
        <w:rPr>
          <w:rFonts w:hint="eastAsia" w:ascii="宋体" w:hAnsi="宋体" w:eastAsia="宋体" w:cs="宋体"/>
          <w:kern w:val="2"/>
          <w:sz w:val="24"/>
          <w:szCs w:val="24"/>
        </w:rPr>
        <w:t>需支持 DeepSeek 系列最新满血版大模型（参数规模671B）部署，满足全参数推理，推理过程中模型参数无裁剪、无量化压缩。</w:t>
      </w:r>
    </w:p>
    <w:p w14:paraId="00BBA644">
      <w:pPr>
        <w:pStyle w:val="21"/>
        <w:numPr>
          <w:ilvl w:val="0"/>
          <w:numId w:val="4"/>
        </w:numPr>
        <w:rPr>
          <w:rFonts w:hint="eastAsia" w:ascii="宋体" w:hAnsi="宋体" w:eastAsia="宋体" w:cs="宋体"/>
          <w:kern w:val="2"/>
          <w:sz w:val="24"/>
          <w:szCs w:val="24"/>
        </w:rPr>
      </w:pPr>
      <w:r>
        <w:rPr>
          <w:rFonts w:hint="eastAsia" w:ascii="宋体" w:hAnsi="宋体" w:eastAsia="宋体" w:cs="宋体"/>
          <w:kern w:val="2"/>
          <w:sz w:val="24"/>
          <w:szCs w:val="24"/>
        </w:rPr>
        <w:t>需支持 Qwen3 系列最大参数版大模型（参数规模235B）部署（上下文长度按模型能处理的最大设置），支持模型权重完整加载，推理时延≤500ms / 单条请求（输入文本长度≤512token，输出文本长度≤256token）。</w:t>
      </w:r>
    </w:p>
    <w:p w14:paraId="080D6B41">
      <w:pPr>
        <w:pStyle w:val="21"/>
        <w:numPr>
          <w:ilvl w:val="0"/>
          <w:numId w:val="4"/>
        </w:numPr>
        <w:rPr>
          <w:rFonts w:hint="eastAsia" w:ascii="宋体" w:hAnsi="宋体" w:eastAsia="宋体" w:cs="宋体"/>
          <w:kern w:val="2"/>
          <w:sz w:val="24"/>
          <w:szCs w:val="24"/>
        </w:rPr>
      </w:pPr>
      <w:r>
        <w:rPr>
          <w:rFonts w:hint="eastAsia" w:ascii="宋体" w:hAnsi="宋体" w:eastAsia="宋体" w:cs="宋体"/>
          <w:kern w:val="2"/>
          <w:sz w:val="24"/>
          <w:szCs w:val="24"/>
        </w:rPr>
        <w:t>需兼容其他主流开源大模型，参数规模覆盖 10B-100B，支持模型动态加载、卸载及资源调度。</w:t>
      </w:r>
    </w:p>
    <w:p w14:paraId="503FB297">
      <w:pPr>
        <w:pStyle w:val="21"/>
        <w:numPr>
          <w:ilvl w:val="0"/>
          <w:numId w:val="2"/>
        </w:numPr>
        <w:rPr>
          <w:rFonts w:hint="eastAsia" w:ascii="宋体" w:hAnsi="宋体" w:eastAsia="宋体" w:cs="宋体"/>
          <w:b/>
          <w:bCs/>
          <w:sz w:val="24"/>
          <w:szCs w:val="24"/>
        </w:rPr>
      </w:pPr>
      <w:r>
        <w:rPr>
          <w:rFonts w:hint="eastAsia" w:ascii="宋体" w:hAnsi="宋体" w:eastAsia="宋体" w:cs="宋体"/>
          <w:b/>
          <w:bCs/>
          <w:sz w:val="24"/>
          <w:szCs w:val="24"/>
        </w:rPr>
        <w:t>模型部署功能要求</w:t>
      </w:r>
    </w:p>
    <w:p w14:paraId="3AAF9035">
      <w:pPr>
        <w:pStyle w:val="21"/>
        <w:numPr>
          <w:ilvl w:val="0"/>
          <w:numId w:val="5"/>
        </w:numPr>
        <w:rPr>
          <w:rFonts w:hint="eastAsia" w:ascii="宋体" w:hAnsi="宋体" w:eastAsia="宋体" w:cs="宋体"/>
          <w:kern w:val="2"/>
          <w:sz w:val="24"/>
          <w:szCs w:val="24"/>
        </w:rPr>
      </w:pPr>
      <w:r>
        <w:rPr>
          <w:rFonts w:hint="eastAsia" w:ascii="宋体" w:hAnsi="宋体" w:eastAsia="宋体" w:cs="宋体"/>
          <w:kern w:val="2"/>
          <w:sz w:val="24"/>
          <w:szCs w:val="24"/>
        </w:rPr>
        <w:t>针对目前我校现有算力，平台能够支持单机多卡、多机多卡两种部署模式，可根据模型参数规模自动分配算力资源，支持模型并行度≥8、张量并行度≥8。</w:t>
      </w:r>
    </w:p>
    <w:p w14:paraId="494D5C91">
      <w:pPr>
        <w:pStyle w:val="21"/>
        <w:numPr>
          <w:ilvl w:val="0"/>
          <w:numId w:val="5"/>
        </w:numPr>
        <w:rPr>
          <w:rFonts w:hint="eastAsia" w:ascii="宋体" w:hAnsi="宋体" w:eastAsia="宋体" w:cs="宋体"/>
          <w:kern w:val="2"/>
          <w:sz w:val="24"/>
          <w:szCs w:val="24"/>
        </w:rPr>
      </w:pPr>
      <w:r>
        <w:rPr>
          <w:rFonts w:hint="eastAsia" w:ascii="宋体" w:hAnsi="宋体" w:eastAsia="宋体" w:cs="宋体"/>
          <w:kern w:val="2"/>
          <w:sz w:val="24"/>
          <w:szCs w:val="24"/>
        </w:rPr>
        <w:t>提供模型推理优化工具，支持推理过程中计算任务拆分、内存复用，保障单计算卡 GPU 利用率≥80%（满并发场景下）。</w:t>
      </w:r>
    </w:p>
    <w:p w14:paraId="03FDE861">
      <w:pPr>
        <w:pStyle w:val="21"/>
        <w:numPr>
          <w:ilvl w:val="0"/>
          <w:numId w:val="5"/>
        </w:numPr>
        <w:rPr>
          <w:rFonts w:hint="eastAsia" w:ascii="宋体" w:hAnsi="宋体" w:eastAsia="宋体" w:cs="宋体"/>
          <w:kern w:val="2"/>
          <w:sz w:val="24"/>
          <w:szCs w:val="24"/>
        </w:rPr>
      </w:pPr>
      <w:r>
        <w:rPr>
          <w:rFonts w:hint="eastAsia" w:ascii="宋体" w:hAnsi="宋体" w:eastAsia="宋体" w:cs="宋体"/>
          <w:kern w:val="2"/>
          <w:sz w:val="24"/>
          <w:szCs w:val="24"/>
        </w:rPr>
        <w:t>支持模型推理结果缓存机制，相同请求重复调用时，缓存命中率≥90%，减少重复计算资源消耗。</w:t>
      </w:r>
    </w:p>
    <w:p w14:paraId="3536A9F3">
      <w:pPr>
        <w:pStyle w:val="21"/>
        <w:numPr>
          <w:ilvl w:val="0"/>
          <w:numId w:val="2"/>
        </w:numPr>
        <w:rPr>
          <w:rFonts w:hint="eastAsia" w:ascii="宋体" w:hAnsi="宋体" w:eastAsia="宋体" w:cs="宋体"/>
          <w:b/>
          <w:bCs/>
          <w:sz w:val="24"/>
          <w:szCs w:val="24"/>
        </w:rPr>
      </w:pPr>
      <w:r>
        <w:rPr>
          <w:rFonts w:hint="eastAsia" w:ascii="宋体" w:hAnsi="宋体" w:eastAsia="宋体" w:cs="宋体"/>
          <w:b/>
          <w:bCs/>
          <w:sz w:val="24"/>
          <w:szCs w:val="24"/>
        </w:rPr>
        <w:t>并发承载能力要求</w:t>
      </w:r>
    </w:p>
    <w:p w14:paraId="7CE1EBB1">
      <w:pPr>
        <w:pStyle w:val="21"/>
        <w:numPr>
          <w:ilvl w:val="0"/>
          <w:numId w:val="6"/>
        </w:numPr>
        <w:rPr>
          <w:rFonts w:hint="eastAsia" w:ascii="宋体" w:hAnsi="宋体" w:eastAsia="宋体" w:cs="宋体"/>
          <w:kern w:val="2"/>
          <w:sz w:val="24"/>
          <w:szCs w:val="24"/>
        </w:rPr>
      </w:pPr>
      <w:r>
        <w:rPr>
          <w:rFonts w:hint="eastAsia" w:ascii="宋体" w:hAnsi="宋体" w:eastAsia="宋体" w:cs="宋体"/>
          <w:kern w:val="2"/>
          <w:sz w:val="24"/>
          <w:szCs w:val="24"/>
        </w:rPr>
        <w:t>平台整体</w:t>
      </w:r>
      <w:r>
        <w:rPr>
          <w:rFonts w:hint="eastAsia" w:ascii="宋体" w:hAnsi="宋体" w:eastAsia="宋体" w:cs="宋体"/>
          <w:color w:val="C00000"/>
          <w:kern w:val="2"/>
          <w:sz w:val="24"/>
          <w:szCs w:val="24"/>
        </w:rPr>
        <w:t>（百亿级大模型）</w:t>
      </w:r>
      <w:r>
        <w:rPr>
          <w:rFonts w:hint="eastAsia" w:ascii="宋体" w:hAnsi="宋体" w:eastAsia="宋体" w:cs="宋体"/>
          <w:kern w:val="2"/>
          <w:sz w:val="24"/>
          <w:szCs w:val="24"/>
        </w:rPr>
        <w:t>需支持≥2000 路并发推理请求，单路请求平均响应时间≤1s（输入文本长度≤1024token，输出文本长度≤512token）。</w:t>
      </w:r>
    </w:p>
    <w:p w14:paraId="344BAB94">
      <w:pPr>
        <w:pStyle w:val="21"/>
        <w:numPr>
          <w:ilvl w:val="0"/>
          <w:numId w:val="6"/>
        </w:numPr>
        <w:rPr>
          <w:rFonts w:hint="eastAsia" w:ascii="宋体" w:hAnsi="宋体" w:eastAsia="宋体" w:cs="宋体"/>
          <w:kern w:val="2"/>
          <w:sz w:val="24"/>
          <w:szCs w:val="24"/>
        </w:rPr>
      </w:pPr>
      <w:r>
        <w:rPr>
          <w:rFonts w:hint="eastAsia" w:ascii="宋体" w:hAnsi="宋体" w:eastAsia="宋体" w:cs="宋体"/>
          <w:kern w:val="2"/>
          <w:sz w:val="24"/>
          <w:szCs w:val="24"/>
        </w:rPr>
        <w:t>满并发场景下（2000 路请求同时接入），系统无请求丢失、无服务中断，99% 请求响应时延≤1.5s，GPU 资源整体利用率≥85%。</w:t>
      </w:r>
    </w:p>
    <w:p w14:paraId="435D344A">
      <w:pPr>
        <w:pStyle w:val="21"/>
        <w:numPr>
          <w:ilvl w:val="0"/>
          <w:numId w:val="6"/>
        </w:numPr>
        <w:rPr>
          <w:rFonts w:hint="eastAsia" w:ascii="宋体" w:hAnsi="宋体" w:eastAsia="宋体" w:cs="宋体"/>
          <w:kern w:val="2"/>
          <w:sz w:val="24"/>
          <w:szCs w:val="24"/>
        </w:rPr>
      </w:pPr>
      <w:r>
        <w:rPr>
          <w:rFonts w:hint="eastAsia" w:ascii="宋体" w:hAnsi="宋体" w:eastAsia="宋体" w:cs="宋体"/>
          <w:kern w:val="2"/>
          <w:sz w:val="24"/>
          <w:szCs w:val="24"/>
        </w:rPr>
        <w:t>支持并发请求负载均衡，可根据各算力节点资源占用情况动态分配请求，单节点负载波动幅度≤10%。</w:t>
      </w:r>
    </w:p>
    <w:p w14:paraId="0AD1256A">
      <w:pPr>
        <w:pStyle w:val="21"/>
        <w:numPr>
          <w:ilvl w:val="0"/>
          <w:numId w:val="6"/>
        </w:numPr>
        <w:rPr>
          <w:rFonts w:hint="eastAsia" w:ascii="宋体" w:hAnsi="宋体" w:eastAsia="宋体" w:cs="宋体"/>
          <w:kern w:val="2"/>
          <w:sz w:val="24"/>
          <w:szCs w:val="24"/>
        </w:rPr>
      </w:pPr>
      <w:r>
        <w:rPr>
          <w:rFonts w:hint="eastAsia" w:ascii="宋体" w:hAnsi="宋体" w:eastAsia="宋体" w:cs="宋体"/>
          <w:kern w:val="2"/>
          <w:sz w:val="24"/>
          <w:szCs w:val="24"/>
        </w:rPr>
        <w:t>具备请求队列管理功能，支持优先级调度（如教学场景请求优先级高于普通科研请求），队列长度≥5000 时无性能衰减。</w:t>
      </w:r>
    </w:p>
    <w:p w14:paraId="2B534CB2">
      <w:pPr>
        <w:pStyle w:val="21"/>
        <w:numPr>
          <w:ilvl w:val="0"/>
          <w:numId w:val="6"/>
        </w:numPr>
        <w:rPr>
          <w:rFonts w:hint="eastAsia" w:ascii="宋体" w:hAnsi="宋体" w:eastAsia="宋体" w:cs="宋体"/>
          <w:kern w:val="2"/>
          <w:sz w:val="24"/>
          <w:szCs w:val="24"/>
        </w:rPr>
      </w:pPr>
      <w:r>
        <w:rPr>
          <w:rFonts w:hint="eastAsia" w:ascii="宋体" w:hAnsi="宋体" w:eastAsia="宋体" w:cs="宋体"/>
          <w:kern w:val="2"/>
          <w:sz w:val="24"/>
          <w:szCs w:val="24"/>
        </w:rPr>
        <w:t>支持突发流量应对，当并发请求量短时上升至 3000 路时，系统可自动触发资源扩容（如临时启用备用计算节点），响应时延增幅≤50%。</w:t>
      </w:r>
    </w:p>
    <w:p w14:paraId="43D1E5A2">
      <w:pPr>
        <w:pStyle w:val="21"/>
        <w:numPr>
          <w:ilvl w:val="0"/>
          <w:numId w:val="6"/>
        </w:numPr>
        <w:rPr>
          <w:rFonts w:hint="eastAsia" w:ascii="宋体" w:hAnsi="宋体" w:eastAsia="宋体" w:cs="宋体"/>
          <w:kern w:val="2"/>
          <w:sz w:val="24"/>
          <w:szCs w:val="24"/>
        </w:rPr>
      </w:pPr>
      <w:r>
        <w:rPr>
          <w:rFonts w:hint="eastAsia" w:ascii="宋体" w:hAnsi="宋体" w:eastAsia="宋体" w:cs="宋体"/>
          <w:kern w:val="2"/>
          <w:sz w:val="24"/>
          <w:szCs w:val="24"/>
        </w:rPr>
        <w:t>提供并发性能监控面板，实时展示并发请求数、响应时延、GPU 利用率等指标，支持异常告警（如时延超阈值、节点故障）。</w:t>
      </w:r>
    </w:p>
    <w:p w14:paraId="1E18589E">
      <w:pPr>
        <w:rPr>
          <w:rFonts w:hint="eastAsia" w:ascii="宋体" w:hAnsi="宋体" w:eastAsia="宋体" w:cs="宋体"/>
        </w:rPr>
      </w:pPr>
    </w:p>
    <w:p w14:paraId="76C4B42D">
      <w:pPr>
        <w:pStyle w:val="4"/>
        <w:tabs>
          <w:tab w:val="left" w:pos="567"/>
        </w:tabs>
        <w:adjustRightInd w:val="0"/>
        <w:snapToGrid w:val="0"/>
        <w:spacing w:before="0" w:after="0" w:line="360" w:lineRule="auto"/>
        <w:jc w:val="left"/>
        <w:textAlignment w:val="baseline"/>
        <w:rPr>
          <w:rFonts w:hint="eastAsia" w:ascii="宋体" w:hAnsi="宋体" w:eastAsia="宋体" w:cs="宋体"/>
          <w:szCs w:val="28"/>
        </w:rPr>
      </w:pPr>
      <w:r>
        <w:rPr>
          <w:rFonts w:hint="eastAsia" w:ascii="宋体" w:hAnsi="宋体" w:eastAsia="宋体" w:cs="宋体"/>
          <w:szCs w:val="28"/>
        </w:rPr>
        <w:t>2.2 校园网互联网独立出口带宽上下行对称企业带宽1000MB</w:t>
      </w:r>
    </w:p>
    <w:tbl>
      <w:tblPr>
        <w:tblStyle w:val="14"/>
        <w:tblW w:w="4744"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2"/>
        <w:gridCol w:w="5414"/>
      </w:tblGrid>
      <w:tr w14:paraId="0A0B3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pct"/>
          </w:tcPr>
          <w:p w14:paraId="7B55FB0A">
            <w:pPr>
              <w:pStyle w:val="16"/>
              <w:ind w:firstLine="0" w:firstLineChars="0"/>
              <w:jc w:val="center"/>
              <w:rPr>
                <w:rFonts w:hint="eastAsia" w:ascii="宋体" w:hAnsi="宋体" w:eastAsia="宋体" w:cs="宋体"/>
                <w:b/>
                <w:sz w:val="24"/>
              </w:rPr>
            </w:pPr>
            <w:r>
              <w:rPr>
                <w:rFonts w:hint="eastAsia" w:ascii="宋体" w:hAnsi="宋体" w:eastAsia="宋体" w:cs="宋体"/>
                <w:b/>
                <w:sz w:val="24"/>
              </w:rPr>
              <w:t>项目名称</w:t>
            </w:r>
          </w:p>
        </w:tc>
        <w:tc>
          <w:tcPr>
            <w:tcW w:w="3347" w:type="pct"/>
          </w:tcPr>
          <w:p w14:paraId="37914CBC">
            <w:pPr>
              <w:pStyle w:val="16"/>
              <w:ind w:firstLine="0" w:firstLineChars="0"/>
              <w:jc w:val="center"/>
              <w:rPr>
                <w:rFonts w:hint="eastAsia" w:ascii="宋体" w:hAnsi="宋体" w:eastAsia="宋体" w:cs="宋体"/>
                <w:b/>
                <w:sz w:val="24"/>
              </w:rPr>
            </w:pPr>
            <w:r>
              <w:rPr>
                <w:rFonts w:hint="eastAsia" w:ascii="宋体" w:hAnsi="宋体" w:eastAsia="宋体" w:cs="宋体"/>
                <w:b/>
                <w:sz w:val="24"/>
              </w:rPr>
              <w:t>技术要求</w:t>
            </w:r>
          </w:p>
        </w:tc>
      </w:tr>
      <w:tr w14:paraId="0A120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pct"/>
          </w:tcPr>
          <w:p w14:paraId="16659E89">
            <w:pPr>
              <w:pStyle w:val="16"/>
              <w:ind w:firstLine="0" w:firstLineChars="0"/>
              <w:rPr>
                <w:rFonts w:hint="eastAsia" w:ascii="宋体" w:hAnsi="宋体" w:eastAsia="宋体" w:cs="宋体"/>
                <w:sz w:val="24"/>
              </w:rPr>
            </w:pPr>
            <w:r>
              <w:rPr>
                <w:rFonts w:hint="eastAsia" w:ascii="宋体" w:hAnsi="宋体" w:eastAsia="宋体" w:cs="宋体"/>
                <w:sz w:val="24"/>
              </w:rPr>
              <w:t>校园网互联网出口带宽上下行对称企业带宽1000M</w:t>
            </w:r>
          </w:p>
        </w:tc>
        <w:tc>
          <w:tcPr>
            <w:tcW w:w="3347" w:type="pct"/>
          </w:tcPr>
          <w:p w14:paraId="548DB73F">
            <w:pPr>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rPr>
              <w:tab/>
            </w:r>
            <w:r>
              <w:rPr>
                <w:rFonts w:hint="eastAsia" w:ascii="宋体" w:hAnsi="宋体" w:eastAsia="宋体" w:cs="宋体"/>
                <w:sz w:val="24"/>
              </w:rPr>
              <w:t>提供线路带宽至少1000M</w:t>
            </w:r>
          </w:p>
          <w:p w14:paraId="4BBF9944">
            <w:pPr>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rPr>
              <w:tab/>
            </w:r>
            <w:r>
              <w:rPr>
                <w:rFonts w:hint="eastAsia" w:ascii="宋体" w:hAnsi="宋体" w:eastAsia="宋体" w:cs="宋体"/>
                <w:sz w:val="24"/>
              </w:rPr>
              <w:t>交付时带宽测试值与承诺带宽误差应小于1%</w:t>
            </w:r>
          </w:p>
          <w:p w14:paraId="0D450366">
            <w:pPr>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rPr>
              <w:tab/>
            </w:r>
            <w:r>
              <w:rPr>
                <w:rFonts w:hint="eastAsia" w:ascii="宋体" w:hAnsi="宋体" w:eastAsia="宋体" w:cs="宋体"/>
                <w:sz w:val="24"/>
              </w:rPr>
              <w:t>线路国内点到点访问平均丢包率 ≤0.5%</w:t>
            </w:r>
          </w:p>
          <w:p w14:paraId="1D5F2D65">
            <w:pPr>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rPr>
              <w:tab/>
            </w:r>
            <w:r>
              <w:rPr>
                <w:rFonts w:hint="eastAsia" w:ascii="宋体" w:hAnsi="宋体" w:eastAsia="宋体" w:cs="宋体"/>
                <w:sz w:val="24"/>
              </w:rPr>
              <w:t>线路可用率：99.9%（AAA级可改为99.99%）</w:t>
            </w:r>
          </w:p>
          <w:p w14:paraId="3F7939D9">
            <w:pPr>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rPr>
              <w:tab/>
            </w:r>
            <w:r>
              <w:rPr>
                <w:rFonts w:hint="eastAsia" w:ascii="宋体" w:hAnsi="宋体" w:eastAsia="宋体" w:cs="宋体"/>
                <w:sz w:val="24"/>
              </w:rPr>
              <w:t>线路速率支持3G-10G平滑升速</w:t>
            </w:r>
          </w:p>
          <w:p w14:paraId="67ECE079">
            <w:pPr>
              <w:rPr>
                <w:rFonts w:hint="eastAsia" w:ascii="宋体" w:hAnsi="宋体" w:eastAsia="宋体" w:cs="宋体"/>
                <w:sz w:val="24"/>
              </w:rPr>
            </w:pPr>
            <w:r>
              <w:rPr>
                <w:rFonts w:hint="eastAsia" w:ascii="宋体" w:hAnsi="宋体" w:eastAsia="宋体" w:cs="宋体"/>
                <w:sz w:val="24"/>
              </w:rPr>
              <w:t>6.</w:t>
            </w:r>
            <w:r>
              <w:rPr>
                <w:rFonts w:hint="eastAsia" w:ascii="宋体" w:hAnsi="宋体" w:eastAsia="宋体" w:cs="宋体"/>
                <w:sz w:val="24"/>
              </w:rPr>
              <w:tab/>
            </w:r>
            <w:r>
              <w:rPr>
                <w:rFonts w:hint="eastAsia" w:ascii="宋体" w:hAnsi="宋体" w:eastAsia="宋体" w:cs="宋体"/>
                <w:sz w:val="24"/>
              </w:rPr>
              <w:t>线路平均故障修复时间：≤4小时</w:t>
            </w:r>
          </w:p>
          <w:p w14:paraId="26AE42A6">
            <w:pPr>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sz w:val="24"/>
              </w:rPr>
              <w:tab/>
            </w:r>
            <w:r>
              <w:rPr>
                <w:rFonts w:hint="eastAsia" w:ascii="宋体" w:hAnsi="宋体" w:eastAsia="宋体" w:cs="宋体"/>
                <w:sz w:val="24"/>
              </w:rPr>
              <w:t>支持IPv4 IPv6双栈。</w:t>
            </w:r>
          </w:p>
          <w:p w14:paraId="6970EC1B">
            <w:pPr>
              <w:rPr>
                <w:rFonts w:hint="eastAsia" w:ascii="宋体" w:hAnsi="宋体" w:eastAsia="宋体" w:cs="宋体"/>
                <w:sz w:val="24"/>
              </w:rPr>
            </w:pPr>
            <w:r>
              <w:rPr>
                <w:rFonts w:hint="eastAsia" w:ascii="宋体" w:hAnsi="宋体" w:eastAsia="宋体" w:cs="宋体"/>
                <w:sz w:val="24"/>
              </w:rPr>
              <w:t>8.</w:t>
            </w:r>
            <w:r>
              <w:rPr>
                <w:rFonts w:hint="eastAsia" w:ascii="宋体" w:hAnsi="宋体" w:eastAsia="宋体" w:cs="宋体"/>
                <w:sz w:val="24"/>
              </w:rPr>
              <w:tab/>
            </w:r>
            <w:r>
              <w:rPr>
                <w:rFonts w:hint="eastAsia" w:ascii="宋体" w:hAnsi="宋体" w:eastAsia="宋体" w:cs="宋体"/>
                <w:sz w:val="24"/>
              </w:rPr>
              <w:t>提供访问国际优化IP地址的能力。</w:t>
            </w:r>
          </w:p>
          <w:p w14:paraId="252ADD14">
            <w:pPr>
              <w:rPr>
                <w:rFonts w:hint="eastAsia" w:ascii="宋体" w:hAnsi="宋体" w:eastAsia="宋体" w:cs="宋体"/>
                <w:sz w:val="24"/>
              </w:rPr>
            </w:pPr>
            <w:r>
              <w:rPr>
                <w:rFonts w:hint="eastAsia" w:ascii="宋体" w:hAnsi="宋体" w:eastAsia="宋体" w:cs="宋体"/>
                <w:sz w:val="24"/>
              </w:rPr>
              <w:t>9.</w:t>
            </w:r>
            <w:r>
              <w:rPr>
                <w:rFonts w:hint="eastAsia" w:ascii="宋体" w:hAnsi="宋体" w:eastAsia="宋体" w:cs="宋体"/>
                <w:sz w:val="24"/>
              </w:rPr>
              <w:tab/>
            </w:r>
            <w:r>
              <w:rPr>
                <w:rFonts w:hint="eastAsia" w:ascii="宋体" w:hAnsi="宋体" w:eastAsia="宋体" w:cs="宋体"/>
                <w:sz w:val="24"/>
              </w:rPr>
              <w:t>在上海本地具备独立的Internet出口。</w:t>
            </w:r>
          </w:p>
          <w:p w14:paraId="4663773F">
            <w:pPr>
              <w:rPr>
                <w:rFonts w:hint="eastAsia" w:ascii="宋体" w:hAnsi="宋体" w:eastAsia="宋体" w:cs="宋体"/>
                <w:sz w:val="24"/>
              </w:rPr>
            </w:pPr>
            <w:r>
              <w:rPr>
                <w:rFonts w:hint="eastAsia" w:ascii="宋体" w:hAnsi="宋体" w:eastAsia="宋体" w:cs="宋体"/>
                <w:sz w:val="24"/>
              </w:rPr>
              <w:t>10.</w:t>
            </w:r>
            <w:r>
              <w:rPr>
                <w:rFonts w:hint="eastAsia" w:ascii="宋体" w:hAnsi="宋体" w:eastAsia="宋体" w:cs="宋体"/>
                <w:sz w:val="24"/>
              </w:rPr>
              <w:tab/>
            </w:r>
            <w:r>
              <w:rPr>
                <w:rFonts w:hint="eastAsia" w:ascii="宋体" w:hAnsi="宋体" w:eastAsia="宋体" w:cs="宋体"/>
                <w:sz w:val="24"/>
              </w:rPr>
              <w:t>提供7*24小时技术支持或报修联系电话。 接到报修电话，故障响应时间小于等于30分钟，线路故障修复时间小于等于8小时。</w:t>
            </w:r>
          </w:p>
          <w:p w14:paraId="229C680F">
            <w:pPr>
              <w:rPr>
                <w:rFonts w:hint="eastAsia" w:ascii="宋体" w:hAnsi="宋体" w:eastAsia="宋体" w:cs="宋体"/>
                <w:sz w:val="24"/>
              </w:rPr>
            </w:pPr>
            <w:r>
              <w:rPr>
                <w:rFonts w:hint="eastAsia" w:ascii="宋体" w:hAnsi="宋体" w:eastAsia="宋体" w:cs="宋体"/>
                <w:sz w:val="24"/>
              </w:rPr>
              <w:t>11.</w:t>
            </w:r>
            <w:r>
              <w:rPr>
                <w:rFonts w:hint="eastAsia" w:ascii="宋体" w:hAnsi="宋体" w:eastAsia="宋体" w:cs="宋体"/>
                <w:sz w:val="24"/>
              </w:rPr>
              <w:tab/>
            </w:r>
            <w:r>
              <w:rPr>
                <w:rFonts w:hint="eastAsia" w:ascii="宋体" w:hAnsi="宋体" w:eastAsia="宋体" w:cs="宋体"/>
                <w:sz w:val="24"/>
              </w:rPr>
              <w:t>对于可预见的可能影响网络的割接，提前72小时通知客户。</w:t>
            </w:r>
          </w:p>
          <w:p w14:paraId="60BE0A68">
            <w:pPr>
              <w:rPr>
                <w:rFonts w:hint="eastAsia" w:ascii="宋体" w:hAnsi="宋体" w:eastAsia="宋体" w:cs="宋体"/>
                <w:sz w:val="24"/>
              </w:rPr>
            </w:pPr>
            <w:r>
              <w:rPr>
                <w:rFonts w:hint="eastAsia" w:ascii="宋体" w:hAnsi="宋体" w:eastAsia="宋体" w:cs="宋体"/>
                <w:sz w:val="24"/>
              </w:rPr>
              <w:t>12.</w:t>
            </w:r>
            <w:r>
              <w:rPr>
                <w:rFonts w:hint="eastAsia" w:ascii="宋体" w:hAnsi="宋体" w:eastAsia="宋体" w:cs="宋体"/>
                <w:sz w:val="24"/>
              </w:rPr>
              <w:tab/>
            </w:r>
            <w:r>
              <w:rPr>
                <w:rFonts w:hint="eastAsia" w:ascii="宋体" w:hAnsi="宋体" w:eastAsia="宋体" w:cs="宋体"/>
                <w:sz w:val="24"/>
              </w:rPr>
              <w:t>本次采购线路由本次中标运营商提供后续维护、服务等一站式服务</w:t>
            </w:r>
          </w:p>
        </w:tc>
      </w:tr>
    </w:tbl>
    <w:p w14:paraId="3F36B127">
      <w:pPr>
        <w:pStyle w:val="4"/>
        <w:tabs>
          <w:tab w:val="left" w:pos="567"/>
        </w:tabs>
        <w:adjustRightInd w:val="0"/>
        <w:snapToGrid w:val="0"/>
        <w:spacing w:before="0" w:after="0"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2.3 部署实施及服务期限要求</w:t>
      </w:r>
    </w:p>
    <w:p w14:paraId="1D8F8F21">
      <w:pPr>
        <w:pStyle w:val="21"/>
        <w:numPr>
          <w:ilvl w:val="0"/>
          <w:numId w:val="7"/>
        </w:numPr>
        <w:rPr>
          <w:rFonts w:hint="eastAsia" w:ascii="宋体" w:hAnsi="宋体" w:eastAsia="宋体" w:cs="宋体"/>
          <w:kern w:val="2"/>
          <w:sz w:val="24"/>
          <w:szCs w:val="24"/>
        </w:rPr>
      </w:pPr>
      <w:r>
        <w:rPr>
          <w:rFonts w:hint="eastAsia" w:ascii="宋体" w:hAnsi="宋体" w:eastAsia="宋体" w:cs="宋体"/>
          <w:kern w:val="2"/>
          <w:sz w:val="24"/>
          <w:szCs w:val="24"/>
        </w:rPr>
        <w:t>投标方需承诺：若中标后交付的平台无法满足本需求书任一核心指标（如显存、算力、并发能力），需在 15 个工作日内完成硬件升级或更换，产生的费用由投标方承担。</w:t>
      </w:r>
    </w:p>
    <w:p w14:paraId="0C75E77F">
      <w:pPr>
        <w:pStyle w:val="21"/>
        <w:numPr>
          <w:ilvl w:val="0"/>
          <w:numId w:val="7"/>
        </w:numPr>
        <w:rPr>
          <w:rFonts w:hint="eastAsia" w:ascii="宋体" w:hAnsi="宋体" w:eastAsia="宋体" w:cs="宋体"/>
          <w:kern w:val="2"/>
          <w:sz w:val="24"/>
          <w:szCs w:val="24"/>
        </w:rPr>
      </w:pPr>
      <w:r>
        <w:rPr>
          <w:rFonts w:hint="eastAsia" w:ascii="宋体" w:hAnsi="宋体" w:eastAsia="宋体" w:cs="宋体"/>
          <w:kern w:val="2"/>
          <w:sz w:val="24"/>
          <w:szCs w:val="24"/>
        </w:rPr>
        <w:t>投标方需承诺：中标后30天内完成平台交付</w:t>
      </w: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并在交付后提供为期3年的常驻支持服务</w:t>
      </w:r>
      <w:r>
        <w:rPr>
          <w:rFonts w:hint="eastAsia" w:ascii="宋体" w:hAnsi="宋体" w:eastAsia="宋体" w:cs="宋体"/>
          <w:kern w:val="2"/>
          <w:sz w:val="24"/>
          <w:szCs w:val="24"/>
        </w:rPr>
        <w:t>。</w:t>
      </w:r>
    </w:p>
    <w:p w14:paraId="554AEF96">
      <w:pPr>
        <w:pStyle w:val="21"/>
        <w:numPr>
          <w:ilvl w:val="0"/>
          <w:numId w:val="7"/>
        </w:numPr>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质保</w:t>
      </w:r>
      <w:bookmarkStart w:id="0" w:name="_GoBack"/>
      <w:bookmarkEnd w:id="0"/>
      <w:r>
        <w:rPr>
          <w:rFonts w:hint="eastAsia" w:ascii="宋体" w:hAnsi="宋体" w:eastAsia="宋体" w:cs="宋体"/>
          <w:kern w:val="2"/>
          <w:sz w:val="24"/>
          <w:szCs w:val="24"/>
        </w:rPr>
        <w:t>期限：5年</w:t>
      </w:r>
    </w:p>
    <w:p w14:paraId="363B7CF9">
      <w:pPr>
        <w:pStyle w:val="4"/>
        <w:tabs>
          <w:tab w:val="left" w:pos="567"/>
        </w:tabs>
        <w:adjustRightInd w:val="0"/>
        <w:snapToGrid w:val="0"/>
        <w:spacing w:before="0" w:after="0" w:line="360" w:lineRule="auto"/>
        <w:jc w:val="left"/>
        <w:textAlignment w:val="baseline"/>
        <w:rPr>
          <w:rFonts w:hint="eastAsia" w:ascii="宋体" w:hAnsi="宋体" w:eastAsia="宋体" w:cs="宋体"/>
          <w:szCs w:val="28"/>
        </w:rPr>
      </w:pPr>
      <w:r>
        <w:rPr>
          <w:rFonts w:hint="eastAsia" w:ascii="宋体" w:hAnsi="宋体" w:eastAsia="宋体" w:cs="宋体"/>
          <w:szCs w:val="28"/>
        </w:rPr>
        <w:t>2.4项目团队要求</w:t>
      </w:r>
    </w:p>
    <w:p w14:paraId="4CF129CC">
      <w:pPr>
        <w:numPr>
          <w:ilvl w:val="0"/>
          <w:numId w:val="8"/>
        </w:numPr>
        <w:spacing w:line="360" w:lineRule="auto"/>
        <w:rPr>
          <w:rFonts w:hint="eastAsia" w:ascii="宋体" w:hAnsi="宋体" w:eastAsia="宋体" w:cs="宋体"/>
          <w:sz w:val="24"/>
        </w:rPr>
      </w:pPr>
      <w:r>
        <w:rPr>
          <w:rFonts w:hint="eastAsia" w:ascii="宋体" w:hAnsi="宋体" w:eastAsia="宋体" w:cs="宋体"/>
          <w:sz w:val="24"/>
        </w:rPr>
        <w:t>根据项目采购需求负责安装、部署、调试、测试、上线、优化，供应商负责协同学校相关负责老师完成整个项目的安装实施部署工作；</w:t>
      </w:r>
    </w:p>
    <w:p w14:paraId="703C639F">
      <w:pPr>
        <w:numPr>
          <w:ilvl w:val="0"/>
          <w:numId w:val="8"/>
        </w:numPr>
        <w:spacing w:line="360" w:lineRule="auto"/>
        <w:rPr>
          <w:rFonts w:hint="eastAsia" w:ascii="宋体" w:hAnsi="宋体" w:eastAsia="宋体" w:cs="宋体"/>
          <w:sz w:val="24"/>
        </w:rPr>
      </w:pPr>
      <w:r>
        <w:rPr>
          <w:rFonts w:hint="eastAsia" w:ascii="宋体" w:hAnsi="宋体" w:eastAsia="宋体" w:cs="宋体"/>
          <w:sz w:val="24"/>
        </w:rPr>
        <w:t>负责项目中涉及到的网络性能监测和优化，实时监测网络的性能指标，优化网络拓扑结构，进行定期的网络性能测试，评估网络的响应速度。</w:t>
      </w:r>
    </w:p>
    <w:p w14:paraId="15E3EA2C">
      <w:pPr>
        <w:numPr>
          <w:ilvl w:val="0"/>
          <w:numId w:val="8"/>
        </w:numPr>
        <w:spacing w:line="360" w:lineRule="auto"/>
        <w:rPr>
          <w:rFonts w:hint="eastAsia" w:ascii="宋体" w:hAnsi="宋体" w:eastAsia="宋体" w:cs="宋体"/>
          <w:sz w:val="24"/>
        </w:rPr>
      </w:pPr>
      <w:r>
        <w:rPr>
          <w:rFonts w:hint="eastAsia" w:ascii="宋体" w:hAnsi="宋体" w:eastAsia="宋体" w:cs="宋体"/>
          <w:sz w:val="24"/>
        </w:rPr>
        <w:t>安全管理与防护，设计和实施网络安全策略，监测分析网络流量，及时发现异常行为和安全漏洞，提供安全策略的建议与相关的更新；</w:t>
      </w:r>
    </w:p>
    <w:p w14:paraId="719BDAB3">
      <w:pPr>
        <w:numPr>
          <w:ilvl w:val="0"/>
          <w:numId w:val="8"/>
        </w:numPr>
        <w:spacing w:line="360" w:lineRule="auto"/>
        <w:rPr>
          <w:rFonts w:hint="eastAsia" w:ascii="宋体" w:hAnsi="宋体" w:eastAsia="宋体" w:cs="宋体"/>
          <w:sz w:val="24"/>
        </w:rPr>
      </w:pPr>
      <w:r>
        <w:rPr>
          <w:rFonts w:hint="eastAsia" w:ascii="宋体" w:hAnsi="宋体" w:eastAsia="宋体" w:cs="宋体"/>
          <w:sz w:val="24"/>
        </w:rPr>
        <w:t xml:space="preserve">故障排除和技术支持，快速响应用户报告的系统故障问题，及时提供远程或者现场的技术支持和故障排除。分析和诊断故障的原因，采取适当的措施进行修复和恢复。  </w:t>
      </w:r>
    </w:p>
    <w:p w14:paraId="5D1071D4">
      <w:pPr>
        <w:numPr>
          <w:ilvl w:val="0"/>
          <w:numId w:val="8"/>
        </w:numPr>
        <w:spacing w:line="360" w:lineRule="auto"/>
        <w:rPr>
          <w:rFonts w:hint="eastAsia" w:ascii="宋体" w:hAnsi="宋体" w:eastAsia="宋体" w:cs="宋体"/>
          <w:sz w:val="24"/>
        </w:rPr>
      </w:pPr>
      <w:r>
        <w:rPr>
          <w:rFonts w:hint="eastAsia" w:ascii="宋体" w:hAnsi="宋体" w:eastAsia="宋体" w:cs="宋体"/>
          <w:sz w:val="24"/>
        </w:rPr>
        <w:t xml:space="preserve">定期总结：定期召开运维总结会，由工作人员向校方负责人汇报日常运维事务、重要故障的原因分析、巡检工作的执行情况，对无线网络系统的整体工作情况作出评估。 </w:t>
      </w:r>
    </w:p>
    <w:p w14:paraId="68F620A5">
      <w:pPr>
        <w:numPr>
          <w:ilvl w:val="0"/>
          <w:numId w:val="8"/>
        </w:numPr>
        <w:snapToGrid w:val="0"/>
        <w:spacing w:line="360" w:lineRule="auto"/>
        <w:rPr>
          <w:rFonts w:hint="eastAsia" w:ascii="宋体" w:hAnsi="宋体" w:eastAsia="宋体" w:cs="宋体"/>
          <w:sz w:val="24"/>
        </w:rPr>
      </w:pPr>
      <w:r>
        <w:rPr>
          <w:rFonts w:hint="eastAsia" w:ascii="宋体" w:hAnsi="宋体" w:eastAsia="宋体" w:cs="宋体"/>
          <w:sz w:val="24"/>
        </w:rPr>
        <w:t>在服务有效期内，提供相关的技术文档、操作手册和知识库，帮助用户了解和使用网络设备。定期组织培训活动或按用户要求提供每年不少于2次的现场培训。</w:t>
      </w:r>
    </w:p>
    <w:p w14:paraId="55868DE8">
      <w:pPr>
        <w:numPr>
          <w:ilvl w:val="0"/>
          <w:numId w:val="8"/>
        </w:numPr>
        <w:snapToGrid w:val="0"/>
        <w:spacing w:line="360" w:lineRule="auto"/>
        <w:rPr>
          <w:rFonts w:hint="eastAsia" w:ascii="宋体" w:hAnsi="宋体" w:eastAsia="宋体" w:cs="宋体"/>
          <w:sz w:val="24"/>
        </w:rPr>
      </w:pPr>
      <w:r>
        <w:rPr>
          <w:rFonts w:hint="eastAsia" w:ascii="宋体" w:hAnsi="宋体" w:eastAsia="宋体" w:cs="宋体"/>
          <w:sz w:val="24"/>
        </w:rPr>
        <w:t>紧急响应，对于可能出现的紧急情况，提供快速响应预案，以最小化对活动的影响。建立紧急联系渠道，确保发生问题时能够及时与相关人员取得联系，并及时处置相关的问题。</w:t>
      </w:r>
    </w:p>
    <w:p w14:paraId="6193AEB5">
      <w:pPr>
        <w:numPr>
          <w:ilvl w:val="0"/>
          <w:numId w:val="8"/>
        </w:numPr>
        <w:snapToGrid w:val="0"/>
        <w:spacing w:line="360" w:lineRule="auto"/>
        <w:rPr>
          <w:rFonts w:hint="eastAsia" w:ascii="宋体" w:hAnsi="宋体" w:eastAsia="宋体" w:cs="宋体"/>
          <w:kern w:val="0"/>
          <w:sz w:val="24"/>
        </w:rPr>
      </w:pPr>
      <w:r>
        <w:rPr>
          <w:rFonts w:hint="eastAsia" w:ascii="宋体" w:hAnsi="宋体" w:eastAsia="宋体" w:cs="宋体"/>
          <w:sz w:val="24"/>
        </w:rPr>
        <w:t>提供免费的服务热线电话，接受系统故障报修、使用帮助要求、业务和技术咨询、服务投诉等。服务咨询中心 7*24h 全天候运行，配备足够的咨询人员或技术工程师，热线电话的拨通率达到 90%以上。在热线电话发生故障情况下，提供其它备份的方便和迅速的联系方式。</w:t>
      </w:r>
    </w:p>
    <w:p w14:paraId="5A82505C">
      <w:pPr>
        <w:numPr>
          <w:ilvl w:val="0"/>
          <w:numId w:val="8"/>
        </w:numPr>
        <w:snapToGrid w:val="0"/>
        <w:spacing w:line="360" w:lineRule="auto"/>
        <w:rPr>
          <w:rFonts w:hint="eastAsia" w:ascii="宋体" w:hAnsi="宋体" w:eastAsia="宋体" w:cs="宋体"/>
          <w:sz w:val="24"/>
        </w:rPr>
      </w:pPr>
      <w:r>
        <w:rPr>
          <w:rFonts w:hint="eastAsia" w:ascii="宋体" w:hAnsi="宋体" w:eastAsia="宋体" w:cs="宋体"/>
          <w:sz w:val="24"/>
        </w:rPr>
        <w:t>提供相关云服务能力（包括但不限于弹性扩展能力、弹性计费能力、高可用性、灵活配置、快速部署、数据备份和恢复等）</w:t>
      </w:r>
    </w:p>
    <w:p w14:paraId="3BD343C8">
      <w:pPr>
        <w:numPr>
          <w:ilvl w:val="0"/>
          <w:numId w:val="8"/>
        </w:numPr>
        <w:snapToGrid w:val="0"/>
        <w:spacing w:line="360" w:lineRule="auto"/>
        <w:rPr>
          <w:rFonts w:hint="eastAsia" w:ascii="宋体" w:hAnsi="宋体" w:eastAsia="宋体" w:cs="宋体"/>
          <w:b/>
          <w:bCs/>
          <w:sz w:val="24"/>
        </w:rPr>
      </w:pPr>
      <w:r>
        <w:rPr>
          <w:rFonts w:hint="eastAsia" w:ascii="宋体" w:hAnsi="宋体" w:eastAsia="宋体" w:cs="宋体"/>
          <w:b/>
          <w:bCs/>
          <w:sz w:val="24"/>
        </w:rPr>
        <w:t>负责提供维修保养所需的足够的人员和零备件，同时提供 5*12 小时的紧急维修服务，在接到设备报修通知后 20 分钟内响应故障，2 小时赶到现场，如遇系统硬件故障无法在故障恢复时间（4 小时）内及时解决的，将提供同等性能的备用设备供用户临时使用。</w:t>
      </w:r>
    </w:p>
    <w:p w14:paraId="0BCD3282">
      <w:pPr>
        <w:pStyle w:val="4"/>
        <w:tabs>
          <w:tab w:val="left" w:pos="567"/>
        </w:tabs>
        <w:adjustRightInd w:val="0"/>
        <w:snapToGrid w:val="0"/>
        <w:spacing w:before="0" w:after="0"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2.5其他要求</w:t>
      </w:r>
    </w:p>
    <w:p w14:paraId="046D00E0">
      <w:pPr>
        <w:spacing w:line="360" w:lineRule="auto"/>
        <w:ind w:firstLine="480" w:firstLineChars="200"/>
        <w:rPr>
          <w:rFonts w:hint="eastAsia" w:ascii="宋体" w:hAnsi="宋体" w:eastAsia="宋体" w:cs="宋体"/>
          <w:sz w:val="24"/>
        </w:rPr>
      </w:pPr>
      <w:r>
        <w:rPr>
          <w:rFonts w:hint="eastAsia" w:ascii="宋体" w:hAnsi="宋体" w:eastAsia="宋体" w:cs="宋体"/>
          <w:sz w:val="24"/>
        </w:rPr>
        <w:t>（一）协调原厂商资源对新增系统产品进行对接规划、部署、安装、调试。</w:t>
      </w:r>
    </w:p>
    <w:p w14:paraId="54522EBB">
      <w:pPr>
        <w:spacing w:line="360" w:lineRule="auto"/>
        <w:ind w:firstLine="480" w:firstLineChars="200"/>
        <w:rPr>
          <w:rFonts w:hint="eastAsia" w:ascii="宋体" w:hAnsi="宋体" w:eastAsia="宋体" w:cs="宋体"/>
          <w:sz w:val="24"/>
        </w:rPr>
      </w:pPr>
      <w:r>
        <w:rPr>
          <w:rFonts w:hint="eastAsia" w:ascii="宋体" w:hAnsi="宋体" w:eastAsia="宋体" w:cs="宋体"/>
          <w:sz w:val="24"/>
        </w:rPr>
        <w:t>（二）拥有技术支持服务中心，并配置常驻技术支持服务工程师，具有本项目相关产品的支持服务经验。</w:t>
      </w:r>
    </w:p>
    <w:p w14:paraId="2EC0F23D">
      <w:pPr>
        <w:spacing w:line="360" w:lineRule="auto"/>
        <w:ind w:firstLine="480" w:firstLineChars="200"/>
        <w:rPr>
          <w:rFonts w:hint="eastAsia" w:ascii="宋体" w:hAnsi="宋体" w:eastAsia="宋体" w:cs="宋体"/>
          <w:sz w:val="24"/>
        </w:rPr>
      </w:pPr>
      <w:r>
        <w:rPr>
          <w:rFonts w:hint="eastAsia" w:ascii="宋体" w:hAnsi="宋体" w:eastAsia="宋体" w:cs="宋体"/>
          <w:sz w:val="24"/>
        </w:rPr>
        <w:t>（三）服务方式及报价要求：承担本次服务方式为风险式维保服务，主要包括日常的定期预防性维护和设备出现故障后的紧急维修、日常故障排查、现场报修。合同服务期限内成交方提供的所有服务，包括人工费、硬件更换、技术支持服务等，采购人均不再另外付费。</w:t>
      </w:r>
    </w:p>
    <w:p w14:paraId="1FA12B0E">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四）供应商能力要求：投标人具有ISO27001管理体系认证证书的优先考虑；投标人拟投入本项目的服务团队人员中，具有系统集成项目管理工程师（中级）或信息系统项目管理师（高级）证书的不少于3人的优先考虑。</w:t>
      </w:r>
    </w:p>
    <w:p w14:paraId="300190E8">
      <w:pPr>
        <w:spacing w:line="360" w:lineRule="auto"/>
        <w:ind w:firstLine="480" w:firstLineChars="200"/>
        <w:rPr>
          <w:rFonts w:hint="default" w:ascii="宋体" w:hAnsi="宋体" w:eastAsia="宋体" w:cs="宋体"/>
          <w:sz w:val="24"/>
          <w:lang w:val="en-US" w:eastAsia="zh-CN"/>
        </w:rPr>
      </w:pPr>
    </w:p>
    <w:p w14:paraId="674271F4">
      <w:pPr>
        <w:pStyle w:val="4"/>
        <w:tabs>
          <w:tab w:val="left" w:pos="567"/>
        </w:tabs>
        <w:adjustRightInd w:val="0"/>
        <w:snapToGrid w:val="0"/>
        <w:spacing w:before="0" w:after="0" w:line="360" w:lineRule="auto"/>
        <w:jc w:val="left"/>
        <w:textAlignment w:val="baseline"/>
        <w:rPr>
          <w:rFonts w:ascii="宋体" w:hAnsi="宋体" w:eastAsia="宋体" w:cs="宋体"/>
          <w:sz w:val="24"/>
          <w:szCs w:val="24"/>
        </w:rPr>
      </w:pPr>
      <w:r>
        <w:rPr>
          <w:rFonts w:hint="eastAsia" w:ascii="宋体" w:hAnsi="宋体" w:eastAsia="宋体" w:cs="宋体"/>
          <w:sz w:val="24"/>
          <w:szCs w:val="24"/>
        </w:rPr>
        <w:t>2.6关键技术指标（▲标记）</w:t>
      </w:r>
    </w:p>
    <w:p w14:paraId="1F7D8382">
      <w:pPr>
        <w:spacing w:line="360" w:lineRule="auto"/>
        <w:ind w:firstLine="420"/>
        <w:rPr>
          <w:rFonts w:hint="eastAsia" w:ascii="宋体" w:hAnsi="宋体" w:eastAsia="宋体" w:cs="宋体"/>
          <w:b/>
          <w:bCs/>
          <w:sz w:val="24"/>
        </w:rPr>
      </w:pPr>
      <w:r>
        <w:rPr>
          <w:rFonts w:hint="eastAsia" w:ascii="宋体" w:hAnsi="宋体" w:eastAsia="宋体" w:cs="宋体"/>
          <w:b/>
          <w:bCs/>
          <w:sz w:val="24"/>
        </w:rPr>
        <w:t>供应商根据需求中▲指标进行响应，标明偏离情况，提供▲指标技术参数偏离表，标注“▲”条款的响应偏离需做实质性内容描述，同时需提供相应的证明材料，包括但不限于第三方测试报告、加盖原厂公章的产品官方技术资料白皮书或官方网页截图等证明文件，或支持承诺文件等证明材料，并在材料中明确圈示满足相关要求的内容。未提供证明材料、提供的证明材料不清晰无法识别、证明材料未体现产品相关信息、证明材料为无效材料的，不得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843"/>
        <w:gridCol w:w="5862"/>
      </w:tblGrid>
      <w:tr w14:paraId="65988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81A5A25">
            <w:pPr>
              <w:spacing w:line="360" w:lineRule="auto"/>
              <w:rPr>
                <w:rFonts w:hint="eastAsia" w:ascii="宋体" w:hAnsi="宋体" w:eastAsia="宋体" w:cs="宋体"/>
                <w:sz w:val="24"/>
              </w:rPr>
            </w:pPr>
            <w:r>
              <w:rPr>
                <w:rFonts w:hint="eastAsia" w:ascii="宋体" w:hAnsi="宋体" w:eastAsia="宋体" w:cs="宋体"/>
                <w:sz w:val="24"/>
              </w:rPr>
              <w:t>序号</w:t>
            </w:r>
          </w:p>
        </w:tc>
        <w:tc>
          <w:tcPr>
            <w:tcW w:w="1843" w:type="dxa"/>
          </w:tcPr>
          <w:p w14:paraId="1600F724">
            <w:pPr>
              <w:spacing w:line="360" w:lineRule="auto"/>
              <w:rPr>
                <w:rFonts w:hint="eastAsia" w:ascii="宋体" w:hAnsi="宋体" w:eastAsia="宋体" w:cs="宋体"/>
                <w:sz w:val="24"/>
              </w:rPr>
            </w:pPr>
            <w:r>
              <w:rPr>
                <w:rFonts w:hint="eastAsia" w:ascii="宋体" w:hAnsi="宋体" w:eastAsia="宋体" w:cs="宋体"/>
                <w:sz w:val="24"/>
              </w:rPr>
              <w:t>参数项</w:t>
            </w:r>
          </w:p>
        </w:tc>
        <w:tc>
          <w:tcPr>
            <w:tcW w:w="5862" w:type="dxa"/>
          </w:tcPr>
          <w:p w14:paraId="3E15CE4F">
            <w:pPr>
              <w:spacing w:line="360" w:lineRule="auto"/>
              <w:rPr>
                <w:rFonts w:hint="eastAsia" w:ascii="宋体" w:hAnsi="宋体" w:eastAsia="宋体" w:cs="宋体"/>
                <w:sz w:val="24"/>
              </w:rPr>
            </w:pPr>
            <w:r>
              <w:rPr>
                <w:rFonts w:hint="eastAsia" w:ascii="宋体" w:hAnsi="宋体" w:eastAsia="宋体" w:cs="宋体"/>
                <w:sz w:val="24"/>
              </w:rPr>
              <w:t>参数要求</w:t>
            </w:r>
          </w:p>
        </w:tc>
      </w:tr>
      <w:tr w14:paraId="6B7AC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7D88905">
            <w:pPr>
              <w:spacing w:line="360" w:lineRule="auto"/>
              <w:rPr>
                <w:rFonts w:hint="eastAsia" w:ascii="宋体" w:hAnsi="宋体" w:eastAsia="宋体" w:cs="宋体"/>
                <w:sz w:val="24"/>
              </w:rPr>
            </w:pPr>
            <w:r>
              <w:rPr>
                <w:rFonts w:hint="eastAsia" w:ascii="宋体" w:hAnsi="宋体" w:eastAsia="宋体" w:cs="宋体"/>
                <w:sz w:val="24"/>
              </w:rPr>
              <w:t>1</w:t>
            </w:r>
          </w:p>
        </w:tc>
        <w:tc>
          <w:tcPr>
            <w:tcW w:w="1843" w:type="dxa"/>
            <w:vMerge w:val="restart"/>
          </w:tcPr>
          <w:p w14:paraId="390D5F2E">
            <w:pPr>
              <w:spacing w:line="360" w:lineRule="auto"/>
              <w:rPr>
                <w:rFonts w:hint="eastAsia" w:ascii="宋体" w:hAnsi="宋体" w:eastAsia="宋体" w:cs="宋体"/>
                <w:sz w:val="24"/>
              </w:rPr>
            </w:pPr>
            <w:r>
              <w:rPr>
                <w:rFonts w:hint="eastAsia" w:ascii="宋体" w:hAnsi="宋体" w:eastAsia="宋体" w:cs="宋体"/>
                <w:sz w:val="24"/>
              </w:rPr>
              <w:t>大模型应用平台基础技术参数</w:t>
            </w:r>
          </w:p>
        </w:tc>
        <w:tc>
          <w:tcPr>
            <w:tcW w:w="5862" w:type="dxa"/>
          </w:tcPr>
          <w:p w14:paraId="510943CC">
            <w:pPr>
              <w:spacing w:line="360" w:lineRule="auto"/>
              <w:rPr>
                <w:rFonts w:hint="eastAsia" w:ascii="宋体" w:hAnsi="宋体" w:eastAsia="宋体" w:cs="宋体"/>
                <w:sz w:val="24"/>
              </w:rPr>
            </w:pPr>
            <w:r>
              <w:rPr>
                <w:rFonts w:hint="eastAsia" w:ascii="宋体" w:hAnsi="宋体" w:eastAsia="宋体" w:cs="宋体"/>
                <w:sz w:val="24"/>
              </w:rPr>
              <w:t>▲项目共需部署4 套上述大模型应用平台，整体平台总显存容量满足≥4312GB，从而满足多模型同时部署或单模型分布式推理需求。</w:t>
            </w:r>
          </w:p>
        </w:tc>
      </w:tr>
      <w:tr w14:paraId="74297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0F1864D">
            <w:pPr>
              <w:spacing w:line="360" w:lineRule="auto"/>
              <w:rPr>
                <w:rFonts w:hint="eastAsia" w:ascii="宋体" w:hAnsi="宋体" w:eastAsia="宋体" w:cs="宋体"/>
                <w:sz w:val="24"/>
              </w:rPr>
            </w:pPr>
            <w:r>
              <w:rPr>
                <w:rFonts w:hint="eastAsia" w:ascii="宋体" w:hAnsi="宋体" w:eastAsia="宋体" w:cs="宋体"/>
                <w:sz w:val="24"/>
              </w:rPr>
              <w:t>2</w:t>
            </w:r>
          </w:p>
        </w:tc>
        <w:tc>
          <w:tcPr>
            <w:tcW w:w="1843" w:type="dxa"/>
            <w:vMerge w:val="continue"/>
          </w:tcPr>
          <w:p w14:paraId="2CBA1183">
            <w:pPr>
              <w:spacing w:line="360" w:lineRule="auto"/>
              <w:rPr>
                <w:rFonts w:hint="eastAsia" w:ascii="宋体" w:hAnsi="宋体" w:eastAsia="宋体" w:cs="宋体"/>
                <w:sz w:val="24"/>
              </w:rPr>
            </w:pPr>
          </w:p>
        </w:tc>
        <w:tc>
          <w:tcPr>
            <w:tcW w:w="5862" w:type="dxa"/>
          </w:tcPr>
          <w:p w14:paraId="793EAAC0">
            <w:pPr>
              <w:spacing w:line="360" w:lineRule="auto"/>
              <w:rPr>
                <w:rFonts w:hint="eastAsia" w:ascii="宋体" w:hAnsi="宋体" w:eastAsia="宋体" w:cs="宋体"/>
                <w:sz w:val="24"/>
              </w:rPr>
            </w:pPr>
            <w:r>
              <w:rPr>
                <w:rFonts w:hint="eastAsia" w:ascii="宋体" w:hAnsi="宋体" w:eastAsia="宋体" w:cs="宋体"/>
                <w:sz w:val="24"/>
              </w:rPr>
              <w:t>▲每套应用平台能够提供满足 FP16 算力≥1536 TFLOPS，平台整体总 FP16 算力≥6144 TFLOPS，支持大模型推理过程中复杂张量运算的高效处理。</w:t>
            </w:r>
          </w:p>
        </w:tc>
      </w:tr>
      <w:tr w14:paraId="3ECA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4F8D3EC">
            <w:pPr>
              <w:spacing w:line="360" w:lineRule="auto"/>
              <w:rPr>
                <w:rFonts w:hint="eastAsia" w:ascii="宋体" w:hAnsi="宋体" w:eastAsia="宋体" w:cs="宋体"/>
                <w:sz w:val="24"/>
              </w:rPr>
            </w:pPr>
            <w:r>
              <w:rPr>
                <w:rFonts w:hint="eastAsia" w:ascii="宋体" w:hAnsi="宋体" w:eastAsia="宋体" w:cs="宋体"/>
                <w:sz w:val="24"/>
              </w:rPr>
              <w:t>3</w:t>
            </w:r>
          </w:p>
        </w:tc>
        <w:tc>
          <w:tcPr>
            <w:tcW w:w="1843" w:type="dxa"/>
            <w:vMerge w:val="restart"/>
          </w:tcPr>
          <w:p w14:paraId="08E70BFC">
            <w:pPr>
              <w:spacing w:line="360" w:lineRule="auto"/>
              <w:rPr>
                <w:rFonts w:hint="eastAsia" w:ascii="宋体" w:hAnsi="宋体" w:eastAsia="宋体" w:cs="宋体"/>
                <w:sz w:val="24"/>
              </w:rPr>
            </w:pPr>
            <w:r>
              <w:rPr>
                <w:rFonts w:hint="eastAsia" w:ascii="宋体" w:hAnsi="宋体" w:eastAsia="宋体" w:cs="宋体"/>
                <w:sz w:val="24"/>
              </w:rPr>
              <w:t>主流大模型适配范围</w:t>
            </w:r>
          </w:p>
        </w:tc>
        <w:tc>
          <w:tcPr>
            <w:tcW w:w="5862" w:type="dxa"/>
          </w:tcPr>
          <w:p w14:paraId="22C370C8">
            <w:pPr>
              <w:spacing w:line="360" w:lineRule="auto"/>
              <w:rPr>
                <w:rFonts w:hint="eastAsia" w:ascii="宋体" w:hAnsi="宋体" w:eastAsia="宋体" w:cs="宋体"/>
                <w:sz w:val="24"/>
              </w:rPr>
            </w:pPr>
            <w:r>
              <w:rPr>
                <w:rFonts w:hint="eastAsia" w:ascii="宋体" w:hAnsi="宋体" w:eastAsia="宋体" w:cs="宋体"/>
                <w:sz w:val="24"/>
              </w:rPr>
              <w:t>▲需支持 DeepSeek 系列最新满血版大模型（参数规模671B）部署，满足全参数推理，推理过程中模型参数无裁剪、无量化压缩。</w:t>
            </w:r>
          </w:p>
        </w:tc>
      </w:tr>
      <w:tr w14:paraId="09201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4A7B13C">
            <w:pPr>
              <w:spacing w:line="360" w:lineRule="auto"/>
              <w:rPr>
                <w:rFonts w:hint="eastAsia" w:ascii="宋体" w:hAnsi="宋体" w:eastAsia="宋体" w:cs="宋体"/>
                <w:sz w:val="24"/>
              </w:rPr>
            </w:pPr>
            <w:r>
              <w:rPr>
                <w:rFonts w:hint="eastAsia" w:ascii="宋体" w:hAnsi="宋体" w:eastAsia="宋体" w:cs="宋体"/>
                <w:sz w:val="24"/>
              </w:rPr>
              <w:t>4</w:t>
            </w:r>
          </w:p>
        </w:tc>
        <w:tc>
          <w:tcPr>
            <w:tcW w:w="1843" w:type="dxa"/>
            <w:vMerge w:val="continue"/>
          </w:tcPr>
          <w:p w14:paraId="60474B86">
            <w:pPr>
              <w:spacing w:line="360" w:lineRule="auto"/>
              <w:rPr>
                <w:rFonts w:hint="eastAsia" w:ascii="宋体" w:hAnsi="宋体" w:eastAsia="宋体" w:cs="宋体"/>
                <w:sz w:val="24"/>
              </w:rPr>
            </w:pPr>
          </w:p>
        </w:tc>
        <w:tc>
          <w:tcPr>
            <w:tcW w:w="5862" w:type="dxa"/>
          </w:tcPr>
          <w:p w14:paraId="2A292FEB">
            <w:pPr>
              <w:spacing w:line="360" w:lineRule="auto"/>
              <w:rPr>
                <w:rFonts w:hint="eastAsia" w:ascii="宋体" w:hAnsi="宋体" w:eastAsia="宋体" w:cs="宋体"/>
                <w:sz w:val="24"/>
              </w:rPr>
            </w:pPr>
            <w:r>
              <w:rPr>
                <w:rFonts w:hint="eastAsia" w:ascii="宋体" w:hAnsi="宋体" w:eastAsia="宋体" w:cs="宋体"/>
                <w:sz w:val="24"/>
              </w:rPr>
              <w:t>▲需支持 Qwen3 系列最大参数版大模型（参数规模235B）部署（上下文长度按模型能处理的最大设置），支持模型权重完整加载，推理时延≤500ms / 单条请求（输入文本长度≤512token，输出文本长度≤256token）</w:t>
            </w:r>
          </w:p>
        </w:tc>
      </w:tr>
      <w:tr w14:paraId="6517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ECCB7CD">
            <w:pPr>
              <w:spacing w:line="360" w:lineRule="auto"/>
              <w:rPr>
                <w:rFonts w:hint="eastAsia" w:ascii="宋体" w:hAnsi="宋体" w:eastAsia="宋体" w:cs="宋体"/>
                <w:sz w:val="24"/>
              </w:rPr>
            </w:pPr>
            <w:r>
              <w:rPr>
                <w:rFonts w:hint="eastAsia" w:ascii="宋体" w:hAnsi="宋体" w:eastAsia="宋体" w:cs="宋体"/>
                <w:sz w:val="24"/>
              </w:rPr>
              <w:t>5</w:t>
            </w:r>
          </w:p>
        </w:tc>
        <w:tc>
          <w:tcPr>
            <w:tcW w:w="1843" w:type="dxa"/>
          </w:tcPr>
          <w:p w14:paraId="7EB40DAF">
            <w:pPr>
              <w:spacing w:line="360" w:lineRule="auto"/>
              <w:rPr>
                <w:rFonts w:hint="eastAsia" w:ascii="宋体" w:hAnsi="宋体" w:eastAsia="宋体" w:cs="宋体"/>
                <w:sz w:val="24"/>
              </w:rPr>
            </w:pPr>
            <w:r>
              <w:rPr>
                <w:rFonts w:hint="eastAsia" w:ascii="宋体" w:hAnsi="宋体" w:eastAsia="宋体" w:cs="宋体"/>
                <w:sz w:val="24"/>
              </w:rPr>
              <w:t>▲校园网互联网出口带宽上下行对称企业带宽1000M</w:t>
            </w:r>
          </w:p>
        </w:tc>
        <w:tc>
          <w:tcPr>
            <w:tcW w:w="5862" w:type="dxa"/>
          </w:tcPr>
          <w:p w14:paraId="591EDDFF">
            <w:pPr>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rPr>
              <w:tab/>
            </w:r>
            <w:r>
              <w:rPr>
                <w:rFonts w:hint="eastAsia" w:ascii="宋体" w:hAnsi="宋体" w:eastAsia="宋体" w:cs="宋体"/>
                <w:sz w:val="24"/>
              </w:rPr>
              <w:t>提供线路带宽至少1000M</w:t>
            </w:r>
          </w:p>
          <w:p w14:paraId="103766AB">
            <w:pPr>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rPr>
              <w:tab/>
            </w:r>
            <w:r>
              <w:rPr>
                <w:rFonts w:hint="eastAsia" w:ascii="宋体" w:hAnsi="宋体" w:eastAsia="宋体" w:cs="宋体"/>
                <w:sz w:val="24"/>
              </w:rPr>
              <w:t>交付时带宽测试值与承诺带宽误差应小于1%</w:t>
            </w:r>
          </w:p>
          <w:p w14:paraId="386A583B">
            <w:pPr>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rPr>
              <w:tab/>
            </w:r>
            <w:r>
              <w:rPr>
                <w:rFonts w:hint="eastAsia" w:ascii="宋体" w:hAnsi="宋体" w:eastAsia="宋体" w:cs="宋体"/>
                <w:sz w:val="24"/>
              </w:rPr>
              <w:t>线路国内点到点访问平均丢包率 ≤0.5%</w:t>
            </w:r>
          </w:p>
          <w:p w14:paraId="62C7AC6B">
            <w:pPr>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rPr>
              <w:tab/>
            </w:r>
            <w:r>
              <w:rPr>
                <w:rFonts w:hint="eastAsia" w:ascii="宋体" w:hAnsi="宋体" w:eastAsia="宋体" w:cs="宋体"/>
                <w:sz w:val="24"/>
              </w:rPr>
              <w:t>线路可用率：99.9%（AAA级可改为99.99%）</w:t>
            </w:r>
          </w:p>
          <w:p w14:paraId="212E6EAC">
            <w:pPr>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rPr>
              <w:tab/>
            </w:r>
            <w:r>
              <w:rPr>
                <w:rFonts w:hint="eastAsia" w:ascii="宋体" w:hAnsi="宋体" w:eastAsia="宋体" w:cs="宋体"/>
                <w:sz w:val="24"/>
              </w:rPr>
              <w:t>线路速率支持3G-10G平滑升速</w:t>
            </w:r>
          </w:p>
          <w:p w14:paraId="0D58823F">
            <w:pPr>
              <w:rPr>
                <w:rFonts w:hint="eastAsia" w:ascii="宋体" w:hAnsi="宋体" w:eastAsia="宋体" w:cs="宋体"/>
                <w:sz w:val="24"/>
              </w:rPr>
            </w:pPr>
            <w:r>
              <w:rPr>
                <w:rFonts w:hint="eastAsia" w:ascii="宋体" w:hAnsi="宋体" w:eastAsia="宋体" w:cs="宋体"/>
                <w:sz w:val="24"/>
              </w:rPr>
              <w:t>6.</w:t>
            </w:r>
            <w:r>
              <w:rPr>
                <w:rFonts w:hint="eastAsia" w:ascii="宋体" w:hAnsi="宋体" w:eastAsia="宋体" w:cs="宋体"/>
                <w:sz w:val="24"/>
              </w:rPr>
              <w:tab/>
            </w:r>
            <w:r>
              <w:rPr>
                <w:rFonts w:hint="eastAsia" w:ascii="宋体" w:hAnsi="宋体" w:eastAsia="宋体" w:cs="宋体"/>
                <w:sz w:val="24"/>
              </w:rPr>
              <w:t>线路平均故障修复时间：≤4小时</w:t>
            </w:r>
          </w:p>
          <w:p w14:paraId="1789627C">
            <w:pPr>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sz w:val="24"/>
              </w:rPr>
              <w:tab/>
            </w:r>
            <w:r>
              <w:rPr>
                <w:rFonts w:hint="eastAsia" w:ascii="宋体" w:hAnsi="宋体" w:eastAsia="宋体" w:cs="宋体"/>
                <w:sz w:val="24"/>
              </w:rPr>
              <w:t>支持IPv4 IPv6双栈。</w:t>
            </w:r>
          </w:p>
          <w:p w14:paraId="0C940059">
            <w:pPr>
              <w:rPr>
                <w:rFonts w:hint="eastAsia" w:ascii="宋体" w:hAnsi="宋体" w:eastAsia="宋体" w:cs="宋体"/>
                <w:sz w:val="24"/>
              </w:rPr>
            </w:pPr>
            <w:r>
              <w:rPr>
                <w:rFonts w:hint="eastAsia" w:ascii="宋体" w:hAnsi="宋体" w:eastAsia="宋体" w:cs="宋体"/>
                <w:sz w:val="24"/>
              </w:rPr>
              <w:t>8.</w:t>
            </w:r>
            <w:r>
              <w:rPr>
                <w:rFonts w:hint="eastAsia" w:ascii="宋体" w:hAnsi="宋体" w:eastAsia="宋体" w:cs="宋体"/>
                <w:sz w:val="24"/>
              </w:rPr>
              <w:tab/>
            </w:r>
            <w:r>
              <w:rPr>
                <w:rFonts w:hint="eastAsia" w:ascii="宋体" w:hAnsi="宋体" w:eastAsia="宋体" w:cs="宋体"/>
                <w:sz w:val="24"/>
              </w:rPr>
              <w:t>提供访问国际优化IP地址的能力。</w:t>
            </w:r>
          </w:p>
          <w:p w14:paraId="24DE0CE2">
            <w:pPr>
              <w:rPr>
                <w:rFonts w:hint="eastAsia" w:ascii="宋体" w:hAnsi="宋体" w:eastAsia="宋体" w:cs="宋体"/>
                <w:sz w:val="24"/>
              </w:rPr>
            </w:pPr>
            <w:r>
              <w:rPr>
                <w:rFonts w:hint="eastAsia" w:ascii="宋体" w:hAnsi="宋体" w:eastAsia="宋体" w:cs="宋体"/>
                <w:sz w:val="24"/>
              </w:rPr>
              <w:t>9.</w:t>
            </w:r>
            <w:r>
              <w:rPr>
                <w:rFonts w:hint="eastAsia" w:ascii="宋体" w:hAnsi="宋体" w:eastAsia="宋体" w:cs="宋体"/>
                <w:sz w:val="24"/>
              </w:rPr>
              <w:tab/>
            </w:r>
            <w:r>
              <w:rPr>
                <w:rFonts w:hint="eastAsia" w:ascii="宋体" w:hAnsi="宋体" w:eastAsia="宋体" w:cs="宋体"/>
                <w:sz w:val="24"/>
              </w:rPr>
              <w:t>在上海本地具备独立的Internet出口。</w:t>
            </w:r>
          </w:p>
          <w:p w14:paraId="75A0F691">
            <w:pPr>
              <w:rPr>
                <w:rFonts w:hint="eastAsia" w:ascii="宋体" w:hAnsi="宋体" w:eastAsia="宋体" w:cs="宋体"/>
                <w:sz w:val="24"/>
              </w:rPr>
            </w:pPr>
            <w:r>
              <w:rPr>
                <w:rFonts w:hint="eastAsia" w:ascii="宋体" w:hAnsi="宋体" w:eastAsia="宋体" w:cs="宋体"/>
                <w:sz w:val="24"/>
              </w:rPr>
              <w:t>10.</w:t>
            </w:r>
            <w:r>
              <w:rPr>
                <w:rFonts w:hint="eastAsia" w:ascii="宋体" w:hAnsi="宋体" w:eastAsia="宋体" w:cs="宋体"/>
                <w:sz w:val="24"/>
              </w:rPr>
              <w:tab/>
            </w:r>
            <w:r>
              <w:rPr>
                <w:rFonts w:hint="eastAsia" w:ascii="宋体" w:hAnsi="宋体" w:eastAsia="宋体" w:cs="宋体"/>
                <w:sz w:val="24"/>
              </w:rPr>
              <w:t>提供7*24小时技术支持或报修联系电话。 接到报修电话，故障响应时间小于等于30分钟，线路故障修复时间小于等于8小时。</w:t>
            </w:r>
          </w:p>
          <w:p w14:paraId="3B2008EB">
            <w:pPr>
              <w:rPr>
                <w:rFonts w:hint="eastAsia" w:ascii="宋体" w:hAnsi="宋体" w:eastAsia="宋体" w:cs="宋体"/>
                <w:sz w:val="24"/>
              </w:rPr>
            </w:pPr>
            <w:r>
              <w:rPr>
                <w:rFonts w:hint="eastAsia" w:ascii="宋体" w:hAnsi="宋体" w:eastAsia="宋体" w:cs="宋体"/>
                <w:sz w:val="24"/>
              </w:rPr>
              <w:t>11.</w:t>
            </w:r>
            <w:r>
              <w:rPr>
                <w:rFonts w:hint="eastAsia" w:ascii="宋体" w:hAnsi="宋体" w:eastAsia="宋体" w:cs="宋体"/>
                <w:sz w:val="24"/>
              </w:rPr>
              <w:tab/>
            </w:r>
            <w:r>
              <w:rPr>
                <w:rFonts w:hint="eastAsia" w:ascii="宋体" w:hAnsi="宋体" w:eastAsia="宋体" w:cs="宋体"/>
                <w:sz w:val="24"/>
              </w:rPr>
              <w:t>对于可预见的可能影响网络的割接，提前72小时通知客户。</w:t>
            </w:r>
          </w:p>
          <w:p w14:paraId="5C7DE716">
            <w:pPr>
              <w:spacing w:line="360" w:lineRule="auto"/>
              <w:rPr>
                <w:rFonts w:hint="eastAsia" w:ascii="宋体" w:hAnsi="宋体" w:eastAsia="宋体" w:cs="宋体"/>
                <w:sz w:val="24"/>
              </w:rPr>
            </w:pPr>
            <w:r>
              <w:rPr>
                <w:rFonts w:hint="eastAsia" w:ascii="宋体" w:hAnsi="宋体" w:eastAsia="宋体" w:cs="宋体"/>
                <w:sz w:val="24"/>
              </w:rPr>
              <w:t>12.</w:t>
            </w:r>
            <w:r>
              <w:rPr>
                <w:rFonts w:hint="eastAsia" w:ascii="宋体" w:hAnsi="宋体" w:eastAsia="宋体" w:cs="宋体"/>
                <w:sz w:val="24"/>
              </w:rPr>
              <w:tab/>
            </w:r>
            <w:r>
              <w:rPr>
                <w:rFonts w:hint="eastAsia" w:ascii="宋体" w:hAnsi="宋体" w:eastAsia="宋体" w:cs="宋体"/>
                <w:sz w:val="24"/>
              </w:rPr>
              <w:t>本次采购线路由本次中标运营商提供后续维护、服务等一站式服务</w:t>
            </w:r>
          </w:p>
        </w:tc>
      </w:tr>
      <w:tr w14:paraId="562B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BE399B2">
            <w:pPr>
              <w:spacing w:line="360" w:lineRule="auto"/>
              <w:rPr>
                <w:rFonts w:hint="eastAsia" w:ascii="宋体" w:hAnsi="宋体" w:eastAsia="宋体" w:cs="宋体"/>
                <w:sz w:val="24"/>
              </w:rPr>
            </w:pPr>
            <w:r>
              <w:rPr>
                <w:rFonts w:hint="eastAsia" w:ascii="宋体" w:hAnsi="宋体" w:eastAsia="宋体" w:cs="宋体"/>
                <w:sz w:val="24"/>
              </w:rPr>
              <w:t>6</w:t>
            </w:r>
          </w:p>
        </w:tc>
        <w:tc>
          <w:tcPr>
            <w:tcW w:w="1843" w:type="dxa"/>
          </w:tcPr>
          <w:p w14:paraId="358BFFEE">
            <w:pPr>
              <w:spacing w:line="360" w:lineRule="auto"/>
              <w:rPr>
                <w:rFonts w:hint="eastAsia" w:ascii="宋体" w:hAnsi="宋体" w:eastAsia="宋体" w:cs="宋体"/>
                <w:sz w:val="24"/>
              </w:rPr>
            </w:pPr>
            <w:r>
              <w:rPr>
                <w:rFonts w:hint="eastAsia" w:ascii="宋体" w:hAnsi="宋体" w:eastAsia="宋体" w:cs="宋体"/>
                <w:sz w:val="24"/>
              </w:rPr>
              <w:t>投标方服务承诺</w:t>
            </w:r>
          </w:p>
        </w:tc>
        <w:tc>
          <w:tcPr>
            <w:tcW w:w="5862" w:type="dxa"/>
          </w:tcPr>
          <w:p w14:paraId="56E62520">
            <w:pPr>
              <w:spacing w:line="360" w:lineRule="auto"/>
              <w:rPr>
                <w:rFonts w:hint="eastAsia" w:ascii="宋体" w:hAnsi="宋体" w:eastAsia="宋体" w:cs="宋体"/>
                <w:sz w:val="24"/>
              </w:rPr>
            </w:pPr>
            <w:r>
              <w:rPr>
                <w:rFonts w:hint="eastAsia" w:ascii="宋体" w:hAnsi="宋体" w:eastAsia="宋体" w:cs="宋体"/>
                <w:sz w:val="24"/>
              </w:rPr>
              <w:t>▲投标方需承诺：若中标后交付的平台无法满足本需求书任一核心指标（如显存、算力、并发能力），需在 15 个工作日内完成硬件升级或更换，产生的费用由投标方承担。</w:t>
            </w:r>
          </w:p>
        </w:tc>
      </w:tr>
    </w:tbl>
    <w:p w14:paraId="59D54EF2">
      <w:pPr>
        <w:spacing w:line="360" w:lineRule="auto"/>
        <w:ind w:firstLine="480" w:firstLineChars="200"/>
        <w:rPr>
          <w:rFonts w:hint="eastAsia" w:ascii="宋体" w:hAnsi="宋体" w:eastAsia="宋体" w:cs="宋体"/>
          <w:sz w:val="24"/>
        </w:rPr>
      </w:pPr>
    </w:p>
    <w:p w14:paraId="4F538617">
      <w:pPr>
        <w:widowControl/>
        <w:jc w:val="left"/>
        <w:rPr>
          <w:rFonts w:hint="eastAsia" w:ascii="宋体" w:hAnsi="宋体" w:eastAsia="宋体" w:cs="宋体"/>
          <w:sz w:val="24"/>
        </w:rPr>
      </w:pPr>
      <w:r>
        <w:rPr>
          <w:rFonts w:hint="eastAsia" w:ascii="宋体" w:hAnsi="宋体" w:eastAsia="宋体" w:cs="宋体"/>
          <w:sz w:val="24"/>
        </w:rPr>
        <w:br w:type="page"/>
      </w:r>
    </w:p>
    <w:p w14:paraId="422DD69C">
      <w:pPr>
        <w:spacing w:line="360" w:lineRule="auto"/>
        <w:ind w:firstLine="480" w:firstLineChars="200"/>
        <w:rPr>
          <w:rFonts w:hint="eastAsia" w:ascii="宋体" w:hAnsi="宋体" w:eastAsia="宋体" w:cs="宋体"/>
          <w:sz w:val="24"/>
        </w:rPr>
      </w:pPr>
    </w:p>
    <w:p w14:paraId="3E2F2B93">
      <w:pPr>
        <w:pStyle w:val="4"/>
        <w:numPr>
          <w:ilvl w:val="0"/>
          <w:numId w:val="9"/>
        </w:numPr>
        <w:tabs>
          <w:tab w:val="left" w:pos="567"/>
        </w:tabs>
        <w:adjustRightInd w:val="0"/>
        <w:snapToGrid w:val="0"/>
        <w:spacing w:before="0" w:after="0" w:line="360" w:lineRule="auto"/>
        <w:ind w:lef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履约考核</w:t>
      </w:r>
    </w:p>
    <w:p w14:paraId="544E7A98">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成交方在合同服务期限内被采购方认定有以下情况之一的，年度考核结果为不合格，否则视作年度考核合格：</w:t>
      </w:r>
    </w:p>
    <w:p w14:paraId="2B62ECB5">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（一）未按规定提供服务报告、日常监控报告和巡检报告；</w:t>
      </w:r>
    </w:p>
    <w:p w14:paraId="10723846">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（二）发生超过四次责任事故。</w:t>
      </w:r>
    </w:p>
    <w:p w14:paraId="6A94184F">
      <w:pPr>
        <w:pStyle w:val="4"/>
        <w:numPr>
          <w:ilvl w:val="0"/>
          <w:numId w:val="9"/>
        </w:numPr>
        <w:tabs>
          <w:tab w:val="left" w:pos="567"/>
        </w:tabs>
        <w:adjustRightInd w:val="0"/>
        <w:snapToGrid w:val="0"/>
        <w:spacing w:before="0" w:after="0" w:line="360" w:lineRule="auto"/>
        <w:ind w:lef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项目验收要求</w:t>
      </w:r>
    </w:p>
    <w:p w14:paraId="11B731DE">
      <w:pPr>
        <w:spacing w:line="360" w:lineRule="auto"/>
        <w:ind w:firstLine="480" w:firstLineChars="200"/>
        <w:rPr>
          <w:rFonts w:hint="eastAsia" w:ascii="宋体" w:hAnsi="宋体" w:eastAsia="宋体" w:cs="宋体"/>
          <w:sz w:val="24"/>
        </w:rPr>
      </w:pPr>
      <w:r>
        <w:rPr>
          <w:rFonts w:hint="eastAsia" w:ascii="宋体" w:hAnsi="宋体" w:eastAsia="宋体" w:cs="宋体"/>
          <w:sz w:val="24"/>
        </w:rPr>
        <w:t>成交方完成合同服务期限内规定的服务事项，向采购方提出验收申请，并提供如下文件：</w:t>
      </w:r>
    </w:p>
    <w:p w14:paraId="2DBDA5BC">
      <w:pPr>
        <w:spacing w:line="360" w:lineRule="auto"/>
        <w:ind w:firstLine="480" w:firstLineChars="200"/>
        <w:rPr>
          <w:rFonts w:hint="eastAsia" w:ascii="宋体" w:hAnsi="宋体" w:eastAsia="宋体" w:cs="宋体"/>
          <w:sz w:val="24"/>
        </w:rPr>
      </w:pPr>
      <w:r>
        <w:rPr>
          <w:rFonts w:hint="eastAsia" w:ascii="宋体" w:hAnsi="宋体" w:eastAsia="宋体" w:cs="宋体"/>
          <w:sz w:val="24"/>
        </w:rPr>
        <w:t>（一）服务报告；</w:t>
      </w:r>
    </w:p>
    <w:p w14:paraId="184AB5EA">
      <w:pPr>
        <w:spacing w:line="360" w:lineRule="auto"/>
        <w:ind w:firstLine="480" w:firstLineChars="200"/>
        <w:rPr>
          <w:rFonts w:hint="eastAsia" w:ascii="宋体" w:hAnsi="宋体" w:eastAsia="宋体" w:cs="宋体"/>
          <w:sz w:val="24"/>
        </w:rPr>
      </w:pPr>
      <w:r>
        <w:rPr>
          <w:rFonts w:hint="eastAsia" w:ascii="宋体" w:hAnsi="宋体" w:eastAsia="宋体" w:cs="宋体"/>
          <w:sz w:val="24"/>
        </w:rPr>
        <w:t>（二）日常监控报告；</w:t>
      </w:r>
    </w:p>
    <w:p w14:paraId="14D237EE">
      <w:pPr>
        <w:spacing w:line="360" w:lineRule="auto"/>
        <w:ind w:firstLine="480" w:firstLineChars="200"/>
        <w:rPr>
          <w:rFonts w:hint="eastAsia" w:ascii="宋体" w:hAnsi="宋体" w:eastAsia="宋体" w:cs="宋体"/>
          <w:sz w:val="24"/>
        </w:rPr>
      </w:pPr>
      <w:r>
        <w:rPr>
          <w:rFonts w:hint="eastAsia" w:ascii="宋体" w:hAnsi="宋体" w:eastAsia="宋体" w:cs="宋体"/>
          <w:sz w:val="24"/>
        </w:rPr>
        <w:t>（三）日常巡检报告；</w:t>
      </w:r>
    </w:p>
    <w:p w14:paraId="2510055E">
      <w:pPr>
        <w:ind w:firstLine="720" w:firstLineChars="300"/>
        <w:rPr>
          <w:rFonts w:hint="eastAsia" w:ascii="宋体" w:hAnsi="宋体" w:eastAsia="宋体" w:cs="宋体"/>
          <w:sz w:val="24"/>
        </w:rPr>
      </w:pPr>
      <w:r>
        <w:rPr>
          <w:rFonts w:hint="eastAsia" w:ascii="宋体" w:hAnsi="宋体" w:eastAsia="宋体" w:cs="宋体"/>
          <w:sz w:val="24"/>
        </w:rPr>
        <w:t>由采购人组织验收并出具服务验收单或验收报告。</w:t>
      </w:r>
    </w:p>
    <w:p w14:paraId="5827DA7F">
      <w:pPr>
        <w:rPr>
          <w:rFonts w:hint="eastAsia" w:ascii="宋体" w:hAnsi="宋体" w:eastAsia="宋体" w:cs="宋体"/>
          <w:sz w:val="24"/>
        </w:rPr>
      </w:pPr>
    </w:p>
    <w:p w14:paraId="0C859198">
      <w:pPr>
        <w:spacing w:line="360" w:lineRule="auto"/>
        <w:rPr>
          <w:rFonts w:hint="eastAsia" w:ascii="宋体" w:hAnsi="宋体" w:eastAsia="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ongti SC">
    <w:altName w:val="宋体"/>
    <w:panose1 w:val="00000000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68594"/>
    <w:multiLevelType w:val="multilevel"/>
    <w:tmpl w:val="8AA68594"/>
    <w:lvl w:ilvl="0" w:tentative="0">
      <w:start w:val="1"/>
      <w:numFmt w:val="decimal"/>
      <w:lvlText w:val="%1."/>
      <w:lvlJc w:val="left"/>
      <w:pPr>
        <w:ind w:left="425" w:hanging="425"/>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9583A3A3"/>
    <w:multiLevelType w:val="singleLevel"/>
    <w:tmpl w:val="9583A3A3"/>
    <w:lvl w:ilvl="0" w:tentative="0">
      <w:start w:val="1"/>
      <w:numFmt w:val="decimal"/>
      <w:lvlText w:val="%1)"/>
      <w:lvlJc w:val="left"/>
      <w:pPr>
        <w:ind w:left="425" w:hanging="425"/>
      </w:pPr>
      <w:rPr>
        <w:rFonts w:hint="default"/>
      </w:rPr>
    </w:lvl>
  </w:abstractNum>
  <w:abstractNum w:abstractNumId="2">
    <w:nsid w:val="A81B04A0"/>
    <w:multiLevelType w:val="singleLevel"/>
    <w:tmpl w:val="A81B04A0"/>
    <w:lvl w:ilvl="0" w:tentative="0">
      <w:start w:val="1"/>
      <w:numFmt w:val="bullet"/>
      <w:lvlText w:val=""/>
      <w:lvlJc w:val="left"/>
      <w:pPr>
        <w:ind w:left="420" w:hanging="420"/>
      </w:pPr>
      <w:rPr>
        <w:rFonts w:hint="default" w:ascii="Wingdings" w:hAnsi="Wingdings"/>
      </w:rPr>
    </w:lvl>
  </w:abstractNum>
  <w:abstractNum w:abstractNumId="3">
    <w:nsid w:val="F4789448"/>
    <w:multiLevelType w:val="singleLevel"/>
    <w:tmpl w:val="F4789448"/>
    <w:lvl w:ilvl="0" w:tentative="0">
      <w:start w:val="1"/>
      <w:numFmt w:val="decimal"/>
      <w:lvlText w:val="%1)"/>
      <w:lvlJc w:val="left"/>
      <w:pPr>
        <w:ind w:left="425" w:hanging="425"/>
      </w:pPr>
      <w:rPr>
        <w:rFonts w:hint="default"/>
      </w:rPr>
    </w:lvl>
  </w:abstractNum>
  <w:abstractNum w:abstractNumId="4">
    <w:nsid w:val="07394C7D"/>
    <w:multiLevelType w:val="multilevel"/>
    <w:tmpl w:val="07394C7D"/>
    <w:lvl w:ilvl="0" w:tentative="0">
      <w:start w:val="1"/>
      <w:numFmt w:val="japaneseCounting"/>
      <w:lvlText w:val="%1、"/>
      <w:lvlJc w:val="left"/>
      <w:pPr>
        <w:ind w:left="720" w:hanging="720"/>
      </w:pPr>
      <w:rPr>
        <w:rFonts w:hint="default"/>
        <w:b/>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BDF614E"/>
    <w:multiLevelType w:val="singleLevel"/>
    <w:tmpl w:val="1BDF614E"/>
    <w:lvl w:ilvl="0" w:tentative="0">
      <w:start w:val="1"/>
      <w:numFmt w:val="decimal"/>
      <w:lvlText w:val="%1)"/>
      <w:lvlJc w:val="left"/>
      <w:pPr>
        <w:ind w:left="425" w:hanging="425"/>
      </w:pPr>
      <w:rPr>
        <w:rFonts w:hint="default"/>
      </w:rPr>
    </w:lvl>
  </w:abstractNum>
  <w:abstractNum w:abstractNumId="6">
    <w:nsid w:val="2FF88144"/>
    <w:multiLevelType w:val="singleLevel"/>
    <w:tmpl w:val="2FF88144"/>
    <w:lvl w:ilvl="0" w:tentative="0">
      <w:start w:val="1"/>
      <w:numFmt w:val="decimal"/>
      <w:lvlText w:val="%1)"/>
      <w:lvlJc w:val="left"/>
      <w:pPr>
        <w:ind w:left="425" w:hanging="425"/>
      </w:pPr>
      <w:rPr>
        <w:rFonts w:hint="default"/>
      </w:rPr>
    </w:lvl>
  </w:abstractNum>
  <w:abstractNum w:abstractNumId="7">
    <w:nsid w:val="3A2D5D59"/>
    <w:multiLevelType w:val="singleLevel"/>
    <w:tmpl w:val="3A2D5D59"/>
    <w:lvl w:ilvl="0" w:tentative="0">
      <w:start w:val="1"/>
      <w:numFmt w:val="decimal"/>
      <w:lvlText w:val="%1)"/>
      <w:lvlJc w:val="left"/>
      <w:pPr>
        <w:ind w:left="425" w:hanging="425"/>
      </w:pPr>
      <w:rPr>
        <w:rFonts w:hint="default"/>
      </w:rPr>
    </w:lvl>
  </w:abstractNum>
  <w:abstractNum w:abstractNumId="8">
    <w:nsid w:val="74D45F6F"/>
    <w:multiLevelType w:val="singleLevel"/>
    <w:tmpl w:val="74D45F6F"/>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7"/>
  </w:num>
  <w:num w:numId="4">
    <w:abstractNumId w:val="8"/>
  </w:num>
  <w:num w:numId="5">
    <w:abstractNumId w:val="1"/>
  </w:num>
  <w:num w:numId="6">
    <w:abstractNumId w:val="5"/>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kY2UwZWZhZmI5ZDI3MWNhYWQ5NjVhMTQ1YTg5NTcifQ=="/>
  </w:docVars>
  <w:rsids>
    <w:rsidRoot w:val="07D77271"/>
    <w:rsid w:val="0002541E"/>
    <w:rsid w:val="00243AD4"/>
    <w:rsid w:val="00443398"/>
    <w:rsid w:val="00603DB2"/>
    <w:rsid w:val="00640373"/>
    <w:rsid w:val="00647C83"/>
    <w:rsid w:val="006F6B19"/>
    <w:rsid w:val="00702629"/>
    <w:rsid w:val="007932BB"/>
    <w:rsid w:val="00897F38"/>
    <w:rsid w:val="008C0B2A"/>
    <w:rsid w:val="00AE39E2"/>
    <w:rsid w:val="00BF0BA9"/>
    <w:rsid w:val="00C3402C"/>
    <w:rsid w:val="00D470C0"/>
    <w:rsid w:val="00E8512F"/>
    <w:rsid w:val="024B52AA"/>
    <w:rsid w:val="02E364B1"/>
    <w:rsid w:val="03527995"/>
    <w:rsid w:val="039525AB"/>
    <w:rsid w:val="03E2554B"/>
    <w:rsid w:val="07D77271"/>
    <w:rsid w:val="0C0436EE"/>
    <w:rsid w:val="0EC211BA"/>
    <w:rsid w:val="1311716A"/>
    <w:rsid w:val="133A3813"/>
    <w:rsid w:val="144C6560"/>
    <w:rsid w:val="163A02DF"/>
    <w:rsid w:val="19D1337E"/>
    <w:rsid w:val="1D1D719C"/>
    <w:rsid w:val="21B17ECA"/>
    <w:rsid w:val="21B53E47"/>
    <w:rsid w:val="21F74B73"/>
    <w:rsid w:val="23F61108"/>
    <w:rsid w:val="249062F7"/>
    <w:rsid w:val="284179C1"/>
    <w:rsid w:val="2A5D1F68"/>
    <w:rsid w:val="2B7344E4"/>
    <w:rsid w:val="2F0E4046"/>
    <w:rsid w:val="334F73CE"/>
    <w:rsid w:val="34A02734"/>
    <w:rsid w:val="34A57FC6"/>
    <w:rsid w:val="3A1B481C"/>
    <w:rsid w:val="3B2E12D2"/>
    <w:rsid w:val="3B8701AA"/>
    <w:rsid w:val="3C213037"/>
    <w:rsid w:val="3C292E49"/>
    <w:rsid w:val="4205376B"/>
    <w:rsid w:val="4287450D"/>
    <w:rsid w:val="43183425"/>
    <w:rsid w:val="4555504E"/>
    <w:rsid w:val="4B5A5F14"/>
    <w:rsid w:val="4B820FBE"/>
    <w:rsid w:val="4E41535F"/>
    <w:rsid w:val="4E4837C9"/>
    <w:rsid w:val="514544E5"/>
    <w:rsid w:val="52BD2537"/>
    <w:rsid w:val="541524E7"/>
    <w:rsid w:val="579728A1"/>
    <w:rsid w:val="587F1750"/>
    <w:rsid w:val="5BB56F65"/>
    <w:rsid w:val="5CE32FA3"/>
    <w:rsid w:val="607A6B8A"/>
    <w:rsid w:val="60D27FCB"/>
    <w:rsid w:val="63C14B28"/>
    <w:rsid w:val="65754084"/>
    <w:rsid w:val="6A1E27E4"/>
    <w:rsid w:val="6CFB611E"/>
    <w:rsid w:val="6E4B4EE4"/>
    <w:rsid w:val="7499095B"/>
    <w:rsid w:val="752E2DEC"/>
    <w:rsid w:val="775D39A2"/>
    <w:rsid w:val="783971BF"/>
    <w:rsid w:val="7B3D4295"/>
    <w:rsid w:val="7CBB3234"/>
    <w:rsid w:val="7D5B587B"/>
    <w:rsid w:val="7D6C2781"/>
    <w:rsid w:val="7E3F5E51"/>
    <w:rsid w:val="7FAB5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黑体" w:hAnsi="黑体" w:eastAsia="黑体" w:cstheme="majorBidi"/>
      <w:b/>
      <w:bCs/>
      <w:sz w:val="32"/>
      <w:szCs w:val="32"/>
    </w:rPr>
  </w:style>
  <w:style w:type="paragraph" w:styleId="4">
    <w:name w:val="heading 3"/>
    <w:basedOn w:val="1"/>
    <w:next w:val="1"/>
    <w:autoRedefine/>
    <w:unhideWhenUsed/>
    <w:qFormat/>
    <w:uiPriority w:val="9"/>
    <w:pPr>
      <w:keepNext/>
      <w:keepLines/>
      <w:spacing w:before="260" w:after="260" w:line="416" w:lineRule="auto"/>
      <w:outlineLvl w:val="2"/>
    </w:pPr>
    <w:rPr>
      <w:rFonts w:ascii="黑体" w:hAnsi="黑体" w:eastAsia="黑体"/>
      <w:b/>
      <w:bCs/>
      <w:sz w:val="28"/>
      <w:szCs w:val="32"/>
    </w:rPr>
  </w:style>
  <w:style w:type="paragraph" w:styleId="5">
    <w:name w:val="heading 4"/>
    <w:basedOn w:val="1"/>
    <w:next w:val="6"/>
    <w:unhideWhenUsed/>
    <w:qFormat/>
    <w:uiPriority w:val="9"/>
    <w:pPr>
      <w:keepNext/>
      <w:keepLines/>
      <w:spacing w:before="280" w:after="290" w:line="376" w:lineRule="auto"/>
      <w:outlineLvl w:val="3"/>
    </w:pPr>
    <w:rPr>
      <w:rFonts w:ascii="Arial" w:hAnsi="Arial" w:eastAsia="黑体"/>
      <w:b/>
      <w:bCs/>
      <w:szCs w:val="28"/>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6">
    <w:name w:val="Normal Indent"/>
    <w:basedOn w:val="1"/>
    <w:autoRedefine/>
    <w:unhideWhenUsed/>
    <w:qFormat/>
    <w:uiPriority w:val="99"/>
    <w:pPr>
      <w:ind w:firstLine="420" w:firstLineChars="200"/>
    </w:pPr>
  </w:style>
  <w:style w:type="paragraph" w:styleId="7">
    <w:name w:val="Body Text"/>
    <w:basedOn w:val="1"/>
    <w:next w:val="1"/>
    <w:autoRedefine/>
    <w:unhideWhenUsed/>
    <w:qFormat/>
    <w:uiPriority w:val="99"/>
    <w:pPr>
      <w:spacing w:before="100" w:beforeAutospacing="1"/>
    </w:pPr>
    <w:rPr>
      <w:rFonts w:ascii="Calibri" w:hAnsi="Calibri" w:cs="Times New Roman"/>
    </w:rPr>
  </w:style>
  <w:style w:type="paragraph" w:styleId="8">
    <w:name w:val="Balloon Text"/>
    <w:basedOn w:val="1"/>
    <w:link w:val="19"/>
    <w:qFormat/>
    <w:uiPriority w:val="0"/>
    <w:rPr>
      <w:sz w:val="18"/>
      <w:szCs w:val="18"/>
    </w:rPr>
  </w:style>
  <w:style w:type="paragraph" w:styleId="9">
    <w:name w:val="footer"/>
    <w:basedOn w:val="1"/>
    <w:link w:val="18"/>
    <w:autoRedefine/>
    <w:qFormat/>
    <w:uiPriority w:val="0"/>
    <w:pPr>
      <w:tabs>
        <w:tab w:val="center" w:pos="4153"/>
        <w:tab w:val="right" w:pos="8306"/>
      </w:tabs>
      <w:snapToGrid w:val="0"/>
      <w:jc w:val="left"/>
    </w:pPr>
    <w:rPr>
      <w:sz w:val="18"/>
      <w:szCs w:val="18"/>
    </w:rPr>
  </w:style>
  <w:style w:type="paragraph" w:styleId="10">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0"/>
    <w:pPr>
      <w:widowControl/>
      <w:spacing w:after="150"/>
      <w:jc w:val="left"/>
    </w:pPr>
    <w:rPr>
      <w:rFonts w:ascii="宋体" w:hAnsi="宋体" w:cs="宋体"/>
      <w:kern w:val="0"/>
      <w:sz w:val="24"/>
    </w:rPr>
  </w:style>
  <w:style w:type="paragraph" w:styleId="12">
    <w:name w:val="Body Text First Indent"/>
    <w:basedOn w:val="7"/>
    <w:autoRedefine/>
    <w:qFormat/>
    <w:uiPriority w:val="0"/>
    <w:pPr>
      <w:ind w:firstLine="425"/>
      <w:textAlignment w:val="baseline"/>
    </w:pPr>
  </w:style>
  <w:style w:type="table" w:styleId="14">
    <w:name w:val="Table Grid"/>
    <w:basedOn w:val="1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List Paragraph"/>
    <w:basedOn w:val="1"/>
    <w:qFormat/>
    <w:uiPriority w:val="34"/>
    <w:pPr>
      <w:ind w:firstLine="200" w:firstLineChars="200"/>
    </w:pPr>
  </w:style>
  <w:style w:type="character" w:customStyle="1" w:styleId="17">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18">
    <w:name w:val="页脚 字符"/>
    <w:basedOn w:val="15"/>
    <w:link w:val="9"/>
    <w:qFormat/>
    <w:uiPriority w:val="0"/>
    <w:rPr>
      <w:rFonts w:asciiTheme="minorHAnsi" w:hAnsiTheme="minorHAnsi" w:eastAsiaTheme="minorEastAsia" w:cstheme="minorBidi"/>
      <w:kern w:val="2"/>
      <w:sz w:val="18"/>
      <w:szCs w:val="18"/>
    </w:rPr>
  </w:style>
  <w:style w:type="character" w:customStyle="1" w:styleId="19">
    <w:name w:val="批注框文本 字符"/>
    <w:basedOn w:val="15"/>
    <w:link w:val="8"/>
    <w:qFormat/>
    <w:uiPriority w:val="0"/>
    <w:rPr>
      <w:rFonts w:asciiTheme="minorHAnsi" w:hAnsiTheme="minorHAnsi" w:eastAsiaTheme="minorEastAsia" w:cstheme="minorBidi"/>
      <w:kern w:val="2"/>
      <w:sz w:val="18"/>
      <w:szCs w:val="18"/>
    </w:rPr>
  </w:style>
  <w:style w:type="paragraph" w:customStyle="1" w:styleId="20">
    <w:name w:val="HPC正文"/>
    <w:basedOn w:val="1"/>
    <w:qFormat/>
    <w:uiPriority w:val="0"/>
    <w:pPr>
      <w:spacing w:line="360" w:lineRule="auto"/>
      <w:ind w:firstLine="420" w:firstLineChars="200"/>
    </w:pPr>
    <w:rPr>
      <w:rFonts w:ascii="Arial" w:hAnsi="Arial" w:eastAsia="Songti SC" w:cs="Arial"/>
      <w:sz w:val="24"/>
      <w:szCs w:val="28"/>
    </w:rPr>
  </w:style>
  <w:style w:type="paragraph" w:customStyle="1" w:styleId="21">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FCCFDC-5D5E-41E8-8F7D-2BB331AACEF2}">
  <ds:schemaRefs/>
</ds:datastoreItem>
</file>

<file path=docProps/app.xml><?xml version="1.0" encoding="utf-8"?>
<Properties xmlns="http://schemas.openxmlformats.org/officeDocument/2006/extended-properties" xmlns:vt="http://schemas.openxmlformats.org/officeDocument/2006/docPropsVTypes">
  <Template>Normal.dotm</Template>
  <Company>上海大学</Company>
  <Pages>7</Pages>
  <Words>4418</Words>
  <Characters>4845</Characters>
  <Lines>126</Lines>
  <Paragraphs>124</Paragraphs>
  <TotalTime>51</TotalTime>
  <ScaleCrop>false</ScaleCrop>
  <LinksUpToDate>false</LinksUpToDate>
  <CharactersWithSpaces>4959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2019-07-26T05:01:00Z</dcterms:created>
  <dc:creator>Administrator</dc:creator>
  <cp:lastModifiedBy>晋一民</cp:lastModifiedBy>
  <dcterms:modified xsi:type="dcterms:W3CDTF">2025-10-31T02:55:13Z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650FC357E1234E3FA34C09BF30B3B6D7_13</vt:lpwstr>
  </property>
  <property fmtid="{D5CDD505-2E9C-101B-9397-08002B2CF9AE}" pid="4" name="KSOTemplateDocerSaveRecord">
    <vt:lpwstr>eyJoZGlkIjoiNGM3MmY0OTNjM2FiYjM2YjE2NGRhZTljZmIyMTQyNWMiLCJ1c2VySWQiOiIxNjQzMTc3ODEwIn0=</vt:lpwstr>
  </property>
</Properties>
</file>