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9064EB3">
      <w:pPr>
        <w:pStyle w:val="8"/>
        <w:spacing w:before="313" w:line="360" w:lineRule="auto"/>
        <w:ind w:left="40"/>
        <w:jc w:val="center"/>
        <w:rPr>
          <w:rFonts w:hint="eastAsia"/>
          <w:b/>
          <w:bCs/>
          <w:color w:val="auto"/>
          <w:spacing w:val="12"/>
          <w:sz w:val="32"/>
          <w:szCs w:val="32"/>
          <w:lang w:eastAsia="zh-CN"/>
        </w:rPr>
      </w:pPr>
      <w:r>
        <w:rPr>
          <w:rFonts w:hint="eastAsia"/>
          <w:b/>
          <w:bCs/>
          <w:color w:val="auto"/>
          <w:spacing w:val="12"/>
          <w:sz w:val="32"/>
          <w:szCs w:val="32"/>
          <w:lang w:eastAsia="zh-CN"/>
        </w:rPr>
        <w:t>家具采购需求标准</w:t>
      </w:r>
    </w:p>
    <w:p w14:paraId="49D02DE1">
      <w:pPr>
        <w:pStyle w:val="8"/>
        <w:spacing w:before="313" w:line="360" w:lineRule="auto"/>
        <w:ind w:left="40" w:firstLine="470" w:firstLineChars="200"/>
        <w:rPr>
          <w:rFonts w:hint="eastAsia"/>
          <w:b/>
          <w:bCs/>
          <w:color w:val="auto"/>
          <w:sz w:val="21"/>
          <w:szCs w:val="21"/>
          <w:lang w:eastAsia="zh-CN"/>
        </w:rPr>
      </w:pPr>
      <w:r>
        <w:rPr>
          <w:rFonts w:hint="eastAsia"/>
          <w:b/>
          <w:bCs/>
          <w:color w:val="auto"/>
          <w:spacing w:val="12"/>
          <w:sz w:val="21"/>
          <w:szCs w:val="21"/>
          <w:lang w:eastAsia="zh-CN"/>
        </w:rPr>
        <w:t>一、项目背景</w:t>
      </w:r>
    </w:p>
    <w:p w14:paraId="239CC78A">
      <w:pPr>
        <w:pStyle w:val="8"/>
        <w:spacing w:before="44" w:line="360" w:lineRule="auto"/>
        <w:ind w:left="50" w:firstLine="420" w:firstLineChars="200"/>
        <w:jc w:val="both"/>
        <w:rPr>
          <w:rFonts w:hint="eastAsia"/>
          <w:color w:val="auto"/>
          <w:sz w:val="21"/>
          <w:szCs w:val="21"/>
          <w:lang w:eastAsia="zh-CN"/>
        </w:rPr>
      </w:pPr>
      <w:r>
        <w:rPr>
          <w:rFonts w:hint="eastAsia"/>
          <w:color w:val="auto"/>
          <w:sz w:val="21"/>
          <w:szCs w:val="21"/>
          <w:lang w:eastAsia="zh-CN"/>
        </w:rPr>
        <w:t>作为满足医疗需求与提升医院实力：上海交通大学医学院附属第九人民医院作为国家口腔医学中心和国家口腔疾病临床医学研究中心依托建设单位，承担着疑难危重病诊断与治疗、医学科学关键技术攻关等职能。祝桥院区的建设是为了提高九院在医、管、研、教、转方面整体实力和优势，打造专科特色鲜明的三级甲等综合医院，以更好地服务广大患者和推动医疗事业的发展。</w:t>
      </w:r>
    </w:p>
    <w:p w14:paraId="3C30EECC">
      <w:pPr>
        <w:pStyle w:val="8"/>
        <w:spacing w:before="44" w:line="360" w:lineRule="auto"/>
        <w:ind w:left="50" w:firstLine="420" w:firstLineChars="200"/>
        <w:jc w:val="both"/>
        <w:rPr>
          <w:rFonts w:hint="eastAsia"/>
          <w:color w:val="auto"/>
          <w:sz w:val="21"/>
          <w:szCs w:val="21"/>
          <w:lang w:eastAsia="zh-CN"/>
        </w:rPr>
      </w:pPr>
      <w:r>
        <w:rPr>
          <w:rFonts w:hint="eastAsia"/>
          <w:color w:val="auto"/>
          <w:sz w:val="21"/>
          <w:szCs w:val="21"/>
          <w:lang w:eastAsia="zh-CN"/>
        </w:rPr>
        <w:t>服务长三角地区：祝桥院区位于上海市浦东新区祝桥镇，其建设立足服务长三角，通过区位优势，能为长三角百姓提供便捷的高质量医疗服务，同时带动长三角医疗健康产业发展。</w:t>
      </w:r>
    </w:p>
    <w:p w14:paraId="1190667A">
      <w:pPr>
        <w:pStyle w:val="8"/>
        <w:spacing w:before="44" w:line="360" w:lineRule="auto"/>
        <w:ind w:left="50" w:firstLine="420" w:firstLineChars="200"/>
        <w:jc w:val="both"/>
        <w:rPr>
          <w:rFonts w:hint="eastAsia"/>
          <w:color w:val="auto"/>
          <w:sz w:val="21"/>
          <w:szCs w:val="21"/>
          <w:lang w:eastAsia="zh-CN"/>
        </w:rPr>
      </w:pPr>
      <w:r>
        <w:rPr>
          <w:rFonts w:hint="eastAsia"/>
          <w:color w:val="auto"/>
          <w:sz w:val="21"/>
          <w:szCs w:val="21"/>
          <w:lang w:eastAsia="zh-CN"/>
        </w:rPr>
        <w:t>优化医院布局：祝桥院区项目落地后，九院将形成 “一院三区” 的格局。其中南部院区将形成整形外科及相关头颈部学科为特色的医教研综合性院区；北部院区将形成区域性综合医疗中心；东部院区（祝桥院区）将按照 “专科 + 综合” 模式，形成以国家口腔医学中心、国家口腔疾病临床医学研究中心为特色的医、教、研、管、转综合性院区，是全院科研教学基地。</w:t>
      </w:r>
    </w:p>
    <w:p w14:paraId="0AE3275B">
      <w:pPr>
        <w:pStyle w:val="8"/>
        <w:spacing w:before="44" w:line="360" w:lineRule="auto"/>
        <w:ind w:left="50" w:firstLine="420" w:firstLineChars="200"/>
        <w:jc w:val="both"/>
        <w:rPr>
          <w:rFonts w:hint="eastAsia"/>
          <w:color w:val="auto"/>
          <w:sz w:val="21"/>
          <w:szCs w:val="21"/>
          <w:lang w:eastAsia="zh-CN"/>
        </w:rPr>
      </w:pPr>
      <w:r>
        <w:rPr>
          <w:rFonts w:hint="eastAsia"/>
          <w:color w:val="auto"/>
          <w:sz w:val="21"/>
          <w:szCs w:val="21"/>
          <w:lang w:eastAsia="zh-CN"/>
        </w:rPr>
        <w:t>推动产业联动：九院祝桥院区将利用祝桥的地理优势，与自贸区的医药、医疗器械企业积聚效应形成良性联动模式，推动上海生物医药、医疗器械产业发展。</w:t>
      </w:r>
    </w:p>
    <w:p w14:paraId="5DEA6D76">
      <w:pPr>
        <w:pStyle w:val="8"/>
        <w:spacing w:before="313" w:line="360" w:lineRule="auto"/>
        <w:ind w:left="40" w:firstLine="470" w:firstLineChars="200"/>
        <w:rPr>
          <w:rFonts w:hint="eastAsia" w:ascii="宋体" w:hAnsi="宋体" w:eastAsia="宋体" w:cs="宋体"/>
          <w:b/>
          <w:bCs/>
          <w:color w:val="auto"/>
          <w:spacing w:val="12"/>
          <w:sz w:val="21"/>
          <w:szCs w:val="21"/>
          <w:lang w:eastAsia="zh-CN"/>
        </w:rPr>
      </w:pPr>
      <w:r>
        <w:rPr>
          <w:rFonts w:hint="eastAsia" w:ascii="宋体" w:hAnsi="宋体" w:eastAsia="宋体" w:cs="宋体"/>
          <w:b/>
          <w:bCs/>
          <w:color w:val="auto"/>
          <w:spacing w:val="12"/>
          <w:sz w:val="21"/>
          <w:szCs w:val="21"/>
          <w:lang w:eastAsia="zh-CN"/>
        </w:rPr>
        <w:t>二、空间设计</w:t>
      </w:r>
    </w:p>
    <w:p w14:paraId="2A95C483">
      <w:pPr>
        <w:numPr>
          <w:ilvl w:val="0"/>
          <w:numId w:val="0"/>
        </w:numPr>
        <w:ind w:firstLine="420"/>
        <w:rPr>
          <w:rFonts w:hint="eastAsia"/>
          <w:color w:val="auto"/>
          <w:lang w:val="en-US" w:eastAsia="zh-CN"/>
        </w:rPr>
      </w:pPr>
      <w:r>
        <w:rPr>
          <w:rFonts w:hint="eastAsia"/>
          <w:color w:val="auto"/>
          <w:lang w:val="en-US" w:eastAsia="zh-CN"/>
        </w:rPr>
        <w:t>1、餐厅</w:t>
      </w:r>
    </w:p>
    <w:p w14:paraId="0AF5EA2D">
      <w:pPr>
        <w:numPr>
          <w:ilvl w:val="0"/>
          <w:numId w:val="0"/>
        </w:numPr>
        <w:ind w:firstLine="420"/>
        <w:jc w:val="center"/>
        <w:rPr>
          <w:color w:val="auto"/>
        </w:rPr>
      </w:pPr>
      <w:r>
        <w:rPr>
          <w:color w:val="auto"/>
        </w:rPr>
        <w:drawing>
          <wp:inline distT="0" distB="0" distL="114300" distR="114300">
            <wp:extent cx="7555865" cy="8636000"/>
            <wp:effectExtent l="0" t="0" r="0" b="0"/>
            <wp:docPr id="1" name="图片 1" descr="地下一层总图 02-10-101-00 (1)_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地下一层总图 02-10-101-00 (1)_01(2)"/>
                    <pic:cNvPicPr>
                      <a:picLocks noChangeAspect="1"/>
                    </pic:cNvPicPr>
                  </pic:nvPicPr>
                  <pic:blipFill>
                    <a:blip r:embed="rId5"/>
                    <a:srcRect t="9459" b="9786"/>
                    <a:stretch>
                      <a:fillRect/>
                    </a:stretch>
                  </pic:blipFill>
                  <pic:spPr>
                    <a:xfrm>
                      <a:off x="0" y="0"/>
                      <a:ext cx="7555865" cy="8636000"/>
                    </a:xfrm>
                    <a:prstGeom prst="rect">
                      <a:avLst/>
                    </a:prstGeom>
                  </pic:spPr>
                </pic:pic>
              </a:graphicData>
            </a:graphic>
          </wp:inline>
        </w:drawing>
      </w:r>
    </w:p>
    <w:p w14:paraId="62E03FF5">
      <w:pPr>
        <w:numPr>
          <w:ilvl w:val="-1"/>
          <w:numId w:val="0"/>
        </w:numPr>
        <w:ind w:firstLine="0"/>
        <w:jc w:val="left"/>
        <w:rPr>
          <w:color w:val="auto"/>
        </w:rPr>
      </w:pPr>
      <w:r>
        <w:rPr>
          <w:color w:val="auto"/>
        </w:rPr>
        <w:br w:type="page"/>
      </w:r>
    </w:p>
    <w:p w14:paraId="5A501F1D">
      <w:pPr>
        <w:numPr>
          <w:ilvl w:val="0"/>
          <w:numId w:val="0"/>
        </w:numPr>
        <w:ind w:firstLine="420"/>
        <w:jc w:val="center"/>
        <w:rPr>
          <w:color w:val="auto"/>
        </w:rPr>
      </w:pPr>
    </w:p>
    <w:p w14:paraId="0C099516">
      <w:pPr>
        <w:numPr>
          <w:ilvl w:val="0"/>
          <w:numId w:val="0"/>
        </w:numPr>
        <w:ind w:firstLine="420"/>
        <w:rPr>
          <w:rFonts w:hint="eastAsia"/>
          <w:color w:val="auto"/>
          <w:lang w:val="en-US" w:eastAsia="zh-CN"/>
        </w:rPr>
      </w:pPr>
      <w:r>
        <w:rPr>
          <w:rFonts w:hint="eastAsia"/>
          <w:color w:val="auto"/>
          <w:lang w:val="en-US" w:eastAsia="zh-CN"/>
        </w:rPr>
        <w:t>2、标准层护理单元（包含护士站，病房，茶水间，污洗间）区域</w:t>
      </w:r>
    </w:p>
    <w:p w14:paraId="337446DB">
      <w:pPr>
        <w:numPr>
          <w:ilvl w:val="0"/>
          <w:numId w:val="0"/>
        </w:numPr>
        <w:ind w:firstLine="420"/>
        <w:jc w:val="center"/>
        <w:rPr>
          <w:color w:val="auto"/>
        </w:rPr>
      </w:pPr>
      <w:r>
        <w:rPr>
          <w:color w:val="auto"/>
        </w:rPr>
        <w:drawing>
          <wp:inline distT="0" distB="0" distL="114300" distR="114300">
            <wp:extent cx="5855335" cy="2651760"/>
            <wp:effectExtent l="9525" t="9525" r="21590" b="24765"/>
            <wp:docPr id="4" name="图片 4" descr="地下一层总图 02-10-101-00 (1)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地下一层总图 02-10-101-00 (1)_02"/>
                    <pic:cNvPicPr>
                      <a:picLocks noChangeAspect="1"/>
                    </pic:cNvPicPr>
                  </pic:nvPicPr>
                  <pic:blipFill>
                    <a:blip r:embed="rId6"/>
                    <a:srcRect l="47455" t="38616" r="28692" b="46106"/>
                    <a:stretch>
                      <a:fillRect/>
                    </a:stretch>
                  </pic:blipFill>
                  <pic:spPr>
                    <a:xfrm>
                      <a:off x="0" y="0"/>
                      <a:ext cx="5855335" cy="2651760"/>
                    </a:xfrm>
                    <a:prstGeom prst="rect">
                      <a:avLst/>
                    </a:prstGeom>
                    <a:ln>
                      <a:solidFill>
                        <a:schemeClr val="tx1"/>
                      </a:solidFill>
                    </a:ln>
                  </pic:spPr>
                </pic:pic>
              </a:graphicData>
            </a:graphic>
          </wp:inline>
        </w:drawing>
      </w:r>
      <w:r>
        <w:rPr>
          <w:color w:val="auto"/>
        </w:rPr>
        <w:drawing>
          <wp:inline distT="0" distB="0" distL="114300" distR="114300">
            <wp:extent cx="2515235" cy="2651760"/>
            <wp:effectExtent l="9525" t="9525" r="27940" b="24765"/>
            <wp:docPr id="7" name="图片 7" descr="地下一层总图 02-10-101-00 (1)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地下一层总图 02-10-101-00 (1)_02"/>
                    <pic:cNvPicPr>
                      <a:picLocks noChangeAspect="1"/>
                    </pic:cNvPicPr>
                  </pic:nvPicPr>
                  <pic:blipFill>
                    <a:blip r:embed="rId6"/>
                    <a:srcRect l="13008" t="36724" r="76745" b="47997"/>
                    <a:stretch>
                      <a:fillRect/>
                    </a:stretch>
                  </pic:blipFill>
                  <pic:spPr>
                    <a:xfrm>
                      <a:off x="0" y="0"/>
                      <a:ext cx="2515235" cy="2651760"/>
                    </a:xfrm>
                    <a:prstGeom prst="rect">
                      <a:avLst/>
                    </a:prstGeom>
                    <a:ln>
                      <a:solidFill>
                        <a:schemeClr val="tx1"/>
                      </a:solidFill>
                    </a:ln>
                  </pic:spPr>
                </pic:pic>
              </a:graphicData>
            </a:graphic>
          </wp:inline>
        </w:drawing>
      </w:r>
      <w:r>
        <w:rPr>
          <w:color w:val="auto"/>
        </w:rPr>
        <w:drawing>
          <wp:inline distT="0" distB="0" distL="114300" distR="114300">
            <wp:extent cx="2385060" cy="4156075"/>
            <wp:effectExtent l="9525" t="9525" r="24765" b="25400"/>
            <wp:docPr id="8" name="图片 8" descr="地下一层总图 02-10-101-00 (1)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地下一层总图 02-10-101-00 (1)_02"/>
                    <pic:cNvPicPr>
                      <a:picLocks noChangeAspect="1"/>
                    </pic:cNvPicPr>
                  </pic:nvPicPr>
                  <pic:blipFill>
                    <a:blip r:embed="rId6"/>
                    <a:srcRect l="1152" t="56298" r="89131" b="19756"/>
                    <a:stretch>
                      <a:fillRect/>
                    </a:stretch>
                  </pic:blipFill>
                  <pic:spPr>
                    <a:xfrm>
                      <a:off x="0" y="0"/>
                      <a:ext cx="2385060" cy="4156075"/>
                    </a:xfrm>
                    <a:prstGeom prst="rect">
                      <a:avLst/>
                    </a:prstGeom>
                    <a:ln>
                      <a:solidFill>
                        <a:schemeClr val="tx1"/>
                      </a:solidFill>
                    </a:ln>
                  </pic:spPr>
                </pic:pic>
              </a:graphicData>
            </a:graphic>
          </wp:inline>
        </w:drawing>
      </w:r>
      <w:r>
        <w:rPr>
          <w:color w:val="auto"/>
        </w:rPr>
        <w:drawing>
          <wp:inline distT="0" distB="0" distL="114300" distR="114300">
            <wp:extent cx="2707640" cy="3052445"/>
            <wp:effectExtent l="0" t="0" r="0" b="0"/>
            <wp:docPr id="2" name="图片 2" descr="地下一层总图 02-10-101-00 (1)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地下一层总图 02-10-101-00 (1)_02"/>
                    <pic:cNvPicPr>
                      <a:picLocks noChangeAspect="1"/>
                    </pic:cNvPicPr>
                  </pic:nvPicPr>
                  <pic:blipFill>
                    <a:blip r:embed="rId6"/>
                    <a:srcRect l="85528" t="37767" r="3442" b="44646"/>
                    <a:stretch>
                      <a:fillRect/>
                    </a:stretch>
                  </pic:blipFill>
                  <pic:spPr>
                    <a:xfrm>
                      <a:off x="0" y="0"/>
                      <a:ext cx="2707640" cy="3052445"/>
                    </a:xfrm>
                    <a:prstGeom prst="rect">
                      <a:avLst/>
                    </a:prstGeom>
                    <a:ln>
                      <a:solidFill>
                        <a:schemeClr val="tx1"/>
                      </a:solidFill>
                    </a:ln>
                  </pic:spPr>
                </pic:pic>
              </a:graphicData>
            </a:graphic>
          </wp:inline>
        </w:drawing>
      </w:r>
    </w:p>
    <w:p w14:paraId="62555494">
      <w:pPr>
        <w:numPr>
          <w:ilvl w:val="0"/>
          <w:numId w:val="0"/>
        </w:numPr>
        <w:ind w:firstLine="420"/>
        <w:jc w:val="center"/>
        <w:rPr>
          <w:color w:val="auto"/>
        </w:rPr>
      </w:pPr>
    </w:p>
    <w:p w14:paraId="4A178370">
      <w:pPr>
        <w:numPr>
          <w:ilvl w:val="0"/>
          <w:numId w:val="1"/>
        </w:numPr>
        <w:ind w:left="420" w:firstLine="420"/>
        <w:jc w:val="left"/>
        <w:rPr>
          <w:rFonts w:hint="eastAsia"/>
          <w:color w:val="auto"/>
          <w:lang w:val="en-US" w:eastAsia="zh-CN"/>
        </w:rPr>
      </w:pPr>
      <w:r>
        <w:rPr>
          <w:rFonts w:hint="eastAsia"/>
          <w:color w:val="auto"/>
          <w:lang w:val="en-US" w:eastAsia="zh-CN"/>
        </w:rPr>
        <w:t>输血科实验室区域</w:t>
      </w:r>
    </w:p>
    <w:p w14:paraId="5599F387">
      <w:pPr>
        <w:numPr>
          <w:ilvl w:val="0"/>
          <w:numId w:val="0"/>
        </w:numPr>
        <w:jc w:val="center"/>
        <w:rPr>
          <w:rFonts w:hint="default"/>
          <w:color w:val="auto"/>
          <w:lang w:val="en-US" w:eastAsia="zh-CN"/>
        </w:rPr>
      </w:pPr>
      <w:r>
        <w:rPr>
          <w:color w:val="auto"/>
        </w:rPr>
        <w:drawing>
          <wp:inline distT="0" distB="0" distL="114300" distR="114300">
            <wp:extent cx="8291195" cy="5507990"/>
            <wp:effectExtent l="0" t="0" r="14605" b="16510"/>
            <wp:docPr id="9" name="图片 9" descr="地下一层总图 02-10-101-00 (1)_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地下一层总图 02-10-101-00 (1)_03"/>
                    <pic:cNvPicPr>
                      <a:picLocks noChangeAspect="1"/>
                    </pic:cNvPicPr>
                  </pic:nvPicPr>
                  <pic:blipFill>
                    <a:blip r:embed="rId7"/>
                    <a:srcRect t="3827" b="2217"/>
                    <a:stretch>
                      <a:fillRect/>
                    </a:stretch>
                  </pic:blipFill>
                  <pic:spPr>
                    <a:xfrm>
                      <a:off x="0" y="0"/>
                      <a:ext cx="8291195" cy="5507990"/>
                    </a:xfrm>
                    <a:prstGeom prst="rect">
                      <a:avLst/>
                    </a:prstGeom>
                  </pic:spPr>
                </pic:pic>
              </a:graphicData>
            </a:graphic>
          </wp:inline>
        </w:drawing>
      </w:r>
    </w:p>
    <w:p w14:paraId="36616FB5">
      <w:pPr>
        <w:pStyle w:val="8"/>
        <w:spacing w:before="44" w:line="360" w:lineRule="auto"/>
        <w:ind w:left="50" w:firstLine="422" w:firstLineChars="200"/>
        <w:jc w:val="both"/>
        <w:rPr>
          <w:rFonts w:hint="eastAsia"/>
          <w:b/>
          <w:bCs/>
          <w:color w:val="auto"/>
          <w:sz w:val="21"/>
          <w:szCs w:val="21"/>
          <w:lang w:eastAsia="zh-CN"/>
        </w:rPr>
      </w:pPr>
      <w:r>
        <w:rPr>
          <w:rFonts w:hint="eastAsia"/>
          <w:b/>
          <w:bCs/>
          <w:color w:val="auto"/>
          <w:sz w:val="21"/>
          <w:szCs w:val="21"/>
          <w:lang w:eastAsia="zh-CN"/>
        </w:rPr>
        <w:t>三、需执行的国家相关标准、行业标准或其他标准、规范</w:t>
      </w:r>
    </w:p>
    <w:p w14:paraId="620D7BCA">
      <w:pPr>
        <w:pStyle w:val="12"/>
        <w:ind w:left="0" w:leftChars="0" w:firstLine="422" w:firstLineChars="200"/>
        <w:rPr>
          <w:rFonts w:hint="eastAsia" w:ascii="宋体" w:hAnsi="宋体" w:eastAsia="宋体" w:cs="宋体"/>
          <w:b/>
          <w:bCs/>
          <w:color w:val="auto"/>
          <w:sz w:val="21"/>
          <w:szCs w:val="21"/>
          <w:lang w:eastAsia="zh-CN"/>
        </w:rPr>
      </w:pPr>
      <w:bookmarkStart w:id="0" w:name="_Toc25898_WPSOffice_Level2"/>
      <w:bookmarkStart w:id="1" w:name="_Toc8379"/>
      <w:r>
        <w:rPr>
          <w:rFonts w:hint="eastAsia" w:ascii="宋体" w:hAnsi="宋体" w:eastAsia="宋体" w:cs="宋体"/>
          <w:b/>
          <w:bCs/>
          <w:color w:val="auto"/>
          <w:sz w:val="21"/>
          <w:szCs w:val="21"/>
          <w:lang w:eastAsia="zh-CN"/>
        </w:rPr>
        <w:t>（一）强制性标准</w:t>
      </w:r>
      <w:bookmarkEnd w:id="0"/>
      <w:bookmarkEnd w:id="1"/>
    </w:p>
    <w:p w14:paraId="795375B2">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GB 18584-2024《家具中有害物质限量》（强制标准，2025年7月1日实施）</w:t>
      </w:r>
    </w:p>
    <w:p w14:paraId="3A7518F0">
      <w:pPr>
        <w:pStyle w:val="12"/>
        <w:ind w:left="0" w:leftChars="0" w:firstLine="420" w:firstLineChars="200"/>
        <w:rPr>
          <w:rFonts w:hint="eastAsia" w:ascii="宋体" w:hAnsi="宋体" w:eastAsia="宋体" w:cs="宋体"/>
          <w:color w:val="auto"/>
          <w:sz w:val="21"/>
          <w:szCs w:val="21"/>
          <w:lang w:eastAsia="zh-CN"/>
        </w:rPr>
      </w:pPr>
      <w:r>
        <w:rPr>
          <w:rFonts w:ascii="宋体" w:hAnsi="宋体" w:eastAsia="宋体" w:cs="宋体"/>
          <w:color w:val="auto"/>
          <w:sz w:val="21"/>
          <w:szCs w:val="21"/>
          <w:lang w:eastAsia="zh-CN"/>
        </w:rPr>
        <w:t>GB 28008-2024《家具结构安全技术规范》</w:t>
      </w:r>
      <w:r>
        <w:rPr>
          <w:rFonts w:hint="eastAsia" w:ascii="宋体" w:hAnsi="宋体" w:eastAsia="宋体" w:cs="宋体"/>
          <w:color w:val="auto"/>
          <w:sz w:val="21"/>
          <w:szCs w:val="21"/>
          <w:lang w:eastAsia="zh-CN"/>
        </w:rPr>
        <w:t>（强制标准，2025年7月1日实施）</w:t>
      </w:r>
    </w:p>
    <w:p w14:paraId="0AD7B058">
      <w:pPr>
        <w:ind w:firstLine="420" w:firstLineChars="200"/>
        <w:rPr>
          <w:rFonts w:hint="eastAsia" w:ascii="宋体" w:hAnsi="宋体" w:eastAsia="宋体" w:cs="宋体"/>
          <w:b/>
          <w:bCs/>
          <w:color w:val="auto"/>
          <w:lang w:eastAsia="zh-CN"/>
        </w:rPr>
      </w:pPr>
      <w:r>
        <w:rPr>
          <w:rFonts w:ascii="宋体" w:hAnsi="宋体" w:eastAsia="宋体" w:cs="宋体"/>
          <w:color w:val="auto"/>
          <w:lang w:eastAsia="zh-CN"/>
        </w:rPr>
        <w:t>GB</w:t>
      </w:r>
      <w:r>
        <w:rPr>
          <w:rFonts w:hint="eastAsia" w:ascii="宋体" w:hAnsi="宋体" w:eastAsia="宋体" w:cs="宋体"/>
          <w:color w:val="auto"/>
          <w:lang w:eastAsia="zh-CN"/>
        </w:rPr>
        <w:t xml:space="preserve"> </w:t>
      </w:r>
      <w:r>
        <w:rPr>
          <w:rFonts w:ascii="宋体" w:hAnsi="宋体" w:eastAsia="宋体" w:cs="宋体"/>
          <w:color w:val="auto"/>
          <w:lang w:eastAsia="zh-CN"/>
        </w:rPr>
        <w:t>17927-2024《家具阻燃性能安全技术规范》（</w:t>
      </w:r>
      <w:r>
        <w:rPr>
          <w:rFonts w:hint="eastAsia" w:ascii="宋体" w:hAnsi="宋体" w:eastAsia="宋体" w:cs="宋体"/>
          <w:color w:val="auto"/>
          <w:lang w:eastAsia="zh-CN"/>
        </w:rPr>
        <w:t>强制标准，</w:t>
      </w:r>
      <w:r>
        <w:rPr>
          <w:rFonts w:ascii="宋体" w:hAnsi="宋体" w:eastAsia="宋体" w:cs="宋体"/>
          <w:color w:val="auto"/>
          <w:lang w:eastAsia="zh-CN"/>
        </w:rPr>
        <w:t>2025年9月1日实施</w:t>
      </w:r>
      <w:r>
        <w:rPr>
          <w:rFonts w:hint="eastAsia" w:ascii="宋体" w:hAnsi="宋体" w:eastAsia="宋体" w:cs="宋体"/>
          <w:color w:val="auto"/>
          <w:lang w:eastAsia="zh-CN"/>
        </w:rPr>
        <w:t xml:space="preserve">） </w:t>
      </w:r>
    </w:p>
    <w:p w14:paraId="0C70A564">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GB 18583-2008 《室内装饰装修材料 胶粘剂中有害物质限量》；</w:t>
      </w:r>
    </w:p>
    <w:p w14:paraId="76ECDD35">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GB 6566-2010 《建筑材料放射性核素限量》；</w:t>
      </w:r>
    </w:p>
    <w:p w14:paraId="091A5110">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GB 18580-2017 《室内装饰装修材料人造板及其制品中甲醛释放限量》；</w:t>
      </w:r>
    </w:p>
    <w:p w14:paraId="5D7D0FE4">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GB 18581-2020《木器涂料中有害物质限量》；</w:t>
      </w:r>
    </w:p>
    <w:p w14:paraId="685DA9B2">
      <w:pPr>
        <w:pStyle w:val="12"/>
        <w:ind w:left="0" w:leftChars="0" w:firstLine="420" w:firstLineChars="200"/>
        <w:rPr>
          <w:rFonts w:hint="eastAsia" w:ascii="宋体" w:hAnsi="宋体" w:eastAsia="宋体" w:cs="宋体"/>
          <w:b/>
          <w:bCs/>
          <w:color w:val="auto"/>
          <w:sz w:val="21"/>
          <w:szCs w:val="21"/>
          <w:lang w:eastAsia="zh-CN"/>
        </w:rPr>
      </w:pPr>
      <w:r>
        <w:rPr>
          <w:rFonts w:hint="eastAsia" w:ascii="宋体" w:hAnsi="宋体" w:eastAsia="宋体" w:cs="宋体"/>
          <w:color w:val="auto"/>
          <w:sz w:val="21"/>
          <w:szCs w:val="21"/>
          <w:lang w:eastAsia="zh-CN"/>
        </w:rPr>
        <w:t>GB 18581-2009《室内装饰装修材料溶剂型木器涂料中有害物质限量》；</w:t>
      </w:r>
    </w:p>
    <w:p w14:paraId="29742882">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GB 18401-2010《国家纺织产品基本安全技术规范》；</w:t>
      </w:r>
    </w:p>
    <w:p w14:paraId="27D7B0F4">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GB 16799-2018《家具用皮革》；</w:t>
      </w:r>
    </w:p>
    <w:p w14:paraId="6CD547A6">
      <w:pPr>
        <w:ind w:firstLine="420"/>
        <w:rPr>
          <w:color w:val="auto"/>
          <w:lang w:eastAsia="zh-CN"/>
        </w:rPr>
      </w:pPr>
      <w:r>
        <w:rPr>
          <w:rFonts w:hint="eastAsia" w:ascii="宋体" w:hAnsi="宋体" w:eastAsia="宋体" w:cs="宋体"/>
          <w:color w:val="auto"/>
          <w:lang w:eastAsia="zh-CN"/>
        </w:rPr>
        <w:t>GB 15763.2-2005</w:t>
      </w:r>
      <w:r>
        <w:rPr>
          <w:rFonts w:hint="eastAsia"/>
          <w:color w:val="auto"/>
          <w:lang w:eastAsia="zh-CN"/>
        </w:rPr>
        <w:t xml:space="preserve"> 《建筑用安全玻璃 第2部分：钢化玻璃》</w:t>
      </w:r>
    </w:p>
    <w:p w14:paraId="62CD4C7F">
      <w:pPr>
        <w:ind w:firstLine="420"/>
        <w:rPr>
          <w:rFonts w:hint="eastAsia" w:ascii="宋体" w:hAnsi="宋体" w:eastAsia="宋体" w:cs="宋体"/>
          <w:color w:val="auto"/>
          <w:lang w:eastAsia="zh-CN"/>
        </w:rPr>
      </w:pPr>
      <w:r>
        <w:rPr>
          <w:rFonts w:ascii="宋体" w:hAnsi="宋体" w:eastAsia="宋体" w:cs="宋体"/>
          <w:color w:val="auto"/>
          <w:lang w:eastAsia="zh-CN"/>
        </w:rPr>
        <w:t>GB 18145-2014</w:t>
      </w:r>
      <w:r>
        <w:rPr>
          <w:rFonts w:hint="eastAsia" w:ascii="宋体" w:hAnsi="宋体" w:eastAsia="宋体" w:cs="宋体"/>
          <w:color w:val="auto"/>
          <w:lang w:eastAsia="zh-CN"/>
        </w:rPr>
        <w:t>《陶瓷片密封水嘴》</w:t>
      </w:r>
    </w:p>
    <w:p w14:paraId="7C18EC33">
      <w:pPr>
        <w:ind w:firstLine="420"/>
        <w:rPr>
          <w:rFonts w:hint="eastAsia" w:ascii="宋体" w:hAnsi="宋体" w:eastAsia="宋体" w:cs="宋体"/>
          <w:color w:val="auto"/>
          <w:lang w:eastAsia="zh-CN"/>
        </w:rPr>
      </w:pPr>
      <w:r>
        <w:rPr>
          <w:rFonts w:hint="eastAsia" w:ascii="宋体" w:hAnsi="宋体" w:eastAsia="宋体" w:cs="宋体"/>
          <w:color w:val="auto"/>
          <w:lang w:eastAsia="zh-CN"/>
        </w:rPr>
        <w:t>GB 17927.1-2011《软体家具床垫和沙发抗引燃特性的评定第1部分:阴燃的香烟》</w:t>
      </w:r>
    </w:p>
    <w:p w14:paraId="2DA4383F">
      <w:pPr>
        <w:ind w:firstLine="420"/>
        <w:rPr>
          <w:rFonts w:hint="eastAsia" w:ascii="宋体" w:hAnsi="宋体" w:eastAsia="宋体" w:cs="宋体"/>
          <w:color w:val="auto"/>
          <w:lang w:eastAsia="zh-CN"/>
        </w:rPr>
      </w:pPr>
      <w:r>
        <w:rPr>
          <w:rFonts w:hint="eastAsia" w:ascii="宋体" w:hAnsi="宋体" w:eastAsia="宋体" w:cs="宋体"/>
          <w:color w:val="auto"/>
          <w:lang w:eastAsia="zh-CN"/>
        </w:rPr>
        <w:t>GB 1865-2009《色漆和清漆 人工气候老化和人工辐射曝露滤过的氙弧辐射》</w:t>
      </w:r>
    </w:p>
    <w:p w14:paraId="2A3D356D">
      <w:pPr>
        <w:ind w:firstLine="420"/>
        <w:rPr>
          <w:rFonts w:hint="default" w:ascii="宋体" w:hAnsi="宋体" w:eastAsia="宋体" w:cs="宋体"/>
          <w:color w:val="auto"/>
          <w:lang w:val="en-US" w:eastAsia="zh-CN"/>
        </w:rPr>
      </w:pPr>
      <w:r>
        <w:rPr>
          <w:rFonts w:hint="eastAsia" w:ascii="宋体" w:hAnsi="宋体" w:eastAsia="宋体" w:cs="宋体"/>
          <w:color w:val="auto"/>
          <w:lang w:eastAsia="zh-CN"/>
        </w:rPr>
        <w:t>GB/T 6670-2008《软质泡沫聚合材料 落球法回弹性能的测定》</w:t>
      </w:r>
    </w:p>
    <w:p w14:paraId="6C7CE9B0">
      <w:pPr>
        <w:pStyle w:val="12"/>
        <w:ind w:left="0" w:leftChars="0" w:firstLine="422" w:firstLineChars="200"/>
        <w:rPr>
          <w:rFonts w:hint="eastAsia" w:ascii="宋体" w:hAnsi="宋体" w:eastAsia="宋体" w:cs="宋体"/>
          <w:b/>
          <w:bCs/>
          <w:color w:val="auto"/>
          <w:sz w:val="21"/>
          <w:szCs w:val="21"/>
          <w:lang w:eastAsia="zh-CN"/>
        </w:rPr>
      </w:pPr>
      <w:bookmarkStart w:id="2" w:name="_Toc25730_WPSOffice_Level2"/>
      <w:bookmarkStart w:id="3" w:name="_Toc227555682"/>
      <w:bookmarkStart w:id="4" w:name="_Toc16007"/>
      <w:r>
        <w:rPr>
          <w:rFonts w:hint="eastAsia" w:ascii="宋体" w:hAnsi="宋体" w:eastAsia="宋体" w:cs="宋体"/>
          <w:b/>
          <w:bCs/>
          <w:color w:val="auto"/>
          <w:sz w:val="21"/>
          <w:szCs w:val="21"/>
          <w:lang w:eastAsia="zh-CN"/>
        </w:rPr>
        <w:t>（二）质量及技术标准</w:t>
      </w:r>
      <w:bookmarkEnd w:id="2"/>
      <w:bookmarkEnd w:id="3"/>
      <w:bookmarkEnd w:id="4"/>
    </w:p>
    <w:p w14:paraId="65A5DFDC">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重要标准：</w:t>
      </w:r>
    </w:p>
    <w:p w14:paraId="6BF44FFA">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GB/T 35607-2024《绿色产品评价家具》；</w:t>
      </w:r>
    </w:p>
    <w:p w14:paraId="4C72380D">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GB/T 3325-2024《金属家具通用技术条件》；</w:t>
      </w:r>
    </w:p>
    <w:p w14:paraId="5AC260C1">
      <w:pPr>
        <w:pStyle w:val="12"/>
        <w:ind w:left="0" w:leftChars="0" w:firstLine="420" w:firstLineChars="200"/>
        <w:rPr>
          <w:rFonts w:hint="eastAsia" w:ascii="宋体" w:hAnsi="宋体" w:eastAsia="宋体" w:cs="宋体"/>
          <w:color w:val="auto"/>
          <w:sz w:val="21"/>
          <w:szCs w:val="21"/>
          <w:lang w:eastAsia="zh-CN"/>
        </w:rPr>
      </w:pPr>
      <w:r>
        <w:rPr>
          <w:rFonts w:ascii="宋体" w:hAnsi="宋体" w:eastAsia="宋体" w:cs="宋体"/>
          <w:color w:val="auto"/>
          <w:sz w:val="21"/>
          <w:szCs w:val="21"/>
          <w:lang w:eastAsia="zh-CN"/>
        </w:rPr>
        <w:t>GB/T 3324-2024《木家具通用技术条件》；</w:t>
      </w:r>
    </w:p>
    <w:p w14:paraId="249140E9">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其他标准：</w:t>
      </w:r>
    </w:p>
    <w:p w14:paraId="0F40DC82">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GB/T 15102-2017《浸渍胶膜纸饰面纤维板和刨花板》；</w:t>
      </w:r>
    </w:p>
    <w:p w14:paraId="3FA888A1">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GB/T 29525-2013《座椅升降气弹簧 技术条件》；</w:t>
      </w:r>
    </w:p>
    <w:p w14:paraId="4BC6582A">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GB/T 10802-2023《通用软质聚氨酯泡沫塑料》；</w:t>
      </w:r>
    </w:p>
    <w:p w14:paraId="554C09F2">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GB/T 35601-2024《绿色产品评价人造板和木质地板》；</w:t>
      </w:r>
    </w:p>
    <w:p w14:paraId="05E880F3">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QB/T 2189-2013《家具五金 杯状暗铰链》；</w:t>
      </w:r>
    </w:p>
    <w:p w14:paraId="0DF22747">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GB/T 11718-2021 《中密度纤维板》；</w:t>
      </w:r>
    </w:p>
    <w:p w14:paraId="070E1E6F">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QB/T 1621-2015 《家具锁》；</w:t>
      </w:r>
    </w:p>
    <w:p w14:paraId="07BE7E4F">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GB/T 2454-2013 《家具五金 抽屉导轨》；</w:t>
      </w:r>
    </w:p>
    <w:p w14:paraId="3658DD0E">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GB/T 4765-2014 《家具用脚轮》；</w:t>
      </w:r>
    </w:p>
    <w:p w14:paraId="3D5FD914">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QB/T 2280-2016《办公家具 办公椅》；</w:t>
      </w:r>
    </w:p>
    <w:p w14:paraId="30B71419">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GB/T 23999-2009 《室内装饰装修用水性木器涂料》</w:t>
      </w:r>
    </w:p>
    <w:p w14:paraId="73322A7D">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GB/T 35602-2017 《绿色产品评价 涂料》</w:t>
      </w:r>
    </w:p>
    <w:p w14:paraId="1E2FF830">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QB/T 4463-2013《人造板饰面专用 ABS 激光封边条》</w:t>
      </w:r>
    </w:p>
    <w:p w14:paraId="17D98144">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GB/T 16799-2018 《家具用皮革》</w:t>
      </w:r>
    </w:p>
    <w:p w14:paraId="6FE9F711">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GB/T 34722-2017 《浸渍胶膜纸饰面胶合板和细木工板》</w:t>
      </w:r>
    </w:p>
    <w:p w14:paraId="0CB52F23">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 xml:space="preserve">QB/T 1952.1-2023《软体家具 沙发》 </w:t>
      </w:r>
    </w:p>
    <w:p w14:paraId="10F7518B">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GB/T 23983-2009 《木器涂料耐黄变性测定法》</w:t>
      </w:r>
    </w:p>
    <w:p w14:paraId="1172E50A">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GB/T 1728-2020 《漆膜、腻子膜干燥时间测定法》</w:t>
      </w:r>
    </w:p>
    <w:p w14:paraId="3DA5C322">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GB/T 1724-2019 《色漆、清漆和印刷油墨 研磨细度的测定》</w:t>
      </w:r>
    </w:p>
    <w:p w14:paraId="1EE80B04">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GB/T 23986.2-2023 《色漆和清漆 挥发性有机化合物（VOC）和/或半挥发性有机化合物（SVOC）含量的测定 第2部分：气相色谱法》</w:t>
      </w:r>
    </w:p>
    <w:p w14:paraId="4A93D1AB">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GB/T 30647-2014 《涂料中有害元素总含量的测定》</w:t>
      </w:r>
    </w:p>
    <w:p w14:paraId="7D27E667">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GB/T 23982-2009 《木器涂料抗粘连性测定法》</w:t>
      </w:r>
    </w:p>
    <w:p w14:paraId="377E0F18">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GB/T 4893.3-2020 《家具表面漆膜理化性能试验 第3部分：耐干热测定法》</w:t>
      </w:r>
    </w:p>
    <w:p w14:paraId="19CBE6C4">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GB/T 9279.1-2015 《色漆和清漆 耐划痕性的测定 第1部分：负荷恒定法》</w:t>
      </w:r>
    </w:p>
    <w:p w14:paraId="5032EDC0">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GB/T 23994-2009 《与人体接触的消费产品用涂料中特定有害元素限量》</w:t>
      </w:r>
    </w:p>
    <w:p w14:paraId="6ABE384C">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 xml:space="preserve">GB/T 10125-2021 《人造气氛腐蚀试验 盐雾试验》  </w:t>
      </w:r>
    </w:p>
    <w:p w14:paraId="579C2BF4">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GB/T 40493-2021 《人造板饰面材料中铅、镉、铬、汞重金属元素含量测定》</w:t>
      </w:r>
    </w:p>
    <w:p w14:paraId="36D18B72">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 xml:space="preserve">GB/T 36022-2018 《木家具中氨释放量试验方法》   </w:t>
      </w:r>
    </w:p>
    <w:p w14:paraId="4F20546F">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 xml:space="preserve">GB/T 39600-2021 《人造板及其制品甲醛释放量分级》  </w:t>
      </w:r>
    </w:p>
    <w:p w14:paraId="08C0DD51">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 xml:space="preserve">GB/T 2423.18-2021 《环境试验 第2部分：试验方法 试验Kb：盐雾，交变（氯化钠溶液）》   </w:t>
      </w:r>
    </w:p>
    <w:p w14:paraId="7204988A">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 xml:space="preserve">GB/T 3075-2021 《金属材料 疲劳试验 轴向力控制方法》   </w:t>
      </w:r>
    </w:p>
    <w:p w14:paraId="217ACDC9">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 xml:space="preserve">GB/T 23763-2009 《光催化抗菌材料及制品 抗菌性能的评价》  </w:t>
      </w:r>
    </w:p>
    <w:p w14:paraId="68802F4F">
      <w:pPr>
        <w:pStyle w:val="12"/>
        <w:ind w:left="0" w:leftChars="0" w:firstLine="420" w:firstLineChars="200"/>
        <w:rPr>
          <w:rFonts w:hint="eastAsia" w:ascii="宋体" w:hAnsi="宋体" w:eastAsia="宋体" w:cs="宋体"/>
          <w:color w:val="auto"/>
          <w:lang w:eastAsia="zh-CN"/>
        </w:rPr>
      </w:pPr>
      <w:r>
        <w:rPr>
          <w:rFonts w:hint="eastAsia" w:ascii="宋体" w:hAnsi="宋体" w:eastAsia="宋体" w:cs="宋体"/>
          <w:color w:val="auto"/>
          <w:sz w:val="21"/>
          <w:szCs w:val="21"/>
          <w:lang w:eastAsia="zh-CN"/>
        </w:rPr>
        <w:t xml:space="preserve">GB/T 6343-2009 《泡沫塑料及橡胶 表观密度的测定》  </w:t>
      </w:r>
    </w:p>
    <w:p w14:paraId="692B7FF6">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 xml:space="preserve">GB/T 3325-2024 《金属家具通用技术条件》 </w:t>
      </w:r>
    </w:p>
    <w:p w14:paraId="22094964">
      <w:pPr>
        <w:ind w:firstLine="420"/>
        <w:rPr>
          <w:rFonts w:hint="eastAsia" w:ascii="宋体" w:hAnsi="宋体" w:eastAsia="宋体" w:cs="宋体"/>
          <w:color w:val="auto"/>
          <w:lang w:eastAsia="zh-CN"/>
        </w:rPr>
      </w:pPr>
      <w:r>
        <w:rPr>
          <w:rFonts w:hint="eastAsia" w:ascii="宋体" w:hAnsi="宋体" w:eastAsia="宋体" w:cs="宋体"/>
          <w:color w:val="auto"/>
          <w:lang w:eastAsia="zh-CN"/>
        </w:rPr>
        <w:t>GB/T 700-2006 《碳素结构钢》</w:t>
      </w:r>
    </w:p>
    <w:p w14:paraId="73FB9629">
      <w:pPr>
        <w:ind w:firstLine="420"/>
        <w:rPr>
          <w:rFonts w:hint="eastAsia" w:ascii="宋体" w:hAnsi="宋体" w:eastAsia="宋体" w:cs="宋体"/>
          <w:color w:val="auto"/>
          <w:lang w:eastAsia="zh-CN"/>
        </w:rPr>
      </w:pPr>
      <w:r>
        <w:rPr>
          <w:rFonts w:ascii="宋体" w:hAnsi="宋体" w:eastAsia="宋体" w:cs="宋体"/>
          <w:color w:val="auto"/>
          <w:lang w:eastAsia="zh-CN"/>
        </w:rPr>
        <w:t>GB/T 31402-2023《塑料和其他无孔材料表面抗菌活性的测定》</w:t>
      </w:r>
    </w:p>
    <w:p w14:paraId="18313EC4">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 xml:space="preserve">GB/T 9286-2021 《色漆和清漆 划格试验》  </w:t>
      </w:r>
    </w:p>
    <w:p w14:paraId="019E049C">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GB/T 6739-2022《色漆和清漆铅法测定膜硬度》</w:t>
      </w:r>
    </w:p>
    <w:p w14:paraId="6C4F4A8C">
      <w:pPr>
        <w:pStyle w:val="12"/>
        <w:ind w:left="0" w:leftChars="0" w:firstLine="420" w:firstLineChars="200"/>
        <w:rPr>
          <w:rFonts w:hint="eastAsia" w:ascii="宋体" w:hAnsi="宋体" w:eastAsia="宋体" w:cs="宋体"/>
          <w:color w:val="auto"/>
          <w:sz w:val="21"/>
          <w:szCs w:val="21"/>
          <w:lang w:eastAsia="zh-CN"/>
        </w:rPr>
      </w:pPr>
      <w:r>
        <w:rPr>
          <w:rFonts w:ascii="宋体" w:hAnsi="宋体" w:eastAsia="宋体" w:cs="宋体"/>
          <w:color w:val="auto"/>
          <w:sz w:val="21"/>
          <w:szCs w:val="21"/>
          <w:lang w:eastAsia="zh-CN"/>
        </w:rPr>
        <w:t>GB/T 29899-2024《人造板及其制品中挥发性有机化合物释放量试验方法 小型释放舱法》</w:t>
      </w:r>
    </w:p>
    <w:p w14:paraId="182F2F4C">
      <w:pPr>
        <w:pStyle w:val="12"/>
        <w:ind w:left="0" w:leftChars="0" w:firstLine="420" w:firstLineChars="200"/>
        <w:rPr>
          <w:rFonts w:hint="eastAsia" w:ascii="宋体" w:hAnsi="宋体" w:eastAsia="宋体" w:cs="宋体"/>
          <w:color w:val="auto"/>
          <w:sz w:val="21"/>
          <w:szCs w:val="21"/>
          <w:lang w:eastAsia="zh-CN"/>
        </w:rPr>
      </w:pPr>
      <w:r>
        <w:rPr>
          <w:rFonts w:ascii="宋体" w:hAnsi="宋体" w:eastAsia="宋体" w:cs="宋体"/>
          <w:color w:val="auto"/>
          <w:sz w:val="21"/>
          <w:szCs w:val="21"/>
          <w:lang w:eastAsia="zh-CN"/>
        </w:rPr>
        <w:t>GB/T 16422.3-2022《塑料 实验室光源暴露试验方法 第3部分:荧光紫外灯》</w:t>
      </w:r>
    </w:p>
    <w:p w14:paraId="5233FF36">
      <w:pPr>
        <w:pStyle w:val="12"/>
        <w:ind w:left="0" w:leftChars="0" w:firstLineChars="200"/>
        <w:rPr>
          <w:rFonts w:hint="default" w:ascii="宋体" w:hAnsi="宋体" w:eastAsia="宋体" w:cs="宋体"/>
          <w:color w:val="auto"/>
          <w:sz w:val="21"/>
          <w:szCs w:val="21"/>
          <w:lang w:eastAsia="zh-CN"/>
        </w:rPr>
      </w:pPr>
      <w:r>
        <w:rPr>
          <w:rFonts w:ascii="宋体" w:hAnsi="宋体" w:eastAsia="宋体" w:cs="宋体"/>
          <w:color w:val="auto"/>
          <w:sz w:val="21"/>
          <w:szCs w:val="21"/>
          <w:lang w:eastAsia="zh-CN"/>
        </w:rPr>
        <w:t>GB/T 1741-2020</w:t>
      </w:r>
      <w:r>
        <w:rPr>
          <w:rFonts w:hint="default" w:ascii="宋体" w:hAnsi="宋体" w:eastAsia="宋体" w:cs="宋体"/>
          <w:color w:val="auto"/>
          <w:sz w:val="21"/>
          <w:szCs w:val="21"/>
          <w:lang w:eastAsia="zh-CN"/>
        </w:rPr>
        <w:t>《</w:t>
      </w:r>
      <w:r>
        <w:rPr>
          <w:rFonts w:ascii="宋体" w:hAnsi="宋体" w:eastAsia="宋体" w:cs="宋体"/>
          <w:color w:val="auto"/>
          <w:sz w:val="21"/>
          <w:szCs w:val="21"/>
          <w:lang w:eastAsia="zh-CN"/>
        </w:rPr>
        <w:t>漆膜耐霉菌性测定法》</w:t>
      </w:r>
    </w:p>
    <w:p w14:paraId="0B6CDC7A">
      <w:pPr>
        <w:pStyle w:val="12"/>
        <w:ind w:left="0" w:leftChars="0" w:firstLineChars="200"/>
        <w:rPr>
          <w:rFonts w:hint="default" w:ascii="宋体" w:hAnsi="宋体" w:eastAsia="宋体" w:cs="宋体"/>
          <w:color w:val="auto"/>
          <w:sz w:val="21"/>
          <w:szCs w:val="21"/>
          <w:lang w:eastAsia="zh-CN"/>
        </w:rPr>
      </w:pPr>
      <w:r>
        <w:rPr>
          <w:rFonts w:hint="default" w:ascii="宋体" w:hAnsi="宋体" w:eastAsia="宋体" w:cs="宋体"/>
          <w:color w:val="auto"/>
          <w:sz w:val="21"/>
          <w:szCs w:val="21"/>
          <w:lang w:eastAsia="zh-CN"/>
        </w:rPr>
        <w:t>GB/T 228.1-2021《金属材料拉伸试验第1部分：室温试验方法</w:t>
      </w:r>
      <w:r>
        <w:rPr>
          <w:rFonts w:hint="default" w:ascii="宋体" w:hAnsi="宋体" w:eastAsia="宋体" w:cs="宋体"/>
          <w:color w:val="auto"/>
          <w:sz w:val="21"/>
          <w:szCs w:val="21"/>
          <w:shd w:val="clear" w:color="auto" w:fill="FFFFFF"/>
          <w:lang w:eastAsia="zh-CN"/>
        </w:rPr>
        <w:t>》</w:t>
      </w:r>
    </w:p>
    <w:p w14:paraId="4FD777BB">
      <w:pPr>
        <w:pStyle w:val="12"/>
        <w:ind w:left="0" w:leftChars="0" w:firstLineChars="200"/>
        <w:rPr>
          <w:rFonts w:hint="default" w:ascii="宋体" w:hAnsi="宋体" w:eastAsia="宋体" w:cs="宋体"/>
          <w:color w:val="auto"/>
          <w:sz w:val="21"/>
          <w:szCs w:val="21"/>
          <w:lang w:eastAsia="zh-CN"/>
        </w:rPr>
      </w:pPr>
      <w:r>
        <w:rPr>
          <w:rFonts w:hint="default" w:ascii="宋体" w:hAnsi="宋体" w:eastAsia="宋体" w:cs="宋体"/>
          <w:color w:val="auto"/>
          <w:sz w:val="21"/>
          <w:szCs w:val="21"/>
          <w:lang w:eastAsia="zh-CN"/>
        </w:rPr>
        <w:t>GB/T 4336-2016《碳素钢和中低合金钢 多元素含量的测定 火花放电原子发射光谱法</w:t>
      </w:r>
      <w:r>
        <w:rPr>
          <w:rFonts w:hint="default" w:ascii="宋体" w:hAnsi="宋体" w:eastAsia="宋体" w:cs="宋体"/>
          <w:color w:val="auto"/>
          <w:sz w:val="21"/>
          <w:szCs w:val="21"/>
          <w:shd w:val="clear" w:color="auto" w:fill="FFFFFF"/>
          <w:lang w:eastAsia="zh-CN"/>
        </w:rPr>
        <w:t>》</w:t>
      </w:r>
    </w:p>
    <w:p w14:paraId="6C8B6973">
      <w:pPr>
        <w:pStyle w:val="12"/>
        <w:ind w:left="0" w:leftChars="0" w:firstLineChars="200"/>
        <w:rPr>
          <w:rFonts w:hint="default" w:ascii="宋体" w:hAnsi="宋体" w:eastAsia="宋体" w:cs="宋体"/>
          <w:color w:val="auto"/>
          <w:sz w:val="21"/>
          <w:szCs w:val="21"/>
          <w:lang w:eastAsia="zh-CN"/>
        </w:rPr>
      </w:pPr>
      <w:r>
        <w:rPr>
          <w:rFonts w:hint="default" w:ascii="宋体" w:hAnsi="宋体" w:eastAsia="宋体" w:cs="宋体"/>
          <w:color w:val="auto"/>
          <w:sz w:val="21"/>
          <w:szCs w:val="21"/>
          <w:lang w:eastAsia="zh-CN"/>
        </w:rPr>
        <w:t>GB/T 17657-2022《人造板及饰面人造板理化性能试验方法</w:t>
      </w:r>
      <w:r>
        <w:rPr>
          <w:rFonts w:hint="default" w:ascii="宋体" w:hAnsi="宋体" w:eastAsia="宋体" w:cs="宋体"/>
          <w:color w:val="auto"/>
          <w:sz w:val="21"/>
          <w:szCs w:val="21"/>
          <w:shd w:val="clear" w:color="auto" w:fill="FFFFFF"/>
          <w:lang w:eastAsia="zh-CN"/>
        </w:rPr>
        <w:t>》</w:t>
      </w:r>
    </w:p>
    <w:p w14:paraId="62C901DA">
      <w:pPr>
        <w:pStyle w:val="12"/>
        <w:ind w:left="0" w:leftChars="0" w:firstLineChars="200"/>
        <w:rPr>
          <w:rFonts w:hint="default" w:ascii="宋体" w:hAnsi="宋体" w:eastAsia="宋体" w:cs="宋体"/>
          <w:color w:val="auto"/>
          <w:sz w:val="21"/>
          <w:szCs w:val="21"/>
          <w:lang w:eastAsia="zh-CN"/>
        </w:rPr>
      </w:pPr>
      <w:r>
        <w:rPr>
          <w:rFonts w:hint="default" w:ascii="宋体" w:hAnsi="宋体" w:eastAsia="宋体" w:cs="宋体"/>
          <w:color w:val="auto"/>
          <w:sz w:val="21"/>
          <w:szCs w:val="21"/>
          <w:lang w:eastAsia="zh-CN"/>
        </w:rPr>
        <w:t>GB/T 9846-2015《普通胶合板》</w:t>
      </w:r>
    </w:p>
    <w:p w14:paraId="3573D6D6">
      <w:pPr>
        <w:pStyle w:val="12"/>
        <w:shd w:val="clear" w:color="auto" w:fill="FFFFFF"/>
        <w:ind w:left="0" w:leftChars="0" w:firstLine="420" w:firstLineChars="200"/>
        <w:rPr>
          <w:rFonts w:hint="default" w:ascii="宋体" w:hAnsi="宋体" w:eastAsia="宋体" w:cs="宋体"/>
          <w:color w:val="auto"/>
          <w:sz w:val="21"/>
          <w:szCs w:val="21"/>
          <w:lang w:eastAsia="zh-CN"/>
        </w:rPr>
      </w:pPr>
      <w:r>
        <w:rPr>
          <w:rFonts w:hint="default" w:ascii="宋体" w:hAnsi="宋体" w:eastAsia="宋体" w:cs="宋体"/>
          <w:color w:val="auto"/>
          <w:sz w:val="21"/>
          <w:szCs w:val="21"/>
          <w:lang w:eastAsia="zh-CN"/>
        </w:rPr>
        <w:t>GB/T 3280-2015《</w:t>
      </w:r>
      <w:r>
        <w:rPr>
          <w:rFonts w:hint="default" w:ascii="宋体" w:hAnsi="宋体" w:eastAsia="宋体" w:cs="宋体"/>
          <w:color w:val="auto"/>
          <w:sz w:val="21"/>
          <w:szCs w:val="21"/>
          <w:shd w:val="clear" w:color="auto" w:fill="FFFFFF"/>
          <w:lang w:eastAsia="zh-CN"/>
        </w:rPr>
        <w:t>不锈钢冷轧钢板和钢带</w:t>
      </w:r>
      <w:r>
        <w:rPr>
          <w:rFonts w:hint="default" w:ascii="宋体" w:hAnsi="宋体" w:eastAsia="宋体" w:cs="宋体"/>
          <w:b w:val="0"/>
          <w:bCs w:val="0"/>
          <w:color w:val="auto"/>
          <w:sz w:val="21"/>
          <w:szCs w:val="21"/>
          <w:lang w:eastAsia="zh-CN"/>
        </w:rPr>
        <w:t>》</w:t>
      </w:r>
    </w:p>
    <w:p w14:paraId="24D1F554">
      <w:pPr>
        <w:pStyle w:val="12"/>
        <w:ind w:left="0" w:leftChars="0" w:firstLine="420" w:firstLineChars="200"/>
        <w:rPr>
          <w:rFonts w:hint="default" w:ascii="宋体" w:hAnsi="宋体" w:eastAsia="宋体" w:cs="宋体"/>
          <w:color w:val="auto"/>
          <w:sz w:val="21"/>
          <w:szCs w:val="21"/>
          <w:lang w:eastAsia="zh-CN"/>
        </w:rPr>
      </w:pPr>
      <w:r>
        <w:rPr>
          <w:rFonts w:hint="default" w:ascii="宋体" w:hAnsi="宋体" w:eastAsia="宋体" w:cs="宋体"/>
          <w:color w:val="auto"/>
          <w:sz w:val="21"/>
          <w:szCs w:val="21"/>
          <w:lang w:eastAsia="zh-CN"/>
        </w:rPr>
        <w:t>GB/T 20016-2005《金属和其它无机覆盖层不锈钢部件平整和钝化的电抛光法》</w:t>
      </w:r>
    </w:p>
    <w:p w14:paraId="5EBACFAA">
      <w:pPr>
        <w:pStyle w:val="12"/>
        <w:ind w:left="0" w:leftChars="0" w:firstLineChars="200"/>
        <w:rPr>
          <w:rFonts w:hint="default" w:ascii="宋体" w:hAnsi="宋体" w:eastAsia="宋体" w:cs="宋体"/>
          <w:color w:val="auto"/>
          <w:sz w:val="21"/>
          <w:szCs w:val="21"/>
          <w:lang w:eastAsia="zh-CN"/>
        </w:rPr>
      </w:pPr>
      <w:r>
        <w:rPr>
          <w:rFonts w:hint="default" w:ascii="宋体" w:hAnsi="宋体" w:eastAsia="宋体" w:cs="宋体"/>
          <w:color w:val="auto"/>
          <w:sz w:val="21"/>
          <w:szCs w:val="21"/>
          <w:lang w:eastAsia="zh-CN"/>
        </w:rPr>
        <w:t>GB/T 10357.5-2023《家具力学性能试验 第5部分：柜类强度和耐久性》</w:t>
      </w:r>
    </w:p>
    <w:p w14:paraId="03193D10">
      <w:pPr>
        <w:pStyle w:val="12"/>
        <w:ind w:left="0" w:leftChars="0" w:firstLineChars="200"/>
        <w:rPr>
          <w:rFonts w:hint="default" w:ascii="宋体" w:hAnsi="宋体" w:eastAsia="宋体" w:cs="宋体"/>
          <w:color w:val="auto"/>
          <w:sz w:val="21"/>
          <w:szCs w:val="21"/>
          <w:lang w:eastAsia="zh-CN"/>
        </w:rPr>
      </w:pPr>
      <w:r>
        <w:rPr>
          <w:rFonts w:hint="default" w:ascii="宋体" w:hAnsi="宋体" w:eastAsia="宋体" w:cs="宋体"/>
          <w:color w:val="auto"/>
          <w:sz w:val="21"/>
          <w:szCs w:val="21"/>
          <w:lang w:eastAsia="zh-CN"/>
        </w:rPr>
        <w:t>GB/T 3827-1999《轻工产品金属镀层和化学处理层的耐腐蚀试验方法 乙酸盐雾试验(ASS)法》</w:t>
      </w:r>
    </w:p>
    <w:p w14:paraId="5AA27BF8">
      <w:pPr>
        <w:pStyle w:val="12"/>
        <w:ind w:left="0" w:leftChars="0" w:firstLineChars="200"/>
        <w:rPr>
          <w:rFonts w:hint="default" w:ascii="宋体" w:hAnsi="宋体" w:eastAsia="宋体" w:cs="宋体"/>
          <w:color w:val="auto"/>
          <w:sz w:val="21"/>
          <w:szCs w:val="21"/>
          <w:lang w:eastAsia="zh-CN"/>
        </w:rPr>
      </w:pPr>
      <w:r>
        <w:rPr>
          <w:rFonts w:hint="default" w:ascii="宋体" w:hAnsi="宋体" w:eastAsia="宋体" w:cs="宋体"/>
          <w:color w:val="auto"/>
          <w:sz w:val="21"/>
          <w:szCs w:val="21"/>
          <w:lang w:eastAsia="zh-CN"/>
        </w:rPr>
        <w:t>GB/T 26696-2011《家具用高分子材料台面板》</w:t>
      </w:r>
    </w:p>
    <w:p w14:paraId="16A63109">
      <w:pPr>
        <w:pStyle w:val="12"/>
        <w:ind w:left="0" w:leftChars="0" w:firstLineChars="200"/>
        <w:rPr>
          <w:rFonts w:hint="default" w:ascii="宋体" w:hAnsi="宋体" w:eastAsia="宋体" w:cs="宋体"/>
          <w:color w:val="auto"/>
          <w:sz w:val="21"/>
          <w:szCs w:val="21"/>
          <w:lang w:eastAsia="zh-CN"/>
        </w:rPr>
      </w:pPr>
      <w:r>
        <w:rPr>
          <w:rFonts w:hint="default" w:ascii="宋体" w:hAnsi="宋体" w:eastAsia="宋体" w:cs="宋体"/>
          <w:color w:val="auto"/>
          <w:sz w:val="21"/>
          <w:szCs w:val="21"/>
          <w:lang w:eastAsia="zh-CN"/>
        </w:rPr>
        <w:t>GB/T 40908-2021《家具产品及其材料中禁限用物质测定方法》</w:t>
      </w:r>
    </w:p>
    <w:p w14:paraId="1F4061C2">
      <w:pPr>
        <w:pStyle w:val="12"/>
        <w:ind w:left="0" w:leftChars="0" w:firstLineChars="200"/>
        <w:rPr>
          <w:rFonts w:hint="default" w:ascii="宋体" w:hAnsi="宋体" w:eastAsia="宋体" w:cs="宋体"/>
          <w:color w:val="auto"/>
          <w:sz w:val="21"/>
          <w:szCs w:val="21"/>
          <w:lang w:eastAsia="zh-CN"/>
        </w:rPr>
      </w:pPr>
      <w:r>
        <w:rPr>
          <w:rFonts w:hint="default" w:ascii="宋体" w:hAnsi="宋体" w:eastAsia="宋体" w:cs="宋体"/>
          <w:color w:val="auto"/>
          <w:sz w:val="21"/>
          <w:szCs w:val="21"/>
          <w:lang w:eastAsia="zh-CN"/>
        </w:rPr>
        <w:t>GB/T 31588.1-2015《色漆和清漆_耐循环腐蚀环境的测定_第1部分：湿(盐雾)∕干燥∕湿气》</w:t>
      </w:r>
    </w:p>
    <w:p w14:paraId="70CBB351">
      <w:pPr>
        <w:pStyle w:val="12"/>
        <w:ind w:left="0" w:leftChars="0" w:firstLineChars="200"/>
        <w:rPr>
          <w:rFonts w:hint="default" w:ascii="宋体" w:hAnsi="宋体" w:eastAsia="宋体" w:cs="宋体"/>
          <w:color w:val="auto"/>
          <w:sz w:val="21"/>
          <w:szCs w:val="21"/>
          <w:lang w:eastAsia="zh-CN"/>
        </w:rPr>
      </w:pPr>
      <w:r>
        <w:rPr>
          <w:rFonts w:hint="default" w:ascii="宋体" w:hAnsi="宋体" w:eastAsia="宋体" w:cs="宋体"/>
          <w:color w:val="auto"/>
          <w:sz w:val="21"/>
          <w:szCs w:val="21"/>
          <w:lang w:eastAsia="zh-CN"/>
        </w:rPr>
        <w:t>GB/T 20878-2007《不锈钢和耐热钢-牌号及化学成分》</w:t>
      </w:r>
    </w:p>
    <w:p w14:paraId="7B226DC1">
      <w:pPr>
        <w:pStyle w:val="12"/>
        <w:ind w:left="0" w:leftChars="0" w:firstLineChars="200"/>
        <w:rPr>
          <w:rFonts w:hint="default" w:ascii="宋体" w:hAnsi="宋体" w:eastAsia="宋体" w:cs="宋体"/>
          <w:color w:val="auto"/>
          <w:sz w:val="21"/>
          <w:szCs w:val="21"/>
          <w:lang w:eastAsia="zh-CN"/>
        </w:rPr>
      </w:pPr>
      <w:r>
        <w:rPr>
          <w:rFonts w:hint="default" w:ascii="宋体" w:hAnsi="宋体" w:eastAsia="宋体" w:cs="宋体"/>
          <w:color w:val="auto"/>
          <w:sz w:val="21"/>
          <w:szCs w:val="21"/>
          <w:lang w:eastAsia="zh-CN"/>
        </w:rPr>
        <w:t>GB/T 1865-2009《色漆和清漆 人工气候老化和人工辐射曝露滤过的氙弧辐射》</w:t>
      </w:r>
    </w:p>
    <w:p w14:paraId="608BE949">
      <w:pPr>
        <w:pStyle w:val="12"/>
        <w:ind w:left="0" w:leftChars="0" w:firstLineChars="200"/>
        <w:rPr>
          <w:rFonts w:hint="default" w:ascii="宋体" w:hAnsi="宋体" w:eastAsia="宋体" w:cs="宋体"/>
          <w:color w:val="auto"/>
          <w:sz w:val="21"/>
          <w:szCs w:val="21"/>
          <w:lang w:eastAsia="zh-CN"/>
        </w:rPr>
      </w:pPr>
      <w:r>
        <w:rPr>
          <w:rFonts w:hint="default" w:ascii="宋体" w:hAnsi="宋体" w:eastAsia="宋体" w:cs="宋体"/>
          <w:color w:val="auto"/>
          <w:sz w:val="21"/>
          <w:szCs w:val="21"/>
          <w:lang w:eastAsia="zh-CN"/>
        </w:rPr>
        <w:t>GB/T 9789-2008《金属和其他无机覆盖层通常凝露条件下的二氧化硫腐蚀试验》</w:t>
      </w:r>
    </w:p>
    <w:p w14:paraId="1C7368FD">
      <w:pPr>
        <w:pStyle w:val="12"/>
        <w:ind w:left="0" w:leftChars="0" w:firstLineChars="200"/>
        <w:rPr>
          <w:rFonts w:hint="default" w:ascii="宋体" w:hAnsi="宋体" w:eastAsia="宋体" w:cs="宋体"/>
          <w:color w:val="auto"/>
          <w:sz w:val="21"/>
          <w:szCs w:val="21"/>
          <w:lang w:eastAsia="zh-CN"/>
        </w:rPr>
      </w:pPr>
      <w:r>
        <w:rPr>
          <w:rFonts w:hint="default" w:ascii="宋体" w:hAnsi="宋体" w:eastAsia="宋体" w:cs="宋体"/>
          <w:color w:val="auto"/>
          <w:sz w:val="21"/>
          <w:szCs w:val="21"/>
          <w:lang w:eastAsia="zh-CN"/>
        </w:rPr>
        <w:t>GB/T 38144.1-2019《眼面部防护 应急喷淋和洗眼设备 第1部分：技术要求》</w:t>
      </w:r>
    </w:p>
    <w:p w14:paraId="3B8E5C38">
      <w:pPr>
        <w:pStyle w:val="12"/>
        <w:ind w:left="0" w:leftChars="0" w:firstLineChars="200"/>
        <w:rPr>
          <w:rFonts w:hint="default" w:ascii="宋体" w:hAnsi="宋体" w:eastAsia="宋体" w:cs="宋体"/>
          <w:color w:val="auto"/>
          <w:sz w:val="21"/>
          <w:szCs w:val="21"/>
          <w:lang w:eastAsia="zh-CN"/>
        </w:rPr>
      </w:pPr>
      <w:r>
        <w:rPr>
          <w:rFonts w:hint="default" w:ascii="宋体" w:hAnsi="宋体" w:eastAsia="宋体" w:cs="宋体"/>
          <w:color w:val="auto"/>
          <w:sz w:val="21"/>
          <w:szCs w:val="21"/>
          <w:lang w:eastAsia="zh-CN"/>
        </w:rPr>
        <w:t>GB/T 26572-2011《电子电气产品中限用物质的限量要求》</w:t>
      </w:r>
    </w:p>
    <w:p w14:paraId="4ADC7028">
      <w:pPr>
        <w:pStyle w:val="12"/>
        <w:ind w:left="0" w:leftChars="0" w:firstLine="422" w:firstLineChars="200"/>
        <w:rPr>
          <w:rFonts w:hint="eastAsia" w:ascii="宋体" w:hAnsi="宋体" w:eastAsia="宋体" w:cs="宋体"/>
          <w:b/>
          <w:bCs/>
          <w:color w:val="auto"/>
          <w:sz w:val="21"/>
          <w:szCs w:val="21"/>
          <w:lang w:eastAsia="zh-CN"/>
        </w:rPr>
      </w:pPr>
      <w:r>
        <w:rPr>
          <w:rFonts w:hint="eastAsia" w:ascii="宋体" w:hAnsi="宋体" w:eastAsia="宋体" w:cs="宋体"/>
          <w:b/>
          <w:bCs/>
          <w:color w:val="auto"/>
          <w:sz w:val="21"/>
          <w:szCs w:val="21"/>
          <w:lang w:eastAsia="zh-CN"/>
        </w:rPr>
        <w:t>及其他与本次采购的家具相关的现行最新标准</w:t>
      </w:r>
    </w:p>
    <w:p w14:paraId="2387288F">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HJ 2537-2014 《环境标志产品技术要求 水性涂料》</w:t>
      </w:r>
    </w:p>
    <w:p w14:paraId="2D961B73">
      <w:pPr>
        <w:pStyle w:val="12"/>
        <w:ind w:left="0" w:leftChars="0" w:firstLine="420" w:firstLineChars="200"/>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HJ 507-2009 《环境标志产品技术要求 皮革和合成革》</w:t>
      </w:r>
    </w:p>
    <w:p w14:paraId="43F8A689">
      <w:pPr>
        <w:ind w:firstLine="420"/>
        <w:rPr>
          <w:rFonts w:hint="eastAsia" w:ascii="宋体" w:hAnsi="宋体" w:eastAsia="宋体" w:cs="宋体"/>
          <w:color w:val="auto"/>
          <w:lang w:eastAsia="zh-CN"/>
        </w:rPr>
      </w:pPr>
      <w:r>
        <w:rPr>
          <w:rFonts w:ascii="宋体" w:hAnsi="宋体" w:eastAsia="宋体" w:cs="宋体"/>
          <w:color w:val="auto"/>
          <w:lang w:eastAsia="zh-CN"/>
        </w:rPr>
        <w:t>HJ 2547-2016 《环境标志产品技术要求 家具》</w:t>
      </w:r>
      <w:r>
        <w:rPr>
          <w:rFonts w:hint="eastAsia" w:ascii="宋体" w:hAnsi="宋体" w:eastAsia="宋体" w:cs="宋体"/>
          <w:color w:val="auto"/>
          <w:lang w:eastAsia="zh-CN"/>
        </w:rPr>
        <w:t xml:space="preserve"> </w:t>
      </w:r>
    </w:p>
    <w:p w14:paraId="2C00BAFD">
      <w:pPr>
        <w:ind w:firstLine="420"/>
        <w:rPr>
          <w:rFonts w:hint="eastAsia" w:ascii="宋体" w:hAnsi="宋体" w:eastAsia="宋体" w:cs="宋体"/>
          <w:color w:val="auto"/>
          <w:lang w:eastAsia="zh-CN"/>
        </w:rPr>
      </w:pPr>
      <w:r>
        <w:rPr>
          <w:rFonts w:hint="eastAsia" w:ascii="宋体" w:hAnsi="宋体" w:eastAsia="宋体" w:cs="宋体"/>
          <w:color w:val="auto"/>
          <w:lang w:eastAsia="zh-CN"/>
        </w:rPr>
        <w:t>QB/T 2454-2013 《家具五金 抽屉导轨》</w:t>
      </w:r>
    </w:p>
    <w:p w14:paraId="1148EC76">
      <w:pPr>
        <w:ind w:firstLine="420"/>
        <w:rPr>
          <w:rFonts w:hint="eastAsia" w:ascii="宋体" w:hAnsi="宋体" w:eastAsia="宋体" w:cs="宋体"/>
          <w:color w:val="auto"/>
          <w:lang w:eastAsia="zh-CN"/>
        </w:rPr>
      </w:pPr>
      <w:r>
        <w:rPr>
          <w:rFonts w:hint="eastAsia" w:ascii="宋体" w:hAnsi="宋体" w:eastAsia="宋体" w:cs="宋体"/>
          <w:color w:val="auto"/>
          <w:lang w:eastAsia="zh-CN"/>
        </w:rPr>
        <w:t>QB/T 4463-2013 《家具用封边条技术要求》</w:t>
      </w:r>
    </w:p>
    <w:p w14:paraId="54C4EC99">
      <w:pPr>
        <w:ind w:firstLine="420"/>
        <w:rPr>
          <w:rFonts w:hint="eastAsia" w:ascii="宋体" w:hAnsi="宋体" w:eastAsia="宋体" w:cs="宋体"/>
          <w:color w:val="auto"/>
          <w:lang w:eastAsia="zh-CN"/>
        </w:rPr>
      </w:pPr>
      <w:r>
        <w:rPr>
          <w:rFonts w:hint="eastAsia" w:ascii="宋体" w:hAnsi="宋体" w:eastAsia="宋体" w:cs="宋体"/>
          <w:color w:val="auto"/>
          <w:lang w:eastAsia="zh-CN"/>
        </w:rPr>
        <w:t>QB/T 2189-2013 《家具五金 杯状暗铰链》</w:t>
      </w:r>
    </w:p>
    <w:p w14:paraId="560BD78E">
      <w:pPr>
        <w:ind w:firstLine="420"/>
        <w:rPr>
          <w:rFonts w:hint="eastAsia" w:ascii="宋体" w:hAnsi="宋体" w:eastAsia="宋体" w:cs="宋体"/>
          <w:color w:val="auto"/>
          <w:lang w:eastAsia="zh-CN"/>
        </w:rPr>
      </w:pPr>
      <w:r>
        <w:rPr>
          <w:rFonts w:hint="eastAsia" w:ascii="宋体" w:hAnsi="宋体" w:eastAsia="宋体" w:cs="宋体"/>
          <w:color w:val="auto"/>
          <w:lang w:eastAsia="zh-CN"/>
        </w:rPr>
        <w:t>QB/T 3832-1999 《轻工产品金属镀层腐蚀试验结果的评价》</w:t>
      </w:r>
    </w:p>
    <w:p w14:paraId="2EA8278E">
      <w:pPr>
        <w:ind w:firstLine="420"/>
        <w:rPr>
          <w:rFonts w:hint="eastAsia" w:ascii="宋体" w:hAnsi="宋体" w:eastAsia="宋体" w:cs="宋体"/>
          <w:color w:val="auto"/>
          <w:lang w:eastAsia="zh-CN"/>
        </w:rPr>
      </w:pPr>
      <w:r>
        <w:rPr>
          <w:rFonts w:hint="eastAsia" w:ascii="宋体" w:hAnsi="宋体" w:eastAsia="宋体" w:cs="宋体"/>
          <w:color w:val="auto"/>
          <w:lang w:eastAsia="zh-CN"/>
        </w:rPr>
        <w:t>QB/T 2280-2016 《办公家具 办公椅》</w:t>
      </w:r>
    </w:p>
    <w:p w14:paraId="311E77F9">
      <w:pPr>
        <w:ind w:firstLine="420"/>
        <w:rPr>
          <w:rFonts w:hint="eastAsia" w:ascii="宋体" w:hAnsi="宋体" w:eastAsia="宋体" w:cs="宋体"/>
          <w:color w:val="auto"/>
          <w:lang w:eastAsia="zh-CN"/>
        </w:rPr>
      </w:pPr>
      <w:r>
        <w:rPr>
          <w:rFonts w:hint="eastAsia" w:ascii="宋体" w:hAnsi="宋体" w:eastAsia="宋体" w:cs="宋体"/>
          <w:color w:val="auto"/>
          <w:lang w:eastAsia="zh-CN"/>
        </w:rPr>
        <w:t xml:space="preserve">QB/T 1621-2015 《家具锁》 </w:t>
      </w:r>
    </w:p>
    <w:p w14:paraId="532EC3FF">
      <w:pPr>
        <w:ind w:firstLine="420"/>
        <w:rPr>
          <w:rFonts w:hint="eastAsia" w:ascii="宋体" w:hAnsi="宋体" w:eastAsia="宋体" w:cs="宋体"/>
          <w:color w:val="auto"/>
          <w:lang w:eastAsia="zh-CN"/>
        </w:rPr>
      </w:pPr>
      <w:r>
        <w:rPr>
          <w:rFonts w:hint="eastAsia" w:ascii="宋体" w:hAnsi="宋体" w:eastAsia="宋体" w:cs="宋体"/>
          <w:color w:val="auto"/>
          <w:lang w:eastAsia="zh-CN"/>
        </w:rPr>
        <w:t>QB/T 3826-1999 《轻工产品金属镀层和化学处理层的耐腐蚀试验方法中性盐雾试验（NSS）法》</w:t>
      </w:r>
    </w:p>
    <w:p w14:paraId="2E4C13DB">
      <w:pPr>
        <w:ind w:firstLine="420"/>
        <w:rPr>
          <w:rFonts w:hint="eastAsia" w:ascii="宋体" w:hAnsi="宋体" w:eastAsia="宋体" w:cs="宋体"/>
          <w:color w:val="auto"/>
          <w:lang w:eastAsia="zh-CN"/>
        </w:rPr>
      </w:pPr>
      <w:r>
        <w:rPr>
          <w:rFonts w:hint="eastAsia" w:ascii="宋体" w:hAnsi="宋体" w:eastAsia="宋体" w:cs="宋体"/>
          <w:color w:val="auto"/>
          <w:lang w:eastAsia="zh-CN"/>
        </w:rPr>
        <w:t>QB/T 3832-1999 《轻工产品金属镀层腐蚀试验结果的评价》</w:t>
      </w:r>
    </w:p>
    <w:p w14:paraId="296A535E">
      <w:pPr>
        <w:ind w:firstLine="420"/>
        <w:rPr>
          <w:rFonts w:hint="eastAsia" w:ascii="宋体" w:hAnsi="宋体" w:eastAsia="宋体" w:cs="宋体"/>
          <w:color w:val="auto"/>
          <w:lang w:eastAsia="zh-CN"/>
        </w:rPr>
      </w:pPr>
      <w:r>
        <w:rPr>
          <w:rFonts w:hint="eastAsia" w:ascii="宋体" w:hAnsi="宋体" w:eastAsia="宋体" w:cs="宋体"/>
          <w:color w:val="auto"/>
          <w:lang w:eastAsia="zh-CN"/>
        </w:rPr>
        <w:t>QB/T 3827-1999 《轻工产品金属镀层和化学处理层的耐腐蚀试验方法 乙酸盐雾试验(ASS)法》</w:t>
      </w:r>
    </w:p>
    <w:p w14:paraId="7AB415A9">
      <w:pPr>
        <w:ind w:firstLine="420"/>
        <w:rPr>
          <w:rFonts w:hint="eastAsia" w:ascii="宋体" w:hAnsi="宋体" w:eastAsia="宋体" w:cs="宋体"/>
          <w:color w:val="auto"/>
          <w:lang w:eastAsia="zh-CN"/>
        </w:rPr>
      </w:pPr>
      <w:r>
        <w:rPr>
          <w:rFonts w:hint="eastAsia" w:ascii="宋体" w:hAnsi="宋体" w:eastAsia="宋体" w:cs="宋体"/>
          <w:color w:val="auto"/>
          <w:lang w:eastAsia="zh-CN"/>
        </w:rPr>
        <w:t>QB/T 4371-2012 《家具抗菌性能的评价》</w:t>
      </w:r>
    </w:p>
    <w:p w14:paraId="0B34E398">
      <w:pPr>
        <w:ind w:firstLine="420"/>
        <w:rPr>
          <w:rFonts w:hint="eastAsia" w:ascii="宋体" w:hAnsi="宋体" w:eastAsia="宋体" w:cs="宋体"/>
          <w:color w:val="auto"/>
          <w:lang w:eastAsia="zh-CN"/>
        </w:rPr>
      </w:pPr>
      <w:r>
        <w:rPr>
          <w:rFonts w:hint="eastAsia" w:ascii="宋体" w:hAnsi="宋体" w:eastAsia="宋体" w:cs="宋体"/>
          <w:color w:val="auto"/>
          <w:lang w:eastAsia="zh-CN"/>
        </w:rPr>
        <w:t>LY/T 2230-2013 《人造板防霉性能评价》</w:t>
      </w:r>
    </w:p>
    <w:p w14:paraId="39ACC396">
      <w:pPr>
        <w:ind w:firstLine="420"/>
        <w:rPr>
          <w:rFonts w:hint="eastAsia" w:ascii="宋体" w:hAnsi="宋体" w:eastAsia="宋体" w:cs="宋体"/>
          <w:color w:val="auto"/>
          <w:lang w:eastAsia="zh-CN"/>
        </w:rPr>
      </w:pPr>
      <w:r>
        <w:rPr>
          <w:rFonts w:hint="eastAsia" w:ascii="宋体" w:hAnsi="宋体" w:eastAsia="宋体" w:cs="宋体"/>
          <w:color w:val="auto"/>
          <w:lang w:eastAsia="zh-CN"/>
        </w:rPr>
        <w:t>LY/T 1985-2011 《防腐木材和人造板中五氯苯酚含量的测定方法》</w:t>
      </w:r>
    </w:p>
    <w:p w14:paraId="28770717">
      <w:pPr>
        <w:ind w:firstLine="420"/>
        <w:rPr>
          <w:rFonts w:hint="eastAsia" w:ascii="宋体" w:hAnsi="宋体" w:eastAsia="宋体" w:cs="宋体"/>
          <w:color w:val="auto"/>
          <w:lang w:eastAsia="zh-CN"/>
        </w:rPr>
      </w:pPr>
      <w:r>
        <w:rPr>
          <w:rFonts w:hint="eastAsia" w:ascii="宋体" w:hAnsi="宋体" w:eastAsia="宋体" w:cs="宋体"/>
          <w:color w:val="auto"/>
          <w:lang w:eastAsia="zh-CN"/>
        </w:rPr>
        <w:t>LY/T 1926-2020 《人造板与木（竹）制品抗菌性能检测与分级》</w:t>
      </w:r>
    </w:p>
    <w:p w14:paraId="7C1B88CD">
      <w:pPr>
        <w:ind w:firstLine="420"/>
        <w:rPr>
          <w:rFonts w:hint="eastAsia" w:ascii="宋体" w:hAnsi="宋体" w:eastAsia="宋体" w:cs="宋体"/>
          <w:color w:val="auto"/>
          <w:lang w:eastAsia="zh-CN"/>
        </w:rPr>
      </w:pPr>
      <w:r>
        <w:rPr>
          <w:rFonts w:ascii="宋体" w:hAnsi="宋体" w:eastAsia="宋体" w:cs="宋体"/>
          <w:color w:val="auto"/>
          <w:lang w:eastAsia="zh-CN"/>
        </w:rPr>
        <w:t>JC/T 2039-2010《抗菌防霉木质装饰板》</w:t>
      </w:r>
    </w:p>
    <w:p w14:paraId="482E92EF">
      <w:pPr>
        <w:ind w:firstLine="420"/>
        <w:rPr>
          <w:rFonts w:hint="eastAsia" w:ascii="宋体" w:hAnsi="宋体" w:eastAsia="宋体" w:cs="宋体"/>
          <w:color w:val="auto"/>
          <w:lang w:eastAsia="zh-CN"/>
        </w:rPr>
      </w:pPr>
    </w:p>
    <w:p w14:paraId="58FAB97F">
      <w:pPr>
        <w:spacing w:before="120" w:line="360" w:lineRule="auto"/>
        <w:ind w:left="0" w:firstLine="420"/>
        <w:outlineLvl w:val="6"/>
        <w:rPr>
          <w:rFonts w:hint="eastAsia" w:ascii="宋体" w:hAnsi="宋体" w:eastAsia="宋体" w:cs="宋体"/>
          <w:b/>
          <w:bCs/>
          <w:color w:val="auto"/>
          <w:spacing w:val="-25"/>
          <w:lang w:eastAsia="zh-CN"/>
        </w:rPr>
      </w:pPr>
      <w:r>
        <w:rPr>
          <w:rFonts w:hint="eastAsia" w:ascii="宋体" w:hAnsi="宋体" w:eastAsia="宋体" w:cs="宋体"/>
          <w:b/>
          <w:bCs/>
          <w:color w:val="auto"/>
          <w:spacing w:val="-2"/>
          <w:lang w:eastAsia="zh-CN"/>
        </w:rPr>
        <w:t>四、</w:t>
      </w:r>
      <w:r>
        <w:rPr>
          <w:rFonts w:hint="eastAsia" w:ascii="宋体" w:hAnsi="宋体" w:eastAsia="宋体" w:cs="宋体"/>
          <w:b/>
          <w:bCs/>
          <w:color w:val="auto"/>
          <w:lang w:eastAsia="zh-CN"/>
        </w:rPr>
        <w:t>采购清单及技术参数</w:t>
      </w:r>
      <w:r>
        <w:rPr>
          <w:rFonts w:hint="eastAsia" w:ascii="宋体" w:hAnsi="宋体" w:eastAsia="宋体" w:cs="宋体"/>
          <w:b/>
          <w:bCs/>
          <w:color w:val="auto"/>
          <w:spacing w:val="-2"/>
          <w:lang w:eastAsia="zh-CN"/>
        </w:rPr>
        <w:t>要求</w:t>
      </w:r>
    </w:p>
    <w:p w14:paraId="3AF00C00">
      <w:pPr>
        <w:ind w:firstLine="420"/>
        <w:rPr>
          <w:color w:val="auto"/>
          <w:lang w:eastAsia="zh-CN"/>
        </w:rPr>
      </w:pPr>
      <w:r>
        <w:rPr>
          <w:rFonts w:hint="eastAsia"/>
          <w:color w:val="auto"/>
          <w:lang w:eastAsia="zh-CN"/>
        </w:rPr>
        <w:t>详见附件：上海九院家具清单</w:t>
      </w:r>
    </w:p>
    <w:p w14:paraId="7315DE0E">
      <w:pPr>
        <w:ind w:firstLine="420"/>
        <w:rPr>
          <w:color w:val="auto"/>
          <w:lang w:eastAsia="zh-CN"/>
        </w:rPr>
      </w:pPr>
      <w:r>
        <w:rPr>
          <w:rFonts w:hint="eastAsia"/>
          <w:color w:val="auto"/>
          <w:lang w:eastAsia="zh-CN"/>
        </w:rPr>
        <w:t>允许供应商在保证样品总体尺寸符合采购需求要求的情况下进行设计优化。</w:t>
      </w:r>
    </w:p>
    <w:p w14:paraId="5D6C59CB">
      <w:pPr>
        <w:spacing w:before="123" w:line="360" w:lineRule="auto"/>
        <w:ind w:firstLine="422" w:firstLineChars="200"/>
        <w:outlineLvl w:val="6"/>
        <w:rPr>
          <w:rFonts w:hint="eastAsia" w:ascii="宋体" w:hAnsi="宋体" w:eastAsia="宋体" w:cs="宋体"/>
          <w:b/>
          <w:bCs/>
          <w:color w:val="auto"/>
          <w:lang w:eastAsia="zh-CN"/>
        </w:rPr>
      </w:pPr>
    </w:p>
    <w:p w14:paraId="4C88E235">
      <w:pPr>
        <w:spacing w:before="123" w:line="360" w:lineRule="auto"/>
        <w:ind w:firstLine="420" w:firstLineChars="0"/>
        <w:outlineLvl w:val="6"/>
        <w:rPr>
          <w:rFonts w:hint="eastAsia" w:ascii="宋体" w:hAnsi="宋体" w:eastAsia="宋体" w:cs="宋体"/>
          <w:color w:val="auto"/>
          <w:lang w:eastAsia="zh-CN"/>
        </w:rPr>
      </w:pPr>
      <w:r>
        <w:rPr>
          <w:rFonts w:hint="eastAsia" w:ascii="宋体" w:hAnsi="宋体" w:eastAsia="宋体" w:cs="宋体"/>
          <w:b/>
          <w:bCs/>
          <w:color w:val="auto"/>
          <w:lang w:eastAsia="zh-CN"/>
        </w:rPr>
        <w:t>五、材料要求</w:t>
      </w:r>
    </w:p>
    <w:p w14:paraId="1EBABE49">
      <w:pPr>
        <w:pStyle w:val="8"/>
        <w:spacing w:before="315" w:line="360" w:lineRule="auto"/>
        <w:ind w:firstLine="422" w:firstLineChars="200"/>
        <w:rPr>
          <w:rFonts w:hint="eastAsia"/>
          <w:b/>
          <w:bCs/>
          <w:color w:val="auto"/>
          <w:sz w:val="21"/>
          <w:szCs w:val="21"/>
          <w:lang w:eastAsia="zh-CN"/>
        </w:rPr>
      </w:pPr>
      <w:r>
        <w:rPr>
          <w:rFonts w:hint="eastAsia"/>
          <w:b/>
          <w:bCs/>
          <w:color w:val="auto"/>
          <w:sz w:val="21"/>
          <w:szCs w:val="21"/>
          <w:lang w:eastAsia="zh-CN"/>
        </w:rPr>
        <w:t>本项目采用的材料需符合以下要求：</w:t>
      </w:r>
    </w:p>
    <w:p w14:paraId="30D45413">
      <w:pPr>
        <w:numPr>
          <w:ilvl w:val="-1"/>
          <w:numId w:val="0"/>
        </w:numPr>
        <w:ind w:leftChars="200" w:firstLine="0" w:firstLineChars="0"/>
        <w:rPr>
          <w:rFonts w:hint="eastAsia"/>
          <w:color w:val="auto"/>
          <w:lang w:eastAsia="zh-CN"/>
        </w:rPr>
      </w:pPr>
      <w:r>
        <w:rPr>
          <w:rFonts w:hint="eastAsia"/>
          <w:color w:val="auto"/>
          <w:lang w:eastAsia="zh-CN"/>
        </w:rPr>
        <w:t>（一）提供以下原材料的检测报告用作评分及验收：</w:t>
      </w:r>
    </w:p>
    <w:p w14:paraId="21104A9C">
      <w:pPr>
        <w:numPr>
          <w:ilvl w:val="0"/>
          <w:numId w:val="2"/>
        </w:numPr>
        <w:spacing w:line="288" w:lineRule="auto"/>
        <w:ind w:left="420"/>
        <w:rPr>
          <w:rFonts w:hint="eastAsia" w:ascii="宋体" w:hAnsi="宋体" w:eastAsia="宋体" w:cs="宋体"/>
          <w:b/>
          <w:bCs/>
          <w:color w:val="auto"/>
          <w:lang w:eastAsia="zh-CN"/>
        </w:rPr>
      </w:pPr>
      <w:r>
        <w:rPr>
          <w:rFonts w:hint="eastAsia" w:ascii="宋体" w:hAnsi="宋体" w:eastAsia="宋体" w:cs="宋体"/>
          <w:b/>
          <w:bCs/>
          <w:color w:val="auto"/>
          <w:lang w:eastAsia="zh-CN"/>
        </w:rPr>
        <w:t>油漆：</w:t>
      </w:r>
    </w:p>
    <w:p w14:paraId="2503663E">
      <w:pPr>
        <w:spacing w:line="288" w:lineRule="auto"/>
        <w:ind w:left="420"/>
        <w:rPr>
          <w:rFonts w:hint="eastAsia" w:ascii="宋体" w:hAnsi="宋体" w:eastAsia="宋体" w:cs="宋体"/>
          <w:color w:val="auto"/>
          <w:highlight w:val="none"/>
          <w:lang w:eastAsia="zh-CN"/>
        </w:rPr>
      </w:pPr>
      <w:r>
        <w:rPr>
          <w:rFonts w:hint="eastAsia" w:ascii="宋体" w:hAnsi="宋体" w:eastAsia="宋体" w:cs="宋体"/>
          <w:b/>
          <w:bCs/>
          <w:color w:val="auto"/>
          <w:lang w:eastAsia="zh-CN"/>
        </w:rPr>
        <w:t>（</w:t>
      </w:r>
      <w:r>
        <w:rPr>
          <w:rFonts w:hint="eastAsia" w:ascii="宋体" w:hAnsi="宋体" w:eastAsia="宋体" w:cs="宋体"/>
          <w:b/>
          <w:bCs/>
          <w:color w:val="auto"/>
          <w:lang w:val="en-US" w:eastAsia="zh-CN"/>
        </w:rPr>
        <w:t>1</w:t>
      </w:r>
      <w:r>
        <w:rPr>
          <w:rFonts w:hint="eastAsia" w:ascii="宋体" w:hAnsi="宋体" w:eastAsia="宋体" w:cs="宋体"/>
          <w:b/>
          <w:bCs/>
          <w:color w:val="auto"/>
          <w:lang w:eastAsia="zh-CN"/>
        </w:rPr>
        <w:t>）▲</w:t>
      </w:r>
      <w:r>
        <w:rPr>
          <w:rFonts w:hint="eastAsia" w:ascii="宋体" w:hAnsi="宋体" w:eastAsia="宋体" w:cs="宋体"/>
          <w:color w:val="auto"/>
          <w:lang w:eastAsia="zh-CN"/>
        </w:rPr>
        <w:t>符合GB 18581-2020标准</w:t>
      </w:r>
      <w:r>
        <w:rPr>
          <w:rFonts w:hint="eastAsia" w:ascii="宋体" w:hAnsi="宋体" w:eastAsia="宋体" w:cs="宋体"/>
          <w:color w:val="auto"/>
          <w:highlight w:val="none"/>
          <w:lang w:eastAsia="zh-CN"/>
        </w:rPr>
        <w:t>，甲醛含量mg/kg：未检出；</w:t>
      </w:r>
    </w:p>
    <w:p w14:paraId="06A10C23">
      <w:pPr>
        <w:numPr>
          <w:ilvl w:val="255"/>
          <w:numId w:val="0"/>
        </w:numPr>
        <w:spacing w:line="288" w:lineRule="auto"/>
        <w:ind w:left="420"/>
        <w:rPr>
          <w:rFonts w:hint="eastAsia" w:ascii="宋体" w:hAnsi="宋体" w:eastAsia="宋体" w:cs="宋体"/>
          <w:b/>
          <w:bCs/>
          <w:color w:val="auto"/>
          <w:highlight w:val="none"/>
          <w:lang w:eastAsia="zh-CN"/>
        </w:rPr>
      </w:pPr>
      <w:r>
        <w:rPr>
          <w:rFonts w:hint="eastAsia" w:ascii="宋体" w:hAnsi="宋体" w:eastAsia="宋体" w:cs="宋体"/>
          <w:b/>
          <w:bCs/>
          <w:color w:val="auto"/>
          <w:highlight w:val="none"/>
          <w:lang w:eastAsia="zh-CN"/>
        </w:rPr>
        <w:t>2、三节路轨（导轨）：</w:t>
      </w:r>
    </w:p>
    <w:p w14:paraId="51C31B61">
      <w:pPr>
        <w:numPr>
          <w:ilvl w:val="255"/>
          <w:numId w:val="0"/>
        </w:numPr>
        <w:spacing w:line="288" w:lineRule="auto"/>
        <w:ind w:firstLine="420" w:firstLineChars="200"/>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t>（1）</w:t>
      </w:r>
      <w:r>
        <w:rPr>
          <w:rFonts w:hint="eastAsia" w:ascii="宋体" w:hAnsi="宋体" w:eastAsia="宋体" w:cs="宋体"/>
          <w:b/>
          <w:bCs/>
          <w:color w:val="auto"/>
          <w:lang w:eastAsia="zh-CN"/>
        </w:rPr>
        <w:t>▲</w:t>
      </w:r>
      <w:r>
        <w:rPr>
          <w:rFonts w:hint="eastAsia" w:ascii="宋体" w:hAnsi="宋体" w:eastAsia="宋体" w:cs="宋体"/>
          <w:b/>
          <w:bCs/>
          <w:color w:val="auto"/>
          <w:highlight w:val="none"/>
          <w:lang w:eastAsia="zh-CN"/>
        </w:rPr>
        <w:t>符合</w:t>
      </w:r>
      <w:r>
        <w:rPr>
          <w:rFonts w:hint="eastAsia" w:ascii="宋体" w:hAnsi="宋体" w:eastAsia="宋体" w:cs="宋体"/>
          <w:color w:val="auto"/>
          <w:highlight w:val="none"/>
          <w:lang w:eastAsia="zh-CN"/>
        </w:rPr>
        <w:t>QB/T 3826-1999、QB/T 3827-1999、QB/T 3832-1999标准：经过≥350小时乙酸、中性盐雾试验后，涂层本身的耐腐蚀等级≥9级，涂层对基体的保护等级≥9 级；</w:t>
      </w:r>
    </w:p>
    <w:p w14:paraId="5FC26568">
      <w:pPr>
        <w:spacing w:line="288" w:lineRule="auto"/>
        <w:ind w:firstLine="420" w:firstLineChars="200"/>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t>（2）符合QB/T 2454-2013标准：通过垂直向下静载荷（≥200N）；</w:t>
      </w:r>
    </w:p>
    <w:p w14:paraId="329736C5">
      <w:pPr>
        <w:spacing w:line="288" w:lineRule="auto"/>
        <w:ind w:firstLine="420" w:firstLineChars="200"/>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t>（</w:t>
      </w:r>
      <w:r>
        <w:rPr>
          <w:rFonts w:hint="eastAsia" w:ascii="宋体" w:hAnsi="宋体" w:eastAsia="宋体" w:cs="宋体"/>
          <w:color w:val="auto"/>
          <w:highlight w:val="none"/>
          <w:lang w:val="en-US" w:eastAsia="zh-CN"/>
        </w:rPr>
        <w:t>3</w:t>
      </w:r>
      <w:r>
        <w:rPr>
          <w:rFonts w:hint="eastAsia" w:ascii="宋体" w:hAnsi="宋体" w:eastAsia="宋体" w:cs="宋体"/>
          <w:color w:val="auto"/>
          <w:highlight w:val="none"/>
          <w:lang w:eastAsia="zh-CN"/>
        </w:rPr>
        <w:t>）符合QB/T 2454-2013标准：水平侧向静载荷（≥100N）；</w:t>
      </w:r>
    </w:p>
    <w:p w14:paraId="450413E8">
      <w:pPr>
        <w:spacing w:line="288" w:lineRule="auto"/>
        <w:ind w:firstLine="420" w:firstLineChars="200"/>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t>（</w:t>
      </w:r>
      <w:r>
        <w:rPr>
          <w:rFonts w:hint="eastAsia" w:ascii="宋体" w:hAnsi="宋体" w:eastAsia="宋体" w:cs="宋体"/>
          <w:color w:val="auto"/>
          <w:highlight w:val="none"/>
          <w:lang w:val="en-US" w:eastAsia="zh-CN"/>
        </w:rPr>
        <w:t>4</w:t>
      </w:r>
      <w:r>
        <w:rPr>
          <w:rFonts w:hint="eastAsia" w:ascii="宋体" w:hAnsi="宋体" w:eastAsia="宋体" w:cs="宋体"/>
          <w:color w:val="auto"/>
          <w:highlight w:val="none"/>
          <w:lang w:eastAsia="zh-CN"/>
        </w:rPr>
        <w:t>）符合QB/T 2454-2013标准：拉出安全性；</w:t>
      </w:r>
    </w:p>
    <w:p w14:paraId="4EC30639">
      <w:pPr>
        <w:spacing w:line="288" w:lineRule="auto"/>
        <w:ind w:firstLine="420" w:firstLineChars="200"/>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t>（</w:t>
      </w:r>
      <w:r>
        <w:rPr>
          <w:rFonts w:hint="eastAsia" w:ascii="宋体" w:hAnsi="宋体" w:eastAsia="宋体" w:cs="宋体"/>
          <w:color w:val="auto"/>
          <w:highlight w:val="none"/>
          <w:lang w:val="en-US" w:eastAsia="zh-CN"/>
        </w:rPr>
        <w:t>5</w:t>
      </w:r>
      <w:r>
        <w:rPr>
          <w:rFonts w:hint="eastAsia" w:ascii="宋体" w:hAnsi="宋体" w:eastAsia="宋体" w:cs="宋体"/>
          <w:color w:val="auto"/>
          <w:highlight w:val="none"/>
          <w:lang w:eastAsia="zh-CN"/>
        </w:rPr>
        <w:t>）符合QB/T 2454-2013标准：猛关或猛开试验；；</w:t>
      </w:r>
    </w:p>
    <w:p w14:paraId="69662146">
      <w:pPr>
        <w:spacing w:line="288" w:lineRule="auto"/>
        <w:ind w:firstLine="420" w:firstLineChars="200"/>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t>（</w:t>
      </w:r>
      <w:r>
        <w:rPr>
          <w:rFonts w:hint="eastAsia" w:ascii="宋体" w:hAnsi="宋体" w:eastAsia="宋体" w:cs="宋体"/>
          <w:color w:val="auto"/>
          <w:highlight w:val="none"/>
          <w:lang w:val="en-US" w:eastAsia="zh-CN"/>
        </w:rPr>
        <w:t>6</w:t>
      </w:r>
      <w:r>
        <w:rPr>
          <w:rFonts w:hint="eastAsia" w:ascii="宋体" w:hAnsi="宋体" w:eastAsia="宋体" w:cs="宋体"/>
          <w:color w:val="auto"/>
          <w:highlight w:val="none"/>
          <w:lang w:eastAsia="zh-CN"/>
        </w:rPr>
        <w:t>）▲符合QB/T 2454-2013标准：耐久性≥120000次；</w:t>
      </w:r>
    </w:p>
    <w:p w14:paraId="0EF47894">
      <w:pPr>
        <w:spacing w:line="288" w:lineRule="auto"/>
        <w:ind w:firstLine="420" w:firstLineChars="200"/>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t>（</w:t>
      </w:r>
      <w:r>
        <w:rPr>
          <w:rFonts w:hint="eastAsia" w:ascii="宋体" w:hAnsi="宋体" w:eastAsia="宋体" w:cs="宋体"/>
          <w:color w:val="auto"/>
          <w:highlight w:val="none"/>
          <w:lang w:val="en-US" w:eastAsia="zh-CN"/>
        </w:rPr>
        <w:t>7</w:t>
      </w:r>
      <w:r>
        <w:rPr>
          <w:rFonts w:hint="eastAsia" w:ascii="宋体" w:hAnsi="宋体" w:eastAsia="宋体" w:cs="宋体"/>
          <w:color w:val="auto"/>
          <w:highlight w:val="none"/>
          <w:lang w:eastAsia="zh-CN"/>
        </w:rPr>
        <w:t>）符合QB/T 2454-2013标准：下沉量不应超过抽屉导轨拉出长度的3.5%；</w:t>
      </w:r>
    </w:p>
    <w:p w14:paraId="55506EED">
      <w:pPr>
        <w:spacing w:line="288" w:lineRule="auto"/>
        <w:ind w:firstLine="422" w:firstLineChars="200"/>
        <w:rPr>
          <w:rFonts w:hint="eastAsia" w:ascii="宋体" w:hAnsi="宋体" w:eastAsia="宋体" w:cs="宋体"/>
          <w:b/>
          <w:bCs/>
          <w:color w:val="auto"/>
          <w:highlight w:val="none"/>
          <w:lang w:eastAsia="zh-CN"/>
        </w:rPr>
      </w:pPr>
      <w:r>
        <w:rPr>
          <w:rFonts w:hint="eastAsia" w:ascii="宋体" w:hAnsi="宋体" w:eastAsia="宋体" w:cs="宋体"/>
          <w:b/>
          <w:bCs/>
          <w:color w:val="auto"/>
          <w:highlight w:val="none"/>
          <w:lang w:eastAsia="zh-CN"/>
        </w:rPr>
        <w:t>3、封边条：</w:t>
      </w:r>
    </w:p>
    <w:p w14:paraId="5D2F9D7B">
      <w:pPr>
        <w:numPr>
          <w:ilvl w:val="255"/>
          <w:numId w:val="0"/>
        </w:numPr>
        <w:spacing w:line="288" w:lineRule="auto"/>
        <w:ind w:firstLine="420"/>
        <w:rPr>
          <w:rFonts w:hint="eastAsia" w:ascii="宋体" w:hAnsi="宋体" w:eastAsia="宋体" w:cs="宋体"/>
          <w:color w:val="auto"/>
          <w:highlight w:val="none"/>
          <w:lang w:eastAsia="zh-CN"/>
        </w:rPr>
      </w:pPr>
      <w:r>
        <w:rPr>
          <w:rFonts w:hint="eastAsia" w:ascii="宋体" w:hAnsi="宋体" w:eastAsia="宋体" w:cs="宋体"/>
          <w:b/>
          <w:bCs/>
          <w:color w:val="auto"/>
          <w:highlight w:val="none"/>
          <w:lang w:eastAsia="zh-CN"/>
        </w:rPr>
        <w:t>（1）▲</w:t>
      </w:r>
      <w:r>
        <w:rPr>
          <w:rFonts w:hint="eastAsia" w:ascii="宋体" w:hAnsi="宋体" w:eastAsia="宋体" w:cs="宋体"/>
          <w:color w:val="auto"/>
          <w:highlight w:val="none"/>
          <w:lang w:eastAsia="zh-CN"/>
        </w:rPr>
        <w:t>符合QB/T 4463-2013标准：耐老化性：应无开裂；耐开裂性(耐龟裂性)：≥2级（1级最好）；</w:t>
      </w:r>
    </w:p>
    <w:p w14:paraId="20F6AA6A">
      <w:pPr>
        <w:numPr>
          <w:ilvl w:val="255"/>
          <w:numId w:val="0"/>
        </w:numPr>
        <w:spacing w:line="288" w:lineRule="auto"/>
        <w:ind w:firstLine="420"/>
        <w:rPr>
          <w:rFonts w:hint="eastAsia" w:ascii="宋体" w:hAnsi="宋体" w:eastAsia="宋体" w:cs="宋体"/>
          <w:color w:val="auto"/>
          <w:highlight w:val="none"/>
          <w:lang w:eastAsia="zh-CN"/>
        </w:rPr>
      </w:pPr>
      <w:r>
        <w:rPr>
          <w:rFonts w:hint="eastAsia" w:ascii="宋体" w:hAnsi="宋体" w:eastAsia="宋体" w:cs="宋体"/>
          <w:b/>
          <w:bCs/>
          <w:color w:val="auto"/>
          <w:highlight w:val="none"/>
          <w:lang w:eastAsia="zh-CN"/>
        </w:rPr>
        <w:t>（2）</w:t>
      </w:r>
      <w:r>
        <w:rPr>
          <w:rFonts w:hint="eastAsia" w:ascii="宋体" w:hAnsi="宋体" w:eastAsia="宋体" w:cs="宋体"/>
          <w:color w:val="auto"/>
          <w:highlight w:val="none"/>
          <w:lang w:eastAsia="zh-CN"/>
        </w:rPr>
        <w:t>符合QB/T 4463-2013标准：甲醛释放量：≤0.124mg/L；</w:t>
      </w:r>
    </w:p>
    <w:p w14:paraId="4F1053F0">
      <w:pPr>
        <w:numPr>
          <w:ilvl w:val="255"/>
          <w:numId w:val="0"/>
        </w:numPr>
        <w:spacing w:line="288" w:lineRule="auto"/>
        <w:ind w:firstLine="420"/>
        <w:rPr>
          <w:rFonts w:hint="eastAsia" w:ascii="宋体" w:hAnsi="宋体" w:eastAsia="宋体" w:cs="宋体"/>
          <w:color w:val="auto"/>
          <w:highlight w:val="none"/>
          <w:lang w:eastAsia="zh-CN"/>
        </w:rPr>
      </w:pPr>
      <w:r>
        <w:rPr>
          <w:rFonts w:hint="eastAsia" w:ascii="宋体" w:hAnsi="宋体" w:eastAsia="宋体" w:cs="宋体"/>
          <w:b/>
          <w:bCs/>
          <w:color w:val="auto"/>
          <w:highlight w:val="none"/>
          <w:lang w:eastAsia="zh-CN"/>
        </w:rPr>
        <w:t>（</w:t>
      </w:r>
      <w:r>
        <w:rPr>
          <w:rFonts w:hint="eastAsia" w:ascii="宋体" w:hAnsi="宋体" w:eastAsia="宋体" w:cs="宋体"/>
          <w:b/>
          <w:bCs/>
          <w:color w:val="auto"/>
          <w:highlight w:val="none"/>
          <w:lang w:val="en-US" w:eastAsia="zh-CN"/>
        </w:rPr>
        <w:t>3</w:t>
      </w:r>
      <w:r>
        <w:rPr>
          <w:rFonts w:hint="eastAsia" w:ascii="宋体" w:hAnsi="宋体" w:eastAsia="宋体" w:cs="宋体"/>
          <w:b/>
          <w:bCs/>
          <w:color w:val="auto"/>
          <w:highlight w:val="none"/>
          <w:lang w:eastAsia="zh-CN"/>
        </w:rPr>
        <w:t>）</w:t>
      </w:r>
      <w:r>
        <w:rPr>
          <w:rFonts w:hint="eastAsia" w:ascii="宋体" w:hAnsi="宋体" w:eastAsia="宋体" w:cs="宋体"/>
          <w:color w:val="auto"/>
          <w:highlight w:val="none"/>
          <w:lang w:eastAsia="zh-CN"/>
        </w:rPr>
        <w:t>符合QB/T 4463-2013标准：氯乙烯单体：≤0.1mg/kg；</w:t>
      </w:r>
    </w:p>
    <w:p w14:paraId="5989BF8B">
      <w:pPr>
        <w:numPr>
          <w:ilvl w:val="255"/>
          <w:numId w:val="0"/>
        </w:numPr>
        <w:spacing w:line="288" w:lineRule="auto"/>
        <w:ind w:firstLine="420"/>
        <w:rPr>
          <w:rFonts w:hint="eastAsia" w:ascii="宋体" w:hAnsi="宋体" w:eastAsia="宋体" w:cs="宋体"/>
          <w:color w:val="auto"/>
          <w:highlight w:val="none"/>
          <w:lang w:eastAsia="zh-CN"/>
        </w:rPr>
      </w:pPr>
      <w:r>
        <w:rPr>
          <w:rFonts w:hint="eastAsia" w:ascii="宋体" w:hAnsi="宋体" w:eastAsia="宋体" w:cs="宋体"/>
          <w:b/>
          <w:bCs/>
          <w:color w:val="auto"/>
          <w:highlight w:val="none"/>
          <w:lang w:eastAsia="zh-CN"/>
        </w:rPr>
        <w:t>（3）</w:t>
      </w:r>
      <w:r>
        <w:rPr>
          <w:rFonts w:hint="eastAsia" w:ascii="宋体" w:hAnsi="宋体" w:eastAsia="宋体" w:cs="宋体"/>
          <w:color w:val="auto"/>
          <w:highlight w:val="none"/>
          <w:lang w:eastAsia="zh-CN"/>
        </w:rPr>
        <w:t>符合QB/T 4463-2013标准：可迁移元素(可溶性重金属)：铅：≤90mg/kg、镉：≤50mg/kg、铬：≤25mg/kg、汞：≤25mg/kg、锑：≤60mg/kg、钡：≤1000mg/kg、硒：≤500mg/kg、砷：≤25mg/kg；邻苯二甲酸酯(DBP、BBP、DEHP、DNOP、DINP、DIDP)的总量≤0.01%；</w:t>
      </w:r>
    </w:p>
    <w:p w14:paraId="6A066D5C">
      <w:pPr>
        <w:spacing w:line="288" w:lineRule="auto"/>
        <w:ind w:firstLine="422" w:firstLineChars="200"/>
        <w:rPr>
          <w:rFonts w:hint="eastAsia" w:ascii="宋体" w:hAnsi="宋体" w:eastAsia="宋体" w:cs="宋体"/>
          <w:color w:val="auto"/>
          <w:highlight w:val="none"/>
          <w:lang w:eastAsia="zh-CN"/>
        </w:rPr>
      </w:pPr>
      <w:r>
        <w:rPr>
          <w:rFonts w:hint="eastAsia" w:ascii="宋体" w:hAnsi="宋体" w:eastAsia="宋体" w:cs="宋体"/>
          <w:b/>
          <w:bCs/>
          <w:color w:val="auto"/>
          <w:highlight w:val="none"/>
          <w:lang w:eastAsia="zh-CN"/>
        </w:rPr>
        <w:t>4、皮革</w:t>
      </w:r>
      <w:r>
        <w:rPr>
          <w:rFonts w:hint="eastAsia" w:ascii="宋体" w:hAnsi="宋体" w:eastAsia="宋体" w:cs="宋体"/>
          <w:color w:val="auto"/>
          <w:highlight w:val="none"/>
          <w:lang w:eastAsia="zh-CN"/>
        </w:rPr>
        <w:t>：</w:t>
      </w:r>
    </w:p>
    <w:p w14:paraId="40216603">
      <w:pPr>
        <w:numPr>
          <w:ilvl w:val="255"/>
          <w:numId w:val="0"/>
        </w:numPr>
        <w:spacing w:line="288" w:lineRule="auto"/>
        <w:ind w:firstLine="420"/>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t>（1）符合GB/T 16799-2018标准：禁用偶氮染料含量联苯胺、4-氯邻甲苯胺、2-萘胺、邻氨基偶氮甲苯、对氯苯胺、2,4-二氨基苯甲醚、3,3</w:t>
      </w:r>
      <w:r>
        <w:rPr>
          <w:rFonts w:hint="eastAsia" w:ascii="宋体" w:hAnsi="宋体" w:eastAsia="宋体" w:cs="宋体"/>
          <w:color w:val="auto"/>
          <w:highlight w:val="none"/>
          <w:vertAlign w:val="superscript"/>
          <w:lang w:eastAsia="zh-CN"/>
        </w:rPr>
        <w:t>，</w:t>
      </w:r>
      <w:r>
        <w:rPr>
          <w:rFonts w:hint="eastAsia" w:ascii="宋体" w:hAnsi="宋体" w:eastAsia="宋体" w:cs="宋体"/>
          <w:color w:val="auto"/>
          <w:highlight w:val="none"/>
          <w:lang w:eastAsia="zh-CN"/>
        </w:rPr>
        <w:t>-二甲氧基联苯胺均≤30mg/kg；</w:t>
      </w:r>
    </w:p>
    <w:p w14:paraId="4FC6006D">
      <w:pPr>
        <w:numPr>
          <w:ilvl w:val="255"/>
          <w:numId w:val="0"/>
        </w:numPr>
        <w:spacing w:line="288" w:lineRule="auto"/>
        <w:ind w:firstLine="420"/>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t>（</w:t>
      </w:r>
      <w:r>
        <w:rPr>
          <w:rFonts w:hint="eastAsia" w:ascii="宋体" w:hAnsi="宋体" w:eastAsia="宋体" w:cs="宋体"/>
          <w:color w:val="auto"/>
          <w:highlight w:val="none"/>
          <w:lang w:val="en-US" w:eastAsia="zh-CN"/>
        </w:rPr>
        <w:t>2</w:t>
      </w:r>
      <w:r>
        <w:rPr>
          <w:rFonts w:hint="eastAsia" w:ascii="宋体" w:hAnsi="宋体" w:eastAsia="宋体" w:cs="宋体"/>
          <w:color w:val="auto"/>
          <w:highlight w:val="none"/>
          <w:lang w:eastAsia="zh-CN"/>
        </w:rPr>
        <w:t>）▲符合GB/T 16799-2018标准：游离甲醛含量≤75mg/kg；</w:t>
      </w:r>
    </w:p>
    <w:p w14:paraId="63CFEAAD">
      <w:pPr>
        <w:numPr>
          <w:ilvl w:val="255"/>
          <w:numId w:val="0"/>
        </w:numPr>
        <w:spacing w:line="288" w:lineRule="auto"/>
        <w:ind w:firstLine="420"/>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t>（</w:t>
      </w:r>
      <w:r>
        <w:rPr>
          <w:rFonts w:hint="eastAsia" w:ascii="宋体" w:hAnsi="宋体" w:eastAsia="宋体" w:cs="宋体"/>
          <w:color w:val="auto"/>
          <w:highlight w:val="none"/>
          <w:lang w:val="en-US" w:eastAsia="zh-CN"/>
        </w:rPr>
        <w:t>3</w:t>
      </w:r>
      <w:r>
        <w:rPr>
          <w:rFonts w:hint="eastAsia" w:ascii="宋体" w:hAnsi="宋体" w:eastAsia="宋体" w:cs="宋体"/>
          <w:color w:val="auto"/>
          <w:highlight w:val="none"/>
          <w:lang w:eastAsia="zh-CN"/>
        </w:rPr>
        <w:t>）符合GB/T 16799-2018标准：涂层粘着牢度≥8.5N/10mm；</w:t>
      </w:r>
    </w:p>
    <w:p w14:paraId="781389C1">
      <w:pPr>
        <w:numPr>
          <w:ilvl w:val="255"/>
          <w:numId w:val="0"/>
        </w:numPr>
        <w:spacing w:line="288" w:lineRule="auto"/>
        <w:ind w:firstLine="420"/>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t>（</w:t>
      </w:r>
      <w:r>
        <w:rPr>
          <w:rFonts w:hint="eastAsia" w:ascii="宋体" w:hAnsi="宋体" w:eastAsia="宋体" w:cs="宋体"/>
          <w:color w:val="auto"/>
          <w:highlight w:val="none"/>
          <w:lang w:val="en-US" w:eastAsia="zh-CN"/>
        </w:rPr>
        <w:t>4</w:t>
      </w:r>
      <w:r>
        <w:rPr>
          <w:rFonts w:hint="eastAsia" w:ascii="宋体" w:hAnsi="宋体" w:eastAsia="宋体" w:cs="宋体"/>
          <w:color w:val="auto"/>
          <w:highlight w:val="none"/>
          <w:lang w:eastAsia="zh-CN"/>
        </w:rPr>
        <w:t>）符合GB/T 16799-2018标准：气味：≤3级；</w:t>
      </w:r>
    </w:p>
    <w:p w14:paraId="2468AE88">
      <w:pPr>
        <w:numPr>
          <w:ilvl w:val="255"/>
          <w:numId w:val="0"/>
        </w:numPr>
        <w:spacing w:line="288" w:lineRule="auto"/>
        <w:ind w:firstLine="420"/>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t>（</w:t>
      </w:r>
      <w:r>
        <w:rPr>
          <w:rFonts w:hint="eastAsia" w:ascii="宋体" w:hAnsi="宋体" w:eastAsia="宋体" w:cs="宋体"/>
          <w:color w:val="auto"/>
          <w:highlight w:val="none"/>
          <w:lang w:val="en-US" w:eastAsia="zh-CN"/>
        </w:rPr>
        <w:t>5</w:t>
      </w:r>
      <w:r>
        <w:rPr>
          <w:rFonts w:hint="eastAsia" w:ascii="宋体" w:hAnsi="宋体" w:eastAsia="宋体" w:cs="宋体"/>
          <w:color w:val="auto"/>
          <w:highlight w:val="none"/>
          <w:lang w:eastAsia="zh-CN"/>
        </w:rPr>
        <w:t>）符合GB/T 16799-2018标准：撕裂力≥55N；</w:t>
      </w:r>
    </w:p>
    <w:p w14:paraId="50065B47">
      <w:pPr>
        <w:numPr>
          <w:ilvl w:val="255"/>
          <w:numId w:val="0"/>
        </w:numPr>
        <w:spacing w:line="288" w:lineRule="auto"/>
        <w:ind w:firstLine="420"/>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t>（</w:t>
      </w:r>
      <w:r>
        <w:rPr>
          <w:rFonts w:hint="eastAsia" w:ascii="宋体" w:hAnsi="宋体" w:eastAsia="宋体" w:cs="宋体"/>
          <w:color w:val="auto"/>
          <w:highlight w:val="none"/>
          <w:lang w:val="en-US" w:eastAsia="zh-CN"/>
        </w:rPr>
        <w:t>6</w:t>
      </w:r>
      <w:r>
        <w:rPr>
          <w:rFonts w:hint="eastAsia" w:ascii="宋体" w:hAnsi="宋体" w:eastAsia="宋体" w:cs="宋体"/>
          <w:color w:val="auto"/>
          <w:highlight w:val="none"/>
          <w:lang w:eastAsia="zh-CN"/>
        </w:rPr>
        <w:t>）符合GB/T 16799-2018标准：摩擦色牢度干擦、湿擦、碱性汗液≥3-4级；</w:t>
      </w:r>
    </w:p>
    <w:p w14:paraId="6435E67F">
      <w:pPr>
        <w:spacing w:line="288" w:lineRule="auto"/>
        <w:ind w:left="420"/>
        <w:rPr>
          <w:rFonts w:hint="eastAsia" w:ascii="宋体" w:hAnsi="宋体" w:eastAsia="宋体" w:cs="宋体"/>
          <w:color w:val="auto"/>
          <w:highlight w:val="none"/>
          <w:lang w:eastAsia="zh-CN"/>
        </w:rPr>
      </w:pPr>
      <w:r>
        <w:rPr>
          <w:rFonts w:hint="eastAsia" w:ascii="宋体" w:hAnsi="宋体" w:eastAsia="宋体" w:cs="宋体"/>
          <w:b/>
          <w:bCs/>
          <w:color w:val="auto"/>
          <w:highlight w:val="none"/>
          <w:lang w:eastAsia="zh-CN"/>
        </w:rPr>
        <w:t>5、缓冲门铰（铰链）</w:t>
      </w:r>
      <w:r>
        <w:rPr>
          <w:rFonts w:hint="eastAsia" w:ascii="宋体" w:hAnsi="宋体" w:eastAsia="宋体" w:cs="宋体"/>
          <w:color w:val="auto"/>
          <w:highlight w:val="none"/>
          <w:lang w:eastAsia="zh-CN"/>
        </w:rPr>
        <w:t>：</w:t>
      </w:r>
    </w:p>
    <w:p w14:paraId="140083A5">
      <w:pPr>
        <w:numPr>
          <w:ilvl w:val="255"/>
          <w:numId w:val="0"/>
        </w:numPr>
        <w:spacing w:line="288" w:lineRule="auto"/>
        <w:ind w:firstLine="420" w:firstLineChars="200"/>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t>（1）符合QB/T 2189-2013标准：过载：垂直静载荷≥30kg；</w:t>
      </w:r>
    </w:p>
    <w:p w14:paraId="0597F293">
      <w:pPr>
        <w:numPr>
          <w:ilvl w:val="255"/>
          <w:numId w:val="0"/>
        </w:numPr>
        <w:spacing w:line="288" w:lineRule="auto"/>
        <w:ind w:firstLine="420" w:firstLineChars="200"/>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t>（</w:t>
      </w:r>
      <w:r>
        <w:rPr>
          <w:rFonts w:hint="eastAsia" w:ascii="宋体" w:hAnsi="宋体" w:eastAsia="宋体" w:cs="宋体"/>
          <w:color w:val="auto"/>
          <w:highlight w:val="none"/>
          <w:lang w:val="en-US" w:eastAsia="zh-CN"/>
        </w:rPr>
        <w:t>2</w:t>
      </w:r>
      <w:r>
        <w:rPr>
          <w:rFonts w:hint="eastAsia" w:ascii="宋体" w:hAnsi="宋体" w:eastAsia="宋体" w:cs="宋体"/>
          <w:color w:val="auto"/>
          <w:highlight w:val="none"/>
          <w:lang w:eastAsia="zh-CN"/>
        </w:rPr>
        <w:t>）符合QB/T 2189-2013标准：水平静载荷≥70N；</w:t>
      </w:r>
    </w:p>
    <w:p w14:paraId="394B1CE7">
      <w:pPr>
        <w:numPr>
          <w:ilvl w:val="255"/>
          <w:numId w:val="0"/>
        </w:numPr>
        <w:spacing w:line="288" w:lineRule="auto"/>
        <w:ind w:firstLine="420" w:firstLineChars="200"/>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t>（</w:t>
      </w:r>
      <w:r>
        <w:rPr>
          <w:rFonts w:hint="eastAsia" w:ascii="宋体" w:hAnsi="宋体" w:eastAsia="宋体" w:cs="宋体"/>
          <w:color w:val="auto"/>
          <w:highlight w:val="none"/>
          <w:lang w:val="en-US" w:eastAsia="zh-CN"/>
        </w:rPr>
        <w:t>3</w:t>
      </w:r>
      <w:r>
        <w:rPr>
          <w:rFonts w:hint="eastAsia" w:ascii="宋体" w:hAnsi="宋体" w:eastAsia="宋体" w:cs="宋体"/>
          <w:color w:val="auto"/>
          <w:highlight w:val="none"/>
          <w:lang w:eastAsia="zh-CN"/>
        </w:rPr>
        <w:t>）符合QB/T 2189-2013标准：功能：操作力：在耐久性试验前后，打开力和关闭力不应大于20N；</w:t>
      </w:r>
    </w:p>
    <w:p w14:paraId="5F0CDB44">
      <w:pPr>
        <w:numPr>
          <w:ilvl w:val="255"/>
          <w:numId w:val="0"/>
        </w:numPr>
        <w:spacing w:line="288" w:lineRule="auto"/>
        <w:ind w:firstLine="420" w:firstLineChars="200"/>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t>（</w:t>
      </w:r>
      <w:r>
        <w:rPr>
          <w:rFonts w:hint="eastAsia" w:ascii="宋体" w:hAnsi="宋体" w:eastAsia="宋体" w:cs="宋体"/>
          <w:color w:val="auto"/>
          <w:highlight w:val="none"/>
          <w:lang w:val="en-US" w:eastAsia="zh-CN"/>
        </w:rPr>
        <w:t>4</w:t>
      </w:r>
      <w:r>
        <w:rPr>
          <w:rFonts w:hint="eastAsia" w:ascii="宋体" w:hAnsi="宋体" w:eastAsia="宋体" w:cs="宋体"/>
          <w:color w:val="auto"/>
          <w:highlight w:val="none"/>
          <w:lang w:eastAsia="zh-CN"/>
        </w:rPr>
        <w:t>）符合QB/T 2189-2013标准：功能要求垂直静载荷≥20kg；</w:t>
      </w:r>
    </w:p>
    <w:p w14:paraId="61807629">
      <w:pPr>
        <w:numPr>
          <w:ilvl w:val="255"/>
          <w:numId w:val="0"/>
        </w:numPr>
        <w:spacing w:line="288" w:lineRule="auto"/>
        <w:ind w:firstLine="420" w:firstLineChars="200"/>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t>（</w:t>
      </w:r>
      <w:r>
        <w:rPr>
          <w:rFonts w:hint="eastAsia" w:ascii="宋体" w:hAnsi="宋体" w:eastAsia="宋体" w:cs="宋体"/>
          <w:color w:val="auto"/>
          <w:highlight w:val="none"/>
          <w:lang w:val="en-US" w:eastAsia="zh-CN"/>
        </w:rPr>
        <w:t>5</w:t>
      </w:r>
      <w:r>
        <w:rPr>
          <w:rFonts w:hint="eastAsia" w:ascii="宋体" w:hAnsi="宋体" w:eastAsia="宋体" w:cs="宋体"/>
          <w:color w:val="auto"/>
          <w:highlight w:val="none"/>
          <w:lang w:eastAsia="zh-CN"/>
        </w:rPr>
        <w:t>）符合QB/T 2189-2013标准：功能要求水平静载荷≥40N；</w:t>
      </w:r>
    </w:p>
    <w:p w14:paraId="289B863E">
      <w:pPr>
        <w:numPr>
          <w:ilvl w:val="255"/>
          <w:numId w:val="0"/>
        </w:numPr>
        <w:spacing w:line="288" w:lineRule="auto"/>
        <w:ind w:firstLine="420" w:firstLineChars="200"/>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t>（</w:t>
      </w:r>
      <w:r>
        <w:rPr>
          <w:rFonts w:hint="eastAsia" w:ascii="宋体" w:hAnsi="宋体" w:eastAsia="宋体" w:cs="宋体"/>
          <w:color w:val="auto"/>
          <w:highlight w:val="none"/>
          <w:lang w:val="en-US" w:eastAsia="zh-CN"/>
        </w:rPr>
        <w:t>6</w:t>
      </w:r>
      <w:r>
        <w:rPr>
          <w:rFonts w:hint="eastAsia" w:ascii="宋体" w:hAnsi="宋体" w:eastAsia="宋体" w:cs="宋体"/>
          <w:color w:val="auto"/>
          <w:highlight w:val="none"/>
          <w:lang w:eastAsia="zh-CN"/>
        </w:rPr>
        <w:t>）</w:t>
      </w:r>
      <w:r>
        <w:rPr>
          <w:rFonts w:hint="eastAsia" w:ascii="宋体" w:hAnsi="宋体" w:eastAsia="宋体" w:cs="宋体"/>
          <w:color w:val="auto"/>
          <w:sz w:val="18"/>
          <w:szCs w:val="18"/>
          <w:highlight w:val="none"/>
          <w:lang w:eastAsia="zh-CN"/>
        </w:rPr>
        <w:t>▲</w:t>
      </w:r>
      <w:r>
        <w:rPr>
          <w:rFonts w:hint="eastAsia" w:ascii="宋体" w:hAnsi="宋体" w:eastAsia="宋体" w:cs="宋体"/>
          <w:color w:val="auto"/>
          <w:highlight w:val="none"/>
          <w:lang w:eastAsia="zh-CN"/>
        </w:rPr>
        <w:t>符合QB/T 2189-2013标准：耐久性≥12万次；</w:t>
      </w:r>
    </w:p>
    <w:p w14:paraId="438E0F18">
      <w:pPr>
        <w:numPr>
          <w:ilvl w:val="255"/>
          <w:numId w:val="0"/>
        </w:numPr>
        <w:spacing w:line="288" w:lineRule="auto"/>
        <w:ind w:firstLine="420" w:firstLineChars="200"/>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t>（</w:t>
      </w:r>
      <w:r>
        <w:rPr>
          <w:rFonts w:hint="eastAsia" w:ascii="宋体" w:hAnsi="宋体" w:eastAsia="宋体" w:cs="宋体"/>
          <w:color w:val="auto"/>
          <w:highlight w:val="none"/>
          <w:lang w:val="en-US" w:eastAsia="zh-CN"/>
        </w:rPr>
        <w:t>7</w:t>
      </w:r>
      <w:r>
        <w:rPr>
          <w:rFonts w:hint="eastAsia" w:ascii="宋体" w:hAnsi="宋体" w:eastAsia="宋体" w:cs="宋体"/>
          <w:color w:val="auto"/>
          <w:highlight w:val="none"/>
          <w:lang w:eastAsia="zh-CN"/>
        </w:rPr>
        <w:t>）符合QB/T 2189-2013标准：在使用调整系统前，安装B型试验门时，下沉量不应大于3.0 mm。</w:t>
      </w:r>
    </w:p>
    <w:p w14:paraId="33790992">
      <w:pPr>
        <w:numPr>
          <w:ilvl w:val="255"/>
          <w:numId w:val="0"/>
        </w:numPr>
        <w:spacing w:line="288" w:lineRule="auto"/>
        <w:ind w:firstLine="420" w:firstLineChars="200"/>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t>（</w:t>
      </w:r>
      <w:r>
        <w:rPr>
          <w:rFonts w:hint="eastAsia" w:ascii="宋体" w:hAnsi="宋体" w:eastAsia="宋体" w:cs="宋体"/>
          <w:color w:val="auto"/>
          <w:highlight w:val="none"/>
          <w:lang w:val="en-US" w:eastAsia="zh-CN"/>
        </w:rPr>
        <w:t>8</w:t>
      </w:r>
      <w:r>
        <w:rPr>
          <w:rFonts w:hint="eastAsia" w:ascii="宋体" w:hAnsi="宋体" w:eastAsia="宋体" w:cs="宋体"/>
          <w:color w:val="auto"/>
          <w:highlight w:val="none"/>
          <w:lang w:eastAsia="zh-CN"/>
        </w:rPr>
        <w:t>）</w:t>
      </w:r>
      <w:r>
        <w:rPr>
          <w:rFonts w:hint="eastAsia" w:ascii="宋体" w:hAnsi="宋体" w:eastAsia="宋体" w:cs="宋体"/>
          <w:b/>
          <w:bCs/>
          <w:color w:val="auto"/>
          <w:lang w:eastAsia="zh-CN"/>
        </w:rPr>
        <w:t>▲</w:t>
      </w:r>
      <w:r>
        <w:rPr>
          <w:rFonts w:hint="eastAsia" w:ascii="宋体" w:hAnsi="宋体" w:eastAsia="宋体" w:cs="宋体"/>
          <w:color w:val="auto"/>
          <w:highlight w:val="none"/>
          <w:lang w:eastAsia="zh-CN"/>
        </w:rPr>
        <w:t>符合QB/T 3826-1999、QB/T 3827-1999、QB/T 3832-1999标准：经过≥350小时乙酸、中性盐雾试验后，涂层本身的耐腐蚀等级≥9级，涂层对基体的保护等级≥9 级；</w:t>
      </w:r>
    </w:p>
    <w:p w14:paraId="3E5F8AAF">
      <w:pPr>
        <w:spacing w:line="288" w:lineRule="auto"/>
        <w:ind w:left="420"/>
        <w:rPr>
          <w:rFonts w:hint="eastAsia" w:ascii="宋体" w:hAnsi="宋体" w:eastAsia="宋体" w:cs="宋体"/>
          <w:b/>
          <w:bCs/>
          <w:color w:val="auto"/>
          <w:highlight w:val="none"/>
          <w:lang w:eastAsia="zh-CN"/>
        </w:rPr>
      </w:pPr>
      <w:r>
        <w:rPr>
          <w:rFonts w:hint="eastAsia" w:ascii="宋体" w:hAnsi="宋体" w:eastAsia="宋体" w:cs="宋体"/>
          <w:b/>
          <w:bCs/>
          <w:color w:val="auto"/>
          <w:highlight w:val="none"/>
          <w:lang w:eastAsia="zh-CN"/>
        </w:rPr>
        <w:t>6、海绵：</w:t>
      </w:r>
    </w:p>
    <w:p w14:paraId="5245A9D7">
      <w:pPr>
        <w:spacing w:line="288" w:lineRule="auto"/>
        <w:ind w:firstLine="420" w:firstLineChars="200"/>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t>（1）▲符合QB/T 1952.1-2023标准；表观密度座面≥45kg/m³；</w:t>
      </w:r>
    </w:p>
    <w:p w14:paraId="2B04ED8F">
      <w:pPr>
        <w:spacing w:line="288" w:lineRule="auto"/>
        <w:ind w:firstLine="420" w:firstLineChars="200"/>
        <w:rPr>
          <w:rFonts w:hint="eastAsia" w:ascii="宋体" w:hAnsi="宋体" w:eastAsia="宋体" w:cs="宋体"/>
          <w:b/>
          <w:bCs/>
          <w:color w:val="auto"/>
          <w:highlight w:val="none"/>
          <w:lang w:eastAsia="zh-CN"/>
        </w:rPr>
      </w:pPr>
      <w:r>
        <w:rPr>
          <w:rFonts w:hint="eastAsia" w:ascii="宋体" w:hAnsi="宋体" w:eastAsia="宋体" w:cs="宋体"/>
          <w:color w:val="auto"/>
          <w:highlight w:val="none"/>
          <w:lang w:eastAsia="zh-CN"/>
        </w:rPr>
        <w:t>（2）符合GB 17927.1-2011标准；通过阻燃I级试验检测：未观察到试样表面或内部出现任何续燃、阴燃现象。</w:t>
      </w:r>
    </w:p>
    <w:p w14:paraId="78FBC609">
      <w:pPr>
        <w:numPr>
          <w:ilvl w:val="255"/>
          <w:numId w:val="0"/>
        </w:numPr>
        <w:spacing w:line="288" w:lineRule="auto"/>
        <w:ind w:left="420"/>
        <w:rPr>
          <w:rFonts w:hint="eastAsia" w:ascii="宋体" w:hAnsi="宋体" w:eastAsia="宋体" w:cs="宋体"/>
          <w:b/>
          <w:bCs/>
          <w:color w:val="auto"/>
          <w:highlight w:val="none"/>
          <w:lang w:eastAsia="zh-CN"/>
        </w:rPr>
      </w:pPr>
      <w:r>
        <w:rPr>
          <w:rFonts w:hint="eastAsia" w:ascii="宋体" w:hAnsi="宋体" w:eastAsia="宋体" w:cs="宋体"/>
          <w:b/>
          <w:bCs/>
          <w:color w:val="auto"/>
          <w:highlight w:val="none"/>
          <w:lang w:eastAsia="zh-CN"/>
        </w:rPr>
        <w:t>7、锁具:</w:t>
      </w:r>
    </w:p>
    <w:p w14:paraId="02819721">
      <w:pPr>
        <w:spacing w:line="288" w:lineRule="auto"/>
        <w:ind w:firstLine="420" w:firstLineChars="200"/>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t>（1）符合QB/T1621-2015标准：检测内容符合以下技术要求：灵活度：钥匙插拔旋转灵活，无卡滞现象；钥匙插入锁芯旋转灵活，锁开、关无卡阻现象；</w:t>
      </w:r>
    </w:p>
    <w:p w14:paraId="3758786C">
      <w:pPr>
        <w:spacing w:line="288" w:lineRule="auto"/>
        <w:ind w:firstLine="420" w:firstLineChars="200"/>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t>（</w:t>
      </w:r>
      <w:r>
        <w:rPr>
          <w:rFonts w:hint="eastAsia" w:ascii="宋体" w:hAnsi="宋体" w:eastAsia="宋体" w:cs="宋体"/>
          <w:color w:val="auto"/>
          <w:highlight w:val="none"/>
          <w:lang w:val="en-US" w:eastAsia="zh-CN"/>
        </w:rPr>
        <w:t>2</w:t>
      </w:r>
      <w:r>
        <w:rPr>
          <w:rFonts w:hint="eastAsia" w:ascii="宋体" w:hAnsi="宋体" w:eastAsia="宋体" w:cs="宋体"/>
          <w:color w:val="auto"/>
          <w:highlight w:val="none"/>
          <w:lang w:eastAsia="zh-CN"/>
        </w:rPr>
        <w:t>）▲符合QB/T1621-2015标准：检测内容符合以下技术要求：保密度：锁舌伸出长度不应小于6mm；互开率≤0.575%；</w:t>
      </w:r>
    </w:p>
    <w:p w14:paraId="61207150">
      <w:pPr>
        <w:spacing w:line="288" w:lineRule="auto"/>
        <w:ind w:firstLine="420" w:firstLineChars="200"/>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t>（</w:t>
      </w:r>
      <w:r>
        <w:rPr>
          <w:rFonts w:hint="eastAsia" w:ascii="宋体" w:hAnsi="宋体" w:eastAsia="宋体" w:cs="宋体"/>
          <w:color w:val="auto"/>
          <w:highlight w:val="none"/>
          <w:lang w:val="en-US" w:eastAsia="zh-CN"/>
        </w:rPr>
        <w:t>3</w:t>
      </w:r>
      <w:r>
        <w:rPr>
          <w:rFonts w:hint="eastAsia" w:ascii="宋体" w:hAnsi="宋体" w:eastAsia="宋体" w:cs="宋体"/>
          <w:color w:val="auto"/>
          <w:highlight w:val="none"/>
          <w:lang w:eastAsia="zh-CN"/>
        </w:rPr>
        <w:t>）符合QB/T1621-2015标准：检测内容符合以下技术要求：牢固度：锁头固定连接静拉力锁头直径不小于20mm的，在承受200N静拉力后，应无松动；锁头直径小于20mm的，在承受140N静拉力后，应无松动；锁舌侧向静载荷锁舌在承受200N侧向静载荷后，应能正常使用；</w:t>
      </w:r>
    </w:p>
    <w:p w14:paraId="6B9753BC">
      <w:pPr>
        <w:spacing w:line="288" w:lineRule="auto"/>
        <w:ind w:firstLine="420" w:firstLineChars="200"/>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t>（</w:t>
      </w:r>
      <w:r>
        <w:rPr>
          <w:rFonts w:hint="eastAsia" w:ascii="宋体" w:hAnsi="宋体" w:eastAsia="宋体" w:cs="宋体"/>
          <w:color w:val="auto"/>
          <w:highlight w:val="none"/>
          <w:lang w:val="en-US" w:eastAsia="zh-CN"/>
        </w:rPr>
        <w:t>4</w:t>
      </w:r>
      <w:r>
        <w:rPr>
          <w:rFonts w:hint="eastAsia" w:ascii="宋体" w:hAnsi="宋体" w:eastAsia="宋体" w:cs="宋体"/>
          <w:color w:val="auto"/>
          <w:highlight w:val="none"/>
          <w:lang w:eastAsia="zh-CN"/>
        </w:rPr>
        <w:t>）</w:t>
      </w:r>
      <w:r>
        <w:rPr>
          <w:rFonts w:hint="eastAsia" w:ascii="宋体" w:hAnsi="宋体" w:eastAsia="宋体" w:cs="宋体"/>
          <w:b/>
          <w:bCs/>
          <w:color w:val="auto"/>
          <w:lang w:eastAsia="zh-CN"/>
        </w:rPr>
        <w:t>▲</w:t>
      </w:r>
      <w:r>
        <w:rPr>
          <w:rFonts w:hint="eastAsia" w:ascii="宋体" w:hAnsi="宋体" w:eastAsia="宋体" w:cs="宋体"/>
          <w:color w:val="auto"/>
          <w:highlight w:val="none"/>
          <w:lang w:eastAsia="zh-CN"/>
        </w:rPr>
        <w:t>符合QB/T1621-2015标准：检测内容符合以下技术要求：弹子锁、叶片锁使用寿命：锁头直径不小于20m的弹子锁、叶片锁，使用寿命不应少于20000次:锁头直径小于20mm的弹子锁、叶片锁,使用寿命不应少于10000次。</w:t>
      </w:r>
    </w:p>
    <w:p w14:paraId="362AE391">
      <w:pPr>
        <w:numPr>
          <w:ilvl w:val="255"/>
          <w:numId w:val="0"/>
        </w:numPr>
        <w:spacing w:line="288" w:lineRule="auto"/>
        <w:ind w:left="420"/>
        <w:rPr>
          <w:rFonts w:hint="eastAsia" w:ascii="宋体" w:hAnsi="宋体" w:eastAsia="宋体" w:cs="宋体"/>
          <w:b/>
          <w:bCs/>
          <w:color w:val="auto"/>
          <w:highlight w:val="none"/>
          <w:lang w:eastAsia="zh-CN"/>
        </w:rPr>
      </w:pPr>
      <w:r>
        <w:rPr>
          <w:rFonts w:hint="eastAsia" w:ascii="宋体" w:hAnsi="宋体" w:eastAsia="宋体" w:cs="宋体"/>
          <w:b/>
          <w:bCs/>
          <w:color w:val="auto"/>
          <w:highlight w:val="none"/>
          <w:lang w:eastAsia="zh-CN"/>
        </w:rPr>
        <w:t>8、电解钢板：</w:t>
      </w:r>
    </w:p>
    <w:p w14:paraId="395DDEAF">
      <w:pPr>
        <w:spacing w:line="288" w:lineRule="auto"/>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t xml:space="preserve">   （1）符合GB 8624-2012标准：通过燃烧性能等级 B1级或以上：燃烧增长速率指数≤120W/s;600s的总放热量THR600s≤10MJ；烟气生成速率指数SM0GRA≤10㎡/s²；600S内有无燃烧滴落物。</w:t>
      </w:r>
    </w:p>
    <w:p w14:paraId="2D5130C4">
      <w:pPr>
        <w:numPr>
          <w:ilvl w:val="255"/>
          <w:numId w:val="0"/>
        </w:numPr>
        <w:spacing w:line="288" w:lineRule="auto"/>
        <w:ind w:firstLine="420" w:firstLineChars="200"/>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t>（2）</w:t>
      </w:r>
      <w:r>
        <w:rPr>
          <w:rFonts w:hint="eastAsia" w:ascii="宋体" w:hAnsi="宋体" w:eastAsia="宋体" w:cs="宋体"/>
          <w:b/>
          <w:bCs/>
          <w:color w:val="auto"/>
          <w:lang w:eastAsia="zh-CN"/>
        </w:rPr>
        <w:t>▲</w:t>
      </w:r>
      <w:r>
        <w:rPr>
          <w:rFonts w:hint="eastAsia" w:ascii="宋体" w:hAnsi="宋体" w:eastAsia="宋体" w:cs="宋体"/>
          <w:color w:val="auto"/>
          <w:highlight w:val="none"/>
          <w:lang w:eastAsia="zh-CN"/>
        </w:rPr>
        <w:t>符合GB/T 1741-2020标准：试验菌种至少包含5种及以上霉类，长霉级别不低于0级；</w:t>
      </w:r>
    </w:p>
    <w:p w14:paraId="2815FA68">
      <w:pPr>
        <w:numPr>
          <w:ilvl w:val="255"/>
          <w:numId w:val="0"/>
        </w:numPr>
        <w:spacing w:line="288" w:lineRule="auto"/>
        <w:ind w:firstLine="420" w:firstLineChars="200"/>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t>（3）</w:t>
      </w:r>
      <w:r>
        <w:rPr>
          <w:rFonts w:hint="eastAsia" w:ascii="宋体" w:hAnsi="宋体" w:eastAsia="宋体" w:cs="宋体"/>
          <w:b/>
          <w:bCs/>
          <w:color w:val="auto"/>
          <w:highlight w:val="none"/>
          <w:lang w:eastAsia="zh-CN"/>
        </w:rPr>
        <w:t>▲</w:t>
      </w:r>
      <w:r>
        <w:rPr>
          <w:rFonts w:hint="eastAsia" w:ascii="宋体" w:hAnsi="宋体" w:eastAsia="宋体" w:cs="宋体"/>
          <w:color w:val="auto"/>
          <w:highlight w:val="none"/>
          <w:lang w:eastAsia="zh-CN"/>
        </w:rPr>
        <w:t>符合QB/T 4371-2012标准：试验菌种至少包含5种或以上菌类，抗菌率≥99%。</w:t>
      </w:r>
    </w:p>
    <w:p w14:paraId="7EB901B3">
      <w:pPr>
        <w:numPr>
          <w:ilvl w:val="255"/>
          <w:numId w:val="0"/>
        </w:numPr>
        <w:spacing w:line="288" w:lineRule="auto"/>
        <w:ind w:firstLine="420" w:firstLineChars="200"/>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t>（4）</w:t>
      </w:r>
      <w:r>
        <w:rPr>
          <w:rFonts w:hint="eastAsia" w:ascii="宋体" w:hAnsi="宋体" w:eastAsia="宋体" w:cs="宋体"/>
          <w:b/>
          <w:bCs/>
          <w:color w:val="auto"/>
          <w:lang w:eastAsia="zh-CN"/>
        </w:rPr>
        <w:t>▲</w:t>
      </w:r>
      <w:r>
        <w:rPr>
          <w:rFonts w:hint="eastAsia" w:ascii="宋体" w:hAnsi="宋体" w:eastAsia="宋体" w:cs="宋体"/>
          <w:color w:val="auto"/>
          <w:highlight w:val="none"/>
          <w:lang w:eastAsia="zh-CN"/>
        </w:rPr>
        <w:t>符合GB/T 4336-2016标准：化学成分：C(%)≤0.03、Mn(%)≤0.60、S(%)≤0.03、P(%)≤0.03、A1(%)≥0.02或ALt≥0.02；</w:t>
      </w:r>
    </w:p>
    <w:p w14:paraId="47B3DED0">
      <w:pPr>
        <w:numPr>
          <w:ilvl w:val="255"/>
          <w:numId w:val="0"/>
        </w:numPr>
        <w:spacing w:line="288" w:lineRule="auto"/>
        <w:ind w:firstLine="420" w:firstLineChars="200"/>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t>（5）▲符合GB/T 228.1-2021标准：规定塑性延伸强度≤250MPa、抗拉强度270-410MPa、断后伸长率≥40%。</w:t>
      </w:r>
    </w:p>
    <w:p w14:paraId="473C3BD8">
      <w:pPr>
        <w:numPr>
          <w:ilvl w:val="255"/>
          <w:numId w:val="0"/>
        </w:numPr>
        <w:spacing w:line="288" w:lineRule="auto"/>
        <w:ind w:left="420"/>
        <w:rPr>
          <w:rFonts w:hint="eastAsia" w:ascii="宋体" w:hAnsi="宋体" w:eastAsia="宋体" w:cs="宋体"/>
          <w:b/>
          <w:bCs/>
          <w:color w:val="auto"/>
          <w:highlight w:val="none"/>
          <w:lang w:eastAsia="zh-CN"/>
        </w:rPr>
      </w:pPr>
      <w:r>
        <w:rPr>
          <w:rFonts w:hint="eastAsia" w:ascii="宋体" w:hAnsi="宋体" w:eastAsia="宋体" w:cs="宋体"/>
          <w:b/>
          <w:bCs/>
          <w:color w:val="auto"/>
          <w:highlight w:val="none"/>
          <w:lang w:eastAsia="zh-CN"/>
        </w:rPr>
        <w:t>9、实木多层板</w:t>
      </w:r>
    </w:p>
    <w:p w14:paraId="2641E89F">
      <w:pPr>
        <w:spacing w:line="288" w:lineRule="auto"/>
        <w:ind w:firstLine="420" w:firstLineChars="200"/>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t>（1）含水率：7%～11%；胶合强度≥0.75MPa；静曲强度：顺纹≥25MPa、横纹≥20MPa；弹性模量：顺纹≥6000Mpa、横纹≥3600Mpa；</w:t>
      </w:r>
    </w:p>
    <w:p w14:paraId="31E7FE13">
      <w:pPr>
        <w:spacing w:line="288" w:lineRule="auto"/>
        <w:ind w:firstLine="420" w:firstLineChars="200"/>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t>（2）挥发性有机化合物(72h)：总挥发性有机化合物(TVOC)≤60</w:t>
      </w:r>
      <w:r>
        <w:rPr>
          <w:rFonts w:hint="eastAsia" w:ascii="宋体" w:hAnsi="宋体" w:eastAsia="宋体" w:cs="宋体"/>
          <w:color w:val="auto"/>
          <w:highlight w:val="none"/>
        </w:rPr>
        <w:t>μ</w:t>
      </w:r>
      <w:r>
        <w:rPr>
          <w:rFonts w:hint="eastAsia" w:ascii="宋体" w:hAnsi="宋体" w:eastAsia="宋体" w:cs="宋体"/>
          <w:color w:val="auto"/>
          <w:highlight w:val="none"/>
          <w:lang w:eastAsia="zh-CN"/>
        </w:rPr>
        <w:t>g/m3 ；；</w:t>
      </w:r>
    </w:p>
    <w:p w14:paraId="00A84D13">
      <w:pPr>
        <w:spacing w:line="288" w:lineRule="auto"/>
        <w:ind w:firstLine="420" w:firstLineChars="200"/>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t>（3）</w:t>
      </w:r>
      <w:r>
        <w:rPr>
          <w:rFonts w:hint="eastAsia" w:ascii="宋体" w:hAnsi="宋体" w:eastAsia="宋体" w:cs="宋体"/>
          <w:b/>
          <w:bCs/>
          <w:color w:val="auto"/>
          <w:lang w:eastAsia="zh-CN"/>
        </w:rPr>
        <w:t>▲</w:t>
      </w:r>
      <w:r>
        <w:rPr>
          <w:rFonts w:hint="eastAsia" w:ascii="宋体" w:hAnsi="宋体" w:eastAsia="宋体" w:cs="宋体"/>
          <w:color w:val="auto"/>
          <w:highlight w:val="none"/>
          <w:lang w:eastAsia="zh-CN"/>
        </w:rPr>
        <w:t>抗菌测试（24h）：包含五种（含）以上的菌种的抗菌率≥99%。</w:t>
      </w:r>
    </w:p>
    <w:p w14:paraId="2B86B46A">
      <w:pPr>
        <w:pStyle w:val="17"/>
        <w:ind w:left="0" w:leftChars="0" w:firstLine="422"/>
        <w:jc w:val="both"/>
        <w:rPr>
          <w:rFonts w:hint="eastAsia" w:asciiTheme="minorEastAsia" w:hAnsiTheme="minorEastAsia" w:cstheme="minorEastAsia"/>
          <w:color w:val="auto"/>
          <w:kern w:val="2"/>
          <w:sz w:val="21"/>
          <w:lang w:eastAsia="zh-CN"/>
        </w:rPr>
      </w:pPr>
      <w:r>
        <w:rPr>
          <w:rFonts w:hint="eastAsia" w:ascii="宋体" w:hAnsi="宋体" w:eastAsia="宋体" w:cs="宋体"/>
          <w:bCs/>
          <w:color w:val="auto"/>
          <w:sz w:val="21"/>
          <w:lang w:eastAsia="zh-CN"/>
        </w:rPr>
        <w:t>10、</w:t>
      </w:r>
      <w:r>
        <w:rPr>
          <w:rFonts w:hint="eastAsia" w:asciiTheme="minorEastAsia" w:hAnsiTheme="minorEastAsia" w:cstheme="minorEastAsia"/>
          <w:color w:val="auto"/>
          <w:kern w:val="2"/>
          <w:sz w:val="21"/>
          <w:lang w:eastAsia="zh-CN"/>
        </w:rPr>
        <w:t>304不锈钢板</w:t>
      </w:r>
    </w:p>
    <w:p w14:paraId="2182C965">
      <w:pPr>
        <w:spacing w:line="288" w:lineRule="auto"/>
        <w:ind w:firstLine="420" w:firstLineChars="200"/>
        <w:rPr>
          <w:rFonts w:hint="eastAsia" w:ascii="宋体" w:hAnsi="宋体" w:eastAsia="宋体" w:cs="宋体"/>
          <w:color w:val="auto"/>
          <w:lang w:eastAsia="zh-CN"/>
        </w:rPr>
      </w:pPr>
      <w:r>
        <w:rPr>
          <w:rFonts w:hint="eastAsia" w:ascii="宋体" w:hAnsi="宋体" w:eastAsia="宋体" w:cs="宋体"/>
          <w:color w:val="auto"/>
          <w:lang w:eastAsia="zh-CN"/>
        </w:rPr>
        <w:t>（1）</w:t>
      </w:r>
      <w:r>
        <w:rPr>
          <w:rFonts w:hint="eastAsia" w:ascii="宋体" w:hAnsi="宋体" w:eastAsia="宋体" w:cs="宋体"/>
          <w:b/>
          <w:bCs/>
          <w:color w:val="auto"/>
          <w:lang w:eastAsia="zh-CN"/>
        </w:rPr>
        <w:t>▲</w:t>
      </w:r>
      <w:r>
        <w:rPr>
          <w:rFonts w:hint="eastAsia" w:ascii="宋体" w:hAnsi="宋体" w:eastAsia="宋体" w:cs="宋体"/>
          <w:color w:val="auto"/>
          <w:lang w:eastAsia="zh-CN"/>
        </w:rPr>
        <w:t>符合QB/T 3826-1999、QB/T 3827-1999、QB/T 3832-1999标准：经过≥350小时乙酸、中性盐雾试验后，涂层本身的耐腐蚀等级≥9级，涂层对基体的保护等级≥9 级；</w:t>
      </w:r>
    </w:p>
    <w:p w14:paraId="0814FCAE">
      <w:pPr>
        <w:spacing w:line="288" w:lineRule="auto"/>
        <w:ind w:firstLine="420" w:firstLineChars="200"/>
        <w:rPr>
          <w:rFonts w:hint="eastAsia" w:ascii="宋体" w:hAnsi="宋体" w:eastAsia="宋体" w:cs="宋体"/>
          <w:color w:val="auto"/>
          <w:lang w:eastAsia="zh-CN"/>
        </w:rPr>
      </w:pPr>
      <w:r>
        <w:rPr>
          <w:rFonts w:hint="eastAsia" w:ascii="宋体" w:hAnsi="宋体" w:eastAsia="宋体" w:cs="宋体"/>
          <w:color w:val="auto"/>
          <w:lang w:eastAsia="zh-CN"/>
        </w:rPr>
        <w:t>（2）▲GB/T 1741-2020标准：试验菌种至少包含10种及以上霉类，长霉级别不低于0级；</w:t>
      </w:r>
    </w:p>
    <w:p w14:paraId="2F272A65">
      <w:pPr>
        <w:numPr>
          <w:ilvl w:val="255"/>
          <w:numId w:val="0"/>
        </w:numPr>
        <w:ind w:firstLine="420" w:firstLineChars="200"/>
        <w:rPr>
          <w:rFonts w:hint="eastAsia" w:ascii="宋体" w:hAnsi="宋体" w:eastAsia="宋体" w:cs="宋体"/>
          <w:color w:val="auto"/>
          <w:lang w:eastAsia="zh-CN"/>
        </w:rPr>
      </w:pPr>
      <w:r>
        <w:rPr>
          <w:rFonts w:hint="eastAsia" w:ascii="宋体" w:hAnsi="宋体" w:eastAsia="宋体" w:cs="宋体"/>
          <w:color w:val="auto"/>
          <w:lang w:eastAsia="zh-CN"/>
        </w:rPr>
        <w:t>（3）</w:t>
      </w:r>
      <w:r>
        <w:rPr>
          <w:rFonts w:hint="eastAsia" w:ascii="宋体" w:hAnsi="宋体" w:eastAsia="宋体" w:cs="宋体"/>
          <w:b/>
          <w:bCs/>
          <w:color w:val="auto"/>
          <w:lang w:eastAsia="zh-CN"/>
        </w:rPr>
        <w:t>▲</w:t>
      </w:r>
      <w:r>
        <w:rPr>
          <w:rFonts w:hint="eastAsia" w:ascii="宋体" w:hAnsi="宋体" w:eastAsia="宋体" w:cs="宋体"/>
          <w:color w:val="auto"/>
          <w:lang w:eastAsia="zh-CN"/>
        </w:rPr>
        <w:t>QB/T 4371-2012标准：试验菌种至少包含10种或以上菌类，抗菌率≥99%。</w:t>
      </w:r>
    </w:p>
    <w:p w14:paraId="0E0AE4B9">
      <w:pPr>
        <w:spacing w:line="288" w:lineRule="auto"/>
        <w:ind w:firstLine="420" w:firstLineChars="200"/>
        <w:rPr>
          <w:rFonts w:hint="eastAsia" w:ascii="宋体" w:hAnsi="宋体" w:eastAsia="宋体" w:cs="宋体"/>
          <w:color w:val="auto"/>
          <w:lang w:eastAsia="zh-CN"/>
        </w:rPr>
      </w:pPr>
      <w:r>
        <w:rPr>
          <w:rFonts w:hint="eastAsia" w:ascii="宋体" w:hAnsi="宋体" w:eastAsia="宋体" w:cs="宋体"/>
          <w:color w:val="auto"/>
          <w:lang w:eastAsia="zh-CN"/>
        </w:rPr>
        <w:t>（4）GB/T 3280-2015标准：断后伸长率≥50%；规定塑性延伸强度≥205MPa;抗拉强度≥650MPa；</w:t>
      </w:r>
    </w:p>
    <w:p w14:paraId="53283100">
      <w:pPr>
        <w:spacing w:line="288" w:lineRule="auto"/>
        <w:ind w:firstLine="420" w:firstLineChars="200"/>
        <w:rPr>
          <w:rFonts w:hint="eastAsia" w:ascii="宋体" w:hAnsi="宋体" w:eastAsia="宋体" w:cs="宋体"/>
          <w:color w:val="auto"/>
          <w:lang w:eastAsia="zh-CN"/>
        </w:rPr>
      </w:pPr>
      <w:r>
        <w:rPr>
          <w:rFonts w:hint="eastAsia" w:ascii="宋体" w:hAnsi="宋体" w:eastAsia="宋体" w:cs="宋体"/>
          <w:color w:val="auto"/>
          <w:lang w:eastAsia="zh-CN"/>
        </w:rPr>
        <w:t>（</w:t>
      </w:r>
      <w:r>
        <w:rPr>
          <w:rFonts w:hint="eastAsia" w:ascii="宋体" w:hAnsi="宋体" w:eastAsia="宋体" w:cs="宋体"/>
          <w:color w:val="auto"/>
          <w:lang w:val="en-US" w:eastAsia="zh-CN"/>
        </w:rPr>
        <w:t>5</w:t>
      </w:r>
      <w:r>
        <w:rPr>
          <w:rFonts w:hint="eastAsia" w:ascii="宋体" w:hAnsi="宋体" w:eastAsia="宋体" w:cs="宋体"/>
          <w:color w:val="auto"/>
          <w:lang w:eastAsia="zh-CN"/>
        </w:rPr>
        <w:t>）GB/T 3280-2015标准：化学成分（%）：碳（C）≤0.07、硅(Si)≤0.75、锰(Mn)≤2.00、磷(P)≤0.045、硫(S)≤0.030；</w:t>
      </w:r>
    </w:p>
    <w:p w14:paraId="5E0E580E">
      <w:pPr>
        <w:pStyle w:val="17"/>
        <w:ind w:left="0" w:leftChars="0" w:firstLine="422"/>
        <w:jc w:val="both"/>
        <w:rPr>
          <w:rFonts w:hint="eastAsia" w:ascii="宋体" w:hAnsi="宋体" w:eastAsia="宋体" w:cs="宋体"/>
          <w:color w:val="auto"/>
          <w:sz w:val="21"/>
          <w:lang w:eastAsia="zh-CN"/>
        </w:rPr>
      </w:pPr>
      <w:r>
        <w:rPr>
          <w:rFonts w:hint="eastAsia" w:ascii="宋体" w:hAnsi="宋体" w:eastAsia="宋体" w:cs="宋体"/>
          <w:bCs/>
          <w:color w:val="auto"/>
          <w:sz w:val="21"/>
          <w:lang w:eastAsia="zh-CN"/>
        </w:rPr>
        <w:t>11、</w:t>
      </w:r>
      <w:r>
        <w:rPr>
          <w:rFonts w:hint="eastAsia" w:ascii="宋体" w:hAnsi="宋体" w:eastAsia="宋体" w:cs="宋体"/>
          <w:color w:val="auto"/>
          <w:sz w:val="21"/>
          <w:lang w:eastAsia="zh-CN"/>
        </w:rPr>
        <w:t>不锈钢圆管</w:t>
      </w:r>
    </w:p>
    <w:p w14:paraId="38F1EF24">
      <w:pPr>
        <w:spacing w:line="288" w:lineRule="auto"/>
        <w:ind w:firstLine="420" w:firstLineChars="200"/>
        <w:rPr>
          <w:rFonts w:hint="eastAsia" w:ascii="宋体" w:hAnsi="宋体" w:eastAsia="宋体" w:cs="宋体"/>
          <w:color w:val="auto"/>
          <w:lang w:eastAsia="zh-CN"/>
        </w:rPr>
      </w:pPr>
      <w:r>
        <w:rPr>
          <w:rFonts w:hint="eastAsia" w:ascii="宋体" w:hAnsi="宋体" w:eastAsia="宋体" w:cs="宋体"/>
          <w:color w:val="auto"/>
          <w:lang w:eastAsia="zh-CN"/>
        </w:rPr>
        <w:t>（1）符合GB/T 20016-2005标准：水浸泡试验：水浸泡试验(8个湿-干循环)，不应有明显的红锈或其他可见的反应产物；</w:t>
      </w:r>
    </w:p>
    <w:p w14:paraId="5BDC075F">
      <w:pPr>
        <w:spacing w:line="288" w:lineRule="auto"/>
        <w:ind w:firstLine="420" w:firstLineChars="200"/>
        <w:rPr>
          <w:rFonts w:hint="eastAsia" w:ascii="宋体" w:hAnsi="宋体" w:eastAsia="宋体" w:cs="宋体"/>
          <w:color w:val="auto"/>
          <w:lang w:eastAsia="zh-CN"/>
        </w:rPr>
      </w:pPr>
      <w:r>
        <w:rPr>
          <w:rFonts w:hint="eastAsia" w:ascii="宋体" w:hAnsi="宋体" w:eastAsia="宋体" w:cs="宋体"/>
          <w:color w:val="auto"/>
          <w:lang w:eastAsia="zh-CN"/>
        </w:rPr>
        <w:t>（2）</w:t>
      </w:r>
      <w:r>
        <w:rPr>
          <w:rFonts w:hint="eastAsia" w:ascii="宋体" w:hAnsi="宋体" w:eastAsia="宋体" w:cs="宋体"/>
          <w:b/>
          <w:bCs/>
          <w:color w:val="auto"/>
          <w:lang w:eastAsia="zh-CN"/>
        </w:rPr>
        <w:t>▲</w:t>
      </w:r>
      <w:r>
        <w:rPr>
          <w:rFonts w:hint="eastAsia" w:ascii="宋体" w:hAnsi="宋体" w:eastAsia="宋体" w:cs="宋体"/>
          <w:color w:val="auto"/>
          <w:lang w:eastAsia="zh-CN"/>
        </w:rPr>
        <w:t>符合GB/T 20016-2005标准：湿度试验：湿度试验(24h),不应有明显的红锈或其他可见的反应产物；</w:t>
      </w:r>
    </w:p>
    <w:p w14:paraId="75696105">
      <w:pPr>
        <w:spacing w:line="288" w:lineRule="auto"/>
        <w:ind w:firstLine="420" w:firstLineChars="200"/>
        <w:rPr>
          <w:rFonts w:hint="eastAsia" w:ascii="宋体" w:hAnsi="宋体" w:eastAsia="宋体" w:cs="宋体"/>
          <w:color w:val="auto"/>
          <w:lang w:eastAsia="zh-CN"/>
        </w:rPr>
      </w:pPr>
      <w:r>
        <w:rPr>
          <w:rFonts w:hint="eastAsia" w:ascii="宋体" w:hAnsi="宋体" w:eastAsia="宋体" w:cs="宋体"/>
          <w:color w:val="auto"/>
          <w:lang w:eastAsia="zh-CN"/>
        </w:rPr>
        <w:t>（3）符合GB/T 20016-2005标准：硫酸铜试验：硫酸铜试验，产生的铜色沉积和(或)铜色斑点不明显。</w:t>
      </w:r>
    </w:p>
    <w:p w14:paraId="07FE2366">
      <w:pPr>
        <w:spacing w:line="288" w:lineRule="auto"/>
        <w:ind w:firstLine="422" w:firstLineChars="200"/>
        <w:rPr>
          <w:rFonts w:hint="eastAsia" w:ascii="宋体" w:hAnsi="宋体" w:eastAsia="宋体" w:cs="宋体"/>
          <w:b/>
          <w:bCs/>
          <w:color w:val="auto"/>
          <w:lang w:eastAsia="zh-CN"/>
        </w:rPr>
      </w:pPr>
      <w:r>
        <w:rPr>
          <w:rFonts w:hint="eastAsia" w:ascii="宋体" w:hAnsi="宋体" w:eastAsia="宋体" w:cs="宋体"/>
          <w:b/>
          <w:bCs/>
          <w:color w:val="auto"/>
          <w:lang w:val="en-US" w:eastAsia="zh-CN"/>
        </w:rPr>
        <w:t>12、</w:t>
      </w:r>
      <w:r>
        <w:rPr>
          <w:rFonts w:hint="eastAsia" w:ascii="宋体" w:hAnsi="宋体" w:eastAsia="宋体" w:cs="宋体"/>
          <w:b/>
          <w:bCs/>
          <w:color w:val="auto"/>
          <w:lang w:eastAsia="zh-CN"/>
        </w:rPr>
        <w:t>洗眼器</w:t>
      </w:r>
    </w:p>
    <w:p w14:paraId="70904B29">
      <w:pPr>
        <w:pStyle w:val="30"/>
        <w:spacing w:before="90" w:after="90"/>
        <w:ind w:firstLine="420" w:firstLineChars="200"/>
        <w:rPr>
          <w:rFonts w:hint="default"/>
          <w:color w:val="auto"/>
          <w:sz w:val="21"/>
          <w:lang w:eastAsia="zh-CN"/>
        </w:rPr>
      </w:pPr>
      <w:r>
        <w:rPr>
          <w:rFonts w:ascii="宋体" w:hAnsi="宋体" w:eastAsia="宋体" w:cs="宋体"/>
          <w:color w:val="auto"/>
          <w:sz w:val="21"/>
          <w:szCs w:val="21"/>
          <w:lang w:eastAsia="zh-CN"/>
        </w:rPr>
        <w:t>（1）</w:t>
      </w:r>
      <w:r>
        <w:rPr>
          <w:rFonts w:ascii="宋体" w:hAnsi="宋体" w:eastAsia="宋体" w:cs="宋体"/>
          <w:b/>
          <w:bCs/>
          <w:color w:val="auto"/>
          <w:sz w:val="21"/>
          <w:szCs w:val="21"/>
          <w:lang w:eastAsia="zh-CN"/>
        </w:rPr>
        <w:t>▲</w:t>
      </w:r>
      <w:r>
        <w:rPr>
          <w:rFonts w:ascii="宋体" w:hAnsi="宋体" w:eastAsia="宋体" w:cs="宋体"/>
          <w:color w:val="auto"/>
          <w:sz w:val="21"/>
          <w:szCs w:val="21"/>
          <w:lang w:eastAsia="zh-CN"/>
        </w:rPr>
        <w:t>符合GB/T 38144.1-2019标准，</w:t>
      </w:r>
      <w:r>
        <w:rPr>
          <w:color w:val="auto"/>
          <w:sz w:val="21"/>
          <w:lang w:eastAsia="zh-CN"/>
        </w:rPr>
        <w:t>应以至</w:t>
      </w:r>
      <w:r>
        <w:rPr>
          <w:color w:val="auto"/>
          <w:sz w:val="21"/>
        </w:rPr>
        <w:t>少11.4L/min的流量</w:t>
      </w:r>
      <w:r>
        <w:rPr>
          <w:color w:val="auto"/>
          <w:sz w:val="21"/>
          <w:lang w:eastAsia="zh-CN"/>
        </w:rPr>
        <w:t>提供</w:t>
      </w:r>
      <w:r>
        <w:rPr>
          <w:color w:val="auto"/>
          <w:sz w:val="21"/>
        </w:rPr>
        <w:t>冲洗液，保持</w:t>
      </w:r>
      <w:r>
        <w:rPr>
          <w:color w:val="auto"/>
          <w:sz w:val="21"/>
          <w:lang w:eastAsia="zh-CN"/>
        </w:rPr>
        <w:t>冲洗至</w:t>
      </w:r>
      <w:r>
        <w:rPr>
          <w:color w:val="auto"/>
          <w:sz w:val="21"/>
        </w:rPr>
        <w:t>少15min</w:t>
      </w:r>
      <w:r>
        <w:rPr>
          <w:color w:val="auto"/>
          <w:sz w:val="21"/>
          <w:lang w:eastAsia="zh-CN"/>
        </w:rPr>
        <w:t>；</w:t>
      </w:r>
      <w:r>
        <w:rPr>
          <w:color w:val="auto"/>
          <w:sz w:val="21"/>
        </w:rPr>
        <w:t>喷头受到保护，防止接触空气中的污染物。在实施保护喷头的措施时，</w:t>
      </w:r>
      <w:r>
        <w:rPr>
          <w:color w:val="auto"/>
          <w:sz w:val="21"/>
          <w:lang w:eastAsia="zh-CN"/>
        </w:rPr>
        <w:t>应保证当</w:t>
      </w:r>
      <w:r>
        <w:rPr>
          <w:color w:val="auto"/>
          <w:sz w:val="21"/>
        </w:rPr>
        <w:t>开启洗眼器时，不需要使用者将防护装置取下</w:t>
      </w:r>
      <w:r>
        <w:rPr>
          <w:color w:val="auto"/>
          <w:sz w:val="21"/>
          <w:lang w:eastAsia="zh-CN"/>
        </w:rPr>
        <w:t>。</w:t>
      </w:r>
      <w:r>
        <w:rPr>
          <w:color w:val="auto"/>
          <w:sz w:val="21"/>
        </w:rPr>
        <w:t>当洗眼器正确地连接到冲洗液的供应源头并关闭阀门时，连接部位</w:t>
      </w:r>
      <w:r>
        <w:rPr>
          <w:color w:val="auto"/>
          <w:sz w:val="21"/>
          <w:lang w:eastAsia="zh-CN"/>
        </w:rPr>
        <w:t>不得有</w:t>
      </w:r>
      <w:r>
        <w:rPr>
          <w:color w:val="auto"/>
          <w:sz w:val="21"/>
        </w:rPr>
        <w:t>可见泄露</w:t>
      </w:r>
      <w:r>
        <w:rPr>
          <w:color w:val="auto"/>
          <w:sz w:val="21"/>
          <w:lang w:eastAsia="zh-CN"/>
        </w:rPr>
        <w:t>；</w:t>
      </w:r>
    </w:p>
    <w:p w14:paraId="1E55626D">
      <w:pPr>
        <w:pStyle w:val="30"/>
        <w:spacing w:before="90" w:after="90"/>
        <w:ind w:firstLine="420" w:firstLineChars="200"/>
        <w:rPr>
          <w:rFonts w:hint="default"/>
          <w:color w:val="auto"/>
          <w:sz w:val="21"/>
          <w:lang w:eastAsia="zh-CN"/>
        </w:rPr>
      </w:pPr>
      <w:r>
        <w:rPr>
          <w:color w:val="auto"/>
          <w:sz w:val="21"/>
          <w:lang w:eastAsia="zh-CN"/>
        </w:rPr>
        <w:t>（2）</w:t>
      </w:r>
      <w:r>
        <w:rPr>
          <w:rFonts w:ascii="宋体" w:hAnsi="宋体" w:eastAsia="宋体" w:cs="宋体"/>
          <w:color w:val="auto"/>
          <w:sz w:val="21"/>
          <w:szCs w:val="21"/>
          <w:lang w:eastAsia="zh-CN"/>
        </w:rPr>
        <w:t>符合GB/T 38144.1-2019标准，</w:t>
      </w:r>
      <w:r>
        <w:rPr>
          <w:color w:val="auto"/>
          <w:sz w:val="21"/>
        </w:rPr>
        <w:t>冲洗液能保持以低流速来冲洗双眼，不会对眼睛造成伤害</w:t>
      </w:r>
      <w:r>
        <w:rPr>
          <w:color w:val="auto"/>
          <w:sz w:val="21"/>
          <w:lang w:eastAsia="zh-CN"/>
        </w:rPr>
        <w:t>；</w:t>
      </w:r>
      <w:r>
        <w:rPr>
          <w:color w:val="auto"/>
          <w:sz w:val="21"/>
        </w:rPr>
        <w:t>设计和安装不会对使用者造成伤害</w:t>
      </w:r>
      <w:r>
        <w:rPr>
          <w:color w:val="auto"/>
          <w:sz w:val="21"/>
          <w:lang w:eastAsia="zh-CN"/>
        </w:rPr>
        <w:t>。</w:t>
      </w:r>
    </w:p>
    <w:p w14:paraId="0441D805">
      <w:pPr>
        <w:pStyle w:val="17"/>
        <w:ind w:left="0" w:leftChars="0" w:firstLine="0" w:firstLineChars="0"/>
        <w:rPr>
          <w:color w:val="auto"/>
          <w:lang w:eastAsia="zh-CN"/>
        </w:rPr>
      </w:pPr>
    </w:p>
    <w:p w14:paraId="7EA69967">
      <w:pPr>
        <w:spacing w:line="360" w:lineRule="auto"/>
        <w:ind w:firstLine="420" w:firstLineChars="200"/>
        <w:rPr>
          <w:rFonts w:hint="eastAsia" w:ascii="宋体" w:hAnsi="宋体" w:cs="宋体"/>
          <w:color w:val="auto"/>
          <w:lang w:eastAsia="zh-CN" w:bidi="ar"/>
        </w:rPr>
      </w:pPr>
    </w:p>
    <w:p w14:paraId="1581AD03">
      <w:pPr>
        <w:spacing w:line="360" w:lineRule="auto"/>
        <w:ind w:firstLine="420" w:firstLineChars="200"/>
        <w:rPr>
          <w:rFonts w:hint="eastAsia" w:ascii="宋体" w:hAnsi="宋体" w:eastAsia="宋体" w:cs="宋体"/>
          <w:color w:val="auto"/>
          <w:lang w:eastAsia="zh-CN"/>
        </w:rPr>
      </w:pPr>
      <w:r>
        <w:rPr>
          <w:rFonts w:hint="eastAsia" w:ascii="宋体" w:hAnsi="宋体" w:eastAsia="宋体" w:cs="宋体"/>
          <w:color w:val="auto"/>
          <w:lang w:eastAsia="zh-CN"/>
        </w:rPr>
        <w:t>说明：</w:t>
      </w:r>
    </w:p>
    <w:p w14:paraId="78F154B2">
      <w:pPr>
        <w:spacing w:line="360" w:lineRule="auto"/>
        <w:ind w:firstLine="420" w:firstLineChars="200"/>
        <w:rPr>
          <w:rFonts w:hint="eastAsia" w:ascii="宋体" w:hAnsi="宋体" w:eastAsia="宋体" w:cs="宋体"/>
          <w:color w:val="auto"/>
          <w:lang w:eastAsia="zh-CN"/>
        </w:rPr>
      </w:pPr>
      <w:r>
        <w:rPr>
          <w:rFonts w:hint="eastAsia" w:ascii="宋体" w:hAnsi="宋体" w:eastAsia="宋体" w:cs="宋体"/>
          <w:color w:val="auto"/>
          <w:lang w:eastAsia="zh-CN"/>
        </w:rPr>
        <w:t>（1）上述原材料要求如与“三、采购清单及技术参数要求”不一致，以上述要求为准，检测报告原件备查；</w:t>
      </w:r>
    </w:p>
    <w:p w14:paraId="41120F4B">
      <w:pPr>
        <w:spacing w:line="360" w:lineRule="auto"/>
        <w:ind w:firstLine="420" w:firstLineChars="200"/>
        <w:rPr>
          <w:rFonts w:hint="eastAsia" w:ascii="宋体" w:hAnsi="宋体" w:eastAsia="宋体" w:cs="宋体"/>
          <w:color w:val="auto"/>
          <w:lang w:eastAsia="zh-CN"/>
        </w:rPr>
      </w:pPr>
      <w:r>
        <w:rPr>
          <w:rFonts w:hint="eastAsia" w:ascii="宋体" w:hAnsi="宋体" w:eastAsia="宋体" w:cs="宋体"/>
          <w:color w:val="auto"/>
          <w:lang w:eastAsia="zh-CN"/>
        </w:rPr>
        <w:t>（2）需提供具有“CMA”标识的检测机构出具相应的检测报告。受检单位要求：检测报告上的委托单位(受检单位)名称必须与投标人或投标产品的制造商或原材料的生产厂家名称一致，否则不予认可。报告签发时间不早于 202</w:t>
      </w:r>
      <w:r>
        <w:rPr>
          <w:rFonts w:hint="eastAsia" w:ascii="宋体" w:hAnsi="宋体" w:eastAsia="宋体" w:cs="宋体"/>
          <w:color w:val="auto"/>
          <w:lang w:val="en-US" w:eastAsia="zh-CN"/>
        </w:rPr>
        <w:t>2</w:t>
      </w:r>
      <w:r>
        <w:rPr>
          <w:rFonts w:hint="eastAsia" w:ascii="宋体" w:hAnsi="宋体" w:eastAsia="宋体" w:cs="宋体"/>
          <w:color w:val="auto"/>
          <w:lang w:eastAsia="zh-CN"/>
        </w:rPr>
        <w:t>年</w:t>
      </w:r>
      <w:r>
        <w:rPr>
          <w:rFonts w:hint="eastAsia" w:ascii="宋体" w:hAnsi="宋体" w:eastAsia="宋体" w:cs="宋体"/>
          <w:color w:val="auto"/>
          <w:lang w:val="en-US" w:eastAsia="zh-CN"/>
        </w:rPr>
        <w:t>01</w:t>
      </w:r>
      <w:r>
        <w:rPr>
          <w:rFonts w:hint="eastAsia" w:ascii="宋体" w:hAnsi="宋体" w:eastAsia="宋体" w:cs="宋体"/>
          <w:color w:val="auto"/>
          <w:lang w:eastAsia="zh-CN"/>
        </w:rPr>
        <w:t>月</w:t>
      </w:r>
      <w:r>
        <w:rPr>
          <w:rFonts w:hint="eastAsia" w:ascii="宋体" w:hAnsi="宋体" w:eastAsia="宋体" w:cs="宋体"/>
          <w:color w:val="auto"/>
          <w:lang w:val="en-US" w:eastAsia="zh-CN"/>
        </w:rPr>
        <w:t>01</w:t>
      </w:r>
      <w:r>
        <w:rPr>
          <w:rFonts w:hint="eastAsia" w:ascii="宋体" w:hAnsi="宋体" w:eastAsia="宋体" w:cs="宋体"/>
          <w:color w:val="auto"/>
          <w:lang w:eastAsia="zh-CN"/>
        </w:rPr>
        <w:t>日。</w:t>
      </w:r>
    </w:p>
    <w:p w14:paraId="226B5A50">
      <w:pPr>
        <w:spacing w:before="121" w:line="360" w:lineRule="auto"/>
        <w:ind w:firstLine="402" w:firstLineChars="200"/>
        <w:rPr>
          <w:rFonts w:hint="eastAsia" w:ascii="宋体" w:hAnsi="宋体" w:eastAsia="宋体" w:cs="宋体"/>
          <w:b/>
          <w:bCs/>
          <w:color w:val="auto"/>
          <w:lang w:eastAsia="zh-CN"/>
        </w:rPr>
      </w:pPr>
      <w:r>
        <w:rPr>
          <w:rFonts w:hint="eastAsia" w:ascii="宋体" w:hAnsi="宋体" w:eastAsia="宋体" w:cs="宋体"/>
          <w:b/>
          <w:bCs/>
          <w:color w:val="auto"/>
          <w:spacing w:val="-5"/>
          <w:lang w:eastAsia="zh-CN"/>
        </w:rPr>
        <w:t>六、颜色要求</w:t>
      </w:r>
    </w:p>
    <w:p w14:paraId="767B155A">
      <w:pPr>
        <w:spacing w:before="311" w:line="360" w:lineRule="auto"/>
        <w:ind w:firstLine="420" w:firstLineChars="200"/>
        <w:rPr>
          <w:rFonts w:hint="eastAsia" w:ascii="宋体" w:hAnsi="宋体" w:eastAsia="宋体" w:cs="宋体"/>
          <w:color w:val="auto"/>
          <w:lang w:eastAsia="zh-CN"/>
        </w:rPr>
      </w:pPr>
      <w:r>
        <w:rPr>
          <w:rFonts w:hint="eastAsia" w:ascii="宋体" w:hAnsi="宋体" w:eastAsia="宋体" w:cs="宋体"/>
          <w:color w:val="auto"/>
          <w:lang w:eastAsia="zh-CN"/>
        </w:rPr>
        <w:t>医院家具颜色应与建筑内装饰风格相适应，以单色为主，不宜过于鲜艳，主体颜色投标时暂按以下要求考虑，中标后具体颜色须待采购人明确后方可下单制作。（请投标人注意，中标后价格不因具体颜色的调整而改变，报价时应综合考虑该因素）</w:t>
      </w:r>
    </w:p>
    <w:tbl>
      <w:tblPr>
        <w:tblStyle w:val="25"/>
        <w:tblpPr w:leftFromText="180" w:rightFromText="180" w:vertAnchor="text" w:horzAnchor="page" w:tblpX="1534" w:tblpY="110"/>
        <w:tblOverlap w:val="never"/>
        <w:tblW w:w="1213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3673"/>
        <w:gridCol w:w="8457"/>
      </w:tblGrid>
      <w:tr w14:paraId="57A9BE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3" w:hRule="atLeast"/>
        </w:trPr>
        <w:tc>
          <w:tcPr>
            <w:tcW w:w="3673" w:type="dxa"/>
          </w:tcPr>
          <w:p w14:paraId="5837DAAC">
            <w:pPr>
              <w:pStyle w:val="24"/>
              <w:spacing w:before="237" w:line="360" w:lineRule="auto"/>
              <w:ind w:left="1385" w:firstLine="195" w:firstLineChars="100"/>
              <w:rPr>
                <w:rFonts w:hint="eastAsia"/>
                <w:b/>
                <w:bCs/>
                <w:color w:val="auto"/>
                <w:sz w:val="21"/>
                <w:szCs w:val="21"/>
              </w:rPr>
            </w:pPr>
            <w:r>
              <w:rPr>
                <w:rFonts w:hint="eastAsia"/>
                <w:b/>
                <w:bCs/>
                <w:color w:val="auto"/>
                <w:spacing w:val="-8"/>
                <w:sz w:val="21"/>
                <w:szCs w:val="21"/>
              </w:rPr>
              <w:t>分类</w:t>
            </w:r>
          </w:p>
        </w:tc>
        <w:tc>
          <w:tcPr>
            <w:tcW w:w="8457" w:type="dxa"/>
          </w:tcPr>
          <w:p w14:paraId="428E0E20">
            <w:pPr>
              <w:pStyle w:val="24"/>
              <w:spacing w:before="238" w:line="360" w:lineRule="auto"/>
              <w:ind w:left="152"/>
              <w:jc w:val="center"/>
              <w:rPr>
                <w:rFonts w:hint="eastAsia"/>
                <w:b/>
                <w:bCs/>
                <w:color w:val="auto"/>
                <w:sz w:val="21"/>
                <w:szCs w:val="21"/>
              </w:rPr>
            </w:pPr>
            <w:r>
              <w:rPr>
                <w:rFonts w:hint="eastAsia"/>
                <w:b/>
                <w:bCs/>
                <w:color w:val="auto"/>
                <w:spacing w:val="3"/>
                <w:sz w:val="21"/>
                <w:szCs w:val="21"/>
              </w:rPr>
              <w:t>主体颜色</w:t>
            </w:r>
          </w:p>
        </w:tc>
      </w:tr>
      <w:tr w14:paraId="7A6439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038" w:hRule="atLeast"/>
        </w:trPr>
        <w:tc>
          <w:tcPr>
            <w:tcW w:w="3673" w:type="dxa"/>
            <w:vAlign w:val="center"/>
          </w:tcPr>
          <w:p w14:paraId="53B317A9">
            <w:pPr>
              <w:pStyle w:val="24"/>
              <w:spacing w:before="94" w:line="360" w:lineRule="auto"/>
              <w:jc w:val="center"/>
              <w:rPr>
                <w:rFonts w:hint="eastAsia"/>
                <w:color w:val="auto"/>
                <w:sz w:val="21"/>
                <w:szCs w:val="21"/>
              </w:rPr>
            </w:pPr>
            <w:r>
              <w:rPr>
                <w:rFonts w:hint="eastAsia"/>
                <w:color w:val="auto"/>
                <w:spacing w:val="-7"/>
                <w:sz w:val="21"/>
                <w:szCs w:val="21"/>
              </w:rPr>
              <w:t>木制</w:t>
            </w:r>
          </w:p>
        </w:tc>
        <w:tc>
          <w:tcPr>
            <w:tcW w:w="8457" w:type="dxa"/>
            <w:vAlign w:val="center"/>
          </w:tcPr>
          <w:p w14:paraId="5F7F2F6B">
            <w:pPr>
              <w:pStyle w:val="24"/>
              <w:spacing w:before="54" w:line="360" w:lineRule="auto"/>
              <w:jc w:val="both"/>
              <w:rPr>
                <w:rFonts w:hint="eastAsia"/>
                <w:color w:val="auto"/>
                <w:sz w:val="21"/>
                <w:szCs w:val="21"/>
                <w:lang w:eastAsia="zh-CN"/>
              </w:rPr>
            </w:pPr>
            <w:r>
              <w:rPr>
                <w:rFonts w:hint="eastAsia"/>
                <w:color w:val="auto"/>
                <w:spacing w:val="-1"/>
                <w:sz w:val="21"/>
                <w:szCs w:val="21"/>
                <w:lang w:eastAsia="zh-CN"/>
              </w:rPr>
              <w:t>纹路：木皮保留天然纹路感。</w:t>
            </w:r>
          </w:p>
          <w:p w14:paraId="12FE12FB">
            <w:pPr>
              <w:pStyle w:val="24"/>
              <w:spacing w:before="86" w:line="360" w:lineRule="auto"/>
              <w:jc w:val="both"/>
              <w:rPr>
                <w:rFonts w:hint="eastAsia"/>
                <w:color w:val="auto"/>
                <w:sz w:val="21"/>
                <w:szCs w:val="21"/>
                <w:lang w:eastAsia="zh-CN"/>
              </w:rPr>
            </w:pPr>
            <w:r>
              <w:rPr>
                <w:rFonts w:hint="eastAsia"/>
                <w:color w:val="auto"/>
                <w:spacing w:val="-1"/>
                <w:sz w:val="21"/>
                <w:szCs w:val="21"/>
                <w:lang w:eastAsia="zh-CN"/>
              </w:rPr>
              <w:t>颜色：胡桃木色、橡木色、榉木色等，</w:t>
            </w:r>
            <w:r>
              <w:rPr>
                <w:rFonts w:hint="eastAsia"/>
                <w:color w:val="FF0000"/>
                <w:spacing w:val="-1"/>
                <w:sz w:val="21"/>
                <w:szCs w:val="21"/>
                <w:lang w:eastAsia="zh-CN"/>
              </w:rPr>
              <w:t>可根据实际需求定制</w:t>
            </w:r>
          </w:p>
        </w:tc>
      </w:tr>
      <w:tr w14:paraId="108656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48" w:hRule="atLeast"/>
        </w:trPr>
        <w:tc>
          <w:tcPr>
            <w:tcW w:w="3673" w:type="dxa"/>
            <w:vAlign w:val="center"/>
          </w:tcPr>
          <w:p w14:paraId="48699C1F">
            <w:pPr>
              <w:pStyle w:val="24"/>
              <w:spacing w:before="268" w:line="360" w:lineRule="auto"/>
              <w:jc w:val="center"/>
              <w:rPr>
                <w:rFonts w:hint="eastAsia"/>
                <w:color w:val="auto"/>
                <w:sz w:val="21"/>
                <w:szCs w:val="21"/>
                <w:lang w:eastAsia="zh-CN"/>
              </w:rPr>
            </w:pPr>
            <w:r>
              <w:rPr>
                <w:rFonts w:hint="eastAsia"/>
                <w:color w:val="auto"/>
                <w:spacing w:val="-5"/>
                <w:sz w:val="21"/>
                <w:szCs w:val="21"/>
              </w:rPr>
              <w:t>钢制</w:t>
            </w:r>
            <w:r>
              <w:rPr>
                <w:rFonts w:hint="eastAsia"/>
                <w:color w:val="auto"/>
                <w:spacing w:val="-5"/>
                <w:sz w:val="21"/>
                <w:szCs w:val="21"/>
                <w:lang w:eastAsia="zh-CN"/>
              </w:rPr>
              <w:t>、铝制</w:t>
            </w:r>
          </w:p>
        </w:tc>
        <w:tc>
          <w:tcPr>
            <w:tcW w:w="8457" w:type="dxa"/>
            <w:vAlign w:val="center"/>
          </w:tcPr>
          <w:p w14:paraId="0A9612ED">
            <w:pPr>
              <w:pStyle w:val="24"/>
              <w:spacing w:before="127" w:line="360" w:lineRule="auto"/>
              <w:jc w:val="both"/>
              <w:rPr>
                <w:rFonts w:hint="eastAsia"/>
                <w:color w:val="auto"/>
                <w:sz w:val="21"/>
                <w:szCs w:val="21"/>
                <w:lang w:eastAsia="zh-CN"/>
              </w:rPr>
            </w:pPr>
            <w:r>
              <w:rPr>
                <w:rFonts w:hint="eastAsia"/>
                <w:color w:val="auto"/>
                <w:spacing w:val="-1"/>
                <w:sz w:val="21"/>
                <w:szCs w:val="21"/>
                <w:lang w:eastAsia="zh-CN"/>
              </w:rPr>
              <w:t>颜色：白色、咖啡色、黑色等，</w:t>
            </w:r>
            <w:r>
              <w:rPr>
                <w:rFonts w:hint="eastAsia"/>
                <w:color w:val="FF0000"/>
                <w:spacing w:val="-1"/>
                <w:sz w:val="21"/>
                <w:szCs w:val="21"/>
                <w:lang w:eastAsia="zh-CN"/>
              </w:rPr>
              <w:t>可根据实际需求定制</w:t>
            </w:r>
          </w:p>
        </w:tc>
      </w:tr>
      <w:tr w14:paraId="12AA0C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65" w:hRule="atLeast"/>
        </w:trPr>
        <w:tc>
          <w:tcPr>
            <w:tcW w:w="3673" w:type="dxa"/>
            <w:vAlign w:val="center"/>
          </w:tcPr>
          <w:p w14:paraId="08E46AE2">
            <w:pPr>
              <w:pStyle w:val="24"/>
              <w:spacing w:before="250" w:line="360" w:lineRule="auto"/>
              <w:jc w:val="center"/>
              <w:rPr>
                <w:rFonts w:hint="eastAsia"/>
                <w:color w:val="auto"/>
                <w:spacing w:val="2"/>
                <w:sz w:val="21"/>
                <w:szCs w:val="21"/>
                <w:lang w:eastAsia="zh-CN"/>
              </w:rPr>
            </w:pPr>
            <w:r>
              <w:rPr>
                <w:rFonts w:hint="eastAsia"/>
                <w:color w:val="auto"/>
                <w:spacing w:val="2"/>
                <w:sz w:val="21"/>
                <w:szCs w:val="21"/>
                <w:lang w:eastAsia="zh-CN"/>
              </w:rPr>
              <w:t>板式</w:t>
            </w:r>
          </w:p>
        </w:tc>
        <w:tc>
          <w:tcPr>
            <w:tcW w:w="8457" w:type="dxa"/>
            <w:vAlign w:val="center"/>
          </w:tcPr>
          <w:p w14:paraId="6272AA46">
            <w:pPr>
              <w:pStyle w:val="24"/>
              <w:spacing w:before="127" w:line="360" w:lineRule="auto"/>
              <w:jc w:val="both"/>
              <w:rPr>
                <w:rFonts w:hint="eastAsia"/>
                <w:color w:val="auto"/>
                <w:sz w:val="21"/>
                <w:szCs w:val="21"/>
                <w:lang w:eastAsia="zh-CN"/>
              </w:rPr>
            </w:pPr>
            <w:r>
              <w:rPr>
                <w:rFonts w:hint="eastAsia"/>
                <w:color w:val="auto"/>
                <w:sz w:val="21"/>
                <w:szCs w:val="21"/>
                <w:lang w:eastAsia="zh-CN"/>
              </w:rPr>
              <w:t>颜色：白色、木纹色、灰色、米色等，</w:t>
            </w:r>
            <w:r>
              <w:rPr>
                <w:rFonts w:hint="eastAsia"/>
                <w:color w:val="FF0000"/>
                <w:spacing w:val="-1"/>
                <w:sz w:val="21"/>
                <w:szCs w:val="21"/>
                <w:lang w:eastAsia="zh-CN"/>
              </w:rPr>
              <w:t>可根据实际需求定制</w:t>
            </w:r>
          </w:p>
        </w:tc>
      </w:tr>
      <w:tr w14:paraId="7F6A7D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15" w:hRule="atLeast"/>
        </w:trPr>
        <w:tc>
          <w:tcPr>
            <w:tcW w:w="3673" w:type="dxa"/>
            <w:vAlign w:val="center"/>
          </w:tcPr>
          <w:p w14:paraId="4FA5696D">
            <w:pPr>
              <w:pStyle w:val="24"/>
              <w:spacing w:before="250" w:line="360" w:lineRule="auto"/>
              <w:jc w:val="center"/>
              <w:rPr>
                <w:rFonts w:hint="eastAsia"/>
                <w:color w:val="auto"/>
                <w:spacing w:val="2"/>
                <w:sz w:val="21"/>
                <w:szCs w:val="21"/>
                <w:lang w:eastAsia="zh-CN"/>
              </w:rPr>
            </w:pPr>
            <w:r>
              <w:rPr>
                <w:rFonts w:hint="eastAsia"/>
                <w:color w:val="auto"/>
                <w:spacing w:val="2"/>
                <w:sz w:val="21"/>
                <w:szCs w:val="21"/>
                <w:lang w:eastAsia="zh-CN"/>
              </w:rPr>
              <w:t>茶几</w:t>
            </w:r>
          </w:p>
        </w:tc>
        <w:tc>
          <w:tcPr>
            <w:tcW w:w="8457" w:type="dxa"/>
            <w:vAlign w:val="center"/>
          </w:tcPr>
          <w:p w14:paraId="6E56BCBC">
            <w:pPr>
              <w:pStyle w:val="24"/>
              <w:spacing w:before="127" w:line="360" w:lineRule="auto"/>
              <w:jc w:val="both"/>
              <w:rPr>
                <w:rFonts w:hint="eastAsia"/>
                <w:color w:val="auto"/>
                <w:sz w:val="21"/>
                <w:szCs w:val="21"/>
                <w:lang w:eastAsia="zh-CN"/>
              </w:rPr>
            </w:pPr>
            <w:r>
              <w:rPr>
                <w:rFonts w:hint="eastAsia"/>
                <w:color w:val="auto"/>
                <w:sz w:val="21"/>
                <w:szCs w:val="21"/>
                <w:lang w:eastAsia="zh-CN"/>
              </w:rPr>
              <w:t>颜色：玻璃、黑色、白色等，</w:t>
            </w:r>
            <w:r>
              <w:rPr>
                <w:rFonts w:hint="eastAsia"/>
                <w:color w:val="FF0000"/>
                <w:spacing w:val="-1"/>
                <w:sz w:val="21"/>
                <w:szCs w:val="21"/>
                <w:lang w:eastAsia="zh-CN"/>
              </w:rPr>
              <w:t>可根据实际需求定制</w:t>
            </w:r>
          </w:p>
        </w:tc>
      </w:tr>
      <w:tr w14:paraId="0EAA6D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89" w:hRule="atLeast"/>
        </w:trPr>
        <w:tc>
          <w:tcPr>
            <w:tcW w:w="3673" w:type="dxa"/>
            <w:vAlign w:val="center"/>
          </w:tcPr>
          <w:p w14:paraId="114019AE">
            <w:pPr>
              <w:pStyle w:val="24"/>
              <w:spacing w:before="250" w:line="360" w:lineRule="auto"/>
              <w:jc w:val="center"/>
              <w:rPr>
                <w:rFonts w:hint="eastAsia"/>
                <w:color w:val="auto"/>
                <w:spacing w:val="2"/>
                <w:sz w:val="21"/>
                <w:szCs w:val="21"/>
                <w:lang w:eastAsia="zh-CN"/>
              </w:rPr>
            </w:pPr>
            <w:r>
              <w:rPr>
                <w:rFonts w:hint="eastAsia"/>
                <w:color w:val="auto"/>
                <w:spacing w:val="2"/>
                <w:sz w:val="21"/>
                <w:szCs w:val="21"/>
                <w:lang w:eastAsia="zh-CN"/>
              </w:rPr>
              <w:t>玻璃</w:t>
            </w:r>
          </w:p>
        </w:tc>
        <w:tc>
          <w:tcPr>
            <w:tcW w:w="8457" w:type="dxa"/>
            <w:vAlign w:val="center"/>
          </w:tcPr>
          <w:p w14:paraId="5BC53CD7">
            <w:pPr>
              <w:pStyle w:val="24"/>
              <w:spacing w:before="127" w:line="360" w:lineRule="auto"/>
              <w:jc w:val="both"/>
              <w:rPr>
                <w:rFonts w:hint="eastAsia"/>
                <w:color w:val="auto"/>
                <w:sz w:val="21"/>
                <w:szCs w:val="21"/>
                <w:lang w:eastAsia="zh-CN"/>
              </w:rPr>
            </w:pPr>
            <w:r>
              <w:rPr>
                <w:rFonts w:hint="eastAsia"/>
                <w:color w:val="auto"/>
                <w:sz w:val="21"/>
                <w:szCs w:val="21"/>
                <w:lang w:eastAsia="zh-CN"/>
              </w:rPr>
              <w:t>颜色：超白钢化玻璃，</w:t>
            </w:r>
            <w:r>
              <w:rPr>
                <w:rFonts w:hint="eastAsia"/>
                <w:color w:val="FF0000"/>
                <w:spacing w:val="-1"/>
                <w:sz w:val="21"/>
                <w:szCs w:val="21"/>
                <w:lang w:eastAsia="zh-CN"/>
              </w:rPr>
              <w:t>可根据实际需求定制</w:t>
            </w:r>
          </w:p>
        </w:tc>
      </w:tr>
      <w:tr w14:paraId="67AD30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5" w:hRule="atLeast"/>
        </w:trPr>
        <w:tc>
          <w:tcPr>
            <w:tcW w:w="3673" w:type="dxa"/>
            <w:vAlign w:val="center"/>
          </w:tcPr>
          <w:p w14:paraId="0C45C1EC">
            <w:pPr>
              <w:pStyle w:val="24"/>
              <w:spacing w:before="250" w:line="360" w:lineRule="auto"/>
              <w:jc w:val="center"/>
              <w:rPr>
                <w:rFonts w:hint="eastAsia"/>
                <w:color w:val="auto"/>
                <w:spacing w:val="2"/>
                <w:sz w:val="21"/>
                <w:szCs w:val="21"/>
                <w:lang w:eastAsia="zh-CN"/>
              </w:rPr>
            </w:pPr>
            <w:r>
              <w:rPr>
                <w:rFonts w:hint="eastAsia"/>
                <w:color w:val="auto"/>
                <w:spacing w:val="2"/>
                <w:sz w:val="21"/>
                <w:szCs w:val="21"/>
                <w:lang w:eastAsia="zh-CN"/>
              </w:rPr>
              <w:t>石材</w:t>
            </w:r>
          </w:p>
        </w:tc>
        <w:tc>
          <w:tcPr>
            <w:tcW w:w="8457" w:type="dxa"/>
            <w:vAlign w:val="center"/>
          </w:tcPr>
          <w:p w14:paraId="288D124C">
            <w:pPr>
              <w:pStyle w:val="24"/>
              <w:spacing w:before="127" w:line="360" w:lineRule="auto"/>
              <w:jc w:val="both"/>
              <w:rPr>
                <w:rFonts w:hint="eastAsia"/>
                <w:color w:val="FF0000"/>
                <w:sz w:val="21"/>
                <w:szCs w:val="21"/>
                <w:lang w:eastAsia="zh-CN"/>
              </w:rPr>
            </w:pPr>
            <w:r>
              <w:rPr>
                <w:rFonts w:hint="eastAsia"/>
                <w:color w:val="auto"/>
                <w:sz w:val="21"/>
                <w:szCs w:val="21"/>
                <w:lang w:eastAsia="zh-CN"/>
              </w:rPr>
              <w:t>颜色：白色、雪花白、米色等，</w:t>
            </w:r>
            <w:r>
              <w:rPr>
                <w:rFonts w:hint="eastAsia"/>
                <w:color w:val="FF0000"/>
                <w:spacing w:val="-1"/>
                <w:sz w:val="21"/>
                <w:szCs w:val="21"/>
                <w:lang w:eastAsia="zh-CN"/>
              </w:rPr>
              <w:t>可根据实际需求定制</w:t>
            </w:r>
          </w:p>
          <w:p w14:paraId="30FA24FF">
            <w:pPr>
              <w:pStyle w:val="24"/>
              <w:spacing w:before="127" w:line="360" w:lineRule="auto"/>
              <w:jc w:val="both"/>
              <w:rPr>
                <w:rFonts w:hint="eastAsia"/>
                <w:color w:val="auto"/>
                <w:sz w:val="21"/>
                <w:szCs w:val="21"/>
                <w:lang w:eastAsia="zh-CN"/>
              </w:rPr>
            </w:pPr>
            <w:r>
              <w:rPr>
                <w:rFonts w:hint="eastAsia"/>
                <w:color w:val="auto"/>
                <w:sz w:val="21"/>
                <w:szCs w:val="21"/>
                <w:lang w:eastAsia="zh-CN"/>
              </w:rPr>
              <w:t>材质：人造石</w:t>
            </w:r>
          </w:p>
        </w:tc>
      </w:tr>
      <w:tr w14:paraId="613447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664" w:hRule="atLeast"/>
        </w:trPr>
        <w:tc>
          <w:tcPr>
            <w:tcW w:w="3673" w:type="dxa"/>
            <w:vAlign w:val="center"/>
          </w:tcPr>
          <w:p w14:paraId="088D51D4">
            <w:pPr>
              <w:pStyle w:val="24"/>
              <w:spacing w:before="250" w:line="360" w:lineRule="auto"/>
              <w:jc w:val="center"/>
              <w:rPr>
                <w:rFonts w:hint="eastAsia"/>
                <w:color w:val="auto"/>
                <w:spacing w:val="2"/>
                <w:sz w:val="21"/>
                <w:szCs w:val="21"/>
                <w:lang w:eastAsia="zh-CN"/>
              </w:rPr>
            </w:pPr>
            <w:r>
              <w:rPr>
                <w:rFonts w:hint="eastAsia"/>
                <w:color w:val="auto"/>
                <w:spacing w:val="2"/>
                <w:sz w:val="21"/>
                <w:szCs w:val="21"/>
                <w:lang w:eastAsia="zh-CN"/>
              </w:rPr>
              <w:t>LED灯带</w:t>
            </w:r>
          </w:p>
        </w:tc>
        <w:tc>
          <w:tcPr>
            <w:tcW w:w="8457" w:type="dxa"/>
            <w:vAlign w:val="center"/>
          </w:tcPr>
          <w:p w14:paraId="1E2CFCED">
            <w:pPr>
              <w:pStyle w:val="24"/>
              <w:spacing w:before="127" w:line="360" w:lineRule="auto"/>
              <w:jc w:val="both"/>
              <w:rPr>
                <w:rFonts w:hint="eastAsia"/>
                <w:color w:val="auto"/>
                <w:sz w:val="21"/>
                <w:szCs w:val="21"/>
                <w:lang w:eastAsia="zh-CN"/>
              </w:rPr>
            </w:pPr>
            <w:r>
              <w:rPr>
                <w:rFonts w:hint="eastAsia"/>
                <w:color w:val="auto"/>
                <w:sz w:val="21"/>
                <w:szCs w:val="21"/>
                <w:lang w:eastAsia="zh-CN"/>
              </w:rPr>
              <w:t>颜色：白光、暖白光等，</w:t>
            </w:r>
            <w:r>
              <w:rPr>
                <w:rFonts w:hint="eastAsia"/>
                <w:color w:val="FF0000"/>
                <w:spacing w:val="-1"/>
                <w:sz w:val="21"/>
                <w:szCs w:val="21"/>
                <w:lang w:eastAsia="zh-CN"/>
              </w:rPr>
              <w:t>可根据实际需求定制</w:t>
            </w:r>
          </w:p>
        </w:tc>
      </w:tr>
      <w:tr w14:paraId="71D9E2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50" w:hRule="atLeast"/>
        </w:trPr>
        <w:tc>
          <w:tcPr>
            <w:tcW w:w="3673" w:type="dxa"/>
            <w:vAlign w:val="center"/>
          </w:tcPr>
          <w:p w14:paraId="3C958815">
            <w:pPr>
              <w:pStyle w:val="24"/>
              <w:spacing w:before="250" w:line="360" w:lineRule="auto"/>
              <w:jc w:val="center"/>
              <w:rPr>
                <w:rFonts w:hint="eastAsia"/>
                <w:color w:val="auto"/>
                <w:sz w:val="21"/>
                <w:szCs w:val="21"/>
              </w:rPr>
            </w:pPr>
            <w:r>
              <w:rPr>
                <w:rFonts w:hint="eastAsia"/>
                <w:color w:val="auto"/>
                <w:spacing w:val="2"/>
                <w:sz w:val="21"/>
                <w:szCs w:val="21"/>
              </w:rPr>
              <w:t>椅子、沙发</w:t>
            </w:r>
          </w:p>
        </w:tc>
        <w:tc>
          <w:tcPr>
            <w:tcW w:w="8457" w:type="dxa"/>
            <w:vAlign w:val="center"/>
          </w:tcPr>
          <w:p w14:paraId="6BC53D2C">
            <w:pPr>
              <w:pStyle w:val="24"/>
              <w:spacing w:before="127" w:line="360" w:lineRule="auto"/>
              <w:jc w:val="both"/>
              <w:rPr>
                <w:rFonts w:hint="eastAsia"/>
                <w:color w:val="auto"/>
                <w:sz w:val="21"/>
                <w:szCs w:val="21"/>
                <w:lang w:eastAsia="zh-CN"/>
              </w:rPr>
            </w:pPr>
            <w:r>
              <w:rPr>
                <w:rFonts w:hint="eastAsia"/>
                <w:color w:val="auto"/>
                <w:sz w:val="21"/>
                <w:szCs w:val="21"/>
                <w:lang w:eastAsia="zh-CN"/>
              </w:rPr>
              <w:t>颜色：黑色、咖啡色、白色、米色、灰色、蓝色等，</w:t>
            </w:r>
            <w:r>
              <w:rPr>
                <w:rFonts w:hint="eastAsia"/>
                <w:color w:val="FF0000"/>
                <w:spacing w:val="-1"/>
                <w:sz w:val="21"/>
                <w:szCs w:val="21"/>
                <w:lang w:eastAsia="zh-CN"/>
              </w:rPr>
              <w:t>可根据实际需求定制</w:t>
            </w:r>
          </w:p>
        </w:tc>
      </w:tr>
    </w:tbl>
    <w:p w14:paraId="776CE160">
      <w:pPr>
        <w:spacing w:line="360" w:lineRule="auto"/>
        <w:rPr>
          <w:rFonts w:hint="eastAsia" w:ascii="宋体" w:hAnsi="宋体" w:eastAsia="宋体" w:cs="宋体"/>
          <w:color w:val="auto"/>
          <w:lang w:eastAsia="zh-CN"/>
        </w:rPr>
        <w:sectPr>
          <w:pgSz w:w="16840" w:h="23810"/>
          <w:pgMar w:top="1440" w:right="1080" w:bottom="1440" w:left="1080" w:header="0" w:footer="0" w:gutter="0"/>
          <w:cols w:space="720" w:num="1"/>
        </w:sectPr>
      </w:pPr>
    </w:p>
    <w:p w14:paraId="5B5264AF">
      <w:pPr>
        <w:spacing w:before="130" w:line="360" w:lineRule="auto"/>
        <w:rPr>
          <w:rFonts w:hint="eastAsia" w:ascii="宋体" w:hAnsi="宋体" w:eastAsia="宋体" w:cs="宋体"/>
          <w:b/>
          <w:bCs/>
          <w:color w:val="auto"/>
          <w:lang w:eastAsia="zh-CN"/>
        </w:rPr>
      </w:pPr>
      <w:r>
        <w:rPr>
          <w:rFonts w:hint="eastAsia" w:ascii="宋体" w:hAnsi="宋体" w:eastAsia="宋体" w:cs="宋体"/>
          <w:b/>
          <w:bCs/>
          <w:color w:val="auto"/>
          <w:lang w:eastAsia="zh-CN"/>
        </w:rPr>
        <w:t>七、样品要求</w:t>
      </w:r>
    </w:p>
    <w:p w14:paraId="4CB5F442">
      <w:pPr>
        <w:spacing w:before="1" w:line="360" w:lineRule="auto"/>
        <w:ind w:left="9" w:firstLine="420" w:firstLineChars="200"/>
        <w:rPr>
          <w:rFonts w:hint="eastAsia" w:ascii="宋体" w:hAnsi="宋体" w:eastAsia="宋体" w:cs="宋体"/>
          <w:color w:val="auto"/>
          <w:lang w:eastAsia="zh-CN"/>
        </w:rPr>
      </w:pPr>
    </w:p>
    <w:p w14:paraId="03FF37BE">
      <w:pPr>
        <w:spacing w:before="1" w:line="360" w:lineRule="auto"/>
        <w:ind w:left="9" w:firstLine="420" w:firstLineChars="200"/>
        <w:rPr>
          <w:rFonts w:hint="eastAsia" w:ascii="宋体" w:hAnsi="宋体" w:eastAsia="宋体" w:cs="宋体"/>
          <w:color w:val="auto"/>
          <w:lang w:eastAsia="zh-CN"/>
        </w:rPr>
      </w:pPr>
      <w:r>
        <w:rPr>
          <w:rFonts w:hint="eastAsia" w:ascii="宋体" w:hAnsi="宋体" w:eastAsia="宋体" w:cs="宋体"/>
          <w:color w:val="auto"/>
          <w:lang w:eastAsia="zh-CN"/>
        </w:rPr>
        <w:t>投标人需要按以下要求提交样品，中标样品交由采购人作为履约验收参考，最终产品使用的原辅材料不得低于样品的标准。</w:t>
      </w:r>
    </w:p>
    <w:p w14:paraId="2410E37F">
      <w:pPr>
        <w:spacing w:line="360" w:lineRule="auto"/>
        <w:rPr>
          <w:rFonts w:hint="eastAsia" w:ascii="宋体" w:hAnsi="宋体" w:eastAsia="宋体" w:cs="宋体"/>
          <w:color w:val="auto"/>
          <w:lang w:eastAsia="zh-CN"/>
        </w:rPr>
      </w:pPr>
    </w:p>
    <w:tbl>
      <w:tblPr>
        <w:tblStyle w:val="25"/>
        <w:tblW w:w="18639"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115"/>
        <w:gridCol w:w="2086"/>
        <w:gridCol w:w="3132"/>
        <w:gridCol w:w="1020"/>
        <w:gridCol w:w="1272"/>
        <w:gridCol w:w="10014"/>
      </w:tblGrid>
      <w:tr w14:paraId="15DA8E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54" w:hRule="atLeast"/>
          <w:jc w:val="center"/>
        </w:trPr>
        <w:tc>
          <w:tcPr>
            <w:tcW w:w="1115" w:type="dxa"/>
            <w:vAlign w:val="center"/>
          </w:tcPr>
          <w:p w14:paraId="189A7AAB">
            <w:pPr>
              <w:jc w:val="center"/>
              <w:rPr>
                <w:b/>
                <w:bCs/>
                <w:color w:val="auto"/>
              </w:rPr>
            </w:pPr>
            <w:r>
              <w:rPr>
                <w:rFonts w:hint="eastAsia"/>
                <w:b/>
                <w:bCs/>
                <w:color w:val="auto"/>
                <w:lang w:eastAsia="zh-CN"/>
              </w:rPr>
              <w:t>序号</w:t>
            </w:r>
          </w:p>
        </w:tc>
        <w:tc>
          <w:tcPr>
            <w:tcW w:w="2086" w:type="dxa"/>
            <w:vAlign w:val="center"/>
          </w:tcPr>
          <w:p w14:paraId="1DFA9E9E">
            <w:pPr>
              <w:jc w:val="center"/>
              <w:rPr>
                <w:b/>
                <w:bCs/>
                <w:color w:val="auto"/>
              </w:rPr>
            </w:pPr>
            <w:r>
              <w:rPr>
                <w:rFonts w:hint="eastAsia"/>
                <w:b/>
                <w:bCs/>
                <w:color w:val="auto"/>
                <w:lang w:eastAsia="zh-CN"/>
              </w:rPr>
              <w:t>样品名称</w:t>
            </w:r>
          </w:p>
        </w:tc>
        <w:tc>
          <w:tcPr>
            <w:tcW w:w="3132" w:type="dxa"/>
            <w:vAlign w:val="center"/>
          </w:tcPr>
          <w:p w14:paraId="13E9EBDF">
            <w:pPr>
              <w:jc w:val="center"/>
              <w:rPr>
                <w:b/>
                <w:bCs/>
                <w:color w:val="auto"/>
                <w:spacing w:val="3"/>
              </w:rPr>
            </w:pPr>
            <w:r>
              <w:rPr>
                <w:rFonts w:hint="eastAsia"/>
                <w:b/>
                <w:bCs/>
                <w:color w:val="auto"/>
                <w:lang w:eastAsia="zh-CN"/>
              </w:rPr>
              <w:t>规格尺寸</w:t>
            </w:r>
          </w:p>
        </w:tc>
        <w:tc>
          <w:tcPr>
            <w:tcW w:w="1020" w:type="dxa"/>
            <w:vAlign w:val="center"/>
          </w:tcPr>
          <w:p w14:paraId="65D94B0E">
            <w:pPr>
              <w:jc w:val="center"/>
              <w:rPr>
                <w:b/>
                <w:bCs/>
                <w:color w:val="auto"/>
                <w:spacing w:val="3"/>
              </w:rPr>
            </w:pPr>
            <w:r>
              <w:rPr>
                <w:rFonts w:hint="eastAsia"/>
                <w:b/>
                <w:bCs/>
                <w:color w:val="auto"/>
                <w:lang w:eastAsia="zh-CN"/>
              </w:rPr>
              <w:t>数量</w:t>
            </w:r>
          </w:p>
        </w:tc>
        <w:tc>
          <w:tcPr>
            <w:tcW w:w="1272" w:type="dxa"/>
            <w:vAlign w:val="center"/>
          </w:tcPr>
          <w:p w14:paraId="35FBB6C8">
            <w:pPr>
              <w:jc w:val="center"/>
              <w:rPr>
                <w:b/>
                <w:bCs/>
                <w:color w:val="auto"/>
              </w:rPr>
            </w:pPr>
            <w:r>
              <w:rPr>
                <w:rFonts w:hint="eastAsia"/>
                <w:b/>
                <w:bCs/>
                <w:color w:val="auto"/>
                <w:lang w:eastAsia="zh-CN"/>
              </w:rPr>
              <w:t>单位</w:t>
            </w:r>
          </w:p>
        </w:tc>
        <w:tc>
          <w:tcPr>
            <w:tcW w:w="10014" w:type="dxa"/>
            <w:vAlign w:val="center"/>
          </w:tcPr>
          <w:p w14:paraId="0DFF6D40">
            <w:pPr>
              <w:jc w:val="center"/>
              <w:rPr>
                <w:b/>
                <w:bCs/>
                <w:color w:val="auto"/>
              </w:rPr>
            </w:pPr>
            <w:r>
              <w:rPr>
                <w:rFonts w:hint="eastAsia"/>
                <w:b/>
                <w:bCs/>
                <w:color w:val="auto"/>
                <w:lang w:eastAsia="zh-CN"/>
              </w:rPr>
              <w:t>样品要求</w:t>
            </w:r>
          </w:p>
        </w:tc>
      </w:tr>
      <w:tr w14:paraId="6B3279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026" w:hRule="atLeast"/>
          <w:jc w:val="center"/>
        </w:trPr>
        <w:tc>
          <w:tcPr>
            <w:tcW w:w="1115" w:type="dxa"/>
            <w:vAlign w:val="center"/>
          </w:tcPr>
          <w:p w14:paraId="5A08AE9F">
            <w:pPr>
              <w:pStyle w:val="24"/>
              <w:spacing w:before="91" w:line="360" w:lineRule="auto"/>
              <w:jc w:val="center"/>
              <w:rPr>
                <w:rFonts w:hint="eastAsia"/>
                <w:color w:val="auto"/>
                <w:sz w:val="21"/>
                <w:szCs w:val="21"/>
                <w:lang w:eastAsia="zh-CN"/>
              </w:rPr>
            </w:pPr>
            <w:r>
              <w:rPr>
                <w:rFonts w:hint="eastAsia"/>
                <w:color w:val="auto"/>
                <w:sz w:val="21"/>
                <w:szCs w:val="21"/>
                <w:lang w:eastAsia="zh-CN"/>
              </w:rPr>
              <w:t>1</w:t>
            </w:r>
          </w:p>
        </w:tc>
        <w:tc>
          <w:tcPr>
            <w:tcW w:w="2086" w:type="dxa"/>
            <w:vAlign w:val="center"/>
          </w:tcPr>
          <w:p w14:paraId="745720AA">
            <w:pPr>
              <w:pStyle w:val="24"/>
              <w:spacing w:before="91" w:line="360" w:lineRule="auto"/>
              <w:jc w:val="center"/>
              <w:rPr>
                <w:rFonts w:hint="eastAsia" w:eastAsia="宋体"/>
                <w:color w:val="auto"/>
                <w:sz w:val="21"/>
                <w:szCs w:val="21"/>
                <w:lang w:eastAsia="zh-CN"/>
              </w:rPr>
            </w:pPr>
            <w:r>
              <w:rPr>
                <w:rFonts w:hint="eastAsia"/>
                <w:color w:val="auto"/>
                <w:sz w:val="21"/>
                <w:szCs w:val="21"/>
              </w:rPr>
              <w:t>护士站（微型）</w:t>
            </w:r>
            <w:r>
              <w:rPr>
                <w:rFonts w:hint="eastAsia"/>
                <w:color w:val="auto"/>
                <w:sz w:val="21"/>
                <w:szCs w:val="21"/>
                <w:lang w:eastAsia="zh-CN"/>
              </w:rPr>
              <w:t>（核心产品）</w:t>
            </w:r>
          </w:p>
        </w:tc>
        <w:tc>
          <w:tcPr>
            <w:tcW w:w="3132" w:type="dxa"/>
            <w:vAlign w:val="center"/>
          </w:tcPr>
          <w:p w14:paraId="5E0C3B2C">
            <w:pPr>
              <w:jc w:val="center"/>
              <w:rPr>
                <w:color w:val="auto"/>
                <w:lang w:eastAsia="zh-CN"/>
              </w:rPr>
            </w:pPr>
            <w:r>
              <w:rPr>
                <w:rFonts w:hint="eastAsia"/>
                <w:color w:val="auto"/>
                <w:lang w:eastAsia="zh-CN"/>
              </w:rPr>
              <w:t>780mm/780mm*380mm*600mm</w:t>
            </w:r>
            <w:r>
              <w:rPr>
                <w:rFonts w:hint="eastAsia" w:ascii="宋体" w:hAnsi="宋体" w:eastAsia="宋体" w:cs="宋体"/>
                <w:b/>
                <w:bCs/>
                <w:color w:val="auto"/>
              </w:rPr>
              <w:t>（可偏离:±5mm)</w:t>
            </w:r>
            <w:r>
              <w:rPr>
                <w:rFonts w:hint="eastAsia"/>
                <w:color w:val="auto"/>
                <w:lang w:eastAsia="zh-CN"/>
              </w:rPr>
              <w:t>（L型)</w:t>
            </w:r>
          </w:p>
          <w:p w14:paraId="6E4D523A">
            <w:pPr>
              <w:jc w:val="center"/>
              <w:rPr>
                <w:color w:val="auto"/>
                <w:lang w:eastAsia="zh-CN"/>
              </w:rPr>
            </w:pPr>
          </w:p>
        </w:tc>
        <w:tc>
          <w:tcPr>
            <w:tcW w:w="1020" w:type="dxa"/>
            <w:vAlign w:val="center"/>
          </w:tcPr>
          <w:p w14:paraId="3BA90225">
            <w:pPr>
              <w:jc w:val="center"/>
              <w:rPr>
                <w:color w:val="auto"/>
                <w:lang w:eastAsia="zh-CN"/>
              </w:rPr>
            </w:pPr>
            <w:r>
              <w:rPr>
                <w:rFonts w:hint="eastAsia"/>
                <w:color w:val="auto"/>
                <w:lang w:eastAsia="zh-CN"/>
              </w:rPr>
              <w:t>1</w:t>
            </w:r>
          </w:p>
        </w:tc>
        <w:tc>
          <w:tcPr>
            <w:tcW w:w="1272" w:type="dxa"/>
            <w:vAlign w:val="center"/>
          </w:tcPr>
          <w:p w14:paraId="665AC6A0">
            <w:pPr>
              <w:jc w:val="center"/>
              <w:rPr>
                <w:color w:val="auto"/>
                <w:lang w:eastAsia="zh-CN"/>
              </w:rPr>
            </w:pPr>
            <w:r>
              <w:rPr>
                <w:rFonts w:hint="eastAsia"/>
                <w:color w:val="auto"/>
                <w:lang w:eastAsia="zh-CN"/>
              </w:rPr>
              <w:t>组</w:t>
            </w:r>
          </w:p>
        </w:tc>
        <w:tc>
          <w:tcPr>
            <w:tcW w:w="10014" w:type="dxa"/>
            <w:vAlign w:val="center"/>
          </w:tcPr>
          <w:p w14:paraId="401946C8">
            <w:pPr>
              <w:rPr>
                <w:color w:val="auto"/>
                <w:lang w:eastAsia="zh-CN"/>
              </w:rPr>
            </w:pPr>
            <w:r>
              <w:rPr>
                <w:rFonts w:hint="eastAsia"/>
                <w:color w:val="auto"/>
                <w:lang w:eastAsia="zh-CN"/>
              </w:rPr>
              <w:t>一、主要材料说明：</w:t>
            </w:r>
            <w:r>
              <w:rPr>
                <w:rFonts w:hint="eastAsia"/>
                <w:color w:val="auto"/>
                <w:lang w:eastAsia="zh-CN"/>
              </w:rPr>
              <w:br w:type="textWrapping"/>
            </w:r>
            <w:r>
              <w:rPr>
                <w:rFonts w:hint="eastAsia"/>
                <w:color w:val="auto"/>
                <w:lang w:eastAsia="zh-CN"/>
              </w:rPr>
              <w:t>1、下站体、上座、内挂板、外挂板，柜体采用≥1.0mm厚电解钢板，连接骨架采用≥2.0mm厚度优质电解钢板。</w:t>
            </w:r>
            <w:r>
              <w:rPr>
                <w:rFonts w:hint="eastAsia"/>
                <w:color w:val="auto"/>
                <w:lang w:eastAsia="zh-CN"/>
              </w:rPr>
              <w:br w:type="textWrapping"/>
            </w:r>
            <w:r>
              <w:rPr>
                <w:rFonts w:hint="eastAsia"/>
                <w:color w:val="auto"/>
                <w:lang w:eastAsia="zh-CN"/>
              </w:rPr>
              <w:t>2、</w:t>
            </w:r>
            <w:r>
              <w:rPr>
                <w:color w:val="auto"/>
                <w:lang w:eastAsia="zh-CN"/>
              </w:rPr>
              <w:t>护士站底坐高度≥</w:t>
            </w:r>
            <w:r>
              <w:rPr>
                <w:rFonts w:hint="eastAsia"/>
                <w:color w:val="auto"/>
                <w:lang w:eastAsia="zh-CN"/>
              </w:rPr>
              <w:t>50</w:t>
            </w:r>
            <w:r>
              <w:rPr>
                <w:color w:val="auto"/>
                <w:lang w:eastAsia="zh-CN"/>
              </w:rPr>
              <w:t>mm，外侧配≥1.0mm厚度304不锈钢踢脚线，四周一体折弯成型。</w:t>
            </w:r>
            <w:r>
              <w:rPr>
                <w:color w:val="auto"/>
                <w:lang w:eastAsia="zh-CN"/>
              </w:rPr>
              <w:br w:type="textWrapping"/>
            </w:r>
            <w:r>
              <w:rPr>
                <w:color w:val="auto"/>
                <w:lang w:eastAsia="zh-CN"/>
              </w:rPr>
              <w:t>3、台面及饰板采用≥12mm厚医用复合亚克力人造石，具有耐酸耐碱抑菌的性质，抗污染不渗透、不变形不上色、无缝隙易清洁打理，耐磨、耐刮损、耐冲击、耐高温、抗紫外线、抗污垢、防火、防静电，以及具有阻燃性、无毒等技术特点；符合医院等高标准的环境卫生要求；</w:t>
            </w:r>
            <w:r>
              <w:rPr>
                <w:color w:val="auto"/>
                <w:lang w:eastAsia="zh-CN"/>
              </w:rPr>
              <w:br w:type="textWrapping"/>
            </w:r>
            <w:r>
              <w:rPr>
                <w:color w:val="auto"/>
                <w:lang w:eastAsia="zh-CN"/>
              </w:rPr>
              <w:t>二、结构/配置：</w:t>
            </w:r>
            <w:r>
              <w:rPr>
                <w:color w:val="auto"/>
                <w:lang w:eastAsia="zh-CN"/>
              </w:rPr>
              <w:br w:type="textWrapping"/>
            </w:r>
            <w:r>
              <w:rPr>
                <w:color w:val="auto"/>
                <w:lang w:eastAsia="zh-CN"/>
              </w:rPr>
              <w:t>1、整体采用拆装结构，分上中下三层结构，上层为护士站高台，中层为台面板，下层为底座支架。下站体由多个站段、左右支撑以及连接骨架通过内镶式锁紧装置组装而成，配置调节脚，可在任意情况下调平台面。上座结构及高度可根据客户需求灵活设计，满足不同客户的需求。</w:t>
            </w:r>
            <w:r>
              <w:rPr>
                <w:color w:val="auto"/>
                <w:lang w:eastAsia="zh-CN"/>
              </w:rPr>
              <w:br w:type="textWrapping"/>
            </w:r>
            <w:r>
              <w:rPr>
                <w:color w:val="auto"/>
                <w:lang w:eastAsia="zh-CN"/>
              </w:rPr>
              <w:t>2、站体内藏走线</w:t>
            </w:r>
            <w:r>
              <w:rPr>
                <w:rFonts w:hint="eastAsia"/>
                <w:color w:val="auto"/>
                <w:lang w:eastAsia="zh-CN"/>
              </w:rPr>
              <w:t>功能。</w:t>
            </w:r>
            <w:r>
              <w:rPr>
                <w:color w:val="auto"/>
                <w:lang w:eastAsia="zh-CN"/>
              </w:rPr>
              <w:br w:type="textWrapping"/>
            </w:r>
            <w:r>
              <w:rPr>
                <w:color w:val="auto"/>
                <w:lang w:eastAsia="zh-CN"/>
              </w:rPr>
              <w:t>3、护士站内门板采用快速挂扣方式</w:t>
            </w:r>
            <w:r>
              <w:rPr>
                <w:rFonts w:hint="eastAsia"/>
                <w:color w:val="auto"/>
                <w:lang w:eastAsia="zh-CN"/>
              </w:rPr>
              <w:t>，方便检修及走线</w:t>
            </w:r>
            <w:r>
              <w:rPr>
                <w:color w:val="auto"/>
                <w:lang w:eastAsia="zh-CN"/>
              </w:rPr>
              <w:br w:type="textWrapping"/>
            </w:r>
            <w:r>
              <w:rPr>
                <w:color w:val="auto"/>
                <w:lang w:eastAsia="zh-CN"/>
              </w:rPr>
              <w:t xml:space="preserve">4、护士站外部表面木纹转印技术。                                         </w:t>
            </w:r>
            <w:r>
              <w:rPr>
                <w:color w:val="auto"/>
                <w:lang w:eastAsia="zh-CN"/>
              </w:rPr>
              <w:br w:type="textWrapping"/>
            </w:r>
            <w:r>
              <w:rPr>
                <w:color w:val="auto"/>
                <w:lang w:eastAsia="zh-CN"/>
              </w:rPr>
              <w:t>三、五金配件：</w:t>
            </w:r>
            <w:r>
              <w:rPr>
                <w:color w:val="auto"/>
                <w:lang w:eastAsia="zh-CN"/>
              </w:rPr>
              <w:br w:type="textWrapping"/>
            </w:r>
            <w:r>
              <w:rPr>
                <w:color w:val="auto"/>
                <w:lang w:eastAsia="zh-CN"/>
              </w:rPr>
              <w:t>1、采用知名品牌的优质配件，配柜选用优质锁具、缓冲阻尼铰链、缓冲静音导轨等。</w:t>
            </w:r>
            <w:r>
              <w:rPr>
                <w:color w:val="auto"/>
                <w:lang w:eastAsia="zh-CN"/>
              </w:rPr>
              <w:br w:type="textWrapping"/>
            </w:r>
            <w:r>
              <w:rPr>
                <w:color w:val="auto"/>
                <w:lang w:eastAsia="zh-CN"/>
              </w:rPr>
              <w:t>四、工艺/其它说明：</w:t>
            </w:r>
            <w:r>
              <w:rPr>
                <w:color w:val="auto"/>
                <w:lang w:eastAsia="zh-CN"/>
              </w:rPr>
              <w:br w:type="textWrapping"/>
            </w:r>
            <w:r>
              <w:rPr>
                <w:color w:val="auto"/>
                <w:lang w:eastAsia="zh-CN"/>
              </w:rPr>
              <w:t>表面处理：电解钢板表面采用抑菌粉末喷涂，涂层膜厚度均匀，具有环保、抑菌、防锈、耐腐蚀、绝缘性高、附着力强、耐摩擦等优点。喷涂采用流水线喷涂，避免人工加工因人的因素加工精</w:t>
            </w:r>
            <w:r>
              <w:rPr>
                <w:rFonts w:hint="eastAsia"/>
                <w:color w:val="auto"/>
                <w:lang w:eastAsia="zh-CN"/>
              </w:rPr>
              <w:t>度</w:t>
            </w:r>
            <w:r>
              <w:rPr>
                <w:color w:val="auto"/>
                <w:lang w:eastAsia="zh-CN"/>
              </w:rPr>
              <w:t>低，产品标准不一致。</w:t>
            </w:r>
          </w:p>
        </w:tc>
      </w:tr>
      <w:tr w14:paraId="291CCF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49" w:hRule="atLeast"/>
          <w:jc w:val="center"/>
        </w:trPr>
        <w:tc>
          <w:tcPr>
            <w:tcW w:w="1115" w:type="dxa"/>
            <w:vAlign w:val="center"/>
          </w:tcPr>
          <w:p w14:paraId="33B2D5A4">
            <w:pPr>
              <w:pStyle w:val="24"/>
              <w:spacing w:before="257" w:line="360" w:lineRule="auto"/>
              <w:jc w:val="center"/>
              <w:rPr>
                <w:rFonts w:hint="eastAsia"/>
                <w:color w:val="auto"/>
                <w:sz w:val="21"/>
                <w:szCs w:val="21"/>
                <w:lang w:eastAsia="zh-CN"/>
              </w:rPr>
            </w:pPr>
            <w:r>
              <w:rPr>
                <w:rFonts w:hint="eastAsia"/>
                <w:color w:val="auto"/>
                <w:sz w:val="21"/>
                <w:szCs w:val="21"/>
                <w:lang w:eastAsia="zh-CN"/>
              </w:rPr>
              <w:t>2</w:t>
            </w:r>
          </w:p>
        </w:tc>
        <w:tc>
          <w:tcPr>
            <w:tcW w:w="2086" w:type="dxa"/>
            <w:vAlign w:val="center"/>
          </w:tcPr>
          <w:p w14:paraId="4ECE5CAF">
            <w:pPr>
              <w:pStyle w:val="24"/>
              <w:spacing w:before="257" w:line="360" w:lineRule="auto"/>
              <w:jc w:val="center"/>
              <w:rPr>
                <w:rFonts w:hint="eastAsia"/>
                <w:color w:val="auto"/>
                <w:sz w:val="21"/>
                <w:szCs w:val="21"/>
                <w:lang w:eastAsia="zh-CN"/>
              </w:rPr>
            </w:pPr>
            <w:r>
              <w:rPr>
                <w:rFonts w:hint="eastAsia"/>
                <w:color w:val="auto"/>
                <w:sz w:val="21"/>
                <w:szCs w:val="21"/>
              </w:rPr>
              <w:t>治疗柜（微型）</w:t>
            </w:r>
          </w:p>
        </w:tc>
        <w:tc>
          <w:tcPr>
            <w:tcW w:w="3132" w:type="dxa"/>
            <w:vAlign w:val="center"/>
          </w:tcPr>
          <w:p w14:paraId="71557930">
            <w:pPr>
              <w:jc w:val="center"/>
              <w:rPr>
                <w:color w:val="auto"/>
                <w:lang w:eastAsia="zh-CN"/>
              </w:rPr>
            </w:pPr>
            <w:r>
              <w:rPr>
                <w:rFonts w:hint="eastAsia"/>
                <w:color w:val="auto"/>
                <w:lang w:eastAsia="zh-CN"/>
              </w:rPr>
              <w:t>300mm*300mm*1300mm</w:t>
            </w:r>
          </w:p>
          <w:p w14:paraId="674E753B">
            <w:pPr>
              <w:jc w:val="center"/>
              <w:rPr>
                <w:color w:val="auto"/>
                <w:lang w:eastAsia="zh-CN"/>
              </w:rPr>
            </w:pPr>
            <w:r>
              <w:rPr>
                <w:rFonts w:hint="eastAsia" w:ascii="宋体" w:hAnsi="宋体" w:eastAsia="宋体" w:cs="宋体"/>
                <w:b/>
                <w:bCs/>
                <w:color w:val="auto"/>
              </w:rPr>
              <w:t>（可偏离:±5mm)</w:t>
            </w:r>
            <w:r>
              <w:rPr>
                <w:rFonts w:hint="eastAsia"/>
                <w:color w:val="auto"/>
                <w:lang w:eastAsia="zh-CN"/>
              </w:rPr>
              <w:br w:type="textWrapping"/>
            </w:r>
          </w:p>
        </w:tc>
        <w:tc>
          <w:tcPr>
            <w:tcW w:w="1020" w:type="dxa"/>
            <w:vAlign w:val="center"/>
          </w:tcPr>
          <w:p w14:paraId="401447C5">
            <w:pPr>
              <w:jc w:val="center"/>
              <w:rPr>
                <w:color w:val="auto"/>
                <w:lang w:eastAsia="zh-CN"/>
              </w:rPr>
            </w:pPr>
            <w:r>
              <w:rPr>
                <w:rFonts w:hint="eastAsia"/>
                <w:color w:val="auto"/>
                <w:lang w:eastAsia="zh-CN"/>
              </w:rPr>
              <w:t>1</w:t>
            </w:r>
          </w:p>
        </w:tc>
        <w:tc>
          <w:tcPr>
            <w:tcW w:w="1272" w:type="dxa"/>
            <w:vAlign w:val="center"/>
          </w:tcPr>
          <w:p w14:paraId="065837F1">
            <w:pPr>
              <w:jc w:val="center"/>
              <w:rPr>
                <w:color w:val="auto"/>
              </w:rPr>
            </w:pPr>
            <w:r>
              <w:rPr>
                <w:rFonts w:hint="eastAsia"/>
                <w:color w:val="auto"/>
                <w:lang w:eastAsia="zh-CN"/>
              </w:rPr>
              <w:t>组</w:t>
            </w:r>
          </w:p>
        </w:tc>
        <w:tc>
          <w:tcPr>
            <w:tcW w:w="10014" w:type="dxa"/>
            <w:vAlign w:val="center"/>
          </w:tcPr>
          <w:p w14:paraId="6CC7CE5B">
            <w:pPr>
              <w:numPr>
                <w:ilvl w:val="0"/>
                <w:numId w:val="3"/>
              </w:numPr>
              <w:rPr>
                <w:color w:val="auto"/>
                <w:lang w:eastAsia="zh-CN"/>
              </w:rPr>
            </w:pPr>
            <w:r>
              <w:rPr>
                <w:rFonts w:hint="eastAsia"/>
                <w:color w:val="auto"/>
                <w:lang w:eastAsia="zh-CN"/>
              </w:rPr>
              <w:t>主要材料说明：</w:t>
            </w:r>
            <w:r>
              <w:rPr>
                <w:rFonts w:hint="eastAsia"/>
                <w:color w:val="auto"/>
                <w:lang w:eastAsia="zh-CN"/>
              </w:rPr>
              <w:br w:type="textWrapping"/>
            </w:r>
            <w:r>
              <w:rPr>
                <w:rFonts w:hint="eastAsia"/>
                <w:color w:val="auto"/>
                <w:lang w:eastAsia="zh-CN"/>
              </w:rPr>
              <w:t>1、主体采用电解钢方管≥30*30*1.5mm，金属表面抑菌粉末静电喷涂。踢脚线由≥0.8mm厚304不锈钢折弯成型。</w:t>
            </w:r>
          </w:p>
          <w:p w14:paraId="0FE0F2E2">
            <w:pPr>
              <w:rPr>
                <w:color w:val="auto"/>
                <w:lang w:eastAsia="zh-CN"/>
              </w:rPr>
            </w:pPr>
            <w:r>
              <w:rPr>
                <w:color w:val="auto"/>
                <w:lang w:eastAsia="zh-CN"/>
              </w:rPr>
              <w:t>二、结构/配置：</w:t>
            </w:r>
            <w:r>
              <w:rPr>
                <w:rFonts w:hint="eastAsia"/>
                <w:color w:val="auto"/>
                <w:lang w:eastAsia="zh-CN"/>
              </w:rPr>
              <w:br w:type="textWrapping"/>
            </w:r>
            <w:r>
              <w:rPr>
                <w:rFonts w:hint="eastAsia"/>
                <w:color w:val="auto"/>
                <w:lang w:eastAsia="zh-CN"/>
              </w:rPr>
              <w:t>1、主体框架采用拆装结构，横向塑料塑胶卡扣配件，连接紧密稳固，含层板调节功能，调节孔距25mm（可偏离:±5mm）；</w:t>
            </w:r>
            <w:r>
              <w:rPr>
                <w:rFonts w:hint="eastAsia"/>
                <w:color w:val="auto"/>
                <w:lang w:eastAsia="zh-CN"/>
              </w:rPr>
              <w:br w:type="textWrapping"/>
            </w:r>
            <w:r>
              <w:rPr>
                <w:rFonts w:hint="eastAsia"/>
                <w:color w:val="auto"/>
                <w:lang w:eastAsia="zh-CN"/>
              </w:rPr>
              <w:t>2、侧面框架宽度方向焊接连接，长度方向塑胶连接扣分别连接测边框和横梁管件，两个塑胶件卡槽式连接精准连接，卡紧后稳固严密；</w:t>
            </w:r>
            <w:r>
              <w:rPr>
                <w:rFonts w:hint="eastAsia"/>
                <w:color w:val="auto"/>
                <w:lang w:eastAsia="zh-CN"/>
              </w:rPr>
              <w:br w:type="textWrapping"/>
            </w:r>
            <w:r>
              <w:rPr>
                <w:rFonts w:hint="eastAsia"/>
                <w:color w:val="auto"/>
                <w:lang w:eastAsia="zh-CN"/>
              </w:rPr>
              <w:t>3</w:t>
            </w:r>
            <w:r>
              <w:rPr>
                <w:color w:val="auto"/>
                <w:lang w:eastAsia="zh-CN"/>
              </w:rPr>
              <w:t>、侧框连接件</w:t>
            </w:r>
            <w:r>
              <w:rPr>
                <w:rFonts w:hint="eastAsia"/>
                <w:color w:val="auto"/>
                <w:lang w:eastAsia="zh-CN"/>
              </w:rPr>
              <w:t>和横梁链接件使用高强度工程尼龙塑胶，加入玻璃纤维增加强度（≥3%）</w:t>
            </w:r>
          </w:p>
          <w:p w14:paraId="4B906019">
            <w:pPr>
              <w:rPr>
                <w:color w:val="auto"/>
                <w:lang w:eastAsia="zh-CN"/>
              </w:rPr>
            </w:pPr>
            <w:r>
              <w:rPr>
                <w:rFonts w:hint="eastAsia"/>
                <w:color w:val="auto"/>
                <w:lang w:eastAsia="zh-CN"/>
              </w:rPr>
              <w:t>4、踢脚线位于支撑脚之间安装，内部与支持脚固定，确保产品的稳固性。</w:t>
            </w:r>
          </w:p>
        </w:tc>
      </w:tr>
      <w:tr w14:paraId="477781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15" w:hRule="atLeast"/>
          <w:jc w:val="center"/>
        </w:trPr>
        <w:tc>
          <w:tcPr>
            <w:tcW w:w="1115" w:type="dxa"/>
            <w:vAlign w:val="center"/>
          </w:tcPr>
          <w:p w14:paraId="0B5F4846">
            <w:pPr>
              <w:pStyle w:val="24"/>
              <w:spacing w:before="257" w:line="360" w:lineRule="auto"/>
              <w:jc w:val="center"/>
              <w:rPr>
                <w:rFonts w:hint="eastAsia"/>
                <w:color w:val="auto"/>
                <w:sz w:val="21"/>
                <w:szCs w:val="21"/>
                <w:lang w:eastAsia="zh-CN"/>
              </w:rPr>
            </w:pPr>
            <w:r>
              <w:rPr>
                <w:rFonts w:hint="eastAsia"/>
                <w:color w:val="auto"/>
                <w:sz w:val="21"/>
                <w:szCs w:val="21"/>
                <w:lang w:eastAsia="zh-CN"/>
              </w:rPr>
              <w:t>3</w:t>
            </w:r>
          </w:p>
        </w:tc>
        <w:tc>
          <w:tcPr>
            <w:tcW w:w="2086" w:type="dxa"/>
            <w:vAlign w:val="center"/>
          </w:tcPr>
          <w:p w14:paraId="6F7FF797">
            <w:pPr>
              <w:pStyle w:val="24"/>
              <w:spacing w:before="257" w:line="360" w:lineRule="auto"/>
              <w:jc w:val="center"/>
              <w:rPr>
                <w:rFonts w:hint="eastAsia"/>
                <w:color w:val="auto"/>
                <w:sz w:val="21"/>
                <w:szCs w:val="21"/>
                <w:lang w:eastAsia="zh-CN"/>
              </w:rPr>
            </w:pPr>
            <w:r>
              <w:rPr>
                <w:rFonts w:hint="eastAsia"/>
                <w:color w:val="auto"/>
                <w:sz w:val="21"/>
                <w:szCs w:val="21"/>
                <w:lang w:eastAsia="zh-CN"/>
              </w:rPr>
              <w:t>门板</w:t>
            </w:r>
            <w:r>
              <w:rPr>
                <w:rFonts w:hint="eastAsia"/>
                <w:color w:val="auto"/>
                <w:sz w:val="21"/>
                <w:szCs w:val="21"/>
              </w:rPr>
              <w:t>（微型）</w:t>
            </w:r>
          </w:p>
        </w:tc>
        <w:tc>
          <w:tcPr>
            <w:tcW w:w="3132" w:type="dxa"/>
            <w:vAlign w:val="center"/>
          </w:tcPr>
          <w:p w14:paraId="5A13A193">
            <w:pPr>
              <w:jc w:val="center"/>
              <w:rPr>
                <w:color w:val="auto"/>
                <w:lang w:eastAsia="zh-CN"/>
              </w:rPr>
            </w:pPr>
            <w:r>
              <w:rPr>
                <w:rFonts w:hint="eastAsia"/>
                <w:color w:val="auto"/>
                <w:lang w:eastAsia="zh-CN"/>
              </w:rPr>
              <w:t>300mm*500mm*20mm</w:t>
            </w:r>
          </w:p>
          <w:p w14:paraId="4A7276EB">
            <w:pPr>
              <w:jc w:val="center"/>
              <w:rPr>
                <w:color w:val="auto"/>
                <w:lang w:eastAsia="zh-CN"/>
              </w:rPr>
            </w:pPr>
            <w:r>
              <w:rPr>
                <w:rFonts w:hint="eastAsia" w:ascii="宋体" w:hAnsi="宋体" w:eastAsia="宋体" w:cs="宋体"/>
                <w:b/>
                <w:bCs/>
                <w:color w:val="auto"/>
              </w:rPr>
              <w:t>（可偏离:±5mm)</w:t>
            </w:r>
            <w:r>
              <w:rPr>
                <w:rFonts w:hint="eastAsia"/>
                <w:color w:val="auto"/>
                <w:lang w:eastAsia="zh-CN"/>
              </w:rPr>
              <w:br w:type="textWrapping"/>
            </w:r>
          </w:p>
          <w:p w14:paraId="7E6869D6">
            <w:pPr>
              <w:jc w:val="center"/>
              <w:rPr>
                <w:color w:val="auto"/>
                <w:lang w:eastAsia="zh-CN"/>
              </w:rPr>
            </w:pPr>
          </w:p>
        </w:tc>
        <w:tc>
          <w:tcPr>
            <w:tcW w:w="1020" w:type="dxa"/>
            <w:vAlign w:val="center"/>
          </w:tcPr>
          <w:p w14:paraId="21A96857">
            <w:pPr>
              <w:jc w:val="center"/>
              <w:rPr>
                <w:color w:val="auto"/>
                <w:lang w:eastAsia="zh-CN"/>
              </w:rPr>
            </w:pPr>
            <w:r>
              <w:rPr>
                <w:rFonts w:hint="eastAsia"/>
                <w:color w:val="auto"/>
                <w:lang w:eastAsia="zh-CN"/>
              </w:rPr>
              <w:t>1</w:t>
            </w:r>
          </w:p>
        </w:tc>
        <w:tc>
          <w:tcPr>
            <w:tcW w:w="1272" w:type="dxa"/>
            <w:vAlign w:val="center"/>
          </w:tcPr>
          <w:p w14:paraId="1CD22A85">
            <w:pPr>
              <w:jc w:val="center"/>
              <w:rPr>
                <w:color w:val="auto"/>
                <w:lang w:eastAsia="zh-CN"/>
              </w:rPr>
            </w:pPr>
            <w:r>
              <w:rPr>
                <w:rFonts w:hint="eastAsia"/>
                <w:color w:val="auto"/>
                <w:lang w:eastAsia="zh-CN"/>
              </w:rPr>
              <w:t>组</w:t>
            </w:r>
          </w:p>
        </w:tc>
        <w:tc>
          <w:tcPr>
            <w:tcW w:w="10014" w:type="dxa"/>
            <w:vAlign w:val="center"/>
          </w:tcPr>
          <w:p w14:paraId="22C78D1A">
            <w:pPr>
              <w:rPr>
                <w:color w:val="auto"/>
                <w:lang w:eastAsia="zh-CN"/>
              </w:rPr>
            </w:pPr>
            <w:r>
              <w:rPr>
                <w:rFonts w:hint="eastAsia"/>
                <w:color w:val="auto"/>
                <w:lang w:eastAsia="zh-CN"/>
              </w:rPr>
              <w:t>一、主要材料说明：</w:t>
            </w:r>
          </w:p>
          <w:p w14:paraId="513604C3">
            <w:pPr>
              <w:rPr>
                <w:color w:val="auto"/>
                <w:lang w:eastAsia="zh-CN"/>
              </w:rPr>
            </w:pPr>
            <w:r>
              <w:rPr>
                <w:rFonts w:hint="eastAsia"/>
                <w:color w:val="auto"/>
                <w:lang w:eastAsia="zh-CN"/>
              </w:rPr>
              <w:t>1、采用≥1.0mm厚电解钢板。</w:t>
            </w:r>
          </w:p>
          <w:p w14:paraId="77DAE794">
            <w:pPr>
              <w:rPr>
                <w:color w:val="auto"/>
                <w:lang w:eastAsia="zh-CN"/>
              </w:rPr>
            </w:pPr>
            <w:r>
              <w:rPr>
                <w:color w:val="auto"/>
                <w:lang w:eastAsia="zh-CN"/>
              </w:rPr>
              <w:t>二、结构/配置：</w:t>
            </w:r>
          </w:p>
          <w:p w14:paraId="590AAF59">
            <w:pPr>
              <w:rPr>
                <w:color w:val="auto"/>
                <w:lang w:eastAsia="zh-CN"/>
              </w:rPr>
            </w:pPr>
            <w:r>
              <w:rPr>
                <w:rFonts w:hint="eastAsia"/>
                <w:color w:val="auto"/>
                <w:lang w:eastAsia="zh-CN"/>
              </w:rPr>
              <w:t>1、门盖板与拉手一体折弯成型结构。拉手做45度斜边处理，门面板门铰的另一坚边为135°折弯成型，门面板与门盖板卡扣安装后形成完整的拉手。门板扣码与门面板扣码卡住,门铰位螺丝锁紧(门板背面除门铰孔锁螺丝孔,其余无外露螺丝孔）。门盖板开胶塞孔,便于安装防撞胶塞。</w:t>
            </w:r>
          </w:p>
          <w:p w14:paraId="589CE224">
            <w:pPr>
              <w:rPr>
                <w:color w:val="auto"/>
                <w:lang w:eastAsia="zh-CN"/>
              </w:rPr>
            </w:pPr>
            <w:r>
              <w:rPr>
                <w:color w:val="auto"/>
                <w:lang w:eastAsia="zh-CN"/>
              </w:rPr>
              <w:t>三、五金配件：</w:t>
            </w:r>
          </w:p>
          <w:p w14:paraId="67389E39">
            <w:pPr>
              <w:rPr>
                <w:color w:val="auto"/>
                <w:lang w:eastAsia="zh-CN"/>
              </w:rPr>
            </w:pPr>
            <w:r>
              <w:rPr>
                <w:rFonts w:hint="eastAsia"/>
                <w:color w:val="auto"/>
                <w:lang w:eastAsia="zh-CN"/>
              </w:rPr>
              <w:t>1、配件:采用缓冲门铰，常规锁具，标签卡槽，及配有防撞胶塞。</w:t>
            </w:r>
          </w:p>
          <w:p w14:paraId="36A47661">
            <w:pPr>
              <w:rPr>
                <w:color w:val="auto"/>
                <w:lang w:eastAsia="zh-CN"/>
              </w:rPr>
            </w:pPr>
            <w:r>
              <w:rPr>
                <w:color w:val="auto"/>
                <w:lang w:eastAsia="zh-CN"/>
              </w:rPr>
              <w:t>四、工艺/其它说明：</w:t>
            </w:r>
          </w:p>
          <w:p w14:paraId="12DCE416">
            <w:pPr>
              <w:rPr>
                <w:color w:val="auto"/>
                <w:lang w:eastAsia="zh-CN"/>
              </w:rPr>
            </w:pPr>
            <w:r>
              <w:rPr>
                <w:rFonts w:hint="eastAsia"/>
                <w:color w:val="auto"/>
                <w:lang w:eastAsia="zh-CN"/>
              </w:rPr>
              <w:t>1、</w:t>
            </w:r>
            <w:r>
              <w:rPr>
                <w:color w:val="auto"/>
                <w:lang w:eastAsia="zh-CN"/>
              </w:rPr>
              <w:t>表面处理：电解钢板表面采用抑菌粉末喷涂，涂层膜厚度均匀，具有环保、抑菌、防锈、耐腐蚀、绝缘性高、附着力强、耐摩擦等优点。喷涂采用流水线喷涂，避免人工加工因人的因素加工精低，产品标准不一致。可根据现场装修及空间搭配不同颜色，门板及</w:t>
            </w:r>
            <w:r>
              <w:rPr>
                <w:rFonts w:hint="eastAsia"/>
                <w:color w:val="auto"/>
                <w:lang w:eastAsia="zh-CN"/>
              </w:rPr>
              <w:t>拉手做双色处理。</w:t>
            </w:r>
          </w:p>
        </w:tc>
      </w:tr>
      <w:tr w14:paraId="2D1C88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47" w:hRule="atLeast"/>
          <w:jc w:val="center"/>
        </w:trPr>
        <w:tc>
          <w:tcPr>
            <w:tcW w:w="1115" w:type="dxa"/>
            <w:vAlign w:val="center"/>
          </w:tcPr>
          <w:p w14:paraId="4F19C94D">
            <w:pPr>
              <w:pStyle w:val="24"/>
              <w:spacing w:before="279" w:line="360" w:lineRule="auto"/>
              <w:jc w:val="center"/>
              <w:rPr>
                <w:rFonts w:hint="eastAsia"/>
                <w:color w:val="auto"/>
                <w:sz w:val="21"/>
                <w:szCs w:val="21"/>
                <w:lang w:eastAsia="zh-CN"/>
              </w:rPr>
            </w:pPr>
            <w:r>
              <w:rPr>
                <w:rFonts w:hint="eastAsia"/>
                <w:color w:val="auto"/>
                <w:sz w:val="21"/>
                <w:szCs w:val="21"/>
                <w:lang w:eastAsia="zh-CN"/>
              </w:rPr>
              <w:t>4</w:t>
            </w:r>
          </w:p>
        </w:tc>
        <w:tc>
          <w:tcPr>
            <w:tcW w:w="2086" w:type="dxa"/>
            <w:vAlign w:val="center"/>
          </w:tcPr>
          <w:p w14:paraId="7A229755">
            <w:pPr>
              <w:pStyle w:val="24"/>
              <w:spacing w:before="279" w:line="360" w:lineRule="auto"/>
              <w:jc w:val="center"/>
              <w:rPr>
                <w:rFonts w:hint="eastAsia"/>
                <w:color w:val="auto"/>
                <w:sz w:val="21"/>
                <w:szCs w:val="21"/>
                <w:lang w:eastAsia="zh-CN"/>
              </w:rPr>
            </w:pPr>
            <w:r>
              <w:rPr>
                <w:rFonts w:hint="eastAsia"/>
                <w:color w:val="auto"/>
                <w:sz w:val="21"/>
                <w:szCs w:val="21"/>
              </w:rPr>
              <w:t>垃圾柜（微型）</w:t>
            </w:r>
          </w:p>
        </w:tc>
        <w:tc>
          <w:tcPr>
            <w:tcW w:w="3132" w:type="dxa"/>
            <w:vAlign w:val="center"/>
          </w:tcPr>
          <w:p w14:paraId="0F2BEA79">
            <w:pPr>
              <w:jc w:val="center"/>
              <w:rPr>
                <w:color w:val="auto"/>
                <w:lang w:eastAsia="zh-CN"/>
              </w:rPr>
            </w:pPr>
            <w:r>
              <w:rPr>
                <w:rFonts w:hint="eastAsia"/>
                <w:color w:val="auto"/>
                <w:lang w:eastAsia="zh-CN"/>
              </w:rPr>
              <w:t>440mm*500mm*610mm</w:t>
            </w:r>
          </w:p>
          <w:p w14:paraId="6F992657">
            <w:pPr>
              <w:jc w:val="center"/>
              <w:rPr>
                <w:rFonts w:hint="eastAsia" w:ascii="宋体" w:hAnsi="宋体" w:eastAsia="宋体" w:cs="宋体"/>
                <w:b/>
                <w:bCs/>
                <w:color w:val="auto"/>
              </w:rPr>
            </w:pPr>
            <w:r>
              <w:rPr>
                <w:rFonts w:hint="eastAsia" w:ascii="宋体" w:hAnsi="宋体" w:eastAsia="宋体" w:cs="宋体"/>
                <w:b/>
                <w:bCs/>
                <w:color w:val="auto"/>
              </w:rPr>
              <w:t>（可偏离:±5mm)</w:t>
            </w:r>
          </w:p>
          <w:p w14:paraId="22FC4B5F">
            <w:pPr>
              <w:jc w:val="center"/>
              <w:rPr>
                <w:rFonts w:hint="eastAsia" w:ascii="宋体" w:hAnsi="宋体" w:eastAsia="宋体" w:cs="宋体"/>
                <w:b/>
                <w:bCs/>
                <w:color w:val="auto"/>
                <w:lang w:eastAsia="zh-CN"/>
              </w:rPr>
            </w:pPr>
          </w:p>
        </w:tc>
        <w:tc>
          <w:tcPr>
            <w:tcW w:w="1020" w:type="dxa"/>
            <w:vAlign w:val="center"/>
          </w:tcPr>
          <w:p w14:paraId="6A5E02D6">
            <w:pPr>
              <w:jc w:val="center"/>
              <w:rPr>
                <w:color w:val="auto"/>
                <w:lang w:eastAsia="zh-CN"/>
              </w:rPr>
            </w:pPr>
            <w:r>
              <w:rPr>
                <w:rFonts w:hint="eastAsia"/>
                <w:color w:val="auto"/>
                <w:lang w:eastAsia="zh-CN"/>
              </w:rPr>
              <w:t>1</w:t>
            </w:r>
          </w:p>
        </w:tc>
        <w:tc>
          <w:tcPr>
            <w:tcW w:w="1272" w:type="dxa"/>
            <w:vAlign w:val="center"/>
          </w:tcPr>
          <w:p w14:paraId="6C882DC3">
            <w:pPr>
              <w:jc w:val="center"/>
              <w:rPr>
                <w:color w:val="auto"/>
              </w:rPr>
            </w:pPr>
            <w:r>
              <w:rPr>
                <w:rFonts w:hint="eastAsia"/>
                <w:color w:val="auto"/>
                <w:lang w:eastAsia="zh-CN"/>
              </w:rPr>
              <w:t>组</w:t>
            </w:r>
          </w:p>
        </w:tc>
        <w:tc>
          <w:tcPr>
            <w:tcW w:w="10014" w:type="dxa"/>
            <w:vAlign w:val="center"/>
          </w:tcPr>
          <w:p w14:paraId="30B1FEFA">
            <w:pPr>
              <w:numPr>
                <w:ilvl w:val="0"/>
                <w:numId w:val="4"/>
              </w:numPr>
              <w:rPr>
                <w:color w:val="auto"/>
                <w:lang w:eastAsia="zh-CN"/>
              </w:rPr>
            </w:pPr>
            <w:r>
              <w:rPr>
                <w:rFonts w:hint="eastAsia"/>
                <w:color w:val="auto"/>
                <w:lang w:eastAsia="zh-CN"/>
              </w:rPr>
              <w:t>主要材料说明：</w:t>
            </w:r>
            <w:r>
              <w:rPr>
                <w:rFonts w:hint="eastAsia"/>
                <w:color w:val="auto"/>
                <w:lang w:eastAsia="zh-CN"/>
              </w:rPr>
              <w:br w:type="textWrapping"/>
            </w:r>
            <w:r>
              <w:rPr>
                <w:rFonts w:hint="eastAsia"/>
                <w:color w:val="auto"/>
                <w:lang w:eastAsia="zh-CN"/>
              </w:rPr>
              <w:t>1、材质：采用≥1.0mm厚优质一级双面电解钢板，防潮防水，经久耐用，304#不锈钢底座/304#不锈钢卡扣踢脚线，高度≥120mm。台面采用</w:t>
            </w:r>
            <w:r>
              <w:rPr>
                <w:color w:val="auto"/>
                <w:lang w:eastAsia="zh-CN"/>
              </w:rPr>
              <w:t>≥12mm厚复合亚克力医用人造石</w:t>
            </w:r>
            <w:r>
              <w:rPr>
                <w:rFonts w:hint="eastAsia"/>
                <w:color w:val="auto"/>
                <w:lang w:eastAsia="zh-CN"/>
              </w:rPr>
              <w:t>。</w:t>
            </w:r>
          </w:p>
          <w:p w14:paraId="6957C186">
            <w:pPr>
              <w:numPr>
                <w:ilvl w:val="0"/>
                <w:numId w:val="4"/>
              </w:numPr>
              <w:rPr>
                <w:color w:val="auto"/>
              </w:rPr>
            </w:pPr>
            <w:r>
              <w:rPr>
                <w:color w:val="auto"/>
                <w:lang w:eastAsia="zh-CN"/>
              </w:rPr>
              <w:t>结构/配置</w:t>
            </w:r>
          </w:p>
          <w:p w14:paraId="7DA79715">
            <w:pPr>
              <w:numPr>
                <w:ilvl w:val="0"/>
                <w:numId w:val="5"/>
              </w:numPr>
              <w:rPr>
                <w:color w:val="auto"/>
                <w:lang w:eastAsia="zh-CN"/>
              </w:rPr>
            </w:pPr>
            <w:r>
              <w:rPr>
                <w:rFonts w:hint="eastAsia"/>
                <w:color w:val="auto"/>
                <w:lang w:eastAsia="zh-CN"/>
              </w:rPr>
              <w:t>垃圾投放口及翻盖采用注塑件ABS工程塑料，盖好后与大理石台面平齐。通过脚踏装置，使气压杆与撑杆链接件发生运动，使得垃圾盖被掀开，操作简单。柜体上方安装称重传感器,便于垃圾废物回收时的数据统计，具有调试重量参数去皮，清零等准确称重软件系统，称重精度≥0.1kg。</w:t>
            </w:r>
          </w:p>
          <w:p w14:paraId="09F82386">
            <w:pPr>
              <w:rPr>
                <w:color w:val="auto"/>
                <w:lang w:eastAsia="zh-CN"/>
              </w:rPr>
            </w:pPr>
            <w:r>
              <w:rPr>
                <w:rFonts w:hint="eastAsia"/>
                <w:color w:val="auto"/>
                <w:lang w:eastAsia="zh-CN"/>
              </w:rPr>
              <w:t>三</w:t>
            </w:r>
            <w:r>
              <w:rPr>
                <w:color w:val="auto"/>
                <w:lang w:eastAsia="zh-CN"/>
              </w:rPr>
              <w:t>、配件：</w:t>
            </w:r>
            <w:r>
              <w:rPr>
                <w:color w:val="auto"/>
                <w:lang w:eastAsia="zh-CN"/>
              </w:rPr>
              <w:br w:type="textWrapping"/>
            </w:r>
            <w:r>
              <w:rPr>
                <w:color w:val="auto"/>
                <w:lang w:eastAsia="zh-CN"/>
              </w:rPr>
              <w:t>1、一体成型一字折弯斜拉手</w:t>
            </w:r>
            <w:r>
              <w:rPr>
                <w:rFonts w:hint="eastAsia"/>
                <w:color w:val="auto"/>
                <w:lang w:eastAsia="zh-CN"/>
              </w:rPr>
              <w:t>，14 寸侧装静音托底导轨，缓冲气压杆，称重传感器，20升垃圾桶，垃圾脚踏板，采用一体成型垃圾投放口及垃圾盖，便于清洁，防止交叉感染。</w:t>
            </w:r>
            <w:r>
              <w:rPr>
                <w:color w:val="auto"/>
                <w:lang w:eastAsia="zh-CN"/>
              </w:rPr>
              <w:br w:type="textWrapping"/>
            </w:r>
            <w:r>
              <w:rPr>
                <w:rFonts w:hint="eastAsia"/>
                <w:color w:val="auto"/>
                <w:lang w:eastAsia="zh-CN"/>
              </w:rPr>
              <w:t>四</w:t>
            </w:r>
            <w:r>
              <w:rPr>
                <w:color w:val="auto"/>
                <w:lang w:eastAsia="zh-CN"/>
              </w:rPr>
              <w:t>、工艺/其它说明：</w:t>
            </w:r>
            <w:r>
              <w:rPr>
                <w:color w:val="auto"/>
                <w:lang w:eastAsia="zh-CN"/>
              </w:rPr>
              <w:br w:type="textWrapping"/>
            </w:r>
            <w:r>
              <w:rPr>
                <w:rFonts w:hint="eastAsia"/>
                <w:color w:val="auto"/>
                <w:lang w:eastAsia="zh-CN"/>
              </w:rPr>
              <w:t>1</w:t>
            </w:r>
            <w:r>
              <w:rPr>
                <w:color w:val="auto"/>
                <w:lang w:eastAsia="zh-CN"/>
              </w:rPr>
              <w:t>、表面处理：金属表面抑菌粉末喷涂处理，涂层膜厚度均匀，内外一致，耐撞击，抗腐蚀力强。</w:t>
            </w:r>
          </w:p>
        </w:tc>
      </w:tr>
    </w:tbl>
    <w:p w14:paraId="4D931D2F">
      <w:pPr>
        <w:spacing w:line="360" w:lineRule="auto"/>
        <w:rPr>
          <w:rFonts w:hint="eastAsia" w:ascii="宋体" w:hAnsi="宋体" w:eastAsia="宋体" w:cs="宋体"/>
          <w:color w:val="auto"/>
          <w:lang w:eastAsia="zh-CN"/>
        </w:rPr>
      </w:pPr>
    </w:p>
    <w:p w14:paraId="0ADB2192">
      <w:pPr>
        <w:spacing w:line="360" w:lineRule="auto"/>
        <w:rPr>
          <w:rFonts w:hint="eastAsia" w:ascii="宋体" w:hAnsi="宋体" w:eastAsia="宋体" w:cs="宋体"/>
          <w:color w:val="auto"/>
          <w:lang w:eastAsia="zh-CN"/>
        </w:rPr>
      </w:pPr>
      <w:r>
        <w:rPr>
          <w:rFonts w:hint="eastAsia" w:ascii="宋体" w:hAnsi="宋体" w:eastAsia="宋体" w:cs="宋体"/>
          <w:color w:val="auto"/>
          <w:lang w:eastAsia="zh-CN"/>
        </w:rPr>
        <w:t>说明：</w:t>
      </w:r>
    </w:p>
    <w:p w14:paraId="31D1D52F">
      <w:pPr>
        <w:spacing w:before="1" w:line="360" w:lineRule="auto"/>
        <w:rPr>
          <w:rFonts w:hint="eastAsia" w:ascii="宋体" w:hAnsi="宋体" w:eastAsia="宋体" w:cs="宋体"/>
          <w:color w:val="auto"/>
          <w:lang w:eastAsia="zh-CN"/>
        </w:rPr>
      </w:pPr>
      <w:r>
        <w:rPr>
          <w:rFonts w:hint="eastAsia" w:ascii="宋体" w:hAnsi="宋体" w:eastAsia="宋体" w:cs="宋体"/>
          <w:color w:val="auto"/>
          <w:lang w:eastAsia="zh-CN"/>
        </w:rPr>
        <w:t>1.投标人需要按以上要求提交样品，中标样品交由采购人作为履约验收参考，最终产品使用的原辅材料不得低于样品的标准。</w:t>
      </w:r>
    </w:p>
    <w:p w14:paraId="5E1CCCFC">
      <w:pPr>
        <w:rPr>
          <w:rFonts w:hint="eastAsia" w:ascii="宋体" w:hAnsi="宋体" w:eastAsia="宋体" w:cs="宋体"/>
          <w:color w:val="auto"/>
          <w:lang w:eastAsia="zh-CN"/>
        </w:rPr>
      </w:pPr>
      <w:r>
        <w:rPr>
          <w:rFonts w:hint="eastAsia" w:ascii="宋体" w:hAnsi="宋体" w:eastAsia="宋体" w:cs="宋体"/>
          <w:color w:val="auto"/>
          <w:lang w:eastAsia="zh-CN"/>
        </w:rPr>
        <w:t>2.允许样品的规格尺寸与上述要求有合理偏差，但投标人中标后必须按照采购需求中规定的规格尺寸生产供货，不得影响交付正常使用。</w:t>
      </w:r>
    </w:p>
    <w:p w14:paraId="55703BD8">
      <w:pPr>
        <w:rPr>
          <w:rFonts w:hint="eastAsia" w:ascii="宋体" w:hAnsi="宋体" w:eastAsia="宋体" w:cs="宋体"/>
          <w:color w:val="auto"/>
          <w:lang w:eastAsia="zh-CN"/>
        </w:rPr>
      </w:pPr>
    </w:p>
    <w:p w14:paraId="288D73CD">
      <w:pPr>
        <w:rPr>
          <w:rFonts w:hint="eastAsia" w:ascii="宋体" w:hAnsi="宋体" w:eastAsia="宋体" w:cs="宋体"/>
          <w:color w:val="auto"/>
          <w:lang w:eastAsia="zh-CN"/>
        </w:rPr>
      </w:pPr>
    </w:p>
    <w:p w14:paraId="14C550BC">
      <w:pPr>
        <w:rPr>
          <w:rFonts w:hint="eastAsia" w:ascii="宋体" w:hAnsi="宋体" w:eastAsia="宋体" w:cs="宋体"/>
          <w:color w:val="auto"/>
          <w:lang w:eastAsia="zh-CN"/>
        </w:rPr>
      </w:pPr>
      <w:r>
        <w:rPr>
          <w:rFonts w:hint="eastAsia" w:ascii="宋体" w:hAnsi="宋体" w:eastAsia="宋体" w:cs="宋体"/>
          <w:color w:val="auto"/>
          <w:lang w:eastAsia="zh-CN"/>
        </w:rPr>
        <w:t>样品详细尺寸如下：</w:t>
      </w:r>
    </w:p>
    <w:p w14:paraId="045D4EEC">
      <w:pPr>
        <w:rPr>
          <w:rFonts w:hint="eastAsia" w:ascii="宋体" w:hAnsi="宋体" w:eastAsia="宋体" w:cs="宋体"/>
          <w:color w:val="auto"/>
          <w:lang w:eastAsia="zh-CN"/>
        </w:rPr>
      </w:pPr>
    </w:p>
    <w:p w14:paraId="1BC7D83D">
      <w:pPr>
        <w:jc w:val="center"/>
        <w:rPr>
          <w:color w:val="auto"/>
        </w:rPr>
      </w:pPr>
      <w:r>
        <w:rPr>
          <w:color w:val="auto"/>
        </w:rPr>
        <w:drawing>
          <wp:inline distT="0" distB="0" distL="114300" distR="114300">
            <wp:extent cx="4785360" cy="4678680"/>
            <wp:effectExtent l="0" t="0" r="0" b="0"/>
            <wp:docPr id="2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6"/>
                    <pic:cNvPicPr>
                      <a:picLocks noChangeAspect="1"/>
                    </pic:cNvPicPr>
                  </pic:nvPicPr>
                  <pic:blipFill>
                    <a:blip r:embed="rId8"/>
                    <a:stretch>
                      <a:fillRect/>
                    </a:stretch>
                  </pic:blipFill>
                  <pic:spPr>
                    <a:xfrm>
                      <a:off x="0" y="0"/>
                      <a:ext cx="4785360" cy="4678680"/>
                    </a:xfrm>
                    <a:prstGeom prst="rect">
                      <a:avLst/>
                    </a:prstGeom>
                    <a:noFill/>
                    <a:ln>
                      <a:noFill/>
                    </a:ln>
                  </pic:spPr>
                </pic:pic>
              </a:graphicData>
            </a:graphic>
          </wp:inline>
        </w:drawing>
      </w:r>
      <w:r>
        <w:rPr>
          <w:color w:val="auto"/>
        </w:rPr>
        <w:drawing>
          <wp:inline distT="0" distB="0" distL="114300" distR="114300">
            <wp:extent cx="4739640" cy="4724400"/>
            <wp:effectExtent l="0" t="0" r="0" b="0"/>
            <wp:docPr id="3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8"/>
                    <pic:cNvPicPr>
                      <a:picLocks noChangeAspect="1"/>
                    </pic:cNvPicPr>
                  </pic:nvPicPr>
                  <pic:blipFill>
                    <a:blip r:embed="rId9"/>
                    <a:stretch>
                      <a:fillRect/>
                    </a:stretch>
                  </pic:blipFill>
                  <pic:spPr>
                    <a:xfrm>
                      <a:off x="0" y="0"/>
                      <a:ext cx="4739640" cy="4724400"/>
                    </a:xfrm>
                    <a:prstGeom prst="rect">
                      <a:avLst/>
                    </a:prstGeom>
                    <a:noFill/>
                    <a:ln>
                      <a:noFill/>
                    </a:ln>
                  </pic:spPr>
                </pic:pic>
              </a:graphicData>
            </a:graphic>
          </wp:inline>
        </w:drawing>
      </w:r>
    </w:p>
    <w:p w14:paraId="05430539">
      <w:pPr>
        <w:jc w:val="center"/>
        <w:rPr>
          <w:rFonts w:hint="eastAsia" w:ascii="宋体" w:hAnsi="宋体" w:eastAsia="宋体" w:cs="宋体"/>
          <w:color w:val="auto"/>
          <w:lang w:eastAsia="zh-CN"/>
        </w:rPr>
        <w:sectPr>
          <w:pgSz w:w="23810" w:h="16840"/>
          <w:pgMar w:top="1440" w:right="1080" w:bottom="1440" w:left="1080" w:header="0" w:footer="0" w:gutter="0"/>
          <w:cols w:space="720" w:num="1"/>
        </w:sectPr>
      </w:pPr>
      <w:r>
        <w:rPr>
          <w:color w:val="auto"/>
        </w:rPr>
        <w:drawing>
          <wp:inline distT="0" distB="0" distL="114300" distR="114300">
            <wp:extent cx="4998720" cy="4698365"/>
            <wp:effectExtent l="0" t="0" r="0" b="10795"/>
            <wp:docPr id="3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7"/>
                    <pic:cNvPicPr>
                      <a:picLocks noChangeAspect="1"/>
                    </pic:cNvPicPr>
                  </pic:nvPicPr>
                  <pic:blipFill>
                    <a:blip r:embed="rId10"/>
                    <a:stretch>
                      <a:fillRect/>
                    </a:stretch>
                  </pic:blipFill>
                  <pic:spPr>
                    <a:xfrm>
                      <a:off x="0" y="0"/>
                      <a:ext cx="4998720" cy="4698365"/>
                    </a:xfrm>
                    <a:prstGeom prst="rect">
                      <a:avLst/>
                    </a:prstGeom>
                    <a:noFill/>
                    <a:ln>
                      <a:noFill/>
                    </a:ln>
                  </pic:spPr>
                </pic:pic>
              </a:graphicData>
            </a:graphic>
          </wp:inline>
        </w:drawing>
      </w:r>
      <w:r>
        <w:rPr>
          <w:color w:val="auto"/>
        </w:rPr>
        <w:drawing>
          <wp:inline distT="0" distB="0" distL="114300" distR="114300">
            <wp:extent cx="4815840" cy="4747260"/>
            <wp:effectExtent l="0" t="0" r="0" b="7620"/>
            <wp:docPr id="3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9"/>
                    <pic:cNvPicPr>
                      <a:picLocks noChangeAspect="1"/>
                    </pic:cNvPicPr>
                  </pic:nvPicPr>
                  <pic:blipFill>
                    <a:blip r:embed="rId11"/>
                    <a:stretch>
                      <a:fillRect/>
                    </a:stretch>
                  </pic:blipFill>
                  <pic:spPr>
                    <a:xfrm>
                      <a:off x="0" y="0"/>
                      <a:ext cx="4815840" cy="4747260"/>
                    </a:xfrm>
                    <a:prstGeom prst="rect">
                      <a:avLst/>
                    </a:prstGeom>
                    <a:noFill/>
                    <a:ln>
                      <a:noFill/>
                    </a:ln>
                  </pic:spPr>
                </pic:pic>
              </a:graphicData>
            </a:graphic>
          </wp:inline>
        </w:drawing>
      </w:r>
    </w:p>
    <w:p w14:paraId="5ADAC8E5">
      <w:pPr>
        <w:pStyle w:val="8"/>
        <w:spacing w:before="120" w:line="360" w:lineRule="auto"/>
        <w:outlineLvl w:val="6"/>
        <w:rPr>
          <w:rFonts w:hint="eastAsia"/>
          <w:color w:val="auto"/>
          <w:sz w:val="21"/>
          <w:szCs w:val="21"/>
          <w:lang w:eastAsia="zh-CN"/>
        </w:rPr>
      </w:pPr>
      <w:r>
        <w:rPr>
          <w:rFonts w:hint="eastAsia"/>
          <w:b/>
          <w:bCs/>
          <w:color w:val="auto"/>
          <w:spacing w:val="-4"/>
          <w:sz w:val="21"/>
          <w:szCs w:val="21"/>
          <w:lang w:eastAsia="zh-CN"/>
        </w:rPr>
        <w:t>八、供货及验收</w:t>
      </w:r>
    </w:p>
    <w:p w14:paraId="39B16EB7">
      <w:pPr>
        <w:spacing w:line="360" w:lineRule="auto"/>
        <w:rPr>
          <w:rFonts w:hint="eastAsia" w:ascii="宋体" w:hAnsi="宋体" w:eastAsia="宋体" w:cs="宋体"/>
          <w:color w:val="auto"/>
          <w:lang w:eastAsia="zh-CN"/>
        </w:rPr>
      </w:pPr>
    </w:p>
    <w:tbl>
      <w:tblPr>
        <w:tblStyle w:val="25"/>
        <w:tblW w:w="17799"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3943"/>
        <w:gridCol w:w="13856"/>
      </w:tblGrid>
      <w:tr w14:paraId="381852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34" w:hRule="atLeast"/>
          <w:jc w:val="center"/>
        </w:trPr>
        <w:tc>
          <w:tcPr>
            <w:tcW w:w="3943" w:type="dxa"/>
          </w:tcPr>
          <w:p w14:paraId="031570E7">
            <w:pPr>
              <w:pStyle w:val="24"/>
              <w:spacing w:before="190" w:line="360" w:lineRule="auto"/>
              <w:jc w:val="center"/>
              <w:rPr>
                <w:rFonts w:hint="eastAsia"/>
                <w:b/>
                <w:bCs/>
                <w:color w:val="auto"/>
                <w:sz w:val="21"/>
                <w:szCs w:val="21"/>
              </w:rPr>
            </w:pPr>
            <w:r>
              <w:rPr>
                <w:rFonts w:hint="eastAsia"/>
                <w:b/>
                <w:bCs/>
                <w:color w:val="auto"/>
                <w:spacing w:val="-10"/>
                <w:sz w:val="21"/>
                <w:szCs w:val="21"/>
              </w:rPr>
              <w:t>分类</w:t>
            </w:r>
          </w:p>
        </w:tc>
        <w:tc>
          <w:tcPr>
            <w:tcW w:w="13856" w:type="dxa"/>
          </w:tcPr>
          <w:p w14:paraId="58A61764">
            <w:pPr>
              <w:pStyle w:val="24"/>
              <w:spacing w:before="190" w:line="360" w:lineRule="auto"/>
              <w:ind w:left="5471"/>
              <w:rPr>
                <w:rFonts w:hint="eastAsia"/>
                <w:b/>
                <w:bCs/>
                <w:color w:val="auto"/>
                <w:sz w:val="21"/>
                <w:szCs w:val="21"/>
              </w:rPr>
            </w:pPr>
            <w:r>
              <w:rPr>
                <w:rFonts w:hint="eastAsia"/>
                <w:b/>
                <w:bCs/>
                <w:color w:val="auto"/>
                <w:spacing w:val="-30"/>
                <w:sz w:val="21"/>
                <w:szCs w:val="21"/>
              </w:rPr>
              <w:t>内容</w:t>
            </w:r>
          </w:p>
        </w:tc>
      </w:tr>
      <w:tr w14:paraId="725141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206" w:hRule="atLeast"/>
          <w:jc w:val="center"/>
        </w:trPr>
        <w:tc>
          <w:tcPr>
            <w:tcW w:w="3943" w:type="dxa"/>
          </w:tcPr>
          <w:p w14:paraId="725C3AA8">
            <w:pPr>
              <w:pStyle w:val="24"/>
              <w:spacing w:before="120" w:line="360" w:lineRule="auto"/>
              <w:jc w:val="center"/>
              <w:rPr>
                <w:rFonts w:hint="eastAsia"/>
                <w:color w:val="auto"/>
                <w:spacing w:val="4"/>
                <w:sz w:val="21"/>
                <w:szCs w:val="21"/>
              </w:rPr>
            </w:pPr>
          </w:p>
          <w:p w14:paraId="108ED023">
            <w:pPr>
              <w:pStyle w:val="24"/>
              <w:spacing w:before="120" w:line="360" w:lineRule="auto"/>
              <w:jc w:val="center"/>
              <w:rPr>
                <w:rFonts w:hint="eastAsia"/>
                <w:color w:val="auto"/>
                <w:sz w:val="21"/>
                <w:szCs w:val="21"/>
              </w:rPr>
            </w:pPr>
            <w:r>
              <w:rPr>
                <w:rFonts w:hint="eastAsia"/>
                <w:color w:val="auto"/>
                <w:spacing w:val="4"/>
                <w:sz w:val="21"/>
                <w:szCs w:val="21"/>
              </w:rPr>
              <w:t>供货要求</w:t>
            </w:r>
          </w:p>
        </w:tc>
        <w:tc>
          <w:tcPr>
            <w:tcW w:w="13856" w:type="dxa"/>
          </w:tcPr>
          <w:p w14:paraId="6EBA13B4">
            <w:pPr>
              <w:pStyle w:val="24"/>
              <w:spacing w:before="191" w:line="360" w:lineRule="auto"/>
              <w:ind w:left="152" w:right="180" w:hanging="10"/>
              <w:rPr>
                <w:rFonts w:hint="eastAsia"/>
                <w:color w:val="auto"/>
                <w:sz w:val="21"/>
                <w:szCs w:val="21"/>
                <w:lang w:eastAsia="zh-CN"/>
              </w:rPr>
            </w:pPr>
            <w:r>
              <w:rPr>
                <w:rFonts w:hint="eastAsia"/>
                <w:color w:val="auto"/>
                <w:sz w:val="21"/>
                <w:szCs w:val="21"/>
                <w:lang w:eastAsia="zh-CN"/>
              </w:rPr>
              <w:t>供应商应当在合同签订后不多于</w:t>
            </w:r>
            <w:r>
              <w:rPr>
                <w:rFonts w:hint="eastAsia"/>
                <w:color w:val="auto"/>
                <w:sz w:val="21"/>
                <w:szCs w:val="21"/>
                <w:u w:val="single"/>
                <w:lang w:eastAsia="zh-CN"/>
              </w:rPr>
              <w:t xml:space="preserve"> 35</w:t>
            </w:r>
            <w:r>
              <w:rPr>
                <w:rFonts w:hint="eastAsia"/>
                <w:color w:val="auto"/>
                <w:sz w:val="24"/>
                <w:szCs w:val="24"/>
                <w:u w:val="single"/>
                <w:lang w:eastAsia="zh-CN"/>
              </w:rPr>
              <w:t xml:space="preserve"> </w:t>
            </w:r>
            <w:r>
              <w:rPr>
                <w:rFonts w:hint="eastAsia"/>
                <w:color w:val="auto"/>
                <w:sz w:val="21"/>
                <w:szCs w:val="21"/>
                <w:lang w:eastAsia="zh-CN"/>
              </w:rPr>
              <w:t>个自然日内供货及安装完毕。供应商</w:t>
            </w:r>
            <w:r>
              <w:rPr>
                <w:rFonts w:hint="eastAsia"/>
                <w:color w:val="auto"/>
                <w:spacing w:val="6"/>
                <w:sz w:val="21"/>
                <w:szCs w:val="21"/>
                <w:lang w:eastAsia="zh-CN"/>
              </w:rPr>
              <w:t>所提供的货物应符合国家相关质量标准；货物名称、型号规格、数</w:t>
            </w:r>
            <w:r>
              <w:rPr>
                <w:rFonts w:hint="eastAsia"/>
                <w:color w:val="auto"/>
                <w:spacing w:val="5"/>
                <w:sz w:val="21"/>
                <w:szCs w:val="21"/>
                <w:lang w:eastAsia="zh-CN"/>
              </w:rPr>
              <w:t>量、</w:t>
            </w:r>
            <w:r>
              <w:rPr>
                <w:rFonts w:hint="eastAsia"/>
                <w:color w:val="auto"/>
                <w:spacing w:val="-1"/>
                <w:sz w:val="21"/>
                <w:szCs w:val="21"/>
                <w:lang w:eastAsia="zh-CN"/>
              </w:rPr>
              <w:t>颜色、外观等符合采购人要求，不得有损毁或损坏。</w:t>
            </w:r>
          </w:p>
        </w:tc>
      </w:tr>
      <w:tr w14:paraId="2FC085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501" w:hRule="atLeast"/>
          <w:jc w:val="center"/>
        </w:trPr>
        <w:tc>
          <w:tcPr>
            <w:tcW w:w="3943" w:type="dxa"/>
          </w:tcPr>
          <w:p w14:paraId="51AF9389">
            <w:pPr>
              <w:pStyle w:val="24"/>
              <w:spacing w:before="201" w:line="360" w:lineRule="auto"/>
              <w:ind w:left="1225"/>
              <w:jc w:val="center"/>
              <w:rPr>
                <w:rFonts w:hint="eastAsia"/>
                <w:color w:val="auto"/>
                <w:spacing w:val="4"/>
                <w:sz w:val="21"/>
                <w:szCs w:val="21"/>
                <w:lang w:eastAsia="zh-CN"/>
              </w:rPr>
            </w:pPr>
          </w:p>
          <w:p w14:paraId="5BB92B09">
            <w:pPr>
              <w:pStyle w:val="24"/>
              <w:spacing w:before="201" w:line="360" w:lineRule="auto"/>
              <w:jc w:val="center"/>
              <w:rPr>
                <w:rFonts w:hint="eastAsia"/>
                <w:color w:val="auto"/>
                <w:sz w:val="21"/>
                <w:szCs w:val="21"/>
              </w:rPr>
            </w:pPr>
            <w:r>
              <w:rPr>
                <w:rFonts w:hint="eastAsia"/>
                <w:color w:val="auto"/>
                <w:spacing w:val="4"/>
                <w:sz w:val="21"/>
                <w:szCs w:val="21"/>
              </w:rPr>
              <w:t>包装要求</w:t>
            </w:r>
          </w:p>
        </w:tc>
        <w:tc>
          <w:tcPr>
            <w:tcW w:w="13856" w:type="dxa"/>
          </w:tcPr>
          <w:p w14:paraId="14EFEF69">
            <w:pPr>
              <w:pStyle w:val="24"/>
              <w:spacing w:before="191" w:line="360" w:lineRule="auto"/>
              <w:ind w:left="152" w:right="180" w:hanging="10"/>
              <w:rPr>
                <w:rFonts w:hint="eastAsia"/>
                <w:color w:val="auto"/>
                <w:sz w:val="21"/>
                <w:szCs w:val="21"/>
                <w:lang w:eastAsia="zh-CN"/>
              </w:rPr>
            </w:pPr>
            <w:r>
              <w:rPr>
                <w:rFonts w:hint="eastAsia"/>
                <w:color w:val="auto"/>
                <w:sz w:val="21"/>
                <w:szCs w:val="21"/>
                <w:lang w:eastAsia="zh-CN"/>
              </w:rPr>
              <w:t>采购中如涉及商品包装和快递包装的，其包装需求标准应不低于《关于印发&lt;商品包装政府采购需求标准(试行)&gt;、&lt;快递包装政府采购需求标准(试行)&gt;的通知》(财办库〔2020〕123号)规定的包装要求。采购人、供应商双方签订合同及验收环节，应包含上述包装要求的条款。</w:t>
            </w:r>
          </w:p>
        </w:tc>
      </w:tr>
      <w:tr w14:paraId="40011C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704" w:hRule="atLeast"/>
          <w:jc w:val="center"/>
        </w:trPr>
        <w:tc>
          <w:tcPr>
            <w:tcW w:w="3943" w:type="dxa"/>
          </w:tcPr>
          <w:p w14:paraId="38E5F250">
            <w:pPr>
              <w:pStyle w:val="24"/>
              <w:spacing w:before="185" w:line="360" w:lineRule="auto"/>
              <w:jc w:val="center"/>
              <w:rPr>
                <w:rFonts w:hint="eastAsia"/>
                <w:color w:val="auto"/>
                <w:sz w:val="21"/>
                <w:szCs w:val="21"/>
              </w:rPr>
            </w:pPr>
            <w:r>
              <w:rPr>
                <w:rFonts w:hint="eastAsia"/>
                <w:color w:val="auto"/>
                <w:spacing w:val="4"/>
                <w:sz w:val="21"/>
                <w:szCs w:val="21"/>
              </w:rPr>
              <w:t>验收要求</w:t>
            </w:r>
          </w:p>
        </w:tc>
        <w:tc>
          <w:tcPr>
            <w:tcW w:w="13856" w:type="dxa"/>
          </w:tcPr>
          <w:p w14:paraId="621973C5">
            <w:pPr>
              <w:pStyle w:val="24"/>
              <w:spacing w:before="182" w:line="360" w:lineRule="auto"/>
              <w:ind w:left="152"/>
              <w:rPr>
                <w:rFonts w:hint="eastAsia"/>
                <w:color w:val="auto"/>
                <w:sz w:val="21"/>
                <w:szCs w:val="21"/>
                <w:lang w:eastAsia="zh-CN"/>
              </w:rPr>
            </w:pPr>
            <w:r>
              <w:rPr>
                <w:rFonts w:hint="eastAsia"/>
                <w:color w:val="auto"/>
                <w:sz w:val="21"/>
                <w:szCs w:val="21"/>
                <w:lang w:eastAsia="zh-CN"/>
              </w:rPr>
              <w:t>医院家具安装、调试后，由供、需双方按照合同约定对</w:t>
            </w:r>
            <w:r>
              <w:rPr>
                <w:rFonts w:hint="eastAsia"/>
                <w:color w:val="auto"/>
                <w:spacing w:val="-1"/>
                <w:sz w:val="21"/>
                <w:szCs w:val="21"/>
                <w:lang w:eastAsia="zh-CN"/>
              </w:rPr>
              <w:t>家具进行验收。</w:t>
            </w:r>
            <w:r>
              <w:rPr>
                <w:rFonts w:hint="eastAsia"/>
                <w:color w:val="auto"/>
                <w:sz w:val="21"/>
                <w:szCs w:val="21"/>
                <w:lang w:eastAsia="zh-CN"/>
              </w:rPr>
              <w:t>验收包括清点型号、数量、检查外观等，供应商应当提供家具清单(各</w:t>
            </w:r>
            <w:r>
              <w:rPr>
                <w:rFonts w:hint="eastAsia"/>
                <w:color w:val="auto"/>
                <w:spacing w:val="1"/>
                <w:sz w:val="21"/>
                <w:szCs w:val="21"/>
                <w:lang w:eastAsia="zh-CN"/>
              </w:rPr>
              <w:t>类家具分项开立并标注详细数量)、产品合格证</w:t>
            </w:r>
            <w:r>
              <w:rPr>
                <w:rFonts w:hint="eastAsia"/>
                <w:color w:val="auto"/>
                <w:sz w:val="21"/>
                <w:szCs w:val="21"/>
                <w:lang w:eastAsia="zh-CN"/>
              </w:rPr>
              <w:t>、家具出厂日期证明、家</w:t>
            </w:r>
            <w:r>
              <w:rPr>
                <w:rFonts w:hint="eastAsia"/>
                <w:color w:val="auto"/>
                <w:spacing w:val="-1"/>
                <w:sz w:val="21"/>
                <w:szCs w:val="21"/>
                <w:lang w:eastAsia="zh-CN"/>
              </w:rPr>
              <w:t>具环保证明等文件。</w:t>
            </w:r>
          </w:p>
        </w:tc>
      </w:tr>
    </w:tbl>
    <w:p w14:paraId="26BC3D39">
      <w:pPr>
        <w:spacing w:line="360" w:lineRule="auto"/>
        <w:rPr>
          <w:rFonts w:hint="eastAsia" w:ascii="宋体" w:hAnsi="宋体" w:eastAsia="宋体" w:cs="宋体"/>
          <w:color w:val="auto"/>
          <w:lang w:eastAsia="zh-CN"/>
        </w:rPr>
      </w:pPr>
    </w:p>
    <w:p w14:paraId="00E102DD">
      <w:pPr>
        <w:spacing w:line="360" w:lineRule="auto"/>
        <w:rPr>
          <w:rFonts w:hint="eastAsia" w:ascii="宋体" w:hAnsi="宋体" w:eastAsia="宋体" w:cs="宋体"/>
          <w:color w:val="auto"/>
          <w:lang w:eastAsia="zh-CN"/>
        </w:rPr>
        <w:sectPr>
          <w:pgSz w:w="23810" w:h="16840"/>
          <w:pgMar w:top="1440" w:right="1080" w:bottom="1440" w:left="1080" w:header="0" w:footer="0" w:gutter="0"/>
          <w:cols w:space="720" w:num="1"/>
        </w:sectPr>
      </w:pPr>
    </w:p>
    <w:p w14:paraId="754775C1">
      <w:pPr>
        <w:pStyle w:val="8"/>
        <w:spacing w:before="120" w:line="360" w:lineRule="auto"/>
        <w:ind w:left="0" w:firstLine="0" w:firstLineChars="0"/>
        <w:rPr>
          <w:rFonts w:hint="eastAsia"/>
          <w:color w:val="auto"/>
          <w:sz w:val="21"/>
          <w:szCs w:val="21"/>
          <w:lang w:eastAsia="zh-CN"/>
        </w:rPr>
      </w:pPr>
      <w:r>
        <w:rPr>
          <w:rFonts w:hint="eastAsia"/>
          <w:b/>
          <w:bCs/>
          <w:color w:val="auto"/>
          <w:spacing w:val="-3"/>
          <w:sz w:val="21"/>
          <w:szCs w:val="21"/>
          <w:lang w:eastAsia="zh-CN"/>
        </w:rPr>
        <w:t>九、、服务要求</w:t>
      </w:r>
    </w:p>
    <w:p w14:paraId="46047A0F">
      <w:pPr>
        <w:spacing w:line="360" w:lineRule="auto"/>
        <w:rPr>
          <w:rFonts w:hint="eastAsia" w:ascii="宋体" w:hAnsi="宋体" w:eastAsia="宋体" w:cs="宋体"/>
          <w:color w:val="auto"/>
          <w:lang w:eastAsia="zh-CN"/>
        </w:rPr>
      </w:pPr>
    </w:p>
    <w:tbl>
      <w:tblPr>
        <w:tblStyle w:val="25"/>
        <w:tblW w:w="15950"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3943"/>
        <w:gridCol w:w="12007"/>
      </w:tblGrid>
      <w:tr w14:paraId="73DBDC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03" w:hRule="atLeast"/>
          <w:jc w:val="center"/>
        </w:trPr>
        <w:tc>
          <w:tcPr>
            <w:tcW w:w="3943" w:type="dxa"/>
          </w:tcPr>
          <w:p w14:paraId="58AEA8E1">
            <w:pPr>
              <w:pStyle w:val="24"/>
              <w:spacing w:before="180" w:line="360" w:lineRule="auto"/>
              <w:jc w:val="center"/>
              <w:rPr>
                <w:rFonts w:hint="eastAsia"/>
                <w:b/>
                <w:bCs/>
                <w:color w:val="auto"/>
                <w:sz w:val="21"/>
                <w:szCs w:val="21"/>
              </w:rPr>
            </w:pPr>
            <w:r>
              <w:rPr>
                <w:rFonts w:hint="eastAsia"/>
                <w:b/>
                <w:bCs/>
                <w:color w:val="auto"/>
                <w:sz w:val="21"/>
                <w:szCs w:val="21"/>
              </w:rPr>
              <w:t>分类</w:t>
            </w:r>
          </w:p>
        </w:tc>
        <w:tc>
          <w:tcPr>
            <w:tcW w:w="12007" w:type="dxa"/>
          </w:tcPr>
          <w:p w14:paraId="74D970A7">
            <w:pPr>
              <w:pStyle w:val="24"/>
              <w:spacing w:before="180" w:line="360" w:lineRule="auto"/>
              <w:ind w:left="5431"/>
              <w:rPr>
                <w:rFonts w:hint="eastAsia"/>
                <w:b/>
                <w:bCs/>
                <w:color w:val="auto"/>
                <w:sz w:val="21"/>
                <w:szCs w:val="21"/>
              </w:rPr>
            </w:pPr>
            <w:r>
              <w:rPr>
                <w:rFonts w:hint="eastAsia"/>
                <w:b/>
                <w:bCs/>
                <w:color w:val="auto"/>
                <w:sz w:val="21"/>
                <w:szCs w:val="21"/>
              </w:rPr>
              <w:t>内容</w:t>
            </w:r>
          </w:p>
        </w:tc>
      </w:tr>
      <w:tr w14:paraId="7F01E7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126" w:hRule="atLeast"/>
          <w:jc w:val="center"/>
        </w:trPr>
        <w:tc>
          <w:tcPr>
            <w:tcW w:w="3943" w:type="dxa"/>
            <w:vAlign w:val="center"/>
          </w:tcPr>
          <w:p w14:paraId="73462E1C">
            <w:pPr>
              <w:pStyle w:val="24"/>
              <w:spacing w:before="182" w:line="360" w:lineRule="auto"/>
              <w:jc w:val="center"/>
              <w:rPr>
                <w:rFonts w:hint="eastAsia"/>
                <w:color w:val="auto"/>
                <w:sz w:val="21"/>
                <w:szCs w:val="21"/>
              </w:rPr>
            </w:pPr>
            <w:r>
              <w:rPr>
                <w:rFonts w:hint="eastAsia"/>
                <w:color w:val="auto"/>
                <w:sz w:val="21"/>
                <w:szCs w:val="21"/>
                <w:lang w:eastAsia="zh-CN"/>
              </w:rPr>
              <w:t>保修服务</w:t>
            </w:r>
          </w:p>
        </w:tc>
        <w:tc>
          <w:tcPr>
            <w:tcW w:w="12007" w:type="dxa"/>
          </w:tcPr>
          <w:p w14:paraId="563A8AB6">
            <w:pPr>
              <w:pStyle w:val="24"/>
              <w:spacing w:before="182" w:line="360" w:lineRule="auto"/>
              <w:ind w:left="152"/>
              <w:rPr>
                <w:rFonts w:hint="eastAsia"/>
                <w:color w:val="auto"/>
                <w:sz w:val="21"/>
                <w:szCs w:val="21"/>
                <w:lang w:eastAsia="zh-CN"/>
              </w:rPr>
            </w:pPr>
            <w:r>
              <w:rPr>
                <w:rFonts w:hint="eastAsia"/>
                <w:color w:val="auto"/>
                <w:sz w:val="21"/>
                <w:szCs w:val="21"/>
                <w:lang w:eastAsia="zh-CN"/>
              </w:rPr>
              <w:t>医院家具免费保修期应当自验收通过之日起</w:t>
            </w:r>
            <w:bookmarkStart w:id="5" w:name="_GoBack"/>
            <w:bookmarkEnd w:id="5"/>
            <w:r>
              <w:rPr>
                <w:rFonts w:hint="eastAsia"/>
                <w:color w:val="auto"/>
                <w:sz w:val="21"/>
                <w:szCs w:val="21"/>
                <w:lang w:eastAsia="zh-CN"/>
              </w:rPr>
              <w:t>不少于10年。免费保修期内，除采购人因非正常使用造成家具损坏外，损坏维修以及所涉及的零部件更换，应当由供应商免费提供，供应商应当承诺每年对所供办公家具进行巡检。免费保修期满后，供应商保证以优惠价格提供办公家具所需零配件和维修服务。</w:t>
            </w:r>
          </w:p>
        </w:tc>
      </w:tr>
      <w:tr w14:paraId="290261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34" w:hRule="atLeast"/>
          <w:jc w:val="center"/>
        </w:trPr>
        <w:tc>
          <w:tcPr>
            <w:tcW w:w="3943" w:type="dxa"/>
            <w:vAlign w:val="center"/>
          </w:tcPr>
          <w:p w14:paraId="591B4E97">
            <w:pPr>
              <w:pStyle w:val="24"/>
              <w:spacing w:before="203" w:line="360" w:lineRule="auto"/>
              <w:jc w:val="center"/>
              <w:rPr>
                <w:rFonts w:hint="eastAsia"/>
                <w:color w:val="auto"/>
                <w:sz w:val="21"/>
                <w:szCs w:val="21"/>
              </w:rPr>
            </w:pPr>
            <w:r>
              <w:rPr>
                <w:rFonts w:hint="eastAsia"/>
                <w:color w:val="auto"/>
                <w:spacing w:val="7"/>
                <w:sz w:val="21"/>
                <w:szCs w:val="21"/>
              </w:rPr>
              <w:t>应急能力</w:t>
            </w:r>
          </w:p>
        </w:tc>
        <w:tc>
          <w:tcPr>
            <w:tcW w:w="12007" w:type="dxa"/>
            <w:vAlign w:val="center"/>
          </w:tcPr>
          <w:p w14:paraId="09379D5B">
            <w:pPr>
              <w:pStyle w:val="24"/>
              <w:spacing w:before="182" w:line="360" w:lineRule="auto"/>
              <w:ind w:left="152"/>
              <w:rPr>
                <w:rFonts w:hint="eastAsia"/>
                <w:color w:val="auto"/>
                <w:sz w:val="21"/>
                <w:szCs w:val="21"/>
                <w:lang w:eastAsia="zh-CN"/>
              </w:rPr>
            </w:pPr>
            <w:r>
              <w:rPr>
                <w:rFonts w:hint="eastAsia"/>
                <w:color w:val="auto"/>
                <w:sz w:val="21"/>
                <w:szCs w:val="21"/>
                <w:lang w:eastAsia="zh-CN"/>
              </w:rPr>
              <w:t>供应商应当拥有维修服务能力，提供售后服务支持。如遇质量问题，供应商应当在接到通知2小时内予以响应，并于8小时内解决完毕或提供代用产品。</w:t>
            </w:r>
          </w:p>
        </w:tc>
      </w:tr>
      <w:tr w14:paraId="3A6981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734" w:hRule="atLeast"/>
          <w:jc w:val="center"/>
        </w:trPr>
        <w:tc>
          <w:tcPr>
            <w:tcW w:w="3943" w:type="dxa"/>
            <w:vAlign w:val="center"/>
          </w:tcPr>
          <w:p w14:paraId="62237013">
            <w:pPr>
              <w:pStyle w:val="24"/>
              <w:spacing w:before="203" w:line="360" w:lineRule="auto"/>
              <w:jc w:val="center"/>
              <w:rPr>
                <w:rFonts w:hint="eastAsia"/>
                <w:color w:val="auto"/>
                <w:spacing w:val="7"/>
                <w:sz w:val="21"/>
                <w:szCs w:val="21"/>
              </w:rPr>
            </w:pPr>
            <w:r>
              <w:rPr>
                <w:rFonts w:hint="eastAsia"/>
                <w:color w:val="auto"/>
                <w:sz w:val="21"/>
                <w:szCs w:val="21"/>
                <w:lang w:eastAsia="zh-CN"/>
              </w:rPr>
              <w:t>环保要求</w:t>
            </w:r>
          </w:p>
        </w:tc>
        <w:tc>
          <w:tcPr>
            <w:tcW w:w="12007" w:type="dxa"/>
            <w:vAlign w:val="center"/>
          </w:tcPr>
          <w:p w14:paraId="05250E2A">
            <w:pPr>
              <w:pStyle w:val="24"/>
              <w:numPr>
                <w:ilvl w:val="-1"/>
                <w:numId w:val="0"/>
              </w:numPr>
              <w:spacing w:before="182" w:line="360" w:lineRule="auto"/>
              <w:ind w:left="0" w:leftChars="0" w:firstLine="0" w:firstLineChars="0"/>
              <w:rPr>
                <w:rFonts w:hint="eastAsia"/>
                <w:color w:val="auto"/>
                <w:sz w:val="21"/>
                <w:szCs w:val="21"/>
                <w:lang w:eastAsia="zh-CN"/>
              </w:rPr>
            </w:pPr>
            <w:r>
              <w:rPr>
                <w:rFonts w:hint="eastAsia"/>
                <w:color w:val="auto"/>
                <w:sz w:val="21"/>
                <w:szCs w:val="21"/>
                <w:lang w:eastAsia="zh-CN"/>
              </w:rPr>
              <w:t>供应商所投产品具有环境标志产品认证证书或CQC中国环保产品认证证书或中国绿色产品认证证书的优先考虑。</w:t>
            </w:r>
          </w:p>
        </w:tc>
      </w:tr>
    </w:tbl>
    <w:p w14:paraId="6020AA13">
      <w:pPr>
        <w:pStyle w:val="8"/>
        <w:spacing w:before="44" w:line="360" w:lineRule="auto"/>
        <w:jc w:val="both"/>
        <w:rPr>
          <w:rFonts w:hint="eastAsia"/>
          <w:b/>
          <w:bCs/>
          <w:color w:val="auto"/>
          <w:sz w:val="21"/>
          <w:szCs w:val="21"/>
          <w:lang w:eastAsia="zh-CN"/>
        </w:rPr>
      </w:pPr>
    </w:p>
    <w:p w14:paraId="5BF832C4">
      <w:pPr>
        <w:rPr>
          <w:b/>
          <w:bCs/>
          <w:color w:val="auto"/>
          <w:lang w:eastAsia="zh-CN"/>
        </w:rPr>
      </w:pPr>
    </w:p>
    <w:p w14:paraId="660F11ED">
      <w:pPr>
        <w:pStyle w:val="17"/>
        <w:ind w:firstLine="422"/>
        <w:rPr>
          <w:bCs/>
          <w:color w:val="auto"/>
          <w:sz w:val="21"/>
          <w:lang w:eastAsia="zh-CN"/>
        </w:rPr>
      </w:pPr>
    </w:p>
    <w:p w14:paraId="6106500B">
      <w:pPr>
        <w:pStyle w:val="6"/>
        <w:rPr>
          <w:b/>
          <w:bCs/>
          <w:color w:val="auto"/>
          <w:lang w:eastAsia="zh-CN"/>
        </w:rPr>
      </w:pPr>
    </w:p>
    <w:p w14:paraId="71011E9C">
      <w:pPr>
        <w:pStyle w:val="7"/>
        <w:rPr>
          <w:b/>
          <w:bCs/>
          <w:color w:val="auto"/>
          <w:sz w:val="21"/>
          <w:szCs w:val="21"/>
          <w:lang w:eastAsia="zh-CN"/>
        </w:rPr>
      </w:pPr>
    </w:p>
    <w:p w14:paraId="3B646FD9">
      <w:pPr>
        <w:pStyle w:val="8"/>
        <w:rPr>
          <w:rFonts w:hint="eastAsia"/>
          <w:b/>
          <w:bCs/>
          <w:color w:val="auto"/>
          <w:sz w:val="21"/>
          <w:szCs w:val="21"/>
          <w:lang w:eastAsia="zh-CN"/>
        </w:rPr>
      </w:pPr>
    </w:p>
    <w:p w14:paraId="7F81BBF6">
      <w:pPr>
        <w:rPr>
          <w:b/>
          <w:bCs/>
          <w:color w:val="auto"/>
          <w:lang w:eastAsia="zh-CN"/>
        </w:rPr>
      </w:pPr>
    </w:p>
    <w:p w14:paraId="37FAF886">
      <w:pPr>
        <w:pStyle w:val="17"/>
        <w:ind w:firstLine="422"/>
        <w:rPr>
          <w:bCs/>
          <w:color w:val="auto"/>
          <w:sz w:val="21"/>
          <w:lang w:eastAsia="zh-CN"/>
        </w:rPr>
      </w:pPr>
    </w:p>
    <w:p w14:paraId="49BF06D2">
      <w:pPr>
        <w:pStyle w:val="6"/>
        <w:rPr>
          <w:b/>
          <w:bCs/>
          <w:color w:val="auto"/>
          <w:lang w:eastAsia="zh-CN"/>
        </w:rPr>
      </w:pPr>
    </w:p>
    <w:p w14:paraId="1A5F5E93">
      <w:pPr>
        <w:pStyle w:val="7"/>
        <w:rPr>
          <w:b/>
          <w:bCs/>
          <w:color w:val="auto"/>
          <w:sz w:val="21"/>
          <w:szCs w:val="21"/>
          <w:lang w:eastAsia="zh-CN"/>
        </w:rPr>
      </w:pPr>
    </w:p>
    <w:p w14:paraId="491C6B86">
      <w:pPr>
        <w:pStyle w:val="8"/>
        <w:rPr>
          <w:rFonts w:hint="eastAsia"/>
          <w:b/>
          <w:bCs/>
          <w:color w:val="auto"/>
          <w:sz w:val="21"/>
          <w:szCs w:val="21"/>
          <w:lang w:eastAsia="zh-CN"/>
        </w:rPr>
      </w:pPr>
    </w:p>
    <w:p w14:paraId="359AB709">
      <w:pPr>
        <w:rPr>
          <w:b/>
          <w:bCs/>
          <w:color w:val="auto"/>
          <w:lang w:eastAsia="zh-CN"/>
        </w:rPr>
      </w:pPr>
    </w:p>
    <w:p w14:paraId="78755434">
      <w:pPr>
        <w:pStyle w:val="17"/>
        <w:ind w:firstLine="422"/>
        <w:rPr>
          <w:bCs/>
          <w:color w:val="auto"/>
          <w:sz w:val="21"/>
          <w:lang w:eastAsia="zh-CN"/>
        </w:rPr>
      </w:pPr>
    </w:p>
    <w:p w14:paraId="19E70269">
      <w:pPr>
        <w:pStyle w:val="6"/>
        <w:rPr>
          <w:b/>
          <w:bCs/>
          <w:color w:val="auto"/>
          <w:lang w:eastAsia="zh-CN"/>
        </w:rPr>
      </w:pPr>
    </w:p>
    <w:p w14:paraId="51C551AA">
      <w:pPr>
        <w:pStyle w:val="7"/>
        <w:rPr>
          <w:b/>
          <w:bCs/>
          <w:color w:val="auto"/>
          <w:sz w:val="21"/>
          <w:szCs w:val="21"/>
          <w:lang w:eastAsia="zh-CN"/>
        </w:rPr>
      </w:pPr>
    </w:p>
    <w:p w14:paraId="723E2226">
      <w:pPr>
        <w:pStyle w:val="8"/>
        <w:rPr>
          <w:rFonts w:hint="eastAsia"/>
          <w:b/>
          <w:bCs/>
          <w:color w:val="auto"/>
          <w:sz w:val="21"/>
          <w:szCs w:val="21"/>
          <w:lang w:eastAsia="zh-CN"/>
        </w:rPr>
      </w:pPr>
    </w:p>
    <w:p w14:paraId="53646A88">
      <w:pPr>
        <w:rPr>
          <w:b/>
          <w:bCs/>
          <w:color w:val="auto"/>
          <w:lang w:eastAsia="zh-CN"/>
        </w:rPr>
      </w:pPr>
    </w:p>
    <w:p w14:paraId="1C9066FF">
      <w:pPr>
        <w:pStyle w:val="17"/>
        <w:ind w:firstLine="422"/>
        <w:rPr>
          <w:bCs/>
          <w:color w:val="auto"/>
          <w:sz w:val="21"/>
          <w:lang w:eastAsia="zh-CN"/>
        </w:rPr>
      </w:pPr>
    </w:p>
    <w:p w14:paraId="300760BC">
      <w:pPr>
        <w:pStyle w:val="6"/>
        <w:rPr>
          <w:b/>
          <w:bCs/>
          <w:color w:val="auto"/>
          <w:lang w:eastAsia="zh-CN"/>
        </w:rPr>
      </w:pPr>
    </w:p>
    <w:p w14:paraId="6A70CB88">
      <w:pPr>
        <w:pStyle w:val="7"/>
        <w:rPr>
          <w:b/>
          <w:bCs/>
          <w:color w:val="auto"/>
          <w:sz w:val="21"/>
          <w:szCs w:val="21"/>
          <w:lang w:eastAsia="zh-CN"/>
        </w:rPr>
      </w:pPr>
    </w:p>
    <w:p w14:paraId="5E304467">
      <w:pPr>
        <w:pStyle w:val="8"/>
        <w:rPr>
          <w:rFonts w:hint="eastAsia"/>
          <w:b/>
          <w:bCs/>
          <w:color w:val="auto"/>
          <w:sz w:val="21"/>
          <w:szCs w:val="21"/>
          <w:lang w:eastAsia="zh-CN"/>
        </w:rPr>
      </w:pPr>
    </w:p>
    <w:p w14:paraId="6A75FA3C">
      <w:pPr>
        <w:rPr>
          <w:b/>
          <w:bCs/>
          <w:color w:val="auto"/>
          <w:lang w:eastAsia="zh-CN"/>
        </w:rPr>
      </w:pPr>
    </w:p>
    <w:p w14:paraId="4496CF09">
      <w:pPr>
        <w:pStyle w:val="6"/>
        <w:ind w:firstLine="0"/>
        <w:rPr>
          <w:color w:val="auto"/>
          <w:lang w:eastAsia="zh-CN"/>
        </w:rPr>
      </w:pPr>
    </w:p>
    <w:sectPr>
      <w:headerReference r:id="rId3" w:type="default"/>
      <w:pgSz w:w="23820" w:h="16840" w:orient="landscape"/>
      <w:pgMar w:top="1800" w:right="1440" w:bottom="1800" w:left="144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DejaVu Sans"/>
    <w:panose1 w:val="02020603050405020304"/>
    <w:charset w:val="88"/>
    <w:family w:val="auto"/>
    <w:pitch w:val="default"/>
    <w:sig w:usb0="00000000" w:usb1="00000000" w:usb2="00000009" w:usb3="00000000" w:csb0="400001FF" w:csb1="FFFF0000"/>
  </w:font>
  <w:font w:name="宋体">
    <w:altName w:val="方正书宋_GBK"/>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altName w:val="DejaVu Sans"/>
    <w:panose1 w:val="020B0604020202020204"/>
    <w:charset w:val="01"/>
    <w:family w:val="swiss"/>
    <w:pitch w:val="default"/>
    <w:sig w:usb0="E0002AFF" w:usb1="C0007843" w:usb2="00000009" w:usb3="00000000" w:csb0="400001FF" w:csb1="FFFF0000"/>
  </w:font>
  <w:font w:name="黑体">
    <w:altName w:val="方正黑体_GBK"/>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panose1 w:val="02000609000000000000"/>
    <w:charset w:val="02"/>
    <w:family w:val="roman"/>
    <w:pitch w:val="default"/>
    <w:sig w:usb0="800000AF" w:usb1="4000204A" w:usb2="00000000" w:usb3="00000000" w:csb0="20000000" w:csb1="00000000"/>
  </w:font>
  <w:font w:name="DejaVu Sans">
    <w:panose1 w:val="020B0603030804020204"/>
    <w:charset w:val="00"/>
    <w:family w:val="auto"/>
    <w:pitch w:val="default"/>
    <w:sig w:usb0="E7006EFF" w:usb1="D200FDFF" w:usb2="0A246029" w:usb3="0400200C" w:csb0="600001FF" w:csb1="DFFF0000"/>
  </w:font>
  <w:font w:name="Calibri">
    <w:altName w:val="DejaVu Sans"/>
    <w:panose1 w:val="020F0502020204030204"/>
    <w:charset w:val="00"/>
    <w:family w:val="swiss"/>
    <w:pitch w:val="default"/>
    <w:sig w:usb0="00000000" w:usb1="00000000" w:usb2="00000001" w:usb3="00000000" w:csb0="0000019F" w:csb1="00000000"/>
  </w:font>
  <w:font w:name="方正书宋_GBK">
    <w:panose1 w:val="02000000000000000000"/>
    <w:charset w:val="86"/>
    <w:family w:val="auto"/>
    <w:pitch w:val="default"/>
    <w:sig w:usb0="00000001" w:usb1="08000000" w:usb2="00000000" w:usb3="00000000" w:csb0="00040000" w:csb1="00000000"/>
  </w:font>
  <w:font w:name="方正黑体_GBK">
    <w:panose1 w:val="02000000000000000000"/>
    <w:charset w:val="86"/>
    <w:family w:val="auto"/>
    <w:pitch w:val="default"/>
    <w:sig w:usb0="00000001" w:usb1="08000000" w:usb2="00000000" w:usb3="00000000" w:csb0="00040000" w:csb1="00000000"/>
  </w:font>
  <w:font w:name="仿宋_GB2312">
    <w:panose1 w:val="02010609030101010101"/>
    <w:charset w:val="86"/>
    <w:family w:val="modern"/>
    <w:pitch w:val="default"/>
    <w:sig w:usb0="00000001" w:usb1="080E0000" w:usb2="00000000" w:usb3="00000000" w:csb0="00040000" w:csb1="00000000"/>
  </w:font>
  <w:font w:name="文泉驿微米黑">
    <w:panose1 w:val="020B0606030804020204"/>
    <w:charset w:val="86"/>
    <w:family w:val="auto"/>
    <w:pitch w:val="default"/>
    <w:sig w:usb0="E10002EF" w:usb1="6BDFFCFB" w:usb2="00800036" w:usb3="00000000" w:csb0="603E019F" w:csb1="DFD7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3B21C20">
    <w:pPr>
      <w:spacing w:line="14" w:lineRule="auto"/>
      <w:rPr>
        <w:sz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7C511C8"/>
    <w:multiLevelType w:val="singleLevel"/>
    <w:tmpl w:val="87C511C8"/>
    <w:lvl w:ilvl="0" w:tentative="0">
      <w:start w:val="1"/>
      <w:numFmt w:val="chineseCounting"/>
      <w:suff w:val="nothing"/>
      <w:lvlText w:val="%1、"/>
      <w:lvlJc w:val="left"/>
      <w:rPr>
        <w:rFonts w:hint="eastAsia"/>
      </w:rPr>
    </w:lvl>
  </w:abstractNum>
  <w:abstractNum w:abstractNumId="1">
    <w:nsid w:val="BE740288"/>
    <w:multiLevelType w:val="singleLevel"/>
    <w:tmpl w:val="BE740288"/>
    <w:lvl w:ilvl="0" w:tentative="0">
      <w:start w:val="1"/>
      <w:numFmt w:val="chineseCounting"/>
      <w:suff w:val="nothing"/>
      <w:lvlText w:val="%1、"/>
      <w:lvlJc w:val="left"/>
      <w:rPr>
        <w:rFonts w:hint="eastAsia"/>
      </w:rPr>
    </w:lvl>
  </w:abstractNum>
  <w:abstractNum w:abstractNumId="2">
    <w:nsid w:val="FFFEBFD0"/>
    <w:multiLevelType w:val="singleLevel"/>
    <w:tmpl w:val="FFFEBFD0"/>
    <w:lvl w:ilvl="0" w:tentative="0">
      <w:start w:val="1"/>
      <w:numFmt w:val="decimal"/>
      <w:suff w:val="nothing"/>
      <w:lvlText w:val="%1、"/>
      <w:lvlJc w:val="left"/>
    </w:lvl>
  </w:abstractNum>
  <w:abstractNum w:abstractNumId="3">
    <w:nsid w:val="427A2823"/>
    <w:multiLevelType w:val="singleLevel"/>
    <w:tmpl w:val="427A2823"/>
    <w:lvl w:ilvl="0" w:tentative="0">
      <w:start w:val="1"/>
      <w:numFmt w:val="decimal"/>
      <w:suff w:val="nothing"/>
      <w:lvlText w:val="%1、"/>
      <w:lvlJc w:val="left"/>
    </w:lvl>
  </w:abstractNum>
  <w:abstractNum w:abstractNumId="4">
    <w:nsid w:val="59F3A391"/>
    <w:multiLevelType w:val="singleLevel"/>
    <w:tmpl w:val="59F3A391"/>
    <w:lvl w:ilvl="0" w:tentative="0">
      <w:start w:val="3"/>
      <w:numFmt w:val="decimal"/>
      <w:lvlText w:val="%1、"/>
      <w:lvlJc w:val="left"/>
    </w:lvl>
  </w:abstractNum>
  <w:num w:numId="1">
    <w:abstractNumId w:val="4"/>
  </w:num>
  <w:num w:numId="2">
    <w:abstractNumId w:val="2"/>
  </w:num>
  <w:num w:numId="3">
    <w:abstractNumId w:val="0"/>
  </w:num>
  <w:num w:numId="4">
    <w:abstractNumId w:val="1"/>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removePersonalInformation/>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mM1OTMyYmVkNDBiZGZjOTJjNzg0ZTljMGM2NGM1NWEifQ=="/>
  </w:docVars>
  <w:rsids>
    <w:rsidRoot w:val="F32BEA20"/>
    <w:rsid w:val="00006865"/>
    <w:rsid w:val="000B7219"/>
    <w:rsid w:val="000E7E1A"/>
    <w:rsid w:val="00286B4D"/>
    <w:rsid w:val="002A1595"/>
    <w:rsid w:val="00303362"/>
    <w:rsid w:val="00313BC9"/>
    <w:rsid w:val="00370CD3"/>
    <w:rsid w:val="00373E3B"/>
    <w:rsid w:val="00390BB6"/>
    <w:rsid w:val="003B70E8"/>
    <w:rsid w:val="00477ADE"/>
    <w:rsid w:val="00491D0C"/>
    <w:rsid w:val="004A65F7"/>
    <w:rsid w:val="004B24BC"/>
    <w:rsid w:val="004E2372"/>
    <w:rsid w:val="004E3009"/>
    <w:rsid w:val="00502A07"/>
    <w:rsid w:val="005066DE"/>
    <w:rsid w:val="00541D04"/>
    <w:rsid w:val="005827BC"/>
    <w:rsid w:val="005923A3"/>
    <w:rsid w:val="00633781"/>
    <w:rsid w:val="00691DDF"/>
    <w:rsid w:val="006A5F7B"/>
    <w:rsid w:val="006F31B1"/>
    <w:rsid w:val="006F51A9"/>
    <w:rsid w:val="007217F7"/>
    <w:rsid w:val="007368BA"/>
    <w:rsid w:val="007A59F0"/>
    <w:rsid w:val="007E0ED9"/>
    <w:rsid w:val="00833A74"/>
    <w:rsid w:val="008F78A6"/>
    <w:rsid w:val="00931AA9"/>
    <w:rsid w:val="009F1F12"/>
    <w:rsid w:val="00A22C06"/>
    <w:rsid w:val="00A50927"/>
    <w:rsid w:val="00A5171D"/>
    <w:rsid w:val="00A87052"/>
    <w:rsid w:val="00AB0786"/>
    <w:rsid w:val="00AE750C"/>
    <w:rsid w:val="00B01454"/>
    <w:rsid w:val="00B038DF"/>
    <w:rsid w:val="00BD5D1A"/>
    <w:rsid w:val="00BF21A4"/>
    <w:rsid w:val="00C16242"/>
    <w:rsid w:val="00C17B63"/>
    <w:rsid w:val="00C316D2"/>
    <w:rsid w:val="00C3624A"/>
    <w:rsid w:val="00C451DB"/>
    <w:rsid w:val="00CC77D7"/>
    <w:rsid w:val="00CE02A4"/>
    <w:rsid w:val="00DC60BB"/>
    <w:rsid w:val="00E52E48"/>
    <w:rsid w:val="00E6065C"/>
    <w:rsid w:val="00EE0FE9"/>
    <w:rsid w:val="00FC4822"/>
    <w:rsid w:val="00FC4D10"/>
    <w:rsid w:val="00FD664B"/>
    <w:rsid w:val="03A013D6"/>
    <w:rsid w:val="048A00D3"/>
    <w:rsid w:val="057D44CE"/>
    <w:rsid w:val="06C821FD"/>
    <w:rsid w:val="082A6B65"/>
    <w:rsid w:val="0BA77990"/>
    <w:rsid w:val="0C1952C5"/>
    <w:rsid w:val="0C3E5484"/>
    <w:rsid w:val="0C667421"/>
    <w:rsid w:val="0DC65797"/>
    <w:rsid w:val="0EB613A6"/>
    <w:rsid w:val="0ED56EC0"/>
    <w:rsid w:val="0F586024"/>
    <w:rsid w:val="0F5A68DD"/>
    <w:rsid w:val="0F751969"/>
    <w:rsid w:val="105E41AB"/>
    <w:rsid w:val="11022343"/>
    <w:rsid w:val="124473D0"/>
    <w:rsid w:val="12E34E3B"/>
    <w:rsid w:val="134623CD"/>
    <w:rsid w:val="143771ED"/>
    <w:rsid w:val="147D37AB"/>
    <w:rsid w:val="156D4BDD"/>
    <w:rsid w:val="15B14A3E"/>
    <w:rsid w:val="15FF1630"/>
    <w:rsid w:val="18BF5A03"/>
    <w:rsid w:val="194B4765"/>
    <w:rsid w:val="19E72720"/>
    <w:rsid w:val="1A9802E9"/>
    <w:rsid w:val="1C2C74F4"/>
    <w:rsid w:val="1C4B6F18"/>
    <w:rsid w:val="1D8D4321"/>
    <w:rsid w:val="1E1C7453"/>
    <w:rsid w:val="1E1F0720"/>
    <w:rsid w:val="1E2B108C"/>
    <w:rsid w:val="1EFF8184"/>
    <w:rsid w:val="20DF4E94"/>
    <w:rsid w:val="21246617"/>
    <w:rsid w:val="23C605C8"/>
    <w:rsid w:val="294F38FB"/>
    <w:rsid w:val="296F3171"/>
    <w:rsid w:val="2B2E52F6"/>
    <w:rsid w:val="2C5448FB"/>
    <w:rsid w:val="2CE67BCF"/>
    <w:rsid w:val="2DF789B1"/>
    <w:rsid w:val="2F7C5FA4"/>
    <w:rsid w:val="30430E22"/>
    <w:rsid w:val="30791DC5"/>
    <w:rsid w:val="309D2676"/>
    <w:rsid w:val="3116294B"/>
    <w:rsid w:val="315E33BB"/>
    <w:rsid w:val="33574D5E"/>
    <w:rsid w:val="347F27BE"/>
    <w:rsid w:val="359104CA"/>
    <w:rsid w:val="36F558A1"/>
    <w:rsid w:val="388157A3"/>
    <w:rsid w:val="39AC56D7"/>
    <w:rsid w:val="3A0D65C1"/>
    <w:rsid w:val="3B895CD0"/>
    <w:rsid w:val="3B9F11A4"/>
    <w:rsid w:val="3C6D114E"/>
    <w:rsid w:val="3D5CBD80"/>
    <w:rsid w:val="3E23240C"/>
    <w:rsid w:val="3E5A3954"/>
    <w:rsid w:val="3EDF101F"/>
    <w:rsid w:val="3EFF19E8"/>
    <w:rsid w:val="3F5AB3C8"/>
    <w:rsid w:val="3FAA26B9"/>
    <w:rsid w:val="3FB61CF4"/>
    <w:rsid w:val="3FDE82F7"/>
    <w:rsid w:val="3FEBE777"/>
    <w:rsid w:val="3FEEE65F"/>
    <w:rsid w:val="436C43ED"/>
    <w:rsid w:val="442137A7"/>
    <w:rsid w:val="445F194D"/>
    <w:rsid w:val="4473751E"/>
    <w:rsid w:val="44AB2B78"/>
    <w:rsid w:val="4545333A"/>
    <w:rsid w:val="455A5044"/>
    <w:rsid w:val="46114B8D"/>
    <w:rsid w:val="46340F2E"/>
    <w:rsid w:val="47FFDCAD"/>
    <w:rsid w:val="492D275E"/>
    <w:rsid w:val="49920446"/>
    <w:rsid w:val="4B755146"/>
    <w:rsid w:val="4DF940F1"/>
    <w:rsid w:val="4EF61F46"/>
    <w:rsid w:val="4F144C49"/>
    <w:rsid w:val="4F7D6FC2"/>
    <w:rsid w:val="53A71407"/>
    <w:rsid w:val="53BF7232"/>
    <w:rsid w:val="53FA37B7"/>
    <w:rsid w:val="55B54A87"/>
    <w:rsid w:val="55C458F9"/>
    <w:rsid w:val="57BF3926"/>
    <w:rsid w:val="58F6C121"/>
    <w:rsid w:val="59FF9E14"/>
    <w:rsid w:val="5A7F5BBF"/>
    <w:rsid w:val="5A95621E"/>
    <w:rsid w:val="5BD56184"/>
    <w:rsid w:val="5BFF5FD2"/>
    <w:rsid w:val="5C2C297C"/>
    <w:rsid w:val="5CE8183E"/>
    <w:rsid w:val="5CEBF368"/>
    <w:rsid w:val="5D105DFA"/>
    <w:rsid w:val="5DBF5DC0"/>
    <w:rsid w:val="5DEF1908"/>
    <w:rsid w:val="5DFB03BE"/>
    <w:rsid w:val="5F7D427D"/>
    <w:rsid w:val="5FFF8E82"/>
    <w:rsid w:val="605C104D"/>
    <w:rsid w:val="60600D3A"/>
    <w:rsid w:val="60BF0862"/>
    <w:rsid w:val="62ED14D2"/>
    <w:rsid w:val="62F258D7"/>
    <w:rsid w:val="642D255B"/>
    <w:rsid w:val="647C0161"/>
    <w:rsid w:val="64816526"/>
    <w:rsid w:val="6488096B"/>
    <w:rsid w:val="65A74E21"/>
    <w:rsid w:val="65AE16E3"/>
    <w:rsid w:val="663F14FE"/>
    <w:rsid w:val="6AB67932"/>
    <w:rsid w:val="6BB54295"/>
    <w:rsid w:val="6BB67460"/>
    <w:rsid w:val="6C787517"/>
    <w:rsid w:val="6CF22E26"/>
    <w:rsid w:val="6DDD333A"/>
    <w:rsid w:val="6E4BC4BD"/>
    <w:rsid w:val="6EB57665"/>
    <w:rsid w:val="6EF748F5"/>
    <w:rsid w:val="6FED22EA"/>
    <w:rsid w:val="72B37FB6"/>
    <w:rsid w:val="73B057E9"/>
    <w:rsid w:val="757F5473"/>
    <w:rsid w:val="75FBCD7E"/>
    <w:rsid w:val="769D02A6"/>
    <w:rsid w:val="7775FFE3"/>
    <w:rsid w:val="777FCD40"/>
    <w:rsid w:val="77B74889"/>
    <w:rsid w:val="798B3D70"/>
    <w:rsid w:val="79EF530B"/>
    <w:rsid w:val="7A1EF845"/>
    <w:rsid w:val="7BEE8661"/>
    <w:rsid w:val="7C35AD77"/>
    <w:rsid w:val="7DA47414"/>
    <w:rsid w:val="7DEB81F6"/>
    <w:rsid w:val="7E7C4598"/>
    <w:rsid w:val="7EDAB6D1"/>
    <w:rsid w:val="7EE42EA4"/>
    <w:rsid w:val="7EEF4D41"/>
    <w:rsid w:val="7F0E0AF5"/>
    <w:rsid w:val="7F343737"/>
    <w:rsid w:val="7F4E2521"/>
    <w:rsid w:val="7F6C422D"/>
    <w:rsid w:val="7F95CD99"/>
    <w:rsid w:val="7FF7B6E4"/>
    <w:rsid w:val="7FFDAF92"/>
    <w:rsid w:val="9B66BCD5"/>
    <w:rsid w:val="AEFB553E"/>
    <w:rsid w:val="BBFB8DC5"/>
    <w:rsid w:val="BED30E48"/>
    <w:rsid w:val="BFEEBC32"/>
    <w:rsid w:val="BFF6FB84"/>
    <w:rsid w:val="D4ED739B"/>
    <w:rsid w:val="D5EF1BBC"/>
    <w:rsid w:val="D75D7127"/>
    <w:rsid w:val="D7B5291F"/>
    <w:rsid w:val="DB5A13CC"/>
    <w:rsid w:val="DCFF6989"/>
    <w:rsid w:val="DFCDF6B7"/>
    <w:rsid w:val="DFFDAC87"/>
    <w:rsid w:val="E30721E7"/>
    <w:rsid w:val="E5F57EB6"/>
    <w:rsid w:val="E5FB5E7F"/>
    <w:rsid w:val="E77D83C5"/>
    <w:rsid w:val="E7EF1F2D"/>
    <w:rsid w:val="E9BF572B"/>
    <w:rsid w:val="EADF10DB"/>
    <w:rsid w:val="EEE7C923"/>
    <w:rsid w:val="EFF210A5"/>
    <w:rsid w:val="F32BEA20"/>
    <w:rsid w:val="F3EF83A9"/>
    <w:rsid w:val="F4DB9A57"/>
    <w:rsid w:val="F77E4E00"/>
    <w:rsid w:val="F79F4D83"/>
    <w:rsid w:val="F7BF3339"/>
    <w:rsid w:val="F7CD419F"/>
    <w:rsid w:val="F7FF7053"/>
    <w:rsid w:val="F7FFACF7"/>
    <w:rsid w:val="F9E7476A"/>
    <w:rsid w:val="FB155492"/>
    <w:rsid w:val="FB6FEA93"/>
    <w:rsid w:val="FB8F55DC"/>
    <w:rsid w:val="FBBE086C"/>
    <w:rsid w:val="FBCF7ABF"/>
    <w:rsid w:val="FCF7F34B"/>
    <w:rsid w:val="FE3F271B"/>
    <w:rsid w:val="FEBFC356"/>
    <w:rsid w:val="FFBCC882"/>
    <w:rsid w:val="FFDFE0A2"/>
    <w:rsid w:val="FFEACDC0"/>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qFormat="1"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qFormat="1"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kinsoku w:val="0"/>
      <w:autoSpaceDE w:val="0"/>
      <w:autoSpaceDN w:val="0"/>
      <w:adjustRightInd w:val="0"/>
      <w:snapToGrid w:val="0"/>
      <w:textAlignment w:val="baseline"/>
    </w:pPr>
    <w:rPr>
      <w:rFonts w:ascii="Arial" w:hAnsi="Arial" w:cs="Arial" w:eastAsiaTheme="minorEastAsia"/>
      <w:snapToGrid w:val="0"/>
      <w:color w:val="000000"/>
      <w:sz w:val="21"/>
      <w:szCs w:val="21"/>
      <w:lang w:val="en-US" w:eastAsia="en-US" w:bidi="ar-SA"/>
    </w:rPr>
  </w:style>
  <w:style w:type="paragraph" w:styleId="2">
    <w:name w:val="heading 1"/>
    <w:basedOn w:val="1"/>
    <w:next w:val="1"/>
    <w:qFormat/>
    <w:uiPriority w:val="0"/>
    <w:pPr>
      <w:spacing w:beforeAutospacing="1" w:afterAutospacing="1"/>
      <w:outlineLvl w:val="0"/>
    </w:pPr>
    <w:rPr>
      <w:rFonts w:hint="eastAsia" w:ascii="宋体" w:hAnsi="宋体" w:eastAsia="宋体" w:cs="Times New Roman"/>
      <w:b/>
      <w:bCs/>
      <w:kern w:val="44"/>
      <w:sz w:val="48"/>
      <w:szCs w:val="48"/>
      <w:lang w:eastAsia="zh-CN"/>
    </w:rPr>
  </w:style>
  <w:style w:type="paragraph" w:styleId="3">
    <w:name w:val="heading 4"/>
    <w:basedOn w:val="1"/>
    <w:next w:val="1"/>
    <w:semiHidden/>
    <w:unhideWhenUsed/>
    <w:qFormat/>
    <w:uiPriority w:val="0"/>
    <w:pPr>
      <w:spacing w:beforeAutospacing="1" w:afterAutospacing="1"/>
      <w:outlineLvl w:val="3"/>
    </w:pPr>
    <w:rPr>
      <w:rFonts w:hint="eastAsia" w:ascii="宋体" w:hAnsi="宋体" w:eastAsia="宋体" w:cs="Times New Roman"/>
      <w:b/>
      <w:bCs/>
      <w:sz w:val="24"/>
      <w:szCs w:val="24"/>
      <w:lang w:eastAsia="zh-CN"/>
    </w:rPr>
  </w:style>
  <w:style w:type="paragraph" w:styleId="4">
    <w:name w:val="heading 5"/>
    <w:basedOn w:val="1"/>
    <w:next w:val="1"/>
    <w:semiHidden/>
    <w:unhideWhenUsed/>
    <w:qFormat/>
    <w:uiPriority w:val="0"/>
    <w:pPr>
      <w:spacing w:beforeAutospacing="1" w:afterAutospacing="1"/>
      <w:outlineLvl w:val="4"/>
    </w:pPr>
    <w:rPr>
      <w:rFonts w:hint="eastAsia" w:ascii="宋体" w:hAnsi="宋体" w:eastAsia="宋体" w:cs="Times New Roman"/>
      <w:b/>
      <w:bCs/>
      <w:sz w:val="20"/>
      <w:szCs w:val="20"/>
      <w:lang w:eastAsia="zh-CN"/>
    </w:rPr>
  </w:style>
  <w:style w:type="paragraph" w:styleId="5">
    <w:name w:val="heading 8"/>
    <w:basedOn w:val="1"/>
    <w:next w:val="1"/>
    <w:semiHidden/>
    <w:unhideWhenUsed/>
    <w:qFormat/>
    <w:uiPriority w:val="0"/>
    <w:pPr>
      <w:keepNext/>
      <w:keepLines/>
      <w:spacing w:before="240" w:after="64" w:line="317" w:lineRule="auto"/>
      <w:outlineLvl w:val="7"/>
    </w:pPr>
    <w:rPr>
      <w:rFonts w:eastAsia="黑体"/>
      <w:sz w:val="24"/>
    </w:rPr>
  </w:style>
  <w:style w:type="character" w:default="1" w:styleId="20">
    <w:name w:val="Default Paragraph Font"/>
    <w:semiHidden/>
    <w:unhideWhenUsed/>
    <w:qFormat/>
    <w:uiPriority w:val="1"/>
  </w:style>
  <w:style w:type="table" w:default="1" w:styleId="18">
    <w:name w:val="Normal Table"/>
    <w:semiHidden/>
    <w:unhideWhenUsed/>
    <w:qFormat/>
    <w:uiPriority w:val="99"/>
    <w:tblPr>
      <w:tblCellMar>
        <w:top w:w="0" w:type="dxa"/>
        <w:left w:w="108" w:type="dxa"/>
        <w:bottom w:w="0" w:type="dxa"/>
        <w:right w:w="108" w:type="dxa"/>
      </w:tblCellMar>
    </w:tblPr>
  </w:style>
  <w:style w:type="paragraph" w:styleId="6">
    <w:name w:val="Normal Indent"/>
    <w:basedOn w:val="1"/>
    <w:next w:val="7"/>
    <w:qFormat/>
    <w:uiPriority w:val="0"/>
    <w:pPr>
      <w:ind w:firstLine="420"/>
    </w:pPr>
  </w:style>
  <w:style w:type="paragraph" w:styleId="7">
    <w:name w:val="Body Text 2"/>
    <w:basedOn w:val="1"/>
    <w:next w:val="8"/>
    <w:qFormat/>
    <w:uiPriority w:val="0"/>
    <w:pPr>
      <w:spacing w:line="340" w:lineRule="exact"/>
    </w:pPr>
    <w:rPr>
      <w:rFonts w:ascii="仿宋_GB2312" w:eastAsia="仿宋_GB2312"/>
      <w:sz w:val="28"/>
      <w:szCs w:val="24"/>
    </w:rPr>
  </w:style>
  <w:style w:type="paragraph" w:styleId="8">
    <w:name w:val="Body Text"/>
    <w:basedOn w:val="1"/>
    <w:next w:val="1"/>
    <w:autoRedefine/>
    <w:semiHidden/>
    <w:qFormat/>
    <w:uiPriority w:val="0"/>
    <w:rPr>
      <w:rFonts w:ascii="宋体" w:hAnsi="宋体" w:eastAsia="宋体" w:cs="宋体"/>
      <w:sz w:val="24"/>
      <w:szCs w:val="24"/>
    </w:rPr>
  </w:style>
  <w:style w:type="paragraph" w:styleId="9">
    <w:name w:val="annotation text"/>
    <w:basedOn w:val="1"/>
    <w:link w:val="33"/>
    <w:qFormat/>
    <w:uiPriority w:val="0"/>
  </w:style>
  <w:style w:type="paragraph" w:styleId="10">
    <w:name w:val="Body Text Indent"/>
    <w:basedOn w:val="1"/>
    <w:next w:val="11"/>
    <w:qFormat/>
    <w:uiPriority w:val="0"/>
    <w:pPr>
      <w:spacing w:after="120"/>
      <w:ind w:left="420" w:leftChars="200"/>
      <w:jc w:val="center"/>
    </w:pPr>
    <w:rPr>
      <w:b/>
      <w:sz w:val="31"/>
    </w:rPr>
  </w:style>
  <w:style w:type="paragraph" w:styleId="11">
    <w:name w:val="envelope return"/>
    <w:basedOn w:val="1"/>
    <w:qFormat/>
    <w:uiPriority w:val="0"/>
  </w:style>
  <w:style w:type="paragraph" w:styleId="12">
    <w:name w:val="index 4"/>
    <w:basedOn w:val="1"/>
    <w:next w:val="1"/>
    <w:autoRedefine/>
    <w:qFormat/>
    <w:uiPriority w:val="0"/>
    <w:pPr>
      <w:spacing w:line="360" w:lineRule="auto"/>
      <w:ind w:left="600" w:leftChars="600"/>
    </w:pPr>
    <w:rPr>
      <w:sz w:val="24"/>
      <w:szCs w:val="24"/>
    </w:rPr>
  </w:style>
  <w:style w:type="paragraph" w:styleId="13">
    <w:name w:val="Balloon Text"/>
    <w:basedOn w:val="1"/>
    <w:link w:val="29"/>
    <w:autoRedefine/>
    <w:qFormat/>
    <w:uiPriority w:val="0"/>
    <w:rPr>
      <w:sz w:val="18"/>
      <w:szCs w:val="18"/>
    </w:rPr>
  </w:style>
  <w:style w:type="paragraph" w:styleId="14">
    <w:name w:val="footer"/>
    <w:basedOn w:val="1"/>
    <w:link w:val="28"/>
    <w:autoRedefine/>
    <w:qFormat/>
    <w:uiPriority w:val="0"/>
    <w:pPr>
      <w:tabs>
        <w:tab w:val="center" w:pos="4153"/>
        <w:tab w:val="right" w:pos="8306"/>
      </w:tabs>
    </w:pPr>
    <w:rPr>
      <w:sz w:val="18"/>
      <w:szCs w:val="18"/>
    </w:rPr>
  </w:style>
  <w:style w:type="paragraph" w:styleId="15">
    <w:name w:val="header"/>
    <w:basedOn w:val="1"/>
    <w:link w:val="27"/>
    <w:autoRedefine/>
    <w:qFormat/>
    <w:uiPriority w:val="0"/>
    <w:pPr>
      <w:pBdr>
        <w:bottom w:val="single" w:color="auto" w:sz="6" w:space="1"/>
      </w:pBdr>
      <w:tabs>
        <w:tab w:val="center" w:pos="4153"/>
        <w:tab w:val="right" w:pos="8306"/>
      </w:tabs>
      <w:jc w:val="center"/>
    </w:pPr>
    <w:rPr>
      <w:sz w:val="18"/>
      <w:szCs w:val="18"/>
    </w:rPr>
  </w:style>
  <w:style w:type="paragraph" w:styleId="16">
    <w:name w:val="annotation subject"/>
    <w:basedOn w:val="9"/>
    <w:next w:val="9"/>
    <w:link w:val="34"/>
    <w:qFormat/>
    <w:uiPriority w:val="0"/>
    <w:rPr>
      <w:b/>
      <w:bCs/>
    </w:rPr>
  </w:style>
  <w:style w:type="paragraph" w:styleId="17">
    <w:name w:val="Body Text First Indent 2"/>
    <w:basedOn w:val="10"/>
    <w:next w:val="6"/>
    <w:qFormat/>
    <w:uiPriority w:val="0"/>
    <w:pPr>
      <w:ind w:firstLine="420" w:firstLineChars="200"/>
    </w:pPr>
  </w:style>
  <w:style w:type="table" w:styleId="19">
    <w:name w:val="Table Grid"/>
    <w:basedOn w:val="18"/>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1">
    <w:name w:val="Strong"/>
    <w:basedOn w:val="20"/>
    <w:qFormat/>
    <w:uiPriority w:val="0"/>
    <w:rPr>
      <w:b/>
    </w:rPr>
  </w:style>
  <w:style w:type="character" w:styleId="22">
    <w:name w:val="Hyperlink"/>
    <w:basedOn w:val="20"/>
    <w:qFormat/>
    <w:uiPriority w:val="0"/>
    <w:rPr>
      <w:color w:val="0000FF"/>
      <w:u w:val="single"/>
    </w:rPr>
  </w:style>
  <w:style w:type="character" w:styleId="23">
    <w:name w:val="annotation reference"/>
    <w:basedOn w:val="20"/>
    <w:qFormat/>
    <w:uiPriority w:val="0"/>
    <w:rPr>
      <w:sz w:val="21"/>
      <w:szCs w:val="21"/>
    </w:rPr>
  </w:style>
  <w:style w:type="paragraph" w:customStyle="1" w:styleId="24">
    <w:name w:val="Table Text"/>
    <w:basedOn w:val="1"/>
    <w:autoRedefine/>
    <w:semiHidden/>
    <w:qFormat/>
    <w:uiPriority w:val="0"/>
    <w:rPr>
      <w:rFonts w:ascii="宋体" w:hAnsi="宋体" w:eastAsia="宋体" w:cs="宋体"/>
      <w:sz w:val="28"/>
      <w:szCs w:val="28"/>
    </w:rPr>
  </w:style>
  <w:style w:type="table" w:customStyle="1" w:styleId="25">
    <w:name w:val="Table Normal"/>
    <w:autoRedefine/>
    <w:semiHidden/>
    <w:unhideWhenUsed/>
    <w:qFormat/>
    <w:uiPriority w:val="0"/>
    <w:tblPr>
      <w:tblCellMar>
        <w:top w:w="0" w:type="dxa"/>
        <w:left w:w="0" w:type="dxa"/>
        <w:bottom w:w="0" w:type="dxa"/>
        <w:right w:w="0" w:type="dxa"/>
      </w:tblCellMar>
    </w:tblPr>
  </w:style>
  <w:style w:type="paragraph" w:customStyle="1" w:styleId="26">
    <w:name w:val="Default"/>
    <w:autoRedefine/>
    <w:qFormat/>
    <w:uiPriority w:val="0"/>
    <w:pPr>
      <w:widowControl w:val="0"/>
      <w:autoSpaceDE w:val="0"/>
      <w:autoSpaceDN w:val="0"/>
      <w:adjustRightInd w:val="0"/>
    </w:pPr>
    <w:rPr>
      <w:rFonts w:ascii="宋体" w:eastAsia="宋体" w:cs="宋体" w:hAnsiTheme="minorHAnsi"/>
      <w:color w:val="000000"/>
      <w:sz w:val="24"/>
      <w:szCs w:val="24"/>
      <w:lang w:val="en-US" w:eastAsia="zh-CN" w:bidi="ar-SA"/>
    </w:rPr>
  </w:style>
  <w:style w:type="character" w:customStyle="1" w:styleId="27">
    <w:name w:val="页眉 字符"/>
    <w:basedOn w:val="20"/>
    <w:link w:val="15"/>
    <w:autoRedefine/>
    <w:qFormat/>
    <w:uiPriority w:val="0"/>
    <w:rPr>
      <w:rFonts w:ascii="Arial" w:hAnsi="Arial" w:cs="Arial"/>
      <w:snapToGrid w:val="0"/>
      <w:color w:val="000000"/>
      <w:sz w:val="18"/>
      <w:szCs w:val="18"/>
      <w:lang w:eastAsia="en-US"/>
    </w:rPr>
  </w:style>
  <w:style w:type="character" w:customStyle="1" w:styleId="28">
    <w:name w:val="页脚 字符"/>
    <w:basedOn w:val="20"/>
    <w:link w:val="14"/>
    <w:autoRedefine/>
    <w:qFormat/>
    <w:uiPriority w:val="0"/>
    <w:rPr>
      <w:rFonts w:ascii="Arial" w:hAnsi="Arial" w:cs="Arial"/>
      <w:snapToGrid w:val="0"/>
      <w:color w:val="000000"/>
      <w:sz w:val="18"/>
      <w:szCs w:val="18"/>
      <w:lang w:eastAsia="en-US"/>
    </w:rPr>
  </w:style>
  <w:style w:type="character" w:customStyle="1" w:styleId="29">
    <w:name w:val="批注框文本 字符"/>
    <w:basedOn w:val="20"/>
    <w:link w:val="13"/>
    <w:autoRedefine/>
    <w:qFormat/>
    <w:uiPriority w:val="0"/>
    <w:rPr>
      <w:rFonts w:ascii="Arial" w:hAnsi="Arial" w:cs="Arial"/>
      <w:snapToGrid w:val="0"/>
      <w:color w:val="000000"/>
      <w:sz w:val="18"/>
      <w:szCs w:val="18"/>
      <w:lang w:eastAsia="en-US"/>
    </w:rPr>
  </w:style>
  <w:style w:type="paragraph" w:customStyle="1" w:styleId="30">
    <w:name w:val="null3"/>
    <w:hidden/>
    <w:qFormat/>
    <w:uiPriority w:val="0"/>
    <w:rPr>
      <w:rFonts w:hint="eastAsia" w:asciiTheme="minorHAnsi" w:hAnsiTheme="minorHAnsi" w:eastAsiaTheme="minorEastAsia" w:cstheme="minorBidi"/>
      <w:lang w:val="en-US" w:eastAsia="zh-Hans" w:bidi="ar-SA"/>
    </w:rPr>
  </w:style>
  <w:style w:type="paragraph" w:customStyle="1" w:styleId="31">
    <w:name w:val="修订1"/>
    <w:hidden/>
    <w:unhideWhenUsed/>
    <w:qFormat/>
    <w:uiPriority w:val="99"/>
    <w:rPr>
      <w:rFonts w:ascii="Arial" w:hAnsi="Arial" w:cs="Arial" w:eastAsiaTheme="minorEastAsia"/>
      <w:snapToGrid w:val="0"/>
      <w:color w:val="000000"/>
      <w:sz w:val="21"/>
      <w:szCs w:val="21"/>
      <w:lang w:val="en-US" w:eastAsia="en-US" w:bidi="ar-SA"/>
    </w:rPr>
  </w:style>
  <w:style w:type="paragraph" w:customStyle="1" w:styleId="32">
    <w:name w:val="修订2"/>
    <w:hidden/>
    <w:unhideWhenUsed/>
    <w:qFormat/>
    <w:uiPriority w:val="99"/>
    <w:rPr>
      <w:rFonts w:ascii="Arial" w:hAnsi="Arial" w:cs="Arial" w:eastAsiaTheme="minorEastAsia"/>
      <w:snapToGrid w:val="0"/>
      <w:color w:val="000000"/>
      <w:sz w:val="21"/>
      <w:szCs w:val="21"/>
      <w:lang w:val="en-US" w:eastAsia="en-US" w:bidi="ar-SA"/>
    </w:rPr>
  </w:style>
  <w:style w:type="character" w:customStyle="1" w:styleId="33">
    <w:name w:val="批注文字 字符"/>
    <w:basedOn w:val="20"/>
    <w:link w:val="9"/>
    <w:qFormat/>
    <w:uiPriority w:val="0"/>
    <w:rPr>
      <w:rFonts w:ascii="Arial" w:hAnsi="Arial" w:cs="Arial" w:eastAsiaTheme="minorEastAsia"/>
      <w:snapToGrid w:val="0"/>
      <w:color w:val="000000"/>
      <w:sz w:val="21"/>
      <w:szCs w:val="21"/>
      <w:lang w:eastAsia="en-US"/>
    </w:rPr>
  </w:style>
  <w:style w:type="character" w:customStyle="1" w:styleId="34">
    <w:name w:val="批注主题 字符"/>
    <w:basedOn w:val="33"/>
    <w:link w:val="16"/>
    <w:qFormat/>
    <w:uiPriority w:val="0"/>
    <w:rPr>
      <w:rFonts w:ascii="Arial" w:hAnsi="Arial" w:cs="Arial" w:eastAsiaTheme="minorEastAsia"/>
      <w:b/>
      <w:bCs/>
      <w:snapToGrid w:val="0"/>
      <w:color w:val="000000"/>
      <w:sz w:val="21"/>
      <w:szCs w:val="21"/>
      <w:lang w:eastAsia="en-US"/>
    </w:rPr>
  </w:style>
  <w:style w:type="paragraph" w:customStyle="1" w:styleId="35">
    <w:name w:val="Revision"/>
    <w:hidden/>
    <w:unhideWhenUsed/>
    <w:qFormat/>
    <w:uiPriority w:val="99"/>
    <w:rPr>
      <w:rFonts w:ascii="Arial" w:hAnsi="Arial" w:cs="Arial" w:eastAsiaTheme="minorEastAsia"/>
      <w:snapToGrid w:val="0"/>
      <w:color w:val="000000"/>
      <w:sz w:val="21"/>
      <w:szCs w:val="21"/>
      <w:lang w:val="en-US" w:eastAsia="en-US"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numbering" Target="numbering.xml"/><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12</Pages>
  <Words>8451</Words>
  <Characters>11144</Characters>
  <Lines>75</Lines>
  <Paragraphs>21</Paragraphs>
  <TotalTime>34</TotalTime>
  <ScaleCrop>false</ScaleCrop>
  <LinksUpToDate>false</LinksUpToDate>
  <CharactersWithSpaces>11493</CharactersWithSpaces>
  <Application>WPS Office_12.8.2.1118_F1E327BC-269C-435d-A152-05C5408002CA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2025-10-17T09:02:00Z</dcterms:created>
  <dcterms:modified xsi:type="dcterms:W3CDTF">2025-10-29T15:30:58Z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2052-12.8.2.1118</vt:lpwstr>
  </property>
  <property fmtid="{D5CDD505-2E9C-101B-9397-08002B2CF9AE}" pid="3" name="ICV">
    <vt:lpwstr>FDECF4A88E88186986EBFA686A939D52_43</vt:lpwstr>
  </property>
  <property fmtid="{D5CDD505-2E9C-101B-9397-08002B2CF9AE}" pid="4" name="KSOTemplateDocerSaveRecord">
    <vt:lpwstr>eyJoZGlkIjoiNGQ2NTMzMGM2OGFmNzU1NDljMTJlMzk5NzNlOTEzN2EiLCJ1c2VySWQiOiIyNjA2MDEyNTgifQ==</vt:lpwstr>
  </property>
</Properties>
</file>