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jc w:val="center"/>
        <w:rPr>
          <w:rFonts w:hint="eastAsia" w:asciiTheme="majorEastAsia" w:hAnsiTheme="majorEastAsia" w:eastAsiaTheme="majorEastAsia" w:cstheme="majorEastAsia"/>
          <w:b/>
          <w:bCs/>
          <w:color w:val="auto"/>
          <w:highlight w:val="none"/>
          <w:lang w:val="zh-CN"/>
        </w:rPr>
      </w:pPr>
      <w:r>
        <w:rPr>
          <w:rFonts w:hint="eastAsia" w:asciiTheme="majorEastAsia" w:hAnsiTheme="majorEastAsia" w:eastAsiaTheme="majorEastAsia" w:cstheme="majorEastAsia"/>
          <w:b/>
          <w:bCs/>
          <w:color w:val="auto"/>
          <w:highlight w:val="none"/>
          <w:lang w:val="zh-CN"/>
        </w:rPr>
        <w:t>上海市公共卫生临床中心购UPS不间断电源采购需求</w:t>
      </w:r>
    </w:p>
    <w:p>
      <w:pPr>
        <w:pStyle w:val="3"/>
        <w:rPr>
          <w:color w:val="auto"/>
          <w:highlight w:val="none"/>
        </w:rPr>
      </w:pPr>
      <w:bookmarkStart w:id="0" w:name="_Toc6907"/>
      <w:bookmarkStart w:id="1" w:name="_Toc10261"/>
      <w:bookmarkStart w:id="2" w:name="_Toc133482175"/>
      <w:bookmarkStart w:id="3" w:name="_Toc8890"/>
      <w:bookmarkStart w:id="4" w:name="_Toc1278"/>
      <w:bookmarkStart w:id="5" w:name="_Toc29152"/>
      <w:r>
        <w:rPr>
          <w:rFonts w:hint="eastAsia"/>
          <w:color w:val="auto"/>
          <w:highlight w:val="none"/>
        </w:rPr>
        <w:t>一、项目概述</w:t>
      </w:r>
      <w:bookmarkEnd w:id="0"/>
      <w:bookmarkEnd w:id="1"/>
      <w:bookmarkEnd w:id="2"/>
      <w:bookmarkEnd w:id="3"/>
      <w:bookmarkEnd w:id="4"/>
    </w:p>
    <w:p>
      <w:pPr>
        <w:pStyle w:val="4"/>
        <w:numPr>
          <w:ilvl w:val="1"/>
          <w:numId w:val="2"/>
        </w:numPr>
        <w:rPr>
          <w:color w:val="auto"/>
          <w:highlight w:val="none"/>
        </w:rPr>
      </w:pPr>
      <w:r>
        <w:rPr>
          <w:rFonts w:hint="eastAsia"/>
          <w:color w:val="auto"/>
          <w:highlight w:val="none"/>
        </w:rPr>
        <w:t>建设规模</w:t>
      </w:r>
    </w:p>
    <w:p>
      <w:pPr>
        <w:ind w:firstLine="420" w:firstLineChars="200"/>
        <w:rPr>
          <w:color w:val="auto"/>
          <w:highlight w:val="none"/>
        </w:rPr>
      </w:pPr>
    </w:p>
    <w:p>
      <w:pPr>
        <w:pStyle w:val="21"/>
        <w:widowControl w:val="0"/>
        <w:spacing w:line="120" w:lineRule="auto"/>
        <w:ind w:firstLine="420" w:firstLineChars="200"/>
        <w:rPr>
          <w:rFonts w:ascii="Times New Roman" w:hAnsi="Times New Roman"/>
          <w:color w:val="auto"/>
          <w:sz w:val="21"/>
          <w:szCs w:val="24"/>
          <w:highlight w:val="none"/>
          <w:lang w:eastAsia="zh-CN"/>
        </w:rPr>
      </w:pPr>
      <w:r>
        <w:rPr>
          <w:rFonts w:hint="eastAsia" w:ascii="Times New Roman" w:hAnsi="Times New Roman"/>
          <w:color w:val="auto"/>
          <w:sz w:val="21"/>
          <w:szCs w:val="24"/>
          <w:highlight w:val="none"/>
          <w:lang w:eastAsia="zh-CN"/>
        </w:rPr>
        <w:t>该项目总投资18.8亿元，新建总建筑面积15.3万平方米，规划设置病床800张，。项目建设内容包括新建医疗综合楼、多功能综合楼、能源中心及液氧站等，主要设置门急诊、医技检验、后勤保障、科研交流等功能用房。</w:t>
      </w:r>
    </w:p>
    <w:p>
      <w:pPr>
        <w:pStyle w:val="15"/>
        <w:ind w:firstLine="0"/>
        <w:rPr>
          <w:color w:val="auto"/>
          <w:highlight w:val="none"/>
        </w:rPr>
      </w:pPr>
    </w:p>
    <w:p>
      <w:pPr>
        <w:pStyle w:val="4"/>
        <w:rPr>
          <w:color w:val="auto"/>
          <w:highlight w:val="none"/>
        </w:rPr>
      </w:pPr>
      <w:bookmarkStart w:id="6" w:name="_Toc133482183"/>
      <w:bookmarkStart w:id="7" w:name="_Toc17659"/>
      <w:bookmarkStart w:id="8" w:name="_Toc4247"/>
      <w:bookmarkStart w:id="9" w:name="_Toc31001"/>
      <w:bookmarkStart w:id="10" w:name="_Toc11671"/>
      <w:r>
        <w:rPr>
          <w:rFonts w:hint="eastAsia"/>
          <w:color w:val="auto"/>
          <w:highlight w:val="none"/>
        </w:rPr>
        <w:t>二、施工要求</w:t>
      </w:r>
      <w:bookmarkEnd w:id="6"/>
      <w:bookmarkEnd w:id="7"/>
      <w:bookmarkEnd w:id="8"/>
      <w:bookmarkEnd w:id="9"/>
      <w:bookmarkEnd w:id="10"/>
    </w:p>
    <w:p>
      <w:pPr>
        <w:pStyle w:val="22"/>
        <w:spacing w:line="360" w:lineRule="auto"/>
        <w:ind w:left="0" w:leftChars="0" w:firstLine="420" w:firstLineChars="200"/>
        <w:rPr>
          <w:rFonts w:ascii="Times New Roman" w:hAnsi="Times New Roman" w:cs="Times New Roman"/>
          <w:color w:val="auto"/>
          <w:kern w:val="2"/>
          <w:sz w:val="21"/>
          <w:szCs w:val="24"/>
          <w:highlight w:val="none"/>
        </w:rPr>
      </w:pPr>
      <w:r>
        <w:rPr>
          <w:rFonts w:ascii="Times New Roman" w:hAnsi="Times New Roman" w:cs="Times New Roman"/>
          <w:color w:val="auto"/>
          <w:kern w:val="2"/>
          <w:sz w:val="21"/>
          <w:szCs w:val="24"/>
          <w:highlight w:val="none"/>
        </w:rPr>
        <w:t>投标单位需勘查现场，并</w:t>
      </w:r>
      <w:r>
        <w:rPr>
          <w:rFonts w:hint="eastAsia" w:ascii="Times New Roman" w:hAnsi="Times New Roman" w:cs="Times New Roman"/>
          <w:color w:val="auto"/>
          <w:kern w:val="2"/>
          <w:sz w:val="21"/>
          <w:szCs w:val="24"/>
          <w:highlight w:val="none"/>
        </w:rPr>
        <w:t>深化</w:t>
      </w:r>
      <w:r>
        <w:rPr>
          <w:rFonts w:ascii="Times New Roman" w:hAnsi="Times New Roman" w:cs="Times New Roman"/>
          <w:color w:val="auto"/>
          <w:kern w:val="2"/>
          <w:sz w:val="21"/>
          <w:szCs w:val="24"/>
          <w:highlight w:val="none"/>
        </w:rPr>
        <w:t>设计出符合本项目要求的设计图，本项目所有报价包含所供设备的安装调试及所有辅材费用，不另外计费。</w:t>
      </w:r>
    </w:p>
    <w:p>
      <w:pPr>
        <w:pStyle w:val="4"/>
        <w:numPr>
          <w:ilvl w:val="1"/>
          <w:numId w:val="3"/>
        </w:numPr>
        <w:rPr>
          <w:color w:val="auto"/>
          <w:highlight w:val="none"/>
        </w:rPr>
      </w:pPr>
      <w:bookmarkStart w:id="11" w:name="_Toc26544"/>
      <w:bookmarkStart w:id="12" w:name="_Toc133482184"/>
      <w:bookmarkStart w:id="13" w:name="_Toc31261"/>
      <w:bookmarkStart w:id="14" w:name="_Toc4007"/>
      <w:bookmarkStart w:id="15" w:name="_Toc1028"/>
      <w:r>
        <w:rPr>
          <w:rFonts w:hint="eastAsia"/>
          <w:color w:val="auto"/>
          <w:highlight w:val="none"/>
        </w:rPr>
        <w:t>设备明细表</w:t>
      </w:r>
      <w:bookmarkEnd w:id="11"/>
      <w:bookmarkEnd w:id="12"/>
      <w:bookmarkEnd w:id="13"/>
      <w:bookmarkEnd w:id="14"/>
      <w:bookmarkEnd w:id="15"/>
    </w:p>
    <w:p>
      <w:pPr>
        <w:rPr>
          <w:color w:val="auto"/>
          <w:highlight w:val="none"/>
        </w:rPr>
      </w:pPr>
      <w:r>
        <w:rPr>
          <w:rFonts w:hint="eastAsia"/>
          <w:color w:val="auto"/>
          <w:highlight w:val="none"/>
        </w:rPr>
        <w:t>UPS不间断电源系统（</w:t>
      </w:r>
      <w:r>
        <w:rPr>
          <w:rFonts w:hint="eastAsia"/>
          <w:color w:val="auto"/>
          <w:highlight w:val="none"/>
          <w:lang w:val="en-US" w:eastAsia="zh-CN"/>
        </w:rPr>
        <w:t>7</w:t>
      </w:r>
      <w:r>
        <w:rPr>
          <w:rFonts w:hint="eastAsia"/>
          <w:color w:val="auto"/>
          <w:highlight w:val="none"/>
        </w:rPr>
        <w:t>套）</w:t>
      </w:r>
    </w:p>
    <w:tbl>
      <w:tblPr>
        <w:tblStyle w:val="17"/>
        <w:tblW w:w="0" w:type="auto"/>
        <w:tblInd w:w="102" w:type="dxa"/>
        <w:tblLayout w:type="fixed"/>
        <w:tblCellMar>
          <w:top w:w="0" w:type="dxa"/>
          <w:left w:w="108" w:type="dxa"/>
          <w:bottom w:w="0" w:type="dxa"/>
          <w:right w:w="108" w:type="dxa"/>
        </w:tblCellMar>
      </w:tblPr>
      <w:tblGrid>
        <w:gridCol w:w="866"/>
        <w:gridCol w:w="1453"/>
        <w:gridCol w:w="5807"/>
        <w:gridCol w:w="742"/>
        <w:gridCol w:w="6"/>
        <w:gridCol w:w="677"/>
        <w:gridCol w:w="922"/>
      </w:tblGrid>
      <w:tr>
        <w:trPr>
          <w:trHeight w:val="277"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color w:val="auto"/>
                <w:highlight w:val="none"/>
              </w:rPr>
              <w:t>二级设备名称</w:t>
            </w:r>
          </w:p>
        </w:tc>
        <w:tc>
          <w:tcPr>
            <w:tcW w:w="5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主要技术规格</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单位</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数量</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trPr>
          <w:trHeight w:val="277"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A楼</w:t>
            </w:r>
          </w:p>
        </w:tc>
        <w:tc>
          <w:tcPr>
            <w:tcW w:w="9607" w:type="dxa"/>
            <w:gridSpan w:val="6"/>
            <w:tcBorders>
              <w:top w:val="single" w:color="000000" w:sz="4" w:space="0"/>
              <w:left w:val="single" w:color="000000" w:sz="4" w:space="0"/>
              <w:bottom w:val="single" w:color="000000" w:sz="4" w:space="0"/>
              <w:right w:val="single" w:color="000000" w:sz="4" w:space="0"/>
            </w:tcBorders>
            <w:shd w:val="clear" w:color="auto" w:fill="FFC000"/>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B1网路通信机房UPS</w:t>
            </w:r>
            <w:r>
              <w:rPr>
                <w:rFonts w:hint="eastAsia" w:ascii="宋体" w:hAnsi="宋体" w:cs="宋体"/>
                <w:color w:val="auto"/>
                <w:szCs w:val="21"/>
                <w:highlight w:val="none"/>
                <w:lang w:eastAsia="zh-CN"/>
              </w:rPr>
              <w:t>容量</w:t>
            </w:r>
            <w:r>
              <w:rPr>
                <w:rFonts w:hint="eastAsia" w:ascii="宋体" w:hAnsi="宋体" w:cs="宋体"/>
                <w:color w:val="auto"/>
                <w:szCs w:val="21"/>
                <w:highlight w:val="none"/>
                <w:lang w:val="en-US" w:eastAsia="zh-CN"/>
              </w:rPr>
              <w:t>50KVA，</w:t>
            </w:r>
            <w:r>
              <w:rPr>
                <w:rFonts w:hint="eastAsia" w:ascii="宋体" w:hAnsi="宋体" w:cs="宋体"/>
                <w:color w:val="auto"/>
                <w:szCs w:val="21"/>
                <w:highlight w:val="none"/>
              </w:rPr>
              <w:t>延时0.5小时</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/B2F运维中心 UPS </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0KVA</w:t>
            </w:r>
            <w:r>
              <w:rPr>
                <w:rFonts w:hint="eastAsia" w:ascii="宋体" w:hAnsi="宋体" w:cs="宋体"/>
                <w:color w:val="auto"/>
                <w:szCs w:val="21"/>
                <w:highlight w:val="none"/>
                <w:lang w:eastAsia="zh-CN"/>
              </w:rPr>
              <w:t>，</w:t>
            </w:r>
            <w:r>
              <w:rPr>
                <w:rFonts w:hint="eastAsia" w:ascii="宋体" w:hAnsi="宋体" w:cs="宋体"/>
                <w:color w:val="auto"/>
                <w:szCs w:val="21"/>
                <w:highlight w:val="none"/>
              </w:rPr>
              <w:t>延时0.5小时</w:t>
            </w:r>
          </w:p>
        </w:tc>
      </w:tr>
      <w:tr>
        <w:trPr>
          <w:trHeight w:val="1045"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b w:val="0"/>
                <w:bCs w:val="0"/>
                <w:color w:val="auto"/>
                <w:kern w:val="0"/>
                <w:szCs w:val="21"/>
                <w:highlight w:val="none"/>
                <w:lang w:bidi="ar"/>
              </w:rPr>
            </w:pPr>
            <w:r>
              <w:rPr>
                <w:rFonts w:hint="eastAsia" w:ascii="宋体" w:hAnsi="宋体" w:cs="宋体"/>
                <w:b w:val="0"/>
                <w:bCs w:val="0"/>
                <w:color w:val="auto"/>
                <w:kern w:val="0"/>
                <w:szCs w:val="21"/>
                <w:highlight w:val="none"/>
                <w:lang w:bidi="ar"/>
              </w:rPr>
              <w:t>UPS不间断电源主机</w:t>
            </w:r>
          </w:p>
          <w:p>
            <w:pPr>
              <w:jc w:val="center"/>
              <w:textAlignment w:val="center"/>
              <w:rPr>
                <w:rFonts w:hint="eastAsia" w:ascii="宋体" w:hAnsi="宋体" w:cs="宋体"/>
                <w:b w:val="0"/>
                <w:bCs w:val="0"/>
                <w:color w:val="auto"/>
                <w:szCs w:val="21"/>
                <w:highlight w:val="none"/>
              </w:rPr>
            </w:pP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高频塔式UPS主机，80kVA三进三出塔式UPS，输出功因1，下进线，含维修开关，电池支持32~48节可设置，下进线，主机尺寸：</w:t>
            </w:r>
            <w:r>
              <w:rPr>
                <w:rFonts w:hint="default" w:ascii="Arial" w:hAnsi="Arial" w:cs="Arial"/>
                <w:color w:val="auto"/>
                <w:kern w:val="0"/>
                <w:szCs w:val="21"/>
                <w:highlight w:val="none"/>
                <w:lang w:bidi="ar"/>
              </w:rPr>
              <w:t>≤</w:t>
            </w:r>
            <w:r>
              <w:rPr>
                <w:rFonts w:hint="eastAsia" w:ascii="宋体" w:hAnsi="宋体" w:cs="宋体"/>
                <w:color w:val="auto"/>
                <w:kern w:val="0"/>
                <w:szCs w:val="21"/>
                <w:highlight w:val="none"/>
                <w:lang w:bidi="ar"/>
              </w:rPr>
              <w:t>400x960x1200（mm，深*宽*高）。</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台</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val="en-US" w:eastAsia="zh-CN" w:bidi="ar"/>
              </w:rPr>
              <w:t>2</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555"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b w:val="0"/>
                <w:bCs w:val="0"/>
                <w:color w:val="auto"/>
                <w:szCs w:val="21"/>
                <w:highlight w:val="none"/>
              </w:rPr>
            </w:pPr>
            <w:r>
              <w:rPr>
                <w:rFonts w:hint="eastAsia" w:ascii="宋体" w:hAnsi="宋体" w:cs="宋体"/>
                <w:b w:val="0"/>
                <w:bCs w:val="0"/>
                <w:color w:val="auto"/>
                <w:kern w:val="0"/>
                <w:szCs w:val="21"/>
                <w:highlight w:val="none"/>
                <w:lang w:bidi="ar"/>
              </w:rPr>
              <w:t>蓄电池</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规格:12V120AH</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只</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40</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493"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电池架</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组合式电池架，可内置40节12V120AH免维护铅酸蓄电池</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套</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78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电池开关箱</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配套电池支架(柜)使用电池开关箱，160A/3P直流塑壳开关</w:t>
            </w:r>
            <w:r>
              <w:rPr>
                <w:rFonts w:hint="eastAsia" w:ascii="宋体" w:hAnsi="宋体" w:cs="宋体"/>
                <w:color w:val="auto"/>
                <w:kern w:val="0"/>
                <w:szCs w:val="21"/>
                <w:highlight w:val="none"/>
                <w:lang w:eastAsia="zh-CN" w:bidi="ar"/>
              </w:rPr>
              <w:t xml:space="preserve"> </w:t>
            </w:r>
            <w:r>
              <w:rPr>
                <w:rFonts w:hint="eastAsia" w:ascii="宋体" w:hAnsi="宋体" w:cs="宋体"/>
                <w:color w:val="auto"/>
                <w:kern w:val="0"/>
                <w:szCs w:val="21"/>
                <w:highlight w:val="none"/>
                <w:lang w:bidi="ar"/>
              </w:rPr>
              <w:t>1个</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台</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815"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电池连接铜排</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电池连接铜排套件（适用于80KVA UPS及40节12V120AH蓄电池铜排），含电线护套和串入式铜排护套。不含柜外连线</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套</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277"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p>
        </w:tc>
        <w:tc>
          <w:tcPr>
            <w:tcW w:w="8685" w:type="dxa"/>
            <w:gridSpan w:val="5"/>
            <w:tcBorders>
              <w:top w:val="single" w:color="000000" w:sz="4" w:space="0"/>
              <w:left w:val="single" w:color="000000" w:sz="4" w:space="0"/>
              <w:bottom w:val="single" w:color="000000" w:sz="4" w:space="0"/>
              <w:right w:val="single" w:color="000000" w:sz="4" w:space="0"/>
            </w:tcBorders>
            <w:shd w:val="clear" w:color="auto" w:fill="FFC000"/>
            <w:noWrap/>
            <w:vAlign w:val="center"/>
          </w:tcPr>
          <w:p>
            <w:pPr>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 xml:space="preserve">塔楼 6F汇聚机房 </w:t>
            </w:r>
            <w:r>
              <w:rPr>
                <w:rFonts w:hint="eastAsia"/>
                <w:color w:val="auto"/>
                <w:highlight w:val="none"/>
              </w:rPr>
              <w:t>UPS 40KVA 延时0.5小时</w:t>
            </w:r>
          </w:p>
        </w:tc>
        <w:tc>
          <w:tcPr>
            <w:tcW w:w="922" w:type="dxa"/>
            <w:tcBorders>
              <w:top w:val="single" w:color="000000" w:sz="4" w:space="0"/>
              <w:left w:val="single" w:color="000000" w:sz="4" w:space="0"/>
              <w:bottom w:val="single" w:color="000000" w:sz="4" w:space="0"/>
              <w:right w:val="single" w:color="000000" w:sz="4" w:space="0"/>
            </w:tcBorders>
            <w:shd w:val="clear" w:color="auto" w:fill="FFC000"/>
            <w:noWrap/>
            <w:vAlign w:val="center"/>
          </w:tcPr>
          <w:p>
            <w:pPr>
              <w:jc w:val="center"/>
              <w:rPr>
                <w:rFonts w:hint="eastAsia" w:ascii="宋体" w:hAnsi="宋体" w:cs="宋体"/>
                <w:color w:val="auto"/>
                <w:kern w:val="0"/>
                <w:szCs w:val="21"/>
                <w:highlight w:val="none"/>
                <w:lang w:bidi="ar"/>
              </w:rPr>
            </w:pPr>
          </w:p>
        </w:tc>
      </w:tr>
      <w:tr>
        <w:trPr>
          <w:trHeight w:val="138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UPS不间断电源主机</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高频塔式UPS主机，40kVA三进三出塔式UPS，380/400/415Vac输入输出，输出功因1，电池支持32~40节可设置，含输入、输出、旁路、维修旁路开关。主机尺寸：</w:t>
            </w:r>
            <w:r>
              <w:rPr>
                <w:rFonts w:hint="default" w:ascii="Arial" w:hAnsi="Arial" w:cs="Arial"/>
                <w:color w:val="auto"/>
                <w:kern w:val="0"/>
                <w:szCs w:val="21"/>
                <w:highlight w:val="none"/>
                <w:lang w:bidi="ar"/>
              </w:rPr>
              <w:t>≤</w:t>
            </w:r>
            <w:r>
              <w:rPr>
                <w:rFonts w:hint="eastAsia" w:ascii="宋体" w:hAnsi="宋体" w:cs="宋体"/>
                <w:color w:val="auto"/>
                <w:kern w:val="0"/>
                <w:szCs w:val="21"/>
                <w:highlight w:val="none"/>
                <w:lang w:bidi="ar"/>
              </w:rPr>
              <w:t>280x800x715（mm，深*宽*高）。</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台</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555"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蓄电池</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规格:12V100AH</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只</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40</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27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电池柜</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常规A40，不含空开，不含线</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套</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73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电池连接线</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40节电池连结线，400mm36根，700mm3根，1000mm1根，1500mm1根，2000mm1根,，规格：35mm2。不含柜外连线</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套</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795"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电池开关箱</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配套电池支架(柜)使用电池开关箱，125A/3P直流塑壳开关</w:t>
            </w:r>
            <w:r>
              <w:rPr>
                <w:rFonts w:hint="eastAsia" w:ascii="宋体" w:hAnsi="宋体" w:cs="宋体"/>
                <w:color w:val="auto"/>
                <w:kern w:val="0"/>
                <w:szCs w:val="21"/>
                <w:highlight w:val="none"/>
                <w:lang w:eastAsia="zh-CN" w:bidi="ar"/>
              </w:rPr>
              <w:t xml:space="preserve"> </w:t>
            </w:r>
            <w:r>
              <w:rPr>
                <w:rFonts w:hint="eastAsia" w:ascii="宋体" w:hAnsi="宋体" w:cs="宋体"/>
                <w:color w:val="auto"/>
                <w:kern w:val="0"/>
                <w:szCs w:val="21"/>
                <w:highlight w:val="none"/>
                <w:lang w:bidi="ar"/>
              </w:rPr>
              <w:t>1个</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台</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277"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p>
        </w:tc>
        <w:tc>
          <w:tcPr>
            <w:tcW w:w="8685" w:type="dxa"/>
            <w:gridSpan w:val="5"/>
            <w:tcBorders>
              <w:top w:val="single" w:color="000000" w:sz="4" w:space="0"/>
              <w:left w:val="single" w:color="000000" w:sz="4" w:space="0"/>
              <w:bottom w:val="single" w:color="000000" w:sz="4" w:space="0"/>
              <w:right w:val="single" w:color="000000" w:sz="4" w:space="0"/>
            </w:tcBorders>
            <w:shd w:val="clear" w:color="auto" w:fill="FFC000"/>
            <w:noWrap/>
            <w:vAlign w:val="center"/>
          </w:tcPr>
          <w:p>
            <w:pPr>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塔楼 3F重要负荷电源1(3层病理科\2层检验科)</w:t>
            </w:r>
            <w:r>
              <w:rPr>
                <w:rFonts w:hint="eastAsia"/>
                <w:color w:val="auto"/>
                <w:highlight w:val="none"/>
              </w:rPr>
              <w:t>UPS 250KVA</w:t>
            </w:r>
            <w:r>
              <w:rPr>
                <w:rFonts w:hint="eastAsia"/>
                <w:color w:val="auto"/>
                <w:highlight w:val="none"/>
                <w:lang w:eastAsia="zh-CN"/>
              </w:rPr>
              <w:t>，</w:t>
            </w:r>
            <w:r>
              <w:rPr>
                <w:rFonts w:hint="eastAsia"/>
                <w:color w:val="auto"/>
                <w:highlight w:val="none"/>
              </w:rPr>
              <w:t>延时0.5小时</w:t>
            </w:r>
            <w:r>
              <w:rPr>
                <w:rFonts w:hint="eastAsia" w:ascii="宋体" w:hAnsi="宋体" w:cs="宋体"/>
                <w:color w:val="auto"/>
                <w:kern w:val="0"/>
                <w:szCs w:val="21"/>
                <w:highlight w:val="none"/>
                <w:lang w:bidi="ar"/>
              </w:rPr>
              <w:t xml:space="preserve">/裙房 2F重要负荷电源1(1层抢救室\2层EICU\4层ICU) </w:t>
            </w:r>
            <w:r>
              <w:rPr>
                <w:rFonts w:hint="eastAsia"/>
                <w:color w:val="auto"/>
                <w:highlight w:val="none"/>
              </w:rPr>
              <w:t>UPS 250KVA延时0.5小时</w:t>
            </w:r>
          </w:p>
        </w:tc>
        <w:tc>
          <w:tcPr>
            <w:tcW w:w="922" w:type="dxa"/>
            <w:tcBorders>
              <w:top w:val="single" w:color="000000" w:sz="4" w:space="0"/>
              <w:left w:val="single" w:color="000000" w:sz="4" w:space="0"/>
              <w:bottom w:val="single" w:color="000000" w:sz="4" w:space="0"/>
              <w:right w:val="single" w:color="000000" w:sz="4" w:space="0"/>
            </w:tcBorders>
            <w:shd w:val="clear" w:color="auto" w:fill="FFC000"/>
            <w:noWrap/>
            <w:vAlign w:val="center"/>
          </w:tcPr>
          <w:p>
            <w:pPr>
              <w:jc w:val="center"/>
              <w:rPr>
                <w:rFonts w:hint="eastAsia" w:ascii="宋体" w:hAnsi="宋体" w:cs="宋体"/>
                <w:color w:val="auto"/>
                <w:kern w:val="0"/>
                <w:szCs w:val="21"/>
                <w:highlight w:val="none"/>
                <w:lang w:bidi="ar"/>
              </w:rPr>
            </w:pPr>
          </w:p>
        </w:tc>
      </w:tr>
      <w:tr>
        <w:trPr>
          <w:trHeight w:val="111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b/>
                <w:bCs/>
                <w:color w:val="FF0000"/>
                <w:kern w:val="0"/>
                <w:szCs w:val="21"/>
                <w:highlight w:val="none"/>
                <w:lang w:bidi="ar"/>
              </w:rPr>
            </w:pPr>
            <w:r>
              <w:rPr>
                <w:rFonts w:hint="eastAsia" w:ascii="宋体" w:hAnsi="宋体" w:cs="宋体"/>
                <w:b/>
                <w:bCs/>
                <w:color w:val="FF0000"/>
                <w:kern w:val="0"/>
                <w:szCs w:val="21"/>
                <w:highlight w:val="none"/>
                <w:lang w:bidi="ar"/>
              </w:rPr>
              <w:t>UPS不间断电源</w:t>
            </w:r>
          </w:p>
          <w:p>
            <w:pPr>
              <w:jc w:val="center"/>
              <w:textAlignment w:val="center"/>
              <w:rPr>
                <w:rFonts w:hint="eastAsia" w:ascii="宋体" w:hAnsi="宋体" w:cs="宋体"/>
                <w:color w:val="FF0000"/>
                <w:szCs w:val="21"/>
                <w:highlight w:val="none"/>
              </w:rPr>
            </w:pPr>
            <w:r>
              <w:rPr>
                <w:rFonts w:hint="eastAsia" w:ascii="宋体" w:hAnsi="宋体" w:cs="宋体"/>
                <w:b/>
                <w:bCs/>
                <w:color w:val="FF0000"/>
                <w:kern w:val="0"/>
                <w:szCs w:val="21"/>
                <w:highlight w:val="none"/>
                <w:lang w:eastAsia="zh-CN" w:bidi="ar"/>
              </w:rPr>
              <w:t>（</w:t>
            </w:r>
            <w:r>
              <w:rPr>
                <w:rFonts w:hint="eastAsia" w:ascii="宋体" w:hAnsi="宋体" w:cs="宋体"/>
                <w:b/>
                <w:bCs/>
                <w:color w:val="FF0000"/>
                <w:kern w:val="0"/>
                <w:szCs w:val="21"/>
                <w:highlight w:val="none"/>
                <w:lang w:bidi="ar"/>
              </w:rPr>
              <w:t>核心产品</w:t>
            </w:r>
            <w:r>
              <w:rPr>
                <w:rFonts w:hint="eastAsia" w:ascii="宋体" w:hAnsi="宋体" w:cs="宋体"/>
                <w:b/>
                <w:bCs/>
                <w:color w:val="FF0000"/>
                <w:kern w:val="0"/>
                <w:szCs w:val="21"/>
                <w:highlight w:val="none"/>
                <w:lang w:eastAsia="zh-CN" w:bidi="ar"/>
              </w:rPr>
              <w:t>）</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模块化UPS，三进三出250kVA，输出功因1.0，整机效率≥95%，尺寸(D*W*H,mm)：</w:t>
            </w:r>
            <w:r>
              <w:rPr>
                <w:rFonts w:hint="default" w:ascii="Arial" w:hAnsi="Arial" w:cs="Arial"/>
                <w:color w:val="auto"/>
                <w:kern w:val="0"/>
                <w:szCs w:val="21"/>
                <w:highlight w:val="none"/>
                <w:lang w:bidi="ar"/>
              </w:rPr>
              <w:t>≤</w:t>
            </w:r>
            <w:r>
              <w:rPr>
                <w:rFonts w:hint="eastAsia" w:ascii="宋体" w:hAnsi="宋体" w:cs="宋体"/>
                <w:color w:val="auto"/>
                <w:kern w:val="0"/>
                <w:szCs w:val="21"/>
                <w:highlight w:val="none"/>
                <w:lang w:bidi="ar"/>
              </w:rPr>
              <w:t>600*860*2000；单功率模块≥50KVA</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台</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val="en-US" w:eastAsia="zh-CN" w:bidi="ar"/>
              </w:rPr>
              <w:t>2</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555"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蓄电池</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规格:12V250A</w:t>
            </w:r>
            <w:bookmarkStart w:id="42" w:name="_GoBack"/>
            <w:bookmarkEnd w:id="42"/>
            <w:r>
              <w:rPr>
                <w:rFonts w:hint="eastAsia" w:ascii="宋体" w:hAnsi="宋体" w:cs="宋体"/>
                <w:color w:val="auto"/>
                <w:kern w:val="0"/>
                <w:szCs w:val="21"/>
                <w:highlight w:val="none"/>
                <w:lang w:bidi="ar"/>
              </w:rPr>
              <w:t>H</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只</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96</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513"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电池架</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组合式电池架，可内置32节12V 250AH免维护铅酸蓄电池</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套</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3</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704"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电池开关箱</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带分开电池开关箱，分320A/3P直流开关</w:t>
            </w:r>
            <w:r>
              <w:rPr>
                <w:rFonts w:hint="eastAsia" w:ascii="宋体" w:hAnsi="宋体" w:cs="宋体"/>
                <w:color w:val="auto"/>
                <w:kern w:val="0"/>
                <w:szCs w:val="21"/>
                <w:highlight w:val="none"/>
                <w:lang w:eastAsia="zh-CN" w:bidi="ar"/>
              </w:rPr>
              <w:t xml:space="preserve"> </w:t>
            </w:r>
            <w:r>
              <w:rPr>
                <w:rFonts w:hint="eastAsia" w:ascii="宋体" w:hAnsi="宋体" w:cs="宋体"/>
                <w:color w:val="auto"/>
                <w:kern w:val="0"/>
                <w:szCs w:val="21"/>
                <w:highlight w:val="none"/>
                <w:lang w:bidi="ar"/>
              </w:rPr>
              <w:t>3个及汇总铜排</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台</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833"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电池连接铜排</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电池连接铜排套件（适用于250KVA UPS及32节12V250AH蓄电池铜排），含电线护套和串入式铜排护套。不含柜外连线</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套</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3</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277"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p>
        </w:tc>
        <w:tc>
          <w:tcPr>
            <w:tcW w:w="8685" w:type="dxa"/>
            <w:gridSpan w:val="5"/>
            <w:tcBorders>
              <w:top w:val="single" w:color="000000" w:sz="4" w:space="0"/>
              <w:left w:val="single" w:color="000000" w:sz="4" w:space="0"/>
              <w:bottom w:val="single" w:color="000000" w:sz="4" w:space="0"/>
              <w:right w:val="single" w:color="000000" w:sz="4" w:space="0"/>
            </w:tcBorders>
            <w:shd w:val="clear" w:color="auto" w:fill="FFC000"/>
            <w:noWrap/>
            <w:vAlign w:val="center"/>
          </w:tcPr>
          <w:p>
            <w:pPr>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 xml:space="preserve">5F 手术室配电箱1 </w:t>
            </w:r>
            <w:r>
              <w:rPr>
                <w:rFonts w:hint="eastAsia"/>
                <w:color w:val="auto"/>
                <w:highlight w:val="none"/>
              </w:rPr>
              <w:t>UPS 200KVA 0.5小时</w:t>
            </w:r>
          </w:p>
        </w:tc>
        <w:tc>
          <w:tcPr>
            <w:tcW w:w="922" w:type="dxa"/>
            <w:tcBorders>
              <w:top w:val="single" w:color="000000" w:sz="4" w:space="0"/>
              <w:left w:val="single" w:color="000000" w:sz="4" w:space="0"/>
              <w:bottom w:val="single" w:color="000000" w:sz="4" w:space="0"/>
              <w:right w:val="single" w:color="000000" w:sz="4" w:space="0"/>
            </w:tcBorders>
            <w:shd w:val="clear" w:color="auto" w:fill="FFC000"/>
            <w:noWrap/>
            <w:vAlign w:val="center"/>
          </w:tcPr>
          <w:p>
            <w:pPr>
              <w:jc w:val="center"/>
              <w:rPr>
                <w:rFonts w:hint="eastAsia" w:ascii="宋体" w:hAnsi="宋体" w:cs="宋体"/>
                <w:color w:val="auto"/>
                <w:kern w:val="0"/>
                <w:szCs w:val="21"/>
                <w:highlight w:val="none"/>
                <w:lang w:bidi="ar"/>
              </w:rPr>
            </w:pPr>
          </w:p>
        </w:tc>
      </w:tr>
      <w:tr>
        <w:trPr>
          <w:trHeight w:val="111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UPS不间断电源</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模块化UPS，三进三出200kVA，输出功因1.0，整机效率≥95%，尺寸(D*W*H,mm)：</w:t>
            </w:r>
            <w:r>
              <w:rPr>
                <w:rFonts w:hint="default" w:ascii="Arial" w:hAnsi="Arial" w:cs="Arial"/>
                <w:color w:val="auto"/>
                <w:kern w:val="0"/>
                <w:szCs w:val="21"/>
                <w:highlight w:val="none"/>
                <w:lang w:bidi="ar"/>
              </w:rPr>
              <w:t>≤</w:t>
            </w:r>
            <w:r>
              <w:rPr>
                <w:rFonts w:hint="eastAsia" w:ascii="宋体" w:hAnsi="宋体" w:cs="宋体"/>
                <w:color w:val="auto"/>
                <w:kern w:val="0"/>
                <w:szCs w:val="21"/>
                <w:highlight w:val="none"/>
                <w:lang w:bidi="ar"/>
              </w:rPr>
              <w:t>600*860*2000；单功率模块≥50KVA</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台</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555"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蓄电池</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规格:12V200AH</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只</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96</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592"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电池架</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组合式电池架，可内置32节12V 200AH免维护铅酸蓄电池</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套</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3</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111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电池开关箱</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带分开电池开关箱，分250A/3P直流开关</w:t>
            </w:r>
            <w:r>
              <w:rPr>
                <w:rFonts w:hint="eastAsia" w:ascii="宋体" w:hAnsi="宋体" w:cs="宋体"/>
                <w:color w:val="auto"/>
                <w:kern w:val="0"/>
                <w:szCs w:val="21"/>
                <w:highlight w:val="none"/>
                <w:lang w:eastAsia="zh-CN" w:bidi="ar"/>
              </w:rPr>
              <w:t xml:space="preserve"> </w:t>
            </w:r>
            <w:r>
              <w:rPr>
                <w:rFonts w:hint="eastAsia" w:ascii="宋体" w:hAnsi="宋体" w:cs="宋体"/>
                <w:color w:val="auto"/>
                <w:kern w:val="0"/>
                <w:szCs w:val="21"/>
                <w:highlight w:val="none"/>
                <w:lang w:bidi="ar"/>
              </w:rPr>
              <w:t>3个及汇总铜排</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台</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111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电池连接铜排</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电池连接铜排套件，（适用于200KVA UPS及32节12V200AH蓄电池铜排），含电线护套和串入式铜排护套。不含柜外连线</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套</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3</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277"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B楼</w:t>
            </w:r>
          </w:p>
        </w:tc>
        <w:tc>
          <w:tcPr>
            <w:tcW w:w="8685" w:type="dxa"/>
            <w:gridSpan w:val="5"/>
            <w:tcBorders>
              <w:top w:val="single" w:color="000000" w:sz="4" w:space="0"/>
              <w:left w:val="single" w:color="000000" w:sz="4" w:space="0"/>
              <w:bottom w:val="single" w:color="000000" w:sz="4" w:space="0"/>
              <w:right w:val="single" w:color="000000" w:sz="4" w:space="0"/>
            </w:tcBorders>
            <w:shd w:val="clear" w:color="auto" w:fill="FFC000"/>
            <w:noWrap/>
            <w:vAlign w:val="center"/>
          </w:tcPr>
          <w:p>
            <w:pPr>
              <w:jc w:val="center"/>
              <w:rPr>
                <w:rFonts w:hint="eastAsia" w:ascii="宋体" w:hAnsi="宋体" w:cs="宋体"/>
                <w:color w:val="auto"/>
                <w:kern w:val="0"/>
                <w:szCs w:val="21"/>
                <w:highlight w:val="none"/>
                <w:lang w:bidi="ar"/>
              </w:rPr>
            </w:pPr>
            <w:r>
              <w:rPr>
                <w:rFonts w:hint="eastAsia" w:ascii="宋体" w:hAnsi="宋体" w:cs="宋体"/>
                <w:color w:val="auto"/>
                <w:kern w:val="0"/>
                <w:szCs w:val="21"/>
                <w:highlight w:val="none"/>
                <w:lang w:bidi="ar"/>
              </w:rPr>
              <w:t xml:space="preserve">弱电间总配电 </w:t>
            </w:r>
            <w:r>
              <w:rPr>
                <w:rFonts w:hint="eastAsia"/>
                <w:color w:val="auto"/>
                <w:highlight w:val="none"/>
              </w:rPr>
              <w:t>UPS 150KVA 延时0.5小时</w:t>
            </w:r>
          </w:p>
        </w:tc>
        <w:tc>
          <w:tcPr>
            <w:tcW w:w="922" w:type="dxa"/>
            <w:tcBorders>
              <w:top w:val="single" w:color="000000" w:sz="4" w:space="0"/>
              <w:left w:val="single" w:color="000000" w:sz="4" w:space="0"/>
              <w:bottom w:val="single" w:color="000000" w:sz="4" w:space="0"/>
              <w:right w:val="single" w:color="000000" w:sz="4" w:space="0"/>
            </w:tcBorders>
            <w:shd w:val="clear" w:color="auto" w:fill="FFC000"/>
            <w:noWrap/>
            <w:vAlign w:val="center"/>
          </w:tcPr>
          <w:p>
            <w:pPr>
              <w:jc w:val="center"/>
              <w:rPr>
                <w:rFonts w:hint="eastAsia" w:ascii="宋体" w:hAnsi="宋体" w:cs="宋体"/>
                <w:color w:val="auto"/>
                <w:kern w:val="0"/>
                <w:szCs w:val="21"/>
                <w:highlight w:val="none"/>
                <w:lang w:bidi="ar"/>
              </w:rPr>
            </w:pPr>
          </w:p>
        </w:tc>
      </w:tr>
      <w:tr>
        <w:trPr>
          <w:trHeight w:val="1388"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UPS不间断电源主机</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模块化UPS，三进三出150kVA，输出功因1.0，整机效率≥95%，尺寸(D*W*H,mm)：</w:t>
            </w:r>
            <w:r>
              <w:rPr>
                <w:rFonts w:hint="default" w:ascii="Arial" w:hAnsi="Arial" w:cs="Arial"/>
                <w:color w:val="auto"/>
                <w:kern w:val="0"/>
                <w:szCs w:val="21"/>
                <w:highlight w:val="none"/>
                <w:lang w:bidi="ar"/>
              </w:rPr>
              <w:t>≤</w:t>
            </w:r>
            <w:r>
              <w:rPr>
                <w:rFonts w:hint="eastAsia" w:ascii="宋体" w:hAnsi="宋体" w:cs="宋体"/>
                <w:color w:val="auto"/>
                <w:kern w:val="0"/>
                <w:szCs w:val="21"/>
                <w:highlight w:val="none"/>
                <w:lang w:bidi="ar"/>
              </w:rPr>
              <w:t>600*860*2000；单功率模块≥30KVA</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台</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555"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蓄电池</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规格:12V200AH</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只</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40</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557"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电池架</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组合式电池架，可内置40节12V 200AH免维护铅酸蓄电池</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套</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833"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电池连接铜排</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电池连接铜排套件（适用于120KVA UPS及40节12V200AH蓄电池铜排），含电线护套和串入式铜排护套。不含柜外连线</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套</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rPr>
          <w:trHeight w:val="1110" w:hRule="atLeast"/>
        </w:trPr>
        <w:tc>
          <w:tcPr>
            <w:tcW w:w="8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电池开关箱</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配套电池支架(柜)使用电池开关箱，250A/3P直流塑壳开关</w:t>
            </w:r>
            <w:r>
              <w:rPr>
                <w:rFonts w:hint="eastAsia" w:ascii="宋体" w:hAnsi="宋体" w:cs="宋体"/>
                <w:color w:val="auto"/>
                <w:kern w:val="0"/>
                <w:szCs w:val="21"/>
                <w:highlight w:val="none"/>
                <w:lang w:eastAsia="zh-CN" w:bidi="ar"/>
              </w:rPr>
              <w:t xml:space="preserve"> </w:t>
            </w:r>
            <w:r>
              <w:rPr>
                <w:rFonts w:hint="eastAsia" w:ascii="宋体" w:hAnsi="宋体" w:cs="宋体"/>
                <w:color w:val="auto"/>
                <w:kern w:val="0"/>
                <w:szCs w:val="21"/>
                <w:highlight w:val="none"/>
                <w:lang w:bidi="ar"/>
              </w:rPr>
              <w:t>1个</w:t>
            </w:r>
          </w:p>
        </w:tc>
        <w:tc>
          <w:tcPr>
            <w:tcW w:w="7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台</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szCs w:val="21"/>
                <w:highlight w:val="none"/>
              </w:rPr>
            </w:pPr>
            <w:r>
              <w:rPr>
                <w:rFonts w:hint="eastAsia" w:ascii="宋体" w:hAnsi="宋体" w:cs="宋体"/>
                <w:color w:val="auto"/>
                <w:kern w:val="0"/>
                <w:szCs w:val="21"/>
                <w:highlight w:val="none"/>
                <w:lang w:bidi="ar"/>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textAlignment w:val="center"/>
              <w:rPr>
                <w:rFonts w:hint="eastAsia" w:ascii="宋体" w:hAnsi="宋体" w:cs="宋体"/>
                <w:color w:val="auto"/>
                <w:kern w:val="0"/>
                <w:szCs w:val="21"/>
                <w:highlight w:val="none"/>
                <w:lang w:bidi="ar"/>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276" w:hRule="atLeast"/>
        </w:trPr>
        <w:tc>
          <w:tcPr>
            <w:tcW w:w="866" w:type="dxa"/>
            <w:vMerge w:val="restart"/>
            <w:tcBorders>
              <w:top w:val="single" w:color="auto" w:sz="4" w:space="0"/>
              <w:left w:val="single" w:color="auto" w:sz="4" w:space="0"/>
              <w:right w:val="single" w:color="auto" w:sz="4" w:space="0"/>
            </w:tcBorders>
            <w:shd w:val="clear" w:color="auto" w:fill="auto"/>
            <w:vAlign w:val="center"/>
          </w:tcPr>
          <w:p>
            <w:pPr>
              <w:rPr>
                <w:color w:val="auto"/>
                <w:highlight w:val="none"/>
              </w:rPr>
            </w:pPr>
            <w:r>
              <w:rPr>
                <w:rFonts w:hint="eastAsia"/>
                <w:color w:val="auto"/>
                <w:highlight w:val="none"/>
              </w:rPr>
              <w:t>智能母线</w:t>
            </w:r>
          </w:p>
        </w:tc>
        <w:tc>
          <w:tcPr>
            <w:tcW w:w="1453" w:type="dxa"/>
            <w:tcBorders>
              <w:top w:val="single" w:color="auto" w:sz="4" w:space="0"/>
              <w:left w:val="single" w:color="auto" w:sz="4" w:space="0"/>
              <w:bottom w:val="single" w:color="000000" w:sz="4" w:space="0"/>
              <w:right w:val="single" w:color="000000" w:sz="4" w:space="0"/>
            </w:tcBorders>
            <w:shd w:val="clear" w:color="auto" w:fill="auto"/>
            <w:vAlign w:val="center"/>
          </w:tcPr>
          <w:p>
            <w:pPr>
              <w:rPr>
                <w:color w:val="auto"/>
                <w:highlight w:val="none"/>
              </w:rPr>
            </w:pPr>
            <w:r>
              <w:rPr>
                <w:rFonts w:hint="eastAsia" w:ascii="宋体" w:hAnsi="宋体" w:cs="宋体"/>
                <w:color w:val="auto"/>
                <w:kern w:val="0"/>
                <w:sz w:val="20"/>
                <w:szCs w:val="20"/>
                <w:highlight w:val="none"/>
                <w:lang w:bidi="ar"/>
              </w:rPr>
              <w:t>母线槽</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r>
              <w:rPr>
                <w:rFonts w:hint="eastAsia"/>
                <w:color w:val="auto"/>
                <w:highlight w:val="none"/>
              </w:rPr>
              <w:t>轨道式。含防护扣板</w:t>
            </w:r>
          </w:p>
        </w:tc>
        <w:tc>
          <w:tcPr>
            <w:tcW w:w="7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米</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44</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276" w:hRule="atLeast"/>
        </w:trPr>
        <w:tc>
          <w:tcPr>
            <w:tcW w:w="866" w:type="dxa"/>
            <w:vMerge w:val="continue"/>
            <w:tcBorders>
              <w:left w:val="single" w:color="auto" w:sz="4" w:space="0"/>
              <w:right w:val="single" w:color="auto" w:sz="4" w:space="0"/>
            </w:tcBorders>
            <w:shd w:val="clear" w:color="auto" w:fill="auto"/>
            <w:vAlign w:val="center"/>
          </w:tcPr>
          <w:p>
            <w:pPr>
              <w:rPr>
                <w:color w:val="auto"/>
                <w:highlight w:val="none"/>
              </w:rPr>
            </w:pPr>
          </w:p>
        </w:tc>
        <w:tc>
          <w:tcPr>
            <w:tcW w:w="1453" w:type="dxa"/>
            <w:tcBorders>
              <w:top w:val="single" w:color="000000" w:sz="4" w:space="0"/>
              <w:left w:val="single" w:color="auto" w:sz="4" w:space="0"/>
              <w:bottom w:val="single" w:color="000000" w:sz="4" w:space="0"/>
              <w:right w:val="single" w:color="000000" w:sz="4" w:space="0"/>
            </w:tcBorders>
            <w:shd w:val="clear" w:color="auto" w:fill="auto"/>
            <w:vAlign w:val="center"/>
          </w:tcPr>
          <w:p>
            <w:pPr>
              <w:rPr>
                <w:color w:val="auto"/>
                <w:highlight w:val="none"/>
              </w:rPr>
            </w:pPr>
            <w:r>
              <w:rPr>
                <w:rFonts w:hint="eastAsia" w:ascii="宋体" w:hAnsi="宋体" w:cs="宋体"/>
                <w:color w:val="auto"/>
                <w:kern w:val="0"/>
                <w:sz w:val="20"/>
                <w:szCs w:val="20"/>
                <w:highlight w:val="none"/>
                <w:lang w:bidi="ar"/>
              </w:rPr>
              <w:t>始端箱</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r>
              <w:rPr>
                <w:rFonts w:hint="eastAsia"/>
                <w:color w:val="auto"/>
                <w:highlight w:val="none"/>
              </w:rPr>
              <w:t>内置1只塑壳断路器、智能监测模块-全电参量+温度（RS485通讯）、电源+运行指示灯</w:t>
            </w:r>
          </w:p>
        </w:tc>
        <w:tc>
          <w:tcPr>
            <w:tcW w:w="7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4</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276" w:hRule="atLeast"/>
        </w:trPr>
        <w:tc>
          <w:tcPr>
            <w:tcW w:w="866" w:type="dxa"/>
            <w:vMerge w:val="continue"/>
            <w:tcBorders>
              <w:left w:val="single" w:color="auto" w:sz="4" w:space="0"/>
              <w:right w:val="single" w:color="auto" w:sz="4" w:space="0"/>
            </w:tcBorders>
            <w:shd w:val="clear" w:color="auto" w:fill="auto"/>
            <w:vAlign w:val="center"/>
          </w:tcPr>
          <w:p>
            <w:pPr>
              <w:rPr>
                <w:color w:val="auto"/>
                <w:highlight w:val="none"/>
              </w:rPr>
            </w:pPr>
          </w:p>
        </w:tc>
        <w:tc>
          <w:tcPr>
            <w:tcW w:w="1453" w:type="dxa"/>
            <w:tcBorders>
              <w:top w:val="single" w:color="000000" w:sz="4" w:space="0"/>
              <w:left w:val="single" w:color="auto" w:sz="4" w:space="0"/>
              <w:bottom w:val="single" w:color="000000" w:sz="4" w:space="0"/>
              <w:right w:val="single" w:color="000000" w:sz="4" w:space="0"/>
            </w:tcBorders>
            <w:shd w:val="clear" w:color="auto" w:fill="auto"/>
            <w:vAlign w:val="center"/>
          </w:tcPr>
          <w:p>
            <w:pPr>
              <w:rPr>
                <w:color w:val="auto"/>
                <w:highlight w:val="none"/>
              </w:rPr>
            </w:pPr>
            <w:r>
              <w:rPr>
                <w:rFonts w:hint="eastAsia" w:ascii="宋体" w:hAnsi="宋体" w:cs="宋体"/>
                <w:color w:val="auto"/>
                <w:kern w:val="0"/>
                <w:sz w:val="20"/>
                <w:szCs w:val="20"/>
                <w:highlight w:val="none"/>
                <w:lang w:bidi="ar"/>
              </w:rPr>
              <w:t>插接箱（3回路）</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r>
              <w:rPr>
                <w:rFonts w:hint="eastAsia"/>
                <w:color w:val="auto"/>
                <w:highlight w:val="none"/>
              </w:rPr>
              <w:t>内置1只微断（带微断保护罩）、智能监测模块-全电参量+温度（RS485通讯）、3只工业插座+插头</w:t>
            </w:r>
          </w:p>
        </w:tc>
        <w:tc>
          <w:tcPr>
            <w:tcW w:w="7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12</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05" w:hRule="atLeast"/>
        </w:trPr>
        <w:tc>
          <w:tcPr>
            <w:tcW w:w="866" w:type="dxa"/>
            <w:vMerge w:val="continue"/>
            <w:tcBorders>
              <w:left w:val="single" w:color="auto" w:sz="4" w:space="0"/>
              <w:right w:val="single" w:color="auto" w:sz="4" w:space="0"/>
            </w:tcBorders>
            <w:shd w:val="clear" w:color="auto" w:fill="auto"/>
            <w:vAlign w:val="center"/>
          </w:tcPr>
          <w:p>
            <w:pPr>
              <w:rPr>
                <w:color w:val="auto"/>
                <w:highlight w:val="none"/>
              </w:rPr>
            </w:pPr>
          </w:p>
        </w:tc>
        <w:tc>
          <w:tcPr>
            <w:tcW w:w="1453" w:type="dxa"/>
            <w:tcBorders>
              <w:top w:val="single" w:color="000000" w:sz="4" w:space="0"/>
              <w:left w:val="single" w:color="auto" w:sz="4" w:space="0"/>
              <w:bottom w:val="single" w:color="000000" w:sz="4" w:space="0"/>
              <w:right w:val="single" w:color="000000" w:sz="4" w:space="0"/>
            </w:tcBorders>
            <w:shd w:val="clear" w:color="auto" w:fill="auto"/>
            <w:vAlign w:val="center"/>
          </w:tcPr>
          <w:p>
            <w:pPr>
              <w:rPr>
                <w:color w:val="auto"/>
                <w:highlight w:val="none"/>
              </w:rPr>
            </w:pPr>
            <w:r>
              <w:rPr>
                <w:rFonts w:hint="eastAsia" w:ascii="宋体" w:hAnsi="宋体" w:cs="宋体"/>
                <w:color w:val="auto"/>
                <w:kern w:val="0"/>
                <w:sz w:val="20"/>
                <w:szCs w:val="20"/>
                <w:highlight w:val="none"/>
                <w:lang w:bidi="ar"/>
              </w:rPr>
              <w:t>段间连接器</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r>
              <w:rPr>
                <w:rFonts w:hint="eastAsia"/>
                <w:color w:val="auto"/>
                <w:highlight w:val="none"/>
              </w:rPr>
              <w:t>每1.5米一个</w:t>
            </w:r>
          </w:p>
        </w:tc>
        <w:tc>
          <w:tcPr>
            <w:tcW w:w="7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31</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276" w:hRule="atLeast"/>
        </w:trPr>
        <w:tc>
          <w:tcPr>
            <w:tcW w:w="866" w:type="dxa"/>
            <w:vMerge w:val="continue"/>
            <w:tcBorders>
              <w:left w:val="single" w:color="auto" w:sz="4" w:space="0"/>
              <w:right w:val="single" w:color="auto" w:sz="4" w:space="0"/>
            </w:tcBorders>
            <w:shd w:val="clear" w:color="auto" w:fill="auto"/>
            <w:vAlign w:val="center"/>
          </w:tcPr>
          <w:p>
            <w:pPr>
              <w:rPr>
                <w:color w:val="auto"/>
                <w:highlight w:val="none"/>
              </w:rPr>
            </w:pPr>
          </w:p>
        </w:tc>
        <w:tc>
          <w:tcPr>
            <w:tcW w:w="1453" w:type="dxa"/>
            <w:tcBorders>
              <w:top w:val="single" w:color="000000" w:sz="4" w:space="0"/>
              <w:left w:val="single" w:color="auto" w:sz="4" w:space="0"/>
              <w:bottom w:val="single" w:color="000000" w:sz="4" w:space="0"/>
              <w:right w:val="single" w:color="000000" w:sz="4" w:space="0"/>
            </w:tcBorders>
            <w:shd w:val="clear" w:color="auto" w:fill="auto"/>
            <w:vAlign w:val="center"/>
          </w:tcPr>
          <w:p>
            <w:pPr>
              <w:rPr>
                <w:color w:val="auto"/>
                <w:highlight w:val="none"/>
              </w:rPr>
            </w:pPr>
            <w:r>
              <w:rPr>
                <w:rFonts w:hint="eastAsia" w:ascii="宋体" w:hAnsi="宋体" w:cs="宋体"/>
                <w:color w:val="auto"/>
                <w:kern w:val="0"/>
                <w:sz w:val="20"/>
                <w:szCs w:val="20"/>
                <w:highlight w:val="none"/>
                <w:lang w:bidi="ar"/>
              </w:rPr>
              <w:t>吊架</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r>
              <w:rPr>
                <w:rFonts w:hint="eastAsia"/>
                <w:color w:val="auto"/>
                <w:highlight w:val="none"/>
              </w:rPr>
              <w:t>双母线共架</w:t>
            </w:r>
          </w:p>
        </w:tc>
        <w:tc>
          <w:tcPr>
            <w:tcW w:w="7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16</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276" w:hRule="atLeast"/>
        </w:trPr>
        <w:tc>
          <w:tcPr>
            <w:tcW w:w="866" w:type="dxa"/>
            <w:vMerge w:val="continue"/>
            <w:tcBorders>
              <w:left w:val="single" w:color="auto" w:sz="4" w:space="0"/>
              <w:right w:val="single" w:color="auto" w:sz="4" w:space="0"/>
            </w:tcBorders>
            <w:shd w:val="clear" w:color="auto" w:fill="auto"/>
            <w:vAlign w:val="center"/>
          </w:tcPr>
          <w:p>
            <w:pPr>
              <w:rPr>
                <w:color w:val="auto"/>
                <w:highlight w:val="none"/>
              </w:rPr>
            </w:pPr>
          </w:p>
        </w:tc>
        <w:tc>
          <w:tcPr>
            <w:tcW w:w="1453" w:type="dxa"/>
            <w:tcBorders>
              <w:top w:val="single" w:color="000000" w:sz="4" w:space="0"/>
              <w:left w:val="single" w:color="auto" w:sz="4" w:space="0"/>
              <w:bottom w:val="single" w:color="000000" w:sz="4" w:space="0"/>
              <w:right w:val="single" w:color="000000" w:sz="4" w:space="0"/>
            </w:tcBorders>
            <w:shd w:val="clear" w:color="auto" w:fill="auto"/>
            <w:vAlign w:val="center"/>
          </w:tcPr>
          <w:p>
            <w:pPr>
              <w:rPr>
                <w:color w:val="auto"/>
                <w:highlight w:val="none"/>
              </w:rPr>
            </w:pPr>
            <w:r>
              <w:rPr>
                <w:rFonts w:hint="eastAsia" w:ascii="宋体" w:hAnsi="宋体" w:cs="宋体"/>
                <w:color w:val="auto"/>
                <w:kern w:val="0"/>
                <w:sz w:val="20"/>
                <w:szCs w:val="20"/>
                <w:highlight w:val="none"/>
                <w:lang w:bidi="ar"/>
              </w:rPr>
              <w:t>终端罩</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r>
              <w:rPr>
                <w:rFonts w:hint="eastAsia"/>
                <w:color w:val="auto"/>
                <w:highlight w:val="none"/>
              </w:rPr>
              <w:t>每条母线一个</w:t>
            </w:r>
          </w:p>
        </w:tc>
        <w:tc>
          <w:tcPr>
            <w:tcW w:w="7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套</w:t>
            </w: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4</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276" w:hRule="atLeast"/>
        </w:trPr>
        <w:tc>
          <w:tcPr>
            <w:tcW w:w="866" w:type="dxa"/>
            <w:vMerge w:val="continue"/>
            <w:tcBorders>
              <w:left w:val="single" w:color="auto" w:sz="4" w:space="0"/>
              <w:bottom w:val="single" w:color="auto" w:sz="4" w:space="0"/>
              <w:right w:val="single" w:color="auto" w:sz="4" w:space="0"/>
            </w:tcBorders>
            <w:shd w:val="clear" w:color="auto" w:fill="auto"/>
            <w:vAlign w:val="center"/>
          </w:tcPr>
          <w:p>
            <w:pPr>
              <w:rPr>
                <w:color w:val="auto"/>
                <w:highlight w:val="none"/>
              </w:rPr>
            </w:pPr>
          </w:p>
        </w:tc>
        <w:tc>
          <w:tcPr>
            <w:tcW w:w="1453" w:type="dxa"/>
            <w:tcBorders>
              <w:top w:val="single" w:color="000000" w:sz="4" w:space="0"/>
              <w:left w:val="single" w:color="auto" w:sz="4" w:space="0"/>
              <w:bottom w:val="single" w:color="000000" w:sz="4" w:space="0"/>
              <w:right w:val="single" w:color="000000" w:sz="4" w:space="0"/>
            </w:tcBorders>
            <w:shd w:val="clear" w:color="auto" w:fill="auto"/>
            <w:vAlign w:val="center"/>
          </w:tcPr>
          <w:p>
            <w:pPr>
              <w:rPr>
                <w:color w:val="auto"/>
                <w:highlight w:val="none"/>
              </w:rPr>
            </w:pPr>
            <w:r>
              <w:rPr>
                <w:rFonts w:hint="eastAsia" w:ascii="宋体" w:hAnsi="宋体" w:cs="宋体"/>
                <w:color w:val="auto"/>
                <w:kern w:val="0"/>
                <w:sz w:val="20"/>
                <w:szCs w:val="20"/>
                <w:highlight w:val="none"/>
                <w:lang w:bidi="ar"/>
              </w:rPr>
              <w:t>显示终端</w:t>
            </w:r>
          </w:p>
        </w:tc>
        <w:tc>
          <w:tcPr>
            <w:tcW w:w="580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r>
              <w:rPr>
                <w:rFonts w:hint="eastAsia"/>
                <w:color w:val="auto"/>
                <w:highlight w:val="none"/>
              </w:rPr>
              <w:t>10寸显示屏及双路供电模块</w:t>
            </w:r>
          </w:p>
        </w:tc>
        <w:tc>
          <w:tcPr>
            <w:tcW w:w="7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套</w:t>
            </w:r>
          </w:p>
          <w:p>
            <w:pPr>
              <w:rPr>
                <w:color w:val="auto"/>
                <w:highlight w:val="none"/>
              </w:rPr>
            </w:pPr>
          </w:p>
        </w:tc>
        <w:tc>
          <w:tcPr>
            <w:tcW w:w="6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color w:val="auto"/>
                <w:highlight w:val="none"/>
              </w:rPr>
            </w:pPr>
            <w:r>
              <w:rPr>
                <w:rFonts w:hint="eastAsia"/>
                <w:color w:val="auto"/>
                <w:highlight w:val="none"/>
              </w:rPr>
              <w:t>1</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color w:val="auto"/>
                <w:highlight w:val="none"/>
              </w:rPr>
            </w:pPr>
          </w:p>
        </w:tc>
      </w:tr>
    </w:tbl>
    <w:p>
      <w:pPr>
        <w:pStyle w:val="21"/>
        <w:rPr>
          <w:rFonts w:hint="eastAsia"/>
          <w:color w:val="auto"/>
          <w:highlight w:val="none"/>
        </w:rPr>
      </w:pPr>
    </w:p>
    <w:p>
      <w:pPr>
        <w:rPr>
          <w:color w:val="auto"/>
          <w:highlight w:val="none"/>
        </w:rPr>
      </w:pPr>
    </w:p>
    <w:p>
      <w:pPr>
        <w:rPr>
          <w:color w:val="auto"/>
          <w:highlight w:val="none"/>
        </w:rPr>
      </w:pPr>
    </w:p>
    <w:p>
      <w:pPr>
        <w:pStyle w:val="3"/>
        <w:rPr>
          <w:color w:val="auto"/>
          <w:highlight w:val="none"/>
        </w:rPr>
      </w:pPr>
      <w:bookmarkStart w:id="16" w:name="_Toc1356"/>
      <w:bookmarkStart w:id="17" w:name="_Toc1020"/>
      <w:bookmarkStart w:id="18" w:name="_Toc16221"/>
      <w:bookmarkStart w:id="19" w:name="_Toc5477"/>
      <w:bookmarkStart w:id="20" w:name="_Toc133482185"/>
      <w:r>
        <w:rPr>
          <w:rFonts w:hint="eastAsia"/>
          <w:color w:val="auto"/>
          <w:highlight w:val="none"/>
        </w:rPr>
        <w:t>三、建设要求</w:t>
      </w:r>
      <w:bookmarkEnd w:id="16"/>
      <w:bookmarkEnd w:id="17"/>
      <w:bookmarkEnd w:id="18"/>
      <w:bookmarkEnd w:id="19"/>
      <w:bookmarkEnd w:id="20"/>
    </w:p>
    <w:p>
      <w:pPr>
        <w:pStyle w:val="4"/>
        <w:numPr>
          <w:ilvl w:val="1"/>
          <w:numId w:val="4"/>
        </w:numPr>
        <w:rPr>
          <w:color w:val="auto"/>
          <w:highlight w:val="none"/>
        </w:rPr>
      </w:pPr>
      <w:bookmarkStart w:id="21" w:name="_Toc10041"/>
      <w:bookmarkStart w:id="22" w:name="_Toc133482186"/>
      <w:bookmarkStart w:id="23" w:name="_Toc1385"/>
      <w:bookmarkStart w:id="24" w:name="_Toc20497"/>
      <w:bookmarkStart w:id="25" w:name="_Toc3985"/>
      <w:r>
        <w:rPr>
          <w:rFonts w:hint="eastAsia"/>
          <w:color w:val="auto"/>
          <w:highlight w:val="none"/>
        </w:rPr>
        <w:t>建设要求</w:t>
      </w:r>
      <w:bookmarkEnd w:id="21"/>
      <w:bookmarkEnd w:id="22"/>
      <w:bookmarkEnd w:id="23"/>
      <w:bookmarkEnd w:id="24"/>
      <w:bookmarkEnd w:id="25"/>
    </w:p>
    <w:p>
      <w:pPr>
        <w:spacing w:line="360" w:lineRule="auto"/>
        <w:ind w:firstLine="420"/>
        <w:rPr>
          <w:color w:val="auto"/>
          <w:highlight w:val="none"/>
        </w:rPr>
      </w:pPr>
      <w:r>
        <w:rPr>
          <w:rFonts w:hint="eastAsia" w:ascii="Arial" w:hAnsi="Arial" w:cs="Arial"/>
          <w:color w:val="auto"/>
          <w:highlight w:val="none"/>
        </w:rPr>
        <w:t>本项目机房UPS系统采购主要是为了满足机房整体建设、运行，包括机房UPS不间断电源系统以及与其他包件的各个产品系统之间相互协调配合，满足机房实际运行需要。</w:t>
      </w:r>
    </w:p>
    <w:p>
      <w:pPr>
        <w:pStyle w:val="4"/>
        <w:numPr>
          <w:ilvl w:val="1"/>
          <w:numId w:val="4"/>
        </w:numPr>
        <w:rPr>
          <w:color w:val="auto"/>
          <w:highlight w:val="none"/>
        </w:rPr>
      </w:pPr>
      <w:bookmarkStart w:id="26" w:name="_Toc8209"/>
      <w:bookmarkStart w:id="27" w:name="_Toc26065"/>
      <w:bookmarkStart w:id="28" w:name="_Toc21525"/>
      <w:bookmarkStart w:id="29" w:name="_Toc16969"/>
      <w:r>
        <w:rPr>
          <w:rFonts w:hint="eastAsia"/>
          <w:color w:val="auto"/>
          <w:highlight w:val="none"/>
        </w:rPr>
        <w:t>建设周期</w:t>
      </w:r>
      <w:bookmarkEnd w:id="26"/>
      <w:bookmarkEnd w:id="27"/>
      <w:bookmarkEnd w:id="28"/>
      <w:bookmarkEnd w:id="29"/>
    </w:p>
    <w:p>
      <w:pPr>
        <w:ind w:firstLine="420"/>
        <w:rPr>
          <w:color w:val="auto"/>
          <w:highlight w:val="none"/>
        </w:rPr>
      </w:pPr>
      <w:r>
        <w:rPr>
          <w:color w:val="auto"/>
          <w:highlight w:val="none"/>
        </w:rPr>
        <w:t>本项目采购机房设备供货及安装调试，总周期不超过</w:t>
      </w:r>
      <w:r>
        <w:rPr>
          <w:rFonts w:hint="eastAsia"/>
          <w:color w:val="auto"/>
          <w:highlight w:val="none"/>
        </w:rPr>
        <w:t>【60】</w:t>
      </w:r>
      <w:r>
        <w:rPr>
          <w:color w:val="auto"/>
          <w:highlight w:val="none"/>
        </w:rPr>
        <w:t>天。</w:t>
      </w:r>
    </w:p>
    <w:p>
      <w:pPr>
        <w:pStyle w:val="4"/>
        <w:numPr>
          <w:ilvl w:val="1"/>
          <w:numId w:val="4"/>
        </w:numPr>
        <w:rPr>
          <w:color w:val="auto"/>
          <w:highlight w:val="none"/>
        </w:rPr>
      </w:pPr>
      <w:bookmarkStart w:id="30" w:name="_Toc19692"/>
      <w:bookmarkStart w:id="31" w:name="_Toc4390"/>
      <w:bookmarkStart w:id="32" w:name="_Toc133482187"/>
      <w:bookmarkStart w:id="33" w:name="_Toc489"/>
      <w:bookmarkStart w:id="34" w:name="_Toc17624"/>
      <w:r>
        <w:rPr>
          <w:rFonts w:hint="eastAsia"/>
          <w:color w:val="auto"/>
          <w:highlight w:val="none"/>
        </w:rPr>
        <w:t>质保要求</w:t>
      </w:r>
      <w:bookmarkEnd w:id="30"/>
      <w:bookmarkEnd w:id="31"/>
      <w:bookmarkEnd w:id="32"/>
      <w:bookmarkEnd w:id="33"/>
      <w:bookmarkEnd w:id="34"/>
    </w:p>
    <w:p>
      <w:pPr>
        <w:ind w:firstLine="420"/>
        <w:rPr>
          <w:color w:val="auto"/>
          <w:highlight w:val="none"/>
        </w:rPr>
      </w:pPr>
      <w:r>
        <w:rPr>
          <w:color w:val="auto"/>
          <w:highlight w:val="none"/>
        </w:rPr>
        <w:t>本项目所供设备须提供不少于</w:t>
      </w:r>
      <w:r>
        <w:rPr>
          <w:rFonts w:hint="eastAsia"/>
          <w:color w:val="auto"/>
          <w:highlight w:val="none"/>
        </w:rPr>
        <w:t>【五】</w:t>
      </w:r>
      <w:r>
        <w:rPr>
          <w:color w:val="auto"/>
          <w:highlight w:val="none"/>
        </w:rPr>
        <w:t>年的原厂质保。</w:t>
      </w:r>
    </w:p>
    <w:p>
      <w:pPr>
        <w:rPr>
          <w:color w:val="auto"/>
          <w:highlight w:val="none"/>
        </w:rPr>
      </w:pPr>
    </w:p>
    <w:p>
      <w:pPr>
        <w:pStyle w:val="3"/>
        <w:numPr>
          <w:ilvl w:val="0"/>
          <w:numId w:val="5"/>
        </w:numPr>
        <w:rPr>
          <w:color w:val="auto"/>
          <w:highlight w:val="none"/>
        </w:rPr>
      </w:pPr>
      <w:bookmarkStart w:id="35" w:name="_Toc133482188"/>
      <w:bookmarkStart w:id="36" w:name="_Toc12501"/>
      <w:bookmarkStart w:id="37" w:name="_Toc29475"/>
      <w:bookmarkStart w:id="38" w:name="_Toc26399"/>
      <w:bookmarkStart w:id="39" w:name="_Toc15595"/>
      <w:r>
        <w:rPr>
          <w:rFonts w:hint="eastAsia"/>
          <w:color w:val="auto"/>
          <w:highlight w:val="none"/>
        </w:rPr>
        <w:t>技术参数要求</w:t>
      </w:r>
      <w:bookmarkEnd w:id="35"/>
      <w:bookmarkEnd w:id="36"/>
      <w:bookmarkEnd w:id="37"/>
      <w:bookmarkEnd w:id="38"/>
      <w:bookmarkEnd w:id="39"/>
    </w:p>
    <w:p>
      <w:pPr>
        <w:pStyle w:val="4"/>
        <w:numPr>
          <w:ilvl w:val="1"/>
          <w:numId w:val="6"/>
        </w:numPr>
        <w:rPr>
          <w:color w:val="auto"/>
          <w:highlight w:val="none"/>
        </w:rPr>
      </w:pPr>
      <w:r>
        <w:rPr>
          <w:rFonts w:hint="eastAsia"/>
          <w:color w:val="auto"/>
          <w:highlight w:val="none"/>
        </w:rPr>
        <w:t>机房UPS不间断电源系统</w:t>
      </w:r>
    </w:p>
    <w:p>
      <w:pPr>
        <w:rPr>
          <w:rFonts w:hint="eastAsia"/>
          <w:color w:val="auto"/>
          <w:highlight w:val="none"/>
        </w:rPr>
      </w:pPr>
      <w:r>
        <w:rPr>
          <w:rFonts w:hint="eastAsia"/>
          <w:color w:val="auto"/>
          <w:highlight w:val="none"/>
        </w:rPr>
        <w:t>高频塔机技术要求：</w:t>
      </w:r>
    </w:p>
    <w:p>
      <w:pPr>
        <w:rPr>
          <w:rFonts w:hint="eastAsia"/>
          <w:color w:val="auto"/>
          <w:highlight w:val="none"/>
        </w:rPr>
      </w:pPr>
    </w:p>
    <w:tbl>
      <w:tblPr>
        <w:tblStyle w:val="17"/>
        <w:tblW w:w="4664" w:type="pct"/>
        <w:tblInd w:w="487" w:type="dxa"/>
        <w:tblLayout w:type="autofit"/>
        <w:tblCellMar>
          <w:top w:w="0" w:type="dxa"/>
          <w:left w:w="108" w:type="dxa"/>
          <w:bottom w:w="0" w:type="dxa"/>
          <w:right w:w="108" w:type="dxa"/>
        </w:tblCellMar>
      </w:tblPr>
      <w:tblGrid>
        <w:gridCol w:w="1086"/>
        <w:gridCol w:w="8910"/>
      </w:tblGrid>
      <w:tr>
        <w:trPr>
          <w:trHeight w:val="280" w:hRule="atLeast"/>
        </w:trPr>
        <w:tc>
          <w:tcPr>
            <w:tcW w:w="5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指标名称</w:t>
            </w:r>
          </w:p>
        </w:tc>
        <w:tc>
          <w:tcPr>
            <w:tcW w:w="4456" w:type="pct"/>
            <w:tcBorders>
              <w:top w:val="single" w:color="auto" w:sz="4" w:space="0"/>
              <w:left w:val="nil"/>
              <w:bottom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主要参数</w:t>
            </w:r>
          </w:p>
        </w:tc>
      </w:tr>
      <w:tr>
        <w:tblPrEx>
          <w:tblCellMar>
            <w:top w:w="0" w:type="dxa"/>
            <w:left w:w="108" w:type="dxa"/>
            <w:bottom w:w="0" w:type="dxa"/>
            <w:right w:w="108" w:type="dxa"/>
          </w:tblCellMar>
        </w:tblPrEx>
        <w:trPr>
          <w:trHeight w:val="280" w:hRule="atLeast"/>
        </w:trPr>
        <w:tc>
          <w:tcPr>
            <w:tcW w:w="543" w:type="pct"/>
            <w:vMerge w:val="restart"/>
            <w:tcBorders>
              <w:top w:val="single" w:color="auto" w:sz="4" w:space="0"/>
              <w:left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总体要求</w:t>
            </w:r>
          </w:p>
        </w:tc>
        <w:tc>
          <w:tcPr>
            <w:tcW w:w="4456" w:type="pct"/>
            <w:tcBorders>
              <w:top w:val="single" w:color="auto" w:sz="4" w:space="0"/>
              <w:left w:val="nil"/>
              <w:bottom w:val="single" w:color="auto" w:sz="4" w:space="0"/>
              <w:right w:val="single" w:color="auto" w:sz="4" w:space="0"/>
            </w:tcBorders>
            <w:shd w:val="clear" w:color="auto" w:fill="auto"/>
            <w:vAlign w:val="center"/>
          </w:tcPr>
          <w:p>
            <w:pPr>
              <w:rPr>
                <w:color w:val="auto"/>
                <w:highlight w:val="none"/>
              </w:rPr>
            </w:pPr>
            <w:r>
              <w:rPr>
                <w:rFonts w:hint="eastAsia"/>
                <w:color w:val="auto"/>
                <w:highlight w:val="none"/>
                <w:lang w:val="hr-HR"/>
              </w:rPr>
              <w:t>1.</w:t>
            </w:r>
            <w:r>
              <w:rPr>
                <w:color w:val="auto"/>
                <w:highlight w:val="none"/>
                <w:lang w:val="hr-HR"/>
              </w:rPr>
              <w:t xml:space="preserve"> </w:t>
            </w:r>
            <w:r>
              <w:rPr>
                <w:rFonts w:hint="eastAsia"/>
                <w:color w:val="auto"/>
                <w:highlight w:val="none"/>
                <w:lang w:val="hr-HR"/>
              </w:rPr>
              <w:t>投标的UPS应为在线式双转换设备，应采用高频</w:t>
            </w:r>
            <w:r>
              <w:rPr>
                <w:rFonts w:hint="eastAsia"/>
                <w:color w:val="auto"/>
                <w:highlight w:val="none"/>
              </w:rPr>
              <w:t>塔式</w:t>
            </w:r>
            <w:r>
              <w:rPr>
                <w:rFonts w:hint="eastAsia"/>
                <w:color w:val="auto"/>
                <w:highlight w:val="none"/>
                <w:lang w:val="hr-HR"/>
              </w:rPr>
              <w:t>UPS，采用IGBT整流型不间断电源设备。</w:t>
            </w:r>
          </w:p>
        </w:tc>
      </w:tr>
      <w:tr>
        <w:tblPrEx>
          <w:tblCellMar>
            <w:top w:w="0" w:type="dxa"/>
            <w:left w:w="108" w:type="dxa"/>
            <w:bottom w:w="0" w:type="dxa"/>
            <w:right w:w="108" w:type="dxa"/>
          </w:tblCellMar>
        </w:tblPrEx>
        <w:trPr>
          <w:trHeight w:val="280" w:hRule="atLeast"/>
        </w:trPr>
        <w:tc>
          <w:tcPr>
            <w:tcW w:w="543" w:type="pct"/>
            <w:vMerge w:val="continue"/>
            <w:tcBorders>
              <w:left w:val="single" w:color="auto" w:sz="4" w:space="0"/>
              <w:right w:val="single" w:color="auto" w:sz="4" w:space="0"/>
            </w:tcBorders>
            <w:shd w:val="clear" w:color="auto" w:fill="auto"/>
            <w:vAlign w:val="center"/>
          </w:tcPr>
          <w:p>
            <w:pPr>
              <w:jc w:val="center"/>
              <w:rPr>
                <w:color w:val="auto"/>
                <w:highlight w:val="none"/>
              </w:rPr>
            </w:pPr>
          </w:p>
        </w:tc>
        <w:tc>
          <w:tcPr>
            <w:tcW w:w="4456" w:type="pct"/>
            <w:tcBorders>
              <w:top w:val="single" w:color="auto" w:sz="4" w:space="0"/>
              <w:left w:val="nil"/>
              <w:bottom w:val="single" w:color="auto" w:sz="4" w:space="0"/>
              <w:right w:val="single" w:color="auto" w:sz="4" w:space="0"/>
            </w:tcBorders>
            <w:shd w:val="clear" w:color="auto" w:fill="auto"/>
            <w:vAlign w:val="center"/>
          </w:tcPr>
          <w:p>
            <w:pPr>
              <w:jc w:val="both"/>
              <w:rPr>
                <w:rFonts w:hint="eastAsia" w:eastAsia="宋体"/>
                <w:color w:val="auto"/>
                <w:highlight w:val="none"/>
                <w:lang w:eastAsia="zh-CN"/>
              </w:rPr>
            </w:pPr>
            <w:r>
              <w:rPr>
                <w:rFonts w:hint="eastAsia" w:ascii="Calibri" w:hAnsi="Calibri"/>
                <w:color w:val="auto"/>
                <w:highlight w:val="none"/>
              </w:rPr>
              <w:t>▲</w:t>
            </w:r>
            <w:r>
              <w:rPr>
                <w:rFonts w:hint="eastAsia"/>
                <w:color w:val="auto"/>
                <w:highlight w:val="none"/>
              </w:rPr>
              <w:t>2</w:t>
            </w:r>
            <w:r>
              <w:rPr>
                <w:rFonts w:hint="eastAsia"/>
                <w:color w:val="auto"/>
                <w:highlight w:val="none"/>
                <w:lang w:val="hr-HR"/>
              </w:rPr>
              <w:t>.为满足后期扩容需求，应支持不少于4台主机并机，且无须配置并机柜，并机总线采用双环形冗余结构。</w:t>
            </w:r>
            <w:r>
              <w:rPr>
                <w:rFonts w:hint="eastAsia"/>
                <w:color w:val="auto"/>
                <w:highlight w:val="none"/>
                <w:lang w:val="hr-HR" w:eastAsia="zh-CN"/>
              </w:rPr>
              <w:t>提供相关材料证明。</w:t>
            </w:r>
          </w:p>
        </w:tc>
      </w:tr>
      <w:tr>
        <w:trPr>
          <w:trHeight w:val="280" w:hRule="atLeast"/>
        </w:trPr>
        <w:tc>
          <w:tcPr>
            <w:tcW w:w="543" w:type="pct"/>
            <w:vMerge w:val="continue"/>
            <w:tcBorders>
              <w:left w:val="single" w:color="auto" w:sz="4" w:space="0"/>
              <w:right w:val="single" w:color="auto" w:sz="4" w:space="0"/>
            </w:tcBorders>
            <w:shd w:val="clear" w:color="auto" w:fill="auto"/>
            <w:vAlign w:val="center"/>
          </w:tcPr>
          <w:p>
            <w:pPr>
              <w:jc w:val="center"/>
              <w:rPr>
                <w:color w:val="auto"/>
                <w:highlight w:val="none"/>
              </w:rPr>
            </w:pPr>
          </w:p>
        </w:tc>
        <w:tc>
          <w:tcPr>
            <w:tcW w:w="4456" w:type="pct"/>
            <w:tcBorders>
              <w:top w:val="single" w:color="auto" w:sz="4" w:space="0"/>
              <w:left w:val="nil"/>
              <w:bottom w:val="single" w:color="auto" w:sz="4" w:space="0"/>
              <w:right w:val="single" w:color="auto" w:sz="4" w:space="0"/>
            </w:tcBorders>
            <w:shd w:val="clear" w:color="auto" w:fill="auto"/>
            <w:vAlign w:val="center"/>
          </w:tcPr>
          <w:p>
            <w:pPr>
              <w:jc w:val="both"/>
              <w:rPr>
                <w:color w:val="auto"/>
                <w:highlight w:val="none"/>
                <w:lang w:val="hr-HR"/>
              </w:rPr>
            </w:pPr>
            <w:r>
              <w:rPr>
                <w:rFonts w:hint="eastAsia"/>
                <w:color w:val="auto"/>
                <w:highlight w:val="none"/>
              </w:rPr>
              <w:t>3</w:t>
            </w:r>
            <w:r>
              <w:rPr>
                <w:rFonts w:hint="eastAsia"/>
                <w:color w:val="auto"/>
                <w:highlight w:val="none"/>
                <w:lang w:val="hr-HR"/>
              </w:rPr>
              <w:t>.为保证UPS产品的高效节能、绿色环保，UPS输入功率因数高达0.99，整机效率＞95.5%。</w:t>
            </w:r>
          </w:p>
        </w:tc>
      </w:tr>
      <w:tr>
        <w:trPr>
          <w:trHeight w:val="280" w:hRule="atLeast"/>
        </w:trPr>
        <w:tc>
          <w:tcPr>
            <w:tcW w:w="543" w:type="pct"/>
            <w:vMerge w:val="continue"/>
            <w:tcBorders>
              <w:left w:val="single" w:color="auto" w:sz="4" w:space="0"/>
              <w:right w:val="single" w:color="auto" w:sz="4" w:space="0"/>
            </w:tcBorders>
            <w:shd w:val="clear" w:color="auto" w:fill="auto"/>
            <w:vAlign w:val="center"/>
          </w:tcPr>
          <w:p>
            <w:pPr>
              <w:jc w:val="center"/>
              <w:rPr>
                <w:color w:val="auto"/>
                <w:highlight w:val="none"/>
              </w:rPr>
            </w:pPr>
          </w:p>
        </w:tc>
        <w:tc>
          <w:tcPr>
            <w:tcW w:w="4456" w:type="pct"/>
            <w:tcBorders>
              <w:top w:val="single" w:color="auto" w:sz="4" w:space="0"/>
              <w:left w:val="nil"/>
              <w:bottom w:val="single" w:color="auto" w:sz="4" w:space="0"/>
              <w:right w:val="single" w:color="auto" w:sz="4" w:space="0"/>
            </w:tcBorders>
            <w:shd w:val="clear" w:color="auto" w:fill="auto"/>
            <w:vAlign w:val="center"/>
          </w:tcPr>
          <w:p>
            <w:pPr>
              <w:pStyle w:val="24"/>
              <w:numPr>
                <w:ilvl w:val="0"/>
                <w:numId w:val="0"/>
              </w:numPr>
              <w:rPr>
                <w:rFonts w:ascii="Times New Roman" w:hAnsi="Times New Roman"/>
                <w:color w:val="auto"/>
                <w:szCs w:val="24"/>
                <w:highlight w:val="none"/>
              </w:rPr>
            </w:pPr>
            <w:r>
              <w:rPr>
                <w:rFonts w:hint="eastAsia" w:ascii="Times New Roman" w:hAnsi="Times New Roman"/>
                <w:color w:val="auto"/>
                <w:szCs w:val="24"/>
                <w:highlight w:val="none"/>
              </w:rPr>
              <w:t>4</w:t>
            </w:r>
            <w:r>
              <w:rPr>
                <w:rFonts w:hint="eastAsia" w:ascii="Times New Roman" w:hAnsi="Times New Roman"/>
                <w:color w:val="auto"/>
                <w:szCs w:val="24"/>
                <w:highlight w:val="none"/>
                <w:lang w:val="hr-HR"/>
              </w:rPr>
              <w:t>.UPS标配电池冷启动功能。</w:t>
            </w:r>
          </w:p>
        </w:tc>
      </w:tr>
      <w:tr>
        <w:tblPrEx>
          <w:tblCellMar>
            <w:top w:w="0" w:type="dxa"/>
            <w:left w:w="108" w:type="dxa"/>
            <w:bottom w:w="0" w:type="dxa"/>
            <w:right w:w="108" w:type="dxa"/>
          </w:tblCellMar>
        </w:tblPrEx>
        <w:trPr>
          <w:trHeight w:val="90" w:hRule="atLeast"/>
        </w:trPr>
        <w:tc>
          <w:tcPr>
            <w:tcW w:w="543" w:type="pct"/>
            <w:vMerge w:val="continue"/>
            <w:tcBorders>
              <w:left w:val="single" w:color="auto" w:sz="4" w:space="0"/>
              <w:right w:val="single" w:color="auto" w:sz="4" w:space="0"/>
            </w:tcBorders>
            <w:shd w:val="clear" w:color="auto" w:fill="auto"/>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rFonts w:ascii="Times New Roman" w:hAnsi="Times New Roman"/>
                <w:color w:val="auto"/>
                <w:szCs w:val="24"/>
                <w:highlight w:val="none"/>
              </w:rPr>
            </w:pPr>
            <w:r>
              <w:rPr>
                <w:rFonts w:hint="eastAsia" w:ascii="Times New Roman" w:hAnsi="Times New Roman"/>
                <w:color w:val="auto"/>
                <w:szCs w:val="24"/>
                <w:highlight w:val="none"/>
              </w:rPr>
              <w:t>5</w:t>
            </w:r>
            <w:r>
              <w:rPr>
                <w:rFonts w:hint="eastAsia" w:ascii="Times New Roman" w:hAnsi="Times New Roman"/>
                <w:color w:val="auto"/>
                <w:szCs w:val="24"/>
                <w:highlight w:val="none"/>
                <w:lang w:val="hr-HR"/>
              </w:rPr>
              <w:t>.智能化</w:t>
            </w:r>
            <w:bookmarkStart w:id="40" w:name="_Hlk77867513"/>
            <w:r>
              <w:rPr>
                <w:rFonts w:hint="eastAsia" w:ascii="Times New Roman" w:hAnsi="Times New Roman"/>
                <w:color w:val="auto"/>
                <w:szCs w:val="24"/>
                <w:highlight w:val="none"/>
                <w:lang w:val="hr-HR"/>
              </w:rPr>
              <w:t>电池管理功能：具有电池管理功能丰富，具有电池标准测试/深度测试/取消测试，可以开启或关闭定时均充、强制均充、强制充电等</w:t>
            </w:r>
            <w:bookmarkEnd w:id="40"/>
            <w:r>
              <w:rPr>
                <w:rFonts w:hint="eastAsia" w:ascii="Times New Roman" w:hAnsi="Times New Roman"/>
                <w:color w:val="auto"/>
                <w:szCs w:val="24"/>
                <w:highlight w:val="none"/>
                <w:lang w:val="hr-HR"/>
              </w:rPr>
              <w:t>功能。要求提供针对该功能设置界面的证明材料。</w:t>
            </w:r>
          </w:p>
        </w:tc>
      </w:tr>
      <w:tr>
        <w:tblPrEx>
          <w:tblCellMar>
            <w:top w:w="0" w:type="dxa"/>
            <w:left w:w="108" w:type="dxa"/>
            <w:bottom w:w="0" w:type="dxa"/>
            <w:right w:w="108" w:type="dxa"/>
          </w:tblCellMar>
        </w:tblPrEx>
        <w:trPr>
          <w:trHeight w:val="660"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rPr>
              <w:t>6</w:t>
            </w:r>
            <w:r>
              <w:rPr>
                <w:rFonts w:hint="eastAsia"/>
                <w:color w:val="auto"/>
                <w:highlight w:val="none"/>
                <w:lang w:val="hr-HR"/>
              </w:rPr>
              <w:t>.通信系统：系统配置标准RS485 通信接口，提供开放的通信协议及配套软件，并具备并机、LBS、远程通讯等接口。</w:t>
            </w:r>
          </w:p>
        </w:tc>
      </w:tr>
      <w:tr>
        <w:trPr>
          <w:trHeight w:val="514"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rPr>
              <w:t>7</w:t>
            </w:r>
            <w:r>
              <w:rPr>
                <w:rFonts w:hint="eastAsia"/>
                <w:color w:val="auto"/>
                <w:highlight w:val="none"/>
                <w:lang w:val="hr-HR"/>
              </w:rPr>
              <w:t>.UPS必须提供远程EPO接口。</w:t>
            </w:r>
          </w:p>
        </w:tc>
      </w:tr>
      <w:tr>
        <w:trPr>
          <w:trHeight w:val="720"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jc w:val="both"/>
              <w:rPr>
                <w:color w:val="auto"/>
                <w:highlight w:val="none"/>
              </w:rPr>
            </w:pPr>
            <w:r>
              <w:rPr>
                <w:rFonts w:hint="eastAsia" w:ascii="Calibri" w:hAnsi="Calibri"/>
                <w:color w:val="auto"/>
                <w:highlight w:val="none"/>
              </w:rPr>
              <w:t>▲</w:t>
            </w:r>
            <w:r>
              <w:rPr>
                <w:rFonts w:hint="eastAsia"/>
                <w:color w:val="auto"/>
                <w:highlight w:val="none"/>
              </w:rPr>
              <w:t>8.UPS应标配不少于4.3英寸LCD触摸屏，同时具有组合按键及LED指示的人机交互。要求ups操作界面具有双键组合开关机设计，主机开机/关机必须同时按ON双键组合键，关机同时按OFF双键组合键；要求提供生产厂家设备照片证明材料。</w:t>
            </w:r>
          </w:p>
        </w:tc>
      </w:tr>
      <w:tr>
        <w:tblPrEx>
          <w:tblCellMar>
            <w:top w:w="0" w:type="dxa"/>
            <w:left w:w="108" w:type="dxa"/>
            <w:bottom w:w="0" w:type="dxa"/>
            <w:right w:w="108" w:type="dxa"/>
          </w:tblCellMar>
        </w:tblPrEx>
        <w:trPr>
          <w:trHeight w:val="906"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jc w:val="both"/>
              <w:rPr>
                <w:color w:val="auto"/>
                <w:highlight w:val="none"/>
                <w:lang w:val="hr-HR"/>
              </w:rPr>
            </w:pPr>
            <w:r>
              <w:rPr>
                <w:rFonts w:hint="eastAsia" w:ascii="Calibri" w:hAnsi="Calibri"/>
                <w:color w:val="auto"/>
                <w:highlight w:val="none"/>
              </w:rPr>
              <w:t>▲</w:t>
            </w:r>
            <w:r>
              <w:rPr>
                <w:rFonts w:hint="eastAsia"/>
                <w:color w:val="auto"/>
                <w:highlight w:val="none"/>
              </w:rPr>
              <w:t>9. UPS具备自动除尘功能，当设备运行周期较长或设备积尘过多时，UPS启动自动在线除尘功能，无需停机维护。要求提供针对该功能设置界面的实际照片证明材料。</w:t>
            </w:r>
          </w:p>
        </w:tc>
      </w:tr>
      <w:tr>
        <w:tblPrEx>
          <w:tblCellMar>
            <w:top w:w="0" w:type="dxa"/>
            <w:left w:w="108" w:type="dxa"/>
            <w:bottom w:w="0" w:type="dxa"/>
            <w:right w:w="108" w:type="dxa"/>
          </w:tblCellMar>
        </w:tblPrEx>
        <w:trPr>
          <w:trHeight w:val="470" w:hRule="atLeast"/>
        </w:trPr>
        <w:tc>
          <w:tcPr>
            <w:tcW w:w="543" w:type="pct"/>
            <w:vMerge w:val="restart"/>
            <w:tcBorders>
              <w:top w:val="nil"/>
              <w:left w:val="single" w:color="auto" w:sz="4" w:space="0"/>
              <w:bottom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电气技术要求</w:t>
            </w: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1.输入电压范围：</w:t>
            </w:r>
            <w:r>
              <w:rPr>
                <w:rFonts w:hint="eastAsia"/>
                <w:color w:val="auto"/>
                <w:highlight w:val="none"/>
              </w:rPr>
              <w:t>304</w:t>
            </w:r>
            <w:r>
              <w:rPr>
                <w:rFonts w:hint="eastAsia"/>
                <w:color w:val="auto"/>
                <w:highlight w:val="none"/>
                <w:lang w:val="hr-HR"/>
              </w:rPr>
              <w:t>-4</w:t>
            </w:r>
            <w:r>
              <w:rPr>
                <w:rFonts w:hint="eastAsia"/>
                <w:color w:val="auto"/>
                <w:highlight w:val="none"/>
              </w:rPr>
              <w:t>75</w:t>
            </w:r>
            <w:r>
              <w:rPr>
                <w:rFonts w:hint="eastAsia"/>
                <w:color w:val="auto"/>
                <w:highlight w:val="none"/>
                <w:lang w:val="hr-HR"/>
              </w:rPr>
              <w:t xml:space="preserve">VAC </w:t>
            </w:r>
          </w:p>
        </w:tc>
      </w:tr>
      <w:tr>
        <w:trPr>
          <w:trHeight w:val="398"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color w:val="auto"/>
                <w:highlight w:val="none"/>
                <w:lang w:val="hr-HR"/>
              </w:rPr>
              <w:t>2.</w:t>
            </w:r>
            <w:r>
              <w:rPr>
                <w:rFonts w:hint="eastAsia"/>
                <w:color w:val="auto"/>
                <w:highlight w:val="none"/>
                <w:lang w:val="hr-HR"/>
              </w:rPr>
              <w:t>输入功率因数：</w:t>
            </w:r>
            <w:r>
              <w:rPr>
                <w:color w:val="auto"/>
                <w:highlight w:val="none"/>
                <w:lang w:val="hr-HR"/>
              </w:rPr>
              <w:t>100%</w:t>
            </w:r>
            <w:r>
              <w:rPr>
                <w:rFonts w:hint="eastAsia"/>
                <w:color w:val="auto"/>
                <w:highlight w:val="none"/>
                <w:lang w:val="hr-HR"/>
              </w:rPr>
              <w:t>额定负载时大于</w:t>
            </w:r>
            <w:r>
              <w:rPr>
                <w:color w:val="auto"/>
                <w:highlight w:val="none"/>
                <w:lang w:val="hr-HR"/>
              </w:rPr>
              <w:t>0.99</w:t>
            </w:r>
          </w:p>
        </w:tc>
      </w:tr>
      <w:tr>
        <w:trPr>
          <w:trHeight w:val="41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color w:val="auto"/>
                <w:highlight w:val="none"/>
                <w:lang w:val="hr-HR"/>
              </w:rPr>
              <w:t>3.</w:t>
            </w:r>
            <w:r>
              <w:rPr>
                <w:rFonts w:hint="eastAsia"/>
                <w:color w:val="auto"/>
                <w:highlight w:val="none"/>
                <w:lang w:val="hr-HR"/>
              </w:rPr>
              <w:t>输入电流失真</w:t>
            </w:r>
            <w:r>
              <w:rPr>
                <w:color w:val="auto"/>
                <w:highlight w:val="none"/>
                <w:lang w:val="hr-HR"/>
              </w:rPr>
              <w:t>THDi</w:t>
            </w:r>
            <w:r>
              <w:rPr>
                <w:rFonts w:hint="eastAsia"/>
                <w:color w:val="auto"/>
                <w:highlight w:val="none"/>
                <w:lang w:val="hr-HR"/>
              </w:rPr>
              <w:t>：线性负载小于</w:t>
            </w:r>
            <w:r>
              <w:rPr>
                <w:color w:val="auto"/>
                <w:highlight w:val="none"/>
                <w:lang w:val="hr-HR"/>
              </w:rPr>
              <w:t>3%</w:t>
            </w:r>
            <w:r>
              <w:rPr>
                <w:rFonts w:hint="eastAsia"/>
                <w:color w:val="auto"/>
                <w:highlight w:val="none"/>
                <w:lang w:val="hr-HR"/>
              </w:rPr>
              <w:t>，非线性负载小于</w:t>
            </w:r>
            <w:r>
              <w:rPr>
                <w:color w:val="auto"/>
                <w:highlight w:val="none"/>
                <w:lang w:val="hr-HR"/>
              </w:rPr>
              <w:t>5%</w:t>
            </w:r>
          </w:p>
        </w:tc>
      </w:tr>
      <w:tr>
        <w:tblPrEx>
          <w:tblCellMar>
            <w:top w:w="0" w:type="dxa"/>
            <w:left w:w="108" w:type="dxa"/>
            <w:bottom w:w="0" w:type="dxa"/>
            <w:right w:w="108" w:type="dxa"/>
          </w:tblCellMar>
        </w:tblPrEx>
        <w:trPr>
          <w:trHeight w:val="43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color w:val="auto"/>
                <w:highlight w:val="none"/>
                <w:lang w:val="hr-HR"/>
              </w:rPr>
              <w:t>4.</w:t>
            </w:r>
            <w:r>
              <w:rPr>
                <w:rFonts w:hint="eastAsia"/>
                <w:color w:val="auto"/>
                <w:highlight w:val="none"/>
                <w:lang w:val="hr-HR"/>
              </w:rPr>
              <w:t>输出电压稳压精度：不大于1%</w:t>
            </w:r>
          </w:p>
        </w:tc>
      </w:tr>
      <w:tr>
        <w:tblPrEx>
          <w:tblCellMar>
            <w:top w:w="0" w:type="dxa"/>
            <w:left w:w="108" w:type="dxa"/>
            <w:bottom w:w="0" w:type="dxa"/>
            <w:right w:w="108" w:type="dxa"/>
          </w:tblCellMar>
        </w:tblPrEx>
        <w:trPr>
          <w:trHeight w:val="9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color w:val="auto"/>
                <w:highlight w:val="none"/>
                <w:lang w:val="hr-HR"/>
              </w:rPr>
              <w:t>5.</w:t>
            </w:r>
            <w:r>
              <w:rPr>
                <w:rFonts w:hint="eastAsia"/>
                <w:color w:val="auto"/>
                <w:highlight w:val="none"/>
                <w:lang w:val="hr-HR"/>
              </w:rPr>
              <w:t>输出功率因数：大于</w:t>
            </w:r>
            <w:r>
              <w:rPr>
                <w:color w:val="auto"/>
                <w:highlight w:val="none"/>
                <w:lang w:val="hr-HR"/>
              </w:rPr>
              <w:t>0.99</w:t>
            </w:r>
            <w:r>
              <w:rPr>
                <w:rFonts w:hint="eastAsia"/>
                <w:color w:val="auto"/>
                <w:highlight w:val="none"/>
                <w:lang w:val="hr-HR"/>
              </w:rPr>
              <w:t>满载。</w:t>
            </w:r>
          </w:p>
        </w:tc>
      </w:tr>
      <w:tr>
        <w:trPr>
          <w:trHeight w:val="42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rFonts w:hint="eastAsia"/>
                <w:color w:val="auto"/>
                <w:highlight w:val="none"/>
                <w:lang w:val="hr-HR"/>
              </w:rPr>
              <w:t>6</w:t>
            </w:r>
            <w:r>
              <w:rPr>
                <w:color w:val="auto"/>
                <w:highlight w:val="none"/>
                <w:lang w:val="hr-HR"/>
              </w:rPr>
              <w:t>.</w:t>
            </w:r>
            <w:r>
              <w:rPr>
                <w:rFonts w:hint="eastAsia"/>
                <w:color w:val="auto"/>
                <w:highlight w:val="none"/>
                <w:lang w:val="hr-HR"/>
              </w:rPr>
              <w:t>输出电压不平衡度：不大于3%。</w:t>
            </w:r>
          </w:p>
        </w:tc>
      </w:tr>
      <w:tr>
        <w:trPr>
          <w:trHeight w:val="450" w:hRule="atLeast"/>
        </w:trPr>
        <w:tc>
          <w:tcPr>
            <w:tcW w:w="543" w:type="pct"/>
            <w:vMerge w:val="restart"/>
            <w:tcBorders>
              <w:top w:val="nil"/>
              <w:left w:val="single" w:color="auto" w:sz="4" w:space="0"/>
              <w:bottom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电池与充电特性</w:t>
            </w: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color w:val="auto"/>
                <w:highlight w:val="none"/>
                <w:lang w:val="hr-HR"/>
              </w:rPr>
              <w:t>1.</w:t>
            </w:r>
            <w:r>
              <w:rPr>
                <w:rFonts w:hint="eastAsia"/>
                <w:color w:val="auto"/>
                <w:highlight w:val="none"/>
                <w:lang w:val="hr-HR"/>
              </w:rPr>
              <w:t>电池</w:t>
            </w:r>
            <w:r>
              <w:rPr>
                <w:rFonts w:hint="eastAsia"/>
                <w:color w:val="auto"/>
                <w:highlight w:val="none"/>
              </w:rPr>
              <w:t>节数：32</w:t>
            </w:r>
            <w:r>
              <w:rPr>
                <w:color w:val="auto"/>
                <w:highlight w:val="none"/>
                <w:lang w:val="hr-HR"/>
              </w:rPr>
              <w:t>~</w:t>
            </w:r>
            <w:r>
              <w:rPr>
                <w:rFonts w:hint="eastAsia"/>
                <w:color w:val="auto"/>
                <w:highlight w:val="none"/>
              </w:rPr>
              <w:t>40</w:t>
            </w:r>
            <w:r>
              <w:rPr>
                <w:rFonts w:hint="eastAsia"/>
                <w:color w:val="auto"/>
                <w:highlight w:val="none"/>
                <w:lang w:val="hr-HR"/>
              </w:rPr>
              <w:t>节可调。</w:t>
            </w:r>
          </w:p>
        </w:tc>
      </w:tr>
      <w:tr>
        <w:tblPrEx>
          <w:tblCellMar>
            <w:top w:w="0" w:type="dxa"/>
            <w:left w:w="108" w:type="dxa"/>
            <w:bottom w:w="0" w:type="dxa"/>
            <w:right w:w="108" w:type="dxa"/>
          </w:tblCellMar>
        </w:tblPrEx>
        <w:trPr>
          <w:trHeight w:val="36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color w:val="auto"/>
                <w:highlight w:val="none"/>
                <w:lang w:val="hr-HR"/>
              </w:rPr>
              <w:t>2.</w:t>
            </w:r>
            <w:r>
              <w:rPr>
                <w:rFonts w:hint="eastAsia"/>
                <w:color w:val="auto"/>
                <w:highlight w:val="none"/>
                <w:lang w:val="hr-HR"/>
              </w:rPr>
              <w:t>具备电池冷启动功能。</w:t>
            </w:r>
          </w:p>
        </w:tc>
      </w:tr>
      <w:tr>
        <w:tblPrEx>
          <w:tblCellMar>
            <w:top w:w="0" w:type="dxa"/>
            <w:left w:w="108" w:type="dxa"/>
            <w:bottom w:w="0" w:type="dxa"/>
            <w:right w:w="108" w:type="dxa"/>
          </w:tblCellMar>
        </w:tblPrEx>
        <w:trPr>
          <w:trHeight w:val="40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ascii="Calibri" w:hAnsi="Calibri"/>
                <w:color w:val="auto"/>
                <w:highlight w:val="none"/>
              </w:rPr>
              <w:t>▲</w:t>
            </w:r>
            <w:r>
              <w:rPr>
                <w:color w:val="auto"/>
                <w:highlight w:val="none"/>
                <w:lang w:val="hr-HR"/>
              </w:rPr>
              <w:t>3. UPS</w:t>
            </w:r>
            <w:r>
              <w:rPr>
                <w:rFonts w:hint="eastAsia"/>
                <w:color w:val="auto"/>
                <w:highlight w:val="none"/>
                <w:lang w:val="hr-HR"/>
              </w:rPr>
              <w:t>并机运行时，支持电池组共用，提供用户手册等证明材料。</w:t>
            </w:r>
          </w:p>
        </w:tc>
      </w:tr>
    </w:tbl>
    <w:p>
      <w:pPr>
        <w:rPr>
          <w:color w:val="auto"/>
          <w:highlight w:val="none"/>
        </w:rPr>
      </w:pPr>
    </w:p>
    <w:p>
      <w:pPr>
        <w:rPr>
          <w:color w:val="auto"/>
          <w:highlight w:val="none"/>
        </w:rPr>
      </w:pPr>
      <w:r>
        <w:rPr>
          <w:rFonts w:hint="eastAsia"/>
          <w:color w:val="auto"/>
          <w:highlight w:val="none"/>
        </w:rPr>
        <w:t>模块机技术要求（</w:t>
      </w:r>
      <w:r>
        <w:rPr>
          <w:rFonts w:hint="eastAsia" w:ascii="宋体" w:hAnsi="宋体" w:cs="宋体"/>
          <w:color w:val="auto"/>
          <w:kern w:val="0"/>
          <w:szCs w:val="21"/>
          <w:highlight w:val="none"/>
          <w:lang w:bidi="ar"/>
        </w:rPr>
        <w:t>单功率模块≥</w:t>
      </w:r>
      <w:r>
        <w:rPr>
          <w:rFonts w:hint="eastAsia"/>
          <w:color w:val="auto"/>
          <w:highlight w:val="none"/>
        </w:rPr>
        <w:t>30KVA）：</w:t>
      </w:r>
    </w:p>
    <w:tbl>
      <w:tblPr>
        <w:tblStyle w:val="17"/>
        <w:tblW w:w="4664" w:type="pct"/>
        <w:tblInd w:w="487" w:type="dxa"/>
        <w:tblLayout w:type="autofit"/>
        <w:tblCellMar>
          <w:top w:w="0" w:type="dxa"/>
          <w:left w:w="108" w:type="dxa"/>
          <w:bottom w:w="0" w:type="dxa"/>
          <w:right w:w="108" w:type="dxa"/>
        </w:tblCellMar>
      </w:tblPr>
      <w:tblGrid>
        <w:gridCol w:w="1086"/>
        <w:gridCol w:w="8910"/>
      </w:tblGrid>
      <w:tr>
        <w:tblPrEx>
          <w:tblCellMar>
            <w:top w:w="0" w:type="dxa"/>
            <w:left w:w="108" w:type="dxa"/>
            <w:bottom w:w="0" w:type="dxa"/>
            <w:right w:w="108" w:type="dxa"/>
          </w:tblCellMar>
        </w:tblPrEx>
        <w:trPr>
          <w:trHeight w:val="280" w:hRule="atLeast"/>
        </w:trPr>
        <w:tc>
          <w:tcPr>
            <w:tcW w:w="5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highlight w:val="none"/>
              </w:rPr>
            </w:pPr>
            <w:bookmarkStart w:id="41" w:name="RANGE!B2"/>
            <w:r>
              <w:rPr>
                <w:rFonts w:hint="eastAsia"/>
                <w:color w:val="auto"/>
                <w:highlight w:val="none"/>
              </w:rPr>
              <w:t>指标名称</w:t>
            </w:r>
            <w:bookmarkEnd w:id="41"/>
          </w:p>
        </w:tc>
        <w:tc>
          <w:tcPr>
            <w:tcW w:w="4456" w:type="pct"/>
            <w:tcBorders>
              <w:top w:val="single" w:color="auto" w:sz="4" w:space="0"/>
              <w:left w:val="nil"/>
              <w:bottom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主要参数</w:t>
            </w:r>
          </w:p>
        </w:tc>
      </w:tr>
      <w:tr>
        <w:tblPrEx>
          <w:tblCellMar>
            <w:top w:w="0" w:type="dxa"/>
            <w:left w:w="108" w:type="dxa"/>
            <w:bottom w:w="0" w:type="dxa"/>
            <w:right w:w="108" w:type="dxa"/>
          </w:tblCellMar>
        </w:tblPrEx>
        <w:trPr>
          <w:trHeight w:val="280" w:hRule="atLeast"/>
        </w:trPr>
        <w:tc>
          <w:tcPr>
            <w:tcW w:w="543" w:type="pct"/>
            <w:vMerge w:val="restart"/>
            <w:tcBorders>
              <w:top w:val="single" w:color="auto" w:sz="4" w:space="0"/>
              <w:left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总体要求</w:t>
            </w:r>
          </w:p>
        </w:tc>
        <w:tc>
          <w:tcPr>
            <w:tcW w:w="4456" w:type="pct"/>
            <w:tcBorders>
              <w:top w:val="single" w:color="auto" w:sz="4" w:space="0"/>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▲1. 模块化ups系统方可分期建设，其额定容量不低于基本要求，单个模块功率要求≥30kVA。要求提供设备样本证明材料。</w:t>
            </w:r>
          </w:p>
        </w:tc>
      </w:tr>
      <w:tr>
        <w:tblPrEx>
          <w:tblCellMar>
            <w:top w:w="0" w:type="dxa"/>
            <w:left w:w="108" w:type="dxa"/>
            <w:bottom w:w="0" w:type="dxa"/>
            <w:right w:w="108" w:type="dxa"/>
          </w:tblCellMar>
        </w:tblPrEx>
        <w:trPr>
          <w:trHeight w:val="280" w:hRule="atLeast"/>
        </w:trPr>
        <w:tc>
          <w:tcPr>
            <w:tcW w:w="543" w:type="pct"/>
            <w:vMerge w:val="continue"/>
            <w:tcBorders>
              <w:left w:val="single" w:color="auto" w:sz="4" w:space="0"/>
              <w:right w:val="single" w:color="auto" w:sz="4" w:space="0"/>
            </w:tcBorders>
            <w:shd w:val="clear" w:color="auto" w:fill="auto"/>
            <w:vAlign w:val="center"/>
          </w:tcPr>
          <w:p>
            <w:pPr>
              <w:jc w:val="center"/>
              <w:rPr>
                <w:color w:val="auto"/>
                <w:highlight w:val="none"/>
              </w:rPr>
            </w:pPr>
          </w:p>
        </w:tc>
        <w:tc>
          <w:tcPr>
            <w:tcW w:w="4456" w:type="pct"/>
            <w:tcBorders>
              <w:top w:val="single" w:color="auto" w:sz="4" w:space="0"/>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2.模块化ups支持多机并联，应采用无主从并联技术，可多台扩容并联或N+X并联冗余。并联数量&gt;6台，要求提供并联设置界面的证明材料；并联技术是厂家自主研发的并联技术，需提供相关证明材料。</w:t>
            </w:r>
          </w:p>
        </w:tc>
      </w:tr>
      <w:tr>
        <w:tblPrEx>
          <w:tblCellMar>
            <w:top w:w="0" w:type="dxa"/>
            <w:left w:w="108" w:type="dxa"/>
            <w:bottom w:w="0" w:type="dxa"/>
            <w:right w:w="108" w:type="dxa"/>
          </w:tblCellMar>
        </w:tblPrEx>
        <w:trPr>
          <w:trHeight w:val="280" w:hRule="atLeast"/>
        </w:trPr>
        <w:tc>
          <w:tcPr>
            <w:tcW w:w="543" w:type="pct"/>
            <w:vMerge w:val="continue"/>
            <w:tcBorders>
              <w:left w:val="single" w:color="auto" w:sz="4" w:space="0"/>
              <w:right w:val="single" w:color="auto" w:sz="4" w:space="0"/>
            </w:tcBorders>
            <w:shd w:val="clear" w:color="auto" w:fill="auto"/>
            <w:vAlign w:val="center"/>
          </w:tcPr>
          <w:p>
            <w:pPr>
              <w:jc w:val="center"/>
              <w:rPr>
                <w:color w:val="auto"/>
                <w:highlight w:val="none"/>
              </w:rPr>
            </w:pPr>
          </w:p>
        </w:tc>
        <w:tc>
          <w:tcPr>
            <w:tcW w:w="4456" w:type="pct"/>
            <w:tcBorders>
              <w:top w:val="single" w:color="auto" w:sz="4" w:space="0"/>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3.模块化UPS应具备智能发电机管理功能；模块化ups应能够设置发电机启动模式\发电机功率\启动发电机等参数；通过UPS管理界面重新定义发电机供电功率与UPS匹配，要求提供针对该功能设置界面的证明材料。</w:t>
            </w:r>
          </w:p>
        </w:tc>
      </w:tr>
      <w:tr>
        <w:tblPrEx>
          <w:tblCellMar>
            <w:top w:w="0" w:type="dxa"/>
            <w:left w:w="108" w:type="dxa"/>
            <w:bottom w:w="0" w:type="dxa"/>
            <w:right w:w="108" w:type="dxa"/>
          </w:tblCellMar>
        </w:tblPrEx>
        <w:trPr>
          <w:trHeight w:val="280" w:hRule="atLeast"/>
        </w:trPr>
        <w:tc>
          <w:tcPr>
            <w:tcW w:w="543" w:type="pct"/>
            <w:vMerge w:val="continue"/>
            <w:tcBorders>
              <w:left w:val="single" w:color="auto" w:sz="4" w:space="0"/>
              <w:right w:val="single" w:color="auto" w:sz="4" w:space="0"/>
            </w:tcBorders>
            <w:shd w:val="clear" w:color="auto" w:fill="auto"/>
            <w:vAlign w:val="center"/>
          </w:tcPr>
          <w:p>
            <w:pPr>
              <w:jc w:val="center"/>
              <w:rPr>
                <w:color w:val="auto"/>
                <w:highlight w:val="none"/>
              </w:rPr>
            </w:pPr>
          </w:p>
        </w:tc>
        <w:tc>
          <w:tcPr>
            <w:tcW w:w="4456" w:type="pct"/>
            <w:tcBorders>
              <w:top w:val="single" w:color="auto" w:sz="4" w:space="0"/>
              <w:left w:val="nil"/>
              <w:bottom w:val="single" w:color="auto" w:sz="4" w:space="0"/>
              <w:right w:val="single" w:color="auto" w:sz="4" w:space="0"/>
            </w:tcBorders>
            <w:shd w:val="clear" w:color="auto" w:fill="auto"/>
            <w:vAlign w:val="center"/>
          </w:tcPr>
          <w:p>
            <w:pPr>
              <w:pStyle w:val="24"/>
              <w:numPr>
                <w:ilvl w:val="0"/>
                <w:numId w:val="0"/>
              </w:numPr>
              <w:rPr>
                <w:rFonts w:ascii="Times New Roman" w:hAnsi="Times New Roman"/>
                <w:color w:val="auto"/>
                <w:szCs w:val="24"/>
                <w:highlight w:val="none"/>
                <w:lang w:val="hr-HR"/>
              </w:rPr>
            </w:pPr>
            <w:r>
              <w:rPr>
                <w:rFonts w:hint="eastAsia" w:ascii="Times New Roman" w:hAnsi="Times New Roman"/>
                <w:color w:val="auto"/>
                <w:szCs w:val="24"/>
                <w:highlight w:val="none"/>
                <w:lang w:val="hr-HR"/>
              </w:rPr>
              <w:t>4.模块化UPS主机应具有易损器件失效预告警开启或关闭功能。要求提供功能设置界面证明材料。</w:t>
            </w:r>
          </w:p>
        </w:tc>
      </w:tr>
      <w:tr>
        <w:tblPrEx>
          <w:tblCellMar>
            <w:top w:w="0" w:type="dxa"/>
            <w:left w:w="108" w:type="dxa"/>
            <w:bottom w:w="0" w:type="dxa"/>
            <w:right w:w="108" w:type="dxa"/>
          </w:tblCellMar>
        </w:tblPrEx>
        <w:trPr>
          <w:trHeight w:val="90" w:hRule="atLeast"/>
        </w:trPr>
        <w:tc>
          <w:tcPr>
            <w:tcW w:w="543" w:type="pct"/>
            <w:vMerge w:val="continue"/>
            <w:tcBorders>
              <w:left w:val="single" w:color="auto" w:sz="4" w:space="0"/>
              <w:right w:val="single" w:color="auto" w:sz="4" w:space="0"/>
            </w:tcBorders>
            <w:shd w:val="clear" w:color="auto" w:fill="auto"/>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rFonts w:ascii="Times New Roman" w:hAnsi="Times New Roman"/>
                <w:color w:val="auto"/>
                <w:szCs w:val="24"/>
                <w:highlight w:val="none"/>
                <w:lang w:val="hr-HR"/>
              </w:rPr>
            </w:pPr>
            <w:r>
              <w:rPr>
                <w:rFonts w:hint="eastAsia" w:ascii="Times New Roman" w:hAnsi="Times New Roman"/>
                <w:color w:val="auto"/>
                <w:szCs w:val="24"/>
                <w:highlight w:val="none"/>
                <w:lang w:val="hr-HR"/>
              </w:rPr>
              <w:t>5.输出同步：为提升所投产品可靠性，输出母线同步功能应原厂预装标配，无需额外增加电路改造，只需要选配通信线缆即可实现；不接受使用高成本的外置LBS总线同步控制器来实现；</w:t>
            </w:r>
            <w:r>
              <w:rPr>
                <w:rFonts w:ascii="Times New Roman" w:hAnsi="Times New Roman"/>
                <w:color w:val="auto"/>
                <w:szCs w:val="24"/>
                <w:highlight w:val="none"/>
                <w:lang w:val="hr-HR"/>
              </w:rPr>
              <w:t xml:space="preserve"> </w:t>
            </w:r>
          </w:p>
        </w:tc>
      </w:tr>
      <w:tr>
        <w:tblPrEx>
          <w:tblCellMar>
            <w:top w:w="0" w:type="dxa"/>
            <w:left w:w="108" w:type="dxa"/>
            <w:bottom w:w="0" w:type="dxa"/>
            <w:right w:w="108" w:type="dxa"/>
          </w:tblCellMar>
        </w:tblPrEx>
        <w:trPr>
          <w:trHeight w:val="660"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6.模块化UPS具备除尘功能，当设备运行周期较长或设备积尘过多时，UPS启动自动除尘功能。</w:t>
            </w:r>
          </w:p>
        </w:tc>
      </w:tr>
      <w:tr>
        <w:tblPrEx>
          <w:tblCellMar>
            <w:top w:w="0" w:type="dxa"/>
            <w:left w:w="108" w:type="dxa"/>
            <w:bottom w:w="0" w:type="dxa"/>
            <w:right w:w="108" w:type="dxa"/>
          </w:tblCellMar>
        </w:tblPrEx>
        <w:trPr>
          <w:trHeight w:val="514"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7.UPS主机应标配维护旁路开关；应选用具有过载、短路保护功能的塑壳断路器。</w:t>
            </w:r>
            <w:r>
              <w:rPr>
                <w:rFonts w:hint="eastAsia"/>
                <w:color w:val="auto"/>
                <w:highlight w:val="none"/>
                <w:lang w:val="hr-HR" w:eastAsia="zh-CN"/>
              </w:rPr>
              <w:t>提供相关材料证明。</w:t>
            </w:r>
          </w:p>
        </w:tc>
      </w:tr>
      <w:tr>
        <w:tblPrEx>
          <w:tblCellMar>
            <w:top w:w="0" w:type="dxa"/>
            <w:left w:w="108" w:type="dxa"/>
            <w:bottom w:w="0" w:type="dxa"/>
            <w:right w:w="108" w:type="dxa"/>
          </w:tblCellMar>
        </w:tblPrEx>
        <w:trPr>
          <w:trHeight w:val="720"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8.模块化主机应标配LCD触摸屏，同时具有组合按键及LED指示的人机交互。要求ups操作界面具有双键组合开关机设计，主机开机/关机必须同时按ON双键组合键，关机同时按OFF双键组合键；要求提供设备照片证明材料。</w:t>
            </w:r>
          </w:p>
        </w:tc>
      </w:tr>
      <w:tr>
        <w:tblPrEx>
          <w:tblCellMar>
            <w:top w:w="0" w:type="dxa"/>
            <w:left w:w="108" w:type="dxa"/>
            <w:bottom w:w="0" w:type="dxa"/>
            <w:right w:w="108" w:type="dxa"/>
          </w:tblCellMar>
        </w:tblPrEx>
        <w:trPr>
          <w:trHeight w:val="906"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▲9.具有智能录波功能，当UPS设备故障时，完整记录故障发生瞬间，有助于故障诊断和快速故障定位；要求提供针对该功能设置界面的证明材料。</w:t>
            </w:r>
          </w:p>
        </w:tc>
      </w:tr>
      <w:tr>
        <w:tblPrEx>
          <w:tblCellMar>
            <w:top w:w="0" w:type="dxa"/>
            <w:left w:w="108" w:type="dxa"/>
            <w:bottom w:w="0" w:type="dxa"/>
            <w:right w:w="108" w:type="dxa"/>
          </w:tblCellMar>
        </w:tblPrEx>
        <w:trPr>
          <w:trHeight w:val="906"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rPr>
              <w:t>10</w:t>
            </w:r>
            <w:r>
              <w:rPr>
                <w:rFonts w:hint="eastAsia"/>
                <w:color w:val="auto"/>
                <w:highlight w:val="none"/>
                <w:lang w:val="hr-HR"/>
              </w:rPr>
              <w:t>.主机近端标配EPO按钮，同时具备远程干接点接口，灵活使用，确保现场紧急状况下能够快速断电，保护设备安全。</w:t>
            </w:r>
          </w:p>
        </w:tc>
      </w:tr>
      <w:tr>
        <w:tblPrEx>
          <w:tblCellMar>
            <w:top w:w="0" w:type="dxa"/>
            <w:left w:w="108" w:type="dxa"/>
            <w:bottom w:w="0" w:type="dxa"/>
            <w:right w:w="108" w:type="dxa"/>
          </w:tblCellMar>
        </w:tblPrEx>
        <w:trPr>
          <w:trHeight w:val="906"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w:t>
            </w:r>
            <w:r>
              <w:rPr>
                <w:rFonts w:hint="eastAsia"/>
                <w:color w:val="auto"/>
                <w:highlight w:val="none"/>
              </w:rPr>
              <w:t>11</w:t>
            </w:r>
            <w:r>
              <w:rPr>
                <w:rFonts w:hint="eastAsia"/>
                <w:color w:val="auto"/>
                <w:highlight w:val="none"/>
                <w:lang w:val="hr-HR"/>
              </w:rPr>
              <w:t>.支持智能ECO模式，在超级ECO旁路供电的基础上优化电网质量，功率模块能对旁路电源进行谐波补偿，提高旁路PF值和THDV、以及降低THDI。单机和并机系统均支持WECO模式，可以设置ECO执行计划，要求提供针对该功能设置界面的证明材料</w:t>
            </w:r>
          </w:p>
        </w:tc>
      </w:tr>
      <w:tr>
        <w:tblPrEx>
          <w:tblCellMar>
            <w:top w:w="0" w:type="dxa"/>
            <w:left w:w="108" w:type="dxa"/>
            <w:bottom w:w="0" w:type="dxa"/>
            <w:right w:w="108" w:type="dxa"/>
          </w:tblCellMar>
        </w:tblPrEx>
        <w:trPr>
          <w:trHeight w:val="906"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w:t>
            </w:r>
            <w:r>
              <w:rPr>
                <w:rFonts w:hint="eastAsia"/>
                <w:color w:val="auto"/>
                <w:highlight w:val="none"/>
              </w:rPr>
              <w:t>12</w:t>
            </w:r>
            <w:r>
              <w:rPr>
                <w:rFonts w:hint="eastAsia"/>
                <w:color w:val="auto"/>
                <w:highlight w:val="none"/>
                <w:lang w:val="hr-HR"/>
              </w:rPr>
              <w:t>.智能档案管理：应能够实现模块化ups的资产安全管理功能，支持电容、风扇等关键部件具备失效告警功能，可通过主机面板记录更换备品备件的种类、日期与ID，实现备品备件的资产追溯与档案管理。要求提供针对该功能设置界面的证明材料</w:t>
            </w:r>
          </w:p>
        </w:tc>
      </w:tr>
      <w:tr>
        <w:tblPrEx>
          <w:tblCellMar>
            <w:top w:w="0" w:type="dxa"/>
            <w:left w:w="108" w:type="dxa"/>
            <w:bottom w:w="0" w:type="dxa"/>
            <w:right w:w="108" w:type="dxa"/>
          </w:tblCellMar>
        </w:tblPrEx>
        <w:trPr>
          <w:trHeight w:val="906"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rPr>
              <w:t>13</w:t>
            </w:r>
            <w:r>
              <w:rPr>
                <w:rFonts w:hint="eastAsia"/>
                <w:color w:val="auto"/>
                <w:highlight w:val="none"/>
                <w:lang w:val="hr-HR"/>
              </w:rPr>
              <w:t>.并机系统可支持在主机界面查看其它所有并联机型运行参数，通过触摸屏设置该设备为监控主机，并联机器通过485通讯，在主机中实现并机系列的其他ups信息汇总，可统一与外部通讯。要求提供针对该功能设置界面的证明材料</w:t>
            </w:r>
          </w:p>
        </w:tc>
      </w:tr>
      <w:tr>
        <w:tblPrEx>
          <w:tblCellMar>
            <w:top w:w="0" w:type="dxa"/>
            <w:left w:w="108" w:type="dxa"/>
            <w:bottom w:w="0" w:type="dxa"/>
            <w:right w:w="108" w:type="dxa"/>
          </w:tblCellMar>
        </w:tblPrEx>
        <w:trPr>
          <w:trHeight w:val="906"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rPr>
              <w:t>14</w:t>
            </w:r>
            <w:r>
              <w:rPr>
                <w:rFonts w:hint="eastAsia"/>
                <w:color w:val="auto"/>
                <w:highlight w:val="none"/>
                <w:lang w:val="hr-HR"/>
              </w:rPr>
              <w:t>.支持U盘在线升级功能，可以对系统中的功率模块、控制模块进行软件升级，避免了单个模块进行逐个升级操作的繁琐工作。要求提供针对该功能设置界面的证明材料</w:t>
            </w:r>
          </w:p>
        </w:tc>
      </w:tr>
      <w:tr>
        <w:tblPrEx>
          <w:tblCellMar>
            <w:top w:w="0" w:type="dxa"/>
            <w:left w:w="108" w:type="dxa"/>
            <w:bottom w:w="0" w:type="dxa"/>
            <w:right w:w="108" w:type="dxa"/>
          </w:tblCellMar>
        </w:tblPrEx>
        <w:trPr>
          <w:trHeight w:val="906"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rPr>
              <w:t>15</w:t>
            </w:r>
            <w:r>
              <w:rPr>
                <w:rFonts w:hint="eastAsia"/>
                <w:color w:val="auto"/>
                <w:highlight w:val="none"/>
                <w:lang w:val="hr-HR"/>
              </w:rPr>
              <w:t>.电池智能管理：电池管理功能丰富，具备浮充休眠/浮充唤醒功能；电池标准测试\深度测试；电池充电限流\电池温度补偿\定时均充\强制均充\强制充电等功能。要求提供针对该功能设置界面的证明材料</w:t>
            </w:r>
          </w:p>
        </w:tc>
      </w:tr>
      <w:tr>
        <w:tblPrEx>
          <w:tblCellMar>
            <w:top w:w="0" w:type="dxa"/>
            <w:left w:w="108" w:type="dxa"/>
            <w:bottom w:w="0" w:type="dxa"/>
            <w:right w:w="108" w:type="dxa"/>
          </w:tblCellMar>
        </w:tblPrEx>
        <w:trPr>
          <w:trHeight w:val="906"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w:t>
            </w:r>
            <w:r>
              <w:rPr>
                <w:rFonts w:hint="eastAsia"/>
                <w:color w:val="auto"/>
                <w:highlight w:val="none"/>
              </w:rPr>
              <w:t>16</w:t>
            </w:r>
            <w:r>
              <w:rPr>
                <w:rFonts w:hint="eastAsia"/>
                <w:color w:val="auto"/>
                <w:highlight w:val="none"/>
                <w:lang w:val="hr-HR"/>
              </w:rPr>
              <w:t>.自老化功能：具备自老化功能，有效解决现场调试及老化的负载问题。要求提供针对该功能设置界面的证明材料</w:t>
            </w:r>
          </w:p>
        </w:tc>
      </w:tr>
      <w:tr>
        <w:tblPrEx>
          <w:tblCellMar>
            <w:top w:w="0" w:type="dxa"/>
            <w:left w:w="108" w:type="dxa"/>
            <w:bottom w:w="0" w:type="dxa"/>
            <w:right w:w="108" w:type="dxa"/>
          </w:tblCellMar>
        </w:tblPrEx>
        <w:trPr>
          <w:trHeight w:val="372" w:hRule="atLeast"/>
        </w:trPr>
        <w:tc>
          <w:tcPr>
            <w:tcW w:w="543" w:type="pct"/>
            <w:vMerge w:val="restart"/>
            <w:tcBorders>
              <w:top w:val="nil"/>
              <w:left w:val="single" w:color="auto" w:sz="4" w:space="0"/>
              <w:bottom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电气技术要求</w:t>
            </w: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1.输入电压范围：</w:t>
            </w:r>
            <w:r>
              <w:rPr>
                <w:rFonts w:hint="eastAsia"/>
                <w:color w:val="auto"/>
                <w:highlight w:val="none"/>
              </w:rPr>
              <w:t>138</w:t>
            </w:r>
            <w:r>
              <w:rPr>
                <w:rFonts w:hint="eastAsia"/>
                <w:color w:val="auto"/>
                <w:highlight w:val="none"/>
                <w:lang w:val="hr-HR"/>
              </w:rPr>
              <w:t>-4</w:t>
            </w:r>
            <w:r>
              <w:rPr>
                <w:rFonts w:hint="eastAsia"/>
                <w:color w:val="auto"/>
                <w:highlight w:val="none"/>
              </w:rPr>
              <w:t>85</w:t>
            </w:r>
            <w:r>
              <w:rPr>
                <w:rFonts w:hint="eastAsia"/>
                <w:color w:val="auto"/>
                <w:highlight w:val="none"/>
                <w:lang w:val="hr-HR"/>
              </w:rPr>
              <w:t xml:space="preserve">VAC </w:t>
            </w:r>
          </w:p>
        </w:tc>
      </w:tr>
      <w:tr>
        <w:tblPrEx>
          <w:tblCellMar>
            <w:top w:w="0" w:type="dxa"/>
            <w:left w:w="108" w:type="dxa"/>
            <w:bottom w:w="0" w:type="dxa"/>
            <w:right w:w="108" w:type="dxa"/>
          </w:tblCellMar>
        </w:tblPrEx>
        <w:trPr>
          <w:trHeight w:val="398"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color w:val="auto"/>
                <w:highlight w:val="none"/>
                <w:lang w:val="hr-HR"/>
              </w:rPr>
              <w:t>2.</w:t>
            </w:r>
            <w:r>
              <w:rPr>
                <w:rFonts w:hint="eastAsia"/>
                <w:color w:val="auto"/>
                <w:highlight w:val="none"/>
                <w:lang w:val="hr-HR"/>
              </w:rPr>
              <w:t>输入功率因数：</w:t>
            </w:r>
            <w:r>
              <w:rPr>
                <w:color w:val="auto"/>
                <w:highlight w:val="none"/>
                <w:lang w:val="hr-HR"/>
              </w:rPr>
              <w:t>100%</w:t>
            </w:r>
            <w:r>
              <w:rPr>
                <w:rFonts w:hint="eastAsia"/>
                <w:color w:val="auto"/>
                <w:highlight w:val="none"/>
                <w:lang w:val="hr-HR"/>
              </w:rPr>
              <w:t>额定负载时大于</w:t>
            </w:r>
            <w:r>
              <w:rPr>
                <w:color w:val="auto"/>
                <w:highlight w:val="none"/>
                <w:lang w:val="hr-HR"/>
              </w:rPr>
              <w:t>0.99</w:t>
            </w:r>
          </w:p>
        </w:tc>
      </w:tr>
      <w:tr>
        <w:tblPrEx>
          <w:tblCellMar>
            <w:top w:w="0" w:type="dxa"/>
            <w:left w:w="108" w:type="dxa"/>
            <w:bottom w:w="0" w:type="dxa"/>
            <w:right w:w="108" w:type="dxa"/>
          </w:tblCellMar>
        </w:tblPrEx>
        <w:trPr>
          <w:trHeight w:val="41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color w:val="auto"/>
                <w:highlight w:val="none"/>
                <w:lang w:val="hr-HR"/>
              </w:rPr>
              <w:t>3.</w:t>
            </w:r>
            <w:r>
              <w:rPr>
                <w:rFonts w:hint="eastAsia"/>
                <w:color w:val="auto"/>
                <w:highlight w:val="none"/>
                <w:lang w:val="hr-HR"/>
              </w:rPr>
              <w:t>输入电流失真</w:t>
            </w:r>
            <w:r>
              <w:rPr>
                <w:color w:val="auto"/>
                <w:highlight w:val="none"/>
                <w:lang w:val="hr-HR"/>
              </w:rPr>
              <w:t>THDi</w:t>
            </w:r>
            <w:r>
              <w:rPr>
                <w:rFonts w:hint="eastAsia"/>
                <w:color w:val="auto"/>
                <w:highlight w:val="none"/>
                <w:lang w:val="hr-HR"/>
              </w:rPr>
              <w:t>：线性负载小于</w:t>
            </w:r>
            <w:r>
              <w:rPr>
                <w:color w:val="auto"/>
                <w:highlight w:val="none"/>
                <w:lang w:val="hr-HR"/>
              </w:rPr>
              <w:t>3%</w:t>
            </w:r>
            <w:r>
              <w:rPr>
                <w:rFonts w:hint="eastAsia"/>
                <w:color w:val="auto"/>
                <w:highlight w:val="none"/>
                <w:lang w:val="hr-HR"/>
              </w:rPr>
              <w:t>，非线性负载小于</w:t>
            </w:r>
            <w:r>
              <w:rPr>
                <w:color w:val="auto"/>
                <w:highlight w:val="none"/>
                <w:lang w:val="hr-HR"/>
              </w:rPr>
              <w:t>5%</w:t>
            </w:r>
          </w:p>
        </w:tc>
      </w:tr>
      <w:tr>
        <w:tblPrEx>
          <w:tblCellMar>
            <w:top w:w="0" w:type="dxa"/>
            <w:left w:w="108" w:type="dxa"/>
            <w:bottom w:w="0" w:type="dxa"/>
            <w:right w:w="108" w:type="dxa"/>
          </w:tblCellMar>
        </w:tblPrEx>
        <w:trPr>
          <w:trHeight w:val="43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color w:val="auto"/>
                <w:highlight w:val="none"/>
                <w:lang w:val="hr-HR"/>
              </w:rPr>
              <w:t>4.</w:t>
            </w:r>
            <w:r>
              <w:rPr>
                <w:rFonts w:hint="eastAsia"/>
                <w:color w:val="auto"/>
                <w:highlight w:val="none"/>
                <w:lang w:val="hr-HR"/>
              </w:rPr>
              <w:t>输出电压稳压精度：不大于1%</w:t>
            </w:r>
          </w:p>
        </w:tc>
      </w:tr>
      <w:tr>
        <w:tblPrEx>
          <w:tblCellMar>
            <w:top w:w="0" w:type="dxa"/>
            <w:left w:w="108" w:type="dxa"/>
            <w:bottom w:w="0" w:type="dxa"/>
            <w:right w:w="108" w:type="dxa"/>
          </w:tblCellMar>
        </w:tblPrEx>
        <w:trPr>
          <w:trHeight w:val="9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color w:val="auto"/>
                <w:highlight w:val="none"/>
                <w:lang w:val="hr-HR"/>
              </w:rPr>
              <w:t>5.</w:t>
            </w:r>
            <w:r>
              <w:rPr>
                <w:rFonts w:hint="eastAsia"/>
                <w:color w:val="auto"/>
                <w:highlight w:val="none"/>
                <w:lang w:val="hr-HR"/>
              </w:rPr>
              <w:t>输出功率因数：大于</w:t>
            </w:r>
            <w:r>
              <w:rPr>
                <w:color w:val="auto"/>
                <w:highlight w:val="none"/>
                <w:lang w:val="hr-HR"/>
              </w:rPr>
              <w:t>0.99</w:t>
            </w:r>
            <w:r>
              <w:rPr>
                <w:rFonts w:hint="eastAsia"/>
                <w:color w:val="auto"/>
                <w:highlight w:val="none"/>
                <w:lang w:val="hr-HR"/>
              </w:rPr>
              <w:t>满载。</w:t>
            </w:r>
          </w:p>
        </w:tc>
      </w:tr>
      <w:tr>
        <w:tblPrEx>
          <w:tblCellMar>
            <w:top w:w="0" w:type="dxa"/>
            <w:left w:w="108" w:type="dxa"/>
            <w:bottom w:w="0" w:type="dxa"/>
            <w:right w:w="108" w:type="dxa"/>
          </w:tblCellMar>
        </w:tblPrEx>
        <w:trPr>
          <w:trHeight w:val="42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rFonts w:hint="eastAsia"/>
                <w:color w:val="auto"/>
                <w:highlight w:val="none"/>
                <w:lang w:val="hr-HR"/>
              </w:rPr>
              <w:t>6</w:t>
            </w:r>
            <w:r>
              <w:rPr>
                <w:color w:val="auto"/>
                <w:highlight w:val="none"/>
                <w:lang w:val="hr-HR"/>
              </w:rPr>
              <w:t>.</w:t>
            </w:r>
            <w:r>
              <w:rPr>
                <w:rFonts w:hint="eastAsia"/>
                <w:color w:val="auto"/>
                <w:highlight w:val="none"/>
                <w:lang w:val="hr-HR"/>
              </w:rPr>
              <w:t>输出电压不平衡度：不大于3%。</w:t>
            </w:r>
          </w:p>
        </w:tc>
      </w:tr>
      <w:tr>
        <w:tblPrEx>
          <w:tblCellMar>
            <w:top w:w="0" w:type="dxa"/>
            <w:left w:w="108" w:type="dxa"/>
            <w:bottom w:w="0" w:type="dxa"/>
            <w:right w:w="108" w:type="dxa"/>
          </w:tblCellMar>
        </w:tblPrEx>
        <w:trPr>
          <w:trHeight w:val="450" w:hRule="atLeast"/>
        </w:trPr>
        <w:tc>
          <w:tcPr>
            <w:tcW w:w="543" w:type="pct"/>
            <w:vMerge w:val="restart"/>
            <w:tcBorders>
              <w:top w:val="nil"/>
              <w:left w:val="single" w:color="auto" w:sz="4" w:space="0"/>
              <w:bottom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电池与充电特性</w:t>
            </w: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color w:val="auto"/>
                <w:highlight w:val="none"/>
                <w:lang w:val="hr-HR"/>
              </w:rPr>
              <w:t>1.</w:t>
            </w:r>
            <w:r>
              <w:rPr>
                <w:rFonts w:hint="eastAsia"/>
                <w:color w:val="auto"/>
                <w:highlight w:val="none"/>
                <w:lang w:val="hr-HR"/>
              </w:rPr>
              <w:t>电池</w:t>
            </w:r>
            <w:r>
              <w:rPr>
                <w:rFonts w:hint="eastAsia"/>
                <w:color w:val="auto"/>
                <w:highlight w:val="none"/>
              </w:rPr>
              <w:t>节数：30</w:t>
            </w:r>
            <w:r>
              <w:rPr>
                <w:color w:val="auto"/>
                <w:highlight w:val="none"/>
                <w:lang w:val="hr-HR"/>
              </w:rPr>
              <w:t>~</w:t>
            </w:r>
            <w:r>
              <w:rPr>
                <w:rFonts w:hint="eastAsia"/>
                <w:color w:val="auto"/>
                <w:highlight w:val="none"/>
              </w:rPr>
              <w:t>46</w:t>
            </w:r>
            <w:r>
              <w:rPr>
                <w:rFonts w:hint="eastAsia"/>
                <w:color w:val="auto"/>
                <w:highlight w:val="none"/>
                <w:lang w:val="hr-HR"/>
              </w:rPr>
              <w:t>节可调。</w:t>
            </w:r>
          </w:p>
        </w:tc>
      </w:tr>
      <w:tr>
        <w:tblPrEx>
          <w:tblCellMar>
            <w:top w:w="0" w:type="dxa"/>
            <w:left w:w="108" w:type="dxa"/>
            <w:bottom w:w="0" w:type="dxa"/>
            <w:right w:w="108" w:type="dxa"/>
          </w:tblCellMar>
        </w:tblPrEx>
        <w:trPr>
          <w:trHeight w:val="36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color w:val="auto"/>
                <w:highlight w:val="none"/>
                <w:lang w:val="hr-HR"/>
              </w:rPr>
              <w:t>2.</w:t>
            </w:r>
            <w:r>
              <w:rPr>
                <w:rFonts w:hint="eastAsia"/>
                <w:color w:val="auto"/>
                <w:highlight w:val="none"/>
                <w:lang w:val="hr-HR"/>
              </w:rPr>
              <w:t>具备电池冷启动功能。</w:t>
            </w:r>
          </w:p>
        </w:tc>
      </w:tr>
      <w:tr>
        <w:tblPrEx>
          <w:tblCellMar>
            <w:top w:w="0" w:type="dxa"/>
            <w:left w:w="108" w:type="dxa"/>
            <w:bottom w:w="0" w:type="dxa"/>
            <w:right w:w="108" w:type="dxa"/>
          </w:tblCellMar>
        </w:tblPrEx>
        <w:trPr>
          <w:trHeight w:val="40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ascii="Calibri" w:hAnsi="Calibri"/>
                <w:color w:val="auto"/>
                <w:highlight w:val="none"/>
              </w:rPr>
              <w:t>▲</w:t>
            </w:r>
            <w:r>
              <w:rPr>
                <w:color w:val="auto"/>
                <w:highlight w:val="none"/>
                <w:lang w:val="hr-HR"/>
              </w:rPr>
              <w:t>3. UPS</w:t>
            </w:r>
            <w:r>
              <w:rPr>
                <w:rFonts w:hint="eastAsia"/>
                <w:color w:val="auto"/>
                <w:highlight w:val="none"/>
                <w:lang w:val="hr-HR"/>
              </w:rPr>
              <w:t>并机运行时，支持电池组共用，提供用户手册等证明材料。</w:t>
            </w:r>
          </w:p>
        </w:tc>
      </w:tr>
      <w:tr>
        <w:tblPrEx>
          <w:tblCellMar>
            <w:top w:w="0" w:type="dxa"/>
            <w:left w:w="108" w:type="dxa"/>
            <w:bottom w:w="0" w:type="dxa"/>
            <w:right w:w="108" w:type="dxa"/>
          </w:tblCellMar>
        </w:tblPrEx>
        <w:trPr>
          <w:trHeight w:val="650" w:hRule="atLeast"/>
        </w:trPr>
        <w:tc>
          <w:tcPr>
            <w:tcW w:w="54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智能母线</w:t>
            </w: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color w:val="auto"/>
                <w:highlight w:val="none"/>
                <w:lang w:val="hr-HR"/>
              </w:rPr>
              <w:t>1</w:t>
            </w:r>
            <w:r>
              <w:rPr>
                <w:rFonts w:hint="eastAsia"/>
                <w:color w:val="auto"/>
                <w:highlight w:val="none"/>
                <w:lang w:val="hr-HR"/>
              </w:rPr>
              <w:t xml:space="preserve">. </w:t>
            </w:r>
            <w:r>
              <w:rPr>
                <w:color w:val="auto"/>
                <w:highlight w:val="none"/>
                <w:lang w:val="hr-HR"/>
              </w:rPr>
              <w:t>本项目智能母线单条输入不小于400A</w:t>
            </w:r>
            <w:r>
              <w:rPr>
                <w:rFonts w:hint="eastAsia"/>
                <w:color w:val="auto"/>
                <w:highlight w:val="none"/>
                <w:lang w:val="hr-HR"/>
              </w:rPr>
              <w:t>/</w:t>
            </w:r>
            <w:r>
              <w:rPr>
                <w:color w:val="auto"/>
                <w:highlight w:val="none"/>
                <w:lang w:val="hr-HR"/>
              </w:rPr>
              <w:t>3P 输出，功率不低于2</w:t>
            </w:r>
            <w:r>
              <w:rPr>
                <w:rFonts w:hint="eastAsia"/>
                <w:color w:val="auto"/>
                <w:highlight w:val="none"/>
                <w:lang w:val="hr-HR"/>
              </w:rPr>
              <w:t>3</w:t>
            </w:r>
            <w:r>
              <w:rPr>
                <w:color w:val="auto"/>
                <w:highlight w:val="none"/>
                <w:lang w:val="hr-HR"/>
              </w:rPr>
              <w:t>0kw，支撑的单机柜</w:t>
            </w:r>
            <w:r>
              <w:rPr>
                <w:rFonts w:hint="eastAsia"/>
                <w:color w:val="auto"/>
                <w:highlight w:val="none"/>
              </w:rPr>
              <w:t>最大电流不小于</w:t>
            </w:r>
            <w:r>
              <w:rPr>
                <w:color w:val="auto"/>
                <w:highlight w:val="none"/>
                <w:lang w:val="hr-HR"/>
              </w:rPr>
              <w:t>40A，</w:t>
            </w:r>
            <w:r>
              <w:rPr>
                <w:rFonts w:hint="eastAsia"/>
                <w:color w:val="auto"/>
                <w:highlight w:val="none"/>
              </w:rPr>
              <w:t>最大</w:t>
            </w:r>
            <w:r>
              <w:rPr>
                <w:color w:val="auto"/>
                <w:highlight w:val="none"/>
                <w:lang w:val="hr-HR"/>
              </w:rPr>
              <w:t>功率</w:t>
            </w:r>
            <w:r>
              <w:rPr>
                <w:rFonts w:hint="eastAsia"/>
                <w:color w:val="auto"/>
                <w:highlight w:val="none"/>
              </w:rPr>
              <w:t xml:space="preserve">不小于 </w:t>
            </w:r>
            <w:r>
              <w:rPr>
                <w:color w:val="auto"/>
                <w:highlight w:val="none"/>
                <w:lang w:val="hr-HR"/>
              </w:rPr>
              <w:t>21kW</w:t>
            </w:r>
            <w:r>
              <w:rPr>
                <w:rFonts w:hint="eastAsia"/>
                <w:color w:val="auto"/>
                <w:highlight w:val="none"/>
                <w:lang w:val="hr-HR"/>
              </w:rPr>
              <w:t>。</w:t>
            </w:r>
          </w:p>
        </w:tc>
      </w:tr>
      <w:tr>
        <w:tblPrEx>
          <w:tblCellMar>
            <w:top w:w="0" w:type="dxa"/>
            <w:left w:w="108" w:type="dxa"/>
            <w:bottom w:w="0" w:type="dxa"/>
            <w:right w:w="108" w:type="dxa"/>
          </w:tblCellMar>
        </w:tblPrEx>
        <w:trPr>
          <w:trHeight w:val="354" w:hRule="atLeast"/>
        </w:trPr>
        <w:tc>
          <w:tcPr>
            <w:tcW w:w="543"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color w:val="auto"/>
                <w:highlight w:val="none"/>
                <w:lang w:val="hr-HR"/>
              </w:rPr>
              <w:t>2</w:t>
            </w:r>
            <w:r>
              <w:rPr>
                <w:rFonts w:hint="eastAsia"/>
                <w:color w:val="auto"/>
                <w:highlight w:val="none"/>
                <w:lang w:val="hr-HR"/>
              </w:rPr>
              <w:t>.</w:t>
            </w:r>
            <w:r>
              <w:rPr>
                <w:color w:val="auto"/>
                <w:highlight w:val="none"/>
                <w:lang w:val="hr-HR"/>
              </w:rPr>
              <w:t>采用2N供电架构，提供供电系统图</w:t>
            </w:r>
            <w:r>
              <w:rPr>
                <w:rFonts w:hint="eastAsia"/>
                <w:color w:val="auto"/>
                <w:highlight w:val="none"/>
                <w:lang w:val="hr-HR"/>
              </w:rPr>
              <w:t>。</w:t>
            </w:r>
          </w:p>
        </w:tc>
      </w:tr>
      <w:tr>
        <w:tblPrEx>
          <w:tblCellMar>
            <w:top w:w="0" w:type="dxa"/>
            <w:left w:w="108" w:type="dxa"/>
            <w:bottom w:w="0" w:type="dxa"/>
            <w:right w:w="108" w:type="dxa"/>
          </w:tblCellMar>
        </w:tblPrEx>
        <w:trPr>
          <w:trHeight w:val="430" w:hRule="atLeast"/>
        </w:trPr>
        <w:tc>
          <w:tcPr>
            <w:tcW w:w="543"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color w:val="auto"/>
                <w:highlight w:val="none"/>
              </w:rPr>
            </w:pPr>
            <w:r>
              <w:rPr>
                <w:rFonts w:hint="eastAsia"/>
                <w:color w:val="auto"/>
                <w:highlight w:val="none"/>
              </w:rPr>
              <w:t>3.</w:t>
            </w:r>
            <w:r>
              <w:rPr>
                <w:rFonts w:hint="eastAsia" w:asciiTheme="majorEastAsia" w:hAnsiTheme="majorEastAsia" w:eastAsiaTheme="majorEastAsia"/>
                <w:color w:val="auto"/>
                <w:highlight w:val="none"/>
              </w:rPr>
              <w:t>配电系统型式：380V，满足三相五线输入，配置独立的中线铜排和接地铜排。</w:t>
            </w:r>
          </w:p>
        </w:tc>
      </w:tr>
      <w:tr>
        <w:tblPrEx>
          <w:tblCellMar>
            <w:top w:w="0" w:type="dxa"/>
            <w:left w:w="108" w:type="dxa"/>
            <w:bottom w:w="0" w:type="dxa"/>
            <w:right w:w="108" w:type="dxa"/>
          </w:tblCellMar>
        </w:tblPrEx>
        <w:trPr>
          <w:trHeight w:val="386" w:hRule="atLeast"/>
        </w:trPr>
        <w:tc>
          <w:tcPr>
            <w:tcW w:w="543"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color w:val="auto"/>
                <w:highlight w:val="none"/>
              </w:rPr>
            </w:pPr>
            <w:r>
              <w:rPr>
                <w:rFonts w:hint="eastAsia" w:asciiTheme="majorEastAsia" w:hAnsiTheme="majorEastAsia" w:eastAsiaTheme="majorEastAsia"/>
                <w:color w:val="auto"/>
                <w:highlight w:val="none"/>
              </w:rPr>
              <w:t>4.防护等级：不低于</w:t>
            </w:r>
            <w:r>
              <w:rPr>
                <w:rFonts w:asciiTheme="majorEastAsia" w:hAnsiTheme="majorEastAsia" w:eastAsiaTheme="majorEastAsia"/>
                <w:color w:val="auto"/>
                <w:highlight w:val="none"/>
              </w:rPr>
              <w:t>IP30</w:t>
            </w:r>
            <w:r>
              <w:rPr>
                <w:rFonts w:hint="eastAsia" w:asciiTheme="majorEastAsia" w:hAnsiTheme="majorEastAsia" w:eastAsiaTheme="majorEastAsia"/>
                <w:color w:val="auto"/>
                <w:highlight w:val="none"/>
              </w:rPr>
              <w:t>。</w:t>
            </w:r>
          </w:p>
        </w:tc>
      </w:tr>
      <w:tr>
        <w:tblPrEx>
          <w:tblCellMar>
            <w:top w:w="0" w:type="dxa"/>
            <w:left w:w="108" w:type="dxa"/>
            <w:bottom w:w="0" w:type="dxa"/>
            <w:right w:w="108" w:type="dxa"/>
          </w:tblCellMar>
        </w:tblPrEx>
        <w:trPr>
          <w:trHeight w:val="382" w:hRule="atLeast"/>
        </w:trPr>
        <w:tc>
          <w:tcPr>
            <w:tcW w:w="543"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color w:val="auto"/>
                <w:highlight w:val="none"/>
              </w:rPr>
            </w:pPr>
            <w:r>
              <w:rPr>
                <w:rFonts w:hint="eastAsia" w:asciiTheme="majorEastAsia" w:hAnsiTheme="majorEastAsia" w:eastAsiaTheme="majorEastAsia"/>
                <w:color w:val="auto"/>
                <w:highlight w:val="none"/>
              </w:rPr>
              <w:t>5.单个插接箱应具备不少于</w:t>
            </w:r>
            <w:r>
              <w:rPr>
                <w:rFonts w:asciiTheme="majorEastAsia" w:hAnsiTheme="majorEastAsia" w:eastAsiaTheme="majorEastAsia"/>
                <w:color w:val="auto"/>
                <w:highlight w:val="none"/>
              </w:rPr>
              <w:t>6</w:t>
            </w:r>
            <w:r>
              <w:rPr>
                <w:rFonts w:hint="eastAsia" w:asciiTheme="majorEastAsia" w:hAnsiTheme="majorEastAsia" w:eastAsiaTheme="majorEastAsia"/>
                <w:color w:val="auto"/>
                <w:highlight w:val="none"/>
              </w:rPr>
              <w:t>个支路空开输出，支持单相或三相</w:t>
            </w:r>
            <w:r>
              <w:rPr>
                <w:rFonts w:asciiTheme="majorEastAsia" w:hAnsiTheme="majorEastAsia" w:eastAsiaTheme="majorEastAsia"/>
                <w:color w:val="auto"/>
                <w:highlight w:val="none"/>
              </w:rPr>
              <w:t>rPDU</w:t>
            </w:r>
            <w:r>
              <w:rPr>
                <w:rFonts w:hint="eastAsia" w:asciiTheme="majorEastAsia" w:hAnsiTheme="majorEastAsia" w:eastAsiaTheme="majorEastAsia"/>
                <w:color w:val="auto"/>
                <w:highlight w:val="none"/>
              </w:rPr>
              <w:t>接入。</w:t>
            </w:r>
          </w:p>
        </w:tc>
      </w:tr>
      <w:tr>
        <w:tblPrEx>
          <w:tblCellMar>
            <w:top w:w="0" w:type="dxa"/>
            <w:left w:w="108" w:type="dxa"/>
            <w:bottom w:w="0" w:type="dxa"/>
            <w:right w:w="108" w:type="dxa"/>
          </w:tblCellMar>
        </w:tblPrEx>
        <w:trPr>
          <w:trHeight w:val="430" w:hRule="atLeast"/>
        </w:trPr>
        <w:tc>
          <w:tcPr>
            <w:tcW w:w="543"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rFonts w:hint="eastAsia" w:asciiTheme="majorEastAsia" w:hAnsiTheme="majorEastAsia" w:eastAsiaTheme="majorEastAsia"/>
                <w:color w:val="auto"/>
                <w:highlight w:val="none"/>
              </w:rPr>
            </w:pPr>
            <w:r>
              <w:rPr>
                <w:rFonts w:hint="eastAsia" w:asciiTheme="majorEastAsia" w:hAnsiTheme="majorEastAsia" w:eastAsiaTheme="majorEastAsia"/>
                <w:color w:val="auto"/>
                <w:highlight w:val="none"/>
              </w:rPr>
              <w:t>6.带电后母线各部件温度均不得高于70K，需要提供3C测试报告复印件证明材料。</w:t>
            </w:r>
          </w:p>
        </w:tc>
      </w:tr>
      <w:tr>
        <w:tblPrEx>
          <w:tblCellMar>
            <w:top w:w="0" w:type="dxa"/>
            <w:left w:w="108" w:type="dxa"/>
            <w:bottom w:w="0" w:type="dxa"/>
            <w:right w:w="108" w:type="dxa"/>
          </w:tblCellMar>
        </w:tblPrEx>
        <w:trPr>
          <w:trHeight w:val="440" w:hRule="atLeast"/>
        </w:trPr>
        <w:tc>
          <w:tcPr>
            <w:tcW w:w="543"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rFonts w:hint="eastAsia" w:asciiTheme="majorEastAsia" w:hAnsiTheme="majorEastAsia" w:eastAsiaTheme="majorEastAsia"/>
                <w:color w:val="auto"/>
                <w:highlight w:val="none"/>
              </w:rPr>
            </w:pPr>
            <w:r>
              <w:rPr>
                <w:rFonts w:hint="eastAsia" w:asciiTheme="majorEastAsia" w:hAnsiTheme="majorEastAsia" w:eastAsiaTheme="majorEastAsia"/>
                <w:color w:val="auto"/>
                <w:highlight w:val="none"/>
              </w:rPr>
              <w:t>7.提供的母线槽产品应满足CCC认证，并提供相关证书复印件。</w:t>
            </w:r>
          </w:p>
        </w:tc>
      </w:tr>
      <w:tr>
        <w:tblPrEx>
          <w:tblCellMar>
            <w:top w:w="0" w:type="dxa"/>
            <w:left w:w="108" w:type="dxa"/>
            <w:bottom w:w="0" w:type="dxa"/>
            <w:right w:w="108" w:type="dxa"/>
          </w:tblCellMar>
        </w:tblPrEx>
        <w:trPr>
          <w:trHeight w:val="340" w:hRule="atLeast"/>
        </w:trPr>
        <w:tc>
          <w:tcPr>
            <w:tcW w:w="543"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color w:val="auto"/>
                <w:highlight w:val="none"/>
              </w:rPr>
            </w:pPr>
            <w:r>
              <w:rPr>
                <w:rFonts w:hint="eastAsia"/>
                <w:color w:val="auto"/>
                <w:highlight w:val="none"/>
              </w:rPr>
              <w:t>8.</w:t>
            </w:r>
            <w:r>
              <w:rPr>
                <w:rFonts w:hint="eastAsia" w:asciiTheme="majorEastAsia" w:hAnsiTheme="majorEastAsia" w:eastAsiaTheme="majorEastAsia"/>
                <w:color w:val="auto"/>
                <w:highlight w:val="none"/>
              </w:rPr>
              <w:t>相导体：</w:t>
            </w:r>
            <w:r>
              <w:rPr>
                <w:rFonts w:asciiTheme="majorEastAsia" w:hAnsiTheme="majorEastAsia" w:eastAsiaTheme="majorEastAsia"/>
                <w:color w:val="auto"/>
                <w:highlight w:val="none"/>
              </w:rPr>
              <w:t>L1/L2/L3/N/PE</w:t>
            </w:r>
            <w:r>
              <w:rPr>
                <w:rFonts w:hint="eastAsia" w:asciiTheme="majorEastAsia" w:hAnsiTheme="majorEastAsia" w:eastAsiaTheme="majorEastAsia"/>
                <w:color w:val="auto"/>
                <w:highlight w:val="none"/>
              </w:rPr>
              <w:t>，内部母线为三相四线制，有单独的保护地排。（身段</w:t>
            </w:r>
            <w:r>
              <w:rPr>
                <w:rFonts w:asciiTheme="majorEastAsia" w:hAnsiTheme="majorEastAsia" w:eastAsiaTheme="majorEastAsia"/>
                <w:color w:val="auto"/>
                <w:highlight w:val="none"/>
              </w:rPr>
              <w:t>N</w:t>
            </w:r>
            <w:r>
              <w:rPr>
                <w:rFonts w:hint="eastAsia" w:asciiTheme="majorEastAsia" w:hAnsiTheme="majorEastAsia" w:eastAsiaTheme="majorEastAsia"/>
                <w:color w:val="auto"/>
                <w:highlight w:val="none"/>
              </w:rPr>
              <w:t>线至少采用</w:t>
            </w:r>
            <w:r>
              <w:rPr>
                <w:rFonts w:asciiTheme="majorEastAsia" w:hAnsiTheme="majorEastAsia" w:eastAsiaTheme="majorEastAsia"/>
                <w:color w:val="auto"/>
                <w:highlight w:val="none"/>
              </w:rPr>
              <w:t>100%</w:t>
            </w:r>
            <w:r>
              <w:rPr>
                <w:rFonts w:hint="eastAsia" w:asciiTheme="majorEastAsia" w:hAnsiTheme="majorEastAsia" w:eastAsiaTheme="majorEastAsia"/>
                <w:color w:val="auto"/>
                <w:highlight w:val="none"/>
              </w:rPr>
              <w:t>相线截面积的</w:t>
            </w:r>
            <w:r>
              <w:rPr>
                <w:rFonts w:asciiTheme="majorEastAsia" w:hAnsiTheme="majorEastAsia" w:eastAsiaTheme="majorEastAsia"/>
                <w:color w:val="auto"/>
                <w:highlight w:val="none"/>
              </w:rPr>
              <w:t>N</w:t>
            </w:r>
            <w:r>
              <w:rPr>
                <w:rFonts w:hint="eastAsia" w:asciiTheme="majorEastAsia" w:hAnsiTheme="majorEastAsia" w:eastAsiaTheme="majorEastAsia"/>
                <w:color w:val="auto"/>
                <w:highlight w:val="none"/>
              </w:rPr>
              <w:t>线，</w:t>
            </w:r>
            <w:r>
              <w:rPr>
                <w:rFonts w:asciiTheme="majorEastAsia" w:hAnsiTheme="majorEastAsia" w:eastAsiaTheme="majorEastAsia"/>
                <w:color w:val="auto"/>
                <w:highlight w:val="none"/>
              </w:rPr>
              <w:t>PE</w:t>
            </w:r>
            <w:r>
              <w:rPr>
                <w:rFonts w:hint="eastAsia" w:asciiTheme="majorEastAsia" w:hAnsiTheme="majorEastAsia" w:eastAsiaTheme="majorEastAsia"/>
                <w:color w:val="auto"/>
                <w:highlight w:val="none"/>
              </w:rPr>
              <w:t>线不少于</w:t>
            </w:r>
            <w:r>
              <w:rPr>
                <w:rFonts w:asciiTheme="majorEastAsia" w:hAnsiTheme="majorEastAsia" w:eastAsiaTheme="majorEastAsia"/>
                <w:color w:val="auto"/>
                <w:highlight w:val="none"/>
              </w:rPr>
              <w:t>50%</w:t>
            </w:r>
            <w:r>
              <w:rPr>
                <w:rFonts w:hint="eastAsia" w:asciiTheme="majorEastAsia" w:hAnsiTheme="majorEastAsia" w:eastAsiaTheme="majorEastAsia"/>
                <w:color w:val="auto"/>
                <w:highlight w:val="none"/>
              </w:rPr>
              <w:t>相线容量，导体规格需满足强度、载流等要求，还需要匹配插接箱插接件的兼容性设计。</w:t>
            </w:r>
          </w:p>
        </w:tc>
      </w:tr>
      <w:tr>
        <w:tblPrEx>
          <w:tblCellMar>
            <w:top w:w="0" w:type="dxa"/>
            <w:left w:w="108" w:type="dxa"/>
            <w:bottom w:w="0" w:type="dxa"/>
            <w:right w:w="108" w:type="dxa"/>
          </w:tblCellMar>
        </w:tblPrEx>
        <w:trPr>
          <w:trHeight w:val="350" w:hRule="atLeast"/>
        </w:trPr>
        <w:tc>
          <w:tcPr>
            <w:tcW w:w="543"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color w:val="auto"/>
                <w:highlight w:val="none"/>
              </w:rPr>
            </w:pPr>
            <w:r>
              <w:rPr>
                <w:rFonts w:hint="eastAsia" w:asciiTheme="majorEastAsia" w:hAnsiTheme="majorEastAsia" w:eastAsiaTheme="majorEastAsia"/>
                <w:color w:val="auto"/>
                <w:highlight w:val="none"/>
              </w:rPr>
              <w:t>9.母线应采用金属材质外壳，壳体表面外表颜色为黑色，壳体厚度不低于</w:t>
            </w:r>
            <w:r>
              <w:rPr>
                <w:rFonts w:asciiTheme="majorEastAsia" w:hAnsiTheme="majorEastAsia" w:eastAsiaTheme="majorEastAsia"/>
                <w:color w:val="auto"/>
                <w:highlight w:val="none"/>
              </w:rPr>
              <w:t>1.2mm</w:t>
            </w:r>
            <w:r>
              <w:rPr>
                <w:rFonts w:hint="eastAsia" w:asciiTheme="majorEastAsia" w:hAnsiTheme="majorEastAsia" w:eastAsiaTheme="majorEastAsia"/>
                <w:color w:val="auto"/>
                <w:highlight w:val="none"/>
              </w:rPr>
              <w:t>。</w:t>
            </w:r>
          </w:p>
        </w:tc>
      </w:tr>
      <w:tr>
        <w:tblPrEx>
          <w:tblCellMar>
            <w:top w:w="0" w:type="dxa"/>
            <w:left w:w="108" w:type="dxa"/>
            <w:bottom w:w="0" w:type="dxa"/>
            <w:right w:w="108" w:type="dxa"/>
          </w:tblCellMar>
        </w:tblPrEx>
        <w:trPr>
          <w:trHeight w:val="450" w:hRule="atLeast"/>
        </w:trPr>
        <w:tc>
          <w:tcPr>
            <w:tcW w:w="543"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color w:val="auto"/>
                <w:highlight w:val="none"/>
              </w:rPr>
            </w:pPr>
            <w:r>
              <w:rPr>
                <w:rFonts w:hint="eastAsia" w:asciiTheme="majorEastAsia" w:hAnsiTheme="majorEastAsia" w:eastAsiaTheme="majorEastAsia"/>
                <w:color w:val="auto"/>
                <w:highlight w:val="none"/>
              </w:rPr>
              <w:t>10.导体采用优质铜排，铜排纯度大于</w:t>
            </w:r>
            <w:r>
              <w:rPr>
                <w:rFonts w:asciiTheme="majorEastAsia" w:hAnsiTheme="majorEastAsia" w:eastAsiaTheme="majorEastAsia"/>
                <w:color w:val="auto"/>
                <w:highlight w:val="none"/>
              </w:rPr>
              <w:t>99.95%</w:t>
            </w:r>
            <w:r>
              <w:rPr>
                <w:rFonts w:hint="eastAsia" w:asciiTheme="majorEastAsia" w:hAnsiTheme="majorEastAsia" w:eastAsiaTheme="majorEastAsia"/>
                <w:color w:val="auto"/>
                <w:highlight w:val="none"/>
              </w:rPr>
              <w:t>，表面须进行镀锡处理。提供检测机构出具的证明材料</w:t>
            </w:r>
          </w:p>
        </w:tc>
      </w:tr>
      <w:tr>
        <w:tblPrEx>
          <w:tblCellMar>
            <w:top w:w="0" w:type="dxa"/>
            <w:left w:w="108" w:type="dxa"/>
            <w:bottom w:w="0" w:type="dxa"/>
            <w:right w:w="108" w:type="dxa"/>
          </w:tblCellMar>
        </w:tblPrEx>
        <w:trPr>
          <w:trHeight w:val="897" w:hRule="atLeast"/>
        </w:trPr>
        <w:tc>
          <w:tcPr>
            <w:tcW w:w="543"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255"/>
                <w:numId w:val="0"/>
              </w:numPr>
              <w:rPr>
                <w:color w:val="auto"/>
                <w:highlight w:val="none"/>
              </w:rPr>
            </w:pPr>
            <w:r>
              <w:rPr>
                <w:rFonts w:hint="eastAsia" w:asciiTheme="majorEastAsia" w:hAnsiTheme="majorEastAsia" w:eastAsiaTheme="majorEastAsia"/>
                <w:color w:val="auto"/>
                <w:highlight w:val="none"/>
              </w:rPr>
              <w:t>11.母线槽应具备智能监测功能，实现供配电系统的智能化。应支持如下参数的监测：温度、输入电压、输入电流、输入有功功率、输入无功功率、输入功率因数、输入电能、输入负载率、输入频率、输入电流谐波和输入电压谐波等。</w:t>
            </w:r>
          </w:p>
        </w:tc>
      </w:tr>
      <w:tr>
        <w:tblPrEx>
          <w:tblCellMar>
            <w:top w:w="0" w:type="dxa"/>
            <w:left w:w="108" w:type="dxa"/>
            <w:bottom w:w="0" w:type="dxa"/>
            <w:right w:w="108" w:type="dxa"/>
          </w:tblCellMar>
        </w:tblPrEx>
        <w:trPr>
          <w:trHeight w:val="700" w:hRule="atLeast"/>
        </w:trPr>
        <w:tc>
          <w:tcPr>
            <w:tcW w:w="543" w:type="pct"/>
            <w:vMerge w:val="continue"/>
            <w:tcBorders>
              <w:top w:val="single" w:color="auto" w:sz="4" w:space="0"/>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rFonts w:eastAsiaTheme="majorEastAsia"/>
                <w:color w:val="auto"/>
                <w:highlight w:val="none"/>
              </w:rPr>
            </w:pPr>
            <w:r>
              <w:rPr>
                <w:rFonts w:hint="eastAsia" w:asciiTheme="majorEastAsia" w:hAnsiTheme="majorEastAsia" w:eastAsiaTheme="majorEastAsia"/>
                <w:color w:val="auto"/>
                <w:highlight w:val="none"/>
              </w:rPr>
              <w:t>1</w:t>
            </w:r>
            <w:r>
              <w:rPr>
                <w:rFonts w:hint="eastAsia" w:asciiTheme="majorEastAsia" w:hAnsiTheme="majorEastAsia" w:eastAsiaTheme="majorEastAsia"/>
                <w:color w:val="auto"/>
                <w:highlight w:val="none"/>
                <w:lang w:val="en-US" w:eastAsia="zh-CN"/>
              </w:rPr>
              <w:t>2</w:t>
            </w:r>
            <w:r>
              <w:rPr>
                <w:rFonts w:hint="eastAsia" w:asciiTheme="majorEastAsia" w:hAnsiTheme="majorEastAsia" w:eastAsiaTheme="majorEastAsia"/>
                <w:color w:val="auto"/>
                <w:highlight w:val="none"/>
              </w:rPr>
              <w:t>.支持北向</w:t>
            </w:r>
            <w:r>
              <w:rPr>
                <w:rFonts w:asciiTheme="majorEastAsia" w:hAnsiTheme="majorEastAsia" w:eastAsiaTheme="majorEastAsia"/>
                <w:color w:val="auto"/>
                <w:highlight w:val="none"/>
              </w:rPr>
              <w:t>FE</w:t>
            </w:r>
            <w:r>
              <w:rPr>
                <w:rFonts w:hint="eastAsia" w:asciiTheme="majorEastAsia" w:hAnsiTheme="majorEastAsia" w:eastAsiaTheme="majorEastAsia"/>
                <w:color w:val="auto"/>
                <w:highlight w:val="none"/>
              </w:rPr>
              <w:t>接口</w:t>
            </w:r>
            <w:r>
              <w:rPr>
                <w:rFonts w:asciiTheme="majorEastAsia" w:hAnsiTheme="majorEastAsia" w:eastAsiaTheme="majorEastAsia"/>
                <w:color w:val="auto"/>
                <w:highlight w:val="none"/>
              </w:rPr>
              <w:t>(Modbus-MAC</w:t>
            </w:r>
            <w:r>
              <w:rPr>
                <w:rFonts w:hint="eastAsia" w:asciiTheme="majorEastAsia" w:hAnsiTheme="majorEastAsia" w:eastAsiaTheme="majorEastAsia"/>
                <w:color w:val="auto"/>
                <w:highlight w:val="none"/>
              </w:rPr>
              <w:t>协议</w:t>
            </w:r>
            <w:r>
              <w:rPr>
                <w:rFonts w:asciiTheme="majorEastAsia" w:hAnsiTheme="majorEastAsia" w:eastAsiaTheme="majorEastAsia"/>
                <w:color w:val="auto"/>
                <w:highlight w:val="none"/>
              </w:rPr>
              <w:t>)</w:t>
            </w:r>
            <w:r>
              <w:rPr>
                <w:rFonts w:hint="eastAsia" w:asciiTheme="majorEastAsia" w:hAnsiTheme="majorEastAsia" w:eastAsiaTheme="majorEastAsia"/>
                <w:color w:val="auto"/>
                <w:highlight w:val="none"/>
              </w:rPr>
              <w:t>和</w:t>
            </w:r>
            <w:r>
              <w:rPr>
                <w:rFonts w:asciiTheme="majorEastAsia" w:hAnsiTheme="majorEastAsia" w:eastAsiaTheme="majorEastAsia"/>
                <w:color w:val="auto"/>
                <w:highlight w:val="none"/>
              </w:rPr>
              <w:t>RS485(Modbus-RTU</w:t>
            </w:r>
            <w:r>
              <w:rPr>
                <w:rFonts w:hint="eastAsia" w:asciiTheme="majorEastAsia" w:hAnsiTheme="majorEastAsia" w:eastAsiaTheme="majorEastAsia"/>
                <w:color w:val="auto"/>
                <w:highlight w:val="none"/>
              </w:rPr>
              <w:t>协议</w:t>
            </w:r>
            <w:r>
              <w:rPr>
                <w:rFonts w:asciiTheme="majorEastAsia" w:hAnsiTheme="majorEastAsia" w:eastAsiaTheme="majorEastAsia"/>
                <w:color w:val="auto"/>
                <w:highlight w:val="none"/>
              </w:rPr>
              <w:t>)</w:t>
            </w:r>
            <w:r>
              <w:rPr>
                <w:rFonts w:hint="eastAsia" w:asciiTheme="majorEastAsia" w:hAnsiTheme="majorEastAsia" w:eastAsiaTheme="majorEastAsia"/>
                <w:color w:val="auto"/>
                <w:highlight w:val="none"/>
              </w:rPr>
              <w:t>，物理接口</w:t>
            </w:r>
            <w:r>
              <w:rPr>
                <w:rFonts w:asciiTheme="majorEastAsia" w:hAnsiTheme="majorEastAsia" w:eastAsiaTheme="majorEastAsia"/>
                <w:color w:val="auto"/>
                <w:highlight w:val="none"/>
              </w:rPr>
              <w:t>RJ45</w:t>
            </w:r>
            <w:r>
              <w:rPr>
                <w:rFonts w:hint="eastAsia" w:asciiTheme="majorEastAsia" w:hAnsiTheme="majorEastAsia" w:eastAsiaTheme="majorEastAsia"/>
                <w:color w:val="auto"/>
                <w:highlight w:val="none"/>
              </w:rPr>
              <w:t>，支持远程查看运行参数和运行状态，设置告警阀值和告警级别。承诺接口协议及对接不另行收费，并出具承诺函。</w:t>
            </w:r>
          </w:p>
        </w:tc>
      </w:tr>
      <w:tr>
        <w:tblPrEx>
          <w:tblCellMar>
            <w:top w:w="0" w:type="dxa"/>
            <w:left w:w="108" w:type="dxa"/>
            <w:bottom w:w="0" w:type="dxa"/>
            <w:right w:w="108" w:type="dxa"/>
          </w:tblCellMar>
        </w:tblPrEx>
        <w:trPr>
          <w:trHeight w:val="700" w:hRule="atLeast"/>
        </w:trPr>
        <w:tc>
          <w:tcPr>
            <w:tcW w:w="543" w:type="pc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color w:val="auto"/>
                <w:highlight w:val="none"/>
              </w:rPr>
            </w:pPr>
            <w:r>
              <w:rPr>
                <w:rFonts w:hint="eastAsia"/>
                <w:color w:val="auto"/>
                <w:highlight w:val="none"/>
              </w:rPr>
              <w:t>兼容性</w:t>
            </w: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rFonts w:hint="eastAsia" w:ascii="宋体" w:hAnsi="宋体" w:cs="宋体"/>
                <w:color w:val="auto"/>
                <w:kern w:val="0"/>
                <w:szCs w:val="21"/>
                <w:highlight w:val="none"/>
              </w:rPr>
              <w:t>UPS主机、智能母线需要对接到招标人已有的DCIM（计通）管理系统（实现设备参数可视化管理、远程控制、告警等功能），并提供原厂（计通）关于投标UPS主机和智能母线的无缝接入证明及不少于五年的对接质保承诺书。</w:t>
            </w:r>
          </w:p>
        </w:tc>
      </w:tr>
    </w:tbl>
    <w:p>
      <w:pPr>
        <w:rPr>
          <w:color w:val="auto"/>
          <w:highlight w:val="none"/>
        </w:rPr>
      </w:pPr>
    </w:p>
    <w:p>
      <w:pPr>
        <w:rPr>
          <w:color w:val="auto"/>
          <w:highlight w:val="none"/>
        </w:rPr>
      </w:pPr>
      <w:r>
        <w:rPr>
          <w:rFonts w:hint="eastAsia"/>
          <w:color w:val="auto"/>
          <w:highlight w:val="none"/>
        </w:rPr>
        <w:t>模块机技术要求（</w:t>
      </w:r>
      <w:r>
        <w:rPr>
          <w:rFonts w:hint="eastAsia" w:ascii="宋体" w:hAnsi="宋体" w:cs="宋体"/>
          <w:color w:val="auto"/>
          <w:kern w:val="0"/>
          <w:szCs w:val="21"/>
          <w:highlight w:val="none"/>
          <w:lang w:bidi="ar"/>
        </w:rPr>
        <w:t>单功率模块≥</w:t>
      </w:r>
      <w:r>
        <w:rPr>
          <w:rFonts w:hint="eastAsia"/>
          <w:color w:val="auto"/>
          <w:highlight w:val="none"/>
        </w:rPr>
        <w:t>50KVA）：</w:t>
      </w:r>
    </w:p>
    <w:tbl>
      <w:tblPr>
        <w:tblStyle w:val="17"/>
        <w:tblW w:w="4664" w:type="pct"/>
        <w:tblInd w:w="487" w:type="dxa"/>
        <w:tblLayout w:type="autofit"/>
        <w:tblCellMar>
          <w:top w:w="0" w:type="dxa"/>
          <w:left w:w="108" w:type="dxa"/>
          <w:bottom w:w="0" w:type="dxa"/>
          <w:right w:w="108" w:type="dxa"/>
        </w:tblCellMar>
      </w:tblPr>
      <w:tblGrid>
        <w:gridCol w:w="1086"/>
        <w:gridCol w:w="8910"/>
      </w:tblGrid>
      <w:tr>
        <w:tblPrEx>
          <w:tblCellMar>
            <w:top w:w="0" w:type="dxa"/>
            <w:left w:w="108" w:type="dxa"/>
            <w:bottom w:w="0" w:type="dxa"/>
            <w:right w:w="108" w:type="dxa"/>
          </w:tblCellMar>
        </w:tblPrEx>
        <w:trPr>
          <w:trHeight w:val="280" w:hRule="atLeast"/>
        </w:trPr>
        <w:tc>
          <w:tcPr>
            <w:tcW w:w="5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指标名称</w:t>
            </w:r>
          </w:p>
        </w:tc>
        <w:tc>
          <w:tcPr>
            <w:tcW w:w="4456" w:type="pct"/>
            <w:tcBorders>
              <w:top w:val="single" w:color="auto" w:sz="4" w:space="0"/>
              <w:left w:val="nil"/>
              <w:bottom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主要参数</w:t>
            </w:r>
          </w:p>
        </w:tc>
      </w:tr>
      <w:tr>
        <w:tblPrEx>
          <w:tblCellMar>
            <w:top w:w="0" w:type="dxa"/>
            <w:left w:w="108" w:type="dxa"/>
            <w:bottom w:w="0" w:type="dxa"/>
            <w:right w:w="108" w:type="dxa"/>
          </w:tblCellMar>
        </w:tblPrEx>
        <w:trPr>
          <w:trHeight w:val="280" w:hRule="atLeast"/>
        </w:trPr>
        <w:tc>
          <w:tcPr>
            <w:tcW w:w="543" w:type="pct"/>
            <w:vMerge w:val="restart"/>
            <w:tcBorders>
              <w:top w:val="single" w:color="auto" w:sz="4" w:space="0"/>
              <w:left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总体要求</w:t>
            </w:r>
          </w:p>
        </w:tc>
        <w:tc>
          <w:tcPr>
            <w:tcW w:w="4456" w:type="pct"/>
            <w:tcBorders>
              <w:top w:val="single" w:color="auto" w:sz="4" w:space="0"/>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▲1.模块化UPS采用集中旁路，避免分散旁路出现电流不均衡、不可控引起故障；要求旁路具有独立接线和开关控制，提高供电可靠性；</w:t>
            </w:r>
            <w:r>
              <w:rPr>
                <w:rFonts w:hint="eastAsia"/>
                <w:color w:val="auto"/>
                <w:highlight w:val="none"/>
                <w:lang w:val="hr-HR" w:eastAsia="zh-CN"/>
              </w:rPr>
              <w:t>提供相关材料证明。</w:t>
            </w:r>
          </w:p>
        </w:tc>
      </w:tr>
      <w:tr>
        <w:tblPrEx>
          <w:tblCellMar>
            <w:top w:w="0" w:type="dxa"/>
            <w:left w:w="108" w:type="dxa"/>
            <w:bottom w:w="0" w:type="dxa"/>
            <w:right w:w="108" w:type="dxa"/>
          </w:tblCellMar>
        </w:tblPrEx>
        <w:trPr>
          <w:trHeight w:val="280" w:hRule="atLeast"/>
        </w:trPr>
        <w:tc>
          <w:tcPr>
            <w:tcW w:w="543" w:type="pct"/>
            <w:vMerge w:val="continue"/>
            <w:tcBorders>
              <w:left w:val="single" w:color="auto" w:sz="4" w:space="0"/>
              <w:right w:val="single" w:color="auto" w:sz="4" w:space="0"/>
            </w:tcBorders>
            <w:shd w:val="clear" w:color="auto" w:fill="auto"/>
            <w:vAlign w:val="center"/>
          </w:tcPr>
          <w:p>
            <w:pPr>
              <w:jc w:val="center"/>
              <w:rPr>
                <w:color w:val="auto"/>
                <w:highlight w:val="none"/>
              </w:rPr>
            </w:pPr>
          </w:p>
        </w:tc>
        <w:tc>
          <w:tcPr>
            <w:tcW w:w="4456" w:type="pct"/>
            <w:tcBorders>
              <w:top w:val="single" w:color="auto" w:sz="4" w:space="0"/>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2.模块化UPS应具备并机功能，只需通过并机线即可实现UPS并联，具备并机冗余和并机扩容两种模式。</w:t>
            </w:r>
          </w:p>
        </w:tc>
      </w:tr>
      <w:tr>
        <w:trPr>
          <w:trHeight w:val="280" w:hRule="atLeast"/>
        </w:trPr>
        <w:tc>
          <w:tcPr>
            <w:tcW w:w="543" w:type="pct"/>
            <w:vMerge w:val="continue"/>
            <w:tcBorders>
              <w:left w:val="single" w:color="auto" w:sz="4" w:space="0"/>
              <w:right w:val="single" w:color="auto" w:sz="4" w:space="0"/>
            </w:tcBorders>
            <w:shd w:val="clear" w:color="auto" w:fill="auto"/>
            <w:vAlign w:val="center"/>
          </w:tcPr>
          <w:p>
            <w:pPr>
              <w:jc w:val="center"/>
              <w:rPr>
                <w:color w:val="auto"/>
                <w:highlight w:val="none"/>
              </w:rPr>
            </w:pPr>
          </w:p>
        </w:tc>
        <w:tc>
          <w:tcPr>
            <w:tcW w:w="4456" w:type="pct"/>
            <w:tcBorders>
              <w:top w:val="single" w:color="auto" w:sz="4" w:space="0"/>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3.模块化UPS应具备智能发电机管理功能：当市电停电，应可启用发电机智能管理，可由UPS设置界面进行管理；当发电机额定输出功率不足时，允许在UPS管理界面重新定义发电机的输出功率，由ups自主管理，确保UPS输出不间断。要求提供针对该功能设置界面的证明材料。</w:t>
            </w:r>
          </w:p>
        </w:tc>
      </w:tr>
      <w:tr>
        <w:tblPrEx>
          <w:tblCellMar>
            <w:top w:w="0" w:type="dxa"/>
            <w:left w:w="108" w:type="dxa"/>
            <w:bottom w:w="0" w:type="dxa"/>
            <w:right w:w="108" w:type="dxa"/>
          </w:tblCellMar>
        </w:tblPrEx>
        <w:trPr>
          <w:trHeight w:val="280" w:hRule="atLeast"/>
        </w:trPr>
        <w:tc>
          <w:tcPr>
            <w:tcW w:w="543" w:type="pct"/>
            <w:vMerge w:val="continue"/>
            <w:tcBorders>
              <w:left w:val="single" w:color="auto" w:sz="4" w:space="0"/>
              <w:right w:val="single" w:color="auto" w:sz="4" w:space="0"/>
            </w:tcBorders>
            <w:shd w:val="clear" w:color="auto" w:fill="auto"/>
            <w:vAlign w:val="center"/>
          </w:tcPr>
          <w:p>
            <w:pPr>
              <w:jc w:val="center"/>
              <w:rPr>
                <w:color w:val="auto"/>
                <w:highlight w:val="none"/>
              </w:rPr>
            </w:pPr>
          </w:p>
        </w:tc>
        <w:tc>
          <w:tcPr>
            <w:tcW w:w="4456" w:type="pct"/>
            <w:tcBorders>
              <w:top w:val="single" w:color="auto" w:sz="4" w:space="0"/>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▲4.模块化主机智能化管理：器件失效预告警功能。要求提供生产厂家设备彩页证明材料。</w:t>
            </w:r>
          </w:p>
        </w:tc>
      </w:tr>
      <w:tr>
        <w:tblPrEx>
          <w:tblCellMar>
            <w:top w:w="0" w:type="dxa"/>
            <w:left w:w="108" w:type="dxa"/>
            <w:bottom w:w="0" w:type="dxa"/>
            <w:right w:w="108" w:type="dxa"/>
          </w:tblCellMar>
        </w:tblPrEx>
        <w:trPr>
          <w:trHeight w:val="90" w:hRule="atLeast"/>
        </w:trPr>
        <w:tc>
          <w:tcPr>
            <w:tcW w:w="543" w:type="pct"/>
            <w:vMerge w:val="continue"/>
            <w:tcBorders>
              <w:left w:val="single" w:color="auto" w:sz="4" w:space="0"/>
              <w:right w:val="single" w:color="auto" w:sz="4" w:space="0"/>
            </w:tcBorders>
            <w:shd w:val="clear" w:color="auto" w:fill="auto"/>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spacing w:line="360" w:lineRule="auto"/>
              <w:rPr>
                <w:rFonts w:ascii="Times New Roman" w:hAnsi="Times New Roman"/>
                <w:color w:val="auto"/>
                <w:szCs w:val="24"/>
                <w:highlight w:val="none"/>
                <w:lang w:val="hr-HR"/>
              </w:rPr>
            </w:pPr>
            <w:r>
              <w:rPr>
                <w:rFonts w:hint="eastAsia" w:ascii="Times New Roman" w:hAnsi="Times New Roman"/>
                <w:color w:val="auto"/>
                <w:szCs w:val="24"/>
                <w:highlight w:val="none"/>
                <w:lang w:val="hr-HR"/>
              </w:rPr>
              <w:t>▲5.输出同步：为提升所投产品可靠性，输出母线同步功能应原厂标配内置、具备输出双母线功能；要求提供生产厂家设备照片证明材料。</w:t>
            </w:r>
          </w:p>
        </w:tc>
      </w:tr>
      <w:tr>
        <w:tblPrEx>
          <w:tblCellMar>
            <w:top w:w="0" w:type="dxa"/>
            <w:left w:w="108" w:type="dxa"/>
            <w:bottom w:w="0" w:type="dxa"/>
            <w:right w:w="108" w:type="dxa"/>
          </w:tblCellMar>
        </w:tblPrEx>
        <w:trPr>
          <w:trHeight w:val="730"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rFonts w:ascii="Times New Roman" w:hAnsi="Times New Roman"/>
                <w:color w:val="auto"/>
                <w:szCs w:val="24"/>
                <w:highlight w:val="none"/>
                <w:lang w:val="hr-HR"/>
              </w:rPr>
            </w:pPr>
            <w:r>
              <w:rPr>
                <w:rFonts w:hint="eastAsia" w:ascii="Times New Roman" w:hAnsi="Times New Roman"/>
                <w:color w:val="auto"/>
                <w:szCs w:val="24"/>
                <w:highlight w:val="none"/>
                <w:lang w:val="hr-HR"/>
              </w:rPr>
              <w:t>▲6.模块化UPS具备除尘告警，当设备运行周期较长或设备积尘过多时，UPS启动自动除尘功能。要求提供针对该功能设置界面的证明材料。</w:t>
            </w:r>
          </w:p>
        </w:tc>
      </w:tr>
      <w:tr>
        <w:trPr>
          <w:trHeight w:val="660"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rFonts w:ascii="Times New Roman" w:hAnsi="Times New Roman"/>
                <w:color w:val="auto"/>
                <w:szCs w:val="24"/>
                <w:highlight w:val="none"/>
                <w:lang w:val="hr-HR"/>
              </w:rPr>
            </w:pPr>
            <w:r>
              <w:rPr>
                <w:rFonts w:hint="eastAsia" w:ascii="Times New Roman" w:hAnsi="Times New Roman"/>
                <w:color w:val="auto"/>
                <w:szCs w:val="24"/>
                <w:highlight w:val="none"/>
                <w:lang w:val="hr-HR"/>
              </w:rPr>
              <w:t>▲7.为提升系统的可靠性，UPS主机需标配维护旁路开关。</w:t>
            </w:r>
            <w:r>
              <w:rPr>
                <w:rFonts w:hint="eastAsia"/>
                <w:color w:val="auto"/>
                <w:highlight w:val="none"/>
                <w:lang w:val="hr-HR" w:eastAsia="zh-CN"/>
              </w:rPr>
              <w:t>提供相关材料证明。</w:t>
            </w:r>
          </w:p>
        </w:tc>
      </w:tr>
      <w:tr>
        <w:tblPrEx>
          <w:tblCellMar>
            <w:top w:w="0" w:type="dxa"/>
            <w:left w:w="108" w:type="dxa"/>
            <w:bottom w:w="0" w:type="dxa"/>
            <w:right w:w="108" w:type="dxa"/>
          </w:tblCellMar>
        </w:tblPrEx>
        <w:trPr>
          <w:trHeight w:val="751"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rFonts w:ascii="Times New Roman" w:hAnsi="Times New Roman"/>
                <w:color w:val="auto"/>
                <w:szCs w:val="24"/>
                <w:highlight w:val="none"/>
                <w:lang w:val="hr-HR"/>
              </w:rPr>
            </w:pPr>
            <w:r>
              <w:rPr>
                <w:rFonts w:hint="eastAsia" w:ascii="Times New Roman" w:hAnsi="Times New Roman"/>
                <w:color w:val="auto"/>
                <w:szCs w:val="24"/>
                <w:highlight w:val="none"/>
                <w:lang w:val="hr-HR"/>
              </w:rPr>
              <w:t>▲8.中文7英寸触摸大液晶屏，具有LCD+LED指示的操作界面，实时记录工作状态和运行信息，管理更加直观；操作界面要求配备手动开关机按钮，确保在触摸屏失效时依然可以开关机操作，具备避免单键触发设备开关机动作的保护预防措施发生。要求提供生产厂家设备照片证明材料。</w:t>
            </w:r>
          </w:p>
        </w:tc>
      </w:tr>
      <w:tr>
        <w:tblPrEx>
          <w:tblCellMar>
            <w:top w:w="0" w:type="dxa"/>
            <w:left w:w="108" w:type="dxa"/>
            <w:bottom w:w="0" w:type="dxa"/>
            <w:right w:w="108" w:type="dxa"/>
          </w:tblCellMar>
        </w:tblPrEx>
        <w:trPr>
          <w:trHeight w:val="720"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rFonts w:ascii="Times New Roman" w:hAnsi="Times New Roman"/>
                <w:color w:val="auto"/>
                <w:szCs w:val="24"/>
                <w:highlight w:val="none"/>
                <w:lang w:val="hr-HR"/>
              </w:rPr>
            </w:pPr>
            <w:r>
              <w:rPr>
                <w:rFonts w:hint="eastAsia" w:ascii="Times New Roman" w:hAnsi="Times New Roman"/>
                <w:color w:val="auto"/>
                <w:szCs w:val="24"/>
                <w:highlight w:val="none"/>
                <w:lang w:val="hr-HR"/>
              </w:rPr>
              <w:t>▲9.具有智能录波功能，当UPS设备故障时，完整记录故障发生瞬间；要求提供针对该功能设置界面的证明材料。</w:t>
            </w:r>
          </w:p>
        </w:tc>
      </w:tr>
      <w:tr>
        <w:tblPrEx>
          <w:tblCellMar>
            <w:top w:w="0" w:type="dxa"/>
            <w:left w:w="108" w:type="dxa"/>
            <w:bottom w:w="0" w:type="dxa"/>
            <w:right w:w="108" w:type="dxa"/>
          </w:tblCellMar>
        </w:tblPrEx>
        <w:trPr>
          <w:trHeight w:val="906"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10.主机近端标配EPO按钮，同时具备远程干接点接口。</w:t>
            </w:r>
          </w:p>
        </w:tc>
      </w:tr>
      <w:tr>
        <w:trPr>
          <w:trHeight w:val="612"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11.自老化功能：具备自老化功能；</w:t>
            </w:r>
            <w:r>
              <w:rPr>
                <w:color w:val="auto"/>
                <w:highlight w:val="none"/>
                <w:lang w:val="hr-HR"/>
              </w:rPr>
              <w:t xml:space="preserve"> </w:t>
            </w:r>
          </w:p>
        </w:tc>
      </w:tr>
      <w:tr>
        <w:tblPrEx>
          <w:tblCellMar>
            <w:top w:w="0" w:type="dxa"/>
            <w:left w:w="108" w:type="dxa"/>
            <w:bottom w:w="0" w:type="dxa"/>
            <w:right w:w="108" w:type="dxa"/>
          </w:tblCellMar>
        </w:tblPrEx>
        <w:trPr>
          <w:trHeight w:val="700" w:hRule="atLeast"/>
        </w:trPr>
        <w:tc>
          <w:tcPr>
            <w:tcW w:w="543" w:type="pct"/>
            <w:vMerge w:val="continue"/>
            <w:tcBorders>
              <w:left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pStyle w:val="24"/>
              <w:numPr>
                <w:ilvl w:val="0"/>
                <w:numId w:val="0"/>
              </w:numPr>
              <w:rPr>
                <w:rFonts w:ascii="Times New Roman" w:hAnsi="Times New Roman"/>
                <w:color w:val="auto"/>
                <w:szCs w:val="24"/>
                <w:highlight w:val="none"/>
                <w:lang w:val="hr-HR"/>
              </w:rPr>
            </w:pPr>
            <w:r>
              <w:rPr>
                <w:rFonts w:hint="eastAsia" w:ascii="Times New Roman" w:hAnsi="Times New Roman"/>
                <w:color w:val="auto"/>
                <w:szCs w:val="24"/>
                <w:highlight w:val="none"/>
                <w:lang w:val="hr-HR"/>
              </w:rPr>
              <w:t>12.电池智能管理：电池管理功能丰富，具备电池测试放电电流\电池测试放电容量\电池测试放电时间\定电流定时测试\定电流定容量测试\深度测试。</w:t>
            </w:r>
          </w:p>
        </w:tc>
      </w:tr>
      <w:tr>
        <w:tblPrEx>
          <w:tblCellMar>
            <w:top w:w="0" w:type="dxa"/>
            <w:left w:w="108" w:type="dxa"/>
            <w:bottom w:w="0" w:type="dxa"/>
            <w:right w:w="108" w:type="dxa"/>
          </w:tblCellMar>
        </w:tblPrEx>
        <w:trPr>
          <w:trHeight w:val="470" w:hRule="atLeast"/>
        </w:trPr>
        <w:tc>
          <w:tcPr>
            <w:tcW w:w="543" w:type="pct"/>
            <w:vMerge w:val="restart"/>
            <w:tcBorders>
              <w:top w:val="nil"/>
              <w:left w:val="single" w:color="auto" w:sz="4" w:space="0"/>
              <w:bottom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电气技术要求</w:t>
            </w: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color w:val="auto"/>
                <w:highlight w:val="none"/>
                <w:lang w:val="hr-HR"/>
              </w:rPr>
              <w:t>1.输入电压范围：</w:t>
            </w:r>
            <w:r>
              <w:rPr>
                <w:rFonts w:hint="eastAsia"/>
                <w:color w:val="auto"/>
                <w:highlight w:val="none"/>
              </w:rPr>
              <w:t>138</w:t>
            </w:r>
            <w:r>
              <w:rPr>
                <w:rFonts w:hint="eastAsia"/>
                <w:color w:val="auto"/>
                <w:highlight w:val="none"/>
                <w:lang w:val="hr-HR"/>
              </w:rPr>
              <w:t>-4</w:t>
            </w:r>
            <w:r>
              <w:rPr>
                <w:rFonts w:hint="eastAsia"/>
                <w:color w:val="auto"/>
                <w:highlight w:val="none"/>
              </w:rPr>
              <w:t>85</w:t>
            </w:r>
            <w:r>
              <w:rPr>
                <w:rFonts w:hint="eastAsia"/>
                <w:color w:val="auto"/>
                <w:highlight w:val="none"/>
                <w:lang w:val="hr-HR"/>
              </w:rPr>
              <w:t xml:space="preserve">VAC </w:t>
            </w:r>
          </w:p>
        </w:tc>
      </w:tr>
      <w:tr>
        <w:tblPrEx>
          <w:tblCellMar>
            <w:top w:w="0" w:type="dxa"/>
            <w:left w:w="108" w:type="dxa"/>
            <w:bottom w:w="0" w:type="dxa"/>
            <w:right w:w="108" w:type="dxa"/>
          </w:tblCellMar>
        </w:tblPrEx>
        <w:trPr>
          <w:trHeight w:val="398"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color w:val="auto"/>
                <w:highlight w:val="none"/>
                <w:lang w:val="hr-HR"/>
              </w:rPr>
              <w:t>2.</w:t>
            </w:r>
            <w:r>
              <w:rPr>
                <w:rFonts w:hint="eastAsia"/>
                <w:color w:val="auto"/>
                <w:highlight w:val="none"/>
                <w:lang w:val="hr-HR"/>
              </w:rPr>
              <w:t>输入功率因数：</w:t>
            </w:r>
            <w:r>
              <w:rPr>
                <w:color w:val="auto"/>
                <w:highlight w:val="none"/>
                <w:lang w:val="hr-HR"/>
              </w:rPr>
              <w:t>100%</w:t>
            </w:r>
            <w:r>
              <w:rPr>
                <w:rFonts w:hint="eastAsia"/>
                <w:color w:val="auto"/>
                <w:highlight w:val="none"/>
                <w:lang w:val="hr-HR"/>
              </w:rPr>
              <w:t>额定负载时大于</w:t>
            </w:r>
            <w:r>
              <w:rPr>
                <w:color w:val="auto"/>
                <w:highlight w:val="none"/>
                <w:lang w:val="hr-HR"/>
              </w:rPr>
              <w:t>0.99</w:t>
            </w:r>
          </w:p>
        </w:tc>
      </w:tr>
      <w:tr>
        <w:trPr>
          <w:trHeight w:val="41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color w:val="auto"/>
                <w:highlight w:val="none"/>
                <w:lang w:val="hr-HR"/>
              </w:rPr>
              <w:t>3.</w:t>
            </w:r>
            <w:r>
              <w:rPr>
                <w:rFonts w:hint="eastAsia"/>
                <w:color w:val="auto"/>
                <w:highlight w:val="none"/>
                <w:lang w:val="hr-HR"/>
              </w:rPr>
              <w:t>输入电流失真</w:t>
            </w:r>
            <w:r>
              <w:rPr>
                <w:color w:val="auto"/>
                <w:highlight w:val="none"/>
                <w:lang w:val="hr-HR"/>
              </w:rPr>
              <w:t>THDi</w:t>
            </w:r>
            <w:r>
              <w:rPr>
                <w:rFonts w:hint="eastAsia"/>
                <w:color w:val="auto"/>
                <w:highlight w:val="none"/>
                <w:lang w:val="hr-HR"/>
              </w:rPr>
              <w:t>：线性负载小于</w:t>
            </w:r>
            <w:r>
              <w:rPr>
                <w:color w:val="auto"/>
                <w:highlight w:val="none"/>
                <w:lang w:val="hr-HR"/>
              </w:rPr>
              <w:t>3%</w:t>
            </w:r>
            <w:r>
              <w:rPr>
                <w:rFonts w:hint="eastAsia"/>
                <w:color w:val="auto"/>
                <w:highlight w:val="none"/>
                <w:lang w:val="hr-HR"/>
              </w:rPr>
              <w:t>，非线性负载小于</w:t>
            </w:r>
            <w:r>
              <w:rPr>
                <w:color w:val="auto"/>
                <w:highlight w:val="none"/>
                <w:lang w:val="hr-HR"/>
              </w:rPr>
              <w:t>5%</w:t>
            </w:r>
          </w:p>
        </w:tc>
      </w:tr>
      <w:tr>
        <w:tblPrEx>
          <w:tblCellMar>
            <w:top w:w="0" w:type="dxa"/>
            <w:left w:w="108" w:type="dxa"/>
            <w:bottom w:w="0" w:type="dxa"/>
            <w:right w:w="108" w:type="dxa"/>
          </w:tblCellMar>
        </w:tblPrEx>
        <w:trPr>
          <w:trHeight w:val="43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color w:val="auto"/>
                <w:highlight w:val="none"/>
                <w:lang w:val="hr-HR"/>
              </w:rPr>
              <w:t>4.</w:t>
            </w:r>
            <w:r>
              <w:rPr>
                <w:rFonts w:hint="eastAsia"/>
                <w:color w:val="auto"/>
                <w:highlight w:val="none"/>
                <w:lang w:val="hr-HR"/>
              </w:rPr>
              <w:t>输出电压稳压精度：不大于1%</w:t>
            </w:r>
          </w:p>
        </w:tc>
      </w:tr>
      <w:tr>
        <w:tblPrEx>
          <w:tblCellMar>
            <w:top w:w="0" w:type="dxa"/>
            <w:left w:w="108" w:type="dxa"/>
            <w:bottom w:w="0" w:type="dxa"/>
            <w:right w:w="108" w:type="dxa"/>
          </w:tblCellMar>
        </w:tblPrEx>
        <w:trPr>
          <w:trHeight w:val="9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color w:val="auto"/>
                <w:highlight w:val="none"/>
                <w:lang w:val="hr-HR"/>
              </w:rPr>
              <w:t>5.</w:t>
            </w:r>
            <w:r>
              <w:rPr>
                <w:rFonts w:hint="eastAsia"/>
                <w:color w:val="auto"/>
                <w:highlight w:val="none"/>
                <w:lang w:val="hr-HR"/>
              </w:rPr>
              <w:t>输出功率因数：大于</w:t>
            </w:r>
            <w:r>
              <w:rPr>
                <w:color w:val="auto"/>
                <w:highlight w:val="none"/>
                <w:lang w:val="hr-HR"/>
              </w:rPr>
              <w:t>0.99</w:t>
            </w:r>
            <w:r>
              <w:rPr>
                <w:rFonts w:hint="eastAsia"/>
                <w:color w:val="auto"/>
                <w:highlight w:val="none"/>
                <w:lang w:val="hr-HR"/>
              </w:rPr>
              <w:t>满载。</w:t>
            </w:r>
          </w:p>
        </w:tc>
      </w:tr>
      <w:tr>
        <w:tblPrEx>
          <w:tblCellMar>
            <w:top w:w="0" w:type="dxa"/>
            <w:left w:w="108" w:type="dxa"/>
            <w:bottom w:w="0" w:type="dxa"/>
            <w:right w:w="108" w:type="dxa"/>
          </w:tblCellMar>
        </w:tblPrEx>
        <w:trPr>
          <w:trHeight w:val="42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rPr>
            </w:pPr>
            <w:r>
              <w:rPr>
                <w:rFonts w:hint="eastAsia"/>
                <w:color w:val="auto"/>
                <w:highlight w:val="none"/>
                <w:lang w:val="hr-HR"/>
              </w:rPr>
              <w:t>6</w:t>
            </w:r>
            <w:r>
              <w:rPr>
                <w:color w:val="auto"/>
                <w:highlight w:val="none"/>
                <w:lang w:val="hr-HR"/>
              </w:rPr>
              <w:t>.</w:t>
            </w:r>
            <w:r>
              <w:rPr>
                <w:rFonts w:hint="eastAsia"/>
                <w:color w:val="auto"/>
                <w:highlight w:val="none"/>
                <w:lang w:val="hr-HR"/>
              </w:rPr>
              <w:t>输出电压不平衡度：不大于3%。</w:t>
            </w:r>
          </w:p>
        </w:tc>
      </w:tr>
      <w:tr>
        <w:trPr>
          <w:trHeight w:val="450" w:hRule="atLeast"/>
        </w:trPr>
        <w:tc>
          <w:tcPr>
            <w:tcW w:w="543" w:type="pct"/>
            <w:vMerge w:val="restart"/>
            <w:tcBorders>
              <w:top w:val="nil"/>
              <w:left w:val="single" w:color="auto" w:sz="4" w:space="0"/>
              <w:bottom w:val="single" w:color="auto" w:sz="4" w:space="0"/>
              <w:right w:val="single" w:color="auto" w:sz="4" w:space="0"/>
            </w:tcBorders>
            <w:shd w:val="clear" w:color="auto" w:fill="auto"/>
            <w:vAlign w:val="center"/>
          </w:tcPr>
          <w:p>
            <w:pPr>
              <w:jc w:val="center"/>
              <w:rPr>
                <w:color w:val="auto"/>
                <w:highlight w:val="none"/>
              </w:rPr>
            </w:pPr>
            <w:r>
              <w:rPr>
                <w:rFonts w:hint="eastAsia"/>
                <w:color w:val="auto"/>
                <w:highlight w:val="none"/>
              </w:rPr>
              <w:t>电池与充电特性</w:t>
            </w: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color w:val="auto"/>
                <w:highlight w:val="none"/>
                <w:lang w:val="hr-HR"/>
              </w:rPr>
              <w:t>1.</w:t>
            </w:r>
            <w:r>
              <w:rPr>
                <w:rFonts w:hint="eastAsia"/>
                <w:color w:val="auto"/>
                <w:highlight w:val="none"/>
                <w:lang w:val="hr-HR"/>
              </w:rPr>
              <w:t>电池</w:t>
            </w:r>
            <w:r>
              <w:rPr>
                <w:rFonts w:hint="eastAsia"/>
                <w:color w:val="auto"/>
                <w:highlight w:val="none"/>
              </w:rPr>
              <w:t>节数：32</w:t>
            </w:r>
            <w:r>
              <w:rPr>
                <w:color w:val="auto"/>
                <w:highlight w:val="none"/>
                <w:lang w:val="hr-HR"/>
              </w:rPr>
              <w:t>~</w:t>
            </w:r>
            <w:r>
              <w:rPr>
                <w:rFonts w:hint="eastAsia"/>
                <w:color w:val="auto"/>
                <w:highlight w:val="none"/>
              </w:rPr>
              <w:t>46</w:t>
            </w:r>
            <w:r>
              <w:rPr>
                <w:rFonts w:hint="eastAsia"/>
                <w:color w:val="auto"/>
                <w:highlight w:val="none"/>
                <w:lang w:val="hr-HR"/>
              </w:rPr>
              <w:t>节可调。</w:t>
            </w:r>
          </w:p>
        </w:tc>
      </w:tr>
      <w:tr>
        <w:tblPrEx>
          <w:tblCellMar>
            <w:top w:w="0" w:type="dxa"/>
            <w:left w:w="108" w:type="dxa"/>
            <w:bottom w:w="0" w:type="dxa"/>
            <w:right w:w="108" w:type="dxa"/>
          </w:tblCellMar>
        </w:tblPrEx>
        <w:trPr>
          <w:trHeight w:val="360" w:hRule="atLeast"/>
        </w:trPr>
        <w:tc>
          <w:tcPr>
            <w:tcW w:w="543" w:type="pct"/>
            <w:vMerge w:val="continue"/>
            <w:tcBorders>
              <w:top w:val="nil"/>
              <w:left w:val="single" w:color="auto" w:sz="4" w:space="0"/>
              <w:bottom w:val="single" w:color="auto" w:sz="4" w:space="0"/>
              <w:right w:val="single" w:color="auto" w:sz="4" w:space="0"/>
            </w:tcBorders>
            <w:vAlign w:val="center"/>
          </w:tcPr>
          <w:p>
            <w:pPr>
              <w:jc w:val="center"/>
              <w:rPr>
                <w:color w:val="auto"/>
                <w:highlight w:val="none"/>
              </w:rPr>
            </w:pPr>
          </w:p>
        </w:tc>
        <w:tc>
          <w:tcPr>
            <w:tcW w:w="4456" w:type="pct"/>
            <w:tcBorders>
              <w:top w:val="nil"/>
              <w:left w:val="nil"/>
              <w:bottom w:val="single" w:color="auto" w:sz="4" w:space="0"/>
              <w:right w:val="single" w:color="auto" w:sz="4" w:space="0"/>
            </w:tcBorders>
            <w:shd w:val="clear" w:color="auto" w:fill="auto"/>
            <w:vAlign w:val="center"/>
          </w:tcPr>
          <w:p>
            <w:pPr>
              <w:rPr>
                <w:color w:val="auto"/>
                <w:highlight w:val="none"/>
                <w:lang w:val="hr-HR"/>
              </w:rPr>
            </w:pPr>
            <w:r>
              <w:rPr>
                <w:rFonts w:hint="eastAsia" w:ascii="Calibri" w:hAnsi="Calibri"/>
                <w:color w:val="auto"/>
                <w:highlight w:val="none"/>
              </w:rPr>
              <w:t>▲2</w:t>
            </w:r>
            <w:r>
              <w:rPr>
                <w:color w:val="auto"/>
                <w:highlight w:val="none"/>
                <w:lang w:val="hr-HR"/>
              </w:rPr>
              <w:t>. UPS</w:t>
            </w:r>
            <w:r>
              <w:rPr>
                <w:rFonts w:hint="eastAsia"/>
                <w:color w:val="auto"/>
                <w:highlight w:val="none"/>
                <w:lang w:val="hr-HR"/>
              </w:rPr>
              <w:t>并机运行时，支持电池组共用，提供用户手册等证明材料。</w:t>
            </w:r>
          </w:p>
        </w:tc>
      </w:tr>
    </w:tbl>
    <w:p>
      <w:pPr>
        <w:pStyle w:val="21"/>
        <w:rPr>
          <w:rFonts w:hint="eastAsia"/>
          <w:color w:val="auto"/>
          <w:highlight w:val="none"/>
          <w:lang w:eastAsia="zh-CN"/>
        </w:rPr>
      </w:pPr>
    </w:p>
    <w:bookmarkEnd w:id="5"/>
    <w:p>
      <w:pPr>
        <w:pStyle w:val="3"/>
        <w:numPr>
          <w:ilvl w:val="0"/>
          <w:numId w:val="5"/>
        </w:numPr>
        <w:rPr>
          <w:color w:val="auto"/>
          <w:highlight w:val="none"/>
        </w:rPr>
      </w:pPr>
      <w:r>
        <w:rPr>
          <w:rFonts w:hint="eastAsia"/>
          <w:color w:val="auto"/>
          <w:highlight w:val="none"/>
        </w:rPr>
        <w:t>服务要求</w:t>
      </w:r>
    </w:p>
    <w:p>
      <w:pPr>
        <w:pStyle w:val="4"/>
        <w:numPr>
          <w:ilvl w:val="1"/>
          <w:numId w:val="7"/>
        </w:numPr>
        <w:ind w:firstLine="60"/>
        <w:rPr>
          <w:color w:val="auto"/>
          <w:highlight w:val="none"/>
        </w:rPr>
      </w:pPr>
      <w:r>
        <w:rPr>
          <w:rFonts w:hint="eastAsia"/>
          <w:color w:val="auto"/>
          <w:highlight w:val="none"/>
        </w:rPr>
        <w:t>配合要求</w:t>
      </w:r>
    </w:p>
    <w:p>
      <w:pPr>
        <w:numPr>
          <w:ilvl w:val="0"/>
          <w:numId w:val="8"/>
        </w:numPr>
        <w:spacing w:line="360" w:lineRule="auto"/>
        <w:ind w:hanging="5"/>
        <w:rPr>
          <w:color w:val="auto"/>
          <w:highlight w:val="none"/>
        </w:rPr>
      </w:pPr>
      <w:r>
        <w:rPr>
          <w:color w:val="auto"/>
          <w:highlight w:val="none"/>
        </w:rPr>
        <w:t>中标人需对本项目所含系统的供电提出明确的需求。</w:t>
      </w:r>
    </w:p>
    <w:p>
      <w:pPr>
        <w:numPr>
          <w:ilvl w:val="0"/>
          <w:numId w:val="8"/>
        </w:numPr>
        <w:spacing w:line="360" w:lineRule="auto"/>
        <w:ind w:hanging="5"/>
        <w:rPr>
          <w:color w:val="auto"/>
          <w:highlight w:val="none"/>
        </w:rPr>
      </w:pPr>
      <w:r>
        <w:rPr>
          <w:color w:val="auto"/>
          <w:highlight w:val="none"/>
        </w:rPr>
        <w:t>中标人对需要其他工程商提供的接口、设备监控界面等须提出明确的要求。</w:t>
      </w:r>
    </w:p>
    <w:p>
      <w:pPr>
        <w:numPr>
          <w:ilvl w:val="0"/>
          <w:numId w:val="8"/>
        </w:numPr>
        <w:spacing w:line="360" w:lineRule="auto"/>
        <w:ind w:hanging="5"/>
        <w:rPr>
          <w:color w:val="auto"/>
          <w:highlight w:val="none"/>
        </w:rPr>
      </w:pPr>
      <w:r>
        <w:rPr>
          <w:color w:val="auto"/>
          <w:highlight w:val="none"/>
        </w:rPr>
        <w:t>项目实施后中标人需提供完整的电子文档和安装手册；</w:t>
      </w:r>
    </w:p>
    <w:p>
      <w:pPr>
        <w:numPr>
          <w:ilvl w:val="0"/>
          <w:numId w:val="8"/>
        </w:numPr>
        <w:spacing w:line="360" w:lineRule="auto"/>
        <w:ind w:hanging="5"/>
        <w:rPr>
          <w:color w:val="auto"/>
          <w:highlight w:val="none"/>
        </w:rPr>
      </w:pPr>
      <w:r>
        <w:rPr>
          <w:rFonts w:hint="eastAsia"/>
          <w:color w:val="auto"/>
          <w:highlight w:val="none"/>
          <w:lang w:eastAsia="zh-CN"/>
        </w:rPr>
        <w:t>投标人</w:t>
      </w:r>
      <w:r>
        <w:rPr>
          <w:color w:val="auto"/>
          <w:highlight w:val="none"/>
        </w:rPr>
        <w:t>所提供的系统方案要充分考虑现有实际情况，签订合同后，</w:t>
      </w:r>
      <w:r>
        <w:rPr>
          <w:rFonts w:hint="eastAsia"/>
          <w:color w:val="auto"/>
          <w:highlight w:val="none"/>
          <w:lang w:eastAsia="zh-CN"/>
        </w:rPr>
        <w:t>采购方</w:t>
      </w:r>
      <w:r>
        <w:rPr>
          <w:color w:val="auto"/>
          <w:highlight w:val="none"/>
        </w:rPr>
        <w:t>有权要求中标人根据现场情况</w:t>
      </w:r>
      <w:r>
        <w:rPr>
          <w:rFonts w:hint="eastAsia"/>
          <w:color w:val="auto"/>
          <w:highlight w:val="none"/>
        </w:rPr>
        <w:t>对</w:t>
      </w:r>
      <w:r>
        <w:rPr>
          <w:rFonts w:hint="eastAsia"/>
          <w:color w:val="auto"/>
          <w:highlight w:val="none"/>
          <w:lang w:eastAsia="zh-CN"/>
        </w:rPr>
        <w:t>投标人</w:t>
      </w:r>
      <w:r>
        <w:rPr>
          <w:color w:val="auto"/>
          <w:highlight w:val="none"/>
        </w:rPr>
        <w:t>案及产品进行深化和调整；</w:t>
      </w:r>
    </w:p>
    <w:p>
      <w:pPr>
        <w:numPr>
          <w:ilvl w:val="0"/>
          <w:numId w:val="8"/>
        </w:numPr>
        <w:spacing w:line="360" w:lineRule="auto"/>
        <w:ind w:hanging="5"/>
        <w:rPr>
          <w:color w:val="auto"/>
          <w:highlight w:val="none"/>
        </w:rPr>
      </w:pPr>
      <w:r>
        <w:rPr>
          <w:color w:val="auto"/>
          <w:highlight w:val="none"/>
        </w:rPr>
        <w:t>中标人提供相关的各类培训，包括技术培训和操作培训，并制定详细的培训计划。</w:t>
      </w:r>
    </w:p>
    <w:p>
      <w:pPr>
        <w:pStyle w:val="4"/>
        <w:numPr>
          <w:ilvl w:val="1"/>
          <w:numId w:val="7"/>
        </w:numPr>
        <w:ind w:firstLine="60"/>
        <w:rPr>
          <w:color w:val="auto"/>
          <w:highlight w:val="none"/>
        </w:rPr>
      </w:pPr>
      <w:r>
        <w:rPr>
          <w:rFonts w:hint="eastAsia"/>
          <w:color w:val="auto"/>
          <w:highlight w:val="none"/>
        </w:rPr>
        <w:t>设备质保及售后服务要求</w:t>
      </w:r>
    </w:p>
    <w:p>
      <w:pPr>
        <w:spacing w:before="156" w:line="229" w:lineRule="auto"/>
        <w:ind w:left="417"/>
        <w:rPr>
          <w:rFonts w:hint="eastAsia" w:ascii="宋体" w:hAnsi="宋体" w:cs="宋体"/>
          <w:color w:val="auto"/>
          <w:szCs w:val="21"/>
          <w:highlight w:val="none"/>
        </w:rPr>
      </w:pPr>
      <w:r>
        <w:rPr>
          <w:rFonts w:ascii="宋体" w:hAnsi="宋体" w:cs="宋体"/>
          <w:color w:val="auto"/>
          <w:spacing w:val="9"/>
          <w:szCs w:val="21"/>
          <w:highlight w:val="none"/>
        </w:rPr>
        <w:t>整</w:t>
      </w:r>
      <w:r>
        <w:rPr>
          <w:rFonts w:ascii="宋体" w:hAnsi="宋体" w:cs="宋体"/>
          <w:color w:val="auto"/>
          <w:spacing w:val="8"/>
          <w:szCs w:val="21"/>
          <w:highlight w:val="none"/>
        </w:rPr>
        <w:t>体要求</w:t>
      </w:r>
    </w:p>
    <w:p>
      <w:pPr>
        <w:numPr>
          <w:ilvl w:val="0"/>
          <w:numId w:val="9"/>
        </w:numPr>
        <w:spacing w:line="360" w:lineRule="auto"/>
        <w:ind w:hanging="5"/>
        <w:rPr>
          <w:rFonts w:eastAsia="宋体"/>
          <w:color w:val="auto"/>
          <w:highlight w:val="none"/>
        </w:rPr>
      </w:pPr>
      <w:r>
        <w:rPr>
          <w:color w:val="auto"/>
          <w:highlight w:val="none"/>
        </w:rPr>
        <w:t>项目整体需提供</w:t>
      </w:r>
      <w:r>
        <w:rPr>
          <w:rFonts w:hint="eastAsia"/>
          <w:color w:val="auto"/>
          <w:highlight w:val="none"/>
        </w:rPr>
        <w:t>【五】</w:t>
      </w:r>
      <w:r>
        <w:rPr>
          <w:color w:val="auto"/>
          <w:highlight w:val="none"/>
        </w:rPr>
        <w:t>年免费售后服务；免费质保/维护期自系统验收通过之日起计算。</w:t>
      </w:r>
      <w:r>
        <w:rPr>
          <w:rFonts w:hint="eastAsia" w:ascii="宋体" w:hAnsi="宋体" w:cs="宋体"/>
          <w:color w:val="auto"/>
          <w:sz w:val="21"/>
          <w:szCs w:val="21"/>
          <w:highlight w:val="none"/>
        </w:rPr>
        <w:t>免费维保期内每年内不少于4次巡检，</w:t>
      </w:r>
      <w:r>
        <w:rPr>
          <w:rFonts w:hint="eastAsia" w:eastAsia="宋体"/>
          <w:color w:val="auto"/>
          <w:highlight w:val="none"/>
        </w:rPr>
        <w:t>2次放电测试，一个季度不少于1次巡检</w:t>
      </w:r>
      <w:r>
        <w:rPr>
          <w:rFonts w:hint="eastAsia" w:eastAsia="宋体"/>
          <w:color w:val="auto"/>
          <w:highlight w:val="none"/>
          <w:lang w:eastAsia="zh-CN"/>
        </w:rPr>
        <w:t>。质保期</w:t>
      </w:r>
      <w:r>
        <w:rPr>
          <w:rFonts w:hint="eastAsia" w:eastAsia="宋体"/>
          <w:color w:val="auto"/>
          <w:highlight w:val="none"/>
          <w:lang w:val="en-US" w:eastAsia="zh-CN"/>
        </w:rPr>
        <w:t>5年，厂家对ups蓄电池进行检测，</w:t>
      </w:r>
      <w:r>
        <w:rPr>
          <w:rFonts w:eastAsia="宋体"/>
          <w:color w:val="auto"/>
          <w:highlight w:val="none"/>
        </w:rPr>
        <w:t>根据相关规范，当电池组的额定容量低于初始容量的80%时</w:t>
      </w:r>
      <w:r>
        <w:rPr>
          <w:rFonts w:hint="eastAsia" w:eastAsia="宋体"/>
          <w:color w:val="auto"/>
          <w:highlight w:val="none"/>
          <w:lang w:eastAsia="zh-CN"/>
        </w:rPr>
        <w:t>，应提供免费更换电池一次</w:t>
      </w:r>
      <w:r>
        <w:rPr>
          <w:rFonts w:hint="eastAsia" w:eastAsia="宋体"/>
          <w:color w:val="auto"/>
          <w:highlight w:val="none"/>
        </w:rPr>
        <w:t>。</w:t>
      </w:r>
    </w:p>
    <w:p>
      <w:pPr>
        <w:numPr>
          <w:ilvl w:val="0"/>
          <w:numId w:val="9"/>
        </w:numPr>
        <w:spacing w:line="360" w:lineRule="auto"/>
        <w:ind w:hanging="5"/>
        <w:rPr>
          <w:color w:val="auto"/>
          <w:highlight w:val="none"/>
        </w:rPr>
      </w:pPr>
      <w:r>
        <w:rPr>
          <w:rFonts w:eastAsia="宋体"/>
          <w:color w:val="auto"/>
          <w:highlight w:val="none"/>
        </w:rPr>
        <w:t>质保内容：整体微模块设备及其配</w:t>
      </w:r>
      <w:r>
        <w:rPr>
          <w:color w:val="auto"/>
          <w:highlight w:val="none"/>
        </w:rPr>
        <w:t>套部件，非人为因素导致故障提供免费更换。</w:t>
      </w:r>
    </w:p>
    <w:p>
      <w:pPr>
        <w:numPr>
          <w:ilvl w:val="0"/>
          <w:numId w:val="9"/>
        </w:numPr>
        <w:spacing w:line="360" w:lineRule="auto"/>
        <w:ind w:hanging="5"/>
        <w:rPr>
          <w:color w:val="auto"/>
          <w:highlight w:val="none"/>
        </w:rPr>
      </w:pPr>
      <w:r>
        <w:rPr>
          <w:color w:val="auto"/>
          <w:highlight w:val="none"/>
        </w:rPr>
        <w:t>响应时间：提供 5*8 小时 400 电话报修服务，接到报修后，技术服务人员在 2 小时内进行电话反馈。 如果确认需要现场服务，需在第 2 个工作日抵达现场 (或在途)。</w:t>
      </w:r>
    </w:p>
    <w:p>
      <w:pPr>
        <w:numPr>
          <w:ilvl w:val="0"/>
          <w:numId w:val="9"/>
        </w:numPr>
        <w:spacing w:line="360" w:lineRule="auto"/>
        <w:ind w:hanging="5"/>
        <w:rPr>
          <w:color w:val="auto"/>
          <w:highlight w:val="none"/>
        </w:rPr>
      </w:pPr>
      <w:r>
        <w:rPr>
          <w:color w:val="auto"/>
          <w:highlight w:val="none"/>
        </w:rPr>
        <w:t>产品质量：中标人提供的成品设备是原装的、全新的、未使用过的、高性价比、高可靠性的产品， 定制产品选用最佳材料和一流工艺，并在各个方面符合合同规定的质量、规格和性能要求。产品及外包 装无损、零配件齐全、在规定的质保期，将对由于设计、工艺或材料</w:t>
      </w:r>
      <w:r>
        <w:rPr>
          <w:rFonts w:hint="eastAsia"/>
          <w:color w:val="auto"/>
          <w:highlight w:val="none"/>
        </w:rPr>
        <w:t xml:space="preserve">发的 </w:t>
      </w:r>
      <w:r>
        <w:rPr>
          <w:color w:val="auto"/>
          <w:highlight w:val="none"/>
        </w:rPr>
        <w:t>的缺陷或故障负责。</w:t>
      </w:r>
    </w:p>
    <w:p>
      <w:pPr>
        <w:numPr>
          <w:ilvl w:val="0"/>
          <w:numId w:val="9"/>
        </w:numPr>
        <w:spacing w:line="360" w:lineRule="auto"/>
        <w:ind w:hanging="5"/>
        <w:rPr>
          <w:color w:val="auto"/>
          <w:highlight w:val="none"/>
        </w:rPr>
      </w:pPr>
      <w:r>
        <w:rPr>
          <w:color w:val="auto"/>
          <w:highlight w:val="none"/>
        </w:rPr>
        <w:t>资料完备： 中标人提供完整的资料，如产品质量合格证、保修单、技术指标资料、说明书等，系统 调试完毕提供调试报告，在试运行期间提供试运行报告，在培训期间提供培训手册，保证整个系统的数 据和资料确保准确无误，并保证设备按时正确地安装、调试和验收，满足正常运行和维修保养的需要。</w:t>
      </w:r>
    </w:p>
    <w:p>
      <w:pPr>
        <w:pStyle w:val="3"/>
        <w:ind w:firstLine="420"/>
        <w:rPr>
          <w:rFonts w:hint="eastAsia" w:hAnsi="宋体" w:cs="宋体"/>
          <w:b w:val="0"/>
          <w:bCs w:val="0"/>
          <w:color w:val="auto"/>
          <w:spacing w:val="8"/>
          <w:sz w:val="21"/>
          <w:szCs w:val="21"/>
          <w:highlight w:val="none"/>
        </w:rPr>
      </w:pPr>
      <w:r>
        <w:rPr>
          <w:rFonts w:hint="eastAsia" w:hAnsi="宋体" w:cs="宋体"/>
          <w:b w:val="0"/>
          <w:bCs w:val="0"/>
          <w:color w:val="auto"/>
          <w:spacing w:val="8"/>
          <w:sz w:val="21"/>
          <w:szCs w:val="21"/>
          <w:highlight w:val="none"/>
        </w:rPr>
        <w:t>服务标准</w:t>
      </w:r>
    </w:p>
    <w:p>
      <w:pPr>
        <w:numPr>
          <w:ilvl w:val="0"/>
          <w:numId w:val="10"/>
        </w:numPr>
        <w:spacing w:line="360" w:lineRule="auto"/>
        <w:ind w:hanging="5"/>
        <w:rPr>
          <w:color w:val="auto"/>
          <w:highlight w:val="none"/>
        </w:rPr>
      </w:pPr>
      <w:r>
        <w:rPr>
          <w:color w:val="auto"/>
          <w:highlight w:val="none"/>
        </w:rPr>
        <w:t>投标产品需为全新的原装正品，相关的配套附件质量优良，数量齐全。如设备运行需使用专用的操作系统，应当包含在投标产品和报价中。</w:t>
      </w:r>
    </w:p>
    <w:p>
      <w:pPr>
        <w:numPr>
          <w:ilvl w:val="0"/>
          <w:numId w:val="10"/>
        </w:numPr>
        <w:spacing w:line="360" w:lineRule="auto"/>
        <w:ind w:hanging="5"/>
        <w:rPr>
          <w:color w:val="auto"/>
          <w:highlight w:val="none"/>
        </w:rPr>
      </w:pPr>
      <w:r>
        <w:rPr>
          <w:color w:val="auto"/>
          <w:highlight w:val="none"/>
        </w:rPr>
        <w:t>投标总价包含包装、运输、安装集成等全部伴随服务费用。</w:t>
      </w:r>
      <w:r>
        <w:rPr>
          <w:rFonts w:hint="eastAsia"/>
          <w:color w:val="auto"/>
          <w:highlight w:val="none"/>
        </w:rPr>
        <w:t>本次报价为一次性报价，投标人需提供承诺函，承诺投标报价已包含实施过程中所产生的一切费用，包括但不限于人工、材料、调试及电池架更换改造等，招标人不另外支付任何其他费用。</w:t>
      </w:r>
      <w:r>
        <w:rPr>
          <w:color w:val="auto"/>
          <w:highlight w:val="none"/>
        </w:rPr>
        <w:t>设备到达用户指定交货地点后，根据用 户的时间安排，设备制造商和中标人承诺在接到用户通知后</w:t>
      </w:r>
      <w:r>
        <w:rPr>
          <w:rFonts w:hint="eastAsia"/>
          <w:color w:val="auto"/>
          <w:highlight w:val="none"/>
        </w:rPr>
        <w:t>3</w:t>
      </w:r>
      <w:r>
        <w:rPr>
          <w:color w:val="auto"/>
          <w:highlight w:val="none"/>
        </w:rPr>
        <w:t>个工作日内进行安装调试，直至通过验收。</w:t>
      </w:r>
    </w:p>
    <w:p>
      <w:pPr>
        <w:pStyle w:val="4"/>
        <w:numPr>
          <w:ilvl w:val="1"/>
          <w:numId w:val="7"/>
        </w:numPr>
        <w:ind w:firstLine="60"/>
        <w:rPr>
          <w:color w:val="auto"/>
          <w:highlight w:val="none"/>
        </w:rPr>
      </w:pPr>
      <w:r>
        <w:rPr>
          <w:rFonts w:hint="eastAsia"/>
          <w:color w:val="auto"/>
          <w:highlight w:val="none"/>
        </w:rPr>
        <w:t>项目管理要求</w:t>
      </w:r>
    </w:p>
    <w:p>
      <w:pPr>
        <w:numPr>
          <w:ilvl w:val="0"/>
          <w:numId w:val="11"/>
        </w:numPr>
        <w:spacing w:line="360" w:lineRule="auto"/>
        <w:ind w:hanging="5"/>
        <w:rPr>
          <w:color w:val="auto"/>
          <w:highlight w:val="none"/>
        </w:rPr>
      </w:pPr>
      <w:r>
        <w:rPr>
          <w:color w:val="auto"/>
          <w:highlight w:val="none"/>
        </w:rPr>
        <w:t>项目管理首先要建立管理的原则，组织，协调机制和实施办法。</w:t>
      </w:r>
      <w:r>
        <w:rPr>
          <w:rFonts w:hint="eastAsia"/>
          <w:color w:val="auto"/>
          <w:highlight w:val="none"/>
          <w:lang w:eastAsia="zh-CN"/>
        </w:rPr>
        <w:t>投标人</w:t>
      </w:r>
      <w:r>
        <w:rPr>
          <w:color w:val="auto"/>
          <w:highlight w:val="none"/>
        </w:rPr>
        <w:t>需提供实施本项目的完整的项目管理方案，并在项目建设过程中严格执行。</w:t>
      </w:r>
    </w:p>
    <w:p>
      <w:pPr>
        <w:numPr>
          <w:ilvl w:val="0"/>
          <w:numId w:val="11"/>
        </w:numPr>
        <w:spacing w:line="360" w:lineRule="auto"/>
        <w:ind w:hanging="5"/>
        <w:rPr>
          <w:color w:val="auto"/>
          <w:highlight w:val="none"/>
        </w:rPr>
      </w:pPr>
      <w:r>
        <w:rPr>
          <w:color w:val="auto"/>
          <w:highlight w:val="none"/>
        </w:rPr>
        <w:t>需高度重视对过程的管理控制，高度重视对各类文档的管理，需建立中间环节和文档的内部测试审核制度。</w:t>
      </w:r>
    </w:p>
    <w:p>
      <w:pPr>
        <w:numPr>
          <w:ilvl w:val="0"/>
          <w:numId w:val="11"/>
        </w:numPr>
        <w:spacing w:line="360" w:lineRule="auto"/>
        <w:ind w:hanging="5"/>
        <w:rPr>
          <w:color w:val="auto"/>
          <w:highlight w:val="none"/>
        </w:rPr>
      </w:pPr>
      <w:r>
        <w:rPr>
          <w:color w:val="auto"/>
          <w:highlight w:val="none"/>
        </w:rPr>
        <w:t>设备制造商和中标人需对用户技术人员 (至少2 人) 进行免费培训，培训讲师为设备原厂商专业技术人员。培训不少于 1 次。</w:t>
      </w:r>
    </w:p>
    <w:p>
      <w:pPr>
        <w:pStyle w:val="4"/>
        <w:numPr>
          <w:ilvl w:val="1"/>
          <w:numId w:val="7"/>
        </w:numPr>
        <w:ind w:firstLine="60"/>
        <w:rPr>
          <w:color w:val="auto"/>
          <w:highlight w:val="none"/>
        </w:rPr>
      </w:pPr>
      <w:r>
        <w:rPr>
          <w:rFonts w:hint="eastAsia"/>
          <w:color w:val="auto"/>
          <w:highlight w:val="none"/>
        </w:rPr>
        <w:t>项目实施要求</w:t>
      </w:r>
    </w:p>
    <w:p>
      <w:pPr>
        <w:spacing w:line="360" w:lineRule="auto"/>
        <w:ind w:left="420" w:leftChars="200" w:firstLine="420" w:firstLineChars="200"/>
        <w:rPr>
          <w:color w:val="auto"/>
          <w:highlight w:val="none"/>
        </w:rPr>
      </w:pPr>
      <w:r>
        <w:rPr>
          <w:color w:val="auto"/>
          <w:highlight w:val="none"/>
        </w:rPr>
        <w:t>本项目要求采用交钥匙的工作方式，包括系统深化设计、设备材料货、安装、接线、调试、开通、 培训和售后服务等。</w:t>
      </w:r>
    </w:p>
    <w:p>
      <w:pPr>
        <w:spacing w:line="360" w:lineRule="auto"/>
        <w:ind w:left="420" w:leftChars="200" w:firstLine="420" w:firstLineChars="200"/>
        <w:rPr>
          <w:color w:val="auto"/>
          <w:highlight w:val="none"/>
        </w:rPr>
      </w:pPr>
      <w:r>
        <w:rPr>
          <w:color w:val="auto"/>
          <w:highlight w:val="none"/>
        </w:rPr>
        <w:t>投标人须提供合理、完善的项目组织管理和实施方案，确保集成工作统筹有序。其中需要包括但不仅限于项目实施、质量管理、人员和组织管理、项目验收、应急处理预案、培训方案等。</w:t>
      </w:r>
    </w:p>
    <w:p>
      <w:pPr>
        <w:spacing w:line="360" w:lineRule="auto"/>
        <w:ind w:left="420" w:leftChars="200" w:firstLine="420" w:firstLineChars="200"/>
        <w:rPr>
          <w:color w:val="auto"/>
          <w:highlight w:val="none"/>
        </w:rPr>
      </w:pPr>
      <w:r>
        <w:rPr>
          <w:color w:val="auto"/>
          <w:highlight w:val="none"/>
        </w:rPr>
        <w:t>投标人所提供的设备需完全满足本项目建设要求。除特定外接设备外，所有需要的接口设备、缆线、 软件、控制器、服务器 I/O 槽等需配齐， 以构成实用系统。</w:t>
      </w:r>
      <w:r>
        <w:rPr>
          <w:rFonts w:hint="eastAsia"/>
          <w:color w:val="auto"/>
          <w:highlight w:val="none"/>
        </w:rPr>
        <w:t>需包含UPS主机输入输出、智能母线始端箱输入所需要的阻燃线缆（线径不小于</w:t>
      </w:r>
      <w:r>
        <w:rPr>
          <w:color w:val="auto"/>
          <w:highlight w:val="none"/>
          <w:lang w:val="hr-HR"/>
        </w:rPr>
        <w:t>YJV4*240+1*120mm²</w:t>
      </w:r>
      <w:r>
        <w:rPr>
          <w:rFonts w:hint="eastAsia"/>
          <w:color w:val="auto"/>
          <w:highlight w:val="none"/>
        </w:rPr>
        <w:t>）、铜鼻子、走线槽等所有配件。</w:t>
      </w:r>
    </w:p>
    <w:p>
      <w:pPr>
        <w:spacing w:line="360" w:lineRule="auto"/>
        <w:ind w:left="420" w:leftChars="200" w:firstLine="420" w:firstLineChars="200"/>
        <w:rPr>
          <w:color w:val="auto"/>
          <w:highlight w:val="none"/>
        </w:rPr>
      </w:pPr>
      <w:r>
        <w:rPr>
          <w:color w:val="auto"/>
          <w:highlight w:val="none"/>
        </w:rPr>
        <w:t>特殊工具： 中标人需提供用于系统安装与配置的介质 (光盘、磁盘或其他) 。如果需提供特殊工具来维护硬件和软件，投标人需列出特殊工具的清单、价格、名称和数量，但不包括在总价格中。</w:t>
      </w:r>
    </w:p>
    <w:p>
      <w:pPr>
        <w:pStyle w:val="4"/>
        <w:numPr>
          <w:ilvl w:val="1"/>
          <w:numId w:val="7"/>
        </w:numPr>
        <w:ind w:firstLine="60"/>
        <w:rPr>
          <w:color w:val="auto"/>
          <w:highlight w:val="none"/>
        </w:rPr>
      </w:pPr>
      <w:r>
        <w:rPr>
          <w:rFonts w:hint="eastAsia"/>
          <w:color w:val="auto"/>
          <w:highlight w:val="none"/>
        </w:rPr>
        <w:t>项目培训要求</w:t>
      </w:r>
    </w:p>
    <w:p>
      <w:pPr>
        <w:spacing w:line="360" w:lineRule="auto"/>
        <w:ind w:left="420" w:leftChars="200" w:firstLine="420" w:firstLineChars="200"/>
        <w:rPr>
          <w:color w:val="auto"/>
          <w:highlight w:val="none"/>
        </w:rPr>
      </w:pPr>
      <w:r>
        <w:rPr>
          <w:color w:val="auto"/>
          <w:highlight w:val="none"/>
        </w:rPr>
        <w:t>1) 制定详细的培训计划，并提供相关的各类培训，包括技术培训和操作培训。</w:t>
      </w:r>
    </w:p>
    <w:p>
      <w:pPr>
        <w:spacing w:line="360" w:lineRule="auto"/>
        <w:ind w:left="420" w:leftChars="200" w:firstLine="420" w:firstLineChars="200"/>
        <w:rPr>
          <w:color w:val="auto"/>
          <w:highlight w:val="none"/>
        </w:rPr>
      </w:pPr>
      <w:r>
        <w:rPr>
          <w:color w:val="auto"/>
          <w:highlight w:val="none"/>
        </w:rPr>
        <w:t xml:space="preserve">2) </w:t>
      </w:r>
      <w:r>
        <w:rPr>
          <w:rFonts w:hint="eastAsia"/>
          <w:color w:val="auto"/>
          <w:highlight w:val="none"/>
          <w:lang w:eastAsia="zh-CN"/>
        </w:rPr>
        <w:t>投标人</w:t>
      </w:r>
      <w:r>
        <w:rPr>
          <w:color w:val="auto"/>
          <w:highlight w:val="none"/>
        </w:rPr>
        <w:t>需根据本项目的需求，分别列出系统正常运行、管理和使用所需要的培训，包括 (但不限于)：</w:t>
      </w:r>
    </w:p>
    <w:p>
      <w:pPr>
        <w:spacing w:line="360" w:lineRule="auto"/>
        <w:ind w:left="420" w:leftChars="200" w:firstLine="420" w:firstLineChars="200"/>
        <w:rPr>
          <w:color w:val="auto"/>
          <w:highlight w:val="none"/>
        </w:rPr>
      </w:pPr>
      <w:r>
        <w:rPr>
          <w:color w:val="auto"/>
          <w:highlight w:val="none"/>
        </w:rPr>
        <w:drawing>
          <wp:inline distT="0" distB="0" distL="0" distR="0">
            <wp:extent cx="76835" cy="146685"/>
            <wp:effectExtent l="0" t="0" r="14605" b="5080"/>
            <wp:docPr id="5" name="IM 5"/>
            <wp:cNvGraphicFramePr/>
            <a:graphic xmlns:a="http://schemas.openxmlformats.org/drawingml/2006/main">
              <a:graphicData uri="http://schemas.openxmlformats.org/drawingml/2006/picture">
                <pic:pic xmlns:pic="http://schemas.openxmlformats.org/drawingml/2006/picture">
                  <pic:nvPicPr>
                    <pic:cNvPr id="5" name="IM 5"/>
                    <pic:cNvPicPr/>
                  </pic:nvPicPr>
                  <pic:blipFill>
                    <a:blip r:embed="rId5" cstate="print"/>
                    <a:stretch>
                      <a:fillRect/>
                    </a:stretch>
                  </pic:blipFill>
                  <pic:spPr>
                    <a:xfrm>
                      <a:off x="0" y="0"/>
                      <a:ext cx="76842" cy="147048"/>
                    </a:xfrm>
                    <a:prstGeom prst="rect">
                      <a:avLst/>
                    </a:prstGeom>
                  </pic:spPr>
                </pic:pic>
              </a:graphicData>
            </a:graphic>
          </wp:inline>
        </w:drawing>
      </w:r>
      <w:r>
        <w:rPr>
          <w:color w:val="auto"/>
          <w:highlight w:val="none"/>
        </w:rPr>
        <w:t xml:space="preserve">  培训人数、人次；</w:t>
      </w:r>
    </w:p>
    <w:p>
      <w:pPr>
        <w:spacing w:line="360" w:lineRule="auto"/>
        <w:ind w:left="420" w:leftChars="200" w:firstLine="420" w:firstLineChars="200"/>
        <w:rPr>
          <w:color w:val="auto"/>
          <w:highlight w:val="none"/>
        </w:rPr>
      </w:pPr>
      <w:r>
        <w:rPr>
          <w:color w:val="auto"/>
          <w:highlight w:val="none"/>
        </w:rPr>
        <w:drawing>
          <wp:inline distT="0" distB="0" distL="0" distR="0">
            <wp:extent cx="76835" cy="146685"/>
            <wp:effectExtent l="0" t="0" r="14605" b="508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5" cstate="print"/>
                    <a:stretch>
                      <a:fillRect/>
                    </a:stretch>
                  </pic:blipFill>
                  <pic:spPr>
                    <a:xfrm>
                      <a:off x="0" y="0"/>
                      <a:ext cx="76842" cy="147048"/>
                    </a:xfrm>
                    <a:prstGeom prst="rect">
                      <a:avLst/>
                    </a:prstGeom>
                  </pic:spPr>
                </pic:pic>
              </a:graphicData>
            </a:graphic>
          </wp:inline>
        </w:drawing>
      </w:r>
      <w:r>
        <w:rPr>
          <w:color w:val="auto"/>
          <w:highlight w:val="none"/>
        </w:rPr>
        <w:t xml:space="preserve">  培训的详细课程；</w:t>
      </w:r>
    </w:p>
    <w:p>
      <w:pPr>
        <w:spacing w:line="360" w:lineRule="auto"/>
        <w:ind w:left="420" w:leftChars="200" w:firstLine="420" w:firstLineChars="200"/>
        <w:rPr>
          <w:color w:val="auto"/>
          <w:highlight w:val="none"/>
        </w:rPr>
      </w:pPr>
      <w:r>
        <w:rPr>
          <w:color w:val="auto"/>
          <w:highlight w:val="none"/>
        </w:rPr>
        <w:drawing>
          <wp:inline distT="0" distB="0" distL="0" distR="0">
            <wp:extent cx="76835" cy="146685"/>
            <wp:effectExtent l="0" t="0" r="14605" b="5080"/>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5" cstate="print"/>
                    <a:stretch>
                      <a:fillRect/>
                    </a:stretch>
                  </pic:blipFill>
                  <pic:spPr>
                    <a:xfrm>
                      <a:off x="0" y="0"/>
                      <a:ext cx="76842" cy="147048"/>
                    </a:xfrm>
                    <a:prstGeom prst="rect">
                      <a:avLst/>
                    </a:prstGeom>
                  </pic:spPr>
                </pic:pic>
              </a:graphicData>
            </a:graphic>
          </wp:inline>
        </w:drawing>
      </w:r>
      <w:r>
        <w:rPr>
          <w:color w:val="auto"/>
          <w:highlight w:val="none"/>
        </w:rPr>
        <w:t xml:space="preserve">  培训方式；</w:t>
      </w:r>
    </w:p>
    <w:p>
      <w:pPr>
        <w:spacing w:line="360" w:lineRule="auto"/>
        <w:ind w:left="420" w:leftChars="200" w:firstLine="420" w:firstLineChars="200"/>
        <w:rPr>
          <w:color w:val="auto"/>
          <w:highlight w:val="none"/>
        </w:rPr>
      </w:pPr>
      <w:r>
        <w:rPr>
          <w:color w:val="auto"/>
          <w:highlight w:val="none"/>
        </w:rPr>
        <w:drawing>
          <wp:inline distT="0" distB="0" distL="0" distR="0">
            <wp:extent cx="76835" cy="146685"/>
            <wp:effectExtent l="0" t="0" r="14605" b="508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5" cstate="print"/>
                    <a:stretch>
                      <a:fillRect/>
                    </a:stretch>
                  </pic:blipFill>
                  <pic:spPr>
                    <a:xfrm>
                      <a:off x="0" y="0"/>
                      <a:ext cx="76842" cy="147048"/>
                    </a:xfrm>
                    <a:prstGeom prst="rect">
                      <a:avLst/>
                    </a:prstGeom>
                  </pic:spPr>
                </pic:pic>
              </a:graphicData>
            </a:graphic>
          </wp:inline>
        </w:drawing>
      </w:r>
      <w:r>
        <w:rPr>
          <w:color w:val="auto"/>
          <w:highlight w:val="none"/>
        </w:rPr>
        <w:t xml:space="preserve">  培训场地安排；</w:t>
      </w:r>
    </w:p>
    <w:p>
      <w:pPr>
        <w:spacing w:line="360" w:lineRule="auto"/>
        <w:ind w:left="420" w:leftChars="200" w:firstLine="420" w:firstLineChars="200"/>
        <w:rPr>
          <w:color w:val="auto"/>
          <w:highlight w:val="none"/>
        </w:rPr>
      </w:pPr>
      <w:r>
        <w:rPr>
          <w:color w:val="auto"/>
          <w:highlight w:val="none"/>
        </w:rPr>
        <w:drawing>
          <wp:inline distT="0" distB="0" distL="0" distR="0">
            <wp:extent cx="76835" cy="146685"/>
            <wp:effectExtent l="0" t="0" r="14605" b="5080"/>
            <wp:docPr id="9" name="IM 9"/>
            <wp:cNvGraphicFramePr/>
            <a:graphic xmlns:a="http://schemas.openxmlformats.org/drawingml/2006/main">
              <a:graphicData uri="http://schemas.openxmlformats.org/drawingml/2006/picture">
                <pic:pic xmlns:pic="http://schemas.openxmlformats.org/drawingml/2006/picture">
                  <pic:nvPicPr>
                    <pic:cNvPr id="9" name="IM 9"/>
                    <pic:cNvPicPr/>
                  </pic:nvPicPr>
                  <pic:blipFill>
                    <a:blip r:embed="rId5" cstate="print"/>
                    <a:stretch>
                      <a:fillRect/>
                    </a:stretch>
                  </pic:blipFill>
                  <pic:spPr>
                    <a:xfrm>
                      <a:off x="0" y="0"/>
                      <a:ext cx="76842" cy="147048"/>
                    </a:xfrm>
                    <a:prstGeom prst="rect">
                      <a:avLst/>
                    </a:prstGeom>
                  </pic:spPr>
                </pic:pic>
              </a:graphicData>
            </a:graphic>
          </wp:inline>
        </w:drawing>
      </w:r>
      <w:r>
        <w:rPr>
          <w:color w:val="auto"/>
          <w:highlight w:val="none"/>
        </w:rPr>
        <w:t xml:space="preserve">  培训教材安排；</w:t>
      </w:r>
    </w:p>
    <w:p>
      <w:pPr>
        <w:spacing w:line="360" w:lineRule="auto"/>
        <w:ind w:left="420" w:leftChars="200" w:firstLine="420" w:firstLineChars="200"/>
        <w:rPr>
          <w:color w:val="auto"/>
          <w:highlight w:val="none"/>
        </w:rPr>
      </w:pPr>
      <w:r>
        <w:rPr>
          <w:color w:val="auto"/>
          <w:highlight w:val="none"/>
        </w:rPr>
        <w:drawing>
          <wp:inline distT="0" distB="0" distL="0" distR="0">
            <wp:extent cx="76835" cy="146685"/>
            <wp:effectExtent l="0" t="0" r="14605" b="508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5" cstate="print"/>
                    <a:stretch>
                      <a:fillRect/>
                    </a:stretch>
                  </pic:blipFill>
                  <pic:spPr>
                    <a:xfrm>
                      <a:off x="0" y="0"/>
                      <a:ext cx="76842" cy="147048"/>
                    </a:xfrm>
                    <a:prstGeom prst="rect">
                      <a:avLst/>
                    </a:prstGeom>
                  </pic:spPr>
                </pic:pic>
              </a:graphicData>
            </a:graphic>
          </wp:inline>
        </w:drawing>
      </w:r>
      <w:r>
        <w:rPr>
          <w:color w:val="auto"/>
          <w:highlight w:val="none"/>
        </w:rPr>
        <w:t xml:space="preserve">  培训时间安排；</w:t>
      </w:r>
    </w:p>
    <w:p>
      <w:pPr>
        <w:spacing w:line="265" w:lineRule="auto"/>
        <w:rPr>
          <w:rFonts w:ascii="Arial"/>
          <w:color w:val="auto"/>
          <w:highlight w:val="none"/>
        </w:rPr>
      </w:pPr>
    </w:p>
    <w:p>
      <w:pPr>
        <w:pStyle w:val="4"/>
        <w:numPr>
          <w:ilvl w:val="1"/>
          <w:numId w:val="7"/>
        </w:numPr>
        <w:ind w:firstLine="60"/>
        <w:rPr>
          <w:color w:val="auto"/>
          <w:highlight w:val="none"/>
        </w:rPr>
      </w:pPr>
      <w:r>
        <w:rPr>
          <w:rFonts w:hint="eastAsia"/>
          <w:color w:val="auto"/>
          <w:highlight w:val="none"/>
        </w:rPr>
        <w:t>验收标准</w:t>
      </w:r>
    </w:p>
    <w:p>
      <w:pPr>
        <w:spacing w:line="360" w:lineRule="auto"/>
        <w:ind w:left="420" w:leftChars="200" w:firstLine="420" w:firstLineChars="200"/>
        <w:rPr>
          <w:color w:val="auto"/>
          <w:highlight w:val="none"/>
        </w:rPr>
      </w:pPr>
      <w:r>
        <w:rPr>
          <w:color w:val="auto"/>
          <w:highlight w:val="none"/>
        </w:rPr>
        <w:t>投标人针对本项目的需求理解制定技术 (设计与实施) 方案、试运行方法或方案，并提供采购方认可的，合理、切实可行的验收方案。</w:t>
      </w:r>
    </w:p>
    <w:p>
      <w:pPr>
        <w:spacing w:line="360" w:lineRule="auto"/>
        <w:ind w:left="420" w:leftChars="200" w:firstLine="420" w:firstLineChars="200"/>
        <w:rPr>
          <w:color w:val="auto"/>
          <w:highlight w:val="none"/>
        </w:rPr>
      </w:pPr>
      <w:r>
        <w:rPr>
          <w:color w:val="auto"/>
          <w:highlight w:val="none"/>
        </w:rPr>
        <w:t>投标人协助采购人和主管部门完成项目验收工作。验收按本项目合同以及国家和上海市的有关技术标准与规范进行。</w:t>
      </w:r>
    </w:p>
    <w:p>
      <w:pPr>
        <w:pStyle w:val="5"/>
        <w:ind w:firstLine="562" w:firstLineChars="200"/>
        <w:rPr>
          <w:color w:val="auto"/>
          <w:highlight w:val="none"/>
        </w:rPr>
      </w:pPr>
      <w:r>
        <w:rPr>
          <w:rFonts w:hint="eastAsia"/>
          <w:color w:val="auto"/>
          <w:highlight w:val="none"/>
        </w:rPr>
        <w:t xml:space="preserve">6.1 </w:t>
      </w:r>
      <w:r>
        <w:rPr>
          <w:color w:val="auto"/>
          <w:highlight w:val="none"/>
        </w:rPr>
        <w:t>项目质量标准与验收要求</w:t>
      </w:r>
    </w:p>
    <w:p>
      <w:pPr>
        <w:spacing w:line="360" w:lineRule="auto"/>
        <w:ind w:left="420" w:leftChars="200" w:firstLine="420" w:firstLineChars="200"/>
        <w:rPr>
          <w:color w:val="auto"/>
          <w:highlight w:val="none"/>
        </w:rPr>
      </w:pPr>
      <w:r>
        <w:rPr>
          <w:color w:val="auto"/>
          <w:highlight w:val="none"/>
        </w:rPr>
        <w:t>投标人完成本项目应达到的质量标准应符合国家、地方及相关政府管理部门和行业与本项目有关的各项技术标准、规范要求，并满足采购人实际需求，标准、规范等不一致的，以要求高 (严格) 的为准。</w:t>
      </w:r>
    </w:p>
    <w:p>
      <w:pPr>
        <w:spacing w:line="360" w:lineRule="auto"/>
        <w:ind w:left="420" w:leftChars="200" w:firstLine="420" w:firstLineChars="200"/>
        <w:rPr>
          <w:color w:val="auto"/>
          <w:highlight w:val="none"/>
        </w:rPr>
      </w:pPr>
      <w:r>
        <w:rPr>
          <w:color w:val="auto"/>
          <w:highlight w:val="none"/>
        </w:rPr>
        <w:t>本项目验收将由采购人组织进行或委托第三方进行。</w:t>
      </w:r>
    </w:p>
    <w:p>
      <w:pPr>
        <w:spacing w:line="360" w:lineRule="auto"/>
        <w:ind w:left="420" w:leftChars="200" w:firstLine="420" w:firstLineChars="200"/>
        <w:rPr>
          <w:color w:val="auto"/>
          <w:highlight w:val="none"/>
        </w:rPr>
      </w:pPr>
      <w:r>
        <w:rPr>
          <w:color w:val="auto"/>
          <w:highlight w:val="none"/>
        </w:rPr>
        <w:t>货物送达后，由甲方组织对货物的规格、数量、技术参数进行验收，验收通过后出具书面证明。如发现货物与合同规定不符的，甲方应当通知乙方提出退货或换货的要求，乙方应在接到甲方通知后的 3 个工作日内予以退换，费用由乙方承担。</w:t>
      </w:r>
    </w:p>
    <w:p>
      <w:pPr>
        <w:spacing w:line="360" w:lineRule="auto"/>
        <w:ind w:left="420" w:leftChars="200" w:firstLine="420" w:firstLineChars="200"/>
        <w:rPr>
          <w:color w:val="auto"/>
          <w:highlight w:val="none"/>
        </w:rPr>
      </w:pPr>
      <w:r>
        <w:rPr>
          <w:color w:val="auto"/>
          <w:highlight w:val="none"/>
        </w:rPr>
        <w:t>本项目连续 2 次验收未获通过，采购人有权解除合同并按照合同约定的违约条款处理。</w:t>
      </w:r>
    </w:p>
    <w:p>
      <w:pPr>
        <w:spacing w:line="360" w:lineRule="auto"/>
        <w:ind w:left="420" w:leftChars="200" w:firstLine="420" w:firstLineChars="200"/>
        <w:rPr>
          <w:color w:val="auto"/>
          <w:highlight w:val="none"/>
        </w:rPr>
      </w:pPr>
      <w:r>
        <w:rPr>
          <w:color w:val="auto"/>
          <w:highlight w:val="none"/>
        </w:rPr>
        <w:t>设备到货后，用户单位与中标人共同配合有关部门对所有设备进行开箱检查，出现损坏、数量不全或产品不对等问题时，由中标人负责解决。</w:t>
      </w:r>
    </w:p>
    <w:p>
      <w:pPr>
        <w:spacing w:line="360" w:lineRule="auto"/>
        <w:ind w:left="420" w:leftChars="200" w:firstLine="420" w:firstLineChars="200"/>
        <w:rPr>
          <w:color w:val="auto"/>
          <w:highlight w:val="none"/>
        </w:rPr>
      </w:pPr>
      <w:r>
        <w:rPr>
          <w:color w:val="auto"/>
          <w:highlight w:val="none"/>
        </w:rPr>
        <w:t>根据标书要求对本次所有采购设备的型号、规格、数量、外型、外观、包装及资料、文件 (如装箱单、保修单、随箱介质等) 进行验收。</w:t>
      </w:r>
    </w:p>
    <w:p>
      <w:pPr>
        <w:spacing w:line="360" w:lineRule="auto"/>
        <w:ind w:left="420" w:leftChars="200" w:firstLine="420" w:firstLineChars="200"/>
        <w:rPr>
          <w:color w:val="auto"/>
          <w:highlight w:val="none"/>
        </w:rPr>
      </w:pPr>
      <w:r>
        <w:rPr>
          <w:color w:val="auto"/>
          <w:highlight w:val="none"/>
        </w:rPr>
        <w:t>设备安装、系统集成调试完成后，由中标人制定测试方案并经用户确认后，对产品的性能和配置进行测试检查，并形成测试报告。所有测试费用均应包含在投标总价中。</w:t>
      </w:r>
    </w:p>
    <w:p>
      <w:pPr>
        <w:spacing w:line="360" w:lineRule="auto"/>
        <w:ind w:left="420" w:leftChars="200" w:firstLine="420" w:firstLineChars="200"/>
        <w:rPr>
          <w:color w:val="auto"/>
          <w:highlight w:val="none"/>
        </w:rPr>
      </w:pPr>
      <w:r>
        <w:rPr>
          <w:color w:val="auto"/>
          <w:highlight w:val="none"/>
        </w:rPr>
        <w:t>测试过程中出现设备产品性能指标或功能上不符合标书要求时，可经协商再次测试，经过三次测试仍达不到标书要求的性能和功能指标时，用户有权退货； 由此产生的一切费用由中标人承担。</w:t>
      </w:r>
    </w:p>
    <w:p>
      <w:pPr>
        <w:pStyle w:val="5"/>
        <w:ind w:firstLine="562" w:firstLineChars="200"/>
        <w:rPr>
          <w:color w:val="auto"/>
          <w:highlight w:val="none"/>
        </w:rPr>
      </w:pPr>
      <w:r>
        <w:rPr>
          <w:rFonts w:hint="eastAsia"/>
          <w:color w:val="auto"/>
          <w:highlight w:val="none"/>
        </w:rPr>
        <w:t>6.2 验收</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6.2.1 货物的数量不足或表面瑕疵</w:t>
      </w:r>
      <w:r>
        <w:rPr>
          <w:rFonts w:hint="eastAsia" w:ascii="宋体" w:hAnsi="宋体" w:cs="宋体"/>
          <w:color w:val="auto"/>
          <w:kern w:val="0"/>
          <w:szCs w:val="21"/>
          <w:highlight w:val="none"/>
          <w:lang w:eastAsia="zh-CN"/>
        </w:rPr>
        <w:t>采购方</w:t>
      </w:r>
      <w:r>
        <w:rPr>
          <w:rFonts w:hint="eastAsia" w:ascii="宋体" w:hAnsi="宋体" w:cs="宋体"/>
          <w:color w:val="auto"/>
          <w:kern w:val="0"/>
          <w:szCs w:val="21"/>
          <w:highlight w:val="none"/>
        </w:rPr>
        <w:t>应在验收时当面提出，对质量问题之异议应在安装调试后七日内提出。</w:t>
      </w:r>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6.2.2</w:t>
      </w:r>
      <w:r>
        <w:rPr>
          <w:rFonts w:hint="eastAsia" w:ascii="宋体" w:hAnsi="宋体" w:cs="宋体"/>
          <w:color w:val="auto"/>
          <w:kern w:val="0"/>
          <w:szCs w:val="21"/>
          <w:highlight w:val="none"/>
          <w:lang w:eastAsia="zh-CN"/>
        </w:rPr>
        <w:t>采购方</w:t>
      </w:r>
      <w:r>
        <w:rPr>
          <w:rFonts w:hint="eastAsia" w:ascii="宋体" w:hAnsi="宋体" w:cs="宋体"/>
          <w:color w:val="auto"/>
          <w:kern w:val="0"/>
          <w:szCs w:val="21"/>
          <w:highlight w:val="none"/>
        </w:rPr>
        <w:t>收货后根据货物的技术规格要求和质量标准，对货物进行检查验收，如果发现数量不足或有质量、技术等问题，</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应负责按照</w:t>
      </w:r>
      <w:r>
        <w:rPr>
          <w:rFonts w:hint="eastAsia" w:ascii="宋体" w:hAnsi="宋体" w:cs="宋体"/>
          <w:color w:val="auto"/>
          <w:kern w:val="0"/>
          <w:szCs w:val="21"/>
          <w:highlight w:val="none"/>
          <w:lang w:eastAsia="zh-CN"/>
        </w:rPr>
        <w:t>采购方</w:t>
      </w:r>
      <w:r>
        <w:rPr>
          <w:rFonts w:hint="eastAsia" w:ascii="宋体" w:hAnsi="宋体" w:cs="宋体"/>
          <w:color w:val="auto"/>
          <w:kern w:val="0"/>
          <w:szCs w:val="21"/>
          <w:highlight w:val="none"/>
        </w:rPr>
        <w:t>的要求采取补足、更换或退货等处理措施，并承担由此发生的一切损失和费用。验收合格后，</w:t>
      </w:r>
      <w:r>
        <w:rPr>
          <w:rFonts w:hint="eastAsia" w:ascii="宋体" w:hAnsi="宋体" w:cs="宋体"/>
          <w:color w:val="auto"/>
          <w:kern w:val="0"/>
          <w:szCs w:val="21"/>
          <w:highlight w:val="none"/>
          <w:lang w:eastAsia="zh-CN"/>
        </w:rPr>
        <w:t>采购方</w:t>
      </w:r>
      <w:r>
        <w:rPr>
          <w:rFonts w:hint="eastAsia" w:ascii="宋体" w:hAnsi="宋体" w:cs="宋体"/>
          <w:color w:val="auto"/>
          <w:kern w:val="0"/>
          <w:szCs w:val="21"/>
          <w:highlight w:val="none"/>
        </w:rPr>
        <w:t>收取发票并签署验收意见。</w:t>
      </w:r>
      <w:r>
        <w:rPr>
          <w:rFonts w:hint="eastAsia" w:ascii="宋体" w:hAnsi="宋体" w:cs="宋体"/>
          <w:color w:val="auto"/>
          <w:kern w:val="0"/>
          <w:szCs w:val="21"/>
          <w:highlight w:val="none"/>
          <w:lang w:eastAsia="zh-CN"/>
        </w:rPr>
        <w:t>采购方</w:t>
      </w:r>
      <w:r>
        <w:rPr>
          <w:rFonts w:hint="eastAsia" w:ascii="宋体" w:hAnsi="宋体" w:cs="宋体"/>
          <w:color w:val="auto"/>
          <w:kern w:val="0"/>
          <w:szCs w:val="21"/>
          <w:highlight w:val="none"/>
        </w:rPr>
        <w:t>在货物送达后无正当理由而拖延验收或不验收超过招标要求所规定的验收期的，则视为其已验收通过。但对货物有质量保证期的，适用质量保证期之规定。</w:t>
      </w:r>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6.2.3货物验收的标准至少要达到应标时的所有技术参数标准。若达不到，属于质量问题，根据用户要求，免费更换新货物或全额赔偿。</w:t>
      </w:r>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6.2.4</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应标时所有技术参数标准的货物到达使用现场后，由设备供应商与用户共同开箱验收后免费安装、调试、竣工验收等。</w:t>
      </w:r>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6.2.5</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负责在用户现场安装、调试货物并交付使用，自带必要的工具，安装、调试及所派人员的一切费用由设备供应商承担。</w:t>
      </w:r>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6.2.6</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系统调试完成后，提供电子版技术文档及操作指南，应包含设备操作手册、维护指南等，提供项目图纸。</w:t>
      </w:r>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6.2.7</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提交验收申请及报告，提交正式验收申请报告，包含验收标准、验收过程、验收结果与结论。各项验收材料以学校要求为准，中标单位需按要求规范实施并配合提交所有验收材料，提交不完整或不满足要求，则不启动验收。</w:t>
      </w:r>
    </w:p>
    <w:p>
      <w:pPr>
        <w:pStyle w:val="4"/>
        <w:numPr>
          <w:ilvl w:val="1"/>
          <w:numId w:val="7"/>
        </w:numPr>
        <w:ind w:firstLine="60"/>
        <w:rPr>
          <w:color w:val="auto"/>
          <w:highlight w:val="none"/>
        </w:rPr>
      </w:pPr>
      <w:r>
        <w:rPr>
          <w:rFonts w:hint="eastAsia"/>
          <w:color w:val="auto"/>
          <w:highlight w:val="none"/>
        </w:rPr>
        <w:t>伴随服务</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 xml:space="preserve">7.1 </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应提交所提供货物的技术文件，应包括相应的每一套设备和仪器的中文技术文件，例如：产品目录、图纸、操作手册、使用说明、维护手册和/或服务指南。这些纸质文件或者电子版应包装好随同货物一起发运。</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 xml:space="preserve">7.2 </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还应提供下列服务：</w:t>
      </w:r>
    </w:p>
    <w:p>
      <w:pPr>
        <w:tabs>
          <w:tab w:val="left" w:pos="1135"/>
        </w:tabs>
        <w:spacing w:line="360" w:lineRule="auto"/>
        <w:ind w:left="1135" w:hanging="708"/>
        <w:rPr>
          <w:rFonts w:hint="eastAsia" w:ascii="宋体" w:hAnsi="宋体" w:cs="宋体"/>
          <w:color w:val="auto"/>
          <w:szCs w:val="21"/>
          <w:highlight w:val="none"/>
        </w:rPr>
      </w:pPr>
      <w:r>
        <w:rPr>
          <w:rFonts w:hint="eastAsia" w:ascii="宋体" w:hAnsi="宋体" w:cs="宋体"/>
          <w:color w:val="auto"/>
          <w:kern w:val="0"/>
          <w:szCs w:val="21"/>
          <w:highlight w:val="none"/>
        </w:rPr>
        <w:t>（1）货物的现场安装、调试和启动监督；</w:t>
      </w:r>
    </w:p>
    <w:p>
      <w:pPr>
        <w:tabs>
          <w:tab w:val="left" w:pos="1135"/>
        </w:tabs>
        <w:spacing w:line="360" w:lineRule="auto"/>
        <w:ind w:left="1135" w:hanging="708"/>
        <w:rPr>
          <w:rFonts w:hint="eastAsia" w:ascii="宋体" w:hAnsi="宋体" w:cs="宋体"/>
          <w:color w:val="auto"/>
          <w:szCs w:val="21"/>
          <w:highlight w:val="none"/>
        </w:rPr>
      </w:pPr>
      <w:r>
        <w:rPr>
          <w:rFonts w:hint="eastAsia" w:ascii="宋体" w:hAnsi="宋体" w:cs="宋体"/>
          <w:color w:val="auto"/>
          <w:kern w:val="0"/>
          <w:szCs w:val="21"/>
          <w:highlight w:val="none"/>
        </w:rPr>
        <w:t>（2）提供货物组装和维修所需的专用工具和辅助材料；</w:t>
      </w:r>
    </w:p>
    <w:p>
      <w:pPr>
        <w:tabs>
          <w:tab w:val="left" w:pos="1135"/>
        </w:tabs>
        <w:spacing w:line="360" w:lineRule="auto"/>
        <w:ind w:left="1135" w:hanging="708"/>
        <w:rPr>
          <w:rFonts w:hint="eastAsia" w:ascii="宋体" w:hAnsi="宋体" w:cs="宋体"/>
          <w:color w:val="auto"/>
          <w:szCs w:val="21"/>
          <w:highlight w:val="none"/>
        </w:rPr>
      </w:pPr>
      <w:r>
        <w:rPr>
          <w:rFonts w:hint="eastAsia" w:ascii="宋体" w:hAnsi="宋体" w:cs="宋体"/>
          <w:color w:val="auto"/>
          <w:kern w:val="0"/>
          <w:szCs w:val="21"/>
          <w:highlight w:val="none"/>
        </w:rPr>
        <w:t>（3）在合同各方商定的一定期限内对所有的货物实施运行监督、维修，但前提条件是该服务并不能免除</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在质量保证期内所承担的义务；</w:t>
      </w:r>
    </w:p>
    <w:p>
      <w:pPr>
        <w:tabs>
          <w:tab w:val="left" w:pos="1135"/>
        </w:tabs>
        <w:spacing w:line="360" w:lineRule="auto"/>
        <w:ind w:left="1135" w:hanging="708"/>
        <w:rPr>
          <w:rFonts w:hint="eastAsia" w:ascii="宋体" w:hAnsi="宋体" w:cs="宋体"/>
          <w:color w:val="auto"/>
          <w:szCs w:val="21"/>
          <w:highlight w:val="none"/>
        </w:rPr>
      </w:pPr>
      <w:r>
        <w:rPr>
          <w:rFonts w:hint="eastAsia" w:ascii="宋体" w:hAnsi="宋体" w:cs="宋体"/>
          <w:color w:val="auto"/>
          <w:kern w:val="0"/>
          <w:szCs w:val="21"/>
          <w:highlight w:val="none"/>
        </w:rPr>
        <w:t>（4）在厂家和/或在项目现场就货物的安装、启动、运营、维护对使用单位操作人员进行培训。</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7.3 伴随服务的费用应包含在合同价中，</w:t>
      </w:r>
      <w:r>
        <w:rPr>
          <w:rFonts w:hint="eastAsia" w:ascii="宋体" w:hAnsi="宋体" w:cs="宋体"/>
          <w:color w:val="auto"/>
          <w:kern w:val="0"/>
          <w:szCs w:val="21"/>
          <w:highlight w:val="none"/>
          <w:lang w:eastAsia="zh-CN"/>
        </w:rPr>
        <w:t>采购方</w:t>
      </w:r>
      <w:r>
        <w:rPr>
          <w:rFonts w:hint="eastAsia" w:ascii="宋体" w:hAnsi="宋体" w:cs="宋体"/>
          <w:color w:val="auto"/>
          <w:kern w:val="0"/>
          <w:szCs w:val="21"/>
          <w:highlight w:val="none"/>
        </w:rPr>
        <w:t>不再另行支付。</w:t>
      </w:r>
    </w:p>
    <w:p>
      <w:pPr>
        <w:pStyle w:val="4"/>
        <w:numPr>
          <w:ilvl w:val="1"/>
          <w:numId w:val="7"/>
        </w:numPr>
        <w:ind w:firstLine="60"/>
        <w:rPr>
          <w:color w:val="auto"/>
          <w:highlight w:val="none"/>
        </w:rPr>
      </w:pPr>
      <w:r>
        <w:rPr>
          <w:rFonts w:hint="eastAsia"/>
          <w:color w:val="auto"/>
          <w:highlight w:val="none"/>
        </w:rPr>
        <w:t>质量保证</w:t>
      </w:r>
    </w:p>
    <w:p>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kern w:val="0"/>
          <w:szCs w:val="21"/>
          <w:highlight w:val="none"/>
        </w:rPr>
        <w:t xml:space="preserve">8.1 </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应保证所供货物是全新的、未使用过的，并完全符合合同规定的质量、规格和性能的要求。</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应保证其货物在正确安装、正常使用和保养条件下，在其使用寿命期内应具有满意的性能。</w:t>
      </w:r>
      <w:r>
        <w:rPr>
          <w:rFonts w:hint="eastAsia" w:ascii="宋体" w:hAnsi="宋体" w:cs="宋体"/>
          <w:b/>
          <w:bCs/>
          <w:color w:val="auto"/>
          <w:kern w:val="0"/>
          <w:szCs w:val="21"/>
          <w:highlight w:val="none"/>
        </w:rPr>
        <w:t>所有设备提供自验收合格不低于【五】年质保服务</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应对由于设计、工艺或材料的缺陷而产生的故障负责。</w:t>
      </w:r>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8</w:t>
      </w:r>
      <w:r>
        <w:rPr>
          <w:rFonts w:ascii="宋体" w:hAnsi="宋体" w:cs="宋体"/>
          <w:color w:val="auto"/>
          <w:kern w:val="0"/>
          <w:szCs w:val="21"/>
          <w:highlight w:val="none"/>
        </w:rPr>
        <w:t>.</w:t>
      </w:r>
      <w:r>
        <w:rPr>
          <w:rFonts w:hint="eastAsia" w:ascii="宋体" w:hAnsi="宋体" w:cs="宋体"/>
          <w:color w:val="auto"/>
          <w:kern w:val="0"/>
          <w:szCs w:val="21"/>
          <w:highlight w:val="none"/>
        </w:rPr>
        <w:t>2</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为</w:t>
      </w:r>
      <w:r>
        <w:rPr>
          <w:rFonts w:hint="eastAsia" w:ascii="宋体" w:hAnsi="宋体" w:cs="宋体"/>
          <w:color w:val="auto"/>
          <w:kern w:val="0"/>
          <w:szCs w:val="21"/>
          <w:highlight w:val="none"/>
          <w:lang w:eastAsia="zh-CN"/>
        </w:rPr>
        <w:t>采购方</w:t>
      </w:r>
      <w:r>
        <w:rPr>
          <w:rFonts w:hint="eastAsia" w:ascii="宋体" w:hAnsi="宋体" w:cs="宋体"/>
          <w:color w:val="auto"/>
          <w:kern w:val="0"/>
          <w:szCs w:val="21"/>
          <w:highlight w:val="none"/>
        </w:rPr>
        <w:t>提供设备使用、维护的现场免费培训。</w:t>
      </w:r>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8</w:t>
      </w:r>
      <w:r>
        <w:rPr>
          <w:rFonts w:ascii="宋体" w:hAnsi="宋体" w:cs="宋体"/>
          <w:color w:val="auto"/>
          <w:kern w:val="0"/>
          <w:szCs w:val="21"/>
          <w:highlight w:val="none"/>
        </w:rPr>
        <w:t>.</w:t>
      </w:r>
      <w:r>
        <w:rPr>
          <w:rFonts w:hint="eastAsia" w:ascii="宋体" w:hAnsi="宋体" w:cs="宋体"/>
          <w:color w:val="auto"/>
          <w:kern w:val="0"/>
          <w:szCs w:val="21"/>
          <w:highlight w:val="none"/>
        </w:rPr>
        <w:t>3</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在保修期内外免收上门服务费，另购配件需提供折扣。在维修过程中，若因特殊原因严重延误维修时间，设备供应商必须提前说明，并相应延长保修期。</w:t>
      </w:r>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8</w:t>
      </w:r>
      <w:r>
        <w:rPr>
          <w:rFonts w:ascii="宋体" w:hAnsi="宋体" w:cs="宋体"/>
          <w:color w:val="auto"/>
          <w:kern w:val="0"/>
          <w:szCs w:val="21"/>
          <w:highlight w:val="none"/>
        </w:rPr>
        <w:t>.</w:t>
      </w:r>
      <w:r>
        <w:rPr>
          <w:rFonts w:hint="eastAsia" w:ascii="宋体" w:hAnsi="宋体" w:cs="宋体"/>
          <w:color w:val="auto"/>
          <w:kern w:val="0"/>
          <w:szCs w:val="21"/>
          <w:highlight w:val="none"/>
        </w:rPr>
        <w:t>4</w:t>
      </w:r>
      <w:r>
        <w:rPr>
          <w:rFonts w:hint="eastAsia" w:ascii="宋体" w:hAnsi="宋体" w:cs="宋体"/>
          <w:color w:val="auto"/>
          <w:kern w:val="0"/>
          <w:szCs w:val="21"/>
          <w:highlight w:val="none"/>
          <w:lang w:eastAsia="zh-CN"/>
        </w:rPr>
        <w:t>投标人</w:t>
      </w:r>
      <w:r>
        <w:rPr>
          <w:rFonts w:hint="eastAsia" w:ascii="宋体" w:hAnsi="宋体" w:cs="宋体"/>
          <w:color w:val="auto"/>
          <w:kern w:val="0"/>
          <w:szCs w:val="21"/>
          <w:highlight w:val="none"/>
        </w:rPr>
        <w:t>在质保期内，软件免费升级。</w:t>
      </w:r>
    </w:p>
    <w:p>
      <w:pPr>
        <w:pStyle w:val="41"/>
        <w:rPr>
          <w:color w:val="auto"/>
          <w:highlight w:val="none"/>
        </w:rPr>
      </w:pPr>
    </w:p>
    <w:p>
      <w:pPr>
        <w:rPr>
          <w:color w:val="auto"/>
          <w:highlight w:val="none"/>
        </w:rPr>
      </w:pPr>
    </w:p>
    <w:sectPr>
      <w:footerReference r:id="rId3" w:type="default"/>
      <w:pgSz w:w="11906" w:h="16838"/>
      <w:pgMar w:top="1440" w:right="646" w:bottom="1440" w:left="7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w:t>
    </w:r>
    <w:r>
      <w:rPr>
        <w:spacing w:val="33"/>
      </w:rPr>
      <w:t xml:space="preserve"> </w:t>
    </w:r>
    <w:r>
      <w:t>19</w:t>
    </w:r>
    <w:r>
      <w:rPr>
        <w:spacing w:val="7"/>
      </w:rPr>
      <w:t xml:space="preserve"> </w:t>
    </w:r>
    <w: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0E4CCA"/>
    <w:multiLevelType w:val="singleLevel"/>
    <w:tmpl w:val="820E4CCA"/>
    <w:lvl w:ilvl="0" w:tentative="0">
      <w:start w:val="1"/>
      <w:numFmt w:val="decimal"/>
      <w:lvlText w:val="%1)"/>
      <w:lvlJc w:val="left"/>
      <w:pPr>
        <w:ind w:left="425" w:hanging="425"/>
      </w:pPr>
      <w:rPr>
        <w:rFonts w:hint="default"/>
      </w:rPr>
    </w:lvl>
  </w:abstractNum>
  <w:abstractNum w:abstractNumId="1">
    <w:nsid w:val="9323FD98"/>
    <w:multiLevelType w:val="singleLevel"/>
    <w:tmpl w:val="9323FD98"/>
    <w:lvl w:ilvl="0" w:tentative="0">
      <w:start w:val="4"/>
      <w:numFmt w:val="chineseCounting"/>
      <w:suff w:val="nothing"/>
      <w:lvlText w:val="%1、"/>
      <w:lvlJc w:val="left"/>
      <w:rPr>
        <w:rFonts w:hint="eastAsia"/>
      </w:rPr>
    </w:lvl>
  </w:abstractNum>
  <w:abstractNum w:abstractNumId="2">
    <w:nsid w:val="C0F9BA4A"/>
    <w:multiLevelType w:val="multilevel"/>
    <w:tmpl w:val="C0F9BA4A"/>
    <w:lvl w:ilvl="0" w:tentative="0">
      <w:start w:val="4"/>
      <w:numFmt w:val="decimal"/>
      <w:lvlText w:val="%1"/>
      <w:lvlJc w:val="left"/>
      <w:pPr>
        <w:ind w:left="360" w:hanging="360"/>
      </w:pPr>
      <w:rPr>
        <w:rFonts w:hint="default"/>
      </w:rPr>
    </w:lvl>
    <w:lvl w:ilvl="1" w:tentative="0">
      <w:start w:val="1"/>
      <w:numFmt w:val="decimal"/>
      <w:lvlText w:val="%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
    <w:nsid w:val="F8328B08"/>
    <w:multiLevelType w:val="singleLevel"/>
    <w:tmpl w:val="F8328B08"/>
    <w:lvl w:ilvl="0" w:tentative="0">
      <w:start w:val="1"/>
      <w:numFmt w:val="decimal"/>
      <w:lvlText w:val="%1)"/>
      <w:lvlJc w:val="left"/>
      <w:pPr>
        <w:ind w:left="425" w:hanging="425"/>
      </w:pPr>
      <w:rPr>
        <w:rFonts w:hint="default"/>
      </w:rPr>
    </w:lvl>
  </w:abstractNum>
  <w:abstractNum w:abstractNumId="4">
    <w:nsid w:val="1F524BD5"/>
    <w:multiLevelType w:val="multilevel"/>
    <w:tmpl w:val="1F524BD5"/>
    <w:lvl w:ilvl="0" w:tentative="0">
      <w:start w:val="1"/>
      <w:numFmt w:val="decimal"/>
      <w:lvlText w:val="%1"/>
      <w:lvlJc w:val="left"/>
      <w:pPr>
        <w:ind w:left="360" w:hanging="360"/>
      </w:pPr>
      <w:rPr>
        <w:rFonts w:hint="default"/>
      </w:rPr>
    </w:lvl>
    <w:lvl w:ilvl="1" w:tentative="0">
      <w:start w:val="1"/>
      <w:numFmt w:val="decimal"/>
      <w:lvlText w:val="%2."/>
      <w:lvlJc w:val="left"/>
      <w:pPr>
        <w:ind w:left="360" w:hanging="360"/>
      </w:pPr>
      <w:rPr>
        <w:rFonts w:hint="default"/>
      </w:rPr>
    </w:lvl>
    <w:lvl w:ilvl="2" w:tentative="0">
      <w:start w:val="1"/>
      <w:numFmt w:val="decimal"/>
      <w:lvlText w:val="%1.%2.%3"/>
      <w:lvlJc w:val="left"/>
      <w:pPr>
        <w:ind w:left="360" w:hanging="36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080" w:hanging="1080"/>
      </w:pPr>
      <w:rPr>
        <w:rFonts w:hint="default"/>
      </w:rPr>
    </w:lvl>
    <w:lvl w:ilvl="8" w:tentative="0">
      <w:start w:val="1"/>
      <w:numFmt w:val="decimal"/>
      <w:lvlText w:val="%1.%2.%3.%4.%5.%6.%7.%8.%9"/>
      <w:lvlJc w:val="left"/>
      <w:pPr>
        <w:ind w:left="1440" w:hanging="1440"/>
      </w:pPr>
      <w:rPr>
        <w:rFonts w:hint="default"/>
      </w:rPr>
    </w:lvl>
  </w:abstractNum>
  <w:abstractNum w:abstractNumId="5">
    <w:nsid w:val="22E26F33"/>
    <w:multiLevelType w:val="multilevel"/>
    <w:tmpl w:val="22E26F33"/>
    <w:lvl w:ilvl="0" w:tentative="0">
      <w:start w:val="1"/>
      <w:numFmt w:val="decimal"/>
      <w:pStyle w:val="24"/>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6409FF1C"/>
    <w:multiLevelType w:val="singleLevel"/>
    <w:tmpl w:val="6409FF1C"/>
    <w:lvl w:ilvl="0" w:tentative="0">
      <w:start w:val="1"/>
      <w:numFmt w:val="decimal"/>
      <w:lvlText w:val="%1)"/>
      <w:lvlJc w:val="left"/>
      <w:pPr>
        <w:ind w:left="425" w:hanging="425"/>
      </w:pPr>
      <w:rPr>
        <w:rFonts w:hint="default"/>
      </w:rPr>
    </w:lvl>
  </w:abstractNum>
  <w:abstractNum w:abstractNumId="7">
    <w:nsid w:val="69C90F34"/>
    <w:multiLevelType w:val="multilevel"/>
    <w:tmpl w:val="69C90F34"/>
    <w:lvl w:ilvl="0" w:tentative="0">
      <w:start w:val="4"/>
      <w:numFmt w:val="decimal"/>
      <w:lvlText w:val="%1"/>
      <w:lvlJc w:val="left"/>
      <w:pPr>
        <w:ind w:left="360" w:hanging="360"/>
      </w:pPr>
      <w:rPr>
        <w:rFonts w:hint="default"/>
      </w:rPr>
    </w:lvl>
    <w:lvl w:ilvl="1" w:tentative="0">
      <w:start w:val="1"/>
      <w:numFmt w:val="decimal"/>
      <w:lvlText w:val="%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8">
    <w:nsid w:val="7181E11E"/>
    <w:multiLevelType w:val="singleLevel"/>
    <w:tmpl w:val="7181E11E"/>
    <w:lvl w:ilvl="0" w:tentative="0">
      <w:start w:val="1"/>
      <w:numFmt w:val="decimal"/>
      <w:lvlText w:val="%1)"/>
      <w:lvlJc w:val="left"/>
      <w:pPr>
        <w:ind w:left="425" w:hanging="425"/>
      </w:pPr>
      <w:rPr>
        <w:rFonts w:hint="default"/>
      </w:rPr>
    </w:lvl>
  </w:abstractNum>
  <w:abstractNum w:abstractNumId="9">
    <w:nsid w:val="76F26846"/>
    <w:multiLevelType w:val="multilevel"/>
    <w:tmpl w:val="76F26846"/>
    <w:lvl w:ilvl="0" w:tentative="0">
      <w:start w:val="2"/>
      <w:numFmt w:val="decimal"/>
      <w:lvlText w:val="%1"/>
      <w:lvlJc w:val="left"/>
      <w:pPr>
        <w:ind w:left="360" w:hanging="360"/>
      </w:pPr>
      <w:rPr>
        <w:rFonts w:hint="default"/>
      </w:rPr>
    </w:lvl>
    <w:lvl w:ilvl="1" w:tentative="0">
      <w:start w:val="1"/>
      <w:numFmt w:val="decimal"/>
      <w:lvlText w:val="%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0">
    <w:nsid w:val="784B3273"/>
    <w:multiLevelType w:val="multilevel"/>
    <w:tmpl w:val="784B3273"/>
    <w:lvl w:ilvl="0" w:tentative="0">
      <w:start w:val="3"/>
      <w:numFmt w:val="decimal"/>
      <w:lvlText w:val="%1"/>
      <w:lvlJc w:val="left"/>
      <w:pPr>
        <w:ind w:left="360" w:hanging="360"/>
      </w:pPr>
      <w:rPr>
        <w:rFonts w:hint="default"/>
      </w:rPr>
    </w:lvl>
    <w:lvl w:ilvl="1" w:tentative="0">
      <w:start w:val="1"/>
      <w:numFmt w:val="decimal"/>
      <w:lvlText w:val="%2."/>
      <w:lvlJc w:val="left"/>
      <w:pPr>
        <w:ind w:left="804" w:hanging="360"/>
      </w:pPr>
      <w:rPr>
        <w:rFonts w:hint="default"/>
      </w:rPr>
    </w:lvl>
    <w:lvl w:ilvl="2" w:tentative="0">
      <w:start w:val="1"/>
      <w:numFmt w:val="decimal"/>
      <w:lvlText w:val="%1.%2.%3"/>
      <w:lvlJc w:val="left"/>
      <w:pPr>
        <w:ind w:left="1608" w:hanging="720"/>
      </w:pPr>
      <w:rPr>
        <w:rFonts w:hint="default"/>
      </w:rPr>
    </w:lvl>
    <w:lvl w:ilvl="3" w:tentative="0">
      <w:start w:val="1"/>
      <w:numFmt w:val="decimal"/>
      <w:lvlText w:val="%1.%2.%3.%4"/>
      <w:lvlJc w:val="left"/>
      <w:pPr>
        <w:ind w:left="2052" w:hanging="720"/>
      </w:pPr>
      <w:rPr>
        <w:rFonts w:hint="default"/>
      </w:rPr>
    </w:lvl>
    <w:lvl w:ilvl="4" w:tentative="0">
      <w:start w:val="1"/>
      <w:numFmt w:val="decimal"/>
      <w:lvlText w:val="%1.%2.%3.%4.%5"/>
      <w:lvlJc w:val="left"/>
      <w:pPr>
        <w:ind w:left="2856" w:hanging="1080"/>
      </w:pPr>
      <w:rPr>
        <w:rFonts w:hint="default"/>
      </w:rPr>
    </w:lvl>
    <w:lvl w:ilvl="5" w:tentative="0">
      <w:start w:val="1"/>
      <w:numFmt w:val="decimal"/>
      <w:lvlText w:val="%1.%2.%3.%4.%5.%6"/>
      <w:lvlJc w:val="left"/>
      <w:pPr>
        <w:ind w:left="3300" w:hanging="1080"/>
      </w:pPr>
      <w:rPr>
        <w:rFonts w:hint="default"/>
      </w:rPr>
    </w:lvl>
    <w:lvl w:ilvl="6" w:tentative="0">
      <w:start w:val="1"/>
      <w:numFmt w:val="decimal"/>
      <w:lvlText w:val="%1.%2.%3.%4.%5.%6.%7"/>
      <w:lvlJc w:val="left"/>
      <w:pPr>
        <w:ind w:left="4104" w:hanging="1440"/>
      </w:pPr>
      <w:rPr>
        <w:rFonts w:hint="default"/>
      </w:rPr>
    </w:lvl>
    <w:lvl w:ilvl="7" w:tentative="0">
      <w:start w:val="1"/>
      <w:numFmt w:val="decimal"/>
      <w:lvlText w:val="%1.%2.%3.%4.%5.%6.%7.%8"/>
      <w:lvlJc w:val="left"/>
      <w:pPr>
        <w:ind w:left="4548" w:hanging="1440"/>
      </w:pPr>
      <w:rPr>
        <w:rFonts w:hint="default"/>
      </w:rPr>
    </w:lvl>
    <w:lvl w:ilvl="8" w:tentative="0">
      <w:start w:val="1"/>
      <w:numFmt w:val="decimal"/>
      <w:lvlText w:val="%1.%2.%3.%4.%5.%6.%7.%8.%9"/>
      <w:lvlJc w:val="left"/>
      <w:pPr>
        <w:ind w:left="5352" w:hanging="1800"/>
      </w:pPr>
      <w:rPr>
        <w:rFonts w:hint="default"/>
      </w:rPr>
    </w:lvl>
  </w:abstractNum>
  <w:num w:numId="1">
    <w:abstractNumId w:val="5"/>
  </w:num>
  <w:num w:numId="2">
    <w:abstractNumId w:val="4"/>
  </w:num>
  <w:num w:numId="3">
    <w:abstractNumId w:val="9"/>
  </w:num>
  <w:num w:numId="4">
    <w:abstractNumId w:val="10"/>
  </w:num>
  <w:num w:numId="5">
    <w:abstractNumId w:val="1"/>
  </w:num>
  <w:num w:numId="6">
    <w:abstractNumId w:val="7"/>
  </w:num>
  <w:num w:numId="7">
    <w:abstractNumId w:val="2"/>
  </w:num>
  <w:num w:numId="8">
    <w:abstractNumId w:val="0"/>
  </w:num>
  <w:num w:numId="9">
    <w:abstractNumId w:val="8"/>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2YWQyZmYxNjhjZTUyMzg0YjA5NzE5NTFmOWE0MmMifQ=="/>
  </w:docVars>
  <w:rsids>
    <w:rsidRoot w:val="6E177A6B"/>
    <w:rsid w:val="00000A67"/>
    <w:rsid w:val="000070A7"/>
    <w:rsid w:val="000161FD"/>
    <w:rsid w:val="0002439F"/>
    <w:rsid w:val="00035262"/>
    <w:rsid w:val="000355DD"/>
    <w:rsid w:val="00050947"/>
    <w:rsid w:val="00054B03"/>
    <w:rsid w:val="000734F8"/>
    <w:rsid w:val="00086FF1"/>
    <w:rsid w:val="00096DCF"/>
    <w:rsid w:val="000C0F17"/>
    <w:rsid w:val="000D27C8"/>
    <w:rsid w:val="000F765A"/>
    <w:rsid w:val="00105B5B"/>
    <w:rsid w:val="00113203"/>
    <w:rsid w:val="00115B5C"/>
    <w:rsid w:val="00127645"/>
    <w:rsid w:val="00137E14"/>
    <w:rsid w:val="00163F87"/>
    <w:rsid w:val="0016569D"/>
    <w:rsid w:val="00176CC1"/>
    <w:rsid w:val="00180A2C"/>
    <w:rsid w:val="00186E00"/>
    <w:rsid w:val="001900FA"/>
    <w:rsid w:val="001B7516"/>
    <w:rsid w:val="001C0926"/>
    <w:rsid w:val="001C22ED"/>
    <w:rsid w:val="001D2537"/>
    <w:rsid w:val="001E114B"/>
    <w:rsid w:val="001E26B9"/>
    <w:rsid w:val="001E42F1"/>
    <w:rsid w:val="001F3C9C"/>
    <w:rsid w:val="002116AE"/>
    <w:rsid w:val="00213D8D"/>
    <w:rsid w:val="002356CB"/>
    <w:rsid w:val="00242F38"/>
    <w:rsid w:val="00252388"/>
    <w:rsid w:val="00252FA6"/>
    <w:rsid w:val="00254050"/>
    <w:rsid w:val="0025734D"/>
    <w:rsid w:val="00257445"/>
    <w:rsid w:val="002934D3"/>
    <w:rsid w:val="002C18D3"/>
    <w:rsid w:val="002C7080"/>
    <w:rsid w:val="002D6555"/>
    <w:rsid w:val="00305B69"/>
    <w:rsid w:val="00311B84"/>
    <w:rsid w:val="00331F53"/>
    <w:rsid w:val="003320F1"/>
    <w:rsid w:val="003328FF"/>
    <w:rsid w:val="00334C51"/>
    <w:rsid w:val="00384E75"/>
    <w:rsid w:val="00390F58"/>
    <w:rsid w:val="003A5EAD"/>
    <w:rsid w:val="003C1511"/>
    <w:rsid w:val="003D19AD"/>
    <w:rsid w:val="003F48A1"/>
    <w:rsid w:val="00416643"/>
    <w:rsid w:val="00423B25"/>
    <w:rsid w:val="0042568F"/>
    <w:rsid w:val="004473E6"/>
    <w:rsid w:val="004730B0"/>
    <w:rsid w:val="00473267"/>
    <w:rsid w:val="00474C0E"/>
    <w:rsid w:val="00480D0B"/>
    <w:rsid w:val="004810C3"/>
    <w:rsid w:val="004A2AA2"/>
    <w:rsid w:val="004A3FC1"/>
    <w:rsid w:val="004C4556"/>
    <w:rsid w:val="004D28AE"/>
    <w:rsid w:val="004F570C"/>
    <w:rsid w:val="004F762D"/>
    <w:rsid w:val="00525941"/>
    <w:rsid w:val="005347B6"/>
    <w:rsid w:val="005405D3"/>
    <w:rsid w:val="00565D5E"/>
    <w:rsid w:val="0058653E"/>
    <w:rsid w:val="005A2287"/>
    <w:rsid w:val="005B778D"/>
    <w:rsid w:val="005D03AD"/>
    <w:rsid w:val="005E79B6"/>
    <w:rsid w:val="006212EA"/>
    <w:rsid w:val="00643A16"/>
    <w:rsid w:val="006464B2"/>
    <w:rsid w:val="0065083D"/>
    <w:rsid w:val="00661ABE"/>
    <w:rsid w:val="00667600"/>
    <w:rsid w:val="006B3AD7"/>
    <w:rsid w:val="006B7F58"/>
    <w:rsid w:val="006E262B"/>
    <w:rsid w:val="006E6579"/>
    <w:rsid w:val="00710E08"/>
    <w:rsid w:val="00711968"/>
    <w:rsid w:val="007139D7"/>
    <w:rsid w:val="00722B31"/>
    <w:rsid w:val="007252B4"/>
    <w:rsid w:val="00732407"/>
    <w:rsid w:val="00740410"/>
    <w:rsid w:val="00743B2F"/>
    <w:rsid w:val="0075347A"/>
    <w:rsid w:val="007544EA"/>
    <w:rsid w:val="00761538"/>
    <w:rsid w:val="007616E5"/>
    <w:rsid w:val="007B2308"/>
    <w:rsid w:val="007C2528"/>
    <w:rsid w:val="007C3587"/>
    <w:rsid w:val="007D2197"/>
    <w:rsid w:val="007E7DA5"/>
    <w:rsid w:val="007F20F5"/>
    <w:rsid w:val="007F52F0"/>
    <w:rsid w:val="008204D4"/>
    <w:rsid w:val="008314CD"/>
    <w:rsid w:val="00843643"/>
    <w:rsid w:val="00852E13"/>
    <w:rsid w:val="00877057"/>
    <w:rsid w:val="008B0D54"/>
    <w:rsid w:val="008B34FE"/>
    <w:rsid w:val="008B4AC4"/>
    <w:rsid w:val="008F1AD9"/>
    <w:rsid w:val="00901A26"/>
    <w:rsid w:val="00914CEE"/>
    <w:rsid w:val="009230CE"/>
    <w:rsid w:val="00933894"/>
    <w:rsid w:val="00954F0B"/>
    <w:rsid w:val="00974692"/>
    <w:rsid w:val="00976AC4"/>
    <w:rsid w:val="009855F2"/>
    <w:rsid w:val="0099622E"/>
    <w:rsid w:val="009B72B2"/>
    <w:rsid w:val="009D6E59"/>
    <w:rsid w:val="00A02DF2"/>
    <w:rsid w:val="00A21864"/>
    <w:rsid w:val="00A25A6B"/>
    <w:rsid w:val="00A63638"/>
    <w:rsid w:val="00A65C15"/>
    <w:rsid w:val="00A66DDC"/>
    <w:rsid w:val="00A76EF2"/>
    <w:rsid w:val="00A771C5"/>
    <w:rsid w:val="00AA49F9"/>
    <w:rsid w:val="00AA4E9D"/>
    <w:rsid w:val="00AB62D5"/>
    <w:rsid w:val="00AC13BA"/>
    <w:rsid w:val="00AD2074"/>
    <w:rsid w:val="00B0159B"/>
    <w:rsid w:val="00B12BB4"/>
    <w:rsid w:val="00B3297F"/>
    <w:rsid w:val="00B32EC9"/>
    <w:rsid w:val="00B40BDE"/>
    <w:rsid w:val="00B556F2"/>
    <w:rsid w:val="00B662B5"/>
    <w:rsid w:val="00B80EAA"/>
    <w:rsid w:val="00B86DBB"/>
    <w:rsid w:val="00BA3CDC"/>
    <w:rsid w:val="00BA493B"/>
    <w:rsid w:val="00BA597F"/>
    <w:rsid w:val="00BC459F"/>
    <w:rsid w:val="00BC64E8"/>
    <w:rsid w:val="00BD51F8"/>
    <w:rsid w:val="00C00DC7"/>
    <w:rsid w:val="00C04DA4"/>
    <w:rsid w:val="00C15CF0"/>
    <w:rsid w:val="00C22AD2"/>
    <w:rsid w:val="00C534B8"/>
    <w:rsid w:val="00C8266A"/>
    <w:rsid w:val="00C84CA6"/>
    <w:rsid w:val="00C91214"/>
    <w:rsid w:val="00C93CB5"/>
    <w:rsid w:val="00CA0660"/>
    <w:rsid w:val="00CA393D"/>
    <w:rsid w:val="00CA7F24"/>
    <w:rsid w:val="00CC1BF1"/>
    <w:rsid w:val="00CD4449"/>
    <w:rsid w:val="00CD7AF1"/>
    <w:rsid w:val="00CE0172"/>
    <w:rsid w:val="00CE0877"/>
    <w:rsid w:val="00D10C77"/>
    <w:rsid w:val="00D17DE0"/>
    <w:rsid w:val="00D42166"/>
    <w:rsid w:val="00D826F6"/>
    <w:rsid w:val="00D9526E"/>
    <w:rsid w:val="00DA0AC9"/>
    <w:rsid w:val="00DA1129"/>
    <w:rsid w:val="00DB054B"/>
    <w:rsid w:val="00DB4985"/>
    <w:rsid w:val="00DC3881"/>
    <w:rsid w:val="00E17632"/>
    <w:rsid w:val="00E20608"/>
    <w:rsid w:val="00E229BF"/>
    <w:rsid w:val="00E60A75"/>
    <w:rsid w:val="00E62DD2"/>
    <w:rsid w:val="00E63328"/>
    <w:rsid w:val="00E94218"/>
    <w:rsid w:val="00E97031"/>
    <w:rsid w:val="00E9713E"/>
    <w:rsid w:val="00EA2D5B"/>
    <w:rsid w:val="00EA5CD6"/>
    <w:rsid w:val="00EB47B2"/>
    <w:rsid w:val="00EB581E"/>
    <w:rsid w:val="00EE08B6"/>
    <w:rsid w:val="00EF1A8D"/>
    <w:rsid w:val="00EF1CC7"/>
    <w:rsid w:val="00EF4C2F"/>
    <w:rsid w:val="00EF55FF"/>
    <w:rsid w:val="00F00580"/>
    <w:rsid w:val="00F0344B"/>
    <w:rsid w:val="00F371B7"/>
    <w:rsid w:val="00F64EBD"/>
    <w:rsid w:val="00F65ECF"/>
    <w:rsid w:val="00F71E12"/>
    <w:rsid w:val="00F93535"/>
    <w:rsid w:val="00FD3491"/>
    <w:rsid w:val="00FD3FF1"/>
    <w:rsid w:val="00FF5DE6"/>
    <w:rsid w:val="00FF6CB2"/>
    <w:rsid w:val="03641753"/>
    <w:rsid w:val="0774524D"/>
    <w:rsid w:val="09615163"/>
    <w:rsid w:val="0A186A46"/>
    <w:rsid w:val="0A8A2498"/>
    <w:rsid w:val="0C4C174B"/>
    <w:rsid w:val="0E93075B"/>
    <w:rsid w:val="10E7084B"/>
    <w:rsid w:val="11F5373E"/>
    <w:rsid w:val="12856D8E"/>
    <w:rsid w:val="183530D5"/>
    <w:rsid w:val="190E1AA4"/>
    <w:rsid w:val="19500A2A"/>
    <w:rsid w:val="1A4C32C6"/>
    <w:rsid w:val="1BA2354A"/>
    <w:rsid w:val="1C7134B8"/>
    <w:rsid w:val="1FC62AAD"/>
    <w:rsid w:val="1FD271D3"/>
    <w:rsid w:val="1FFB1F7E"/>
    <w:rsid w:val="20827D69"/>
    <w:rsid w:val="23171A81"/>
    <w:rsid w:val="25D30D3F"/>
    <w:rsid w:val="264D464E"/>
    <w:rsid w:val="287F0D0A"/>
    <w:rsid w:val="28D41056"/>
    <w:rsid w:val="29FEC586"/>
    <w:rsid w:val="2A1C6815"/>
    <w:rsid w:val="2BAF1907"/>
    <w:rsid w:val="2BC77362"/>
    <w:rsid w:val="30C65728"/>
    <w:rsid w:val="30E8513E"/>
    <w:rsid w:val="32E8751D"/>
    <w:rsid w:val="35904557"/>
    <w:rsid w:val="35F76E67"/>
    <w:rsid w:val="36D641EB"/>
    <w:rsid w:val="38A84D2B"/>
    <w:rsid w:val="38C91FC4"/>
    <w:rsid w:val="3A7C5D33"/>
    <w:rsid w:val="3E737EDF"/>
    <w:rsid w:val="3F644391"/>
    <w:rsid w:val="436B35D8"/>
    <w:rsid w:val="46342CDD"/>
    <w:rsid w:val="46DC2693"/>
    <w:rsid w:val="47244612"/>
    <w:rsid w:val="488C7513"/>
    <w:rsid w:val="48D60DE5"/>
    <w:rsid w:val="4A58343D"/>
    <w:rsid w:val="4A6D27A8"/>
    <w:rsid w:val="4B3A6FE7"/>
    <w:rsid w:val="4BD82355"/>
    <w:rsid w:val="4C3677AE"/>
    <w:rsid w:val="4CA92AA0"/>
    <w:rsid w:val="4CEE1E37"/>
    <w:rsid w:val="4EF7AC8A"/>
    <w:rsid w:val="4FE70DC0"/>
    <w:rsid w:val="528F4A01"/>
    <w:rsid w:val="5461777B"/>
    <w:rsid w:val="57A25AE8"/>
    <w:rsid w:val="57E335EE"/>
    <w:rsid w:val="58A25C75"/>
    <w:rsid w:val="5A5B044A"/>
    <w:rsid w:val="5B134934"/>
    <w:rsid w:val="5D616230"/>
    <w:rsid w:val="617D1584"/>
    <w:rsid w:val="65703D2B"/>
    <w:rsid w:val="67391B2F"/>
    <w:rsid w:val="679419A4"/>
    <w:rsid w:val="69F7487D"/>
    <w:rsid w:val="6B6F1272"/>
    <w:rsid w:val="6BAF57A6"/>
    <w:rsid w:val="6CBE4327"/>
    <w:rsid w:val="6E177A6B"/>
    <w:rsid w:val="6F6B7415"/>
    <w:rsid w:val="6FDF7BC3"/>
    <w:rsid w:val="705E5E86"/>
    <w:rsid w:val="730613D9"/>
    <w:rsid w:val="77C879E1"/>
    <w:rsid w:val="7844040E"/>
    <w:rsid w:val="7B5E0F45"/>
    <w:rsid w:val="7BE13C8D"/>
    <w:rsid w:val="7C510154"/>
    <w:rsid w:val="DF958A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jc w:val="center"/>
      <w:outlineLvl w:val="0"/>
    </w:pPr>
    <w:rPr>
      <w:b/>
      <w:kern w:val="44"/>
      <w:sz w:val="32"/>
    </w:rPr>
  </w:style>
  <w:style w:type="paragraph" w:styleId="3">
    <w:name w:val="heading 2"/>
    <w:basedOn w:val="1"/>
    <w:next w:val="1"/>
    <w:autoRedefine/>
    <w:qFormat/>
    <w:uiPriority w:val="0"/>
    <w:pPr>
      <w:keepNext/>
      <w:keepLines/>
      <w:spacing w:before="120" w:after="120" w:line="415" w:lineRule="auto"/>
      <w:outlineLvl w:val="1"/>
    </w:pPr>
    <w:rPr>
      <w:rFonts w:ascii="宋体" w:hAnsi="Arial"/>
      <w:b/>
      <w:bCs/>
      <w:sz w:val="24"/>
      <w:szCs w:val="20"/>
    </w:rPr>
  </w:style>
  <w:style w:type="paragraph" w:styleId="4">
    <w:name w:val="heading 3"/>
    <w:basedOn w:val="1"/>
    <w:next w:val="1"/>
    <w:autoRedefine/>
    <w:qFormat/>
    <w:uiPriority w:val="99"/>
    <w:pPr>
      <w:spacing w:before="180" w:after="180"/>
      <w:outlineLvl w:val="2"/>
    </w:pPr>
    <w:rPr>
      <w:rFonts w:ascii="Arial" w:hAnsi="Arial" w:eastAsia="黑体"/>
      <w:b/>
      <w:color w:val="000000"/>
      <w:sz w:val="24"/>
    </w:rPr>
  </w:style>
  <w:style w:type="paragraph" w:styleId="5">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6"/>
    <w:basedOn w:val="1"/>
    <w:next w:val="1"/>
    <w:autoRedefine/>
    <w:qFormat/>
    <w:uiPriority w:val="0"/>
    <w:pPr>
      <w:keepNext/>
      <w:keepLines/>
      <w:spacing w:before="240" w:after="64" w:line="317" w:lineRule="auto"/>
      <w:outlineLvl w:val="5"/>
    </w:pPr>
    <w:rPr>
      <w:rFonts w:ascii="Arial" w:hAnsi="Arial" w:eastAsia="黑体"/>
      <w:b/>
      <w:sz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Normal Indent"/>
    <w:basedOn w:val="1"/>
    <w:autoRedefine/>
    <w:qFormat/>
    <w:uiPriority w:val="0"/>
    <w:pPr>
      <w:ind w:firstLine="420"/>
    </w:pPr>
    <w:rPr>
      <w:szCs w:val="20"/>
    </w:rPr>
  </w:style>
  <w:style w:type="paragraph" w:styleId="8">
    <w:name w:val="annotation text"/>
    <w:basedOn w:val="1"/>
    <w:link w:val="34"/>
    <w:autoRedefine/>
    <w:qFormat/>
    <w:uiPriority w:val="0"/>
  </w:style>
  <w:style w:type="paragraph" w:styleId="9">
    <w:name w:val="Body Text"/>
    <w:basedOn w:val="1"/>
    <w:next w:val="1"/>
    <w:autoRedefine/>
    <w:qFormat/>
    <w:uiPriority w:val="0"/>
    <w:pPr>
      <w:jc w:val="center"/>
    </w:pPr>
  </w:style>
  <w:style w:type="paragraph" w:styleId="10">
    <w:name w:val="List 2"/>
    <w:basedOn w:val="1"/>
    <w:qFormat/>
    <w:uiPriority w:val="0"/>
    <w:pPr>
      <w:ind w:left="100" w:leftChars="200" w:hanging="200" w:hangingChars="200"/>
    </w:pPr>
  </w:style>
  <w:style w:type="paragraph" w:styleId="11">
    <w:name w:val="Date"/>
    <w:basedOn w:val="1"/>
    <w:next w:val="1"/>
    <w:autoRedefine/>
    <w:qFormat/>
    <w:uiPriority w:val="99"/>
    <w:rPr>
      <w:rFonts w:eastAsia="楷体_GB2312"/>
      <w:sz w:val="30"/>
    </w:rPr>
  </w:style>
  <w:style w:type="paragraph" w:styleId="12">
    <w:name w:val="Balloon Text"/>
    <w:basedOn w:val="1"/>
    <w:link w:val="45"/>
    <w:qFormat/>
    <w:uiPriority w:val="0"/>
    <w:rPr>
      <w:sz w:val="18"/>
      <w:szCs w:val="18"/>
    </w:rPr>
  </w:style>
  <w:style w:type="paragraph" w:styleId="13">
    <w:name w:val="footer"/>
    <w:basedOn w:val="1"/>
    <w:link w:val="32"/>
    <w:autoRedefine/>
    <w:qFormat/>
    <w:uiPriority w:val="0"/>
    <w:pPr>
      <w:tabs>
        <w:tab w:val="center" w:pos="4153"/>
        <w:tab w:val="right" w:pos="8306"/>
      </w:tabs>
      <w:snapToGrid w:val="0"/>
    </w:pPr>
    <w:rPr>
      <w:sz w:val="18"/>
      <w:szCs w:val="18"/>
    </w:rPr>
  </w:style>
  <w:style w:type="paragraph" w:styleId="14">
    <w:name w:val="header"/>
    <w:basedOn w:val="1"/>
    <w:link w:val="31"/>
    <w:autoRedefine/>
    <w:qFormat/>
    <w:uiPriority w:val="0"/>
    <w:pPr>
      <w:tabs>
        <w:tab w:val="center" w:pos="4153"/>
        <w:tab w:val="right" w:pos="8306"/>
      </w:tabs>
      <w:snapToGrid w:val="0"/>
      <w:jc w:val="center"/>
    </w:pPr>
    <w:rPr>
      <w:sz w:val="18"/>
      <w:szCs w:val="18"/>
    </w:rPr>
  </w:style>
  <w:style w:type="paragraph" w:styleId="15">
    <w:name w:val="Body Text Indent 3"/>
    <w:basedOn w:val="1"/>
    <w:autoRedefine/>
    <w:qFormat/>
    <w:uiPriority w:val="0"/>
    <w:pPr>
      <w:adjustRightInd w:val="0"/>
      <w:snapToGrid w:val="0"/>
      <w:spacing w:line="336" w:lineRule="auto"/>
      <w:ind w:firstLine="435"/>
    </w:pPr>
  </w:style>
  <w:style w:type="paragraph" w:styleId="16">
    <w:name w:val="annotation subject"/>
    <w:basedOn w:val="8"/>
    <w:next w:val="8"/>
    <w:link w:val="35"/>
    <w:autoRedefine/>
    <w:qFormat/>
    <w:uiPriority w:val="0"/>
    <w:rPr>
      <w:b/>
      <w:bCs/>
    </w:rPr>
  </w:style>
  <w:style w:type="table" w:styleId="18">
    <w:name w:val="Table Grid"/>
    <w:basedOn w:val="17"/>
    <w:qFormat/>
    <w:uiPriority w:val="0"/>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0">
    <w:name w:val="annotation reference"/>
    <w:autoRedefine/>
    <w:qFormat/>
    <w:uiPriority w:val="0"/>
    <w:rPr>
      <w:sz w:val="21"/>
      <w:szCs w:val="21"/>
    </w:rPr>
  </w:style>
  <w:style w:type="paragraph" w:customStyle="1" w:styleId="21">
    <w:name w:val="000 空行"/>
    <w:basedOn w:val="1"/>
    <w:qFormat/>
    <w:uiPriority w:val="0"/>
    <w:rPr>
      <w:rFonts w:ascii="宋体" w:hAnsi="宋体"/>
      <w:sz w:val="24"/>
      <w:szCs w:val="20"/>
      <w:lang w:eastAsia="zh-TW"/>
    </w:rPr>
  </w:style>
  <w:style w:type="paragraph" w:customStyle="1" w:styleId="22">
    <w:name w:val="最终正文格式"/>
    <w:basedOn w:val="9"/>
    <w:autoRedefine/>
    <w:qFormat/>
    <w:uiPriority w:val="0"/>
    <w:pPr>
      <w:spacing w:after="120"/>
      <w:ind w:left="315" w:leftChars="315"/>
      <w:jc w:val="both"/>
    </w:pPr>
    <w:rPr>
      <w:rFonts w:ascii="Arial" w:hAnsi="Arial" w:cs="Arial"/>
      <w:kern w:val="0"/>
      <w:sz w:val="20"/>
      <w:szCs w:val="20"/>
    </w:rPr>
  </w:style>
  <w:style w:type="character" w:customStyle="1" w:styleId="23">
    <w:name w:val="标题 4 Char1"/>
    <w:autoRedefine/>
    <w:qFormat/>
    <w:uiPriority w:val="0"/>
    <w:rPr>
      <w:rFonts w:ascii="Arial" w:hAnsi="Arial" w:eastAsia="黑体" w:cs="Times New Roman"/>
      <w:b/>
      <w:kern w:val="2"/>
      <w:sz w:val="28"/>
      <w:lang w:val="en-US" w:eastAsia="zh-CN"/>
    </w:rPr>
  </w:style>
  <w:style w:type="paragraph" w:styleId="24">
    <w:name w:val="List Paragraph"/>
    <w:basedOn w:val="1"/>
    <w:link w:val="44"/>
    <w:autoRedefine/>
    <w:qFormat/>
    <w:uiPriority w:val="34"/>
    <w:pPr>
      <w:numPr>
        <w:ilvl w:val="0"/>
        <w:numId w:val="1"/>
      </w:numPr>
    </w:pPr>
    <w:rPr>
      <w:rFonts w:ascii="Calibri" w:hAnsi="Calibri"/>
      <w:szCs w:val="22"/>
    </w:rPr>
  </w:style>
  <w:style w:type="paragraph" w:customStyle="1" w:styleId="25">
    <w:name w:val="列出段落1"/>
    <w:basedOn w:val="1"/>
    <w:autoRedefine/>
    <w:qFormat/>
    <w:uiPriority w:val="34"/>
    <w:pPr>
      <w:ind w:firstLine="420" w:firstLineChars="200"/>
    </w:pPr>
    <w:rPr>
      <w:szCs w:val="20"/>
    </w:rPr>
  </w:style>
  <w:style w:type="table" w:customStyle="1" w:styleId="26">
    <w:name w:val="Table Normal"/>
    <w:autoRedefine/>
    <w:semiHidden/>
    <w:unhideWhenUsed/>
    <w:qFormat/>
    <w:uiPriority w:val="0"/>
    <w:tblPr>
      <w:tblCellMar>
        <w:top w:w="0" w:type="dxa"/>
        <w:left w:w="0" w:type="dxa"/>
        <w:bottom w:w="0" w:type="dxa"/>
        <w:right w:w="0" w:type="dxa"/>
      </w:tblCellMar>
    </w:tblPr>
  </w:style>
  <w:style w:type="character" w:customStyle="1" w:styleId="27">
    <w:name w:val="font11"/>
    <w:basedOn w:val="19"/>
    <w:autoRedefine/>
    <w:qFormat/>
    <w:uiPriority w:val="0"/>
    <w:rPr>
      <w:rFonts w:hint="eastAsia" w:ascii="宋体" w:hAnsi="宋体" w:eastAsia="宋体" w:cs="宋体"/>
      <w:color w:val="000000"/>
      <w:sz w:val="20"/>
      <w:szCs w:val="20"/>
      <w:u w:val="none"/>
    </w:rPr>
  </w:style>
  <w:style w:type="character" w:customStyle="1" w:styleId="28">
    <w:name w:val="font21"/>
    <w:basedOn w:val="19"/>
    <w:autoRedefine/>
    <w:qFormat/>
    <w:uiPriority w:val="0"/>
    <w:rPr>
      <w:rFonts w:hint="default" w:ascii="Times New Roman" w:hAnsi="Times New Roman" w:cs="Times New Roman"/>
      <w:color w:val="000000"/>
      <w:sz w:val="20"/>
      <w:szCs w:val="20"/>
      <w:u w:val="none"/>
    </w:rPr>
  </w:style>
  <w:style w:type="character" w:customStyle="1" w:styleId="29">
    <w:name w:val="font31"/>
    <w:basedOn w:val="19"/>
    <w:autoRedefine/>
    <w:qFormat/>
    <w:uiPriority w:val="0"/>
    <w:rPr>
      <w:rFonts w:hint="default" w:ascii="Times New Roman" w:hAnsi="Times New Roman" w:cs="Times New Roman"/>
      <w:color w:val="000000"/>
      <w:sz w:val="20"/>
      <w:szCs w:val="20"/>
      <w:u w:val="none"/>
    </w:rPr>
  </w:style>
  <w:style w:type="character" w:customStyle="1" w:styleId="30">
    <w:name w:val="font51"/>
    <w:basedOn w:val="19"/>
    <w:autoRedefine/>
    <w:qFormat/>
    <w:uiPriority w:val="0"/>
    <w:rPr>
      <w:rFonts w:hint="default" w:ascii="Times New Roman" w:hAnsi="Times New Roman" w:cs="Times New Roman"/>
      <w:color w:val="000000"/>
      <w:sz w:val="20"/>
      <w:szCs w:val="20"/>
      <w:u w:val="none"/>
    </w:rPr>
  </w:style>
  <w:style w:type="character" w:customStyle="1" w:styleId="31">
    <w:name w:val="页眉 字符"/>
    <w:basedOn w:val="19"/>
    <w:link w:val="14"/>
    <w:autoRedefine/>
    <w:qFormat/>
    <w:uiPriority w:val="0"/>
    <w:rPr>
      <w:kern w:val="2"/>
      <w:sz w:val="18"/>
      <w:szCs w:val="18"/>
    </w:rPr>
  </w:style>
  <w:style w:type="character" w:customStyle="1" w:styleId="32">
    <w:name w:val="页脚 字符"/>
    <w:basedOn w:val="19"/>
    <w:link w:val="13"/>
    <w:autoRedefine/>
    <w:qFormat/>
    <w:uiPriority w:val="0"/>
    <w:rPr>
      <w:kern w:val="2"/>
      <w:sz w:val="18"/>
      <w:szCs w:val="18"/>
    </w:rPr>
  </w:style>
  <w:style w:type="paragraph" w:customStyle="1" w:styleId="33">
    <w:name w:val="修订1"/>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34">
    <w:name w:val="批注文字 字符"/>
    <w:basedOn w:val="19"/>
    <w:link w:val="8"/>
    <w:autoRedefine/>
    <w:qFormat/>
    <w:uiPriority w:val="0"/>
    <w:rPr>
      <w:kern w:val="2"/>
      <w:sz w:val="21"/>
      <w:szCs w:val="24"/>
    </w:rPr>
  </w:style>
  <w:style w:type="character" w:customStyle="1" w:styleId="35">
    <w:name w:val="批注主题 字符"/>
    <w:basedOn w:val="34"/>
    <w:link w:val="16"/>
    <w:autoRedefine/>
    <w:qFormat/>
    <w:uiPriority w:val="0"/>
    <w:rPr>
      <w:b/>
      <w:bCs/>
      <w:kern w:val="2"/>
      <w:sz w:val="21"/>
      <w:szCs w:val="24"/>
    </w:rPr>
  </w:style>
  <w:style w:type="paragraph" w:customStyle="1" w:styleId="36">
    <w:name w:val="修订2"/>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37">
    <w:name w:val="修订3"/>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38">
    <w:name w:val="修订4"/>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39">
    <w:name w:val="修订5"/>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40">
    <w:name w:val="修订6"/>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41">
    <w:name w:val="Default"/>
    <w:autoRedefine/>
    <w:qFormat/>
    <w:uiPriority w:val="0"/>
    <w:pPr>
      <w:widowControl w:val="0"/>
      <w:autoSpaceDE w:val="0"/>
      <w:autoSpaceDN w:val="0"/>
      <w:adjustRightInd w:val="0"/>
    </w:pPr>
    <w:rPr>
      <w:rFonts w:ascii="楷体" w:hAnsi="Times New Roman" w:eastAsia="楷体" w:cs="楷体"/>
      <w:color w:val="000000"/>
      <w:sz w:val="24"/>
      <w:szCs w:val="24"/>
      <w:lang w:val="en-US" w:eastAsia="zh-CN" w:bidi="ar-SA"/>
    </w:rPr>
  </w:style>
  <w:style w:type="paragraph" w:customStyle="1" w:styleId="42">
    <w:name w:val="修订7"/>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43">
    <w:name w:val="修订8"/>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44">
    <w:name w:val="列表段落 字符"/>
    <w:link w:val="24"/>
    <w:autoRedefine/>
    <w:qFormat/>
    <w:locked/>
    <w:uiPriority w:val="34"/>
    <w:rPr>
      <w:rFonts w:ascii="Calibri" w:hAnsi="Calibri"/>
      <w:kern w:val="2"/>
      <w:sz w:val="21"/>
      <w:szCs w:val="22"/>
    </w:rPr>
  </w:style>
  <w:style w:type="character" w:customStyle="1" w:styleId="45">
    <w:name w:val="批注框文本 字符"/>
    <w:basedOn w:val="19"/>
    <w:link w:val="1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12</Pages>
  <Words>10201</Words>
  <Characters>11247</Characters>
  <Lines>83</Lines>
  <Paragraphs>23</Paragraphs>
  <TotalTime>4</TotalTime>
  <ScaleCrop>false</ScaleCrop>
  <LinksUpToDate>false</LinksUpToDate>
  <CharactersWithSpaces>11358</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2024-06-25T17:59:00Z</dcterms:created>
  <dc:creator>George</dc:creator>
  <cp:lastModifiedBy>Artisan</cp:lastModifiedBy>
  <dcterms:modified xsi:type="dcterms:W3CDTF">2024-11-04T13:55:24Z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545976379D474A85AE5BA97907CA4863_13</vt:lpwstr>
  </property>
</Properties>
</file>