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numPr>
          <w:ilvl w:val="0"/>
          <w:numId w:val="0"/>
        </w:numPr>
        <w:spacing w:before="120" w:after="120" w:line="360" w:lineRule="auto"/>
        <w:ind w:left="425" w:leftChars="0" w:firstLine="0" w:firstLineChars="0"/>
        <w:jc w:val="center"/>
        <w:rPr>
          <w:rFonts w:hint="eastAsia" w:ascii="宋体" w:hAnsi="宋体" w:eastAsia="黑体"/>
          <w:sz w:val="32"/>
          <w:szCs w:val="28"/>
          <w:lang w:eastAsia="zh-CN"/>
        </w:rPr>
      </w:pPr>
      <w:bookmarkStart w:id="0" w:name="_Toc450817063"/>
      <w:bookmarkStart w:id="1" w:name="_Toc17475"/>
      <w:r>
        <w:rPr>
          <w:rFonts w:hint="eastAsia" w:ascii="宋体" w:hAnsi="宋体" w:eastAsia="黑体"/>
          <w:sz w:val="32"/>
          <w:szCs w:val="28"/>
          <w:lang w:eastAsia="zh-CN"/>
        </w:rPr>
        <w:t>上海市中医药综合统计平台子系统建设项目</w:t>
      </w:r>
    </w:p>
    <w:p>
      <w:pPr>
        <w:pStyle w:val="2"/>
        <w:pageBreakBefore w:val="0"/>
        <w:numPr>
          <w:ilvl w:val="0"/>
          <w:numId w:val="0"/>
        </w:numPr>
        <w:spacing w:before="120" w:after="120" w:line="360" w:lineRule="auto"/>
        <w:ind w:left="425" w:leftChars="0" w:firstLine="0" w:firstLineChars="0"/>
        <w:jc w:val="center"/>
        <w:rPr>
          <w:rFonts w:hint="eastAsia" w:ascii="宋体" w:hAnsi="宋体" w:eastAsia="黑体"/>
          <w:sz w:val="32"/>
          <w:szCs w:val="28"/>
          <w:lang w:eastAsia="zh-CN"/>
        </w:rPr>
      </w:pPr>
      <w:r>
        <w:rPr>
          <w:rFonts w:hint="eastAsia" w:ascii="宋体" w:hAnsi="宋体" w:eastAsia="黑体"/>
          <w:sz w:val="32"/>
          <w:szCs w:val="28"/>
          <w:lang w:eastAsia="zh-CN"/>
        </w:rPr>
        <w:t>（2025年升级改造）采购需求</w:t>
      </w:r>
    </w:p>
    <w:p>
      <w:pPr>
        <w:pStyle w:val="2"/>
        <w:keepNext/>
        <w:keepLines/>
        <w:pageBreakBefore w:val="0"/>
        <w:widowControl w:val="0"/>
        <w:numPr>
          <w:ilvl w:val="0"/>
          <w:numId w:val="3"/>
        </w:numPr>
        <w:kinsoku/>
        <w:wordWrap/>
        <w:overflowPunct/>
        <w:topLinePunct w:val="0"/>
        <w:autoSpaceDE/>
        <w:autoSpaceDN/>
        <w:bidi w:val="0"/>
        <w:adjustRightInd/>
        <w:snapToGrid/>
        <w:spacing w:line="579" w:lineRule="auto"/>
        <w:ind w:firstLine="0"/>
        <w:jc w:val="left"/>
        <w:textAlignment w:val="auto"/>
        <w:rPr>
          <w:rFonts w:hint="eastAsia" w:ascii="黑体" w:hAnsi="黑体" w:eastAsia="黑体" w:cs="黑体"/>
          <w:sz w:val="32"/>
          <w:szCs w:val="32"/>
        </w:rPr>
      </w:pPr>
      <w:r>
        <w:rPr>
          <w:rFonts w:hint="eastAsia" w:ascii="黑体" w:hAnsi="黑体" w:eastAsia="黑体" w:cs="黑体"/>
          <w:sz w:val="32"/>
          <w:szCs w:val="32"/>
        </w:rPr>
        <w:t>项目</w:t>
      </w:r>
      <w:r>
        <w:rPr>
          <w:rFonts w:hint="eastAsia" w:ascii="黑体" w:hAnsi="黑体" w:eastAsia="黑体" w:cs="黑体"/>
          <w:sz w:val="32"/>
          <w:szCs w:val="32"/>
          <w:lang w:val="en-US" w:eastAsia="zh-CN"/>
        </w:rPr>
        <w:t>概况</w:t>
      </w:r>
    </w:p>
    <w:bookmarkEnd w:id="0"/>
    <w:bookmarkEnd w:id="1"/>
    <w:p>
      <w:pPr>
        <w:pStyle w:val="3"/>
        <w:numPr>
          <w:ilvl w:val="0"/>
          <w:numId w:val="4"/>
        </w:numPr>
        <w:bidi w:val="0"/>
        <w:ind w:left="0" w:leftChars="0" w:firstLine="0" w:firstLineChars="0"/>
        <w:rPr>
          <w:rFonts w:hint="eastAsia" w:ascii="楷体" w:hAnsi="楷体" w:eastAsia="楷体" w:cs="楷体"/>
          <w:b/>
          <w:bCs/>
          <w:sz w:val="32"/>
          <w:szCs w:val="32"/>
        </w:rPr>
      </w:pPr>
      <w:bookmarkStart w:id="2" w:name="_Toc24937"/>
      <w:r>
        <w:rPr>
          <w:rFonts w:hint="eastAsia" w:ascii="楷体" w:hAnsi="楷体" w:eastAsia="楷体" w:cs="楷体"/>
          <w:b/>
          <w:bCs/>
          <w:sz w:val="32"/>
          <w:szCs w:val="32"/>
        </w:rPr>
        <w:t>项目建设背景</w:t>
      </w:r>
      <w:bookmarkEnd w:id="2"/>
      <w:r>
        <w:rPr>
          <w:rFonts w:hint="eastAsia" w:ascii="楷体" w:hAnsi="楷体" w:eastAsia="楷体" w:cs="楷体"/>
          <w:b/>
          <w:bCs/>
          <w:sz w:val="32"/>
          <w:szCs w:val="32"/>
          <w:lang w:val="en-US" w:eastAsia="zh-CN"/>
        </w:rPr>
        <w:t>和现状</w:t>
      </w:r>
    </w:p>
    <w:p>
      <w:pPr>
        <w:pStyle w:val="23"/>
        <w:ind w:firstLine="560"/>
        <w:rPr>
          <w:rFonts w:cs="仿宋"/>
        </w:rPr>
      </w:pPr>
      <w:r>
        <w:rPr>
          <w:rFonts w:hint="eastAsia" w:cs="仿宋"/>
        </w:rPr>
        <w:t>中医药是我国传统文化的瑰宝，继承和弘扬中医药发展意义重大。近年来受大众健康意识提升以及新冠疫情等综合因素影响，在国家政策的大力支持下，中医药产业步入发展的快车道。《“十四五”规划和</w:t>
      </w:r>
      <w:r>
        <w:rPr>
          <w:rFonts w:cs="仿宋"/>
        </w:rPr>
        <w:t>2035年远景目标纲要》就指出要推动中医药传承创新，建设中医药科技支撑平台，强化中药质量监管。2020年3月，国务院办公厅印发的《“十四五”中医药发展规划》也提出，要建设优质高效中医药服务体系，建设高层次科技平台，强化中医药发展支撑保障，提升中医药信息化水平。</w:t>
      </w:r>
    </w:p>
    <w:p>
      <w:pPr>
        <w:pStyle w:val="23"/>
        <w:ind w:firstLine="560"/>
        <w:rPr>
          <w:rFonts w:cs="仿宋"/>
        </w:rPr>
      </w:pPr>
      <w:r>
        <w:rPr>
          <w:rFonts w:hint="eastAsia" w:cs="仿宋"/>
        </w:rPr>
        <w:t>上海市作为中国经济建设的排头兵，其中医药工作在国家中医药综合改革示范区建设的引领下，积极加速深化中医药改革的步伐，制定并实施了多项中医药发展的政策文件。</w:t>
      </w:r>
      <w:r>
        <w:rPr>
          <w:rFonts w:cs="仿宋"/>
        </w:rPr>
        <w:t>2022年7月，上海市人民政府</w:t>
      </w:r>
      <w:r>
        <w:rPr>
          <w:rFonts w:hint="eastAsia" w:cs="仿宋"/>
        </w:rPr>
        <w:t>办公厅</w:t>
      </w:r>
      <w:r>
        <w:rPr>
          <w:rFonts w:cs="仿宋"/>
        </w:rPr>
        <w:t>印发了《上海市国家中医药综合改革示范区建设方案》，该方案围绕“做精三项特色卷，做实四项必答题”确定了促进中西医协</w:t>
      </w:r>
      <w:r>
        <w:rPr>
          <w:rFonts w:hint="eastAsia" w:cs="仿宋"/>
        </w:rPr>
        <w:t>同</w:t>
      </w:r>
      <w:r>
        <w:rPr>
          <w:rFonts w:cs="仿宋"/>
        </w:rPr>
        <w:t>、</w:t>
      </w:r>
      <w:r>
        <w:rPr>
          <w:rFonts w:hint="eastAsia" w:cs="仿宋"/>
        </w:rPr>
        <w:t>完善中医药服务体系</w:t>
      </w:r>
      <w:r>
        <w:rPr>
          <w:rFonts w:cs="仿宋"/>
        </w:rPr>
        <w:t>等七方面重点任务。</w:t>
      </w:r>
    </w:p>
    <w:p>
      <w:pPr>
        <w:pStyle w:val="23"/>
        <w:ind w:firstLine="560"/>
        <w:rPr>
          <w:rFonts w:cs="仿宋"/>
        </w:rPr>
      </w:pPr>
      <w:r>
        <w:rPr>
          <w:rFonts w:cs="仿宋"/>
        </w:rPr>
        <w:t>2023年，启动建设的上海市中医药综合统计平台</w:t>
      </w:r>
      <w:r>
        <w:rPr>
          <w:rFonts w:hint="eastAsia" w:cs="仿宋"/>
        </w:rPr>
        <w:t>子系统一期项目已建设完成，通过对中医药相关数据的归集、质控，利用大数据分析工具和数据进行科学建模，实现对全市中医医疗资源的采集。通过医疗资源动态分析、医疗服务评价、绩效考核、医改监测等各类不同角度深度挖掘分析中医药数据，为中医药管理决策提供可靠的数据支撑，辅助中医药领导部门进行中医药规划决策。</w:t>
      </w:r>
    </w:p>
    <w:p>
      <w:pPr>
        <w:pStyle w:val="23"/>
        <w:ind w:firstLine="560"/>
        <w:rPr>
          <w:rFonts w:cs="仿宋"/>
        </w:rPr>
      </w:pPr>
      <w:r>
        <w:rPr>
          <w:rFonts w:cs="仿宋"/>
        </w:rPr>
        <w:t>2023年4月，上海市卫健委、市中管局等9部门联合印发了《上海市基层中医药服务能力提升实施方案》（2023-2025年），明确要提升上海市基层中医药服务能力，制定了上海市针对基层中医药服务能力提升的具体实施计划。2024年3月，上海市中医药事业发展领导小组办公室印发的《2024年上海市中医药工作要点》，明确统筹推进中医药综合改革，深化中医药服务内涵，加强服务监管与评价，推进中医药传承创新等九方面34项具体工作要求。</w:t>
      </w:r>
    </w:p>
    <w:p>
      <w:pPr>
        <w:pStyle w:val="23"/>
        <w:ind w:firstLine="560"/>
        <w:rPr>
          <w:rFonts w:cs="仿宋"/>
        </w:rPr>
      </w:pPr>
      <w:r>
        <w:rPr>
          <w:rFonts w:hint="eastAsia" w:cs="仿宋"/>
        </w:rPr>
        <w:t>根据最新政策工作要求，要构建省级中医药综合统计平台。通过扩充各项专项调查统计数据报送模块，实现中医药数据的全面、准确、及时收集与整合。通过对各类中医药数据的系统梳理和深入分析，平台将为政策制定者提供有力的决策支持，为中医药科研提供丰富的数据资源，从而推动中医药行业的创新发展。</w:t>
      </w:r>
    </w:p>
    <w:p>
      <w:pPr>
        <w:pStyle w:val="3"/>
        <w:numPr>
          <w:ilvl w:val="0"/>
          <w:numId w:val="4"/>
        </w:numPr>
        <w:bidi w:val="0"/>
        <w:ind w:left="0" w:leftChars="0" w:firstLine="0" w:firstLineChars="0"/>
        <w:rPr>
          <w:rFonts w:hint="eastAsia" w:ascii="楷体" w:hAnsi="楷体" w:eastAsia="楷体" w:cs="楷体"/>
          <w:b/>
          <w:bCs/>
          <w:sz w:val="32"/>
          <w:szCs w:val="32"/>
        </w:rPr>
      </w:pPr>
      <w:bookmarkStart w:id="3" w:name="_Toc3860"/>
      <w:r>
        <w:rPr>
          <w:rFonts w:hint="eastAsia" w:ascii="楷体" w:hAnsi="楷体" w:eastAsia="楷体" w:cs="楷体"/>
          <w:b/>
          <w:bCs/>
          <w:sz w:val="32"/>
          <w:szCs w:val="32"/>
        </w:rPr>
        <w:t>项目建设依据</w:t>
      </w:r>
      <w:bookmarkEnd w:id="3"/>
    </w:p>
    <w:p>
      <w:pPr>
        <w:pStyle w:val="5"/>
        <w:numPr>
          <w:ilvl w:val="0"/>
          <w:numId w:val="5"/>
        </w:numPr>
        <w:bidi w:val="0"/>
        <w:ind w:left="425" w:leftChars="0" w:hanging="425" w:firstLineChars="0"/>
        <w:rPr>
          <w:rFonts w:hint="eastAsia" w:ascii="仿宋" w:hAnsi="仿宋" w:eastAsia="仿宋" w:cs="仿宋"/>
        </w:rPr>
      </w:pPr>
      <w:bookmarkStart w:id="4" w:name="_Toc109056809"/>
      <w:r>
        <w:rPr>
          <w:rFonts w:hint="eastAsia" w:ascii="仿宋" w:hAnsi="仿宋" w:eastAsia="仿宋" w:cs="仿宋"/>
        </w:rPr>
        <w:t>政策依据</w:t>
      </w:r>
      <w:bookmarkEnd w:id="4"/>
    </w:p>
    <w:p>
      <w:pPr>
        <w:pStyle w:val="23"/>
        <w:ind w:firstLine="560"/>
        <w:rPr>
          <w:rFonts w:hint="eastAsia" w:ascii="仿宋" w:hAnsi="仿宋" w:eastAsia="仿宋" w:cs="仿宋"/>
        </w:rPr>
      </w:pPr>
      <w:r>
        <w:rPr>
          <w:rFonts w:hint="eastAsia" w:ascii="仿宋" w:hAnsi="仿宋" w:eastAsia="仿宋" w:cs="仿宋"/>
        </w:rPr>
        <w:t>2009年国务院印发《关于扶持和促进中医药事业发展的若干意见》，明确提出“建立健全综合统计制度”的主要任务。卫生部、国家中医药管理局高度重视，相继出台的《中医药信息化建设“十二五”规划》《关于加快推进人口健康信息化建设的指导意见》《中医药发展“十三五”规划》《中医药信息化发展“十三五”规划》等文件均将中医药综合统计作为内容之一，要求建设中医药综合统计调查制度、统计信息系统等。</w:t>
      </w:r>
    </w:p>
    <w:p>
      <w:pPr>
        <w:pStyle w:val="23"/>
        <w:ind w:firstLine="560"/>
        <w:rPr>
          <w:rFonts w:hint="eastAsia" w:ascii="仿宋" w:hAnsi="仿宋" w:eastAsia="仿宋" w:cs="仿宋"/>
        </w:rPr>
      </w:pPr>
      <w:r>
        <w:rPr>
          <w:rFonts w:hint="eastAsia" w:ascii="仿宋" w:hAnsi="仿宋" w:eastAsia="仿宋" w:cs="仿宋"/>
        </w:rPr>
        <w:t>统计数据是国家实施宏观管理和科学决策的重要依据，建立国家中医药综合统计制度，是推进中医药高质量发展的内在要求。党的十八大以来，在以习近平同志为核心的党中央坚强领导下，为深入贯彻落实《中共中央国务院关于促进中医药传承创新发展的意见》明确的“加快建立国家中医药综合统计制度”要求，以及《中医药发展战略规划纲要（2016-2030年）》提出的“完善中医药信息统计制度建设，建立全国中医药综合统计网络直报体系”任务，国家中医药局在各相关部门的大力支持下，研究制定了《国家中医药综合统计制度》，并于2022年4月12日正式通过国家统计局审批。</w:t>
      </w:r>
    </w:p>
    <w:p>
      <w:pPr>
        <w:pStyle w:val="23"/>
        <w:ind w:firstLine="0" w:firstLineChars="0"/>
        <w:rPr>
          <w:rFonts w:hint="eastAsia" w:ascii="仿宋" w:hAnsi="仿宋" w:eastAsia="仿宋" w:cs="仿宋"/>
        </w:rPr>
      </w:pPr>
      <w:r>
        <w:rPr>
          <w:rFonts w:hint="eastAsia" w:ascii="仿宋" w:hAnsi="仿宋" w:eastAsia="仿宋" w:cs="仿宋"/>
        </w:rPr>
        <w:t>根据《&lt;国家中医药综合统计制度&gt;落实工作方案》任务要求：构建国家和省两级中医药统计服务平台。各地通过整合利用中医馆健康信息平台建设基础设施资源或新建系统的方式，在统计业务支撑机构部署省级中医药综合统计平台，发挥区域性数据采集、汇总、上报、分析等功能。在网络直报基础上，扩充各项专项调查统计数据报送模块，构建升级中医药综合统计平台，并与国家中医药统计服务平台对接。鼓励统计工作基础较好的省份，通过升级中医药统计服务平台汇集本省综合统计制度中部门外的共享数据，上报国家级中医药统计服务平台。</w:t>
      </w:r>
    </w:p>
    <w:p>
      <w:pPr>
        <w:pStyle w:val="3"/>
        <w:numPr>
          <w:ilvl w:val="0"/>
          <w:numId w:val="4"/>
        </w:numPr>
        <w:bidi w:val="0"/>
        <w:ind w:left="0" w:leftChars="0" w:firstLine="0" w:firstLineChars="0"/>
        <w:rPr>
          <w:rFonts w:hint="eastAsia" w:ascii="楷体" w:hAnsi="楷体" w:eastAsia="楷体" w:cs="楷体"/>
          <w:b/>
          <w:bCs/>
          <w:sz w:val="32"/>
          <w:szCs w:val="32"/>
        </w:rPr>
      </w:pPr>
      <w:r>
        <w:rPr>
          <w:rFonts w:hint="eastAsia" w:ascii="楷体" w:hAnsi="楷体" w:eastAsia="楷体" w:cs="楷体"/>
          <w:b/>
          <w:bCs/>
          <w:sz w:val="32"/>
          <w:szCs w:val="32"/>
          <w:lang w:val="en-US" w:eastAsia="zh-CN"/>
        </w:rPr>
        <w:t>现状描述</w:t>
      </w:r>
    </w:p>
    <w:p>
      <w:pPr>
        <w:ind w:firstLine="560"/>
        <w:rPr>
          <w:rFonts w:hint="eastAsia" w:ascii="仿宋" w:hAnsi="仿宋" w:eastAsia="仿宋" w:cs="仿宋"/>
          <w:kern w:val="2"/>
          <w:sz w:val="28"/>
          <w:szCs w:val="28"/>
          <w:lang w:bidi="ar-SA"/>
        </w:rPr>
      </w:pPr>
      <w:r>
        <w:rPr>
          <w:rFonts w:hint="eastAsia" w:ascii="仿宋" w:hAnsi="仿宋" w:eastAsia="仿宋" w:cs="仿宋"/>
          <w:kern w:val="2"/>
          <w:sz w:val="28"/>
          <w:szCs w:val="28"/>
          <w:lang w:bidi="ar-SA"/>
        </w:rPr>
        <w:t>本次项目是对上海市中医药综合统计平台的升级改造，在系统原有业务功能基础上，根据国家最新的管理要求以及实际业务需要进行升级改造，升级改造内容与系统中原有的功能不存在重复。</w:t>
      </w:r>
    </w:p>
    <w:p>
      <w:pPr>
        <w:ind w:firstLine="560"/>
        <w:rPr>
          <w:rFonts w:hint="default" w:ascii="仿宋" w:hAnsi="仿宋" w:eastAsia="仿宋" w:cs="仿宋"/>
          <w:kern w:val="2"/>
          <w:sz w:val="28"/>
          <w:szCs w:val="28"/>
          <w:lang w:bidi="ar-SA"/>
        </w:rPr>
      </w:pPr>
      <w:r>
        <w:rPr>
          <w:rFonts w:hint="eastAsia" w:ascii="仿宋" w:hAnsi="仿宋" w:eastAsia="仿宋" w:cs="仿宋"/>
          <w:kern w:val="2"/>
          <w:sz w:val="28"/>
          <w:szCs w:val="28"/>
          <w:lang w:val="en-US" w:eastAsia="zh-CN" w:bidi="ar-SA"/>
        </w:rPr>
        <w:t>具体升级改造内容见下图</w:t>
      </w:r>
    </w:p>
    <w:p>
      <w:pPr>
        <w:ind w:firstLine="420"/>
        <w:rPr>
          <w:rFonts w:hint="eastAsia" w:eastAsia="宋体"/>
          <w:lang w:val="en-US" w:eastAsia="zh-CN"/>
        </w:rPr>
      </w:pPr>
      <w:r>
        <w:drawing>
          <wp:inline distT="0" distB="0" distL="114300" distR="114300">
            <wp:extent cx="5274310" cy="296989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4310" cy="2969895"/>
                    </a:xfrm>
                    <a:prstGeom prst="rect">
                      <a:avLst/>
                    </a:prstGeom>
                    <a:noFill/>
                    <a:ln>
                      <a:noFill/>
                    </a:ln>
                  </pic:spPr>
                </pic:pic>
              </a:graphicData>
            </a:graphic>
          </wp:inline>
        </w:drawing>
      </w:r>
    </w:p>
    <w:p>
      <w:pPr>
        <w:pStyle w:val="23"/>
        <w:ind w:firstLine="0" w:firstLineChars="0"/>
        <w:jc w:val="center"/>
        <w:rPr>
          <w:rFonts w:hint="default" w:ascii="仿宋" w:hAnsi="仿宋" w:eastAsia="仿宋" w:cs="仿宋"/>
          <w:sz w:val="24"/>
          <w:szCs w:val="24"/>
          <w:lang w:val="en-US" w:eastAsia="zh-CN"/>
        </w:rPr>
      </w:pPr>
      <w:r>
        <w:rPr>
          <w:rFonts w:hint="eastAsia" w:cs="仿宋"/>
          <w:sz w:val="24"/>
          <w:szCs w:val="24"/>
          <w:lang w:val="en-US" w:eastAsia="zh-CN"/>
        </w:rPr>
        <w:t>系统构架图</w:t>
      </w:r>
    </w:p>
    <w:p>
      <w:pPr>
        <w:pStyle w:val="23"/>
        <w:ind w:firstLine="560"/>
        <w:rPr>
          <w:rFonts w:hint="default" w:ascii="仿宋" w:hAnsi="仿宋" w:eastAsia="仿宋" w:cs="仿宋"/>
          <w:b/>
          <w:bCs/>
          <w:lang w:val="en-US" w:eastAsia="zh-CN"/>
        </w:rPr>
      </w:pPr>
      <w:r>
        <w:rPr>
          <w:rFonts w:hint="eastAsia" w:ascii="仿宋" w:hAnsi="仿宋" w:eastAsia="仿宋" w:cs="仿宋"/>
          <w:b/>
          <w:bCs/>
          <w:lang w:val="en-US" w:eastAsia="zh-CN"/>
        </w:rPr>
        <w:t>建设期限：</w:t>
      </w:r>
      <w:r>
        <w:rPr>
          <w:rFonts w:hint="eastAsia" w:cs="仿宋"/>
          <w:b/>
          <w:bCs/>
          <w:lang w:val="en-US" w:eastAsia="zh-CN"/>
        </w:rPr>
        <w:t>自合同签订生效之日8个月</w:t>
      </w:r>
    </w:p>
    <w:p>
      <w:pPr>
        <w:pStyle w:val="23"/>
        <w:ind w:firstLine="560"/>
        <w:rPr>
          <w:rFonts w:hint="default" w:ascii="仿宋" w:hAnsi="仿宋" w:eastAsia="仿宋" w:cs="仿宋"/>
          <w:b/>
          <w:bCs/>
          <w:lang w:val="en-US" w:eastAsia="zh-CN"/>
        </w:rPr>
      </w:pPr>
      <w:r>
        <w:rPr>
          <w:rFonts w:hint="eastAsia" w:ascii="仿宋" w:hAnsi="仿宋" w:eastAsia="仿宋" w:cs="仿宋"/>
          <w:b/>
          <w:bCs/>
          <w:lang w:val="en-US" w:eastAsia="zh-CN"/>
        </w:rPr>
        <w:t>建设地点：</w:t>
      </w:r>
      <w:r>
        <w:rPr>
          <w:rFonts w:hint="eastAsia"/>
          <w:lang w:val="en-US" w:eastAsia="zh-CN"/>
        </w:rPr>
        <w:t>上海市静安区北京西路1477号</w:t>
      </w:r>
    </w:p>
    <w:p>
      <w:pPr>
        <w:pStyle w:val="23"/>
        <w:ind w:firstLine="560"/>
        <w:rPr>
          <w:rFonts w:hint="eastAsia" w:ascii="仿宋" w:hAnsi="仿宋" w:eastAsia="仿宋" w:cs="仿宋"/>
          <w:b/>
          <w:bCs/>
          <w:lang w:val="en-US" w:eastAsia="zh-CN"/>
        </w:rPr>
      </w:pPr>
      <w:r>
        <w:rPr>
          <w:rFonts w:hint="eastAsia" w:ascii="仿宋" w:hAnsi="仿宋" w:eastAsia="仿宋" w:cs="仿宋"/>
          <w:b/>
          <w:bCs/>
          <w:lang w:val="en-US" w:eastAsia="zh-CN"/>
        </w:rPr>
        <w:t>预算金额：1775000.00元</w:t>
      </w:r>
    </w:p>
    <w:p>
      <w:pPr>
        <w:pStyle w:val="23"/>
        <w:ind w:firstLine="560"/>
        <w:rPr>
          <w:rFonts w:hint="eastAsia" w:ascii="仿宋" w:hAnsi="仿宋" w:eastAsia="仿宋" w:cs="仿宋"/>
          <w:b/>
          <w:bCs/>
          <w:lang w:val="en-US" w:eastAsia="zh-CN"/>
        </w:rPr>
      </w:pPr>
      <w:r>
        <w:rPr>
          <w:rFonts w:hint="eastAsia" w:ascii="仿宋" w:hAnsi="仿宋" w:eastAsia="仿宋" w:cs="仿宋"/>
          <w:b/>
          <w:bCs/>
          <w:lang w:val="en-US" w:eastAsia="zh-CN"/>
        </w:rPr>
        <w:t>采购金额（最高限价）：1775000.00元</w:t>
      </w:r>
    </w:p>
    <w:p>
      <w:pPr>
        <w:pStyle w:val="23"/>
        <w:ind w:firstLine="560"/>
        <w:rPr>
          <w:rFonts w:hint="eastAsia" w:ascii="仿宋" w:hAnsi="仿宋" w:eastAsia="仿宋" w:cs="仿宋"/>
          <w:b/>
          <w:bCs/>
          <w:lang w:val="en-US" w:eastAsia="zh-CN"/>
        </w:rPr>
      </w:pPr>
      <w:r>
        <w:rPr>
          <w:rFonts w:hint="eastAsia" w:ascii="仿宋" w:hAnsi="仿宋" w:eastAsia="仿宋" w:cs="仿宋"/>
          <w:b/>
          <w:bCs/>
          <w:lang w:val="en-US" w:eastAsia="zh-CN"/>
        </w:rPr>
        <w:t>组织形式：集中采购</w:t>
      </w:r>
    </w:p>
    <w:p>
      <w:pPr>
        <w:pStyle w:val="23"/>
        <w:ind w:firstLine="560"/>
        <w:rPr>
          <w:rFonts w:hint="eastAsia" w:cs="仿宋"/>
          <w:b/>
          <w:bCs/>
          <w:lang w:val="en-US" w:eastAsia="zh-CN"/>
        </w:rPr>
      </w:pPr>
      <w:r>
        <w:rPr>
          <w:rFonts w:hint="eastAsia" w:ascii="仿宋" w:hAnsi="仿宋" w:eastAsia="仿宋" w:cs="仿宋"/>
          <w:b/>
          <w:bCs/>
          <w:lang w:val="en-US" w:eastAsia="zh-CN"/>
        </w:rPr>
        <w:t>采购方式：</w:t>
      </w:r>
      <w:r>
        <w:rPr>
          <w:rFonts w:hint="eastAsia" w:cs="仿宋"/>
          <w:b/>
          <w:bCs/>
          <w:lang w:val="en-US" w:eastAsia="zh-CN"/>
        </w:rPr>
        <w:t>竞争性磋商</w:t>
      </w:r>
    </w:p>
    <w:p>
      <w:pPr>
        <w:pStyle w:val="23"/>
        <w:ind w:firstLine="560"/>
        <w:rPr>
          <w:rFonts w:hint="eastAsia" w:ascii="仿宋" w:hAnsi="仿宋" w:eastAsia="仿宋" w:cs="仿宋"/>
          <w:b/>
          <w:bCs/>
          <w:lang w:val="en-US" w:eastAsia="zh-CN"/>
        </w:rPr>
      </w:pPr>
      <w:r>
        <w:rPr>
          <w:rFonts w:hint="eastAsia" w:ascii="仿宋" w:hAnsi="仿宋" w:eastAsia="仿宋" w:cs="仿宋"/>
          <w:b/>
          <w:bCs/>
          <w:lang w:val="en-US" w:eastAsia="zh-CN"/>
        </w:rPr>
        <w:t>是否接受联合体投标：否</w:t>
      </w:r>
    </w:p>
    <w:p>
      <w:pPr>
        <w:pStyle w:val="23"/>
        <w:ind w:firstLine="560"/>
        <w:rPr>
          <w:rFonts w:hint="eastAsia" w:ascii="仿宋" w:hAnsi="仿宋" w:eastAsia="仿宋" w:cs="仿宋"/>
          <w:lang w:val="en-US" w:eastAsia="zh-CN"/>
        </w:rPr>
      </w:pPr>
      <w:r>
        <w:rPr>
          <w:rFonts w:hint="eastAsia" w:ascii="仿宋" w:hAnsi="仿宋" w:eastAsia="仿宋" w:cs="仿宋"/>
          <w:b/>
          <w:bCs/>
          <w:lang w:val="en-US" w:eastAsia="zh-CN"/>
        </w:rPr>
        <w:t>是否按信创要求建设：是</w:t>
      </w:r>
    </w:p>
    <w:p>
      <w:pPr>
        <w:pStyle w:val="23"/>
        <w:ind w:firstLine="0" w:firstLineChars="0"/>
        <w:rPr>
          <w:rFonts w:hint="eastAsia" w:ascii="仿宋" w:hAnsi="仿宋" w:eastAsia="仿宋" w:cs="仿宋"/>
        </w:rPr>
        <w:sectPr>
          <w:headerReference r:id="rId3" w:type="default"/>
          <w:footerReference r:id="rId4" w:type="default"/>
          <w:pgSz w:w="11906" w:h="16838"/>
          <w:pgMar w:top="1440" w:right="1797" w:bottom="1440" w:left="1797" w:header="851" w:footer="992" w:gutter="0"/>
          <w:cols w:space="720" w:num="1"/>
          <w:docGrid w:type="linesAndChars" w:linePitch="312" w:charSpace="0"/>
        </w:sectPr>
      </w:pPr>
    </w:p>
    <w:p>
      <w:pPr>
        <w:pStyle w:val="2"/>
        <w:numPr>
          <w:ilvl w:val="0"/>
          <w:numId w:val="3"/>
        </w:numPr>
        <w:ind w:firstLine="0"/>
        <w:jc w:val="left"/>
        <w:rPr>
          <w:rFonts w:hint="eastAsia" w:ascii="黑体" w:hAnsi="黑体" w:eastAsia="黑体" w:cs="黑体"/>
          <w:sz w:val="32"/>
          <w:szCs w:val="32"/>
        </w:rPr>
      </w:pPr>
      <w:bookmarkStart w:id="5" w:name="_Toc2257"/>
      <w:r>
        <w:rPr>
          <w:rFonts w:hint="eastAsia" w:ascii="黑体" w:hAnsi="黑体" w:eastAsia="黑体" w:cs="黑体"/>
          <w:sz w:val="32"/>
          <w:szCs w:val="32"/>
        </w:rPr>
        <w:t>建设目标</w:t>
      </w:r>
      <w:bookmarkEnd w:id="5"/>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上海市中医药综合统计平台子系统建设项目（2025年升级改造）建设将在一期的建设功能基础上，基于《国家中医药管理局综合司关于印发省级中医药综合统计信息平台(中医药综合统计网络直报系统)建设基本要求的通知》（国中医药综规财函〔2024〕16号）、《国家中医药管理局监测统计中心关于协助开展公立中医类医院信息化发展水平调研的函》、《关于开展2023年上海市中医特色专病专科(社区）能力建设的通知》（沪卫中管〔2023〕19号）、《关于开展中医药特色巡诊服务的社区卫生服务站建设的通知》（沪卫中管〔2024〕2号）、《关于公布2024年上海市为民办实事项目-中医药特色巡诊社区卫生服务站建设名单的通知》（沪卫中管〔2024〕3号）、《关于开展中医优势病种按疗效价值付费试点工作的通知》（沪医保医管发〔2022〕33号）、《关于印发按疗效价值付费试点中医优势病种临床管理规范的通知》（沪卫中管〔2024〕1号）、《关于扩大中医优势病种按疗效价值付费试点范围的通知》（沪医保医管发〔2024〕1号）、《关于公布上海市中西医结合旗舰医院建设名单和评价指标体系(试行)的通知》（沪卫中管〔2022〕27号）、《2024年上海市中医药工作要点》、《上海市中医药发展“十四五”规划》等文件要求指导，全面贯彻落实国家中医药管理局关于提升中医药信息化水平的指导精神。紧扣“聚焦高质量发展、聚力高效率应用”主题，以数据驱动管理、数据洞察风险、数据质量管控、统一交换服务、深化数据服务决策，加强中医药监测为核心，以“集成-融合-提升”的信息化规划为引领，分步建立科学合理的中医药行业信息化支撑和应用平台，推进以信息化促进业务的加速融合，提高中医药医疗服务效能。实现中医药数据的全面、准确、及时收集与整合，为深化服务管理精准决策提供技术和数据支撑。本项目的具体建设目标如下：</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完善统计中医药指标，提升数据支撑效能。汇总统计中医医疗管理统计调查数据汇编，实现对中医医疗机构运行、服务质量等关键环节的高效把控。跟随国家指标调整步伐，对汇总统计表进行同步扩充，旨在确保本市中医药领域的统计数据与国家层面的管理、决策需求保持高度一致。同时，针对本市特定需求，生成专项分析报表以全面、精准的数据支撑，为卫生健康领域的监管决策与政策制定提供坚实的数据驱动基础。</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加强中医药统计指标管理，以业务处室要求为结果导向，结合上海市卫生健康统计标准要求，制定上海市中医药统计指标规范，构建中医药指标库，通过“一数一源，一源多用”保障统计口径和统计结果的一致性。</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3）建立绩效考核指标体系，提升中医药数据能级。建立中医药绩效考核管理，通过多维度考核推动中医药服务质效的提升和持续改进。</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加强数据智能化分析应用。通过智能数据分析报告和自助式分析应用的建设，全面推动智能化和自主化应用，建设智能数据分析报告，定期自动化生成全面、灵活反映中医药事业发展情况的报告，全面掌握中医药综合服务能力。通过建设自助式分析应用，提供灵活的数据统计分析和灵活查询应用功能，使用户能够自由设定维度、指标和查询条件，快速获取所需数据，支持数据驱动的决策制定。</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优化数据上传机制，提升数据上报效能。建设基于RPA的自动化数据上传机制，以适应大数据时代的需求，通过RPA技术，在国家未提供接口的情况下，快速完成数据上报，同时通过数据反向验证，保障数据上报的准确性，提升中医药服务上报的效率和质量。</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本项目需满足的业务绩效考核目标和技术绩效考核目标如下：</w:t>
      </w:r>
    </w:p>
    <w:p>
      <w:pPr>
        <w:spacing w:line="360" w:lineRule="auto"/>
        <w:ind w:firstLine="560" w:firstLineChars="200"/>
        <w:rPr>
          <w:rFonts w:ascii="仿宋" w:hAnsi="仿宋" w:eastAsia="仿宋" w:cs="仿宋"/>
          <w:sz w:val="28"/>
          <w:szCs w:val="28"/>
        </w:rPr>
      </w:pPr>
      <w:bookmarkStart w:id="6" w:name="_Toc23393"/>
      <w:bookmarkStart w:id="7" w:name="_Toc12861"/>
      <w:bookmarkStart w:id="8" w:name="_Toc169678042"/>
      <w:bookmarkStart w:id="9" w:name="_Toc1777414966"/>
      <w:r>
        <w:rPr>
          <w:rFonts w:hint="eastAsia" w:ascii="仿宋" w:hAnsi="仿宋" w:eastAsia="仿宋" w:cs="仿宋"/>
          <w:sz w:val="28"/>
          <w:szCs w:val="28"/>
        </w:rPr>
        <w:t>业务绩效考核目标</w:t>
      </w:r>
      <w:bookmarkEnd w:id="6"/>
      <w:bookmarkEnd w:id="7"/>
      <w:bookmarkEnd w:id="8"/>
      <w:bookmarkEnd w:id="9"/>
    </w:p>
    <w:tbl>
      <w:tblPr>
        <w:tblStyle w:val="19"/>
        <w:tblW w:w="7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39"/>
        <w:gridCol w:w="1629"/>
        <w:gridCol w:w="1337"/>
        <w:gridCol w:w="1688"/>
        <w:gridCol w:w="1837"/>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2068" w:type="dxa"/>
            <w:gridSpan w:val="2"/>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业务目标</w:t>
            </w:r>
          </w:p>
        </w:tc>
        <w:tc>
          <w:tcPr>
            <w:tcW w:w="5925" w:type="dxa"/>
            <w:gridSpan w:val="4"/>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根据最新政策工作要求，通过扩充各项专项调查统计数据报送模块，实现中医药数据的全面、准确、及时收集与整合；通过对各类中医药数据的系统梳理和深入分析，为政策制定者提供有力的决策支持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0" w:type="auto"/>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序号</w:t>
            </w:r>
          </w:p>
        </w:tc>
        <w:tc>
          <w:tcPr>
            <w:tcW w:w="1629"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一级指标</w:t>
            </w:r>
          </w:p>
        </w:tc>
        <w:tc>
          <w:tcPr>
            <w:tcW w:w="1337"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二级指标</w:t>
            </w:r>
          </w:p>
        </w:tc>
        <w:tc>
          <w:tcPr>
            <w:tcW w:w="1688"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三级指标</w:t>
            </w:r>
          </w:p>
        </w:tc>
        <w:tc>
          <w:tcPr>
            <w:tcW w:w="1837"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四级指标</w:t>
            </w:r>
          </w:p>
        </w:tc>
        <w:tc>
          <w:tcPr>
            <w:tcW w:w="1063"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0" w:type="auto"/>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1</w:t>
            </w:r>
          </w:p>
        </w:tc>
        <w:tc>
          <w:tcPr>
            <w:tcW w:w="1629"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通用指标</w:t>
            </w:r>
          </w:p>
        </w:tc>
        <w:tc>
          <w:tcPr>
            <w:tcW w:w="1337"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产出指标</w:t>
            </w:r>
          </w:p>
        </w:tc>
        <w:tc>
          <w:tcPr>
            <w:tcW w:w="1688"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产出质量</w:t>
            </w:r>
          </w:p>
        </w:tc>
        <w:tc>
          <w:tcPr>
            <w:tcW w:w="1837"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一次性验收合格率</w:t>
            </w:r>
          </w:p>
        </w:tc>
        <w:tc>
          <w:tcPr>
            <w:tcW w:w="1063"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0" w:type="auto"/>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2</w:t>
            </w:r>
          </w:p>
        </w:tc>
        <w:tc>
          <w:tcPr>
            <w:tcW w:w="1629"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通用指标</w:t>
            </w:r>
          </w:p>
        </w:tc>
        <w:tc>
          <w:tcPr>
            <w:tcW w:w="1337"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产出指标</w:t>
            </w:r>
          </w:p>
        </w:tc>
        <w:tc>
          <w:tcPr>
            <w:tcW w:w="1688"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产出质量</w:t>
            </w:r>
          </w:p>
        </w:tc>
        <w:tc>
          <w:tcPr>
            <w:tcW w:w="1837"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安全事件发生次数</w:t>
            </w:r>
          </w:p>
        </w:tc>
        <w:tc>
          <w:tcPr>
            <w:tcW w:w="1063"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0" w:type="auto"/>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3</w:t>
            </w:r>
          </w:p>
        </w:tc>
        <w:tc>
          <w:tcPr>
            <w:tcW w:w="1629"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通用指标</w:t>
            </w:r>
          </w:p>
        </w:tc>
        <w:tc>
          <w:tcPr>
            <w:tcW w:w="1337"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产出指标</w:t>
            </w:r>
          </w:p>
        </w:tc>
        <w:tc>
          <w:tcPr>
            <w:tcW w:w="1688"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产出时效</w:t>
            </w:r>
          </w:p>
        </w:tc>
        <w:tc>
          <w:tcPr>
            <w:tcW w:w="1837"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项目建设周期</w:t>
            </w:r>
          </w:p>
        </w:tc>
        <w:tc>
          <w:tcPr>
            <w:tcW w:w="1063"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8个月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0" w:type="auto"/>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4</w:t>
            </w:r>
          </w:p>
        </w:tc>
        <w:tc>
          <w:tcPr>
            <w:tcW w:w="1629"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通用指标</w:t>
            </w:r>
          </w:p>
        </w:tc>
        <w:tc>
          <w:tcPr>
            <w:tcW w:w="1337"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共性平台</w:t>
            </w:r>
          </w:p>
        </w:tc>
        <w:tc>
          <w:tcPr>
            <w:tcW w:w="1688"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平台整合能力</w:t>
            </w:r>
          </w:p>
        </w:tc>
        <w:tc>
          <w:tcPr>
            <w:tcW w:w="1837"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部门使用率</w:t>
            </w:r>
          </w:p>
        </w:tc>
        <w:tc>
          <w:tcPr>
            <w:tcW w:w="1063"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0" w:type="auto"/>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5</w:t>
            </w:r>
          </w:p>
        </w:tc>
        <w:tc>
          <w:tcPr>
            <w:tcW w:w="1629"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通用指标</w:t>
            </w:r>
          </w:p>
        </w:tc>
        <w:tc>
          <w:tcPr>
            <w:tcW w:w="1337"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应用系统</w:t>
            </w:r>
          </w:p>
        </w:tc>
        <w:tc>
          <w:tcPr>
            <w:tcW w:w="1688"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用户使用情况</w:t>
            </w:r>
          </w:p>
        </w:tc>
        <w:tc>
          <w:tcPr>
            <w:tcW w:w="1837"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系统用户量</w:t>
            </w:r>
          </w:p>
        </w:tc>
        <w:tc>
          <w:tcPr>
            <w:tcW w:w="1063"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0" w:type="auto"/>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6</w:t>
            </w:r>
          </w:p>
        </w:tc>
        <w:tc>
          <w:tcPr>
            <w:tcW w:w="1629"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通用指标</w:t>
            </w:r>
          </w:p>
        </w:tc>
        <w:tc>
          <w:tcPr>
            <w:tcW w:w="1337"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应用系统</w:t>
            </w:r>
          </w:p>
        </w:tc>
        <w:tc>
          <w:tcPr>
            <w:tcW w:w="1688"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基础数据共性系统水平</w:t>
            </w:r>
          </w:p>
        </w:tc>
        <w:tc>
          <w:tcPr>
            <w:tcW w:w="1837"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数据准确率</w:t>
            </w:r>
          </w:p>
        </w:tc>
        <w:tc>
          <w:tcPr>
            <w:tcW w:w="1063"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不低于90%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0" w:type="auto"/>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7</w:t>
            </w:r>
          </w:p>
        </w:tc>
        <w:tc>
          <w:tcPr>
            <w:tcW w:w="1629"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通用指标</w:t>
            </w:r>
          </w:p>
        </w:tc>
        <w:tc>
          <w:tcPr>
            <w:tcW w:w="1337"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应用系统</w:t>
            </w:r>
          </w:p>
        </w:tc>
        <w:tc>
          <w:tcPr>
            <w:tcW w:w="1688"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后台数据存储及共享交换服务水平</w:t>
            </w:r>
          </w:p>
        </w:tc>
        <w:tc>
          <w:tcPr>
            <w:tcW w:w="1837"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数据共享交换量</w:t>
            </w:r>
          </w:p>
        </w:tc>
        <w:tc>
          <w:tcPr>
            <w:tcW w:w="1063"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10G+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0" w:type="auto"/>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8</w:t>
            </w:r>
          </w:p>
        </w:tc>
        <w:tc>
          <w:tcPr>
            <w:tcW w:w="1629"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通用指标</w:t>
            </w:r>
          </w:p>
        </w:tc>
        <w:tc>
          <w:tcPr>
            <w:tcW w:w="1337"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应用系统</w:t>
            </w:r>
          </w:p>
        </w:tc>
        <w:tc>
          <w:tcPr>
            <w:tcW w:w="1688"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后台数据存储及交换服务水平</w:t>
            </w:r>
          </w:p>
        </w:tc>
        <w:tc>
          <w:tcPr>
            <w:tcW w:w="1837"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数据调用量</w:t>
            </w:r>
          </w:p>
        </w:tc>
        <w:tc>
          <w:tcPr>
            <w:tcW w:w="1063"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10万+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0" w:type="auto"/>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9</w:t>
            </w:r>
          </w:p>
        </w:tc>
        <w:tc>
          <w:tcPr>
            <w:tcW w:w="1629"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通用指标</w:t>
            </w:r>
          </w:p>
        </w:tc>
        <w:tc>
          <w:tcPr>
            <w:tcW w:w="1337"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安全体系</w:t>
            </w:r>
          </w:p>
        </w:tc>
        <w:tc>
          <w:tcPr>
            <w:tcW w:w="1688"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安全建设水平</w:t>
            </w:r>
          </w:p>
        </w:tc>
        <w:tc>
          <w:tcPr>
            <w:tcW w:w="1837"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数据安全措施</w:t>
            </w:r>
          </w:p>
        </w:tc>
        <w:tc>
          <w:tcPr>
            <w:tcW w:w="1063"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0" w:type="auto"/>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10</w:t>
            </w:r>
          </w:p>
        </w:tc>
        <w:tc>
          <w:tcPr>
            <w:tcW w:w="1629"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通用指标</w:t>
            </w:r>
          </w:p>
        </w:tc>
        <w:tc>
          <w:tcPr>
            <w:tcW w:w="1337"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安全体系</w:t>
            </w:r>
          </w:p>
        </w:tc>
        <w:tc>
          <w:tcPr>
            <w:tcW w:w="1688"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安全建设水平</w:t>
            </w:r>
          </w:p>
        </w:tc>
        <w:tc>
          <w:tcPr>
            <w:tcW w:w="1837"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网络安全措施</w:t>
            </w:r>
          </w:p>
        </w:tc>
        <w:tc>
          <w:tcPr>
            <w:tcW w:w="1063"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0" w:type="auto"/>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11</w:t>
            </w:r>
          </w:p>
        </w:tc>
        <w:tc>
          <w:tcPr>
            <w:tcW w:w="1629"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通用指标</w:t>
            </w:r>
          </w:p>
        </w:tc>
        <w:tc>
          <w:tcPr>
            <w:tcW w:w="1337"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安全体系</w:t>
            </w:r>
          </w:p>
        </w:tc>
        <w:tc>
          <w:tcPr>
            <w:tcW w:w="1688"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安全建设水平</w:t>
            </w:r>
          </w:p>
        </w:tc>
        <w:tc>
          <w:tcPr>
            <w:tcW w:w="1837"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系统安全措施</w:t>
            </w:r>
          </w:p>
        </w:tc>
        <w:tc>
          <w:tcPr>
            <w:tcW w:w="1063"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0" w:type="auto"/>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12</w:t>
            </w:r>
          </w:p>
        </w:tc>
        <w:tc>
          <w:tcPr>
            <w:tcW w:w="1629"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行业指标</w:t>
            </w:r>
          </w:p>
        </w:tc>
        <w:tc>
          <w:tcPr>
            <w:tcW w:w="1337"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医疗卫生</w:t>
            </w:r>
          </w:p>
        </w:tc>
        <w:tc>
          <w:tcPr>
            <w:tcW w:w="1688"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效益指标</w:t>
            </w:r>
          </w:p>
        </w:tc>
        <w:tc>
          <w:tcPr>
            <w:tcW w:w="1837" w:type="dxa"/>
            <w:shd w:val="clear" w:color="auto" w:fill="auto"/>
            <w:tcMar>
              <w:top w:w="80" w:type="dxa"/>
              <w:left w:w="80" w:type="dxa"/>
              <w:bottom w:w="80" w:type="dxa"/>
              <w:right w:w="80" w:type="dxa"/>
            </w:tcMar>
          </w:tcPr>
          <w:p>
            <w:pPr>
              <w:rPr>
                <w:rFonts w:hint="eastAsia" w:ascii="仿宋" w:hAnsi="仿宋" w:eastAsia="仿宋" w:cs="仿宋"/>
                <w:color w:val="FF0000"/>
              </w:rPr>
            </w:pPr>
            <w:r>
              <w:rPr>
                <w:rFonts w:hint="eastAsia" w:ascii="仿宋" w:hAnsi="仿宋" w:eastAsia="仿宋" w:cs="仿宋"/>
              </w:rPr>
              <w:t>报表采集率</w:t>
            </w:r>
          </w:p>
        </w:tc>
        <w:tc>
          <w:tcPr>
            <w:tcW w:w="1063" w:type="dxa"/>
            <w:shd w:val="clear" w:color="auto" w:fill="auto"/>
            <w:tcMar>
              <w:top w:w="80" w:type="dxa"/>
              <w:left w:w="80" w:type="dxa"/>
              <w:bottom w:w="80" w:type="dxa"/>
              <w:right w:w="80" w:type="dxa"/>
            </w:tcMar>
          </w:tcPr>
          <w:p>
            <w:pPr>
              <w:rPr>
                <w:rFonts w:hint="eastAsia" w:ascii="仿宋" w:hAnsi="仿宋" w:eastAsia="仿宋" w:cs="仿宋"/>
                <w:color w:val="FF0000"/>
              </w:rPr>
            </w:pPr>
            <w:r>
              <w:rPr>
                <w:rFonts w:hint="eastAsia" w:ascii="仿宋" w:hAnsi="仿宋" w:eastAsia="仿宋" w:cs="仿宋"/>
              </w:rPr>
              <w:t>不低于80%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0" w:type="auto"/>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13</w:t>
            </w:r>
          </w:p>
        </w:tc>
        <w:tc>
          <w:tcPr>
            <w:tcW w:w="1629"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行业指标</w:t>
            </w:r>
          </w:p>
        </w:tc>
        <w:tc>
          <w:tcPr>
            <w:tcW w:w="1337"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医疗卫生</w:t>
            </w:r>
          </w:p>
        </w:tc>
        <w:tc>
          <w:tcPr>
            <w:tcW w:w="1688"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效益指标</w:t>
            </w:r>
          </w:p>
        </w:tc>
        <w:tc>
          <w:tcPr>
            <w:tcW w:w="1837" w:type="dxa"/>
            <w:shd w:val="clear" w:color="auto" w:fill="auto"/>
            <w:tcMar>
              <w:top w:w="80" w:type="dxa"/>
              <w:left w:w="80" w:type="dxa"/>
              <w:bottom w:w="80" w:type="dxa"/>
              <w:right w:w="80" w:type="dxa"/>
            </w:tcMar>
          </w:tcPr>
          <w:p>
            <w:pPr>
              <w:rPr>
                <w:rFonts w:hint="eastAsia" w:ascii="仿宋" w:hAnsi="仿宋" w:eastAsia="仿宋" w:cs="仿宋"/>
                <w:color w:val="FF0000"/>
              </w:rPr>
            </w:pPr>
            <w:r>
              <w:rPr>
                <w:rFonts w:hint="eastAsia" w:ascii="仿宋" w:hAnsi="仿宋" w:eastAsia="仿宋" w:cs="仿宋"/>
              </w:rPr>
              <w:t>报表覆盖率</w:t>
            </w:r>
          </w:p>
        </w:tc>
        <w:tc>
          <w:tcPr>
            <w:tcW w:w="1063" w:type="dxa"/>
            <w:shd w:val="clear" w:color="auto" w:fill="auto"/>
            <w:tcMar>
              <w:top w:w="80" w:type="dxa"/>
              <w:left w:w="80" w:type="dxa"/>
              <w:bottom w:w="80" w:type="dxa"/>
              <w:right w:w="80" w:type="dxa"/>
            </w:tcMar>
          </w:tcPr>
          <w:p>
            <w:pPr>
              <w:rPr>
                <w:rFonts w:hint="eastAsia" w:ascii="仿宋" w:hAnsi="仿宋" w:eastAsia="仿宋" w:cs="仿宋"/>
                <w:color w:val="FF0000"/>
              </w:rPr>
            </w:pPr>
            <w:r>
              <w:rPr>
                <w:rFonts w:hint="eastAsia" w:ascii="仿宋" w:hAnsi="仿宋" w:eastAsia="仿宋" w:cs="仿宋"/>
              </w:rPr>
              <w:t>满足国家采集指标要求100%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0" w:type="auto"/>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14</w:t>
            </w:r>
          </w:p>
        </w:tc>
        <w:tc>
          <w:tcPr>
            <w:tcW w:w="1629"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自定义指标</w:t>
            </w:r>
          </w:p>
        </w:tc>
        <w:tc>
          <w:tcPr>
            <w:tcW w:w="1337" w:type="dxa"/>
            <w:shd w:val="clear" w:color="auto" w:fill="auto"/>
            <w:tcMar>
              <w:top w:w="80" w:type="dxa"/>
              <w:left w:w="80" w:type="dxa"/>
              <w:bottom w:w="80" w:type="dxa"/>
              <w:right w:w="80" w:type="dxa"/>
            </w:tcMar>
            <w:vAlign w:val="center"/>
          </w:tcPr>
          <w:p>
            <w:pPr>
              <w:rPr>
                <w:rFonts w:hint="eastAsia" w:ascii="仿宋" w:hAnsi="仿宋" w:eastAsia="仿宋" w:cs="仿宋"/>
                <w:kern w:val="0"/>
                <w:sz w:val="20"/>
                <w:szCs w:val="20"/>
              </w:rPr>
            </w:pPr>
            <w:r>
              <w:rPr>
                <w:rFonts w:hint="eastAsia" w:ascii="仿宋" w:hAnsi="仿宋" w:eastAsia="仿宋" w:cs="仿宋"/>
              </w:rPr>
              <w:t>产出指标</w:t>
            </w:r>
          </w:p>
        </w:tc>
        <w:tc>
          <w:tcPr>
            <w:tcW w:w="1688" w:type="dxa"/>
            <w:shd w:val="clear" w:color="auto" w:fill="auto"/>
            <w:tcMar>
              <w:top w:w="80" w:type="dxa"/>
              <w:left w:w="80" w:type="dxa"/>
              <w:bottom w:w="80" w:type="dxa"/>
              <w:right w:w="80" w:type="dxa"/>
            </w:tcMar>
            <w:vAlign w:val="center"/>
          </w:tcPr>
          <w:p>
            <w:pPr>
              <w:rPr>
                <w:rFonts w:hint="eastAsia" w:ascii="仿宋" w:hAnsi="仿宋" w:eastAsia="仿宋" w:cs="仿宋"/>
                <w:kern w:val="0"/>
                <w:sz w:val="20"/>
                <w:szCs w:val="20"/>
              </w:rPr>
            </w:pPr>
            <w:r>
              <w:rPr>
                <w:rFonts w:hint="eastAsia" w:ascii="仿宋" w:hAnsi="仿宋" w:eastAsia="仿宋" w:cs="仿宋"/>
              </w:rPr>
              <w:t>产出质量</w:t>
            </w:r>
          </w:p>
        </w:tc>
        <w:tc>
          <w:tcPr>
            <w:tcW w:w="1837"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用户满意度</w:t>
            </w:r>
          </w:p>
        </w:tc>
        <w:tc>
          <w:tcPr>
            <w:tcW w:w="1063"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大于80%</w:t>
            </w:r>
          </w:p>
        </w:tc>
      </w:tr>
    </w:tbl>
    <w:p>
      <w:pPr>
        <w:spacing w:line="360" w:lineRule="auto"/>
        <w:ind w:firstLine="560" w:firstLineChars="200"/>
        <w:rPr>
          <w:rFonts w:ascii="仿宋" w:hAnsi="仿宋" w:eastAsia="仿宋" w:cs="仿宋"/>
          <w:sz w:val="28"/>
          <w:szCs w:val="28"/>
        </w:rPr>
      </w:pPr>
      <w:bookmarkStart w:id="10" w:name="_Toc10899"/>
      <w:bookmarkStart w:id="11" w:name="_Toc27607"/>
      <w:bookmarkStart w:id="12" w:name="_Toc1589988863"/>
      <w:bookmarkStart w:id="13" w:name="_Toc169678043"/>
      <w:r>
        <w:rPr>
          <w:rFonts w:hint="eastAsia" w:ascii="仿宋" w:hAnsi="仿宋" w:eastAsia="仿宋" w:cs="仿宋"/>
          <w:sz w:val="28"/>
          <w:szCs w:val="28"/>
        </w:rPr>
        <w:t>技术绩效考核目标</w:t>
      </w:r>
      <w:bookmarkEnd w:id="10"/>
      <w:bookmarkEnd w:id="11"/>
      <w:bookmarkEnd w:id="12"/>
      <w:bookmarkEnd w:id="13"/>
    </w:p>
    <w:tbl>
      <w:tblPr>
        <w:tblStyle w:val="19"/>
        <w:tblW w:w="7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75"/>
        <w:gridCol w:w="1568"/>
        <w:gridCol w:w="1350"/>
        <w:gridCol w:w="1712"/>
        <w:gridCol w:w="1788"/>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2043" w:type="dxa"/>
            <w:gridSpan w:val="2"/>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技术目标</w:t>
            </w:r>
          </w:p>
        </w:tc>
        <w:tc>
          <w:tcPr>
            <w:tcW w:w="5925" w:type="dxa"/>
            <w:gridSpan w:val="4"/>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按期完成本项目所有软件开发，质量合格（通过软测、安测、密测的功能验证）。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475"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序号</w:t>
            </w:r>
          </w:p>
        </w:tc>
        <w:tc>
          <w:tcPr>
            <w:tcW w:w="1568"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一级指标</w:t>
            </w:r>
          </w:p>
        </w:tc>
        <w:tc>
          <w:tcPr>
            <w:tcW w:w="1350"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二级指标</w:t>
            </w:r>
          </w:p>
        </w:tc>
        <w:tc>
          <w:tcPr>
            <w:tcW w:w="1712"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三级指标</w:t>
            </w:r>
          </w:p>
        </w:tc>
        <w:tc>
          <w:tcPr>
            <w:tcW w:w="1788"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四级指标</w:t>
            </w:r>
          </w:p>
        </w:tc>
        <w:tc>
          <w:tcPr>
            <w:tcW w:w="1075"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475"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1</w:t>
            </w:r>
          </w:p>
        </w:tc>
        <w:tc>
          <w:tcPr>
            <w:tcW w:w="1568"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通用指标</w:t>
            </w:r>
          </w:p>
        </w:tc>
        <w:tc>
          <w:tcPr>
            <w:tcW w:w="1350"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产出指标</w:t>
            </w:r>
          </w:p>
        </w:tc>
        <w:tc>
          <w:tcPr>
            <w:tcW w:w="1712"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产出数量</w:t>
            </w:r>
          </w:p>
        </w:tc>
        <w:tc>
          <w:tcPr>
            <w:tcW w:w="1788"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软件开发完成率</w:t>
            </w:r>
          </w:p>
        </w:tc>
        <w:tc>
          <w:tcPr>
            <w:tcW w:w="1075"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475"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2</w:t>
            </w:r>
          </w:p>
        </w:tc>
        <w:tc>
          <w:tcPr>
            <w:tcW w:w="1568"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通用指标</w:t>
            </w:r>
          </w:p>
        </w:tc>
        <w:tc>
          <w:tcPr>
            <w:tcW w:w="1350"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产出指标</w:t>
            </w:r>
          </w:p>
        </w:tc>
        <w:tc>
          <w:tcPr>
            <w:tcW w:w="1712"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产出数量</w:t>
            </w:r>
          </w:p>
        </w:tc>
        <w:tc>
          <w:tcPr>
            <w:tcW w:w="1788"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系统可靠性</w:t>
            </w:r>
          </w:p>
        </w:tc>
        <w:tc>
          <w:tcPr>
            <w:tcW w:w="1075"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475"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3</w:t>
            </w:r>
          </w:p>
        </w:tc>
        <w:tc>
          <w:tcPr>
            <w:tcW w:w="1568"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通用指标</w:t>
            </w:r>
          </w:p>
        </w:tc>
        <w:tc>
          <w:tcPr>
            <w:tcW w:w="1350"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产出指标</w:t>
            </w:r>
          </w:p>
        </w:tc>
        <w:tc>
          <w:tcPr>
            <w:tcW w:w="1712"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产出数量</w:t>
            </w:r>
          </w:p>
        </w:tc>
        <w:tc>
          <w:tcPr>
            <w:tcW w:w="1788"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软件测试达标</w:t>
            </w:r>
          </w:p>
        </w:tc>
        <w:tc>
          <w:tcPr>
            <w:tcW w:w="1075"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475"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4</w:t>
            </w:r>
          </w:p>
        </w:tc>
        <w:tc>
          <w:tcPr>
            <w:tcW w:w="1568"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通用指标</w:t>
            </w:r>
          </w:p>
        </w:tc>
        <w:tc>
          <w:tcPr>
            <w:tcW w:w="1350"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产出指标</w:t>
            </w:r>
          </w:p>
        </w:tc>
        <w:tc>
          <w:tcPr>
            <w:tcW w:w="1712"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产出数量</w:t>
            </w:r>
          </w:p>
        </w:tc>
        <w:tc>
          <w:tcPr>
            <w:tcW w:w="1788"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密码测试达标</w:t>
            </w:r>
          </w:p>
        </w:tc>
        <w:tc>
          <w:tcPr>
            <w:tcW w:w="1075"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475"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5</w:t>
            </w:r>
          </w:p>
        </w:tc>
        <w:tc>
          <w:tcPr>
            <w:tcW w:w="1568"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通用指标</w:t>
            </w:r>
          </w:p>
        </w:tc>
        <w:tc>
          <w:tcPr>
            <w:tcW w:w="1350"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产出指标</w:t>
            </w:r>
          </w:p>
        </w:tc>
        <w:tc>
          <w:tcPr>
            <w:tcW w:w="1712"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产出数量</w:t>
            </w:r>
          </w:p>
        </w:tc>
        <w:tc>
          <w:tcPr>
            <w:tcW w:w="1788"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网络安全等级达标</w:t>
            </w:r>
          </w:p>
        </w:tc>
        <w:tc>
          <w:tcPr>
            <w:tcW w:w="1075"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475"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6</w:t>
            </w:r>
          </w:p>
        </w:tc>
        <w:tc>
          <w:tcPr>
            <w:tcW w:w="1568"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通用指标</w:t>
            </w:r>
          </w:p>
        </w:tc>
        <w:tc>
          <w:tcPr>
            <w:tcW w:w="1350"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产出指标</w:t>
            </w:r>
          </w:p>
        </w:tc>
        <w:tc>
          <w:tcPr>
            <w:tcW w:w="1712"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产出数量</w:t>
            </w:r>
          </w:p>
        </w:tc>
        <w:tc>
          <w:tcPr>
            <w:tcW w:w="1788"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安全测试达标</w:t>
            </w:r>
          </w:p>
        </w:tc>
        <w:tc>
          <w:tcPr>
            <w:tcW w:w="1075"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475"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7</w:t>
            </w:r>
          </w:p>
        </w:tc>
        <w:tc>
          <w:tcPr>
            <w:tcW w:w="1568" w:type="dxa"/>
            <w:shd w:val="clear" w:color="auto" w:fill="auto"/>
            <w:tcMar>
              <w:top w:w="80" w:type="dxa"/>
              <w:left w:w="80" w:type="dxa"/>
              <w:bottom w:w="80" w:type="dxa"/>
              <w:right w:w="80" w:type="dxa"/>
            </w:tcMar>
          </w:tcPr>
          <w:p>
            <w:pPr>
              <w:widowControl/>
              <w:textAlignment w:val="top"/>
              <w:rPr>
                <w:rFonts w:hint="eastAsia" w:ascii="仿宋" w:hAnsi="仿宋" w:eastAsia="仿宋" w:cs="仿宋"/>
              </w:rPr>
            </w:pPr>
            <w:r>
              <w:rPr>
                <w:rFonts w:hint="eastAsia" w:ascii="仿宋" w:hAnsi="仿宋" w:eastAsia="仿宋" w:cs="仿宋"/>
                <w:kern w:val="0"/>
              </w:rPr>
              <w:t>通用指标</w:t>
            </w:r>
          </w:p>
          <w:p>
            <w:pPr>
              <w:rPr>
                <w:rFonts w:hint="eastAsia" w:ascii="仿宋" w:hAnsi="仿宋" w:eastAsia="仿宋" w:cs="仿宋"/>
              </w:rPr>
            </w:pPr>
          </w:p>
        </w:tc>
        <w:tc>
          <w:tcPr>
            <w:tcW w:w="1350" w:type="dxa"/>
            <w:shd w:val="clear" w:color="auto" w:fill="auto"/>
            <w:tcMar>
              <w:top w:w="80" w:type="dxa"/>
              <w:left w:w="80" w:type="dxa"/>
              <w:bottom w:w="80" w:type="dxa"/>
              <w:right w:w="80" w:type="dxa"/>
            </w:tcMar>
          </w:tcPr>
          <w:p>
            <w:pPr>
              <w:widowControl/>
              <w:jc w:val="left"/>
              <w:textAlignment w:val="top"/>
              <w:rPr>
                <w:rFonts w:hint="eastAsia" w:ascii="仿宋" w:hAnsi="仿宋" w:eastAsia="仿宋" w:cs="仿宋"/>
              </w:rPr>
            </w:pPr>
            <w:r>
              <w:rPr>
                <w:rFonts w:hint="eastAsia" w:ascii="仿宋" w:hAnsi="仿宋" w:eastAsia="仿宋" w:cs="仿宋"/>
                <w:kern w:val="0"/>
              </w:rPr>
              <w:t xml:space="preserve">支撑系统 </w:t>
            </w:r>
          </w:p>
          <w:p>
            <w:pPr>
              <w:widowControl/>
              <w:jc w:val="left"/>
              <w:textAlignment w:val="top"/>
              <w:rPr>
                <w:rFonts w:hint="eastAsia" w:ascii="仿宋" w:hAnsi="仿宋" w:eastAsia="仿宋" w:cs="仿宋"/>
              </w:rPr>
            </w:pPr>
            <w:r>
              <w:rPr>
                <w:rFonts w:hint="eastAsia" w:ascii="仿宋" w:hAnsi="仿宋" w:eastAsia="仿宋" w:cs="仿宋"/>
                <w:kern w:val="0"/>
              </w:rPr>
              <w:t xml:space="preserve">/数据库/ </w:t>
            </w:r>
          </w:p>
          <w:p>
            <w:pPr>
              <w:rPr>
                <w:rFonts w:hint="eastAsia" w:ascii="仿宋" w:hAnsi="仿宋" w:eastAsia="仿宋" w:cs="仿宋"/>
              </w:rPr>
            </w:pPr>
            <w:r>
              <w:rPr>
                <w:rFonts w:hint="eastAsia" w:ascii="仿宋" w:hAnsi="仿宋" w:eastAsia="仿宋" w:cs="仿宋"/>
                <w:kern w:val="0"/>
              </w:rPr>
              <w:t>中间件</w:t>
            </w:r>
          </w:p>
        </w:tc>
        <w:tc>
          <w:tcPr>
            <w:tcW w:w="1712" w:type="dxa"/>
            <w:shd w:val="clear" w:color="auto" w:fill="auto"/>
            <w:tcMar>
              <w:top w:w="80" w:type="dxa"/>
              <w:left w:w="80" w:type="dxa"/>
              <w:bottom w:w="80" w:type="dxa"/>
              <w:right w:w="80" w:type="dxa"/>
            </w:tcMar>
          </w:tcPr>
          <w:p>
            <w:pPr>
              <w:widowControl/>
              <w:jc w:val="left"/>
              <w:textAlignment w:val="top"/>
              <w:rPr>
                <w:rFonts w:hint="eastAsia" w:ascii="仿宋" w:hAnsi="仿宋" w:eastAsia="仿宋" w:cs="仿宋"/>
              </w:rPr>
            </w:pPr>
            <w:r>
              <w:rPr>
                <w:rFonts w:hint="eastAsia" w:ascii="仿宋" w:hAnsi="仿宋" w:eastAsia="仿宋" w:cs="仿宋"/>
                <w:kern w:val="0"/>
              </w:rPr>
              <w:t xml:space="preserve">操作系统或数 </w:t>
            </w:r>
          </w:p>
          <w:p>
            <w:pPr>
              <w:widowControl/>
              <w:jc w:val="left"/>
              <w:textAlignment w:val="top"/>
              <w:rPr>
                <w:rFonts w:hint="eastAsia" w:ascii="仿宋" w:hAnsi="仿宋" w:eastAsia="仿宋" w:cs="仿宋"/>
              </w:rPr>
            </w:pPr>
            <w:r>
              <w:rPr>
                <w:rFonts w:hint="eastAsia" w:ascii="仿宋" w:hAnsi="仿宋" w:eastAsia="仿宋" w:cs="仿宋"/>
                <w:kern w:val="0"/>
              </w:rPr>
              <w:t xml:space="preserve">据库或中间件 </w:t>
            </w:r>
          </w:p>
          <w:p>
            <w:pPr>
              <w:rPr>
                <w:rFonts w:hint="eastAsia" w:ascii="仿宋" w:hAnsi="仿宋" w:eastAsia="仿宋" w:cs="仿宋"/>
              </w:rPr>
            </w:pPr>
            <w:r>
              <w:rPr>
                <w:rFonts w:hint="eastAsia" w:ascii="仿宋" w:hAnsi="仿宋" w:eastAsia="仿宋" w:cs="仿宋"/>
                <w:kern w:val="0"/>
              </w:rPr>
              <w:t>水平</w:t>
            </w:r>
          </w:p>
        </w:tc>
        <w:tc>
          <w:tcPr>
            <w:tcW w:w="1788"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kern w:val="0"/>
              </w:rPr>
              <w:t>数据库月调用频率</w:t>
            </w:r>
          </w:p>
        </w:tc>
        <w:tc>
          <w:tcPr>
            <w:tcW w:w="1075"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10万次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475"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8</w:t>
            </w:r>
          </w:p>
        </w:tc>
        <w:tc>
          <w:tcPr>
            <w:tcW w:w="1568" w:type="dxa"/>
            <w:shd w:val="clear" w:color="auto" w:fill="auto"/>
            <w:tcMar>
              <w:top w:w="80" w:type="dxa"/>
              <w:left w:w="80" w:type="dxa"/>
              <w:bottom w:w="80" w:type="dxa"/>
              <w:right w:w="80" w:type="dxa"/>
            </w:tcMar>
          </w:tcPr>
          <w:p>
            <w:pPr>
              <w:widowControl/>
              <w:textAlignment w:val="top"/>
              <w:rPr>
                <w:rFonts w:hint="eastAsia" w:ascii="仿宋" w:hAnsi="仿宋" w:eastAsia="仿宋" w:cs="仿宋"/>
              </w:rPr>
            </w:pPr>
            <w:r>
              <w:rPr>
                <w:rFonts w:hint="eastAsia" w:ascii="仿宋" w:hAnsi="仿宋" w:eastAsia="仿宋" w:cs="仿宋"/>
                <w:kern w:val="0"/>
              </w:rPr>
              <w:t>通用指标</w:t>
            </w:r>
          </w:p>
          <w:p>
            <w:pPr>
              <w:rPr>
                <w:rFonts w:hint="eastAsia" w:ascii="仿宋" w:hAnsi="仿宋" w:eastAsia="仿宋" w:cs="仿宋"/>
              </w:rPr>
            </w:pPr>
          </w:p>
        </w:tc>
        <w:tc>
          <w:tcPr>
            <w:tcW w:w="1350" w:type="dxa"/>
            <w:shd w:val="clear" w:color="auto" w:fill="auto"/>
            <w:tcMar>
              <w:top w:w="80" w:type="dxa"/>
              <w:left w:w="80" w:type="dxa"/>
              <w:bottom w:w="80" w:type="dxa"/>
              <w:right w:w="80" w:type="dxa"/>
            </w:tcMar>
          </w:tcPr>
          <w:p>
            <w:pPr>
              <w:widowControl/>
              <w:jc w:val="left"/>
              <w:textAlignment w:val="top"/>
              <w:rPr>
                <w:rFonts w:hint="eastAsia" w:ascii="仿宋" w:hAnsi="仿宋" w:eastAsia="仿宋" w:cs="仿宋"/>
              </w:rPr>
            </w:pPr>
            <w:r>
              <w:rPr>
                <w:rFonts w:hint="eastAsia" w:ascii="仿宋" w:hAnsi="仿宋" w:eastAsia="仿宋" w:cs="仿宋"/>
                <w:kern w:val="0"/>
              </w:rPr>
              <w:t xml:space="preserve">支撑系统 </w:t>
            </w:r>
          </w:p>
          <w:p>
            <w:pPr>
              <w:widowControl/>
              <w:jc w:val="left"/>
              <w:textAlignment w:val="top"/>
              <w:rPr>
                <w:rFonts w:hint="eastAsia" w:ascii="仿宋" w:hAnsi="仿宋" w:eastAsia="仿宋" w:cs="仿宋"/>
              </w:rPr>
            </w:pPr>
            <w:r>
              <w:rPr>
                <w:rFonts w:hint="eastAsia" w:ascii="仿宋" w:hAnsi="仿宋" w:eastAsia="仿宋" w:cs="仿宋"/>
                <w:kern w:val="0"/>
              </w:rPr>
              <w:t xml:space="preserve">/数据库/ </w:t>
            </w:r>
          </w:p>
          <w:p>
            <w:pPr>
              <w:rPr>
                <w:rFonts w:hint="eastAsia" w:ascii="仿宋" w:hAnsi="仿宋" w:eastAsia="仿宋" w:cs="仿宋"/>
              </w:rPr>
            </w:pPr>
            <w:r>
              <w:rPr>
                <w:rFonts w:hint="eastAsia" w:ascii="仿宋" w:hAnsi="仿宋" w:eastAsia="仿宋" w:cs="仿宋"/>
                <w:kern w:val="0"/>
              </w:rPr>
              <w:t>中间件</w:t>
            </w:r>
          </w:p>
        </w:tc>
        <w:tc>
          <w:tcPr>
            <w:tcW w:w="1712" w:type="dxa"/>
            <w:shd w:val="clear" w:color="auto" w:fill="auto"/>
            <w:tcMar>
              <w:top w:w="80" w:type="dxa"/>
              <w:left w:w="80" w:type="dxa"/>
              <w:bottom w:w="80" w:type="dxa"/>
              <w:right w:w="80" w:type="dxa"/>
            </w:tcMar>
          </w:tcPr>
          <w:p>
            <w:pPr>
              <w:widowControl/>
              <w:jc w:val="left"/>
              <w:textAlignment w:val="top"/>
              <w:rPr>
                <w:rFonts w:hint="eastAsia" w:ascii="仿宋" w:hAnsi="仿宋" w:eastAsia="仿宋" w:cs="仿宋"/>
              </w:rPr>
            </w:pPr>
            <w:r>
              <w:rPr>
                <w:rFonts w:hint="eastAsia" w:ascii="仿宋" w:hAnsi="仿宋" w:eastAsia="仿宋" w:cs="仿宋"/>
                <w:kern w:val="0"/>
              </w:rPr>
              <w:t xml:space="preserve">操作系统或数 </w:t>
            </w:r>
          </w:p>
          <w:p>
            <w:pPr>
              <w:widowControl/>
              <w:jc w:val="left"/>
              <w:textAlignment w:val="top"/>
              <w:rPr>
                <w:rFonts w:hint="eastAsia" w:ascii="仿宋" w:hAnsi="仿宋" w:eastAsia="仿宋" w:cs="仿宋"/>
              </w:rPr>
            </w:pPr>
            <w:r>
              <w:rPr>
                <w:rFonts w:hint="eastAsia" w:ascii="仿宋" w:hAnsi="仿宋" w:eastAsia="仿宋" w:cs="仿宋"/>
                <w:kern w:val="0"/>
              </w:rPr>
              <w:t xml:space="preserve">据库或中间件 </w:t>
            </w:r>
          </w:p>
          <w:p>
            <w:pPr>
              <w:rPr>
                <w:rFonts w:hint="eastAsia" w:ascii="仿宋" w:hAnsi="仿宋" w:eastAsia="仿宋" w:cs="仿宋"/>
              </w:rPr>
            </w:pPr>
            <w:r>
              <w:rPr>
                <w:rFonts w:hint="eastAsia" w:ascii="仿宋" w:hAnsi="仿宋" w:eastAsia="仿宋" w:cs="仿宋"/>
                <w:kern w:val="0"/>
              </w:rPr>
              <w:t>水平</w:t>
            </w:r>
          </w:p>
        </w:tc>
        <w:tc>
          <w:tcPr>
            <w:tcW w:w="1788" w:type="dxa"/>
            <w:shd w:val="clear" w:color="auto" w:fill="auto"/>
            <w:tcMar>
              <w:top w:w="80" w:type="dxa"/>
              <w:left w:w="80" w:type="dxa"/>
              <w:bottom w:w="80" w:type="dxa"/>
              <w:right w:w="80" w:type="dxa"/>
            </w:tcMar>
          </w:tcPr>
          <w:p>
            <w:pPr>
              <w:widowControl/>
              <w:jc w:val="left"/>
              <w:textAlignment w:val="top"/>
              <w:rPr>
                <w:rFonts w:hint="eastAsia" w:ascii="仿宋" w:hAnsi="仿宋" w:eastAsia="仿宋" w:cs="仿宋"/>
              </w:rPr>
            </w:pPr>
            <w:r>
              <w:rPr>
                <w:rFonts w:hint="eastAsia" w:ascii="仿宋" w:hAnsi="仿宋" w:eastAsia="仿宋" w:cs="仿宋"/>
                <w:kern w:val="0"/>
              </w:rPr>
              <w:t>中间件月调用频率</w:t>
            </w:r>
          </w:p>
          <w:p>
            <w:pPr>
              <w:rPr>
                <w:rFonts w:hint="eastAsia" w:ascii="仿宋" w:hAnsi="仿宋" w:eastAsia="仿宋" w:cs="仿宋"/>
              </w:rPr>
            </w:pPr>
          </w:p>
        </w:tc>
        <w:tc>
          <w:tcPr>
            <w:tcW w:w="1075"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30万次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475"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9</w:t>
            </w:r>
          </w:p>
        </w:tc>
        <w:tc>
          <w:tcPr>
            <w:tcW w:w="1568" w:type="dxa"/>
            <w:shd w:val="clear" w:color="auto" w:fill="auto"/>
            <w:tcMar>
              <w:top w:w="80" w:type="dxa"/>
              <w:left w:w="80" w:type="dxa"/>
              <w:bottom w:w="80" w:type="dxa"/>
              <w:right w:w="80" w:type="dxa"/>
            </w:tcMar>
            <w:vAlign w:val="center"/>
          </w:tcPr>
          <w:p>
            <w:pPr>
              <w:rPr>
                <w:rFonts w:hint="eastAsia" w:ascii="仿宋" w:hAnsi="仿宋" w:eastAsia="仿宋" w:cs="仿宋"/>
              </w:rPr>
            </w:pPr>
            <w:r>
              <w:rPr>
                <w:rFonts w:hint="eastAsia" w:ascii="仿宋" w:hAnsi="仿宋" w:eastAsia="仿宋" w:cs="仿宋"/>
              </w:rPr>
              <w:t>自定义指标</w:t>
            </w:r>
          </w:p>
        </w:tc>
        <w:tc>
          <w:tcPr>
            <w:tcW w:w="1350" w:type="dxa"/>
            <w:shd w:val="clear" w:color="auto" w:fill="auto"/>
            <w:tcMar>
              <w:top w:w="80" w:type="dxa"/>
              <w:left w:w="80" w:type="dxa"/>
              <w:bottom w:w="80" w:type="dxa"/>
              <w:right w:w="80" w:type="dxa"/>
            </w:tcMar>
            <w:vAlign w:val="center"/>
          </w:tcPr>
          <w:p>
            <w:pPr>
              <w:rPr>
                <w:rFonts w:hint="eastAsia" w:ascii="仿宋" w:hAnsi="仿宋" w:eastAsia="仿宋" w:cs="仿宋"/>
              </w:rPr>
            </w:pPr>
            <w:r>
              <w:rPr>
                <w:rFonts w:hint="eastAsia" w:ascii="仿宋" w:hAnsi="仿宋" w:eastAsia="仿宋" w:cs="仿宋"/>
              </w:rPr>
              <w:t>产出指标</w:t>
            </w:r>
          </w:p>
        </w:tc>
        <w:tc>
          <w:tcPr>
            <w:tcW w:w="1712" w:type="dxa"/>
            <w:shd w:val="clear" w:color="auto" w:fill="auto"/>
            <w:tcMar>
              <w:top w:w="80" w:type="dxa"/>
              <w:left w:w="80" w:type="dxa"/>
              <w:bottom w:w="80" w:type="dxa"/>
              <w:right w:w="80" w:type="dxa"/>
            </w:tcMar>
            <w:vAlign w:val="center"/>
          </w:tcPr>
          <w:p>
            <w:pPr>
              <w:rPr>
                <w:rFonts w:hint="eastAsia" w:ascii="仿宋" w:hAnsi="仿宋" w:eastAsia="仿宋" w:cs="仿宋"/>
              </w:rPr>
            </w:pPr>
            <w:r>
              <w:rPr>
                <w:rFonts w:hint="eastAsia" w:ascii="仿宋" w:hAnsi="仿宋" w:eastAsia="仿宋" w:cs="仿宋"/>
              </w:rPr>
              <w:t>产出数量</w:t>
            </w:r>
          </w:p>
        </w:tc>
        <w:tc>
          <w:tcPr>
            <w:tcW w:w="1788" w:type="dxa"/>
            <w:shd w:val="clear" w:color="auto" w:fill="auto"/>
            <w:tcMar>
              <w:top w:w="80" w:type="dxa"/>
              <w:left w:w="80" w:type="dxa"/>
              <w:bottom w:w="80" w:type="dxa"/>
              <w:right w:w="80" w:type="dxa"/>
            </w:tcMar>
            <w:vAlign w:val="center"/>
          </w:tcPr>
          <w:p>
            <w:pPr>
              <w:rPr>
                <w:rFonts w:hint="eastAsia" w:ascii="仿宋" w:hAnsi="仿宋" w:eastAsia="仿宋" w:cs="仿宋"/>
              </w:rPr>
            </w:pPr>
            <w:r>
              <w:rPr>
                <w:rFonts w:hint="eastAsia" w:ascii="仿宋" w:hAnsi="仿宋" w:eastAsia="仿宋" w:cs="仿宋"/>
              </w:rPr>
              <w:t>功能模块正常运行比例</w:t>
            </w:r>
          </w:p>
        </w:tc>
        <w:tc>
          <w:tcPr>
            <w:tcW w:w="1075" w:type="dxa"/>
            <w:shd w:val="clear" w:color="auto" w:fill="auto"/>
            <w:tcMar>
              <w:top w:w="80" w:type="dxa"/>
              <w:left w:w="80" w:type="dxa"/>
              <w:bottom w:w="80" w:type="dxa"/>
              <w:right w:w="80" w:type="dxa"/>
            </w:tcMar>
            <w:vAlign w:val="center"/>
          </w:tcPr>
          <w:p>
            <w:pPr>
              <w:rPr>
                <w:rFonts w:hint="eastAsia" w:ascii="仿宋" w:hAnsi="仿宋" w:eastAsia="仿宋" w:cs="仿宋"/>
              </w:rPr>
            </w:pPr>
            <w:r>
              <w:rPr>
                <w:rFonts w:hint="eastAsia" w:ascii="仿宋" w:hAnsi="仿宋" w:eastAsia="仿宋" w:cs="仿宋"/>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475"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10</w:t>
            </w:r>
          </w:p>
        </w:tc>
        <w:tc>
          <w:tcPr>
            <w:tcW w:w="1568" w:type="dxa"/>
            <w:shd w:val="clear" w:color="auto" w:fill="auto"/>
            <w:tcMar>
              <w:top w:w="80" w:type="dxa"/>
              <w:left w:w="80" w:type="dxa"/>
              <w:bottom w:w="80" w:type="dxa"/>
              <w:right w:w="80" w:type="dxa"/>
            </w:tcMar>
            <w:vAlign w:val="center"/>
          </w:tcPr>
          <w:p>
            <w:pPr>
              <w:rPr>
                <w:rFonts w:hint="eastAsia" w:ascii="仿宋" w:hAnsi="仿宋" w:eastAsia="仿宋" w:cs="仿宋"/>
              </w:rPr>
            </w:pPr>
            <w:r>
              <w:rPr>
                <w:rFonts w:hint="eastAsia" w:ascii="仿宋" w:hAnsi="仿宋" w:eastAsia="仿宋" w:cs="仿宋"/>
              </w:rPr>
              <w:t>自定义指标</w:t>
            </w:r>
          </w:p>
        </w:tc>
        <w:tc>
          <w:tcPr>
            <w:tcW w:w="1350" w:type="dxa"/>
            <w:shd w:val="clear" w:color="auto" w:fill="auto"/>
            <w:tcMar>
              <w:top w:w="80" w:type="dxa"/>
              <w:left w:w="80" w:type="dxa"/>
              <w:bottom w:w="80" w:type="dxa"/>
              <w:right w:w="80" w:type="dxa"/>
            </w:tcMar>
            <w:vAlign w:val="center"/>
          </w:tcPr>
          <w:p>
            <w:pPr>
              <w:rPr>
                <w:rFonts w:hint="eastAsia" w:ascii="仿宋" w:hAnsi="仿宋" w:eastAsia="仿宋" w:cs="仿宋"/>
              </w:rPr>
            </w:pPr>
            <w:r>
              <w:rPr>
                <w:rFonts w:hint="eastAsia" w:ascii="仿宋" w:hAnsi="仿宋" w:eastAsia="仿宋" w:cs="仿宋"/>
              </w:rPr>
              <w:t>产出指标</w:t>
            </w:r>
          </w:p>
        </w:tc>
        <w:tc>
          <w:tcPr>
            <w:tcW w:w="1712" w:type="dxa"/>
            <w:shd w:val="clear" w:color="auto" w:fill="auto"/>
            <w:tcMar>
              <w:top w:w="80" w:type="dxa"/>
              <w:left w:w="80" w:type="dxa"/>
              <w:bottom w:w="80" w:type="dxa"/>
              <w:right w:w="80" w:type="dxa"/>
            </w:tcMar>
            <w:vAlign w:val="center"/>
          </w:tcPr>
          <w:p>
            <w:pPr>
              <w:rPr>
                <w:rFonts w:hint="eastAsia" w:ascii="仿宋" w:hAnsi="仿宋" w:eastAsia="仿宋" w:cs="仿宋"/>
              </w:rPr>
            </w:pPr>
            <w:r>
              <w:rPr>
                <w:rFonts w:hint="eastAsia" w:ascii="仿宋" w:hAnsi="仿宋" w:eastAsia="仿宋" w:cs="仿宋"/>
              </w:rPr>
              <w:t>数据准确率</w:t>
            </w:r>
          </w:p>
        </w:tc>
        <w:tc>
          <w:tcPr>
            <w:tcW w:w="1788" w:type="dxa"/>
            <w:shd w:val="clear" w:color="auto" w:fill="auto"/>
            <w:tcMar>
              <w:top w:w="80" w:type="dxa"/>
              <w:left w:w="80" w:type="dxa"/>
              <w:bottom w:w="80" w:type="dxa"/>
              <w:right w:w="80" w:type="dxa"/>
            </w:tcMar>
            <w:vAlign w:val="center"/>
          </w:tcPr>
          <w:p>
            <w:pPr>
              <w:rPr>
                <w:rFonts w:hint="eastAsia" w:ascii="仿宋" w:hAnsi="仿宋" w:eastAsia="仿宋" w:cs="仿宋"/>
              </w:rPr>
            </w:pPr>
            <w:r>
              <w:rPr>
                <w:rFonts w:hint="eastAsia" w:ascii="仿宋" w:hAnsi="仿宋" w:eastAsia="仿宋" w:cs="仿宋"/>
              </w:rPr>
              <w:t>统计分析报表准确度</w:t>
            </w:r>
          </w:p>
        </w:tc>
        <w:tc>
          <w:tcPr>
            <w:tcW w:w="1075" w:type="dxa"/>
            <w:shd w:val="clear" w:color="auto" w:fill="auto"/>
            <w:tcMar>
              <w:top w:w="80" w:type="dxa"/>
              <w:left w:w="80" w:type="dxa"/>
              <w:bottom w:w="80" w:type="dxa"/>
              <w:right w:w="80" w:type="dxa"/>
            </w:tcMar>
            <w:vAlign w:val="center"/>
          </w:tcPr>
          <w:p>
            <w:pPr>
              <w:rPr>
                <w:rFonts w:hint="eastAsia" w:ascii="仿宋" w:hAnsi="仿宋" w:eastAsia="仿宋" w:cs="仿宋"/>
              </w:rPr>
            </w:pPr>
            <w:r>
              <w:rPr>
                <w:rFonts w:hint="eastAsia" w:ascii="仿宋" w:hAnsi="仿宋" w:eastAsia="仿宋" w:cs="仿宋"/>
              </w:rPr>
              <w:t>大于99%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475" w:type="dxa"/>
            <w:shd w:val="clear" w:color="auto" w:fill="auto"/>
            <w:tcMar>
              <w:top w:w="80" w:type="dxa"/>
              <w:left w:w="80" w:type="dxa"/>
              <w:bottom w:w="80" w:type="dxa"/>
              <w:right w:w="80" w:type="dxa"/>
            </w:tcMar>
          </w:tcPr>
          <w:p>
            <w:pPr>
              <w:rPr>
                <w:rFonts w:hint="eastAsia" w:ascii="仿宋" w:hAnsi="仿宋" w:eastAsia="仿宋" w:cs="仿宋"/>
              </w:rPr>
            </w:pPr>
            <w:r>
              <w:rPr>
                <w:rFonts w:hint="eastAsia" w:ascii="仿宋" w:hAnsi="仿宋" w:eastAsia="仿宋" w:cs="仿宋"/>
              </w:rPr>
              <w:t>11</w:t>
            </w:r>
          </w:p>
        </w:tc>
        <w:tc>
          <w:tcPr>
            <w:tcW w:w="1568" w:type="dxa"/>
            <w:shd w:val="clear" w:color="auto" w:fill="auto"/>
            <w:tcMar>
              <w:top w:w="80" w:type="dxa"/>
              <w:left w:w="80" w:type="dxa"/>
              <w:bottom w:w="80" w:type="dxa"/>
              <w:right w:w="80" w:type="dxa"/>
            </w:tcMar>
            <w:vAlign w:val="center"/>
          </w:tcPr>
          <w:p>
            <w:pPr>
              <w:rPr>
                <w:rFonts w:hint="eastAsia" w:ascii="仿宋" w:hAnsi="仿宋" w:eastAsia="仿宋" w:cs="仿宋"/>
              </w:rPr>
            </w:pPr>
            <w:r>
              <w:rPr>
                <w:rFonts w:hint="eastAsia" w:ascii="仿宋" w:hAnsi="仿宋" w:eastAsia="仿宋" w:cs="仿宋"/>
              </w:rPr>
              <w:t>自定义指标</w:t>
            </w:r>
          </w:p>
        </w:tc>
        <w:tc>
          <w:tcPr>
            <w:tcW w:w="1350" w:type="dxa"/>
            <w:shd w:val="clear" w:color="auto" w:fill="auto"/>
            <w:tcMar>
              <w:top w:w="80" w:type="dxa"/>
              <w:left w:w="80" w:type="dxa"/>
              <w:bottom w:w="80" w:type="dxa"/>
              <w:right w:w="80" w:type="dxa"/>
            </w:tcMar>
            <w:vAlign w:val="center"/>
          </w:tcPr>
          <w:p>
            <w:pPr>
              <w:rPr>
                <w:rFonts w:hint="eastAsia" w:ascii="仿宋" w:hAnsi="仿宋" w:eastAsia="仿宋" w:cs="仿宋"/>
              </w:rPr>
            </w:pPr>
            <w:r>
              <w:rPr>
                <w:rFonts w:hint="eastAsia" w:ascii="仿宋" w:hAnsi="仿宋" w:eastAsia="仿宋" w:cs="仿宋"/>
              </w:rPr>
              <w:t>产出指标</w:t>
            </w:r>
          </w:p>
        </w:tc>
        <w:tc>
          <w:tcPr>
            <w:tcW w:w="1712" w:type="dxa"/>
            <w:shd w:val="clear" w:color="auto" w:fill="auto"/>
            <w:tcMar>
              <w:top w:w="80" w:type="dxa"/>
              <w:left w:w="80" w:type="dxa"/>
              <w:bottom w:w="80" w:type="dxa"/>
              <w:right w:w="80" w:type="dxa"/>
            </w:tcMar>
            <w:vAlign w:val="center"/>
          </w:tcPr>
          <w:p>
            <w:pPr>
              <w:rPr>
                <w:rFonts w:hint="eastAsia" w:ascii="仿宋" w:hAnsi="仿宋" w:eastAsia="仿宋" w:cs="仿宋"/>
              </w:rPr>
            </w:pPr>
            <w:r>
              <w:rPr>
                <w:rFonts w:hint="eastAsia" w:ascii="仿宋" w:hAnsi="仿宋" w:eastAsia="仿宋" w:cs="仿宋"/>
              </w:rPr>
              <w:t>产出质量</w:t>
            </w:r>
          </w:p>
        </w:tc>
        <w:tc>
          <w:tcPr>
            <w:tcW w:w="1788" w:type="dxa"/>
            <w:shd w:val="clear" w:color="auto" w:fill="auto"/>
            <w:tcMar>
              <w:top w:w="80" w:type="dxa"/>
              <w:left w:w="80" w:type="dxa"/>
              <w:bottom w:w="80" w:type="dxa"/>
              <w:right w:w="80" w:type="dxa"/>
            </w:tcMar>
            <w:vAlign w:val="center"/>
          </w:tcPr>
          <w:p>
            <w:pPr>
              <w:rPr>
                <w:rFonts w:hint="eastAsia" w:ascii="仿宋" w:hAnsi="仿宋" w:eastAsia="仿宋" w:cs="仿宋"/>
              </w:rPr>
            </w:pPr>
            <w:r>
              <w:rPr>
                <w:rFonts w:hint="eastAsia" w:ascii="仿宋" w:hAnsi="仿宋" w:eastAsia="仿宋" w:cs="仿宋"/>
              </w:rPr>
              <w:t>系统平均响应时间</w:t>
            </w:r>
          </w:p>
        </w:tc>
        <w:tc>
          <w:tcPr>
            <w:tcW w:w="1075" w:type="dxa"/>
            <w:shd w:val="clear" w:color="auto" w:fill="auto"/>
            <w:tcMar>
              <w:top w:w="80" w:type="dxa"/>
              <w:left w:w="80" w:type="dxa"/>
              <w:bottom w:w="80" w:type="dxa"/>
              <w:right w:w="80" w:type="dxa"/>
            </w:tcMar>
            <w:vAlign w:val="center"/>
          </w:tcPr>
          <w:p>
            <w:pPr>
              <w:rPr>
                <w:rFonts w:hint="eastAsia" w:ascii="仿宋" w:hAnsi="仿宋" w:eastAsia="仿宋" w:cs="仿宋"/>
              </w:rPr>
            </w:pPr>
            <w:r>
              <w:rPr>
                <w:rFonts w:hint="eastAsia" w:ascii="仿宋" w:hAnsi="仿宋" w:eastAsia="仿宋" w:cs="仿宋"/>
              </w:rPr>
              <w:t>≤3s</w:t>
            </w:r>
          </w:p>
        </w:tc>
      </w:tr>
    </w:tbl>
    <w:p>
      <w:pPr>
        <w:pStyle w:val="2"/>
        <w:numPr>
          <w:ilvl w:val="0"/>
          <w:numId w:val="3"/>
        </w:numPr>
        <w:ind w:firstLine="0"/>
        <w:jc w:val="left"/>
        <w:rPr>
          <w:rFonts w:hint="eastAsia" w:ascii="黑体" w:hAnsi="黑体" w:eastAsia="黑体" w:cs="黑体"/>
          <w:sz w:val="32"/>
          <w:szCs w:val="32"/>
        </w:rPr>
      </w:pPr>
      <w:r>
        <w:rPr>
          <w:rFonts w:hint="eastAsia" w:ascii="黑体" w:hAnsi="黑体" w:eastAsia="黑体" w:cs="黑体"/>
          <w:sz w:val="32"/>
          <w:szCs w:val="32"/>
          <w:lang w:val="en-US" w:eastAsia="zh-CN"/>
        </w:rPr>
        <w:t>项目建设内容</w:t>
      </w:r>
    </w:p>
    <w:p>
      <w:pPr>
        <w:pStyle w:val="3"/>
        <w:numPr>
          <w:ilvl w:val="0"/>
          <w:numId w:val="6"/>
        </w:numPr>
        <w:bidi w:val="0"/>
        <w:ind w:left="0" w:leftChars="0" w:firstLine="420" w:firstLineChars="0"/>
        <w:outlineLvl w:val="1"/>
        <w:rPr>
          <w:rFonts w:hint="eastAsia" w:ascii="仿宋" w:hAnsi="仿宋" w:eastAsia="仿宋" w:cs="仿宋"/>
          <w:sz w:val="28"/>
          <w:szCs w:val="28"/>
        </w:rPr>
      </w:pPr>
      <w:bookmarkStart w:id="14" w:name="_Toc19611"/>
      <w:r>
        <w:rPr>
          <w:rFonts w:hint="eastAsia" w:ascii="仿宋" w:hAnsi="仿宋" w:eastAsia="仿宋" w:cs="仿宋"/>
          <w:sz w:val="28"/>
          <w:szCs w:val="28"/>
        </w:rPr>
        <w:t>总体架构</w:t>
      </w:r>
      <w:bookmarkEnd w:id="14"/>
      <w:r>
        <w:rPr>
          <w:rFonts w:hint="eastAsia" w:ascii="仿宋" w:hAnsi="仿宋" w:eastAsia="仿宋" w:cs="仿宋"/>
          <w:sz w:val="28"/>
          <w:szCs w:val="28"/>
        </w:rPr>
        <w:t>需求</w:t>
      </w:r>
    </w:p>
    <w:p>
      <w:pPr>
        <w:ind w:firstLine="560"/>
        <w:rPr>
          <w:rFonts w:ascii="仿宋" w:hAnsi="仿宋" w:eastAsia="仿宋" w:cs="仿宋"/>
          <w:sz w:val="28"/>
          <w:szCs w:val="28"/>
        </w:rPr>
      </w:pPr>
      <w:r>
        <w:rPr>
          <w:rFonts w:hint="eastAsia" w:ascii="仿宋" w:hAnsi="仿宋" w:eastAsia="仿宋" w:cs="仿宋"/>
          <w:kern w:val="0"/>
          <w:sz w:val="28"/>
          <w:szCs w:val="28"/>
          <w:lang w:bidi="en-US"/>
        </w:rPr>
        <w:t>上海市中医药综合统计平台项目不但要满足《国家中医药综合统计制度》</w:t>
      </w:r>
      <w:r>
        <w:rPr>
          <w:rFonts w:hint="eastAsia" w:ascii="仿宋" w:hAnsi="仿宋" w:eastAsia="仿宋" w:cs="仿宋"/>
          <w:sz w:val="28"/>
          <w:szCs w:val="28"/>
        </w:rPr>
        <w:t>、</w:t>
      </w:r>
      <w:r>
        <w:rPr>
          <w:rFonts w:hint="eastAsia" w:ascii="仿宋" w:hAnsi="仿宋" w:eastAsia="仿宋" w:cs="仿宋"/>
          <w:kern w:val="0"/>
          <w:sz w:val="28"/>
          <w:szCs w:val="28"/>
          <w:lang w:bidi="en-US"/>
        </w:rPr>
        <w:t>《全国中医药统计工作管理办法》等要求，同时又要适应互联网、物联网和大数据的新型技术发展要求，在总体架构的模式上，与上海市卫生资源与医疗服务统计数据采集系统横向对接，通过系统互通方式实现数据共享，逐步实现与省级全民健康信息平台数据以及上海市内其他行政管理部门行业统计平台数据交换，实现中医药数据的跨部门、跨领域的信息资源共享。同时，又要求该项目能具备自身的数据采集、数据共享和业务协同能力，通过混合方式共同实现中医药数据资源信息的互联互通和数据共享。运用表单管理、数据挖掘、消息管理等技术实现中医药信息统计查询与分析</w:t>
      </w:r>
      <w:r>
        <w:rPr>
          <w:rFonts w:hint="eastAsia" w:ascii="仿宋" w:hAnsi="仿宋" w:eastAsia="仿宋" w:cs="仿宋"/>
          <w:sz w:val="28"/>
          <w:szCs w:val="28"/>
        </w:rPr>
        <w:t>。</w:t>
      </w:r>
    </w:p>
    <w:p>
      <w:pPr>
        <w:pStyle w:val="3"/>
        <w:numPr>
          <w:ilvl w:val="0"/>
          <w:numId w:val="6"/>
        </w:numPr>
        <w:bidi w:val="0"/>
        <w:ind w:left="0" w:leftChars="0" w:firstLine="420" w:firstLineChars="0"/>
        <w:outlineLvl w:val="1"/>
        <w:rPr>
          <w:rFonts w:hint="eastAsia" w:ascii="仿宋" w:hAnsi="仿宋" w:eastAsia="仿宋" w:cs="仿宋"/>
          <w:sz w:val="28"/>
          <w:szCs w:val="28"/>
        </w:rPr>
      </w:pPr>
      <w:r>
        <w:rPr>
          <w:rFonts w:hint="eastAsia" w:ascii="仿宋" w:hAnsi="仿宋" w:eastAsia="仿宋" w:cs="仿宋"/>
          <w:sz w:val="28"/>
          <w:szCs w:val="28"/>
        </w:rPr>
        <w:t>应用功能需求</w:t>
      </w:r>
    </w:p>
    <w:tbl>
      <w:tblPr>
        <w:tblStyle w:val="19"/>
        <w:tblW w:w="4887" w:type="pct"/>
        <w:tblInd w:w="0" w:type="dxa"/>
        <w:tblLayout w:type="autofit"/>
        <w:tblCellMar>
          <w:top w:w="0" w:type="dxa"/>
          <w:left w:w="108" w:type="dxa"/>
          <w:bottom w:w="0" w:type="dxa"/>
          <w:right w:w="108" w:type="dxa"/>
        </w:tblCellMar>
      </w:tblPr>
      <w:tblGrid>
        <w:gridCol w:w="629"/>
        <w:gridCol w:w="1263"/>
        <w:gridCol w:w="1193"/>
        <w:gridCol w:w="1328"/>
        <w:gridCol w:w="3916"/>
      </w:tblGrid>
      <w:tr>
        <w:tblPrEx>
          <w:tblCellMar>
            <w:top w:w="0" w:type="dxa"/>
            <w:left w:w="108" w:type="dxa"/>
            <w:bottom w:w="0" w:type="dxa"/>
            <w:right w:w="108" w:type="dxa"/>
          </w:tblCellMar>
        </w:tblPrEx>
        <w:trPr>
          <w:trHeight w:val="290" w:hRule="atLeast"/>
        </w:trPr>
        <w:tc>
          <w:tcPr>
            <w:tcW w:w="37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758" w:type="pct"/>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应用系统</w:t>
            </w:r>
          </w:p>
        </w:tc>
        <w:tc>
          <w:tcPr>
            <w:tcW w:w="716" w:type="pct"/>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一级模块</w:t>
            </w:r>
          </w:p>
        </w:tc>
        <w:tc>
          <w:tcPr>
            <w:tcW w:w="797" w:type="pct"/>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二级模块</w:t>
            </w:r>
          </w:p>
        </w:tc>
        <w:tc>
          <w:tcPr>
            <w:tcW w:w="2351" w:type="pct"/>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模块描述</w:t>
            </w:r>
          </w:p>
        </w:tc>
      </w:tr>
      <w:tr>
        <w:tblPrEx>
          <w:tblCellMar>
            <w:top w:w="0" w:type="dxa"/>
            <w:left w:w="108" w:type="dxa"/>
            <w:bottom w:w="0" w:type="dxa"/>
            <w:right w:w="108" w:type="dxa"/>
          </w:tblCellMar>
        </w:tblPrEx>
        <w:trPr>
          <w:trHeight w:val="105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58"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中医药统计网络直报升级</w:t>
            </w:r>
          </w:p>
        </w:tc>
        <w:tc>
          <w:tcPr>
            <w:tcW w:w="71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汇总统计</w:t>
            </w: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中医医疗管理统计调查数据汇编01基本情况（国家统计分析报表需求）</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包含全市汇总分析各类社区卫生服务中心、分中心比例；各区各类社区卫生服务站的比例；各区各类村卫生室的比例等多张国家报表</w:t>
            </w:r>
          </w:p>
        </w:tc>
      </w:tr>
      <w:tr>
        <w:tblPrEx>
          <w:tblCellMar>
            <w:top w:w="0" w:type="dxa"/>
            <w:left w:w="108" w:type="dxa"/>
            <w:bottom w:w="0" w:type="dxa"/>
            <w:right w:w="108" w:type="dxa"/>
          </w:tblCellMar>
        </w:tblPrEx>
        <w:trPr>
          <w:trHeight w:val="235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中医医疗管理统计调查数据汇编02 中医药技术方法使用情况（国家统计分析报表需求）</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包含全市汇总分析能够开展各类中医药服务的基层医疗卫生机构的比例；各区能够开展各类中医药服务的社区卫生服务中心比例；各区能够开展各类中医药服务的社区卫生服务站比例；各区能够开展各类中医药服务的村卫生室比例；能够运用不同中医药技术方法的基层医疗卫生机构的比例；各区能够运用不同中医药技术方法的社区卫生服务中心的比例；各区能够运用不同中医药技术方法的社区卫生服务站的比例；各区能够运用不同中医药技术方法的村卫生室的比例等多张国家报表</w:t>
            </w:r>
          </w:p>
        </w:tc>
      </w:tr>
      <w:tr>
        <w:tblPrEx>
          <w:tblCellMar>
            <w:top w:w="0" w:type="dxa"/>
            <w:left w:w="108" w:type="dxa"/>
            <w:bottom w:w="0" w:type="dxa"/>
            <w:right w:w="108" w:type="dxa"/>
          </w:tblCellMar>
        </w:tblPrEx>
        <w:trPr>
          <w:trHeight w:val="183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中医医疗管理统计调查数据汇编03 人员情况（国家统计分析报表需求）</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包含全市汇总分析各类基层医疗卫生机构中医药人员配备情况；基层医疗卫生机构在岗医师情况；各区社区卫生服务中心在岗医师情况；各区社区卫生服务分中心在岗医师情况；各区社区卫生服务站在岗医师情况；各区村卫生室在岗医师情况；基层医疗卫生机构中医类别执业（助理）医师职称构成(%)；各区社区卫生服务中心、分中心中医类别执业（助理）医师职称构成等多张国家报表</w:t>
            </w:r>
          </w:p>
        </w:tc>
      </w:tr>
      <w:tr>
        <w:tblPrEx>
          <w:tblCellMar>
            <w:top w:w="0" w:type="dxa"/>
            <w:left w:w="108" w:type="dxa"/>
            <w:bottom w:w="0" w:type="dxa"/>
            <w:right w:w="108" w:type="dxa"/>
          </w:tblCellMar>
        </w:tblPrEx>
        <w:trPr>
          <w:trHeight w:val="105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中医医疗管理统计调查数据汇编04 床位使用情况（国家统计分析报表需求）</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包含全市汇总分析基层医疗卫生机构中医科床位设置、床位占比情况；各区社区卫生服务中心中医科床位设置、床位占比情况等多张国家报表</w:t>
            </w:r>
          </w:p>
        </w:tc>
      </w:tr>
      <w:tr>
        <w:tblPrEx>
          <w:tblCellMar>
            <w:top w:w="0" w:type="dxa"/>
            <w:left w:w="108" w:type="dxa"/>
            <w:bottom w:w="0" w:type="dxa"/>
            <w:right w:w="108" w:type="dxa"/>
          </w:tblCellMar>
        </w:tblPrEx>
        <w:trPr>
          <w:trHeight w:val="520" w:hRule="atLeast"/>
        </w:trPr>
        <w:tc>
          <w:tcPr>
            <w:tcW w:w="378"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中医医疗管理统计调查数据汇编05 医疗设备配置情况（国家统计分析报表需求）</w:t>
            </w:r>
          </w:p>
        </w:tc>
        <w:tc>
          <w:tcPr>
            <w:tcW w:w="2351" w:type="pct"/>
            <w:tcBorders>
              <w:top w:val="nil"/>
              <w:left w:val="nil"/>
              <w:bottom w:val="nil"/>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包含全市汇总分析配备不同中医诊疗设备的基层医疗卫生机构的比例</w:t>
            </w:r>
          </w:p>
        </w:tc>
      </w:tr>
      <w:tr>
        <w:tblPrEx>
          <w:tblCellMar>
            <w:top w:w="0" w:type="dxa"/>
            <w:left w:w="108" w:type="dxa"/>
            <w:bottom w:w="0" w:type="dxa"/>
            <w:right w:w="108" w:type="dxa"/>
          </w:tblCellMar>
        </w:tblPrEx>
        <w:trPr>
          <w:trHeight w:val="1570" w:hRule="atLeast"/>
        </w:trPr>
        <w:tc>
          <w:tcPr>
            <w:tcW w:w="37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各区配备不同中医诊疗设备的社区卫生服务中心的比例；各区配备不同中医诊疗设备的社区卫生服务分中心的比例；各区配备不同中医诊疗设备的社区卫生服务站的比例；各区配备不同中医诊疗设备的村卫生室的比例；基层医疗卫生机构各种中医诊疗设备配备情况；各区社区卫生服务中心各种中医诊疗设备配备情况等多张国家报表</w:t>
            </w:r>
          </w:p>
        </w:tc>
      </w:tr>
      <w:tr>
        <w:tblPrEx>
          <w:tblCellMar>
            <w:top w:w="0" w:type="dxa"/>
            <w:left w:w="108" w:type="dxa"/>
            <w:bottom w:w="0" w:type="dxa"/>
            <w:right w:w="108" w:type="dxa"/>
          </w:tblCellMar>
        </w:tblPrEx>
        <w:trPr>
          <w:trHeight w:val="131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中医医疗管理统计调查数据汇编06 年度收入情况（国家统计分析报表需求）</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包含全市汇总分析基层医疗卫生机构中医医疗服务项目收入情况；各区社区卫生服务中心中医医疗服务项目收入情况；各区社区卫生服务分中心中医医疗服务项目收入情况；各区社区卫生服务站中医医疗服务项目收入情况；各区村卫生室中医医疗服务项目收入情况等多张国家报表</w:t>
            </w:r>
          </w:p>
        </w:tc>
      </w:tr>
      <w:tr>
        <w:tblPrEx>
          <w:tblCellMar>
            <w:top w:w="0" w:type="dxa"/>
            <w:left w:w="108" w:type="dxa"/>
            <w:bottom w:w="0" w:type="dxa"/>
            <w:right w:w="108" w:type="dxa"/>
          </w:tblCellMar>
        </w:tblPrEx>
        <w:trPr>
          <w:trHeight w:val="183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中医医疗管理统计调查数据汇编07 医疗服务情况（国家统计分析报表需求）</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包含全市汇总分析基层医疗卫生机构门诊中医诊疗情况；各区社区卫生服务中心门诊中医诊疗情况；各区社区卫生服务分中心门诊中医诊疗情况；各区社区卫生服务站门诊中医诊疗情况；各区村卫生室门诊中医诊疗情况；基层医疗卫生机构中医综合服务区诊疗情况；各区社区卫生服务中心中医综合服务区诊疗情况；各区社区卫生服务分中心中医综合服务区诊疗情况等多张报表内容</w:t>
            </w:r>
          </w:p>
        </w:tc>
      </w:tr>
      <w:tr>
        <w:tblPrEx>
          <w:tblCellMar>
            <w:top w:w="0" w:type="dxa"/>
            <w:left w:w="108" w:type="dxa"/>
            <w:bottom w:w="0" w:type="dxa"/>
            <w:right w:w="108" w:type="dxa"/>
          </w:tblCellMar>
        </w:tblPrEx>
        <w:trPr>
          <w:trHeight w:val="157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中医医疗管理统计调查数据汇编08 基本公共卫生服务情况（国家统计分析报表需求）</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包含全市汇总分析基层医疗卫生机构年末有中医体质辨识的居民健康档案累计建档情况；各区社区卫生服务中心年末有中医体质辨识的居民健康档案累计建档情况；各区社区卫生服务分中心年末有中医体质辨识的居民健康档案累计建档情况；各区社区卫生服务站年末有中医体质辨识的居民健康档案累计建档情况等多张国家报表</w:t>
            </w:r>
          </w:p>
        </w:tc>
      </w:tr>
      <w:tr>
        <w:tblPrEx>
          <w:tblCellMar>
            <w:top w:w="0" w:type="dxa"/>
            <w:left w:w="108" w:type="dxa"/>
            <w:bottom w:w="0" w:type="dxa"/>
            <w:right w:w="108" w:type="dxa"/>
          </w:tblCellMar>
        </w:tblPrEx>
        <w:trPr>
          <w:trHeight w:val="79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中医药综合统计数据汇编-中医医疗资源（国家统计分析报表需求）</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包含汇总分析中医药相关的人力、物力、财力和信息资源等方面的综合资源，中医医疗资源的分布情况、数量及各地中医医疗资源的差异等多张报表内容</w:t>
            </w:r>
          </w:p>
        </w:tc>
      </w:tr>
      <w:tr>
        <w:tblPrEx>
          <w:tblCellMar>
            <w:top w:w="0" w:type="dxa"/>
            <w:left w:w="108" w:type="dxa"/>
            <w:bottom w:w="0" w:type="dxa"/>
            <w:right w:w="108" w:type="dxa"/>
          </w:tblCellMar>
        </w:tblPrEx>
        <w:trPr>
          <w:trHeight w:val="105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中医药综合统计数据汇编-中医医疗机构运营与服务（国家统计分析报表需求）</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包含汇总分析中医医疗机构的门诊服务情况、住院服务情况、处方使用情况、收支情况等，可以监控和评估机构的各项运营指标等多张报表内容</w:t>
            </w:r>
          </w:p>
        </w:tc>
      </w:tr>
      <w:tr>
        <w:tblPrEx>
          <w:tblCellMar>
            <w:top w:w="0" w:type="dxa"/>
            <w:left w:w="108" w:type="dxa"/>
            <w:bottom w:w="0" w:type="dxa"/>
            <w:right w:w="108" w:type="dxa"/>
          </w:tblCellMar>
        </w:tblPrEx>
        <w:trPr>
          <w:trHeight w:val="79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上海汇总分析报表</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包含分析汇总中医类医院卫生事业发展情况、中医医院事业基本情况、中医医疗业务开展情况、中医医院房屋、设备情况等多张报表内容</w:t>
            </w:r>
          </w:p>
        </w:tc>
      </w:tr>
      <w:tr>
        <w:tblPrEx>
          <w:tblCellMar>
            <w:top w:w="0" w:type="dxa"/>
            <w:left w:w="108" w:type="dxa"/>
            <w:bottom w:w="0" w:type="dxa"/>
            <w:right w:w="108" w:type="dxa"/>
          </w:tblCellMar>
        </w:tblPrEx>
        <w:trPr>
          <w:trHeight w:val="29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758"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中医药指标规范化管理</w:t>
            </w:r>
          </w:p>
        </w:tc>
        <w:tc>
          <w:tcPr>
            <w:tcW w:w="71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指标管理</w:t>
            </w: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指标属性管理</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开发属性值的校验功能，增删改查，细粒度的权限控制等</w:t>
            </w:r>
          </w:p>
        </w:tc>
      </w:tr>
      <w:tr>
        <w:tblPrEx>
          <w:tblCellMar>
            <w:top w:w="0" w:type="dxa"/>
            <w:left w:w="108" w:type="dxa"/>
            <w:bottom w:w="0" w:type="dxa"/>
            <w:right w:w="108" w:type="dxa"/>
          </w:tblCellMar>
        </w:tblPrEx>
        <w:trPr>
          <w:trHeight w:val="29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指标项定义</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开发指标项定义维护功能</w:t>
            </w:r>
          </w:p>
        </w:tc>
      </w:tr>
      <w:tr>
        <w:tblPrEx>
          <w:tblCellMar>
            <w:top w:w="0" w:type="dxa"/>
            <w:left w:w="108" w:type="dxa"/>
            <w:bottom w:w="0" w:type="dxa"/>
            <w:right w:w="108" w:type="dxa"/>
          </w:tblCellMar>
        </w:tblPrEx>
        <w:trPr>
          <w:trHeight w:val="53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指标标签管理</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设计并实现指标标签管理体系，支持为各级指标添加标准化属性标签（如绝对值、相对值标识），构建标签-指标关联模型。基于可扩展架构，允许动态配置标签分类及层级关系，实现指标元数据的规范化管理。提供多维复合标签筛选机制，支持通过标签组合快速定位目标指标</w:t>
            </w:r>
          </w:p>
        </w:tc>
      </w:tr>
      <w:tr>
        <w:tblPrEx>
          <w:tblCellMar>
            <w:top w:w="0" w:type="dxa"/>
            <w:left w:w="108" w:type="dxa"/>
            <w:bottom w:w="0" w:type="dxa"/>
            <w:right w:w="108" w:type="dxa"/>
          </w:tblCellMar>
        </w:tblPrEx>
        <w:trPr>
          <w:trHeight w:val="29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指标口径管理</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对每个指标口径定义进行说明管理</w:t>
            </w:r>
          </w:p>
        </w:tc>
      </w:tr>
      <w:tr>
        <w:tblPrEx>
          <w:tblCellMar>
            <w:top w:w="0" w:type="dxa"/>
            <w:left w:w="108" w:type="dxa"/>
            <w:bottom w:w="0" w:type="dxa"/>
            <w:right w:w="108" w:type="dxa"/>
          </w:tblCellMar>
        </w:tblPrEx>
        <w:trPr>
          <w:trHeight w:val="53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指标模型管理</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研发指标评分管理系统，基于现有指标库构建标准化评分规则引擎，支持阈值设定、权重配置及算法建模。输入同组指标数据后，系统自动执行多维度量化分析，按预设标准生成动态评分结果，集成权重调整、合规校验与追溯功能，提升评估客观性，为决策提供可解释的量化支持</w:t>
            </w:r>
          </w:p>
        </w:tc>
      </w:tr>
      <w:tr>
        <w:tblPrEx>
          <w:tblCellMar>
            <w:top w:w="0" w:type="dxa"/>
            <w:left w:w="108" w:type="dxa"/>
            <w:bottom w:w="0" w:type="dxa"/>
            <w:right w:w="108" w:type="dxa"/>
          </w:tblCellMar>
        </w:tblPrEx>
        <w:trPr>
          <w:trHeight w:val="53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指标存储设置</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指标存储设置提供详细的配置选项，如存储位置、存储周期、备份策略，支持多种数据格式的存储</w:t>
            </w:r>
          </w:p>
        </w:tc>
      </w:tr>
      <w:tr>
        <w:tblPrEx>
          <w:tblCellMar>
            <w:top w:w="0" w:type="dxa"/>
            <w:left w:w="108" w:type="dxa"/>
            <w:bottom w:w="0" w:type="dxa"/>
            <w:right w:w="108" w:type="dxa"/>
          </w:tblCellMar>
        </w:tblPrEx>
        <w:trPr>
          <w:trHeight w:val="53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指标版本管理</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允许用户为指标创建新版本，提供版本比较功能，版本回滚操作</w:t>
            </w:r>
          </w:p>
        </w:tc>
      </w:tr>
      <w:tr>
        <w:tblPrEx>
          <w:tblCellMar>
            <w:top w:w="0" w:type="dxa"/>
            <w:left w:w="108" w:type="dxa"/>
            <w:bottom w:w="0" w:type="dxa"/>
            <w:right w:w="108" w:type="dxa"/>
          </w:tblCellMar>
        </w:tblPrEx>
        <w:trPr>
          <w:trHeight w:val="53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指标发布</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提供指标发布功能，发布实现指标的即时创建、即时可见、即时可用</w:t>
            </w:r>
          </w:p>
        </w:tc>
      </w:tr>
      <w:tr>
        <w:tblPrEx>
          <w:tblCellMar>
            <w:top w:w="0" w:type="dxa"/>
            <w:left w:w="108" w:type="dxa"/>
            <w:bottom w:w="0" w:type="dxa"/>
            <w:right w:w="108" w:type="dxa"/>
          </w:tblCellMar>
        </w:tblPrEx>
        <w:trPr>
          <w:trHeight w:val="29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指标溯源</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指标溯源可以查看指标表的关联关系</w:t>
            </w:r>
          </w:p>
        </w:tc>
      </w:tr>
      <w:tr>
        <w:tblPrEx>
          <w:tblCellMar>
            <w:top w:w="0" w:type="dxa"/>
            <w:left w:w="108" w:type="dxa"/>
            <w:bottom w:w="0" w:type="dxa"/>
            <w:right w:w="108" w:type="dxa"/>
          </w:tblCellMar>
        </w:tblPrEx>
        <w:trPr>
          <w:trHeight w:val="29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指标任务调度</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开发统一的任务调度管理功能</w:t>
            </w:r>
          </w:p>
        </w:tc>
      </w:tr>
      <w:tr>
        <w:tblPrEx>
          <w:tblCellMar>
            <w:top w:w="0" w:type="dxa"/>
            <w:left w:w="108" w:type="dxa"/>
            <w:bottom w:w="0" w:type="dxa"/>
            <w:right w:w="108" w:type="dxa"/>
          </w:tblCellMar>
        </w:tblPrEx>
        <w:trPr>
          <w:trHeight w:val="79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指标市场</w:t>
            </w: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指标主题分类管理</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根据不同的类别对指标进行系统性分组，并对现有的多级指标结构进行细致梳理。在此基础上，为每个指标分配相应的维度，以便为后续的指标评分分析提供全面而精准的支持</w:t>
            </w:r>
          </w:p>
        </w:tc>
      </w:tr>
      <w:tr>
        <w:tblPrEx>
          <w:tblCellMar>
            <w:top w:w="0" w:type="dxa"/>
            <w:left w:w="108" w:type="dxa"/>
            <w:bottom w:w="0" w:type="dxa"/>
            <w:right w:w="108" w:type="dxa"/>
          </w:tblCellMar>
        </w:tblPrEx>
        <w:trPr>
          <w:trHeight w:val="53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指标看板展示</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开发分栏展示、指标明细信息展示、指标结构信息展示、指标表的详细指标信息展示，允许导出为文本文件</w:t>
            </w:r>
          </w:p>
        </w:tc>
      </w:tr>
      <w:tr>
        <w:tblPrEx>
          <w:tblCellMar>
            <w:top w:w="0" w:type="dxa"/>
            <w:left w:w="108" w:type="dxa"/>
            <w:bottom w:w="0" w:type="dxa"/>
            <w:right w:w="108" w:type="dxa"/>
          </w:tblCellMar>
        </w:tblPrEx>
        <w:trPr>
          <w:trHeight w:val="53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指标血缘分析</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梳理系统、表、视图、存储过程、ETL、程序代码、字段等之间的关系，并采用图数据库进行可视化展示</w:t>
            </w:r>
          </w:p>
        </w:tc>
      </w:tr>
      <w:tr>
        <w:tblPrEx>
          <w:tblCellMar>
            <w:top w:w="0" w:type="dxa"/>
            <w:left w:w="108" w:type="dxa"/>
            <w:bottom w:w="0" w:type="dxa"/>
            <w:right w:w="108" w:type="dxa"/>
          </w:tblCellMar>
        </w:tblPrEx>
        <w:trPr>
          <w:trHeight w:val="53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25</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指标探查</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在更细粒度的数据上进行深入研究，开发下钻分析，帮助用户拆解指标的组成部分</w:t>
            </w:r>
          </w:p>
        </w:tc>
      </w:tr>
      <w:tr>
        <w:tblPrEx>
          <w:tblCellMar>
            <w:top w:w="0" w:type="dxa"/>
            <w:left w:w="108" w:type="dxa"/>
            <w:bottom w:w="0" w:type="dxa"/>
            <w:right w:w="108" w:type="dxa"/>
          </w:tblCellMar>
        </w:tblPrEx>
        <w:trPr>
          <w:trHeight w:val="79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26</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指标应用</w:t>
            </w: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日常自助式取数</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业务人员可基于自己有权限的指标进行自助取数，通过维度与指标，采用拖拽的方式实时查看数据结果，并可生成固定的模板</w:t>
            </w:r>
          </w:p>
        </w:tc>
      </w:tr>
      <w:tr>
        <w:tblPrEx>
          <w:tblCellMar>
            <w:top w:w="0" w:type="dxa"/>
            <w:left w:w="108" w:type="dxa"/>
            <w:bottom w:w="0" w:type="dxa"/>
            <w:right w:w="108" w:type="dxa"/>
          </w:tblCellMar>
        </w:tblPrEx>
        <w:trPr>
          <w:trHeight w:val="29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多样化数据报表应用</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依据现有的指标评分以及分析，在当期数据锁定后，自动生成分析报告、报表</w:t>
            </w:r>
          </w:p>
        </w:tc>
      </w:tr>
      <w:tr>
        <w:tblPrEx>
          <w:tblCellMar>
            <w:top w:w="0" w:type="dxa"/>
            <w:left w:w="108" w:type="dxa"/>
            <w:bottom w:w="0" w:type="dxa"/>
            <w:right w:w="108" w:type="dxa"/>
          </w:tblCellMar>
        </w:tblPrEx>
        <w:trPr>
          <w:trHeight w:val="29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可视化分析应用</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研发指标可视化分析平台，以横向、纵向、极限三种维度展示，集成多维度图表展示效果，支持评分看板、雷达图等交互展示，支持PDF导出</w:t>
            </w:r>
          </w:p>
        </w:tc>
      </w:tr>
      <w:tr>
        <w:tblPrEx>
          <w:tblCellMar>
            <w:top w:w="0" w:type="dxa"/>
            <w:left w:w="108" w:type="dxa"/>
            <w:bottom w:w="0" w:type="dxa"/>
            <w:right w:w="108" w:type="dxa"/>
          </w:tblCellMar>
        </w:tblPrEx>
        <w:trPr>
          <w:trHeight w:val="53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29</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指标热度分析</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收集用户使用指标频次数据，包括但不限于访问量、点击量、更新量等。定义合理的热度评估模型</w:t>
            </w:r>
          </w:p>
        </w:tc>
      </w:tr>
      <w:tr>
        <w:tblPrEx>
          <w:tblCellMar>
            <w:top w:w="0" w:type="dxa"/>
            <w:left w:w="108" w:type="dxa"/>
            <w:bottom w:w="0" w:type="dxa"/>
            <w:right w:w="108" w:type="dxa"/>
          </w:tblCellMar>
        </w:tblPrEx>
        <w:trPr>
          <w:trHeight w:val="1199"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758"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中医药绩效考核管理系统</w:t>
            </w:r>
          </w:p>
        </w:tc>
        <w:tc>
          <w:tcPr>
            <w:tcW w:w="71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绩效考核指标管理</w:t>
            </w: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三级中医类医院绩效考核指标管理</w:t>
            </w:r>
          </w:p>
        </w:tc>
        <w:tc>
          <w:tcPr>
            <w:tcW w:w="2351"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不同的机构类别和级别，考核标准不一，且每年考核标准都有所变化，对不同类别和级别的机构考核体系及历史版本进行统一管理，支持添加指标权重体系，构建绩效考核评分体系</w:t>
            </w:r>
          </w:p>
        </w:tc>
      </w:tr>
      <w:tr>
        <w:tblPrEx>
          <w:tblCellMar>
            <w:top w:w="0" w:type="dxa"/>
            <w:left w:w="108" w:type="dxa"/>
            <w:bottom w:w="0" w:type="dxa"/>
            <w:right w:w="108" w:type="dxa"/>
          </w:tblCellMar>
        </w:tblPrEx>
        <w:trPr>
          <w:trHeight w:val="53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31</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二级中医类医院绩效考核指标管理</w:t>
            </w:r>
          </w:p>
        </w:tc>
        <w:tc>
          <w:tcPr>
            <w:tcW w:w="2351"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53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社区中医药综合指数指标管理</w:t>
            </w:r>
          </w:p>
        </w:tc>
        <w:tc>
          <w:tcPr>
            <w:tcW w:w="2351"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29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33</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考核评价分析</w:t>
            </w: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绩效考核结果查询</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本项目提供直观、清晰的界面，用于展示各级中医药机构（如医院、基层卫生机构等）的绩效考核结果。这些结果应包含各指标具体数值情况。能够根据自己的需求，自定义查询条件，如按时间范围、机构类型、地区等筛选查询结果。能够将查询结果导出为Excel、PDF等格式，方便进行进一步的数据分析、报告撰写等工作</w:t>
            </w:r>
          </w:p>
        </w:tc>
      </w:tr>
      <w:tr>
        <w:tblPrEx>
          <w:tblCellMar>
            <w:top w:w="0" w:type="dxa"/>
            <w:left w:w="108" w:type="dxa"/>
            <w:bottom w:w="0" w:type="dxa"/>
            <w:right w:w="108" w:type="dxa"/>
          </w:tblCellMar>
        </w:tblPrEx>
        <w:trPr>
          <w:trHeight w:val="53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34</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全市中医药服务能力评价</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根据历年数据出具全市合计的中医药服务能力评价指标，生成图表分析页面。</w:t>
            </w:r>
          </w:p>
        </w:tc>
      </w:tr>
      <w:tr>
        <w:tblPrEx>
          <w:tblCellMar>
            <w:top w:w="0" w:type="dxa"/>
            <w:left w:w="108" w:type="dxa"/>
            <w:bottom w:w="0" w:type="dxa"/>
            <w:right w:w="108" w:type="dxa"/>
          </w:tblCellMar>
        </w:tblPrEx>
        <w:trPr>
          <w:trHeight w:val="53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35</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全市中医药服务能力发展变化</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对全市合计的中医药服务能力做趋势分析，分析多年的数据变化趋势，以图表结合的形式展示分析页面。</w:t>
            </w:r>
          </w:p>
        </w:tc>
      </w:tr>
      <w:tr>
        <w:tblPrEx>
          <w:tblCellMar>
            <w:top w:w="0" w:type="dxa"/>
            <w:left w:w="108" w:type="dxa"/>
            <w:bottom w:w="0" w:type="dxa"/>
            <w:right w:w="108" w:type="dxa"/>
          </w:tblCellMar>
        </w:tblPrEx>
        <w:trPr>
          <w:trHeight w:val="53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各区中医药服务能力对比评价</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基于历史数据，制定各区医院的中医药服务能力评估指标，并创建图表分析界面进行展示</w:t>
            </w:r>
          </w:p>
        </w:tc>
      </w:tr>
      <w:tr>
        <w:tblPrEx>
          <w:tblCellMar>
            <w:top w:w="0" w:type="dxa"/>
            <w:left w:w="108" w:type="dxa"/>
            <w:bottom w:w="0" w:type="dxa"/>
            <w:right w:w="108" w:type="dxa"/>
          </w:tblCellMar>
        </w:tblPrEx>
        <w:trPr>
          <w:trHeight w:val="53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37</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各区中医药服务能力发展变化</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对各区医院的中医药服务能力进行时间序列分析，探究其多年来的变化趋势，并通过图表结合的方式，在分析页面上直观呈现这些趋势数据</w:t>
            </w:r>
          </w:p>
        </w:tc>
      </w:tr>
      <w:tr>
        <w:tblPrEx>
          <w:tblCellMar>
            <w:top w:w="0" w:type="dxa"/>
            <w:left w:w="108" w:type="dxa"/>
            <w:bottom w:w="0" w:type="dxa"/>
            <w:right w:w="108" w:type="dxa"/>
          </w:tblCellMar>
        </w:tblPrEx>
        <w:trPr>
          <w:trHeight w:val="53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中医类医院中医药服务能力综合评价</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根据历年数据出具中医类医院的中医药服务能力评价指标，生成图表分析页面</w:t>
            </w:r>
          </w:p>
        </w:tc>
      </w:tr>
      <w:tr>
        <w:tblPrEx>
          <w:tblCellMar>
            <w:top w:w="0" w:type="dxa"/>
            <w:left w:w="108" w:type="dxa"/>
            <w:bottom w:w="0" w:type="dxa"/>
            <w:right w:w="108" w:type="dxa"/>
          </w:tblCellMar>
        </w:tblPrEx>
        <w:trPr>
          <w:trHeight w:val="53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39</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社区中医药综合指数评价</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从人员配置、诊疗情况、处方管理、非药物疗法等方面综合评价，生成图表分析页面</w:t>
            </w:r>
          </w:p>
        </w:tc>
      </w:tr>
      <w:tr>
        <w:tblPrEx>
          <w:tblCellMar>
            <w:top w:w="0" w:type="dxa"/>
            <w:left w:w="108" w:type="dxa"/>
            <w:bottom w:w="0" w:type="dxa"/>
            <w:right w:w="108" w:type="dxa"/>
          </w:tblCellMar>
        </w:tblPrEx>
        <w:trPr>
          <w:trHeight w:val="53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40</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机构中医药医疗服务能力对比分析</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利用图表融合的方式，呈现不同医院机构在服务能力方面的差异对比</w:t>
            </w:r>
          </w:p>
        </w:tc>
      </w:tr>
      <w:tr>
        <w:tblPrEx>
          <w:tblCellMar>
            <w:top w:w="0" w:type="dxa"/>
            <w:left w:w="108" w:type="dxa"/>
            <w:bottom w:w="0" w:type="dxa"/>
            <w:right w:w="108" w:type="dxa"/>
          </w:tblCellMar>
        </w:tblPrEx>
        <w:trPr>
          <w:trHeight w:val="53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41</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中医药特色站点对比分析</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利用图表融合的方式，对比展示各中医药特色站点机构在服务能力上的不同表现</w:t>
            </w:r>
          </w:p>
        </w:tc>
      </w:tr>
      <w:tr>
        <w:tblPrEx>
          <w:tblCellMar>
            <w:top w:w="0" w:type="dxa"/>
            <w:left w:w="108" w:type="dxa"/>
            <w:bottom w:w="0" w:type="dxa"/>
            <w:right w:w="108" w:type="dxa"/>
          </w:tblCellMar>
        </w:tblPrEx>
        <w:trPr>
          <w:trHeight w:val="29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42</w:t>
            </w:r>
          </w:p>
        </w:tc>
        <w:tc>
          <w:tcPr>
            <w:tcW w:w="758"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自助式分析应用</w:t>
            </w:r>
          </w:p>
        </w:tc>
        <w:tc>
          <w:tcPr>
            <w:tcW w:w="71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自主分析</w:t>
            </w: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中医药人才自助式分析</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整合中医人员的各类信息，确保分析的全面性和准确性。用户可以根据自身需求，自定义分析维度和指标，进行灵活的数据分析和挖掘。无论是针对某个特定群体的分析，还是针对某个具体指标的比较，都能得到满足。提供可视化快速配置分析页面功能。可自由设置横向维度及纵向维度（如机构类别、机构名称、行政区划等），设置分析指标（如执业医师、注册护士、药师等），同时可设置查询组件（如日期选择框、机构类型下拉框、机构级别下拉框等），无需编码，业务人员即可自由选择和分析</w:t>
            </w:r>
          </w:p>
        </w:tc>
      </w:tr>
      <w:tr>
        <w:tblPrEx>
          <w:tblCellMar>
            <w:top w:w="0" w:type="dxa"/>
            <w:left w:w="108" w:type="dxa"/>
            <w:bottom w:w="0" w:type="dxa"/>
            <w:right w:w="108" w:type="dxa"/>
          </w:tblCellMar>
        </w:tblPrEx>
        <w:trPr>
          <w:trHeight w:val="53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43</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8"/>
                <w:szCs w:val="18"/>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8"/>
                <w:szCs w:val="18"/>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全市中医药年报自助式分析</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整合全市范围内的中医药年报数据，涵盖了中医服务、人员床位、临床应用、科研进展等多个方面，确保数据的全面性和准确性。内置了多种数据挖掘算法，如关联分析、聚类分析、趋势预测等，帮助用户深入挖掘数据背后的规律和价值，为中医药的科研和决策提供更多依据。提供可视化快速配置分析页面功能。可自由设置横向维度及纵向维度，设置分析指标，同时可设置查询组件，无需编码，业务人员即可自由选择和分析</w:t>
            </w:r>
          </w:p>
        </w:tc>
      </w:tr>
      <w:tr>
        <w:tblPrEx>
          <w:tblCellMar>
            <w:top w:w="0" w:type="dxa"/>
            <w:left w:w="108" w:type="dxa"/>
            <w:bottom w:w="0" w:type="dxa"/>
            <w:right w:w="108" w:type="dxa"/>
          </w:tblCellMar>
        </w:tblPrEx>
        <w:trPr>
          <w:trHeight w:val="53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44</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8"/>
                <w:szCs w:val="18"/>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8"/>
                <w:szCs w:val="18"/>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中医类医院年报自助式分析</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整合中医类医院年报中的各类数据，确保数据的全面性和准确性。自由选择不同的数据维度和分析指标，对年报数据进行多维度的分析。支持数据的交叉对比、趋势分析等功能，可以将分析结果导出为Excel、PDF等格式，方便进一步处理和使用</w:t>
            </w:r>
          </w:p>
        </w:tc>
      </w:tr>
      <w:tr>
        <w:tblPrEx>
          <w:tblCellMar>
            <w:top w:w="0" w:type="dxa"/>
            <w:left w:w="108" w:type="dxa"/>
            <w:bottom w:w="0" w:type="dxa"/>
            <w:right w:w="108" w:type="dxa"/>
          </w:tblCellMar>
        </w:tblPrEx>
        <w:trPr>
          <w:trHeight w:val="53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45</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8"/>
                <w:szCs w:val="18"/>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8"/>
                <w:szCs w:val="18"/>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基层机构年报自助式分析</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整合基层机构多个来源的年报数据，确保数据的完整性和准确性。提供数据清洗、转换和标准化等预处理功能，减少数据冗余和错误，提高数据质量。支持用户根据实际需求，自由选择数据维度和分析指标，进行多维度数据分析。提供数据交叉对比、趋势分析等功能，帮助用户发现数据中的规律和潜在问题。实时更新基层机构的年报数据，确保分析结果的时效性和准确性。</w:t>
            </w:r>
          </w:p>
        </w:tc>
      </w:tr>
      <w:tr>
        <w:tblPrEx>
          <w:tblCellMar>
            <w:top w:w="0" w:type="dxa"/>
            <w:left w:w="108" w:type="dxa"/>
            <w:bottom w:w="0" w:type="dxa"/>
            <w:right w:w="108" w:type="dxa"/>
          </w:tblCellMar>
        </w:tblPrEx>
        <w:trPr>
          <w:trHeight w:val="29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46</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8"/>
                <w:szCs w:val="18"/>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8"/>
                <w:szCs w:val="18"/>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中医药月报自助式分析</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整合中医药月报数据，对数据清洗，确保数据的准确性和一致性。用户可以根据需要，自由选择数据维度和分析指标，对中医药月报数据进行多维度分析。本项目实时更新中医药月报数据，确保分析结果的时效性和准确性。</w:t>
            </w:r>
          </w:p>
        </w:tc>
      </w:tr>
      <w:tr>
        <w:tblPrEx>
          <w:tblCellMar>
            <w:top w:w="0" w:type="dxa"/>
            <w:left w:w="108" w:type="dxa"/>
            <w:bottom w:w="0" w:type="dxa"/>
            <w:right w:w="108" w:type="dxa"/>
          </w:tblCellMar>
        </w:tblPrEx>
        <w:trPr>
          <w:trHeight w:val="29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47</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8"/>
                <w:szCs w:val="18"/>
              </w:rPr>
            </w:pPr>
          </w:p>
        </w:tc>
        <w:tc>
          <w:tcPr>
            <w:tcW w:w="71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灵活查询</w:t>
            </w: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中医药人才信息灵活查询</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基于中医药人力明细数据进行灵活查询和统计，通过点击配置，快速生成灵活查询和统计报表。灵活查询通过对科室（部门） 、专业、学历、年龄、是否注册为多地点执业医师、医师执业类别代码等指标，分析中医药人力资源发展情况。支持同比、环比、同期、上期等一键式统计方法，同时可在报表中实时自定义计算字段，根据查询结果可保存为查询模板，模板支持一键载入，无需重复配置，查询结果支持导出为excel表格。</w:t>
            </w:r>
          </w:p>
        </w:tc>
      </w:tr>
      <w:tr>
        <w:tblPrEx>
          <w:tblCellMar>
            <w:top w:w="0" w:type="dxa"/>
            <w:left w:w="108" w:type="dxa"/>
            <w:bottom w:w="0" w:type="dxa"/>
            <w:right w:w="108" w:type="dxa"/>
          </w:tblCellMar>
        </w:tblPrEx>
        <w:trPr>
          <w:trHeight w:val="53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48</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8"/>
                <w:szCs w:val="18"/>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8"/>
                <w:szCs w:val="18"/>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中医出院病人调查表灵活查询</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（内置多种指标灵活查询）</w:t>
            </w:r>
          </w:p>
        </w:tc>
      </w:tr>
      <w:tr>
        <w:tblPrEx>
          <w:tblCellMar>
            <w:top w:w="0" w:type="dxa"/>
            <w:left w:w="108" w:type="dxa"/>
            <w:bottom w:w="0" w:type="dxa"/>
            <w:right w:w="108" w:type="dxa"/>
          </w:tblCellMar>
        </w:tblPrEx>
        <w:trPr>
          <w:trHeight w:val="29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49</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8"/>
                <w:szCs w:val="18"/>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8"/>
                <w:szCs w:val="18"/>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中医优势病种灵活查询</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（内置32个病种模板）</w:t>
            </w:r>
          </w:p>
        </w:tc>
      </w:tr>
      <w:tr>
        <w:tblPrEx>
          <w:tblCellMar>
            <w:top w:w="0" w:type="dxa"/>
            <w:left w:w="108" w:type="dxa"/>
            <w:bottom w:w="0" w:type="dxa"/>
            <w:right w:w="108" w:type="dxa"/>
          </w:tblCellMar>
        </w:tblPrEx>
        <w:trPr>
          <w:trHeight w:val="29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8"/>
                <w:szCs w:val="18"/>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8"/>
                <w:szCs w:val="18"/>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中医推荐病种灵活查询</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（内置40+病种模板）</w:t>
            </w:r>
          </w:p>
        </w:tc>
      </w:tr>
      <w:tr>
        <w:tblPrEx>
          <w:tblCellMar>
            <w:top w:w="0" w:type="dxa"/>
            <w:left w:w="108" w:type="dxa"/>
            <w:bottom w:w="0" w:type="dxa"/>
            <w:right w:w="108" w:type="dxa"/>
          </w:tblCellMar>
        </w:tblPrEx>
        <w:trPr>
          <w:trHeight w:val="299"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51</w:t>
            </w:r>
          </w:p>
        </w:tc>
        <w:tc>
          <w:tcPr>
            <w:tcW w:w="758"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中医药智能数据分析报告</w:t>
            </w:r>
          </w:p>
        </w:tc>
        <w:tc>
          <w:tcPr>
            <w:tcW w:w="1513"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全市中医药智能分析报告</w:t>
            </w:r>
          </w:p>
        </w:tc>
        <w:tc>
          <w:tcPr>
            <w:tcW w:w="2351"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基于不同的数据源，机构类别不同，分析维度和指标差异、以图、表、文字相结合的报告形式，多维分析展示</w:t>
            </w:r>
          </w:p>
        </w:tc>
      </w:tr>
      <w:tr>
        <w:tblPrEx>
          <w:tblCellMar>
            <w:top w:w="0" w:type="dxa"/>
            <w:left w:w="108" w:type="dxa"/>
            <w:bottom w:w="0" w:type="dxa"/>
            <w:right w:w="108" w:type="dxa"/>
          </w:tblCellMar>
        </w:tblPrEx>
        <w:trPr>
          <w:trHeight w:val="52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52</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1513"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各区中医药智能分析报告</w:t>
            </w:r>
          </w:p>
        </w:tc>
        <w:tc>
          <w:tcPr>
            <w:tcW w:w="2351"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52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53</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1513"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医院中医药智能分析报告</w:t>
            </w:r>
          </w:p>
        </w:tc>
        <w:tc>
          <w:tcPr>
            <w:tcW w:w="2351"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52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1513"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基层机构中医药能力提升分析报告</w:t>
            </w:r>
          </w:p>
        </w:tc>
        <w:tc>
          <w:tcPr>
            <w:tcW w:w="2351"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29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55</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1513"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分析报告管理</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包括报告模板管理、版本管理等</w:t>
            </w:r>
          </w:p>
        </w:tc>
      </w:tr>
      <w:tr>
        <w:tblPrEx>
          <w:tblCellMar>
            <w:top w:w="0" w:type="dxa"/>
            <w:left w:w="108" w:type="dxa"/>
            <w:bottom w:w="0" w:type="dxa"/>
            <w:right w:w="108" w:type="dxa"/>
          </w:tblCellMar>
        </w:tblPrEx>
        <w:trPr>
          <w:trHeight w:val="53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56</w:t>
            </w:r>
          </w:p>
        </w:tc>
        <w:tc>
          <w:tcPr>
            <w:tcW w:w="758"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基于RPA的自动化数据上传</w:t>
            </w:r>
          </w:p>
        </w:tc>
        <w:tc>
          <w:tcPr>
            <w:tcW w:w="716"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RPA数据自动上传</w:t>
            </w: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填报指标映射</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按《国家中医药统计调查制度》规范，按国家报表样式映射开发</w:t>
            </w:r>
          </w:p>
        </w:tc>
      </w:tr>
      <w:tr>
        <w:tblPrEx>
          <w:tblCellMar>
            <w:top w:w="0" w:type="dxa"/>
            <w:left w:w="108" w:type="dxa"/>
            <w:bottom w:w="0" w:type="dxa"/>
            <w:right w:w="108" w:type="dxa"/>
          </w:tblCellMar>
        </w:tblPrEx>
        <w:trPr>
          <w:trHeight w:val="29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57</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RPA脚本定制</w:t>
            </w:r>
          </w:p>
        </w:tc>
        <w:tc>
          <w:tcPr>
            <w:tcW w:w="2351" w:type="pct"/>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实现自动化的数据传输。RPA脚本能够定时从市级平台获取最新的数据，然后按照预设的指标映射规则，将数据整理并上传到国家中医平台。</w:t>
            </w:r>
          </w:p>
        </w:tc>
      </w:tr>
      <w:tr>
        <w:tblPrEx>
          <w:tblCellMar>
            <w:top w:w="0" w:type="dxa"/>
            <w:left w:w="108" w:type="dxa"/>
            <w:bottom w:w="0" w:type="dxa"/>
            <w:right w:w="108" w:type="dxa"/>
          </w:tblCellMar>
        </w:tblPrEx>
        <w:trPr>
          <w:trHeight w:val="29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58</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16"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定时调度</w:t>
            </w:r>
          </w:p>
        </w:tc>
        <w:tc>
          <w:tcPr>
            <w:tcW w:w="2351" w:type="pct"/>
            <w:tcBorders>
              <w:top w:val="nil"/>
              <w:left w:val="nil"/>
              <w:bottom w:val="single" w:color="000000" w:sz="8" w:space="0"/>
              <w:right w:val="single" w:color="000000" w:sz="8"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根据机构填报情况，设置好调度计划，定时调用RPA进行数据上传。</w:t>
            </w:r>
          </w:p>
        </w:tc>
      </w:tr>
      <w:tr>
        <w:tblPrEx>
          <w:tblCellMar>
            <w:top w:w="0" w:type="dxa"/>
            <w:left w:w="108" w:type="dxa"/>
            <w:bottom w:w="0" w:type="dxa"/>
            <w:right w:w="108" w:type="dxa"/>
          </w:tblCellMar>
        </w:tblPrEx>
        <w:trPr>
          <w:trHeight w:val="79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59</w:t>
            </w:r>
          </w:p>
        </w:tc>
        <w:tc>
          <w:tcPr>
            <w:tcW w:w="1474"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数据共享对接</w:t>
            </w: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与国家卫生健康委对接</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按国家最新的《中医药统计调查制度》指标集，完成数据上报以及对现有调查制度的更新升级，如升级年报调查制度指标</w:t>
            </w:r>
          </w:p>
        </w:tc>
      </w:tr>
      <w:tr>
        <w:tblPrEx>
          <w:tblCellMar>
            <w:top w:w="0" w:type="dxa"/>
            <w:left w:w="108" w:type="dxa"/>
            <w:bottom w:w="0" w:type="dxa"/>
            <w:right w:w="108" w:type="dxa"/>
          </w:tblCellMar>
        </w:tblPrEx>
        <w:trPr>
          <w:trHeight w:val="79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1474" w:type="pct"/>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797"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上海市卫生资源与医疗服务统计数据采集系统对接</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二期与上海市卫生资源与医疗服务统计数据采集系统对接，系统进行过全面升级改造，数据集和结构发生调整，需重新对接，根据最新的系统要求做对接开发</w:t>
            </w:r>
          </w:p>
        </w:tc>
      </w:tr>
      <w:tr>
        <w:tblPrEx>
          <w:tblCellMar>
            <w:top w:w="0" w:type="dxa"/>
            <w:left w:w="108" w:type="dxa"/>
            <w:bottom w:w="0" w:type="dxa"/>
            <w:right w:w="108" w:type="dxa"/>
          </w:tblCellMar>
        </w:tblPrEx>
        <w:trPr>
          <w:trHeight w:val="52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61</w:t>
            </w:r>
          </w:p>
        </w:tc>
        <w:tc>
          <w:tcPr>
            <w:tcW w:w="758"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数据管理</w:t>
            </w:r>
          </w:p>
        </w:tc>
        <w:tc>
          <w:tcPr>
            <w:tcW w:w="1513"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源数据库接入/文件导入管理</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支持多种数据库类型的接入，同时构建Excel填报任务导入模块，设计标准化采集模板生成器，支持用户下载预置字段模板。实现Excel文件字段与采集表单的自动映射，支持空值检测、格式校验及异常数据高亮提示。建立任务提交审核机制，校验通过后自动生成结构化采集任务工单。同步记录数据导入日志，实现填报溯源与模板版本管理。</w:t>
            </w:r>
          </w:p>
        </w:tc>
      </w:tr>
      <w:tr>
        <w:tblPrEx>
          <w:tblCellMar>
            <w:top w:w="0" w:type="dxa"/>
            <w:left w:w="108" w:type="dxa"/>
            <w:bottom w:w="0" w:type="dxa"/>
            <w:right w:w="108" w:type="dxa"/>
          </w:tblCellMar>
        </w:tblPrEx>
        <w:trPr>
          <w:trHeight w:val="105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62</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1513"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数据加工组件开发</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提供图形化的自助式数据加工，可以通过简单的、拖拽式的可视化操作，能轻松的完成数据的处理加工</w:t>
            </w:r>
          </w:p>
        </w:tc>
      </w:tr>
      <w:tr>
        <w:tblPrEx>
          <w:tblCellMar>
            <w:top w:w="0" w:type="dxa"/>
            <w:left w:w="108" w:type="dxa"/>
            <w:bottom w:w="0" w:type="dxa"/>
            <w:right w:w="108" w:type="dxa"/>
          </w:tblCellMar>
        </w:tblPrEx>
        <w:trPr>
          <w:trHeight w:val="105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63</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1513"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数据模型管理</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基于本项目中的业务数据，结合统计分析维度和口径构建数据统计分析应用模型50+，在模型管理中可以设置模型属性和模型字段属性等内容。可查看当前项目中的数据模型，为上述展示的分析应用页面提供高效便捷的模型支撑，并对模型进行统一管理，基于业务的调整，支持模型修改</w:t>
            </w:r>
          </w:p>
        </w:tc>
      </w:tr>
      <w:tr>
        <w:tblPrEx>
          <w:tblCellMar>
            <w:top w:w="0" w:type="dxa"/>
            <w:left w:w="108" w:type="dxa"/>
            <w:bottom w:w="0" w:type="dxa"/>
            <w:right w:w="108" w:type="dxa"/>
          </w:tblCellMar>
        </w:tblPrEx>
        <w:trPr>
          <w:trHeight w:val="29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64</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1513"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调度管理</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大量的数据加工模型定时执行并提取到最新状态。需自动识别各加工模型间的依赖关系，智能的安排调度的并发和先后次序，在最短的时间窗口内将模型数据提取完成</w:t>
            </w:r>
          </w:p>
        </w:tc>
      </w:tr>
      <w:tr>
        <w:tblPrEx>
          <w:tblCellMar>
            <w:top w:w="0" w:type="dxa"/>
            <w:left w:w="108" w:type="dxa"/>
            <w:bottom w:w="0" w:type="dxa"/>
            <w:right w:w="108" w:type="dxa"/>
          </w:tblCellMar>
        </w:tblPrEx>
        <w:trPr>
          <w:trHeight w:val="29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65</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1513"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血统追溯</w:t>
            </w:r>
          </w:p>
        </w:tc>
        <w:tc>
          <w:tcPr>
            <w:tcW w:w="2351" w:type="pct"/>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血统追溯功能旨在追踪数据的来源、历史、流转路径和修改记录，确保数据的完整性和可审计性。通过此功能，用户可以清晰地了解数据的产生、变化、使用和归档的全过程。</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数据源追溯：系统应能够记录并展示数据的原始来源，包括数据生成的系统、用户、时间等关键信息。</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数据流转路径：系统应能够绘制并展示数据的流转路径图，包括数据在各个系统、模块、用户之间的传递过程。</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数据修改记录：对于数据的每一次修改，系统都应记录修改的内容、时间、执行人等信息，并支持按条件查询和展示。</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版本管理：系统应支持数据的版本管理，每个版本的数据都应被保存并可以追溯，方便用户对比不同版本之间的差异。</w:t>
            </w:r>
          </w:p>
        </w:tc>
      </w:tr>
      <w:tr>
        <w:tblPrEx>
          <w:tblCellMar>
            <w:top w:w="0" w:type="dxa"/>
            <w:left w:w="108" w:type="dxa"/>
            <w:bottom w:w="0" w:type="dxa"/>
            <w:right w:w="108" w:type="dxa"/>
          </w:tblCellMar>
        </w:tblPrEx>
        <w:trPr>
          <w:trHeight w:val="290" w:hRule="atLeast"/>
        </w:trPr>
        <w:tc>
          <w:tcPr>
            <w:tcW w:w="378" w:type="pc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66</w:t>
            </w:r>
          </w:p>
        </w:tc>
        <w:tc>
          <w:tcPr>
            <w:tcW w:w="758"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0"/>
                <w:szCs w:val="20"/>
              </w:rPr>
            </w:pPr>
          </w:p>
        </w:tc>
        <w:tc>
          <w:tcPr>
            <w:tcW w:w="1513"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异常数据预警</w:t>
            </w:r>
          </w:p>
        </w:tc>
        <w:tc>
          <w:tcPr>
            <w:tcW w:w="2351" w:type="pct"/>
            <w:tcBorders>
              <w:top w:val="nil"/>
              <w:left w:val="nil"/>
              <w:bottom w:val="nil"/>
              <w:right w:val="single" w:color="000000" w:sz="8"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异常数据预警功能用于实时监控数据的质量，当数据出现异常时，系统能够自动发现并产生预警，以便用户及时采取措施进行处理。</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异常定义：系统应支持用户自定义异常规则，如数据范围、格式、频率等，以满足不同业务场景的需求。</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实时监控：系统应能够实时监控数据的变化，一旦发现数据满足异常规则，立即触发预警。</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预警方式：系统应提供多种预警方式，如邮件通知、短信通知、系统消息等，确保用户能够及时收到预警信息。</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预警详情：预警信息应包含足够的详情，如异常数据的内容、时间、位置等，以便用户快速定位问题。</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处理跟踪：系统应记录用户对预警的处理过程，包括处理时间、处理人、处理结果等，确保问题得到妥善解决。</w:t>
            </w:r>
          </w:p>
        </w:tc>
      </w:tr>
    </w:tbl>
    <w:p>
      <w:pPr>
        <w:pStyle w:val="3"/>
        <w:numPr>
          <w:ilvl w:val="0"/>
          <w:numId w:val="6"/>
        </w:numPr>
        <w:bidi w:val="0"/>
        <w:ind w:left="0" w:leftChars="0" w:firstLine="420" w:firstLineChars="0"/>
        <w:outlineLvl w:val="1"/>
        <w:rPr>
          <w:rFonts w:hint="eastAsia" w:ascii="仿宋" w:hAnsi="仿宋" w:eastAsia="仿宋" w:cs="仿宋"/>
          <w:sz w:val="28"/>
          <w:szCs w:val="28"/>
        </w:rPr>
      </w:pPr>
      <w:r>
        <w:rPr>
          <w:rFonts w:hint="eastAsia" w:ascii="仿宋" w:hAnsi="仿宋" w:eastAsia="仿宋" w:cs="仿宋"/>
          <w:sz w:val="28"/>
          <w:szCs w:val="28"/>
        </w:rPr>
        <w:t>部署</w:t>
      </w:r>
      <w:r>
        <w:rPr>
          <w:rFonts w:hint="eastAsia" w:ascii="仿宋" w:hAnsi="仿宋" w:eastAsia="仿宋" w:cs="仿宋"/>
          <w:sz w:val="28"/>
          <w:szCs w:val="28"/>
          <w:lang w:val="en-US" w:eastAsia="zh-CN"/>
        </w:rPr>
        <w:t>环境</w:t>
      </w:r>
      <w:r>
        <w:rPr>
          <w:rFonts w:hint="eastAsia" w:ascii="仿宋" w:hAnsi="仿宋" w:eastAsia="仿宋" w:cs="仿宋"/>
          <w:sz w:val="28"/>
          <w:szCs w:val="28"/>
        </w:rPr>
        <w:t>要求</w:t>
      </w:r>
    </w:p>
    <w:p>
      <w:pPr>
        <w:pStyle w:val="23"/>
        <w:ind w:firstLine="560"/>
        <w:rPr>
          <w:rFonts w:hint="eastAsia" w:cs="仿宋"/>
          <w:highlight w:val="none"/>
        </w:rPr>
      </w:pPr>
      <w:r>
        <w:rPr>
          <w:rFonts w:hint="eastAsia" w:cs="仿宋"/>
          <w:highlight w:val="none"/>
        </w:rPr>
        <w:t>本项目建设的信息系统必须要基于国产环境开发，</w:t>
      </w:r>
      <w:r>
        <w:rPr>
          <w:rFonts w:hint="eastAsia" w:cs="仿宋"/>
          <w:highlight w:val="none"/>
          <w:lang w:val="en-US" w:eastAsia="zh-CN"/>
        </w:rPr>
        <w:t>满足国产化终端应用要求，要求</w:t>
      </w:r>
      <w:r>
        <w:rPr>
          <w:rFonts w:hint="eastAsia" w:cs="仿宋"/>
          <w:highlight w:val="none"/>
        </w:rPr>
        <w:t>全部部署在国产云平台，能够安全运行于国产操作系统、国产中间件、国产数据库、国产处理器等国产软硬件产品环境中。中标投标人需根据系统建设内容，提供项目的系统部署方案。</w:t>
      </w:r>
    </w:p>
    <w:p>
      <w:pPr>
        <w:pStyle w:val="2"/>
        <w:numPr>
          <w:ilvl w:val="0"/>
          <w:numId w:val="3"/>
        </w:numPr>
        <w:ind w:firstLine="0"/>
        <w:jc w:val="left"/>
        <w:rPr>
          <w:rFonts w:hint="eastAsia" w:ascii="黑体" w:hAnsi="黑体" w:eastAsia="黑体" w:cs="黑体"/>
          <w:sz w:val="32"/>
          <w:szCs w:val="32"/>
          <w:lang w:val="en-US" w:eastAsia="zh-CN"/>
        </w:rPr>
      </w:pPr>
      <w:bookmarkStart w:id="15" w:name="_Toc63785502"/>
      <w:r>
        <w:rPr>
          <w:rFonts w:hint="eastAsia" w:ascii="黑体" w:hAnsi="黑体" w:eastAsia="黑体" w:cs="黑体"/>
          <w:sz w:val="32"/>
          <w:szCs w:val="32"/>
          <w:lang w:val="en-US" w:eastAsia="zh-CN"/>
        </w:rPr>
        <w:t>电子政务云资源需求</w:t>
      </w:r>
      <w:bookmarkEnd w:id="15"/>
    </w:p>
    <w:p>
      <w:pPr>
        <w:pStyle w:val="59"/>
        <w:snapToGrid w:val="0"/>
        <w:spacing w:line="360" w:lineRule="auto"/>
        <w:ind w:firstLine="560"/>
        <w:rPr>
          <w:rFonts w:hint="eastAsia" w:ascii="仿宋" w:hAnsi="仿宋" w:eastAsia="仿宋" w:cs="仿宋"/>
          <w:bCs/>
          <w:snapToGrid w:val="0"/>
          <w:color w:val="000000"/>
          <w:kern w:val="0"/>
          <w:sz w:val="28"/>
          <w:szCs w:val="28"/>
          <w:shd w:val="clear" w:color="auto" w:fill="FFFFFF"/>
          <w:lang w:val="en-US" w:eastAsia="zh-CN"/>
        </w:rPr>
      </w:pPr>
      <w:r>
        <w:rPr>
          <w:rFonts w:hint="eastAsia" w:ascii="仿宋" w:hAnsi="仿宋" w:eastAsia="仿宋" w:cs="仿宋"/>
          <w:bCs/>
          <w:snapToGrid w:val="0"/>
          <w:color w:val="000000"/>
          <w:kern w:val="0"/>
          <w:sz w:val="28"/>
          <w:szCs w:val="28"/>
          <w:shd w:val="clear" w:color="auto" w:fill="FFFFFF"/>
          <w:lang w:val="en-US" w:eastAsia="zh-CN"/>
        </w:rPr>
        <w:t>根据项目前期资源现状，本次建设根据估算拟向电子政务云申请4台服务器资源，具体如下：</w:t>
      </w:r>
    </w:p>
    <w:p>
      <w:pPr>
        <w:pStyle w:val="46"/>
      </w:pPr>
    </w:p>
    <w:tbl>
      <w:tblPr>
        <w:tblStyle w:val="19"/>
        <w:tblW w:w="8896" w:type="dxa"/>
        <w:tblInd w:w="113" w:type="dxa"/>
        <w:tblLayout w:type="fixed"/>
        <w:tblCellMar>
          <w:top w:w="0" w:type="dxa"/>
          <w:left w:w="108" w:type="dxa"/>
          <w:bottom w:w="0" w:type="dxa"/>
          <w:right w:w="108" w:type="dxa"/>
        </w:tblCellMar>
      </w:tblPr>
      <w:tblGrid>
        <w:gridCol w:w="569"/>
        <w:gridCol w:w="980"/>
        <w:gridCol w:w="980"/>
        <w:gridCol w:w="1210"/>
        <w:gridCol w:w="1514"/>
        <w:gridCol w:w="850"/>
        <w:gridCol w:w="908"/>
        <w:gridCol w:w="1885"/>
      </w:tblGrid>
      <w:tr>
        <w:tblPrEx>
          <w:tblCellMar>
            <w:top w:w="0" w:type="dxa"/>
            <w:left w:w="108" w:type="dxa"/>
            <w:bottom w:w="0" w:type="dxa"/>
            <w:right w:w="108" w:type="dxa"/>
          </w:tblCellMar>
        </w:tblPrEx>
        <w:trPr>
          <w:trHeight w:val="879" w:hRule="atLeast"/>
        </w:trPr>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b/>
                <w:bCs/>
                <w:kern w:val="0"/>
                <w:sz w:val="28"/>
                <w:szCs w:val="28"/>
              </w:rPr>
            </w:pPr>
            <w:r>
              <w:rPr>
                <w:rFonts w:hint="eastAsia" w:ascii="仿宋" w:hAnsi="仿宋" w:eastAsia="仿宋" w:cs="仿宋"/>
                <w:b/>
                <w:bCs/>
                <w:kern w:val="0"/>
                <w:sz w:val="28"/>
                <w:szCs w:val="28"/>
              </w:rPr>
              <w:t>序号</w:t>
            </w:r>
          </w:p>
        </w:tc>
        <w:tc>
          <w:tcPr>
            <w:tcW w:w="9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b/>
                <w:bCs/>
                <w:kern w:val="0"/>
                <w:sz w:val="28"/>
                <w:szCs w:val="28"/>
              </w:rPr>
            </w:pPr>
            <w:r>
              <w:rPr>
                <w:rFonts w:hint="eastAsia" w:ascii="仿宋" w:hAnsi="仿宋" w:eastAsia="仿宋" w:cs="仿宋"/>
                <w:b/>
                <w:bCs/>
                <w:kern w:val="0"/>
                <w:sz w:val="28"/>
                <w:szCs w:val="28"/>
              </w:rPr>
              <w:t>资源网络</w:t>
            </w:r>
          </w:p>
        </w:tc>
        <w:tc>
          <w:tcPr>
            <w:tcW w:w="9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b/>
                <w:bCs/>
                <w:kern w:val="0"/>
                <w:sz w:val="28"/>
                <w:szCs w:val="28"/>
              </w:rPr>
            </w:pPr>
            <w:r>
              <w:rPr>
                <w:rFonts w:hint="eastAsia" w:ascii="仿宋" w:hAnsi="仿宋" w:eastAsia="仿宋" w:cs="仿宋"/>
                <w:b/>
                <w:bCs/>
                <w:kern w:val="0"/>
                <w:sz w:val="28"/>
                <w:szCs w:val="28"/>
              </w:rPr>
              <w:t>资源类别</w:t>
            </w:r>
          </w:p>
        </w:tc>
        <w:tc>
          <w:tcPr>
            <w:tcW w:w="12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资源</w:t>
            </w:r>
          </w:p>
          <w:p>
            <w:pPr>
              <w:widowControl/>
              <w:jc w:val="center"/>
              <w:rPr>
                <w:rFonts w:ascii="仿宋" w:hAnsi="仿宋" w:eastAsia="仿宋" w:cs="仿宋"/>
                <w:b/>
                <w:bCs/>
                <w:kern w:val="0"/>
                <w:sz w:val="28"/>
                <w:szCs w:val="28"/>
              </w:rPr>
            </w:pPr>
            <w:r>
              <w:rPr>
                <w:rFonts w:hint="eastAsia" w:ascii="仿宋" w:hAnsi="仿宋" w:eastAsia="仿宋" w:cs="仿宋"/>
                <w:b/>
                <w:bCs/>
                <w:kern w:val="0"/>
                <w:sz w:val="28"/>
                <w:szCs w:val="28"/>
              </w:rPr>
              <w:t>名称</w:t>
            </w:r>
          </w:p>
        </w:tc>
        <w:tc>
          <w:tcPr>
            <w:tcW w:w="151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b/>
                <w:bCs/>
                <w:kern w:val="0"/>
                <w:sz w:val="28"/>
                <w:szCs w:val="28"/>
              </w:rPr>
            </w:pPr>
            <w:r>
              <w:rPr>
                <w:rFonts w:hint="eastAsia" w:ascii="仿宋" w:hAnsi="仿宋" w:eastAsia="仿宋" w:cs="仿宋"/>
                <w:b/>
                <w:bCs/>
                <w:kern w:val="0"/>
                <w:sz w:val="28"/>
                <w:szCs w:val="28"/>
              </w:rPr>
              <w:t>资源用途</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CPU</w:t>
            </w:r>
          </w:p>
          <w:p>
            <w:pPr>
              <w:widowControl/>
              <w:jc w:val="center"/>
              <w:rPr>
                <w:rFonts w:ascii="仿宋" w:hAnsi="仿宋" w:eastAsia="仿宋" w:cs="仿宋"/>
                <w:b/>
                <w:bCs/>
                <w:kern w:val="0"/>
                <w:sz w:val="28"/>
                <w:szCs w:val="28"/>
              </w:rPr>
            </w:pPr>
            <w:r>
              <w:rPr>
                <w:rFonts w:hint="eastAsia" w:ascii="仿宋" w:hAnsi="仿宋" w:eastAsia="仿宋" w:cs="仿宋"/>
                <w:b/>
                <w:bCs/>
                <w:kern w:val="0"/>
                <w:sz w:val="28"/>
                <w:szCs w:val="28"/>
              </w:rPr>
              <w:t>(核)</w:t>
            </w:r>
          </w:p>
        </w:tc>
        <w:tc>
          <w:tcPr>
            <w:tcW w:w="9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b/>
                <w:bCs/>
                <w:kern w:val="0"/>
                <w:sz w:val="28"/>
                <w:szCs w:val="28"/>
              </w:rPr>
            </w:pPr>
            <w:r>
              <w:rPr>
                <w:rFonts w:hint="eastAsia" w:ascii="仿宋" w:hAnsi="仿宋" w:eastAsia="仿宋" w:cs="仿宋"/>
                <w:b/>
                <w:bCs/>
                <w:kern w:val="0"/>
                <w:sz w:val="28"/>
                <w:szCs w:val="28"/>
              </w:rPr>
              <w:t>内存(G)</w:t>
            </w:r>
          </w:p>
        </w:tc>
        <w:tc>
          <w:tcPr>
            <w:tcW w:w="18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b/>
                <w:bCs/>
                <w:kern w:val="0"/>
                <w:sz w:val="28"/>
                <w:szCs w:val="28"/>
              </w:rPr>
            </w:pPr>
            <w:r>
              <w:rPr>
                <w:rFonts w:hint="eastAsia" w:ascii="仿宋" w:hAnsi="仿宋" w:eastAsia="仿宋" w:cs="仿宋"/>
                <w:b/>
                <w:bCs/>
                <w:kern w:val="0"/>
                <w:sz w:val="28"/>
                <w:szCs w:val="28"/>
              </w:rPr>
              <w:t>虚机存储(500G/个)/物理机存储(1000G/个)</w:t>
            </w:r>
            <w:r>
              <w:rPr>
                <w:rFonts w:hint="eastAsia" w:ascii="仿宋" w:hAnsi="仿宋" w:eastAsia="仿宋" w:cs="仿宋"/>
                <w:kern w:val="0"/>
                <w:sz w:val="28"/>
                <w:szCs w:val="28"/>
              </w:rPr>
              <w:t>数量(台)</w:t>
            </w:r>
          </w:p>
        </w:tc>
      </w:tr>
      <w:tr>
        <w:tblPrEx>
          <w:tblCellMar>
            <w:top w:w="0" w:type="dxa"/>
            <w:left w:w="108" w:type="dxa"/>
            <w:bottom w:w="0" w:type="dxa"/>
            <w:right w:w="108" w:type="dxa"/>
          </w:tblCellMar>
        </w:tblPrEx>
        <w:trPr>
          <w:trHeight w:val="455" w:hRule="atLeast"/>
        </w:trPr>
        <w:tc>
          <w:tcPr>
            <w:tcW w:w="569" w:type="dxa"/>
            <w:tcBorders>
              <w:top w:val="nil"/>
              <w:left w:val="single" w:color="auto" w:sz="4" w:space="0"/>
              <w:bottom w:val="single" w:color="auto" w:sz="4" w:space="0"/>
              <w:right w:val="single" w:color="auto" w:sz="4" w:space="0"/>
            </w:tcBorders>
            <w:shd w:val="clear" w:color="auto" w:fill="auto"/>
          </w:tcPr>
          <w:p>
            <w:pPr>
              <w:widowControl/>
              <w:jc w:val="left"/>
              <w:rPr>
                <w:rFonts w:ascii="仿宋" w:hAnsi="仿宋" w:eastAsia="仿宋" w:cs="仿宋"/>
                <w:kern w:val="0"/>
                <w:sz w:val="28"/>
                <w:szCs w:val="28"/>
              </w:rPr>
            </w:pPr>
            <w:r>
              <w:rPr>
                <w:rFonts w:hint="eastAsia" w:ascii="仿宋" w:hAnsi="仿宋" w:eastAsia="仿宋" w:cs="仿宋"/>
                <w:kern w:val="0"/>
                <w:sz w:val="28"/>
                <w:szCs w:val="28"/>
              </w:rPr>
              <w:t>1</w:t>
            </w:r>
          </w:p>
        </w:tc>
        <w:tc>
          <w:tcPr>
            <w:tcW w:w="980" w:type="dxa"/>
            <w:tcBorders>
              <w:top w:val="nil"/>
              <w:left w:val="nil"/>
              <w:bottom w:val="single" w:color="auto" w:sz="4" w:space="0"/>
              <w:right w:val="single" w:color="auto" w:sz="4" w:space="0"/>
            </w:tcBorders>
            <w:shd w:val="clear" w:color="auto" w:fill="auto"/>
          </w:tcPr>
          <w:p>
            <w:pPr>
              <w:widowControl/>
              <w:jc w:val="left"/>
              <w:rPr>
                <w:rFonts w:ascii="仿宋" w:hAnsi="仿宋" w:eastAsia="仿宋" w:cs="仿宋"/>
                <w:kern w:val="0"/>
                <w:sz w:val="28"/>
                <w:szCs w:val="28"/>
              </w:rPr>
            </w:pPr>
            <w:r>
              <w:rPr>
                <w:rFonts w:hint="eastAsia" w:ascii="仿宋" w:hAnsi="仿宋" w:eastAsia="仿宋" w:cs="仿宋"/>
                <w:kern w:val="0"/>
                <w:sz w:val="28"/>
                <w:szCs w:val="28"/>
              </w:rPr>
              <w:t>互联网</w:t>
            </w:r>
          </w:p>
        </w:tc>
        <w:tc>
          <w:tcPr>
            <w:tcW w:w="980" w:type="dxa"/>
            <w:tcBorders>
              <w:top w:val="nil"/>
              <w:left w:val="nil"/>
              <w:bottom w:val="single" w:color="auto" w:sz="4" w:space="0"/>
              <w:right w:val="single" w:color="auto" w:sz="4" w:space="0"/>
            </w:tcBorders>
            <w:shd w:val="clear" w:color="auto" w:fill="auto"/>
          </w:tcPr>
          <w:p>
            <w:pPr>
              <w:widowControl/>
              <w:jc w:val="left"/>
              <w:rPr>
                <w:rFonts w:ascii="仿宋" w:hAnsi="仿宋" w:eastAsia="仿宋" w:cs="仿宋"/>
                <w:kern w:val="0"/>
                <w:sz w:val="28"/>
                <w:szCs w:val="28"/>
              </w:rPr>
            </w:pPr>
            <w:r>
              <w:rPr>
                <w:rFonts w:hint="eastAsia" w:ascii="仿宋" w:hAnsi="仿宋" w:eastAsia="仿宋" w:cs="仿宋"/>
                <w:kern w:val="0"/>
                <w:sz w:val="28"/>
                <w:szCs w:val="28"/>
              </w:rPr>
              <w:t>虚拟机</w:t>
            </w:r>
          </w:p>
        </w:tc>
        <w:tc>
          <w:tcPr>
            <w:tcW w:w="1210" w:type="dxa"/>
            <w:tcBorders>
              <w:top w:val="nil"/>
              <w:left w:val="nil"/>
              <w:bottom w:val="single" w:color="auto" w:sz="4" w:space="0"/>
              <w:right w:val="single" w:color="auto" w:sz="4" w:space="0"/>
            </w:tcBorders>
            <w:shd w:val="clear" w:color="auto" w:fill="auto"/>
          </w:tcPr>
          <w:p>
            <w:pPr>
              <w:widowControl/>
              <w:jc w:val="left"/>
              <w:rPr>
                <w:rFonts w:ascii="仿宋" w:hAnsi="仿宋" w:eastAsia="仿宋" w:cs="仿宋"/>
                <w:kern w:val="0"/>
                <w:sz w:val="28"/>
                <w:szCs w:val="28"/>
              </w:rPr>
            </w:pPr>
            <w:r>
              <w:rPr>
                <w:rFonts w:hint="eastAsia" w:ascii="仿宋" w:hAnsi="仿宋" w:eastAsia="仿宋" w:cs="仿宋"/>
                <w:kern w:val="0"/>
                <w:sz w:val="28"/>
                <w:szCs w:val="28"/>
              </w:rPr>
              <w:t>数据分析库</w:t>
            </w:r>
          </w:p>
        </w:tc>
        <w:tc>
          <w:tcPr>
            <w:tcW w:w="1514" w:type="dxa"/>
            <w:tcBorders>
              <w:top w:val="nil"/>
              <w:left w:val="nil"/>
              <w:bottom w:val="single" w:color="auto" w:sz="4" w:space="0"/>
              <w:right w:val="single" w:color="auto" w:sz="4" w:space="0"/>
            </w:tcBorders>
            <w:shd w:val="clear" w:color="auto" w:fill="auto"/>
          </w:tcPr>
          <w:p>
            <w:pPr>
              <w:widowControl/>
              <w:jc w:val="left"/>
              <w:rPr>
                <w:rFonts w:ascii="仿宋" w:hAnsi="仿宋" w:eastAsia="仿宋" w:cs="仿宋"/>
                <w:kern w:val="0"/>
                <w:sz w:val="28"/>
                <w:szCs w:val="28"/>
              </w:rPr>
            </w:pPr>
            <w:r>
              <w:rPr>
                <w:rFonts w:hint="eastAsia" w:ascii="仿宋" w:hAnsi="仿宋" w:eastAsia="仿宋" w:cs="仿宋"/>
                <w:kern w:val="0"/>
                <w:sz w:val="28"/>
                <w:szCs w:val="28"/>
              </w:rPr>
              <w:t>数据库服务</w:t>
            </w:r>
          </w:p>
        </w:tc>
        <w:tc>
          <w:tcPr>
            <w:tcW w:w="850" w:type="dxa"/>
            <w:tcBorders>
              <w:top w:val="nil"/>
              <w:left w:val="nil"/>
              <w:bottom w:val="single" w:color="auto" w:sz="4" w:space="0"/>
              <w:right w:val="single" w:color="auto" w:sz="4" w:space="0"/>
            </w:tcBorders>
            <w:shd w:val="clear" w:color="auto" w:fill="auto"/>
          </w:tcPr>
          <w:p>
            <w:pPr>
              <w:widowControl/>
              <w:jc w:val="left"/>
              <w:rPr>
                <w:rFonts w:ascii="仿宋" w:hAnsi="仿宋" w:eastAsia="仿宋" w:cs="仿宋"/>
                <w:kern w:val="0"/>
                <w:sz w:val="28"/>
                <w:szCs w:val="28"/>
              </w:rPr>
            </w:pPr>
            <w:r>
              <w:rPr>
                <w:rFonts w:hint="eastAsia" w:ascii="仿宋" w:hAnsi="仿宋" w:eastAsia="仿宋" w:cs="仿宋"/>
                <w:kern w:val="0"/>
                <w:sz w:val="28"/>
                <w:szCs w:val="28"/>
              </w:rPr>
              <w:t>128</w:t>
            </w:r>
          </w:p>
        </w:tc>
        <w:tc>
          <w:tcPr>
            <w:tcW w:w="908" w:type="dxa"/>
            <w:tcBorders>
              <w:top w:val="nil"/>
              <w:left w:val="nil"/>
              <w:bottom w:val="single" w:color="auto" w:sz="4" w:space="0"/>
              <w:right w:val="single" w:color="auto" w:sz="4" w:space="0"/>
            </w:tcBorders>
            <w:shd w:val="clear" w:color="auto" w:fill="auto"/>
          </w:tcPr>
          <w:p>
            <w:pPr>
              <w:widowControl/>
              <w:jc w:val="left"/>
              <w:rPr>
                <w:rFonts w:ascii="仿宋" w:hAnsi="仿宋" w:eastAsia="仿宋" w:cs="仿宋"/>
                <w:kern w:val="0"/>
                <w:sz w:val="28"/>
                <w:szCs w:val="28"/>
              </w:rPr>
            </w:pPr>
            <w:r>
              <w:rPr>
                <w:rFonts w:hint="eastAsia" w:ascii="仿宋" w:hAnsi="仿宋" w:eastAsia="仿宋" w:cs="仿宋"/>
                <w:kern w:val="0"/>
                <w:sz w:val="28"/>
                <w:szCs w:val="28"/>
              </w:rPr>
              <w:t>3100</w:t>
            </w:r>
          </w:p>
        </w:tc>
        <w:tc>
          <w:tcPr>
            <w:tcW w:w="1885" w:type="dxa"/>
            <w:tcBorders>
              <w:top w:val="nil"/>
              <w:left w:val="nil"/>
              <w:bottom w:val="single" w:color="auto" w:sz="4" w:space="0"/>
              <w:right w:val="single" w:color="auto" w:sz="4" w:space="0"/>
            </w:tcBorders>
            <w:shd w:val="clear" w:color="auto" w:fill="auto"/>
          </w:tcPr>
          <w:p>
            <w:pPr>
              <w:widowControl/>
              <w:jc w:val="left"/>
              <w:rPr>
                <w:rFonts w:ascii="仿宋" w:hAnsi="仿宋" w:eastAsia="仿宋" w:cs="仿宋"/>
                <w:kern w:val="0"/>
                <w:sz w:val="28"/>
                <w:szCs w:val="28"/>
              </w:rPr>
            </w:pPr>
            <w:r>
              <w:rPr>
                <w:rFonts w:hint="eastAsia" w:ascii="仿宋" w:hAnsi="仿宋" w:eastAsia="仿宋" w:cs="仿宋"/>
                <w:kern w:val="0"/>
                <w:sz w:val="28"/>
                <w:szCs w:val="28"/>
              </w:rPr>
              <w:t>3</w:t>
            </w:r>
          </w:p>
        </w:tc>
      </w:tr>
      <w:tr>
        <w:tblPrEx>
          <w:tblCellMar>
            <w:top w:w="0" w:type="dxa"/>
            <w:left w:w="108" w:type="dxa"/>
            <w:bottom w:w="0" w:type="dxa"/>
            <w:right w:w="108" w:type="dxa"/>
          </w:tblCellMar>
        </w:tblPrEx>
        <w:trPr>
          <w:trHeight w:val="469" w:hRule="atLeast"/>
        </w:trPr>
        <w:tc>
          <w:tcPr>
            <w:tcW w:w="569" w:type="dxa"/>
            <w:tcBorders>
              <w:top w:val="nil"/>
              <w:left w:val="single" w:color="auto" w:sz="4" w:space="0"/>
              <w:bottom w:val="single" w:color="auto" w:sz="4" w:space="0"/>
              <w:right w:val="single" w:color="auto" w:sz="4" w:space="0"/>
            </w:tcBorders>
            <w:shd w:val="clear" w:color="auto" w:fill="auto"/>
          </w:tcPr>
          <w:p>
            <w:pPr>
              <w:widowControl/>
              <w:jc w:val="left"/>
              <w:rPr>
                <w:rFonts w:ascii="仿宋" w:hAnsi="仿宋" w:eastAsia="仿宋" w:cs="仿宋"/>
                <w:kern w:val="0"/>
                <w:sz w:val="28"/>
                <w:szCs w:val="28"/>
              </w:rPr>
            </w:pPr>
            <w:r>
              <w:rPr>
                <w:rFonts w:hint="eastAsia" w:ascii="仿宋" w:hAnsi="仿宋" w:eastAsia="仿宋" w:cs="仿宋"/>
                <w:kern w:val="0"/>
                <w:sz w:val="28"/>
                <w:szCs w:val="28"/>
              </w:rPr>
              <w:t>2</w:t>
            </w:r>
          </w:p>
        </w:tc>
        <w:tc>
          <w:tcPr>
            <w:tcW w:w="980" w:type="dxa"/>
            <w:tcBorders>
              <w:top w:val="nil"/>
              <w:left w:val="nil"/>
              <w:bottom w:val="single" w:color="auto" w:sz="4" w:space="0"/>
              <w:right w:val="single" w:color="auto" w:sz="4" w:space="0"/>
            </w:tcBorders>
            <w:shd w:val="clear" w:color="auto" w:fill="auto"/>
          </w:tcPr>
          <w:p>
            <w:pPr>
              <w:widowControl/>
              <w:jc w:val="left"/>
              <w:rPr>
                <w:rFonts w:ascii="仿宋" w:hAnsi="仿宋" w:eastAsia="仿宋" w:cs="仿宋"/>
                <w:kern w:val="0"/>
                <w:sz w:val="28"/>
                <w:szCs w:val="28"/>
              </w:rPr>
            </w:pPr>
            <w:r>
              <w:rPr>
                <w:rFonts w:hint="eastAsia" w:ascii="仿宋" w:hAnsi="仿宋" w:eastAsia="仿宋" w:cs="仿宋"/>
                <w:kern w:val="0"/>
                <w:sz w:val="28"/>
                <w:szCs w:val="28"/>
              </w:rPr>
              <w:t>互联网</w:t>
            </w:r>
          </w:p>
        </w:tc>
        <w:tc>
          <w:tcPr>
            <w:tcW w:w="980" w:type="dxa"/>
            <w:tcBorders>
              <w:top w:val="nil"/>
              <w:left w:val="nil"/>
              <w:bottom w:val="single" w:color="auto" w:sz="4" w:space="0"/>
              <w:right w:val="single" w:color="auto" w:sz="4" w:space="0"/>
            </w:tcBorders>
            <w:shd w:val="clear" w:color="auto" w:fill="auto"/>
          </w:tcPr>
          <w:p>
            <w:pPr>
              <w:widowControl/>
              <w:jc w:val="left"/>
              <w:rPr>
                <w:rFonts w:ascii="仿宋" w:hAnsi="仿宋" w:eastAsia="仿宋" w:cs="仿宋"/>
                <w:kern w:val="0"/>
                <w:sz w:val="28"/>
                <w:szCs w:val="28"/>
              </w:rPr>
            </w:pPr>
            <w:r>
              <w:rPr>
                <w:rFonts w:hint="eastAsia" w:ascii="仿宋" w:hAnsi="仿宋" w:eastAsia="仿宋" w:cs="仿宋"/>
                <w:kern w:val="0"/>
                <w:sz w:val="28"/>
                <w:szCs w:val="28"/>
              </w:rPr>
              <w:t>虚拟机</w:t>
            </w:r>
          </w:p>
        </w:tc>
        <w:tc>
          <w:tcPr>
            <w:tcW w:w="1210" w:type="dxa"/>
            <w:tcBorders>
              <w:top w:val="nil"/>
              <w:left w:val="nil"/>
              <w:bottom w:val="single" w:color="auto" w:sz="4" w:space="0"/>
              <w:right w:val="single" w:color="auto" w:sz="4" w:space="0"/>
            </w:tcBorders>
            <w:shd w:val="clear" w:color="auto" w:fill="auto"/>
          </w:tcPr>
          <w:p>
            <w:pPr>
              <w:widowControl/>
              <w:jc w:val="left"/>
              <w:rPr>
                <w:rFonts w:ascii="仿宋" w:hAnsi="仿宋" w:eastAsia="仿宋" w:cs="仿宋"/>
                <w:kern w:val="0"/>
                <w:sz w:val="28"/>
                <w:szCs w:val="28"/>
              </w:rPr>
            </w:pPr>
            <w:r>
              <w:rPr>
                <w:rFonts w:hint="eastAsia" w:ascii="仿宋" w:hAnsi="仿宋" w:eastAsia="仿宋" w:cs="仿宋"/>
                <w:kern w:val="0"/>
                <w:sz w:val="28"/>
                <w:szCs w:val="28"/>
              </w:rPr>
              <w:t>RPA服务器</w:t>
            </w:r>
          </w:p>
        </w:tc>
        <w:tc>
          <w:tcPr>
            <w:tcW w:w="1514" w:type="dxa"/>
            <w:tcBorders>
              <w:top w:val="nil"/>
              <w:left w:val="nil"/>
              <w:bottom w:val="single" w:color="auto" w:sz="4" w:space="0"/>
              <w:right w:val="single" w:color="auto" w:sz="4" w:space="0"/>
            </w:tcBorders>
            <w:shd w:val="clear" w:color="auto" w:fill="auto"/>
          </w:tcPr>
          <w:p>
            <w:pPr>
              <w:widowControl/>
              <w:jc w:val="left"/>
              <w:rPr>
                <w:rFonts w:ascii="仿宋" w:hAnsi="仿宋" w:eastAsia="仿宋" w:cs="仿宋"/>
                <w:kern w:val="0"/>
                <w:sz w:val="28"/>
                <w:szCs w:val="28"/>
              </w:rPr>
            </w:pPr>
            <w:r>
              <w:rPr>
                <w:rFonts w:hint="eastAsia" w:ascii="仿宋" w:hAnsi="仿宋" w:eastAsia="仿宋" w:cs="仿宋"/>
                <w:kern w:val="0"/>
                <w:sz w:val="28"/>
                <w:szCs w:val="28"/>
              </w:rPr>
              <w:t>应用服务器</w:t>
            </w:r>
          </w:p>
        </w:tc>
        <w:tc>
          <w:tcPr>
            <w:tcW w:w="850" w:type="dxa"/>
            <w:tcBorders>
              <w:top w:val="nil"/>
              <w:left w:val="nil"/>
              <w:bottom w:val="single" w:color="auto" w:sz="4" w:space="0"/>
              <w:right w:val="single" w:color="auto" w:sz="4" w:space="0"/>
            </w:tcBorders>
            <w:shd w:val="clear" w:color="auto" w:fill="auto"/>
          </w:tcPr>
          <w:p>
            <w:pPr>
              <w:widowControl/>
              <w:jc w:val="left"/>
              <w:rPr>
                <w:rFonts w:ascii="仿宋" w:hAnsi="仿宋" w:eastAsia="仿宋" w:cs="仿宋"/>
                <w:kern w:val="0"/>
                <w:sz w:val="28"/>
                <w:szCs w:val="28"/>
              </w:rPr>
            </w:pPr>
            <w:r>
              <w:rPr>
                <w:rFonts w:hint="eastAsia" w:ascii="仿宋" w:hAnsi="仿宋" w:eastAsia="仿宋" w:cs="仿宋"/>
                <w:kern w:val="0"/>
                <w:sz w:val="28"/>
                <w:szCs w:val="28"/>
              </w:rPr>
              <w:t>16</w:t>
            </w:r>
          </w:p>
        </w:tc>
        <w:tc>
          <w:tcPr>
            <w:tcW w:w="908" w:type="dxa"/>
            <w:tcBorders>
              <w:top w:val="nil"/>
              <w:left w:val="nil"/>
              <w:bottom w:val="single" w:color="auto" w:sz="4" w:space="0"/>
              <w:right w:val="single" w:color="auto" w:sz="4" w:space="0"/>
            </w:tcBorders>
            <w:shd w:val="clear" w:color="auto" w:fill="auto"/>
          </w:tcPr>
          <w:p>
            <w:pPr>
              <w:widowControl/>
              <w:jc w:val="left"/>
              <w:rPr>
                <w:rFonts w:ascii="仿宋" w:hAnsi="仿宋" w:eastAsia="仿宋" w:cs="仿宋"/>
                <w:kern w:val="0"/>
                <w:sz w:val="28"/>
                <w:szCs w:val="28"/>
              </w:rPr>
            </w:pPr>
            <w:r>
              <w:rPr>
                <w:rFonts w:hint="eastAsia" w:ascii="仿宋" w:hAnsi="仿宋" w:eastAsia="仿宋" w:cs="仿宋"/>
                <w:kern w:val="0"/>
                <w:sz w:val="28"/>
                <w:szCs w:val="28"/>
              </w:rPr>
              <w:t>200</w:t>
            </w:r>
          </w:p>
        </w:tc>
        <w:tc>
          <w:tcPr>
            <w:tcW w:w="1885" w:type="dxa"/>
            <w:tcBorders>
              <w:top w:val="nil"/>
              <w:left w:val="nil"/>
              <w:bottom w:val="single" w:color="auto" w:sz="4" w:space="0"/>
              <w:right w:val="single" w:color="auto" w:sz="4" w:space="0"/>
            </w:tcBorders>
            <w:shd w:val="clear" w:color="auto" w:fill="auto"/>
          </w:tcPr>
          <w:p>
            <w:pPr>
              <w:widowControl/>
              <w:jc w:val="left"/>
              <w:rPr>
                <w:rFonts w:ascii="仿宋" w:hAnsi="仿宋" w:eastAsia="仿宋" w:cs="仿宋"/>
                <w:kern w:val="0"/>
                <w:sz w:val="28"/>
                <w:szCs w:val="28"/>
              </w:rPr>
            </w:pPr>
            <w:r>
              <w:rPr>
                <w:rFonts w:hint="eastAsia" w:ascii="仿宋" w:hAnsi="仿宋" w:eastAsia="仿宋" w:cs="仿宋"/>
                <w:kern w:val="0"/>
                <w:sz w:val="28"/>
                <w:szCs w:val="28"/>
              </w:rPr>
              <w:t>1</w:t>
            </w:r>
          </w:p>
        </w:tc>
      </w:tr>
    </w:tbl>
    <w:p>
      <w:pPr>
        <w:pStyle w:val="24"/>
        <w:ind w:firstLine="560"/>
        <w:rPr>
          <w:rFonts w:ascii="仿宋" w:hAnsi="仿宋" w:eastAsia="仿宋" w:cs="仿宋"/>
          <w:sz w:val="28"/>
          <w:szCs w:val="28"/>
        </w:rPr>
      </w:pPr>
    </w:p>
    <w:p>
      <w:pPr>
        <w:pStyle w:val="2"/>
        <w:numPr>
          <w:ilvl w:val="0"/>
          <w:numId w:val="3"/>
        </w:numPr>
        <w:ind w:firstLine="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其他工作要求</w:t>
      </w:r>
    </w:p>
    <w:p>
      <w:pPr>
        <w:pStyle w:val="4"/>
        <w:numPr>
          <w:ilvl w:val="0"/>
          <w:numId w:val="7"/>
        </w:numPr>
        <w:ind w:left="0" w:leftChars="0" w:firstLine="420" w:firstLineChars="0"/>
        <w:rPr>
          <w:rFonts w:ascii="仿宋" w:hAnsi="仿宋" w:eastAsia="仿宋" w:cs="仿宋"/>
          <w:sz w:val="28"/>
          <w:szCs w:val="28"/>
          <w:highlight w:val="none"/>
        </w:rPr>
      </w:pPr>
      <w:r>
        <w:rPr>
          <w:rFonts w:hint="eastAsia" w:ascii="仿宋" w:hAnsi="仿宋" w:eastAsia="仿宋" w:cs="仿宋"/>
          <w:sz w:val="28"/>
          <w:szCs w:val="28"/>
          <w:highlight w:val="none"/>
        </w:rPr>
        <w:t>售后服务要求</w:t>
      </w:r>
    </w:p>
    <w:p>
      <w:pPr>
        <w:pStyle w:val="59"/>
        <w:snapToGrid w:val="0"/>
        <w:spacing w:line="360" w:lineRule="auto"/>
        <w:ind w:firstLine="560"/>
        <w:rPr>
          <w:rFonts w:ascii="仿宋" w:hAnsi="仿宋" w:eastAsia="仿宋" w:cs="仿宋"/>
          <w:bCs/>
          <w:snapToGrid w:val="0"/>
          <w:color w:val="000000"/>
          <w:kern w:val="0"/>
          <w:sz w:val="28"/>
          <w:szCs w:val="28"/>
          <w:shd w:val="clear" w:color="auto" w:fill="FFFFFF"/>
        </w:rPr>
      </w:pPr>
      <w:r>
        <w:rPr>
          <w:rFonts w:hint="eastAsia" w:ascii="仿宋" w:hAnsi="仿宋" w:eastAsia="仿宋" w:cs="仿宋"/>
          <w:bCs/>
          <w:snapToGrid w:val="0"/>
          <w:color w:val="000000"/>
          <w:kern w:val="0"/>
          <w:sz w:val="28"/>
          <w:szCs w:val="28"/>
          <w:shd w:val="clear" w:color="auto" w:fill="FFFFFF"/>
        </w:rPr>
        <w:t>本项目从系统验收通过之日起1年内提供7*24小时免费技术支持和售后服务，1年后进入有偿维护期。</w:t>
      </w:r>
    </w:p>
    <w:p>
      <w:pPr>
        <w:pStyle w:val="59"/>
        <w:snapToGrid w:val="0"/>
        <w:spacing w:line="360" w:lineRule="auto"/>
        <w:ind w:firstLine="560"/>
        <w:rPr>
          <w:rFonts w:ascii="仿宋" w:hAnsi="仿宋" w:eastAsia="仿宋" w:cs="仿宋"/>
          <w:bCs/>
          <w:snapToGrid w:val="0"/>
          <w:color w:val="000000"/>
          <w:kern w:val="0"/>
          <w:sz w:val="28"/>
          <w:szCs w:val="28"/>
          <w:shd w:val="clear" w:color="auto" w:fill="FFFFFF"/>
        </w:rPr>
      </w:pPr>
      <w:r>
        <w:rPr>
          <w:rFonts w:hint="eastAsia" w:ascii="仿宋" w:hAnsi="仿宋" w:eastAsia="仿宋" w:cs="仿宋"/>
          <w:bCs/>
          <w:snapToGrid w:val="0"/>
          <w:color w:val="000000"/>
          <w:kern w:val="0"/>
          <w:sz w:val="28"/>
          <w:szCs w:val="28"/>
          <w:shd w:val="clear" w:color="auto" w:fill="FFFFFF"/>
        </w:rPr>
        <w:t>在质量保证期内，供应商将按照售后服务的承诺提供保修和运行维护服务，如果厂商对信息系统中软、硬件设备等产品中的部分保修期超过上述期限的，则按照厂商的规定进行免费保修。</w:t>
      </w:r>
    </w:p>
    <w:p>
      <w:pPr>
        <w:pStyle w:val="59"/>
        <w:snapToGrid w:val="0"/>
        <w:spacing w:line="360" w:lineRule="auto"/>
        <w:ind w:firstLine="560"/>
        <w:rPr>
          <w:rFonts w:hint="eastAsia" w:ascii="仿宋" w:hAnsi="仿宋" w:eastAsia="仿宋" w:cs="仿宋"/>
          <w:bCs/>
          <w:snapToGrid w:val="0"/>
          <w:color w:val="000000"/>
          <w:kern w:val="0"/>
          <w:sz w:val="28"/>
          <w:szCs w:val="28"/>
          <w:shd w:val="clear" w:color="auto" w:fill="FFFFFF"/>
        </w:rPr>
      </w:pPr>
      <w:r>
        <w:rPr>
          <w:rFonts w:hint="eastAsia" w:ascii="仿宋" w:hAnsi="仿宋" w:eastAsia="仿宋" w:cs="仿宋"/>
          <w:bCs/>
          <w:snapToGrid w:val="0"/>
          <w:color w:val="000000"/>
          <w:kern w:val="0"/>
          <w:sz w:val="28"/>
          <w:szCs w:val="28"/>
          <w:shd w:val="clear" w:color="auto" w:fill="FFFFFF"/>
        </w:rPr>
        <w:t>在质量保证期内，供应商负责信息系统的运行维护工作，确保信息系统安全、稳定、可靠地运行。</w:t>
      </w:r>
    </w:p>
    <w:p>
      <w:pPr>
        <w:pStyle w:val="4"/>
        <w:numPr>
          <w:ilvl w:val="0"/>
          <w:numId w:val="7"/>
        </w:numPr>
        <w:ind w:left="0" w:leftChars="0" w:firstLine="420" w:firstLineChars="0"/>
        <w:rPr>
          <w:rFonts w:hint="eastAsia" w:ascii="仿宋" w:hAnsi="仿宋" w:eastAsia="仿宋" w:cs="仿宋"/>
          <w:sz w:val="28"/>
          <w:szCs w:val="28"/>
          <w:highlight w:val="none"/>
          <w:lang w:val="en-US" w:eastAsia="zh-CN"/>
        </w:rPr>
      </w:pPr>
      <w:bookmarkStart w:id="16" w:name="_Toc63785506"/>
      <w:r>
        <w:rPr>
          <w:rFonts w:hint="eastAsia" w:ascii="仿宋" w:hAnsi="仿宋" w:eastAsia="仿宋" w:cs="仿宋"/>
          <w:sz w:val="28"/>
          <w:szCs w:val="28"/>
          <w:highlight w:val="none"/>
          <w:lang w:val="en-US" w:eastAsia="zh-CN"/>
        </w:rPr>
        <w:t>应急响应要求</w:t>
      </w:r>
      <w:bookmarkEnd w:id="16"/>
    </w:p>
    <w:p>
      <w:pPr>
        <w:pStyle w:val="59"/>
        <w:snapToGrid w:val="0"/>
        <w:spacing w:line="360" w:lineRule="auto"/>
        <w:ind w:firstLine="560"/>
        <w:rPr>
          <w:rFonts w:hint="eastAsia" w:ascii="仿宋" w:hAnsi="仿宋" w:eastAsia="仿宋" w:cs="仿宋"/>
          <w:bCs/>
          <w:snapToGrid w:val="0"/>
          <w:color w:val="000000"/>
          <w:kern w:val="0"/>
          <w:sz w:val="28"/>
          <w:szCs w:val="28"/>
          <w:shd w:val="clear" w:color="auto" w:fill="FFFFFF"/>
        </w:rPr>
      </w:pPr>
      <w:r>
        <w:rPr>
          <w:rFonts w:hint="eastAsia" w:ascii="仿宋" w:hAnsi="仿宋" w:eastAsia="仿宋" w:cs="仿宋"/>
          <w:bCs/>
          <w:snapToGrid w:val="0"/>
          <w:color w:val="000000"/>
          <w:kern w:val="0"/>
          <w:sz w:val="28"/>
          <w:szCs w:val="28"/>
          <w:shd w:val="clear" w:color="auto" w:fill="FFFFFF"/>
        </w:rPr>
        <w:t>供应商对系统故障应能够实时响应，若系统发生故障，接到通知后30分钟之内响应，专业工程师2小时内到达现场。特殊故障与客户沟通协商后，按照协商的方式制定解决方案并进行处理。</w:t>
      </w:r>
    </w:p>
    <w:p>
      <w:pPr>
        <w:pStyle w:val="59"/>
        <w:snapToGrid w:val="0"/>
        <w:spacing w:line="360" w:lineRule="auto"/>
        <w:ind w:firstLine="560"/>
        <w:rPr>
          <w:rFonts w:hint="eastAsia" w:ascii="仿宋" w:hAnsi="仿宋" w:eastAsia="仿宋" w:cs="仿宋"/>
          <w:bCs/>
          <w:snapToGrid w:val="0"/>
          <w:color w:val="000000"/>
          <w:kern w:val="0"/>
          <w:sz w:val="28"/>
          <w:szCs w:val="28"/>
          <w:shd w:val="clear" w:color="auto" w:fill="FFFFFF"/>
        </w:rPr>
      </w:pPr>
      <w:r>
        <w:rPr>
          <w:rFonts w:hint="eastAsia" w:ascii="仿宋" w:hAnsi="仿宋" w:eastAsia="仿宋" w:cs="仿宋"/>
          <w:bCs/>
          <w:snapToGrid w:val="0"/>
          <w:color w:val="000000"/>
          <w:kern w:val="0"/>
          <w:sz w:val="28"/>
          <w:szCs w:val="28"/>
          <w:shd w:val="clear" w:color="auto" w:fill="FFFFFF"/>
        </w:rPr>
        <w:t>具体故障级别及对应的应急响应要求如下：</w:t>
      </w:r>
    </w:p>
    <w:p>
      <w:pPr>
        <w:pStyle w:val="59"/>
        <w:snapToGrid w:val="0"/>
        <w:spacing w:line="360" w:lineRule="auto"/>
        <w:ind w:firstLine="560"/>
        <w:rPr>
          <w:rFonts w:hint="eastAsia" w:ascii="仿宋" w:hAnsi="仿宋" w:eastAsia="仿宋" w:cs="仿宋"/>
          <w:bCs/>
          <w:snapToGrid w:val="0"/>
          <w:color w:val="000000"/>
          <w:kern w:val="0"/>
          <w:sz w:val="28"/>
          <w:szCs w:val="28"/>
          <w:shd w:val="clear" w:color="auto" w:fill="FFFFFF"/>
        </w:rPr>
      </w:pPr>
      <w:r>
        <w:rPr>
          <w:rFonts w:hint="eastAsia" w:ascii="仿宋" w:hAnsi="仿宋" w:eastAsia="仿宋" w:cs="仿宋"/>
          <w:bCs/>
          <w:snapToGrid w:val="0"/>
          <w:color w:val="000000"/>
          <w:kern w:val="0"/>
          <w:sz w:val="28"/>
          <w:szCs w:val="28"/>
          <w:shd w:val="clear" w:color="auto" w:fill="FFFFFF"/>
        </w:rPr>
        <w:t>一级故障：在1小时内确诊，总故障解决时间不超过4小时。</w:t>
      </w:r>
    </w:p>
    <w:p>
      <w:pPr>
        <w:pStyle w:val="59"/>
        <w:snapToGrid w:val="0"/>
        <w:spacing w:line="360" w:lineRule="auto"/>
        <w:ind w:firstLine="560"/>
        <w:rPr>
          <w:rFonts w:hint="eastAsia" w:ascii="仿宋" w:hAnsi="仿宋" w:eastAsia="仿宋" w:cs="仿宋"/>
          <w:bCs/>
          <w:snapToGrid w:val="0"/>
          <w:color w:val="000000"/>
          <w:kern w:val="0"/>
          <w:sz w:val="28"/>
          <w:szCs w:val="28"/>
          <w:shd w:val="clear" w:color="auto" w:fill="FFFFFF"/>
        </w:rPr>
      </w:pPr>
      <w:r>
        <w:rPr>
          <w:rFonts w:hint="eastAsia" w:ascii="仿宋" w:hAnsi="仿宋" w:eastAsia="仿宋" w:cs="仿宋"/>
          <w:bCs/>
          <w:snapToGrid w:val="0"/>
          <w:color w:val="000000"/>
          <w:kern w:val="0"/>
          <w:sz w:val="28"/>
          <w:szCs w:val="28"/>
          <w:shd w:val="clear" w:color="auto" w:fill="FFFFFF"/>
        </w:rPr>
        <w:t>二级故障：在2小时内确诊，并在4小时内由专家到达现场确诊并解决，总故障解决时间不超过8小时；</w:t>
      </w:r>
    </w:p>
    <w:p>
      <w:pPr>
        <w:pStyle w:val="59"/>
        <w:snapToGrid w:val="0"/>
        <w:spacing w:line="360" w:lineRule="auto"/>
        <w:ind w:firstLine="560"/>
        <w:rPr>
          <w:rFonts w:hint="eastAsia" w:ascii="仿宋" w:hAnsi="仿宋" w:eastAsia="仿宋" w:cs="仿宋"/>
          <w:bCs/>
          <w:snapToGrid w:val="0"/>
          <w:color w:val="000000"/>
          <w:kern w:val="0"/>
          <w:sz w:val="28"/>
          <w:szCs w:val="28"/>
          <w:shd w:val="clear" w:color="auto" w:fill="FFFFFF"/>
        </w:rPr>
      </w:pPr>
      <w:r>
        <w:rPr>
          <w:rFonts w:hint="eastAsia" w:ascii="仿宋" w:hAnsi="仿宋" w:eastAsia="仿宋" w:cs="仿宋"/>
          <w:bCs/>
          <w:snapToGrid w:val="0"/>
          <w:color w:val="000000"/>
          <w:kern w:val="0"/>
          <w:sz w:val="28"/>
          <w:szCs w:val="28"/>
          <w:shd w:val="clear" w:color="auto" w:fill="FFFFFF"/>
        </w:rPr>
        <w:t>四级故障：在4小时内确诊故障，总故障解决时间不超过16小时。</w:t>
      </w:r>
    </w:p>
    <w:p>
      <w:pPr>
        <w:pStyle w:val="4"/>
        <w:numPr>
          <w:ilvl w:val="0"/>
          <w:numId w:val="7"/>
        </w:numPr>
        <w:ind w:left="0" w:leftChars="0" w:firstLine="420" w:firstLineChars="0"/>
        <w:rPr>
          <w:rFonts w:hint="eastAsia" w:ascii="仿宋" w:hAnsi="仿宋" w:eastAsia="仿宋" w:cs="仿宋"/>
          <w:sz w:val="28"/>
          <w:szCs w:val="28"/>
          <w:highlight w:val="none"/>
          <w:lang w:val="en-US" w:eastAsia="zh-CN"/>
        </w:rPr>
      </w:pPr>
      <w:bookmarkStart w:id="17" w:name="_Toc63785507"/>
      <w:r>
        <w:rPr>
          <w:rFonts w:hint="eastAsia" w:ascii="仿宋" w:hAnsi="仿宋" w:eastAsia="仿宋" w:cs="仿宋"/>
          <w:sz w:val="28"/>
          <w:szCs w:val="28"/>
          <w:highlight w:val="none"/>
          <w:lang w:val="en-US" w:eastAsia="zh-CN"/>
        </w:rPr>
        <w:t>培训要求</w:t>
      </w:r>
      <w:bookmarkEnd w:id="17"/>
    </w:p>
    <w:p>
      <w:pPr>
        <w:pStyle w:val="59"/>
        <w:snapToGrid w:val="0"/>
        <w:spacing w:line="360" w:lineRule="auto"/>
        <w:ind w:firstLine="560"/>
        <w:rPr>
          <w:rFonts w:hint="eastAsia" w:ascii="仿宋" w:hAnsi="仿宋" w:eastAsia="仿宋" w:cs="仿宋"/>
          <w:bCs/>
          <w:snapToGrid w:val="0"/>
          <w:color w:val="000000"/>
          <w:kern w:val="0"/>
          <w:sz w:val="28"/>
          <w:szCs w:val="28"/>
          <w:shd w:val="clear" w:color="auto" w:fill="FFFFFF"/>
        </w:rPr>
      </w:pPr>
      <w:r>
        <w:rPr>
          <w:rFonts w:hint="eastAsia" w:ascii="仿宋" w:hAnsi="仿宋" w:eastAsia="仿宋" w:cs="仿宋"/>
          <w:bCs/>
          <w:snapToGrid w:val="0"/>
          <w:color w:val="000000"/>
          <w:kern w:val="0"/>
          <w:sz w:val="28"/>
          <w:szCs w:val="28"/>
          <w:shd w:val="clear" w:color="auto" w:fill="FFFFFF"/>
        </w:rPr>
        <w:t>对系统使用单位提供业务操作培训，应提供详细培训方案。</w:t>
      </w:r>
    </w:p>
    <w:p>
      <w:pPr>
        <w:pStyle w:val="59"/>
        <w:snapToGrid w:val="0"/>
        <w:spacing w:line="360" w:lineRule="auto"/>
        <w:ind w:firstLine="560"/>
        <w:rPr>
          <w:rFonts w:hint="eastAsia" w:ascii="仿宋" w:hAnsi="仿宋" w:eastAsia="仿宋" w:cs="仿宋"/>
          <w:bCs/>
          <w:snapToGrid w:val="0"/>
          <w:color w:val="000000"/>
          <w:kern w:val="0"/>
          <w:sz w:val="28"/>
          <w:szCs w:val="28"/>
          <w:shd w:val="clear" w:color="auto" w:fill="FFFFFF"/>
        </w:rPr>
      </w:pPr>
      <w:r>
        <w:rPr>
          <w:rFonts w:hint="eastAsia" w:ascii="仿宋" w:hAnsi="仿宋" w:eastAsia="仿宋" w:cs="仿宋"/>
          <w:bCs/>
          <w:snapToGrid w:val="0"/>
          <w:color w:val="000000"/>
          <w:kern w:val="0"/>
          <w:sz w:val="28"/>
          <w:szCs w:val="28"/>
          <w:shd w:val="clear" w:color="auto" w:fill="FFFFFF"/>
        </w:rPr>
        <w:t>(1)在12个月的质量保证期内，提供2次与项目相关的必要培训。</w:t>
      </w:r>
    </w:p>
    <w:p>
      <w:pPr>
        <w:pStyle w:val="59"/>
        <w:snapToGrid w:val="0"/>
        <w:spacing w:line="360" w:lineRule="auto"/>
        <w:ind w:firstLine="560"/>
        <w:rPr>
          <w:rFonts w:hint="eastAsia" w:ascii="仿宋" w:hAnsi="仿宋" w:eastAsia="仿宋" w:cs="仿宋"/>
          <w:bCs/>
          <w:snapToGrid w:val="0"/>
          <w:color w:val="000000"/>
          <w:kern w:val="0"/>
          <w:sz w:val="28"/>
          <w:szCs w:val="28"/>
          <w:shd w:val="clear" w:color="auto" w:fill="FFFFFF"/>
        </w:rPr>
      </w:pPr>
      <w:r>
        <w:rPr>
          <w:rFonts w:hint="eastAsia" w:ascii="仿宋" w:hAnsi="仿宋" w:eastAsia="仿宋" w:cs="仿宋"/>
          <w:bCs/>
          <w:snapToGrid w:val="0"/>
          <w:color w:val="000000"/>
          <w:kern w:val="0"/>
          <w:sz w:val="28"/>
          <w:szCs w:val="28"/>
          <w:shd w:val="clear" w:color="auto" w:fill="FFFFFF"/>
        </w:rPr>
        <w:t>(2)供应商需要开展分层次的人员培训工作，每次培训后应对参加培训人员进行测试，评估培训成果。培训应具有培训教材、培训环境和高水平的培训讲师。</w:t>
      </w:r>
    </w:p>
    <w:p>
      <w:pPr>
        <w:pStyle w:val="59"/>
        <w:snapToGrid w:val="0"/>
        <w:spacing w:line="360" w:lineRule="auto"/>
        <w:ind w:firstLine="560"/>
        <w:rPr>
          <w:rFonts w:hint="eastAsia" w:ascii="仿宋" w:hAnsi="仿宋" w:eastAsia="仿宋" w:cs="仿宋"/>
          <w:bCs/>
          <w:snapToGrid w:val="0"/>
          <w:color w:val="000000"/>
          <w:kern w:val="0"/>
          <w:sz w:val="28"/>
          <w:szCs w:val="28"/>
          <w:shd w:val="clear" w:color="auto" w:fill="FFFFFF"/>
        </w:rPr>
      </w:pPr>
      <w:r>
        <w:rPr>
          <w:rFonts w:hint="eastAsia" w:ascii="仿宋" w:hAnsi="仿宋" w:eastAsia="仿宋" w:cs="仿宋"/>
          <w:bCs/>
          <w:snapToGrid w:val="0"/>
          <w:color w:val="000000"/>
          <w:kern w:val="0"/>
          <w:sz w:val="28"/>
          <w:szCs w:val="28"/>
          <w:shd w:val="clear" w:color="auto" w:fill="FFFFFF"/>
        </w:rPr>
        <w:t>(3)供应商应提供一般用户的基础操作培训和部门信息管理员的日常应用维护的培训，确保用户对象能够掌握对应的操作技能。</w:t>
      </w:r>
    </w:p>
    <w:p>
      <w:pPr>
        <w:pStyle w:val="4"/>
        <w:numPr>
          <w:ilvl w:val="0"/>
          <w:numId w:val="7"/>
        </w:numPr>
        <w:ind w:left="0" w:leftChars="0" w:firstLine="420" w:firstLineChars="0"/>
        <w:rPr>
          <w:rFonts w:hint="eastAsia" w:ascii="仿宋" w:hAnsi="仿宋" w:eastAsia="仿宋" w:cs="仿宋"/>
          <w:sz w:val="28"/>
          <w:szCs w:val="28"/>
          <w:highlight w:val="none"/>
          <w:lang w:val="en-US" w:eastAsia="zh-CN"/>
        </w:rPr>
      </w:pPr>
      <w:bookmarkStart w:id="18" w:name="_Toc63785509"/>
      <w:r>
        <w:rPr>
          <w:rFonts w:hint="eastAsia" w:ascii="仿宋" w:hAnsi="仿宋" w:eastAsia="仿宋" w:cs="仿宋"/>
          <w:sz w:val="28"/>
          <w:szCs w:val="28"/>
          <w:highlight w:val="none"/>
          <w:lang w:val="en-US" w:eastAsia="zh-CN"/>
        </w:rPr>
        <w:t>进度要求</w:t>
      </w:r>
      <w:bookmarkEnd w:id="18"/>
    </w:p>
    <w:p>
      <w:pPr>
        <w:pStyle w:val="59"/>
        <w:snapToGrid w:val="0"/>
        <w:spacing w:line="360" w:lineRule="auto"/>
        <w:ind w:firstLine="560"/>
        <w:rPr>
          <w:rFonts w:hint="eastAsia" w:ascii="仿宋" w:hAnsi="仿宋" w:eastAsia="仿宋" w:cs="仿宋"/>
          <w:bCs/>
          <w:snapToGrid w:val="0"/>
          <w:color w:val="000000"/>
          <w:kern w:val="0"/>
          <w:sz w:val="28"/>
          <w:szCs w:val="28"/>
          <w:shd w:val="clear" w:color="auto" w:fill="FFFFFF"/>
        </w:rPr>
      </w:pPr>
      <w:r>
        <w:rPr>
          <w:rFonts w:hint="eastAsia" w:ascii="仿宋" w:hAnsi="仿宋" w:eastAsia="仿宋" w:cs="仿宋"/>
          <w:bCs/>
          <w:snapToGrid w:val="0"/>
          <w:color w:val="000000"/>
          <w:kern w:val="0"/>
          <w:sz w:val="28"/>
          <w:szCs w:val="28"/>
          <w:shd w:val="clear" w:color="auto" w:fill="FFFFFF"/>
        </w:rPr>
        <w:t>投标人应根据建设内容，分阶段制定合理的时间进度，并且应根据招标方要求进行调整和细化。</w:t>
      </w:r>
    </w:p>
    <w:p>
      <w:pPr>
        <w:pStyle w:val="59"/>
        <w:snapToGrid w:val="0"/>
        <w:spacing w:line="360" w:lineRule="auto"/>
        <w:ind w:firstLine="560"/>
        <w:rPr>
          <w:rFonts w:hint="eastAsia" w:ascii="仿宋" w:hAnsi="仿宋" w:eastAsia="仿宋" w:cs="仿宋"/>
          <w:bCs/>
          <w:snapToGrid w:val="0"/>
          <w:color w:val="000000"/>
          <w:kern w:val="0"/>
          <w:sz w:val="28"/>
          <w:szCs w:val="28"/>
          <w:shd w:val="clear" w:color="auto" w:fill="FFFFFF"/>
        </w:rPr>
      </w:pPr>
      <w:r>
        <w:rPr>
          <w:rFonts w:hint="eastAsia" w:ascii="仿宋" w:hAnsi="仿宋" w:eastAsia="仿宋" w:cs="仿宋"/>
          <w:bCs/>
          <w:snapToGrid w:val="0"/>
          <w:color w:val="000000"/>
          <w:kern w:val="0"/>
          <w:sz w:val="28"/>
          <w:szCs w:val="28"/>
          <w:shd w:val="clear" w:color="auto" w:fill="FFFFFF"/>
        </w:rPr>
        <w:t>总建设周期为</w:t>
      </w:r>
      <w:r>
        <w:rPr>
          <w:rFonts w:hint="eastAsia" w:ascii="仿宋" w:hAnsi="仿宋" w:eastAsia="仿宋" w:cs="仿宋"/>
          <w:bCs/>
          <w:snapToGrid w:val="0"/>
          <w:color w:val="000000"/>
          <w:kern w:val="0"/>
          <w:sz w:val="28"/>
          <w:szCs w:val="28"/>
          <w:shd w:val="clear" w:color="auto" w:fill="FFFFFF"/>
          <w:lang w:val="en-US" w:eastAsia="zh-CN"/>
        </w:rPr>
        <w:t>8</w:t>
      </w:r>
      <w:r>
        <w:rPr>
          <w:rFonts w:hint="eastAsia" w:ascii="仿宋" w:hAnsi="仿宋" w:eastAsia="仿宋" w:cs="仿宋"/>
          <w:bCs/>
          <w:snapToGrid w:val="0"/>
          <w:color w:val="000000"/>
          <w:kern w:val="0"/>
          <w:sz w:val="28"/>
          <w:szCs w:val="28"/>
          <w:shd w:val="clear" w:color="auto" w:fill="FFFFFF"/>
        </w:rPr>
        <w:t>个月，分为</w:t>
      </w:r>
      <w:r>
        <w:rPr>
          <w:rFonts w:hint="eastAsia" w:ascii="仿宋" w:hAnsi="仿宋" w:eastAsia="仿宋" w:cs="仿宋"/>
          <w:bCs/>
          <w:snapToGrid w:val="0"/>
          <w:color w:val="000000"/>
          <w:kern w:val="0"/>
          <w:sz w:val="28"/>
          <w:szCs w:val="28"/>
          <w:shd w:val="clear" w:color="auto" w:fill="FFFFFF"/>
          <w:lang w:val="en-US" w:eastAsia="zh-CN"/>
        </w:rPr>
        <w:t>2</w:t>
      </w:r>
      <w:r>
        <w:rPr>
          <w:rFonts w:hint="eastAsia" w:ascii="仿宋" w:hAnsi="仿宋" w:eastAsia="仿宋" w:cs="仿宋"/>
          <w:bCs/>
          <w:snapToGrid w:val="0"/>
          <w:color w:val="000000"/>
          <w:kern w:val="0"/>
          <w:sz w:val="28"/>
          <w:szCs w:val="28"/>
          <w:shd w:val="clear" w:color="auto" w:fill="FFFFFF"/>
        </w:rPr>
        <w:t>个阶段。</w:t>
      </w:r>
    </w:p>
    <w:p>
      <w:pPr>
        <w:pStyle w:val="59"/>
        <w:snapToGrid w:val="0"/>
        <w:spacing w:line="360" w:lineRule="auto"/>
        <w:ind w:firstLine="560"/>
        <w:rPr>
          <w:rFonts w:hint="eastAsia" w:ascii="仿宋" w:hAnsi="仿宋" w:eastAsia="仿宋" w:cs="仿宋"/>
          <w:bCs/>
          <w:snapToGrid w:val="0"/>
          <w:color w:val="000000"/>
          <w:kern w:val="0"/>
          <w:sz w:val="28"/>
          <w:szCs w:val="28"/>
          <w:shd w:val="clear" w:color="auto" w:fill="FFFFFF"/>
        </w:rPr>
      </w:pPr>
      <w:r>
        <w:rPr>
          <w:rFonts w:hint="eastAsia" w:ascii="仿宋" w:hAnsi="仿宋" w:eastAsia="仿宋" w:cs="仿宋"/>
          <w:bCs/>
          <w:snapToGrid w:val="0"/>
          <w:color w:val="000000"/>
          <w:kern w:val="0"/>
          <w:sz w:val="28"/>
          <w:szCs w:val="28"/>
          <w:shd w:val="clear" w:color="auto" w:fill="FFFFFF"/>
        </w:rPr>
        <w:t>第一阶段为</w:t>
      </w:r>
      <w:r>
        <w:rPr>
          <w:rFonts w:hint="eastAsia" w:ascii="仿宋" w:hAnsi="仿宋" w:eastAsia="仿宋" w:cs="仿宋"/>
          <w:bCs/>
          <w:snapToGrid w:val="0"/>
          <w:color w:val="000000"/>
          <w:kern w:val="0"/>
          <w:sz w:val="28"/>
          <w:szCs w:val="28"/>
          <w:shd w:val="clear" w:color="auto" w:fill="FFFFFF"/>
          <w:lang w:val="en-US" w:eastAsia="zh-CN"/>
        </w:rPr>
        <w:t>6</w:t>
      </w:r>
      <w:r>
        <w:rPr>
          <w:rFonts w:hint="eastAsia" w:ascii="仿宋" w:hAnsi="仿宋" w:eastAsia="仿宋" w:cs="仿宋"/>
          <w:bCs/>
          <w:snapToGrid w:val="0"/>
          <w:color w:val="000000"/>
          <w:kern w:val="0"/>
          <w:sz w:val="28"/>
          <w:szCs w:val="28"/>
          <w:shd w:val="clear" w:color="auto" w:fill="FFFFFF"/>
        </w:rPr>
        <w:t>个月，完成</w:t>
      </w:r>
      <w:r>
        <w:rPr>
          <w:rFonts w:hint="eastAsia" w:ascii="仿宋" w:hAnsi="仿宋" w:eastAsia="仿宋" w:cs="仿宋"/>
          <w:bCs/>
          <w:snapToGrid w:val="0"/>
          <w:color w:val="000000"/>
          <w:kern w:val="0"/>
          <w:sz w:val="28"/>
          <w:szCs w:val="28"/>
          <w:shd w:val="clear" w:color="auto" w:fill="FFFFFF"/>
          <w:lang w:val="en-US" w:eastAsia="zh-CN"/>
        </w:rPr>
        <w:t>项目建设开发工作</w:t>
      </w:r>
      <w:r>
        <w:rPr>
          <w:rFonts w:hint="eastAsia" w:ascii="仿宋" w:hAnsi="仿宋" w:eastAsia="仿宋" w:cs="仿宋"/>
          <w:bCs/>
          <w:snapToGrid w:val="0"/>
          <w:color w:val="000000"/>
          <w:kern w:val="0"/>
          <w:sz w:val="28"/>
          <w:szCs w:val="28"/>
          <w:shd w:val="clear" w:color="auto" w:fill="FFFFFF"/>
        </w:rPr>
        <w:t>。</w:t>
      </w:r>
    </w:p>
    <w:p>
      <w:pPr>
        <w:pStyle w:val="59"/>
        <w:snapToGrid w:val="0"/>
        <w:spacing w:line="360" w:lineRule="auto"/>
        <w:ind w:firstLine="560"/>
        <w:rPr>
          <w:rFonts w:hint="eastAsia" w:ascii="仿宋" w:hAnsi="仿宋" w:eastAsia="仿宋" w:cs="仿宋"/>
          <w:bCs/>
          <w:snapToGrid w:val="0"/>
          <w:color w:val="000000"/>
          <w:kern w:val="0"/>
          <w:sz w:val="28"/>
          <w:szCs w:val="28"/>
          <w:shd w:val="clear" w:color="auto" w:fill="FFFFFF"/>
        </w:rPr>
      </w:pPr>
      <w:r>
        <w:rPr>
          <w:rFonts w:hint="eastAsia" w:ascii="仿宋" w:hAnsi="仿宋" w:eastAsia="仿宋" w:cs="仿宋"/>
          <w:bCs/>
          <w:snapToGrid w:val="0"/>
          <w:color w:val="000000"/>
          <w:kern w:val="0"/>
          <w:sz w:val="28"/>
          <w:szCs w:val="28"/>
          <w:shd w:val="clear" w:color="auto" w:fill="FFFFFF"/>
        </w:rPr>
        <w:t>第二阶段为</w:t>
      </w:r>
      <w:r>
        <w:rPr>
          <w:rFonts w:hint="eastAsia" w:ascii="仿宋" w:hAnsi="仿宋" w:eastAsia="仿宋" w:cs="仿宋"/>
          <w:bCs/>
          <w:snapToGrid w:val="0"/>
          <w:color w:val="000000"/>
          <w:kern w:val="0"/>
          <w:sz w:val="28"/>
          <w:szCs w:val="28"/>
          <w:shd w:val="clear" w:color="auto" w:fill="FFFFFF"/>
          <w:lang w:val="en-US" w:eastAsia="zh-CN"/>
        </w:rPr>
        <w:t>2</w:t>
      </w:r>
      <w:r>
        <w:rPr>
          <w:rFonts w:hint="eastAsia" w:ascii="仿宋" w:hAnsi="仿宋" w:eastAsia="仿宋" w:cs="仿宋"/>
          <w:bCs/>
          <w:snapToGrid w:val="0"/>
          <w:color w:val="000000"/>
          <w:kern w:val="0"/>
          <w:sz w:val="28"/>
          <w:szCs w:val="28"/>
          <w:shd w:val="clear" w:color="auto" w:fill="FFFFFF"/>
        </w:rPr>
        <w:t>个月，完成</w:t>
      </w:r>
      <w:r>
        <w:rPr>
          <w:rFonts w:hint="eastAsia" w:ascii="仿宋" w:hAnsi="仿宋" w:eastAsia="仿宋" w:cs="仿宋"/>
          <w:bCs/>
          <w:snapToGrid w:val="0"/>
          <w:color w:val="000000"/>
          <w:kern w:val="0"/>
          <w:sz w:val="28"/>
          <w:szCs w:val="28"/>
          <w:shd w:val="clear" w:color="auto" w:fill="FFFFFF"/>
          <w:lang w:val="en-US" w:eastAsia="zh-CN"/>
        </w:rPr>
        <w:t>项目上线后两个月的试运行工作</w:t>
      </w:r>
      <w:r>
        <w:rPr>
          <w:rFonts w:hint="eastAsia" w:ascii="仿宋" w:hAnsi="仿宋" w:eastAsia="仿宋" w:cs="仿宋"/>
          <w:bCs/>
          <w:snapToGrid w:val="0"/>
          <w:color w:val="000000"/>
          <w:kern w:val="0"/>
          <w:sz w:val="28"/>
          <w:szCs w:val="28"/>
          <w:shd w:val="clear" w:color="auto" w:fill="FFFFFF"/>
        </w:rPr>
        <w:t>。</w:t>
      </w:r>
    </w:p>
    <w:p>
      <w:pPr>
        <w:pStyle w:val="4"/>
        <w:numPr>
          <w:ilvl w:val="0"/>
          <w:numId w:val="7"/>
        </w:numPr>
        <w:ind w:left="0" w:leftChars="0" w:firstLine="420" w:firstLineChars="0"/>
        <w:rPr>
          <w:rFonts w:hint="eastAsia" w:ascii="仿宋" w:hAnsi="仿宋" w:eastAsia="仿宋" w:cs="仿宋"/>
          <w:sz w:val="28"/>
          <w:szCs w:val="28"/>
          <w:highlight w:val="none"/>
          <w:lang w:val="en-US" w:eastAsia="zh-CN"/>
        </w:rPr>
      </w:pPr>
      <w:bookmarkStart w:id="19" w:name="_Toc63785510"/>
      <w:r>
        <w:rPr>
          <w:rFonts w:hint="eastAsia" w:ascii="仿宋" w:hAnsi="仿宋" w:eastAsia="仿宋" w:cs="仿宋"/>
          <w:sz w:val="28"/>
          <w:szCs w:val="28"/>
          <w:highlight w:val="none"/>
          <w:lang w:val="en-US" w:eastAsia="zh-CN"/>
        </w:rPr>
        <w:t>项目团队及驻场人员要求</w:t>
      </w:r>
      <w:bookmarkEnd w:id="19"/>
    </w:p>
    <w:p>
      <w:pPr>
        <w:pStyle w:val="59"/>
        <w:snapToGrid w:val="0"/>
        <w:spacing w:line="360" w:lineRule="auto"/>
        <w:ind w:firstLine="560"/>
        <w:rPr>
          <w:rFonts w:hint="eastAsia" w:ascii="仿宋" w:hAnsi="仿宋" w:eastAsia="仿宋" w:cs="仿宋"/>
          <w:bCs/>
          <w:snapToGrid w:val="0"/>
          <w:color w:val="000000"/>
          <w:kern w:val="0"/>
          <w:sz w:val="28"/>
          <w:szCs w:val="28"/>
          <w:shd w:val="clear" w:color="auto" w:fill="FFFFFF"/>
        </w:rPr>
      </w:pPr>
      <w:r>
        <w:rPr>
          <w:rFonts w:hint="eastAsia" w:ascii="仿宋" w:hAnsi="仿宋" w:eastAsia="仿宋" w:cs="仿宋"/>
          <w:bCs/>
          <w:snapToGrid w:val="0"/>
          <w:color w:val="000000"/>
          <w:kern w:val="0"/>
          <w:sz w:val="28"/>
          <w:szCs w:val="28"/>
          <w:shd w:val="clear" w:color="auto" w:fill="FFFFFF"/>
        </w:rPr>
        <w:t>1）投标人须具有稳定的在职技术保障力量，能够提供及时的技术支援或服务，应针对本项目提供不少于</w:t>
      </w:r>
      <w:r>
        <w:rPr>
          <w:rFonts w:hint="eastAsia" w:ascii="仿宋" w:hAnsi="仿宋" w:eastAsia="仿宋" w:cs="仿宋"/>
          <w:bCs/>
          <w:snapToGrid w:val="0"/>
          <w:color w:val="000000"/>
          <w:kern w:val="0"/>
          <w:sz w:val="28"/>
          <w:szCs w:val="28"/>
          <w:shd w:val="clear" w:color="auto" w:fill="FFFFFF"/>
          <w:lang w:val="en-US" w:eastAsia="zh-CN"/>
        </w:rPr>
        <w:t>6</w:t>
      </w:r>
      <w:r>
        <w:rPr>
          <w:rFonts w:hint="eastAsia" w:ascii="仿宋" w:hAnsi="仿宋" w:eastAsia="仿宋" w:cs="仿宋"/>
          <w:bCs/>
          <w:snapToGrid w:val="0"/>
          <w:color w:val="000000"/>
          <w:kern w:val="0"/>
          <w:sz w:val="28"/>
          <w:szCs w:val="28"/>
          <w:shd w:val="clear" w:color="auto" w:fill="FFFFFF"/>
        </w:rPr>
        <w:t>人的项目服务团队（包括项目经理、产品经理、技术负责人、研发等），投标单位的相关服务人员需具备相应的服务能力，需提供相关证明。</w:t>
      </w:r>
    </w:p>
    <w:tbl>
      <w:tblPr>
        <w:tblStyle w:val="19"/>
        <w:tblW w:w="48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571"/>
        <w:gridCol w:w="711"/>
        <w:gridCol w:w="4696"/>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8" w:type="pct"/>
            <w:shd w:val="clear" w:color="auto" w:fill="auto"/>
            <w:noWrap/>
            <w:vAlign w:val="center"/>
          </w:tcPr>
          <w:p>
            <w:pPr>
              <w:widowControl/>
              <w:spacing w:line="240" w:lineRule="auto"/>
              <w:ind w:firstLine="0" w:firstLineChars="0"/>
              <w:jc w:val="center"/>
              <w:rPr>
                <w:b/>
              </w:rPr>
            </w:pPr>
            <w:r>
              <w:rPr>
                <w:rFonts w:hint="eastAsia"/>
                <w:b/>
              </w:rPr>
              <w:t>角色</w:t>
            </w:r>
          </w:p>
        </w:tc>
        <w:tc>
          <w:tcPr>
            <w:tcW w:w="985" w:type="pct"/>
            <w:shd w:val="clear" w:color="auto" w:fill="auto"/>
            <w:noWrap/>
            <w:vAlign w:val="center"/>
          </w:tcPr>
          <w:p>
            <w:pPr>
              <w:widowControl/>
              <w:spacing w:line="240" w:lineRule="auto"/>
              <w:ind w:firstLine="0" w:firstLineChars="0"/>
              <w:jc w:val="center"/>
              <w:rPr>
                <w:b/>
              </w:rPr>
            </w:pPr>
            <w:r>
              <w:rPr>
                <w:rFonts w:hint="eastAsia"/>
                <w:b/>
              </w:rPr>
              <w:t>主要职责</w:t>
            </w:r>
          </w:p>
        </w:tc>
        <w:tc>
          <w:tcPr>
            <w:tcW w:w="442" w:type="pct"/>
            <w:shd w:val="clear" w:color="auto" w:fill="auto"/>
            <w:noWrap/>
            <w:vAlign w:val="center"/>
          </w:tcPr>
          <w:p>
            <w:pPr>
              <w:widowControl/>
              <w:spacing w:line="240" w:lineRule="auto"/>
              <w:ind w:firstLine="0" w:firstLineChars="0"/>
              <w:jc w:val="center"/>
              <w:rPr>
                <w:b/>
              </w:rPr>
            </w:pPr>
            <w:r>
              <w:rPr>
                <w:rFonts w:hint="eastAsia"/>
                <w:b/>
              </w:rPr>
              <w:t>人员数量</w:t>
            </w:r>
          </w:p>
        </w:tc>
        <w:tc>
          <w:tcPr>
            <w:tcW w:w="2610" w:type="pct"/>
            <w:shd w:val="clear" w:color="auto" w:fill="auto"/>
            <w:noWrap/>
            <w:vAlign w:val="center"/>
          </w:tcPr>
          <w:p>
            <w:pPr>
              <w:widowControl/>
              <w:spacing w:line="240" w:lineRule="auto"/>
              <w:ind w:firstLine="0" w:firstLineChars="0"/>
              <w:jc w:val="center"/>
              <w:rPr>
                <w:rFonts w:hint="eastAsia" w:ascii="Calibri" w:hAnsi="Calibri" w:eastAsia="宋体" w:cs="Times New Roman"/>
                <w:b/>
                <w:kern w:val="2"/>
                <w:sz w:val="21"/>
                <w:szCs w:val="22"/>
                <w:lang w:val="en-US" w:eastAsia="zh-CN" w:bidi="ar-SA"/>
              </w:rPr>
            </w:pPr>
            <w:r>
              <w:rPr>
                <w:rFonts w:hint="eastAsia"/>
                <w:b/>
                <w:lang w:eastAsia="zh-CN"/>
              </w:rPr>
              <w:t>人员要求</w:t>
            </w:r>
          </w:p>
        </w:tc>
        <w:tc>
          <w:tcPr>
            <w:tcW w:w="442" w:type="pct"/>
            <w:shd w:val="clear" w:color="auto" w:fill="auto"/>
            <w:noWrap/>
            <w:vAlign w:val="center"/>
          </w:tcPr>
          <w:p>
            <w:pPr>
              <w:widowControl/>
              <w:spacing w:line="240" w:lineRule="auto"/>
              <w:ind w:firstLine="0" w:firstLineChars="0"/>
              <w:jc w:val="center"/>
              <w:rPr>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8" w:type="pct"/>
            <w:shd w:val="clear" w:color="auto" w:fill="auto"/>
            <w:noWrap/>
            <w:vAlign w:val="center"/>
          </w:tcPr>
          <w:p>
            <w:pPr>
              <w:widowControl/>
              <w:spacing w:line="240" w:lineRule="auto"/>
              <w:ind w:firstLine="0" w:firstLineChars="0"/>
              <w:jc w:val="center"/>
            </w:pPr>
            <w:r>
              <w:rPr>
                <w:rFonts w:hint="eastAsia"/>
              </w:rPr>
              <w:t>项目经理</w:t>
            </w:r>
          </w:p>
        </w:tc>
        <w:tc>
          <w:tcPr>
            <w:tcW w:w="985" w:type="pct"/>
            <w:shd w:val="clear" w:color="auto" w:fill="auto"/>
            <w:vAlign w:val="center"/>
          </w:tcPr>
          <w:p>
            <w:pPr>
              <w:widowControl/>
              <w:spacing w:line="240" w:lineRule="auto"/>
              <w:ind w:firstLine="0" w:firstLineChars="0"/>
              <w:jc w:val="center"/>
            </w:pPr>
            <w:r>
              <w:rPr>
                <w:rFonts w:hint="eastAsia"/>
              </w:rPr>
              <w:t>负责项目质量和进度控制</w:t>
            </w:r>
          </w:p>
        </w:tc>
        <w:tc>
          <w:tcPr>
            <w:tcW w:w="442" w:type="pct"/>
            <w:shd w:val="clear" w:color="auto" w:fill="auto"/>
            <w:noWrap/>
            <w:vAlign w:val="center"/>
          </w:tcPr>
          <w:p>
            <w:pPr>
              <w:widowControl/>
              <w:spacing w:line="240" w:lineRule="auto"/>
              <w:ind w:firstLine="0" w:firstLineChars="0"/>
              <w:jc w:val="center"/>
            </w:pPr>
            <w:r>
              <w:rPr>
                <w:rFonts w:hint="eastAsia"/>
                <w:lang w:val="en-US" w:eastAsia="zh-CN"/>
              </w:rPr>
              <w:t>1</w:t>
            </w:r>
            <w:r>
              <w:rPr>
                <w:rFonts w:hint="eastAsia"/>
              </w:rPr>
              <w:t>人</w:t>
            </w:r>
          </w:p>
        </w:tc>
        <w:tc>
          <w:tcPr>
            <w:tcW w:w="2610" w:type="pct"/>
            <w:shd w:val="clear" w:color="auto" w:fill="auto"/>
            <w:noWrap/>
            <w:vAlign w:val="center"/>
          </w:tcPr>
          <w:p>
            <w:pPr>
              <w:widowControl/>
              <w:spacing w:line="240" w:lineRule="auto"/>
              <w:ind w:firstLine="0" w:firstLineChars="0"/>
              <w:jc w:val="left"/>
              <w:rPr>
                <w:rFonts w:hint="eastAsia"/>
                <w:szCs w:val="21"/>
                <w:lang w:val="en-US" w:eastAsia="zh-CN"/>
              </w:rPr>
            </w:pPr>
            <w:r>
              <w:rPr>
                <w:rFonts w:hint="eastAsia"/>
                <w:szCs w:val="21"/>
                <w:lang w:val="en-US" w:eastAsia="zh-CN"/>
              </w:rPr>
              <w:t>1.具备硕士研究生及以上学历；</w:t>
            </w:r>
          </w:p>
          <w:p>
            <w:pPr>
              <w:widowControl/>
              <w:spacing w:line="240" w:lineRule="auto"/>
              <w:ind w:firstLine="0" w:firstLineChars="0"/>
              <w:jc w:val="left"/>
              <w:rPr>
                <w:rFonts w:hint="eastAsia" w:ascii="Calibri" w:hAnsi="Calibri" w:eastAsia="宋体" w:cs="Times New Roman"/>
                <w:kern w:val="2"/>
                <w:sz w:val="21"/>
                <w:szCs w:val="22"/>
                <w:lang w:val="en-US" w:eastAsia="zh-CN" w:bidi="ar-SA"/>
              </w:rPr>
            </w:pPr>
            <w:r>
              <w:rPr>
                <w:rFonts w:hint="eastAsia"/>
                <w:szCs w:val="21"/>
                <w:lang w:val="en-US" w:eastAsia="zh-CN"/>
              </w:rPr>
              <w:t>2.具备计算机技术与软件专业技术资格(水平)高级及以上证书或计算机类高级职称；</w:t>
            </w:r>
          </w:p>
        </w:tc>
        <w:tc>
          <w:tcPr>
            <w:tcW w:w="442" w:type="pct"/>
            <w:shd w:val="clear" w:color="auto" w:fill="auto"/>
            <w:noWrap/>
            <w:vAlign w:val="center"/>
          </w:tcPr>
          <w:p>
            <w:pPr>
              <w:widowControl/>
              <w:spacing w:line="240" w:lineRule="auto"/>
              <w:ind w:firstLine="0" w:firstLineChars="0"/>
              <w:jc w:val="center"/>
            </w:pP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8" w:type="pct"/>
            <w:shd w:val="clear" w:color="auto" w:fill="auto"/>
            <w:noWrap/>
            <w:vAlign w:val="center"/>
          </w:tcPr>
          <w:p>
            <w:pPr>
              <w:widowControl/>
              <w:spacing w:line="240" w:lineRule="auto"/>
              <w:ind w:firstLine="0" w:firstLineChars="0"/>
              <w:jc w:val="center"/>
            </w:pPr>
            <w:r>
              <w:rPr>
                <w:rFonts w:hint="eastAsia"/>
              </w:rPr>
              <w:t>产品经理</w:t>
            </w:r>
          </w:p>
        </w:tc>
        <w:tc>
          <w:tcPr>
            <w:tcW w:w="985" w:type="pct"/>
            <w:shd w:val="clear" w:color="auto" w:fill="auto"/>
            <w:vAlign w:val="center"/>
          </w:tcPr>
          <w:p>
            <w:pPr>
              <w:widowControl/>
              <w:spacing w:line="240" w:lineRule="auto"/>
              <w:ind w:firstLine="0" w:firstLineChars="0"/>
              <w:jc w:val="center"/>
            </w:pPr>
            <w:r>
              <w:rPr>
                <w:rFonts w:hint="eastAsia"/>
              </w:rPr>
              <w:t>负责项目需求评估与产品设计</w:t>
            </w:r>
          </w:p>
        </w:tc>
        <w:tc>
          <w:tcPr>
            <w:tcW w:w="442" w:type="pct"/>
            <w:shd w:val="clear" w:color="auto" w:fill="auto"/>
            <w:noWrap/>
            <w:vAlign w:val="center"/>
          </w:tcPr>
          <w:p>
            <w:pPr>
              <w:widowControl/>
              <w:spacing w:line="240" w:lineRule="auto"/>
              <w:ind w:firstLine="0" w:firstLineChars="0"/>
              <w:jc w:val="center"/>
            </w:pPr>
            <w:r>
              <w:rPr>
                <w:rFonts w:hint="eastAsia"/>
                <w:lang w:val="en-US" w:eastAsia="zh-CN"/>
              </w:rPr>
              <w:t>1</w:t>
            </w:r>
            <w:r>
              <w:rPr>
                <w:rFonts w:hint="eastAsia"/>
              </w:rPr>
              <w:t>人</w:t>
            </w:r>
          </w:p>
        </w:tc>
        <w:tc>
          <w:tcPr>
            <w:tcW w:w="2610" w:type="pct"/>
            <w:shd w:val="clear" w:color="auto" w:fill="auto"/>
            <w:noWrap/>
            <w:vAlign w:val="center"/>
          </w:tcPr>
          <w:p>
            <w:pPr>
              <w:widowControl/>
              <w:spacing w:line="240" w:lineRule="auto"/>
              <w:ind w:firstLine="0" w:firstLineChars="0"/>
              <w:jc w:val="center"/>
              <w:rPr>
                <w:rFonts w:hint="eastAsia" w:ascii="Calibri" w:hAnsi="Calibri" w:eastAsia="宋体" w:cs="Times New Roman"/>
                <w:kern w:val="2"/>
                <w:sz w:val="21"/>
                <w:szCs w:val="22"/>
                <w:lang w:val="en-US" w:eastAsia="zh-CN" w:bidi="ar-SA"/>
              </w:rPr>
            </w:pPr>
            <w:r>
              <w:rPr>
                <w:rFonts w:hint="eastAsia"/>
                <w:lang w:val="en-US" w:eastAsia="zh-CN"/>
              </w:rPr>
              <w:t>具备类似项目从业经验</w:t>
            </w:r>
          </w:p>
        </w:tc>
        <w:tc>
          <w:tcPr>
            <w:tcW w:w="442" w:type="pct"/>
            <w:shd w:val="clear" w:color="auto" w:fill="auto"/>
            <w:noWrap/>
            <w:vAlign w:val="center"/>
          </w:tcPr>
          <w:p>
            <w:pPr>
              <w:widowControl/>
              <w:spacing w:line="240" w:lineRule="auto"/>
              <w:ind w:firstLine="0" w:firstLineChars="0"/>
              <w:jc w:val="center"/>
            </w:pPr>
            <w:r>
              <w:rPr>
                <w:rFonts w:hint="eastAsia"/>
                <w:lang w:val="en-US" w:eastAsia="zh-CN"/>
              </w:rPr>
              <w:t>不</w:t>
            </w: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8" w:type="pct"/>
            <w:shd w:val="clear" w:color="auto" w:fill="auto"/>
            <w:noWrap/>
            <w:vAlign w:val="center"/>
          </w:tcPr>
          <w:p>
            <w:pPr>
              <w:widowControl/>
              <w:spacing w:line="240" w:lineRule="auto"/>
              <w:ind w:firstLine="0" w:firstLineChars="0"/>
              <w:jc w:val="center"/>
            </w:pPr>
            <w:r>
              <w:rPr>
                <w:rFonts w:hint="eastAsia"/>
                <w:lang w:val="en-US" w:eastAsia="zh-CN"/>
              </w:rPr>
              <w:t>技术工程师</w:t>
            </w:r>
          </w:p>
        </w:tc>
        <w:tc>
          <w:tcPr>
            <w:tcW w:w="985" w:type="pct"/>
            <w:shd w:val="clear" w:color="auto" w:fill="auto"/>
            <w:noWrap/>
            <w:vAlign w:val="center"/>
          </w:tcPr>
          <w:p>
            <w:pPr>
              <w:widowControl/>
              <w:spacing w:line="240" w:lineRule="auto"/>
              <w:ind w:firstLine="0" w:firstLineChars="0"/>
              <w:jc w:val="center"/>
            </w:pPr>
            <w:r>
              <w:rPr>
                <w:rFonts w:hint="eastAsia"/>
              </w:rPr>
              <w:t>负责项目具体开发与实施</w:t>
            </w:r>
          </w:p>
        </w:tc>
        <w:tc>
          <w:tcPr>
            <w:tcW w:w="442" w:type="pct"/>
            <w:shd w:val="clear" w:color="auto" w:fill="auto"/>
            <w:noWrap/>
            <w:vAlign w:val="center"/>
          </w:tcPr>
          <w:p>
            <w:pPr>
              <w:widowControl/>
              <w:spacing w:line="240" w:lineRule="auto"/>
              <w:ind w:firstLine="0" w:firstLineChars="0"/>
              <w:jc w:val="center"/>
            </w:pPr>
            <w:r>
              <w:rPr>
                <w:rFonts w:hint="eastAsia"/>
                <w:lang w:val="en-US" w:eastAsia="zh-CN"/>
              </w:rPr>
              <w:t>4</w:t>
            </w:r>
            <w:r>
              <w:rPr>
                <w:rFonts w:hint="eastAsia"/>
              </w:rPr>
              <w:t>人</w:t>
            </w:r>
          </w:p>
        </w:tc>
        <w:tc>
          <w:tcPr>
            <w:tcW w:w="2610" w:type="pct"/>
            <w:shd w:val="clear" w:color="auto" w:fill="auto"/>
            <w:noWrap/>
            <w:vAlign w:val="center"/>
          </w:tcPr>
          <w:p>
            <w:pPr>
              <w:widowControl/>
              <w:spacing w:line="240" w:lineRule="auto"/>
              <w:ind w:firstLine="0" w:firstLineChars="0"/>
              <w:jc w:val="center"/>
              <w:rPr>
                <w:rFonts w:hint="eastAsia" w:ascii="Calibri" w:hAnsi="Calibri" w:eastAsia="宋体" w:cs="Times New Roman"/>
                <w:kern w:val="2"/>
                <w:sz w:val="21"/>
                <w:szCs w:val="22"/>
                <w:lang w:val="en-US" w:eastAsia="zh-CN" w:bidi="ar-SA"/>
              </w:rPr>
            </w:pPr>
            <w:r>
              <w:rPr>
                <w:rFonts w:hint="eastAsia"/>
                <w:lang w:val="en-US" w:eastAsia="zh-CN"/>
              </w:rPr>
              <w:t>具备类似项目从业经验</w:t>
            </w:r>
          </w:p>
        </w:tc>
        <w:tc>
          <w:tcPr>
            <w:tcW w:w="442" w:type="pct"/>
            <w:shd w:val="clear" w:color="auto" w:fill="auto"/>
            <w:noWrap/>
            <w:vAlign w:val="center"/>
          </w:tcPr>
          <w:p>
            <w:pPr>
              <w:widowControl/>
              <w:spacing w:line="240" w:lineRule="auto"/>
              <w:ind w:firstLine="0" w:firstLineChars="0"/>
              <w:jc w:val="center"/>
            </w:pPr>
            <w:r>
              <w:rPr>
                <w:rFonts w:hint="eastAsia"/>
              </w:rPr>
              <w:t>驻场</w:t>
            </w:r>
          </w:p>
        </w:tc>
      </w:tr>
    </w:tbl>
    <w:p>
      <w:pPr>
        <w:pStyle w:val="59"/>
        <w:snapToGrid w:val="0"/>
        <w:spacing w:line="360" w:lineRule="auto"/>
        <w:ind w:firstLine="560"/>
        <w:rPr>
          <w:rFonts w:hint="eastAsia" w:ascii="仿宋" w:hAnsi="仿宋" w:eastAsia="仿宋" w:cs="仿宋"/>
          <w:bCs/>
          <w:snapToGrid w:val="0"/>
          <w:color w:val="000000"/>
          <w:kern w:val="0"/>
          <w:sz w:val="28"/>
          <w:szCs w:val="28"/>
          <w:shd w:val="clear" w:color="auto" w:fill="FFFFFF"/>
        </w:rPr>
      </w:pPr>
      <w:r>
        <w:rPr>
          <w:rFonts w:hint="eastAsia" w:ascii="仿宋" w:hAnsi="仿宋" w:eastAsia="仿宋" w:cs="仿宋"/>
          <w:bCs/>
          <w:snapToGrid w:val="0"/>
          <w:color w:val="000000"/>
          <w:kern w:val="0"/>
          <w:sz w:val="28"/>
          <w:szCs w:val="28"/>
          <w:shd w:val="clear" w:color="auto" w:fill="FFFFFF"/>
        </w:rPr>
        <w:t>2）投标人应针对本项目提供不少于</w:t>
      </w:r>
      <w:r>
        <w:rPr>
          <w:rFonts w:hint="eastAsia" w:ascii="仿宋" w:hAnsi="仿宋" w:eastAsia="仿宋" w:cs="仿宋"/>
          <w:bCs/>
          <w:snapToGrid w:val="0"/>
          <w:color w:val="000000"/>
          <w:kern w:val="0"/>
          <w:sz w:val="28"/>
          <w:szCs w:val="28"/>
          <w:shd w:val="clear" w:color="auto" w:fill="FFFFFF"/>
          <w:lang w:val="en-US" w:eastAsia="zh-CN"/>
        </w:rPr>
        <w:t>2</w:t>
      </w:r>
      <w:r>
        <w:rPr>
          <w:rFonts w:hint="eastAsia" w:ascii="仿宋" w:hAnsi="仿宋" w:eastAsia="仿宋" w:cs="仿宋"/>
          <w:bCs/>
          <w:snapToGrid w:val="0"/>
          <w:color w:val="000000"/>
          <w:kern w:val="0"/>
          <w:sz w:val="28"/>
          <w:szCs w:val="28"/>
          <w:shd w:val="clear" w:color="auto" w:fill="FFFFFF"/>
        </w:rPr>
        <w:t>人的质保期间支撑团队（其中技术经理</w:t>
      </w:r>
      <w:r>
        <w:rPr>
          <w:rFonts w:hint="eastAsia" w:ascii="仿宋" w:hAnsi="仿宋" w:eastAsia="仿宋" w:cs="仿宋"/>
          <w:bCs/>
          <w:snapToGrid w:val="0"/>
          <w:color w:val="000000"/>
          <w:kern w:val="0"/>
          <w:sz w:val="28"/>
          <w:szCs w:val="28"/>
          <w:shd w:val="clear" w:color="auto" w:fill="FFFFFF"/>
          <w:lang w:val="en-US" w:eastAsia="zh-CN"/>
        </w:rPr>
        <w:t>1</w:t>
      </w:r>
      <w:r>
        <w:rPr>
          <w:rFonts w:hint="eastAsia" w:ascii="仿宋" w:hAnsi="仿宋" w:eastAsia="仿宋" w:cs="仿宋"/>
          <w:bCs/>
          <w:snapToGrid w:val="0"/>
          <w:color w:val="000000"/>
          <w:kern w:val="0"/>
          <w:sz w:val="28"/>
          <w:szCs w:val="28"/>
          <w:shd w:val="clear" w:color="auto" w:fill="FFFFFF"/>
        </w:rPr>
        <w:t>人，技术工程师</w:t>
      </w:r>
      <w:r>
        <w:rPr>
          <w:rFonts w:hint="eastAsia" w:ascii="仿宋" w:hAnsi="仿宋" w:eastAsia="仿宋" w:cs="仿宋"/>
          <w:bCs/>
          <w:snapToGrid w:val="0"/>
          <w:color w:val="000000"/>
          <w:kern w:val="0"/>
          <w:sz w:val="28"/>
          <w:szCs w:val="28"/>
          <w:shd w:val="clear" w:color="auto" w:fill="FFFFFF"/>
          <w:lang w:val="en-US" w:eastAsia="zh-CN"/>
        </w:rPr>
        <w:t>1</w:t>
      </w:r>
      <w:r>
        <w:rPr>
          <w:rFonts w:hint="eastAsia" w:ascii="仿宋" w:hAnsi="仿宋" w:eastAsia="仿宋" w:cs="仿宋"/>
          <w:bCs/>
          <w:snapToGrid w:val="0"/>
          <w:color w:val="000000"/>
          <w:kern w:val="0"/>
          <w:sz w:val="28"/>
          <w:szCs w:val="28"/>
          <w:shd w:val="clear" w:color="auto" w:fill="FFFFFF"/>
        </w:rPr>
        <w:t>人）；投标人的相关服务人员需具备相应的服务能力，需提供相关证明（最近一个季度</w:t>
      </w:r>
      <w:r>
        <w:rPr>
          <w:rFonts w:hint="eastAsia" w:ascii="仿宋" w:hAnsi="仿宋" w:eastAsia="仿宋" w:cs="仿宋"/>
          <w:bCs/>
          <w:snapToGrid w:val="0"/>
          <w:color w:val="000000"/>
          <w:kern w:val="0"/>
          <w:sz w:val="28"/>
          <w:szCs w:val="28"/>
          <w:shd w:val="clear" w:color="auto" w:fill="FFFFFF"/>
          <w:lang w:eastAsia="zh-CN"/>
        </w:rPr>
        <w:t>任意一个月</w:t>
      </w:r>
      <w:r>
        <w:rPr>
          <w:rFonts w:hint="eastAsia" w:ascii="仿宋" w:hAnsi="仿宋" w:eastAsia="仿宋" w:cs="仿宋"/>
          <w:bCs/>
          <w:snapToGrid w:val="0"/>
          <w:color w:val="000000"/>
          <w:kern w:val="0"/>
          <w:sz w:val="28"/>
          <w:szCs w:val="28"/>
          <w:shd w:val="clear" w:color="auto" w:fill="FFFFFF"/>
        </w:rPr>
        <w:t>依法缴纳社保费的证明）。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2158"/>
        <w:gridCol w:w="1060"/>
        <w:gridCol w:w="2978"/>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rPr>
                <w:b/>
              </w:rPr>
            </w:pPr>
            <w:r>
              <w:rPr>
                <w:rFonts w:hint="eastAsia"/>
                <w:b/>
              </w:rPr>
              <w:t>角色</w:t>
            </w:r>
          </w:p>
        </w:tc>
        <w:tc>
          <w:tcPr>
            <w:tcW w:w="0" w:type="auto"/>
            <w:shd w:val="clear" w:color="auto" w:fill="auto"/>
            <w:noWrap/>
            <w:vAlign w:val="center"/>
          </w:tcPr>
          <w:p>
            <w:pPr>
              <w:widowControl/>
              <w:spacing w:line="240" w:lineRule="auto"/>
              <w:ind w:firstLine="0" w:firstLineChars="0"/>
              <w:jc w:val="center"/>
              <w:rPr>
                <w:b/>
              </w:rPr>
            </w:pPr>
            <w:r>
              <w:rPr>
                <w:rFonts w:hint="eastAsia"/>
                <w:b/>
              </w:rPr>
              <w:t>主要职责</w:t>
            </w:r>
          </w:p>
        </w:tc>
        <w:tc>
          <w:tcPr>
            <w:tcW w:w="0" w:type="auto"/>
            <w:shd w:val="clear" w:color="auto" w:fill="auto"/>
            <w:noWrap/>
            <w:vAlign w:val="center"/>
          </w:tcPr>
          <w:p>
            <w:pPr>
              <w:widowControl/>
              <w:spacing w:line="240" w:lineRule="auto"/>
              <w:ind w:firstLine="0" w:firstLineChars="0"/>
              <w:jc w:val="center"/>
              <w:rPr>
                <w:b/>
              </w:rPr>
            </w:pPr>
            <w:r>
              <w:rPr>
                <w:rFonts w:hint="eastAsia"/>
                <w:b/>
              </w:rPr>
              <w:t>人员数量</w:t>
            </w:r>
          </w:p>
        </w:tc>
        <w:tc>
          <w:tcPr>
            <w:tcW w:w="0" w:type="auto"/>
            <w:vAlign w:val="center"/>
          </w:tcPr>
          <w:p>
            <w:pPr>
              <w:widowControl/>
              <w:spacing w:line="240" w:lineRule="auto"/>
              <w:ind w:firstLine="0" w:firstLineChars="0"/>
              <w:jc w:val="center"/>
              <w:rPr>
                <w:b/>
              </w:rPr>
            </w:pPr>
            <w:r>
              <w:rPr>
                <w:rFonts w:hint="eastAsia"/>
                <w:b/>
              </w:rPr>
              <w:t>人员要求</w:t>
            </w:r>
          </w:p>
        </w:tc>
        <w:tc>
          <w:tcPr>
            <w:tcW w:w="0" w:type="auto"/>
            <w:shd w:val="clear" w:color="auto" w:fill="auto"/>
            <w:noWrap/>
            <w:vAlign w:val="center"/>
          </w:tcPr>
          <w:p>
            <w:pPr>
              <w:widowControl/>
              <w:spacing w:line="240" w:lineRule="auto"/>
              <w:ind w:firstLine="0" w:firstLineChars="0"/>
              <w:jc w:val="center"/>
              <w:rPr>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pPr>
            <w:r>
              <w:rPr>
                <w:rFonts w:hint="eastAsia"/>
              </w:rPr>
              <w:t>项目经理</w:t>
            </w:r>
          </w:p>
        </w:tc>
        <w:tc>
          <w:tcPr>
            <w:tcW w:w="0" w:type="auto"/>
            <w:shd w:val="clear" w:color="auto" w:fill="auto"/>
            <w:vAlign w:val="center"/>
          </w:tcPr>
          <w:p>
            <w:pPr>
              <w:widowControl/>
              <w:spacing w:line="240" w:lineRule="auto"/>
              <w:ind w:firstLine="0" w:firstLineChars="0"/>
              <w:jc w:val="center"/>
            </w:pPr>
            <w:r>
              <w:rPr>
                <w:rFonts w:hint="eastAsia"/>
              </w:rPr>
              <w:t>负责项目质量和进度控制</w:t>
            </w:r>
          </w:p>
        </w:tc>
        <w:tc>
          <w:tcPr>
            <w:tcW w:w="0" w:type="auto"/>
            <w:shd w:val="clear" w:color="auto" w:fill="auto"/>
            <w:noWrap/>
            <w:vAlign w:val="center"/>
          </w:tcPr>
          <w:p>
            <w:pPr>
              <w:widowControl/>
              <w:spacing w:line="240" w:lineRule="auto"/>
              <w:ind w:firstLine="0" w:firstLineChars="0"/>
              <w:jc w:val="center"/>
            </w:pPr>
            <w:r>
              <w:rPr>
                <w:rFonts w:hint="eastAsia"/>
                <w:lang w:val="en-US" w:eastAsia="zh-CN"/>
              </w:rPr>
              <w:t>1</w:t>
            </w:r>
            <w:r>
              <w:rPr>
                <w:rFonts w:hint="eastAsia"/>
              </w:rPr>
              <w:t>人</w:t>
            </w:r>
          </w:p>
        </w:tc>
        <w:tc>
          <w:tcPr>
            <w:tcW w:w="0" w:type="auto"/>
            <w:vAlign w:val="center"/>
          </w:tcPr>
          <w:p>
            <w:pPr>
              <w:widowControl/>
              <w:spacing w:line="240" w:lineRule="auto"/>
              <w:ind w:firstLine="0" w:firstLineChars="0"/>
              <w:jc w:val="center"/>
            </w:pPr>
            <w:r>
              <w:rPr>
                <w:rFonts w:hint="eastAsia"/>
              </w:rPr>
              <w:t>具备</w:t>
            </w:r>
            <w:r>
              <w:rPr>
                <w:rFonts w:hint="eastAsia" w:ascii="宋体" w:hAnsi="宋体" w:eastAsia="宋体" w:cs="宋体"/>
                <w:i w:val="0"/>
                <w:iCs w:val="0"/>
                <w:caps w:val="0"/>
                <w:color w:val="000000"/>
                <w:spacing w:val="0"/>
                <w:kern w:val="0"/>
                <w:sz w:val="24"/>
                <w:szCs w:val="24"/>
                <w:u w:val="none"/>
                <w:shd w:val="clear" w:fill="FFFFFF"/>
                <w:lang w:val="en-US" w:eastAsia="zh-CN" w:bidi="ar"/>
              </w:rPr>
              <w:t>信息系统项目管理师</w:t>
            </w:r>
            <w:r>
              <w:rPr>
                <w:rFonts w:hint="eastAsia" w:cs="宋体"/>
                <w:i w:val="0"/>
                <w:iCs w:val="0"/>
                <w:caps w:val="0"/>
                <w:color w:val="000000"/>
                <w:spacing w:val="0"/>
                <w:kern w:val="0"/>
                <w:sz w:val="24"/>
                <w:szCs w:val="24"/>
                <w:u w:val="none"/>
                <w:shd w:val="clear" w:fill="FFFFFF"/>
                <w:lang w:val="en-US" w:eastAsia="zh-CN" w:bidi="ar"/>
              </w:rPr>
              <w:t>和</w:t>
            </w:r>
            <w:r>
              <w:rPr>
                <w:rFonts w:hint="eastAsia" w:ascii="宋体" w:hAnsi="宋体" w:eastAsia="宋体" w:cs="宋体"/>
                <w:i w:val="0"/>
                <w:iCs w:val="0"/>
                <w:caps w:val="0"/>
                <w:color w:val="000000"/>
                <w:spacing w:val="0"/>
                <w:kern w:val="0"/>
                <w:sz w:val="24"/>
                <w:szCs w:val="24"/>
                <w:u w:val="none"/>
                <w:shd w:val="clear" w:fill="FFFFFF"/>
                <w:lang w:val="en-US" w:eastAsia="zh-CN" w:bidi="ar"/>
              </w:rPr>
              <w:t>系统集成项目管理工程师</w:t>
            </w:r>
            <w:r>
              <w:rPr>
                <w:rFonts w:hint="eastAsia"/>
              </w:rPr>
              <w:t>资质证书</w:t>
            </w:r>
          </w:p>
        </w:tc>
        <w:tc>
          <w:tcPr>
            <w:tcW w:w="0" w:type="auto"/>
            <w:shd w:val="clear" w:color="auto" w:fill="auto"/>
            <w:noWrap/>
            <w:vAlign w:val="center"/>
          </w:tcPr>
          <w:p>
            <w:pPr>
              <w:widowControl/>
              <w:spacing w:line="240" w:lineRule="auto"/>
              <w:ind w:firstLine="0" w:firstLineChars="0"/>
              <w:jc w:val="center"/>
            </w:pPr>
            <w:r>
              <w:rPr>
                <w:rFonts w:hint="eastAsia"/>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pPr>
            <w:r>
              <w:rPr>
                <w:rFonts w:hint="eastAsia"/>
              </w:rPr>
              <w:t>技术工程师</w:t>
            </w:r>
          </w:p>
        </w:tc>
        <w:tc>
          <w:tcPr>
            <w:tcW w:w="0" w:type="auto"/>
            <w:shd w:val="clear" w:color="auto" w:fill="auto"/>
            <w:noWrap/>
            <w:vAlign w:val="center"/>
          </w:tcPr>
          <w:p>
            <w:pPr>
              <w:widowControl/>
              <w:spacing w:line="240" w:lineRule="auto"/>
              <w:ind w:firstLine="0" w:firstLineChars="0"/>
              <w:jc w:val="center"/>
            </w:pPr>
            <w:r>
              <w:rPr>
                <w:rFonts w:hint="eastAsia"/>
              </w:rPr>
              <w:t>负责项目运行维护</w:t>
            </w:r>
          </w:p>
        </w:tc>
        <w:tc>
          <w:tcPr>
            <w:tcW w:w="0" w:type="auto"/>
            <w:shd w:val="clear" w:color="auto" w:fill="auto"/>
            <w:noWrap/>
            <w:vAlign w:val="center"/>
          </w:tcPr>
          <w:p>
            <w:pPr>
              <w:widowControl/>
              <w:spacing w:line="240" w:lineRule="auto"/>
              <w:ind w:firstLine="0" w:firstLineChars="0"/>
              <w:jc w:val="center"/>
            </w:pPr>
            <w:r>
              <w:rPr>
                <w:rFonts w:hint="eastAsia"/>
                <w:lang w:val="en-US" w:eastAsia="zh-CN"/>
              </w:rPr>
              <w:t>1</w:t>
            </w:r>
            <w:r>
              <w:rPr>
                <w:rFonts w:hint="eastAsia"/>
              </w:rPr>
              <w:t>人</w:t>
            </w:r>
          </w:p>
        </w:tc>
        <w:tc>
          <w:tcPr>
            <w:tcW w:w="0" w:type="auto"/>
            <w:vAlign w:val="center"/>
          </w:tcPr>
          <w:p>
            <w:pPr>
              <w:widowControl/>
              <w:spacing w:line="240" w:lineRule="auto"/>
              <w:ind w:firstLine="0" w:firstLineChars="0"/>
              <w:jc w:val="center"/>
            </w:pPr>
            <w:r>
              <w:rPr>
                <w:rFonts w:hint="eastAsia"/>
                <w:lang w:val="en-US" w:eastAsia="zh-CN"/>
              </w:rPr>
              <w:t>具备类似项目从业经验</w:t>
            </w:r>
          </w:p>
        </w:tc>
        <w:tc>
          <w:tcPr>
            <w:tcW w:w="0" w:type="auto"/>
            <w:shd w:val="clear" w:color="auto" w:fill="auto"/>
            <w:noWrap/>
            <w:vAlign w:val="center"/>
          </w:tcPr>
          <w:p>
            <w:pPr>
              <w:widowControl/>
              <w:spacing w:line="240" w:lineRule="auto"/>
              <w:ind w:firstLine="0" w:firstLineChars="0"/>
              <w:jc w:val="center"/>
            </w:pPr>
            <w:r>
              <w:rPr>
                <w:rFonts w:hint="eastAsia"/>
              </w:rPr>
              <w:t>驻场</w:t>
            </w:r>
          </w:p>
        </w:tc>
      </w:tr>
    </w:tbl>
    <w:p>
      <w:pPr>
        <w:pStyle w:val="59"/>
        <w:snapToGrid w:val="0"/>
        <w:spacing w:line="360" w:lineRule="auto"/>
        <w:ind w:firstLine="560"/>
        <w:rPr>
          <w:rFonts w:hint="eastAsia" w:ascii="仿宋" w:hAnsi="仿宋" w:eastAsia="仿宋" w:cs="仿宋"/>
          <w:bCs/>
          <w:snapToGrid w:val="0"/>
          <w:color w:val="000000"/>
          <w:kern w:val="0"/>
          <w:sz w:val="28"/>
          <w:szCs w:val="28"/>
          <w:shd w:val="clear" w:color="auto" w:fill="FFFFFF"/>
          <w:lang w:val="en-US" w:eastAsia="zh-CN"/>
        </w:rPr>
      </w:pPr>
      <w:bookmarkStart w:id="20" w:name="_Toc63785511"/>
    </w:p>
    <w:p>
      <w:pPr>
        <w:pStyle w:val="59"/>
        <w:snapToGrid w:val="0"/>
        <w:spacing w:line="360" w:lineRule="auto"/>
        <w:ind w:firstLine="560"/>
        <w:rPr>
          <w:rFonts w:hint="eastAsia" w:ascii="仿宋" w:hAnsi="仿宋" w:eastAsia="仿宋" w:cs="仿宋"/>
          <w:bCs/>
          <w:snapToGrid w:val="0"/>
          <w:color w:val="000000"/>
          <w:kern w:val="0"/>
          <w:sz w:val="28"/>
          <w:szCs w:val="28"/>
          <w:shd w:val="clear" w:color="auto" w:fill="FFFFFF"/>
          <w:lang w:val="en-US" w:eastAsia="zh-CN"/>
        </w:rPr>
      </w:pPr>
      <w:r>
        <w:rPr>
          <w:rFonts w:hint="eastAsia" w:ascii="仿宋" w:hAnsi="仿宋" w:eastAsia="仿宋" w:cs="仿宋"/>
          <w:bCs/>
          <w:snapToGrid w:val="0"/>
          <w:color w:val="000000"/>
          <w:kern w:val="0"/>
          <w:sz w:val="28"/>
          <w:szCs w:val="28"/>
          <w:shd w:val="clear" w:color="auto" w:fill="FFFFFF"/>
          <w:lang w:val="en-US" w:eastAsia="zh-CN"/>
        </w:rPr>
        <w:t>供应商应具备承接本项目的能力</w:t>
      </w:r>
      <w:bookmarkStart w:id="22" w:name="_GoBack"/>
      <w:bookmarkEnd w:id="22"/>
      <w:r>
        <w:rPr>
          <w:rFonts w:hint="eastAsia" w:ascii="仿宋" w:hAnsi="仿宋" w:eastAsia="仿宋" w:cs="仿宋"/>
          <w:bCs/>
          <w:snapToGrid w:val="0"/>
          <w:color w:val="000000"/>
          <w:kern w:val="0"/>
          <w:sz w:val="28"/>
          <w:szCs w:val="28"/>
          <w:shd w:val="clear" w:color="auto" w:fill="FFFFFF"/>
          <w:lang w:val="en-US" w:eastAsia="zh-CN"/>
        </w:rPr>
        <w:t>，具备与本项目主要建设内容业务相关的管理体系认证证书、应用软件著作权登记证书的优先考虑。</w:t>
      </w:r>
    </w:p>
    <w:p>
      <w:pPr>
        <w:pStyle w:val="4"/>
        <w:numPr>
          <w:ilvl w:val="0"/>
          <w:numId w:val="7"/>
        </w:numPr>
        <w:ind w:left="0" w:leftChars="0" w:firstLine="42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等级保护要求</w:t>
      </w:r>
      <w:bookmarkEnd w:id="20"/>
    </w:p>
    <w:p>
      <w:pPr>
        <w:pStyle w:val="59"/>
        <w:snapToGrid w:val="0"/>
        <w:spacing w:line="360" w:lineRule="auto"/>
        <w:ind w:firstLine="560"/>
        <w:rPr>
          <w:rFonts w:hint="eastAsia" w:ascii="仿宋" w:hAnsi="仿宋" w:eastAsia="仿宋" w:cs="仿宋"/>
          <w:bCs/>
          <w:snapToGrid w:val="0"/>
          <w:color w:val="000000"/>
          <w:kern w:val="0"/>
          <w:sz w:val="28"/>
          <w:szCs w:val="28"/>
          <w:shd w:val="clear" w:color="auto" w:fill="FFFFFF"/>
        </w:rPr>
      </w:pPr>
      <w:r>
        <w:rPr>
          <w:rFonts w:hint="eastAsia" w:ascii="仿宋" w:hAnsi="仿宋" w:eastAsia="仿宋" w:cs="仿宋"/>
          <w:bCs/>
          <w:snapToGrid w:val="0"/>
          <w:color w:val="000000"/>
          <w:kern w:val="0"/>
          <w:sz w:val="28"/>
          <w:szCs w:val="28"/>
          <w:shd w:val="clear" w:color="auto" w:fill="FFFFFF"/>
        </w:rPr>
        <w:t>本项目等级保护要求：参照最新国标《信息安全技术网络安全等级保护安全设计技术要求》（GBT 25070-2019）要求对本项目进行计算机等级保护三级防护。</w:t>
      </w:r>
    </w:p>
    <w:p>
      <w:pPr>
        <w:pStyle w:val="4"/>
        <w:numPr>
          <w:ilvl w:val="0"/>
          <w:numId w:val="7"/>
        </w:numPr>
        <w:ind w:left="0" w:leftChars="0" w:firstLine="42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商业密码应用需求</w:t>
      </w:r>
    </w:p>
    <w:p>
      <w:pPr>
        <w:pStyle w:val="59"/>
        <w:snapToGrid w:val="0"/>
        <w:spacing w:line="360" w:lineRule="auto"/>
        <w:ind w:firstLine="560"/>
        <w:rPr>
          <w:rFonts w:hint="eastAsia" w:ascii="仿宋" w:hAnsi="仿宋" w:eastAsia="仿宋" w:cs="仿宋"/>
          <w:bCs/>
          <w:snapToGrid w:val="0"/>
          <w:color w:val="000000"/>
          <w:kern w:val="0"/>
          <w:sz w:val="28"/>
          <w:szCs w:val="28"/>
          <w:shd w:val="clear" w:color="auto" w:fill="FFFFFF"/>
        </w:rPr>
      </w:pPr>
      <w:r>
        <w:rPr>
          <w:rFonts w:hint="eastAsia" w:ascii="仿宋" w:hAnsi="仿宋" w:eastAsia="仿宋" w:cs="仿宋"/>
          <w:bCs/>
          <w:snapToGrid w:val="0"/>
          <w:color w:val="000000"/>
          <w:kern w:val="0"/>
          <w:sz w:val="28"/>
          <w:szCs w:val="28"/>
          <w:shd w:val="clear" w:color="auto" w:fill="FFFFFF"/>
        </w:rPr>
        <w:t>根据GBT 39786《信息安全技术信息系统密码应用基本要求》，本项目建设需通过第三方的密码应用测评（密测）。</w:t>
      </w:r>
    </w:p>
    <w:p>
      <w:pPr>
        <w:pStyle w:val="4"/>
        <w:numPr>
          <w:ilvl w:val="0"/>
          <w:numId w:val="7"/>
        </w:numPr>
        <w:ind w:left="0" w:leftChars="0" w:firstLine="420" w:firstLineChars="0"/>
        <w:rPr>
          <w:rFonts w:hint="eastAsia" w:ascii="仿宋" w:hAnsi="仿宋" w:eastAsia="仿宋" w:cs="仿宋"/>
          <w:sz w:val="28"/>
          <w:szCs w:val="28"/>
          <w:highlight w:val="none"/>
          <w:lang w:val="en-US" w:eastAsia="zh-CN"/>
        </w:rPr>
      </w:pPr>
      <w:bookmarkStart w:id="21" w:name="_Toc63785512"/>
      <w:r>
        <w:rPr>
          <w:rFonts w:hint="eastAsia" w:ascii="仿宋" w:hAnsi="仿宋" w:eastAsia="仿宋" w:cs="仿宋"/>
          <w:sz w:val="28"/>
          <w:szCs w:val="28"/>
          <w:highlight w:val="none"/>
          <w:lang w:val="en-US" w:eastAsia="zh-CN"/>
        </w:rPr>
        <w:t>技术文件要求</w:t>
      </w:r>
    </w:p>
    <w:p>
      <w:pPr>
        <w:pStyle w:val="59"/>
        <w:snapToGrid w:val="0"/>
        <w:spacing w:line="360" w:lineRule="auto"/>
        <w:ind w:firstLine="560"/>
        <w:rPr>
          <w:rFonts w:hint="eastAsia" w:ascii="仿宋" w:hAnsi="仿宋" w:eastAsia="仿宋" w:cs="仿宋"/>
          <w:bCs/>
          <w:snapToGrid w:val="0"/>
          <w:color w:val="000000"/>
          <w:kern w:val="0"/>
          <w:sz w:val="28"/>
          <w:szCs w:val="28"/>
          <w:shd w:val="clear" w:color="auto" w:fill="FFFFFF"/>
        </w:rPr>
      </w:pPr>
      <w:r>
        <w:rPr>
          <w:rFonts w:hint="eastAsia" w:ascii="仿宋" w:hAnsi="仿宋" w:eastAsia="仿宋" w:cs="仿宋"/>
          <w:bCs/>
          <w:snapToGrid w:val="0"/>
          <w:color w:val="000000"/>
          <w:kern w:val="0"/>
          <w:sz w:val="28"/>
          <w:szCs w:val="28"/>
          <w:shd w:val="clear" w:color="auto" w:fill="FFFFFF"/>
        </w:rPr>
        <w:t>投标人提供的书面技术资料应能确保系统正常运行所需的管理、运营及维护有关的全套文件。技术文件应该全面、完整、详细。投标人提供的技术文件至少应包括：</w:t>
      </w:r>
    </w:p>
    <w:p>
      <w:pPr>
        <w:pStyle w:val="59"/>
        <w:snapToGrid w:val="0"/>
        <w:spacing w:line="360" w:lineRule="auto"/>
        <w:ind w:firstLine="560"/>
        <w:rPr>
          <w:rFonts w:hint="eastAsia" w:ascii="仿宋" w:hAnsi="仿宋" w:eastAsia="仿宋" w:cs="仿宋"/>
          <w:bCs/>
          <w:snapToGrid w:val="0"/>
          <w:color w:val="000000"/>
          <w:kern w:val="0"/>
          <w:sz w:val="28"/>
          <w:szCs w:val="28"/>
          <w:shd w:val="clear" w:color="auto" w:fill="FFFFFF"/>
        </w:rPr>
      </w:pPr>
      <w:r>
        <w:rPr>
          <w:rFonts w:hint="eastAsia" w:ascii="仿宋" w:hAnsi="仿宋" w:eastAsia="仿宋" w:cs="仿宋"/>
          <w:bCs/>
          <w:snapToGrid w:val="0"/>
          <w:color w:val="000000"/>
          <w:kern w:val="0"/>
          <w:sz w:val="28"/>
          <w:szCs w:val="28"/>
          <w:shd w:val="clear" w:color="auto" w:fill="FFFFFF"/>
        </w:rPr>
        <w:t xml:space="preserve">－ 系统说明文件； </w:t>
      </w:r>
    </w:p>
    <w:p>
      <w:pPr>
        <w:pStyle w:val="59"/>
        <w:snapToGrid w:val="0"/>
        <w:spacing w:line="360" w:lineRule="auto"/>
        <w:ind w:firstLine="560"/>
        <w:rPr>
          <w:rFonts w:hint="eastAsia" w:ascii="仿宋" w:hAnsi="仿宋" w:eastAsia="仿宋" w:cs="仿宋"/>
          <w:bCs/>
          <w:snapToGrid w:val="0"/>
          <w:color w:val="000000"/>
          <w:kern w:val="0"/>
          <w:sz w:val="28"/>
          <w:szCs w:val="28"/>
          <w:shd w:val="clear" w:color="auto" w:fill="FFFFFF"/>
        </w:rPr>
      </w:pPr>
      <w:r>
        <w:rPr>
          <w:rFonts w:hint="eastAsia" w:ascii="仿宋" w:hAnsi="仿宋" w:eastAsia="仿宋" w:cs="仿宋"/>
          <w:bCs/>
          <w:snapToGrid w:val="0"/>
          <w:color w:val="000000"/>
          <w:kern w:val="0"/>
          <w:sz w:val="28"/>
          <w:szCs w:val="28"/>
          <w:shd w:val="clear" w:color="auto" w:fill="FFFFFF"/>
        </w:rPr>
        <w:t xml:space="preserve">－ 技术手册(安装、测试、操作、维护、故障排除等)； </w:t>
      </w:r>
    </w:p>
    <w:p>
      <w:pPr>
        <w:pStyle w:val="59"/>
        <w:snapToGrid w:val="0"/>
        <w:spacing w:line="360" w:lineRule="auto"/>
        <w:ind w:firstLine="560"/>
        <w:rPr>
          <w:rFonts w:hint="eastAsia" w:ascii="仿宋" w:hAnsi="仿宋" w:eastAsia="仿宋" w:cs="仿宋"/>
          <w:bCs/>
          <w:snapToGrid w:val="0"/>
          <w:color w:val="000000"/>
          <w:kern w:val="0"/>
          <w:sz w:val="28"/>
          <w:szCs w:val="28"/>
          <w:shd w:val="clear" w:color="auto" w:fill="FFFFFF"/>
        </w:rPr>
      </w:pPr>
      <w:r>
        <w:rPr>
          <w:rFonts w:hint="eastAsia" w:ascii="仿宋" w:hAnsi="仿宋" w:eastAsia="仿宋" w:cs="仿宋"/>
          <w:bCs/>
          <w:snapToGrid w:val="0"/>
          <w:color w:val="000000"/>
          <w:kern w:val="0"/>
          <w:sz w:val="28"/>
          <w:szCs w:val="28"/>
          <w:shd w:val="clear" w:color="auto" w:fill="FFFFFF"/>
        </w:rPr>
        <w:t>－ 项目文档，应该包括：</w:t>
      </w:r>
    </w:p>
    <w:p>
      <w:pPr>
        <w:pStyle w:val="59"/>
        <w:snapToGrid w:val="0"/>
        <w:spacing w:line="360" w:lineRule="auto"/>
        <w:ind w:firstLine="560"/>
        <w:rPr>
          <w:rFonts w:hint="eastAsia" w:ascii="仿宋" w:hAnsi="仿宋" w:eastAsia="仿宋" w:cs="仿宋"/>
          <w:bCs/>
          <w:snapToGrid w:val="0"/>
          <w:color w:val="000000"/>
          <w:kern w:val="0"/>
          <w:sz w:val="28"/>
          <w:szCs w:val="28"/>
          <w:shd w:val="clear" w:color="auto" w:fill="FFFFFF"/>
        </w:rPr>
      </w:pPr>
      <w:r>
        <w:rPr>
          <w:rFonts w:hint="eastAsia" w:ascii="仿宋" w:hAnsi="仿宋" w:eastAsia="仿宋" w:cs="仿宋"/>
          <w:bCs/>
          <w:snapToGrid w:val="0"/>
          <w:color w:val="000000"/>
          <w:kern w:val="0"/>
          <w:sz w:val="28"/>
          <w:szCs w:val="28"/>
          <w:shd w:val="clear" w:color="auto" w:fill="FFFFFF"/>
        </w:rPr>
        <w:t>(1)软件需求说明书</w:t>
      </w:r>
    </w:p>
    <w:p>
      <w:pPr>
        <w:pStyle w:val="59"/>
        <w:snapToGrid w:val="0"/>
        <w:spacing w:line="360" w:lineRule="auto"/>
        <w:ind w:firstLine="560"/>
        <w:rPr>
          <w:rFonts w:hint="eastAsia" w:ascii="仿宋" w:hAnsi="仿宋" w:eastAsia="仿宋" w:cs="仿宋"/>
          <w:bCs/>
          <w:snapToGrid w:val="0"/>
          <w:color w:val="000000"/>
          <w:kern w:val="0"/>
          <w:sz w:val="28"/>
          <w:szCs w:val="28"/>
          <w:shd w:val="clear" w:color="auto" w:fill="FFFFFF"/>
        </w:rPr>
      </w:pPr>
      <w:r>
        <w:rPr>
          <w:rFonts w:hint="eastAsia" w:ascii="仿宋" w:hAnsi="仿宋" w:eastAsia="仿宋" w:cs="仿宋"/>
          <w:bCs/>
          <w:snapToGrid w:val="0"/>
          <w:color w:val="000000"/>
          <w:kern w:val="0"/>
          <w:sz w:val="28"/>
          <w:szCs w:val="28"/>
          <w:shd w:val="clear" w:color="auto" w:fill="FFFFFF"/>
        </w:rPr>
        <w:t>(2)系统总体设计说明书</w:t>
      </w:r>
    </w:p>
    <w:p>
      <w:pPr>
        <w:pStyle w:val="59"/>
        <w:snapToGrid w:val="0"/>
        <w:spacing w:line="360" w:lineRule="auto"/>
        <w:ind w:firstLine="560"/>
        <w:rPr>
          <w:rFonts w:hint="eastAsia" w:ascii="仿宋" w:hAnsi="仿宋" w:eastAsia="仿宋" w:cs="仿宋"/>
          <w:bCs/>
          <w:snapToGrid w:val="0"/>
          <w:color w:val="000000"/>
          <w:kern w:val="0"/>
          <w:sz w:val="28"/>
          <w:szCs w:val="28"/>
          <w:shd w:val="clear" w:color="auto" w:fill="FFFFFF"/>
        </w:rPr>
      </w:pPr>
      <w:r>
        <w:rPr>
          <w:rFonts w:hint="eastAsia" w:ascii="仿宋" w:hAnsi="仿宋" w:eastAsia="仿宋" w:cs="仿宋"/>
          <w:bCs/>
          <w:snapToGrid w:val="0"/>
          <w:color w:val="000000"/>
          <w:kern w:val="0"/>
          <w:sz w:val="28"/>
          <w:szCs w:val="28"/>
          <w:shd w:val="clear" w:color="auto" w:fill="FFFFFF"/>
        </w:rPr>
        <w:t>(3)应用软件功能清单</w:t>
      </w:r>
    </w:p>
    <w:p>
      <w:pPr>
        <w:pStyle w:val="59"/>
        <w:snapToGrid w:val="0"/>
        <w:spacing w:line="360" w:lineRule="auto"/>
        <w:ind w:firstLine="560"/>
        <w:rPr>
          <w:rFonts w:hint="eastAsia" w:ascii="仿宋" w:hAnsi="仿宋" w:eastAsia="仿宋" w:cs="仿宋"/>
          <w:bCs/>
          <w:snapToGrid w:val="0"/>
          <w:color w:val="000000"/>
          <w:kern w:val="0"/>
          <w:sz w:val="28"/>
          <w:szCs w:val="28"/>
          <w:shd w:val="clear" w:color="auto" w:fill="FFFFFF"/>
        </w:rPr>
      </w:pPr>
      <w:r>
        <w:rPr>
          <w:rFonts w:hint="eastAsia" w:ascii="仿宋" w:hAnsi="仿宋" w:eastAsia="仿宋" w:cs="仿宋"/>
          <w:bCs/>
          <w:snapToGrid w:val="0"/>
          <w:color w:val="000000"/>
          <w:kern w:val="0"/>
          <w:sz w:val="28"/>
          <w:szCs w:val="28"/>
          <w:shd w:val="clear" w:color="auto" w:fill="FFFFFF"/>
        </w:rPr>
        <w:t>提供全套技术文件纸介质3套以及电子文件1套。</w:t>
      </w:r>
      <w:bookmarkEnd w:id="21"/>
    </w:p>
    <w:p>
      <w:pPr>
        <w:pStyle w:val="59"/>
        <w:snapToGrid w:val="0"/>
        <w:spacing w:line="360" w:lineRule="auto"/>
        <w:ind w:firstLine="560"/>
        <w:rPr>
          <w:rFonts w:hint="eastAsia" w:ascii="仿宋" w:hAnsi="仿宋" w:eastAsia="仿宋" w:cs="仿宋"/>
          <w:bCs/>
          <w:snapToGrid w:val="0"/>
          <w:color w:val="000000"/>
          <w:kern w:val="0"/>
          <w:sz w:val="28"/>
          <w:szCs w:val="28"/>
          <w:shd w:val="clear" w:color="auto" w:fill="FFFFFF"/>
        </w:rPr>
      </w:pPr>
      <w:r>
        <w:rPr>
          <w:rFonts w:hint="default" w:ascii="仿宋" w:hAnsi="仿宋" w:eastAsia="仿宋" w:cs="仿宋"/>
          <w:bCs/>
          <w:snapToGrid w:val="0"/>
          <w:color w:val="000000"/>
          <w:kern w:val="0"/>
          <w:sz w:val="28"/>
          <w:szCs w:val="28"/>
          <w:shd w:val="clear" w:color="auto" w:fill="FFFFFF"/>
          <w:lang w:val="en-US"/>
        </w:rPr>
        <w:t>(4)</w:t>
      </w:r>
      <w:r>
        <w:rPr>
          <w:rFonts w:hint="eastAsia" w:ascii="仿宋" w:hAnsi="仿宋" w:eastAsia="仿宋" w:cs="仿宋"/>
          <w:bCs/>
          <w:snapToGrid w:val="0"/>
          <w:color w:val="000000"/>
          <w:kern w:val="0"/>
          <w:sz w:val="28"/>
          <w:szCs w:val="28"/>
          <w:shd w:val="clear" w:color="auto" w:fill="FFFFFF"/>
        </w:rPr>
        <w:t>软件源码</w:t>
      </w:r>
    </w:p>
    <w:p>
      <w:pPr>
        <w:pStyle w:val="59"/>
        <w:snapToGrid w:val="0"/>
        <w:spacing w:line="360" w:lineRule="auto"/>
        <w:ind w:firstLine="560"/>
        <w:rPr>
          <w:rFonts w:hint="eastAsia" w:ascii="仿宋" w:hAnsi="仿宋" w:eastAsia="仿宋" w:cs="仿宋"/>
          <w:bCs/>
          <w:snapToGrid w:val="0"/>
          <w:color w:val="000000"/>
          <w:kern w:val="0"/>
          <w:sz w:val="28"/>
          <w:szCs w:val="28"/>
          <w:shd w:val="clear" w:color="auto" w:fill="FFFFFF"/>
        </w:rPr>
      </w:pPr>
      <w:r>
        <w:rPr>
          <w:rFonts w:hint="eastAsia" w:ascii="仿宋" w:hAnsi="仿宋" w:eastAsia="仿宋" w:cs="仿宋"/>
          <w:bCs/>
          <w:snapToGrid w:val="0"/>
          <w:color w:val="000000"/>
          <w:kern w:val="0"/>
          <w:sz w:val="28"/>
          <w:szCs w:val="28"/>
          <w:shd w:val="clear" w:color="auto" w:fill="FFFFFF"/>
        </w:rPr>
        <w:t>提供全套技术文件纸介质3套以及电子文件1套。</w:t>
      </w:r>
    </w:p>
    <w:p>
      <w:pPr>
        <w:pStyle w:val="4"/>
        <w:numPr>
          <w:ilvl w:val="0"/>
          <w:numId w:val="7"/>
        </w:numPr>
        <w:ind w:left="0" w:leftChars="0" w:firstLine="42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质量保证要求</w:t>
      </w:r>
    </w:p>
    <w:p>
      <w:pPr>
        <w:pStyle w:val="46"/>
        <w:ind w:firstLine="560"/>
        <w:rPr>
          <w:rFonts w:hint="eastAsia" w:ascii="仿宋" w:hAnsi="仿宋" w:eastAsia="仿宋" w:cs="仿宋"/>
          <w:sz w:val="28"/>
          <w:szCs w:val="28"/>
        </w:rPr>
      </w:pPr>
      <w:r>
        <w:rPr>
          <w:rFonts w:hint="eastAsia" w:ascii="仿宋" w:hAnsi="仿宋" w:eastAsia="仿宋" w:cs="仿宋"/>
          <w:sz w:val="28"/>
          <w:szCs w:val="28"/>
        </w:rPr>
        <w:t>供应商需提供规范的软件工程实施和项目管理方法，提供完整的质量保证体系，对项目实施的全过程进行监控和管理，对项目进度和工程实施进度进行控制。</w:t>
      </w:r>
    </w:p>
    <w:p>
      <w:pPr>
        <w:pStyle w:val="4"/>
        <w:numPr>
          <w:ilvl w:val="0"/>
          <w:numId w:val="7"/>
        </w:numPr>
        <w:ind w:left="0" w:leftChars="0" w:firstLine="42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知识产权及保密要求</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1、中标人数据、文件、资料知识产权</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中标人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中标人应负责与第三方解决纠纷，若因此导致采购人损失的，采购人有权要求中标人赔偿采购人因此遭受的全部损失，包括但不限于直接损失、间接损失、诉讼费／仲裁费、律师费、公证费、鉴定费等。</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中标人因履行本项目而产生的所有成果的知识产权等权利均归采购人所有，中标人应配合采购人进行相关权利登记或申请。未经采购人书面同意，中标人不得以任何形式使用或许可他人使用本项目成果的相关内容，不得擅自对外公开发表或向任何第三方透露。</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2、项目保密要求</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仲裁费、调查费、公证费等。</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以上内容的保密期限自中标人知悉保密信息起始至保密信息被合法公开之日止。</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3、临时账号等使用要求</w:t>
      </w:r>
    </w:p>
    <w:p>
      <w:pPr>
        <w:spacing w:line="360" w:lineRule="auto"/>
        <w:ind w:firstLine="560" w:firstLineChars="200"/>
        <w:rPr>
          <w:rFonts w:ascii="仿宋" w:hAnsi="仿宋" w:eastAsia="仿宋" w:cs="仿宋"/>
          <w:sz w:val="28"/>
          <w:szCs w:val="28"/>
        </w:rPr>
      </w:pPr>
      <w:r>
        <w:rPr>
          <w:rFonts w:hint="eastAsia" w:ascii="仿宋" w:hAnsi="仿宋" w:eastAsia="仿宋"/>
          <w:sz w:val="28"/>
          <w:szCs w:val="28"/>
        </w:rPr>
        <w:t>中标人对采购人提供的临时使用账号要保密，不得公开，对组件开发的账号密码需进行加密，避免信息安全的泄露。未经采购人的同意不得利用采购人的网络及平台进行短信、彩信、微信发送,造成的一切后果由中标人负责。</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0F3C52" w:usb2="00000016" w:usb3="00000000" w:csb0="0004001F" w:csb1="00000000"/>
  </w:font>
  <w:font w:name="Cambria">
    <w:panose1 w:val="02040503050406030204"/>
    <w:charset w:val="00"/>
    <w:family w:val="roman"/>
    <w:pitch w:val="default"/>
    <w:sig w:usb0="A00002EF" w:usb1="4000004B" w:usb2="00000000" w:usb3="00000000" w:csb0="2000009F" w:csb1="00000000"/>
  </w:font>
  <w:font w:name="长城仿宋">
    <w:altName w:val="仿宋"/>
    <w:panose1 w:val="00000000000000000000"/>
    <w:charset w:val="00"/>
    <w:family w:val="modern"/>
    <w:pitch w:val="default"/>
    <w:sig w:usb0="00000000" w:usb1="00000000" w:usb2="00000010" w:usb3="00000000" w:csb0="0004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24</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DB79AD"/>
    <w:multiLevelType w:val="singleLevel"/>
    <w:tmpl w:val="E0DB79AD"/>
    <w:lvl w:ilvl="0" w:tentative="0">
      <w:start w:val="1"/>
      <w:numFmt w:val="decimal"/>
      <w:lvlText w:val="%1."/>
      <w:lvlJc w:val="left"/>
      <w:pPr>
        <w:ind w:left="425" w:hanging="425"/>
      </w:pPr>
      <w:rPr>
        <w:rFonts w:hint="default"/>
      </w:rPr>
    </w:lvl>
  </w:abstractNum>
  <w:abstractNum w:abstractNumId="1">
    <w:nsid w:val="F57B7DE4"/>
    <w:multiLevelType w:val="singleLevel"/>
    <w:tmpl w:val="F57B7DE4"/>
    <w:lvl w:ilvl="0" w:tentative="0">
      <w:start w:val="1"/>
      <w:numFmt w:val="chineseCounting"/>
      <w:suff w:val="nothing"/>
      <w:lvlText w:val="%1、"/>
      <w:lvlJc w:val="left"/>
      <w:pPr>
        <w:ind w:left="0" w:firstLine="420"/>
      </w:pPr>
      <w:rPr>
        <w:rFonts w:hint="eastAsia"/>
      </w:rPr>
    </w:lvl>
  </w:abstractNum>
  <w:abstractNum w:abstractNumId="2">
    <w:nsid w:val="F5CA9B7D"/>
    <w:multiLevelType w:val="singleLevel"/>
    <w:tmpl w:val="F5CA9B7D"/>
    <w:lvl w:ilvl="0" w:tentative="0">
      <w:start w:val="1"/>
      <w:numFmt w:val="chineseCounting"/>
      <w:suff w:val="nothing"/>
      <w:lvlText w:val="（%1）"/>
      <w:lvlJc w:val="left"/>
      <w:pPr>
        <w:ind w:left="0" w:firstLine="420"/>
      </w:pPr>
      <w:rPr>
        <w:rFonts w:hint="eastAsia"/>
      </w:rPr>
    </w:lvl>
  </w:abstractNum>
  <w:abstractNum w:abstractNumId="3">
    <w:nsid w:val="0000000B"/>
    <w:multiLevelType w:val="multilevel"/>
    <w:tmpl w:val="0000000B"/>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pStyle w:val="7"/>
      <w:isLgl/>
      <w:lvlText w:val="%1.%2.%3.%4.%5.%6."/>
      <w:lvlJc w:val="left"/>
      <w:pPr>
        <w:ind w:left="1294"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4">
    <w:nsid w:val="4AB6CDDB"/>
    <w:multiLevelType w:val="singleLevel"/>
    <w:tmpl w:val="4AB6CDDB"/>
    <w:lvl w:ilvl="0" w:tentative="0">
      <w:start w:val="1"/>
      <w:numFmt w:val="chineseCounting"/>
      <w:suff w:val="nothing"/>
      <w:lvlText w:val="（%1）"/>
      <w:lvlJc w:val="left"/>
      <w:pPr>
        <w:ind w:left="0" w:firstLine="420"/>
      </w:pPr>
      <w:rPr>
        <w:rFonts w:hint="eastAsia"/>
      </w:rPr>
    </w:lvl>
  </w:abstractNum>
  <w:abstractNum w:abstractNumId="5">
    <w:nsid w:val="67B1105A"/>
    <w:multiLevelType w:val="singleLevel"/>
    <w:tmpl w:val="67B1105A"/>
    <w:lvl w:ilvl="0" w:tentative="0">
      <w:start w:val="1"/>
      <w:numFmt w:val="chineseCounting"/>
      <w:suff w:val="nothing"/>
      <w:lvlText w:val="（%1）"/>
      <w:lvlJc w:val="left"/>
      <w:pPr>
        <w:ind w:left="0" w:firstLine="420"/>
      </w:pPr>
      <w:rPr>
        <w:rFonts w:hint="eastAsia"/>
      </w:rPr>
    </w:lvl>
  </w:abstractNum>
  <w:abstractNum w:abstractNumId="6">
    <w:nsid w:val="796B1DD1"/>
    <w:multiLevelType w:val="multilevel"/>
    <w:tmpl w:val="796B1DD1"/>
    <w:lvl w:ilvl="0" w:tentative="0">
      <w:start w:val="1"/>
      <w:numFmt w:val="decimal"/>
      <w:pStyle w:val="2"/>
      <w:suff w:val="space"/>
      <w:lvlText w:val="%1"/>
      <w:lvlJc w:val="left"/>
      <w:pPr>
        <w:ind w:left="0" w:firstLine="0"/>
      </w:pPr>
      <w:rPr>
        <w:rFonts w:hint="default"/>
        <w:lang w:val="en-US"/>
      </w:rPr>
    </w:lvl>
    <w:lvl w:ilvl="1" w:tentative="0">
      <w:start w:val="1"/>
      <w:numFmt w:val="decimal"/>
      <w:pStyle w:val="3"/>
      <w:suff w:val="space"/>
      <w:lvlText w:val="%1.%2"/>
      <w:lvlJc w:val="left"/>
      <w:pPr>
        <w:tabs>
          <w:tab w:val="left" w:pos="0"/>
        </w:tabs>
        <w:ind w:left="0" w:firstLine="0"/>
      </w:pPr>
      <w:rPr>
        <w:rFonts w:hint="default" w:eastAsia="仿宋"/>
        <w:sz w:val="24"/>
      </w:rPr>
    </w:lvl>
    <w:lvl w:ilvl="2" w:tentative="0">
      <w:start w:val="1"/>
      <w:numFmt w:val="decimal"/>
      <w:pStyle w:val="4"/>
      <w:suff w:val="space"/>
      <w:lvlText w:val="%1.%2.%3"/>
      <w:lvlJc w:val="left"/>
      <w:pPr>
        <w:ind w:left="0" w:leftChars="0" w:firstLine="0" w:firstLineChars="0"/>
      </w:pPr>
      <w:rPr>
        <w:rFonts w:hint="eastAsia"/>
      </w:rPr>
    </w:lvl>
    <w:lvl w:ilvl="3" w:tentative="0">
      <w:start w:val="1"/>
      <w:numFmt w:val="decimal"/>
      <w:pStyle w:val="5"/>
      <w:suff w:val="space"/>
      <w:lvlText w:val="%1.%2.%3.%4"/>
      <w:lvlJc w:val="left"/>
      <w:pPr>
        <w:ind w:left="720" w:firstLine="0"/>
      </w:pPr>
      <w:rPr>
        <w:rFonts w:hint="eastAsia"/>
      </w:rPr>
    </w:lvl>
    <w:lvl w:ilvl="4" w:tentative="0">
      <w:start w:val="1"/>
      <w:numFmt w:val="decimal"/>
      <w:pStyle w:val="6"/>
      <w:suff w:val="space"/>
      <w:lvlText w:val="%1.%2.%3.%4.%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6"/>
  </w:num>
  <w:num w:numId="2">
    <w:abstractNumId w:val="3"/>
  </w:num>
  <w:num w:numId="3">
    <w:abstractNumId w:val="1"/>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F39"/>
    <w:rsid w:val="00030FA2"/>
    <w:rsid w:val="000455BA"/>
    <w:rsid w:val="00082FEB"/>
    <w:rsid w:val="000A3781"/>
    <w:rsid w:val="000A6412"/>
    <w:rsid w:val="000B36D5"/>
    <w:rsid w:val="000D5EF2"/>
    <w:rsid w:val="000E18A5"/>
    <w:rsid w:val="00113FBD"/>
    <w:rsid w:val="00135391"/>
    <w:rsid w:val="00186BA0"/>
    <w:rsid w:val="00196C32"/>
    <w:rsid w:val="001B3467"/>
    <w:rsid w:val="001D2012"/>
    <w:rsid w:val="001F23B6"/>
    <w:rsid w:val="00255AC5"/>
    <w:rsid w:val="002663E3"/>
    <w:rsid w:val="00271E83"/>
    <w:rsid w:val="00324DAF"/>
    <w:rsid w:val="00395355"/>
    <w:rsid w:val="003C169B"/>
    <w:rsid w:val="00486D76"/>
    <w:rsid w:val="004B1C3B"/>
    <w:rsid w:val="004B4B66"/>
    <w:rsid w:val="00566727"/>
    <w:rsid w:val="00580B81"/>
    <w:rsid w:val="0058426A"/>
    <w:rsid w:val="00587FB9"/>
    <w:rsid w:val="005A43C7"/>
    <w:rsid w:val="00630ED5"/>
    <w:rsid w:val="00637437"/>
    <w:rsid w:val="0064145B"/>
    <w:rsid w:val="0064236B"/>
    <w:rsid w:val="00662EF8"/>
    <w:rsid w:val="006840E4"/>
    <w:rsid w:val="00691975"/>
    <w:rsid w:val="006B0319"/>
    <w:rsid w:val="006B6C95"/>
    <w:rsid w:val="006D54D5"/>
    <w:rsid w:val="006D680C"/>
    <w:rsid w:val="006E1B7A"/>
    <w:rsid w:val="0072063E"/>
    <w:rsid w:val="007B16FF"/>
    <w:rsid w:val="007D21B3"/>
    <w:rsid w:val="00870E5B"/>
    <w:rsid w:val="00891249"/>
    <w:rsid w:val="008D139B"/>
    <w:rsid w:val="00930185"/>
    <w:rsid w:val="00946CFC"/>
    <w:rsid w:val="00961F20"/>
    <w:rsid w:val="00974D86"/>
    <w:rsid w:val="00991D66"/>
    <w:rsid w:val="009A1430"/>
    <w:rsid w:val="009B2A6B"/>
    <w:rsid w:val="009E1738"/>
    <w:rsid w:val="00A25C2D"/>
    <w:rsid w:val="00A704A1"/>
    <w:rsid w:val="00A76A55"/>
    <w:rsid w:val="00A83432"/>
    <w:rsid w:val="00AD4D24"/>
    <w:rsid w:val="00B04179"/>
    <w:rsid w:val="00B239D3"/>
    <w:rsid w:val="00B4202D"/>
    <w:rsid w:val="00B86409"/>
    <w:rsid w:val="00B92DB7"/>
    <w:rsid w:val="00B93A24"/>
    <w:rsid w:val="00B94CD7"/>
    <w:rsid w:val="00BC2BB9"/>
    <w:rsid w:val="00BE7FAD"/>
    <w:rsid w:val="00C412F5"/>
    <w:rsid w:val="00C92E07"/>
    <w:rsid w:val="00CC126F"/>
    <w:rsid w:val="00D07F39"/>
    <w:rsid w:val="00D210F9"/>
    <w:rsid w:val="00D3676F"/>
    <w:rsid w:val="00D67D10"/>
    <w:rsid w:val="00DF7CE0"/>
    <w:rsid w:val="00E143F4"/>
    <w:rsid w:val="00E72FCC"/>
    <w:rsid w:val="00E93A54"/>
    <w:rsid w:val="00EA74B5"/>
    <w:rsid w:val="00EF2AAA"/>
    <w:rsid w:val="00FD15B6"/>
    <w:rsid w:val="00FF54B6"/>
    <w:rsid w:val="01143013"/>
    <w:rsid w:val="03633F1C"/>
    <w:rsid w:val="039B2919"/>
    <w:rsid w:val="06FD269B"/>
    <w:rsid w:val="082A2071"/>
    <w:rsid w:val="09A42008"/>
    <w:rsid w:val="0A4E6F24"/>
    <w:rsid w:val="0CE03FC0"/>
    <w:rsid w:val="0D425351"/>
    <w:rsid w:val="0F75060E"/>
    <w:rsid w:val="0FE3074B"/>
    <w:rsid w:val="10673238"/>
    <w:rsid w:val="11F05683"/>
    <w:rsid w:val="12D6271E"/>
    <w:rsid w:val="136D4FA3"/>
    <w:rsid w:val="159A3ED7"/>
    <w:rsid w:val="16995B1D"/>
    <w:rsid w:val="18884330"/>
    <w:rsid w:val="19A2132E"/>
    <w:rsid w:val="1D484219"/>
    <w:rsid w:val="1D7462BA"/>
    <w:rsid w:val="20363CE3"/>
    <w:rsid w:val="20581F70"/>
    <w:rsid w:val="213952C3"/>
    <w:rsid w:val="21FC3824"/>
    <w:rsid w:val="2232226E"/>
    <w:rsid w:val="2309702B"/>
    <w:rsid w:val="23DC56BB"/>
    <w:rsid w:val="2AC72C63"/>
    <w:rsid w:val="2B483F8A"/>
    <w:rsid w:val="2C864D5D"/>
    <w:rsid w:val="2D303D9B"/>
    <w:rsid w:val="2DB71EB7"/>
    <w:rsid w:val="2E951288"/>
    <w:rsid w:val="2FD25C81"/>
    <w:rsid w:val="31937C40"/>
    <w:rsid w:val="31FF44D7"/>
    <w:rsid w:val="341F57DC"/>
    <w:rsid w:val="3445105A"/>
    <w:rsid w:val="370A06D3"/>
    <w:rsid w:val="38B73C87"/>
    <w:rsid w:val="3A200F3F"/>
    <w:rsid w:val="3B04144A"/>
    <w:rsid w:val="3C9E3795"/>
    <w:rsid w:val="3D094C04"/>
    <w:rsid w:val="3E587877"/>
    <w:rsid w:val="41466105"/>
    <w:rsid w:val="42545F7F"/>
    <w:rsid w:val="42FA47E8"/>
    <w:rsid w:val="43FD7228"/>
    <w:rsid w:val="45204B6F"/>
    <w:rsid w:val="46B276A3"/>
    <w:rsid w:val="47B26136"/>
    <w:rsid w:val="4BDF6466"/>
    <w:rsid w:val="4BE87CA9"/>
    <w:rsid w:val="4DBF25B5"/>
    <w:rsid w:val="4E851B7E"/>
    <w:rsid w:val="4ED80707"/>
    <w:rsid w:val="50550870"/>
    <w:rsid w:val="507A29FA"/>
    <w:rsid w:val="509C1BAA"/>
    <w:rsid w:val="50B22A91"/>
    <w:rsid w:val="51134EFD"/>
    <w:rsid w:val="51750D79"/>
    <w:rsid w:val="52D35FC6"/>
    <w:rsid w:val="537A34AF"/>
    <w:rsid w:val="537C1BBA"/>
    <w:rsid w:val="544F0794"/>
    <w:rsid w:val="573E1DE3"/>
    <w:rsid w:val="58D306E8"/>
    <w:rsid w:val="5A003C03"/>
    <w:rsid w:val="5DAD8F14"/>
    <w:rsid w:val="5DF8DB34"/>
    <w:rsid w:val="5E1D731C"/>
    <w:rsid w:val="5EEE7BB0"/>
    <w:rsid w:val="61CD633B"/>
    <w:rsid w:val="624800A8"/>
    <w:rsid w:val="657BF3DC"/>
    <w:rsid w:val="659455FB"/>
    <w:rsid w:val="65AA7B72"/>
    <w:rsid w:val="66A02A39"/>
    <w:rsid w:val="6757FC00"/>
    <w:rsid w:val="69280027"/>
    <w:rsid w:val="6A677898"/>
    <w:rsid w:val="6BFA4D6A"/>
    <w:rsid w:val="6F344402"/>
    <w:rsid w:val="700970F1"/>
    <w:rsid w:val="73A50FC7"/>
    <w:rsid w:val="74941411"/>
    <w:rsid w:val="776FFC87"/>
    <w:rsid w:val="77DFE008"/>
    <w:rsid w:val="77FF5EE7"/>
    <w:rsid w:val="78190A15"/>
    <w:rsid w:val="7A981F4C"/>
    <w:rsid w:val="7C6B3D09"/>
    <w:rsid w:val="7C9E406A"/>
    <w:rsid w:val="7D224CFF"/>
    <w:rsid w:val="7EA925F8"/>
    <w:rsid w:val="7ED39DA3"/>
    <w:rsid w:val="7F521BEE"/>
    <w:rsid w:val="7F7F159D"/>
    <w:rsid w:val="7FFFD4AE"/>
    <w:rsid w:val="9EFFD4C6"/>
    <w:rsid w:val="A6EF7213"/>
    <w:rsid w:val="BB7FA92A"/>
    <w:rsid w:val="BF5F50D2"/>
    <w:rsid w:val="BFEF4B22"/>
    <w:rsid w:val="BFFA12B6"/>
    <w:rsid w:val="BFFF6763"/>
    <w:rsid w:val="CFD6DC9E"/>
    <w:rsid w:val="D7EFD26D"/>
    <w:rsid w:val="EBDE7A84"/>
    <w:rsid w:val="ECF73335"/>
    <w:rsid w:val="EDC77ACE"/>
    <w:rsid w:val="EE9D1255"/>
    <w:rsid w:val="EFEFEFDB"/>
    <w:rsid w:val="F9AFA2E1"/>
    <w:rsid w:val="FAFF7EC3"/>
    <w:rsid w:val="FBCFD2C4"/>
    <w:rsid w:val="FFFB5B53"/>
    <w:rsid w:val="FFFE3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3"/>
    <w:qFormat/>
    <w:uiPriority w:val="9"/>
    <w:pPr>
      <w:keepNext/>
      <w:keepLines/>
      <w:pageBreakBefore/>
      <w:numPr>
        <w:ilvl w:val="0"/>
        <w:numId w:val="1"/>
      </w:numPr>
      <w:spacing w:before="340" w:after="330" w:line="578" w:lineRule="auto"/>
      <w:jc w:val="center"/>
      <w:outlineLvl w:val="0"/>
    </w:pPr>
    <w:rPr>
      <w:b/>
      <w:bCs/>
      <w:kern w:val="44"/>
      <w:sz w:val="44"/>
      <w:szCs w:val="44"/>
    </w:rPr>
  </w:style>
  <w:style w:type="paragraph" w:styleId="3">
    <w:name w:val="heading 2"/>
    <w:basedOn w:val="1"/>
    <w:next w:val="1"/>
    <w:link w:val="34"/>
    <w:qFormat/>
    <w:uiPriority w:val="9"/>
    <w:pPr>
      <w:keepNext/>
      <w:keepLines/>
      <w:numPr>
        <w:ilvl w:val="1"/>
        <w:numId w:val="1"/>
      </w:numPr>
      <w:spacing w:before="260" w:after="260" w:line="416" w:lineRule="auto"/>
      <w:outlineLvl w:val="1"/>
    </w:pPr>
    <w:rPr>
      <w:rFonts w:ascii="黑体" w:hAnsi="黑体" w:eastAsia="黑体"/>
      <w:b/>
      <w:bCs/>
      <w:sz w:val="36"/>
      <w:szCs w:val="36"/>
    </w:rPr>
  </w:style>
  <w:style w:type="paragraph" w:styleId="4">
    <w:name w:val="heading 3"/>
    <w:basedOn w:val="1"/>
    <w:next w:val="1"/>
    <w:link w:val="36"/>
    <w:qFormat/>
    <w:uiPriority w:val="9"/>
    <w:pPr>
      <w:keepNext/>
      <w:keepLines/>
      <w:numPr>
        <w:ilvl w:val="2"/>
        <w:numId w:val="1"/>
      </w:numPr>
      <w:spacing w:before="260" w:after="260" w:line="416" w:lineRule="auto"/>
      <w:ind w:left="0"/>
      <w:outlineLvl w:val="2"/>
    </w:pPr>
    <w:rPr>
      <w:rFonts w:ascii="黑体" w:hAnsi="黑体" w:eastAsia="黑体"/>
      <w:b/>
      <w:bCs/>
      <w:sz w:val="32"/>
      <w:szCs w:val="32"/>
    </w:rPr>
  </w:style>
  <w:style w:type="paragraph" w:styleId="5">
    <w:name w:val="heading 4"/>
    <w:basedOn w:val="1"/>
    <w:next w:val="1"/>
    <w:link w:val="37"/>
    <w:qFormat/>
    <w:uiPriority w:val="9"/>
    <w:pPr>
      <w:keepNext/>
      <w:keepLines/>
      <w:numPr>
        <w:ilvl w:val="3"/>
        <w:numId w:val="1"/>
      </w:numPr>
      <w:spacing w:before="240" w:after="240" w:line="360" w:lineRule="auto"/>
      <w:outlineLvl w:val="3"/>
    </w:pPr>
    <w:rPr>
      <w:rFonts w:ascii="黑体" w:hAnsi="黑体" w:eastAsia="黑体"/>
      <w:bCs/>
      <w:sz w:val="30"/>
      <w:szCs w:val="30"/>
    </w:rPr>
  </w:style>
  <w:style w:type="paragraph" w:styleId="6">
    <w:name w:val="heading 5"/>
    <w:basedOn w:val="1"/>
    <w:next w:val="1"/>
    <w:link w:val="38"/>
    <w:qFormat/>
    <w:uiPriority w:val="9"/>
    <w:pPr>
      <w:keepNext/>
      <w:keepLines/>
      <w:numPr>
        <w:ilvl w:val="4"/>
        <w:numId w:val="1"/>
      </w:numPr>
      <w:spacing w:beforeLines="50" w:line="360" w:lineRule="auto"/>
      <w:outlineLvl w:val="4"/>
    </w:pPr>
    <w:rPr>
      <w:rFonts w:ascii="仿宋" w:hAnsi="仿宋" w:eastAsia="仿宋"/>
      <w:b/>
      <w:bCs/>
      <w:sz w:val="28"/>
      <w:szCs w:val="28"/>
    </w:rPr>
  </w:style>
  <w:style w:type="paragraph" w:styleId="7">
    <w:name w:val="heading 6"/>
    <w:basedOn w:val="1"/>
    <w:next w:val="1"/>
    <w:qFormat/>
    <w:uiPriority w:val="0"/>
    <w:pPr>
      <w:numPr>
        <w:ilvl w:val="5"/>
        <w:numId w:val="2"/>
      </w:numPr>
      <w:ind w:left="0" w:firstLine="0"/>
      <w:outlineLvl w:val="5"/>
    </w:pPr>
    <w:rPr>
      <w:rFonts w:ascii="Arial" w:hAnsi="Arial"/>
      <w:b/>
    </w:rPr>
  </w:style>
  <w:style w:type="paragraph" w:styleId="8">
    <w:name w:val="heading 7"/>
    <w:next w:val="1"/>
    <w:link w:val="56"/>
    <w:autoRedefine/>
    <w:qFormat/>
    <w:uiPriority w:val="0"/>
    <w:pPr>
      <w:spacing w:before="30" w:beforeLines="30" w:after="30" w:afterLines="30" w:line="312" w:lineRule="auto"/>
      <w:ind w:left="1296" w:hanging="1296"/>
      <w:outlineLvl w:val="6"/>
    </w:pPr>
    <w:rPr>
      <w:rFonts w:ascii="Arial" w:hAnsi="Arial" w:eastAsia="微软雅黑" w:cs="Times New Roman"/>
      <w:b/>
      <w:sz w:val="24"/>
      <w:lang w:val="en-US" w:eastAsia="zh-CN" w:bidi="ar-SA"/>
    </w:rPr>
  </w:style>
  <w:style w:type="paragraph" w:styleId="9">
    <w:name w:val="heading 8"/>
    <w:next w:val="1"/>
    <w:link w:val="57"/>
    <w:autoRedefine/>
    <w:qFormat/>
    <w:uiPriority w:val="0"/>
    <w:pPr>
      <w:spacing w:before="30" w:beforeLines="30" w:after="30" w:afterLines="30" w:line="312" w:lineRule="auto"/>
      <w:ind w:left="1440" w:hanging="1440"/>
      <w:outlineLvl w:val="7"/>
    </w:pPr>
    <w:rPr>
      <w:rFonts w:ascii="Cambria" w:hAnsi="Cambria" w:eastAsia="微软雅黑" w:cs="Times New Roman"/>
      <w:b/>
      <w:sz w:val="24"/>
      <w:lang w:val="en-US" w:eastAsia="zh-CN" w:bidi="ar-SA"/>
    </w:rPr>
  </w:style>
  <w:style w:type="paragraph" w:styleId="10">
    <w:name w:val="heading 9"/>
    <w:next w:val="1"/>
    <w:link w:val="58"/>
    <w:autoRedefine/>
    <w:qFormat/>
    <w:uiPriority w:val="0"/>
    <w:pPr>
      <w:spacing w:before="30" w:beforeLines="30" w:after="30" w:afterLines="30" w:line="312" w:lineRule="auto"/>
      <w:ind w:left="1583" w:hanging="1583"/>
      <w:outlineLvl w:val="8"/>
    </w:pPr>
    <w:rPr>
      <w:rFonts w:ascii="Cambria" w:hAnsi="Cambria" w:eastAsia="微软雅黑" w:cs="Times New Roman"/>
      <w:b/>
      <w:sz w:val="24"/>
      <w:szCs w:val="21"/>
      <w:lang w:val="en-US" w:eastAsia="zh-CN" w:bidi="ar-SA"/>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2"/>
    <w:semiHidden/>
    <w:unhideWhenUsed/>
    <w:qFormat/>
    <w:uiPriority w:val="99"/>
    <w:pPr>
      <w:jc w:val="left"/>
    </w:pPr>
  </w:style>
  <w:style w:type="paragraph" w:styleId="12">
    <w:name w:val="Body Text"/>
    <w:basedOn w:val="1"/>
    <w:qFormat/>
    <w:uiPriority w:val="0"/>
    <w:pPr>
      <w:spacing w:after="120"/>
    </w:pPr>
  </w:style>
  <w:style w:type="paragraph" w:styleId="13">
    <w:name w:val="Balloon Text"/>
    <w:basedOn w:val="1"/>
    <w:link w:val="51"/>
    <w:semiHidden/>
    <w:unhideWhenUsed/>
    <w:qFormat/>
    <w:uiPriority w:val="99"/>
    <w:rPr>
      <w:sz w:val="18"/>
      <w:szCs w:val="18"/>
    </w:rPr>
  </w:style>
  <w:style w:type="paragraph" w:styleId="14">
    <w:name w:val="footer"/>
    <w:basedOn w:val="1"/>
    <w:link w:val="26"/>
    <w:unhideWhenUsed/>
    <w:qFormat/>
    <w:uiPriority w:val="99"/>
    <w:pPr>
      <w:tabs>
        <w:tab w:val="center" w:pos="4153"/>
        <w:tab w:val="right" w:pos="8306"/>
      </w:tabs>
      <w:snapToGrid w:val="0"/>
      <w:jc w:val="left"/>
    </w:pPr>
    <w:rPr>
      <w:sz w:val="18"/>
      <w:szCs w:val="18"/>
    </w:rPr>
  </w:style>
  <w:style w:type="paragraph" w:styleId="15">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HTML Preformatted"/>
    <w:basedOn w:val="1"/>
    <w:link w:val="50"/>
    <w:semiHidden/>
    <w:unhideWhenUsed/>
    <w:qFormat/>
    <w:uiPriority w:val="99"/>
    <w:rPr>
      <w:rFonts w:ascii="Courier New" w:hAnsi="Courier New" w:cs="Courier New"/>
      <w:sz w:val="20"/>
      <w:szCs w:val="20"/>
    </w:rPr>
  </w:style>
  <w:style w:type="paragraph" w:styleId="17">
    <w:name w:val="Normal (Web)"/>
    <w:basedOn w:val="1"/>
    <w:semiHidden/>
    <w:unhideWhenUsed/>
    <w:qFormat/>
    <w:uiPriority w:val="99"/>
    <w:pPr>
      <w:spacing w:beforeAutospacing="1" w:afterAutospacing="1"/>
      <w:jc w:val="left"/>
    </w:pPr>
    <w:rPr>
      <w:kern w:val="0"/>
      <w:sz w:val="24"/>
    </w:rPr>
  </w:style>
  <w:style w:type="paragraph" w:styleId="18">
    <w:name w:val="annotation subject"/>
    <w:basedOn w:val="11"/>
    <w:next w:val="11"/>
    <w:link w:val="53"/>
    <w:semiHidden/>
    <w:unhideWhenUsed/>
    <w:qFormat/>
    <w:uiPriority w:val="99"/>
    <w:rPr>
      <w:b/>
      <w:bCs/>
    </w:rPr>
  </w:style>
  <w:style w:type="character" w:styleId="21">
    <w:name w:val="Strong"/>
    <w:basedOn w:val="20"/>
    <w:qFormat/>
    <w:uiPriority w:val="22"/>
    <w:rPr>
      <w:b/>
    </w:rPr>
  </w:style>
  <w:style w:type="character" w:styleId="22">
    <w:name w:val="annotation reference"/>
    <w:basedOn w:val="20"/>
    <w:semiHidden/>
    <w:unhideWhenUsed/>
    <w:qFormat/>
    <w:uiPriority w:val="99"/>
    <w:rPr>
      <w:sz w:val="21"/>
      <w:szCs w:val="21"/>
    </w:rPr>
  </w:style>
  <w:style w:type="paragraph" w:customStyle="1" w:styleId="23">
    <w:name w:val="可研正文"/>
    <w:basedOn w:val="1"/>
    <w:link w:val="35"/>
    <w:qFormat/>
    <w:uiPriority w:val="0"/>
    <w:pPr>
      <w:spacing w:line="360" w:lineRule="auto"/>
      <w:ind w:firstLine="200" w:firstLineChars="200"/>
    </w:pPr>
    <w:rPr>
      <w:rFonts w:ascii="仿宋" w:hAnsi="仿宋" w:eastAsia="仿宋"/>
      <w:sz w:val="28"/>
      <w:szCs w:val="28"/>
    </w:rPr>
  </w:style>
  <w:style w:type="paragraph" w:customStyle="1" w:styleId="24">
    <w:name w:val="文档正文"/>
    <w:basedOn w:val="1"/>
    <w:next w:val="1"/>
    <w:link w:val="32"/>
    <w:qFormat/>
    <w:uiPriority w:val="0"/>
    <w:pPr>
      <w:adjustRightInd w:val="0"/>
      <w:spacing w:line="480" w:lineRule="atLeast"/>
      <w:ind w:firstLine="567" w:firstLineChars="200"/>
      <w:textAlignment w:val="baseline"/>
    </w:pPr>
    <w:rPr>
      <w:rFonts w:ascii="长城仿宋"/>
      <w:kern w:val="0"/>
      <w:sz w:val="24"/>
      <w:szCs w:val="20"/>
    </w:rPr>
  </w:style>
  <w:style w:type="character" w:customStyle="1" w:styleId="25">
    <w:name w:val="页眉 字符1"/>
    <w:basedOn w:val="20"/>
    <w:link w:val="15"/>
    <w:semiHidden/>
    <w:qFormat/>
    <w:uiPriority w:val="99"/>
    <w:rPr>
      <w:sz w:val="18"/>
      <w:szCs w:val="18"/>
    </w:rPr>
  </w:style>
  <w:style w:type="character" w:customStyle="1" w:styleId="26">
    <w:name w:val="页脚 字符1"/>
    <w:basedOn w:val="20"/>
    <w:link w:val="14"/>
    <w:semiHidden/>
    <w:qFormat/>
    <w:uiPriority w:val="99"/>
    <w:rPr>
      <w:sz w:val="18"/>
      <w:szCs w:val="18"/>
    </w:rPr>
  </w:style>
  <w:style w:type="character" w:customStyle="1" w:styleId="27">
    <w:name w:val="标题 1 Char"/>
    <w:basedOn w:val="20"/>
    <w:qFormat/>
    <w:uiPriority w:val="9"/>
    <w:rPr>
      <w:rFonts w:ascii="Calibri" w:hAnsi="Calibri" w:eastAsia="宋体" w:cs="Times New Roman"/>
      <w:b/>
      <w:bCs/>
      <w:kern w:val="44"/>
      <w:sz w:val="44"/>
      <w:szCs w:val="44"/>
    </w:rPr>
  </w:style>
  <w:style w:type="character" w:customStyle="1" w:styleId="28">
    <w:name w:val="标题 2 Char"/>
    <w:basedOn w:val="20"/>
    <w:semiHidden/>
    <w:qFormat/>
    <w:uiPriority w:val="9"/>
    <w:rPr>
      <w:rFonts w:asciiTheme="majorHAnsi" w:hAnsiTheme="majorHAnsi" w:eastAsiaTheme="majorEastAsia" w:cstheme="majorBidi"/>
      <w:b/>
      <w:bCs/>
      <w:sz w:val="32"/>
      <w:szCs w:val="32"/>
    </w:rPr>
  </w:style>
  <w:style w:type="character" w:customStyle="1" w:styleId="29">
    <w:name w:val="标题 3 Char"/>
    <w:basedOn w:val="20"/>
    <w:semiHidden/>
    <w:qFormat/>
    <w:uiPriority w:val="9"/>
    <w:rPr>
      <w:rFonts w:ascii="Calibri" w:hAnsi="Calibri" w:eastAsia="宋体" w:cs="Times New Roman"/>
      <w:b/>
      <w:bCs/>
      <w:sz w:val="32"/>
      <w:szCs w:val="32"/>
    </w:rPr>
  </w:style>
  <w:style w:type="character" w:customStyle="1" w:styleId="30">
    <w:name w:val="标题 4 Char"/>
    <w:basedOn w:val="20"/>
    <w:semiHidden/>
    <w:qFormat/>
    <w:uiPriority w:val="9"/>
    <w:rPr>
      <w:rFonts w:asciiTheme="majorHAnsi" w:hAnsiTheme="majorHAnsi" w:eastAsiaTheme="majorEastAsia" w:cstheme="majorBidi"/>
      <w:b/>
      <w:bCs/>
      <w:sz w:val="28"/>
      <w:szCs w:val="28"/>
    </w:rPr>
  </w:style>
  <w:style w:type="character" w:customStyle="1" w:styleId="31">
    <w:name w:val="标题 5 Char"/>
    <w:basedOn w:val="20"/>
    <w:semiHidden/>
    <w:qFormat/>
    <w:uiPriority w:val="9"/>
    <w:rPr>
      <w:rFonts w:ascii="Calibri" w:hAnsi="Calibri" w:eastAsia="宋体" w:cs="Times New Roman"/>
      <w:b/>
      <w:bCs/>
      <w:sz w:val="28"/>
      <w:szCs w:val="28"/>
    </w:rPr>
  </w:style>
  <w:style w:type="character" w:customStyle="1" w:styleId="32">
    <w:name w:val="文档正文 Char"/>
    <w:link w:val="24"/>
    <w:qFormat/>
    <w:uiPriority w:val="0"/>
    <w:rPr>
      <w:rFonts w:ascii="长城仿宋" w:hAnsi="Calibri" w:eastAsia="宋体" w:cs="Times New Roman"/>
      <w:kern w:val="0"/>
      <w:sz w:val="24"/>
      <w:szCs w:val="20"/>
    </w:rPr>
  </w:style>
  <w:style w:type="character" w:customStyle="1" w:styleId="33">
    <w:name w:val="标题 1 字符"/>
    <w:link w:val="2"/>
    <w:qFormat/>
    <w:uiPriority w:val="0"/>
    <w:rPr>
      <w:rFonts w:ascii="Calibri" w:hAnsi="Calibri" w:eastAsia="宋体" w:cs="Times New Roman"/>
      <w:b/>
      <w:bCs/>
      <w:kern w:val="44"/>
      <w:sz w:val="44"/>
      <w:szCs w:val="44"/>
    </w:rPr>
  </w:style>
  <w:style w:type="character" w:customStyle="1" w:styleId="34">
    <w:name w:val="标题 2 字符"/>
    <w:link w:val="3"/>
    <w:qFormat/>
    <w:uiPriority w:val="0"/>
    <w:rPr>
      <w:rFonts w:ascii="黑体" w:hAnsi="黑体" w:eastAsia="黑体" w:cs="Times New Roman"/>
      <w:b/>
      <w:bCs/>
      <w:sz w:val="36"/>
      <w:szCs w:val="36"/>
    </w:rPr>
  </w:style>
  <w:style w:type="character" w:customStyle="1" w:styleId="35">
    <w:name w:val="可研正文 Char"/>
    <w:link w:val="23"/>
    <w:qFormat/>
    <w:uiPriority w:val="0"/>
    <w:rPr>
      <w:rFonts w:ascii="仿宋" w:hAnsi="仿宋" w:eastAsia="仿宋" w:cs="Times New Roman"/>
      <w:sz w:val="28"/>
      <w:szCs w:val="28"/>
    </w:rPr>
  </w:style>
  <w:style w:type="character" w:customStyle="1" w:styleId="36">
    <w:name w:val="标题 3 字符"/>
    <w:link w:val="4"/>
    <w:qFormat/>
    <w:uiPriority w:val="0"/>
    <w:rPr>
      <w:rFonts w:ascii="黑体" w:hAnsi="黑体" w:eastAsia="黑体" w:cs="Times New Roman"/>
      <w:b/>
      <w:bCs/>
      <w:sz w:val="32"/>
      <w:szCs w:val="32"/>
    </w:rPr>
  </w:style>
  <w:style w:type="character" w:customStyle="1" w:styleId="37">
    <w:name w:val="标题 4 字符"/>
    <w:link w:val="5"/>
    <w:qFormat/>
    <w:uiPriority w:val="0"/>
    <w:rPr>
      <w:rFonts w:ascii="黑体" w:hAnsi="黑体" w:eastAsia="黑体" w:cs="Times New Roman"/>
      <w:bCs/>
      <w:sz w:val="30"/>
      <w:szCs w:val="30"/>
    </w:rPr>
  </w:style>
  <w:style w:type="character" w:customStyle="1" w:styleId="38">
    <w:name w:val="标题 5 字符"/>
    <w:link w:val="6"/>
    <w:qFormat/>
    <w:uiPriority w:val="0"/>
    <w:rPr>
      <w:rFonts w:ascii="仿宋" w:hAnsi="仿宋" w:eastAsia="仿宋" w:cs="Times New Roman"/>
      <w:b/>
      <w:bCs/>
      <w:sz w:val="28"/>
      <w:szCs w:val="28"/>
    </w:rPr>
  </w:style>
  <w:style w:type="character" w:customStyle="1" w:styleId="39">
    <w:name w:val="页脚 字符"/>
    <w:qFormat/>
    <w:uiPriority w:val="99"/>
    <w:rPr>
      <w:sz w:val="18"/>
      <w:szCs w:val="18"/>
    </w:rPr>
  </w:style>
  <w:style w:type="character" w:customStyle="1" w:styleId="40">
    <w:name w:val="页眉 字符"/>
    <w:qFormat/>
    <w:uiPriority w:val="0"/>
    <w:rPr>
      <w:sz w:val="18"/>
      <w:szCs w:val="18"/>
    </w:rPr>
  </w:style>
  <w:style w:type="paragraph" w:customStyle="1" w:styleId="41">
    <w:name w:val="FA正文"/>
    <w:basedOn w:val="1"/>
    <w:qFormat/>
    <w:uiPriority w:val="0"/>
    <w:pPr>
      <w:spacing w:line="360" w:lineRule="auto"/>
      <w:ind w:firstLine="964" w:firstLineChars="200"/>
      <w:jc w:val="left"/>
    </w:pPr>
    <w:rPr>
      <w:rFonts w:ascii="宋体" w:hAnsi="宋体" w:cs="宋体"/>
      <w:sz w:val="24"/>
      <w:szCs w:val="24"/>
    </w:rPr>
  </w:style>
  <w:style w:type="paragraph" w:customStyle="1" w:styleId="42">
    <w:name w:val="_Style 64"/>
    <w:basedOn w:val="1"/>
    <w:next w:val="43"/>
    <w:link w:val="44"/>
    <w:qFormat/>
    <w:uiPriority w:val="34"/>
    <w:pPr>
      <w:spacing w:line="360" w:lineRule="auto"/>
      <w:ind w:firstLine="420" w:firstLineChars="200"/>
    </w:pPr>
  </w:style>
  <w:style w:type="paragraph" w:styleId="43">
    <w:name w:val="List Paragraph"/>
    <w:basedOn w:val="1"/>
    <w:qFormat/>
    <w:uiPriority w:val="34"/>
    <w:pPr>
      <w:ind w:firstLine="420" w:firstLineChars="200"/>
    </w:pPr>
  </w:style>
  <w:style w:type="character" w:customStyle="1" w:styleId="44">
    <w:name w:val="列出段落 字符"/>
    <w:link w:val="42"/>
    <w:qFormat/>
    <w:uiPriority w:val="34"/>
    <w:rPr>
      <w:rFonts w:ascii="Calibri" w:hAnsi="Calibri" w:eastAsia="宋体" w:cs="Times New Roman"/>
    </w:rPr>
  </w:style>
  <w:style w:type="paragraph" w:customStyle="1" w:styleId="45">
    <w:name w:val="标书正文"/>
    <w:basedOn w:val="15"/>
    <w:qFormat/>
    <w:uiPriority w:val="0"/>
    <w:pPr>
      <w:pBdr>
        <w:bottom w:val="none" w:color="auto" w:sz="0" w:space="0"/>
      </w:pBdr>
      <w:tabs>
        <w:tab w:val="clear" w:pos="4153"/>
        <w:tab w:val="clear" w:pos="8306"/>
      </w:tabs>
      <w:adjustRightInd w:val="0"/>
      <w:snapToGrid/>
      <w:spacing w:line="480" w:lineRule="atLeast"/>
      <w:ind w:firstLine="200" w:firstLineChars="200"/>
      <w:jc w:val="both"/>
      <w:textAlignment w:val="baseline"/>
    </w:pPr>
    <w:rPr>
      <w:rFonts w:ascii="长城仿宋"/>
      <w:kern w:val="0"/>
      <w:sz w:val="24"/>
      <w:szCs w:val="20"/>
    </w:rPr>
  </w:style>
  <w:style w:type="paragraph" w:customStyle="1" w:styleId="46">
    <w:name w:val="*正文"/>
    <w:basedOn w:val="1"/>
    <w:link w:val="47"/>
    <w:qFormat/>
    <w:uiPriority w:val="0"/>
    <w:pPr>
      <w:tabs>
        <w:tab w:val="center" w:pos="3828"/>
      </w:tabs>
      <w:spacing w:line="360" w:lineRule="auto"/>
      <w:ind w:firstLine="480" w:firstLineChars="200"/>
      <w:jc w:val="left"/>
    </w:pPr>
    <w:rPr>
      <w:rFonts w:ascii="Arial" w:hAnsi="Arial" w:cs="Arial"/>
      <w:bCs/>
      <w:color w:val="333333"/>
      <w:sz w:val="24"/>
      <w:szCs w:val="21"/>
      <w:shd w:val="clear" w:color="auto" w:fill="FFFFFF"/>
    </w:rPr>
  </w:style>
  <w:style w:type="character" w:customStyle="1" w:styleId="47">
    <w:name w:val="*正文 Char"/>
    <w:link w:val="46"/>
    <w:qFormat/>
    <w:uiPriority w:val="0"/>
    <w:rPr>
      <w:rFonts w:ascii="Arial" w:hAnsi="Arial" w:eastAsia="宋体" w:cs="Arial"/>
      <w:bCs/>
      <w:color w:val="333333"/>
      <w:sz w:val="24"/>
      <w:szCs w:val="21"/>
    </w:rPr>
  </w:style>
  <w:style w:type="paragraph" w:customStyle="1" w:styleId="48">
    <w:name w:val="彩色列表 - 强调文字颜色 11"/>
    <w:basedOn w:val="1"/>
    <w:link w:val="49"/>
    <w:qFormat/>
    <w:uiPriority w:val="0"/>
    <w:pPr>
      <w:ind w:firstLine="420" w:firstLineChars="200"/>
    </w:pPr>
    <w:rPr>
      <w:rFonts w:ascii="Times New Roman" w:hAnsi="Times New Roman"/>
      <w:szCs w:val="20"/>
    </w:rPr>
  </w:style>
  <w:style w:type="character" w:customStyle="1" w:styleId="49">
    <w:name w:val="彩色列表 - 着色 1 字符"/>
    <w:link w:val="48"/>
    <w:qFormat/>
    <w:uiPriority w:val="0"/>
    <w:rPr>
      <w:rFonts w:ascii="Times New Roman" w:hAnsi="Times New Roman" w:eastAsia="宋体" w:cs="Times New Roman"/>
      <w:szCs w:val="20"/>
    </w:rPr>
  </w:style>
  <w:style w:type="character" w:customStyle="1" w:styleId="50">
    <w:name w:val="HTML 预设格式 字符"/>
    <w:basedOn w:val="20"/>
    <w:link w:val="16"/>
    <w:semiHidden/>
    <w:qFormat/>
    <w:uiPriority w:val="99"/>
    <w:rPr>
      <w:rFonts w:ascii="Courier New" w:hAnsi="Courier New" w:eastAsia="宋体" w:cs="Courier New"/>
      <w:sz w:val="20"/>
      <w:szCs w:val="20"/>
    </w:rPr>
  </w:style>
  <w:style w:type="character" w:customStyle="1" w:styleId="51">
    <w:name w:val="批注框文本 字符"/>
    <w:basedOn w:val="20"/>
    <w:link w:val="13"/>
    <w:semiHidden/>
    <w:qFormat/>
    <w:uiPriority w:val="99"/>
    <w:rPr>
      <w:rFonts w:ascii="Calibri" w:hAnsi="Calibri" w:eastAsia="宋体" w:cs="Times New Roman"/>
      <w:sz w:val="18"/>
      <w:szCs w:val="18"/>
    </w:rPr>
  </w:style>
  <w:style w:type="character" w:customStyle="1" w:styleId="52">
    <w:name w:val="批注文字 字符"/>
    <w:basedOn w:val="20"/>
    <w:link w:val="11"/>
    <w:semiHidden/>
    <w:qFormat/>
    <w:uiPriority w:val="99"/>
    <w:rPr>
      <w:rFonts w:ascii="Calibri" w:hAnsi="Calibri" w:eastAsia="宋体" w:cs="Times New Roman"/>
    </w:rPr>
  </w:style>
  <w:style w:type="character" w:customStyle="1" w:styleId="53">
    <w:name w:val="批注主题 字符"/>
    <w:basedOn w:val="52"/>
    <w:link w:val="18"/>
    <w:semiHidden/>
    <w:qFormat/>
    <w:uiPriority w:val="99"/>
    <w:rPr>
      <w:rFonts w:ascii="Calibri" w:hAnsi="Calibri" w:eastAsia="宋体" w:cs="Times New Roman"/>
      <w:b/>
      <w:bCs/>
    </w:rPr>
  </w:style>
  <w:style w:type="paragraph" w:customStyle="1" w:styleId="54">
    <w:name w:val="修订1"/>
    <w:hidden/>
    <w:semiHidden/>
    <w:qFormat/>
    <w:uiPriority w:val="99"/>
    <w:rPr>
      <w:rFonts w:ascii="Calibri" w:hAnsi="Calibri" w:eastAsia="宋体" w:cs="Times New Roman"/>
      <w:kern w:val="2"/>
      <w:sz w:val="21"/>
      <w:szCs w:val="22"/>
      <w:lang w:val="en-US" w:eastAsia="zh-CN" w:bidi="ar-SA"/>
    </w:rPr>
  </w:style>
  <w:style w:type="paragraph" w:customStyle="1" w:styleId="55">
    <w:name w:val="Table Text"/>
    <w:basedOn w:val="1"/>
    <w:autoRedefine/>
    <w:qFormat/>
    <w:uiPriority w:val="0"/>
    <w:rPr>
      <w:rFonts w:ascii="宋体" w:hAnsi="宋体" w:cs="宋体"/>
      <w:lang w:eastAsia="en-US"/>
    </w:rPr>
  </w:style>
  <w:style w:type="character" w:customStyle="1" w:styleId="56">
    <w:name w:val="标题 7 字符"/>
    <w:basedOn w:val="20"/>
    <w:link w:val="8"/>
    <w:qFormat/>
    <w:uiPriority w:val="0"/>
    <w:rPr>
      <w:rFonts w:ascii="Arial" w:hAnsi="Arial" w:eastAsia="微软雅黑"/>
      <w:b/>
      <w:sz w:val="24"/>
    </w:rPr>
  </w:style>
  <w:style w:type="character" w:customStyle="1" w:styleId="57">
    <w:name w:val="标题 8 字符"/>
    <w:basedOn w:val="20"/>
    <w:link w:val="9"/>
    <w:qFormat/>
    <w:uiPriority w:val="0"/>
    <w:rPr>
      <w:rFonts w:ascii="Cambria" w:hAnsi="Cambria" w:eastAsia="微软雅黑"/>
      <w:b/>
      <w:sz w:val="24"/>
    </w:rPr>
  </w:style>
  <w:style w:type="character" w:customStyle="1" w:styleId="58">
    <w:name w:val="标题 9 字符"/>
    <w:basedOn w:val="20"/>
    <w:link w:val="10"/>
    <w:qFormat/>
    <w:uiPriority w:val="0"/>
    <w:rPr>
      <w:rFonts w:ascii="Cambria" w:hAnsi="Cambria" w:eastAsia="微软雅黑"/>
      <w:b/>
      <w:sz w:val="24"/>
      <w:szCs w:val="21"/>
    </w:rPr>
  </w:style>
  <w:style w:type="paragraph" w:customStyle="1" w:styleId="59">
    <w:name w:val="正文缩进1"/>
    <w:basedOn w:val="1"/>
    <w:qFormat/>
    <w:uiPriority w:val="0"/>
    <w:pPr>
      <w:ind w:firstLine="420" w:firstLineChars="200"/>
    </w:pPr>
    <w:rPr>
      <w:rFonts w:ascii="Times New Roman" w:hAnsi="Times New Roman"/>
      <w:szCs w:val="20"/>
    </w:rPr>
  </w:style>
  <w:style w:type="paragraph" w:customStyle="1" w:styleId="60">
    <w:name w:val="正文正文2"/>
    <w:basedOn w:val="1"/>
    <w:autoRedefine/>
    <w:qFormat/>
    <w:uiPriority w:val="0"/>
    <w:pPr>
      <w:ind w:firstLine="460"/>
    </w:pPr>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4430</Words>
  <Characters>4582</Characters>
  <Lines>114</Lines>
  <Paragraphs>32</Paragraphs>
  <TotalTime>13</TotalTime>
  <ScaleCrop>false</ScaleCrop>
  <LinksUpToDate>false</LinksUpToDate>
  <CharactersWithSpaces>4590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2023-03-28T09:11:00Z</dcterms:created>
  <dc:creator>ntko</dc:creator>
  <cp:lastModifiedBy>高际航</cp:lastModifiedBy>
  <dcterms:modified xsi:type="dcterms:W3CDTF">2025-04-18T15:11:52Z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B03DC149E58D9491D1AC0168BD2C0BE5_43</vt:lpwstr>
  </property>
  <property fmtid="{D5CDD505-2E9C-101B-9397-08002B2CF9AE}" pid="4" name="KSOTemplateDocerSaveRecord">
    <vt:lpwstr>eyJoZGlkIjoiZWNlYWMzZmQ2MDlmYjQ0NWZmODAyYWVjNTE2NTM4MjciLCJ1c2VySWQiOiIxMzM5MTYxNTM1In0=</vt:lpwstr>
  </property>
</Properties>
</file>