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14030F">
      <w:pPr>
        <w:jc w:val="center"/>
        <w:rPr>
          <w:rFonts w:hint="eastAsia" w:ascii="仿宋" w:hAnsi="仿宋" w:eastAsia="仿宋" w:cs="仿宋"/>
          <w:color w:val="auto"/>
          <w:sz w:val="28"/>
          <w:szCs w:val="28"/>
          <w:highlight w:val="none"/>
        </w:rPr>
      </w:pPr>
      <w:r>
        <w:rPr>
          <w:rFonts w:hint="eastAsia" w:ascii="仿宋" w:hAnsi="仿宋" w:eastAsia="仿宋" w:cs="仿宋"/>
          <w:b/>
          <w:bCs/>
          <w:color w:val="auto"/>
          <w:sz w:val="36"/>
          <w:szCs w:val="36"/>
          <w:highlight w:val="none"/>
        </w:rPr>
        <w:t>上海临床研究中心物业前期介入服务采购需求</w:t>
      </w:r>
    </w:p>
    <w:p w14:paraId="23C61DDC">
      <w:pPr>
        <w:pStyle w:val="7"/>
        <w:widowControl/>
        <w:shd w:val="clear" w:color="auto" w:fill="FFFFFF"/>
        <w:spacing w:beforeAutospacing="0" w:afterAutospacing="0"/>
        <w:ind w:firstLine="492" w:firstLineChars="175"/>
        <w:rPr>
          <w:rFonts w:hint="eastAsia" w:ascii="仿宋" w:hAnsi="仿宋" w:eastAsia="仿宋" w:cs="仿宋"/>
          <w:b/>
          <w:bCs/>
          <w:color w:val="auto"/>
          <w:kern w:val="2"/>
          <w:sz w:val="28"/>
          <w:szCs w:val="28"/>
          <w:highlight w:val="none"/>
        </w:rPr>
      </w:pPr>
      <w:r>
        <w:rPr>
          <w:rFonts w:hint="eastAsia" w:ascii="仿宋" w:hAnsi="仿宋" w:eastAsia="仿宋" w:cs="仿宋"/>
          <w:b/>
          <w:bCs/>
          <w:color w:val="auto"/>
          <w:kern w:val="2"/>
          <w:sz w:val="28"/>
          <w:szCs w:val="28"/>
          <w:highlight w:val="none"/>
        </w:rPr>
        <w:t>一、委托管理物业概况</w:t>
      </w:r>
    </w:p>
    <w:p w14:paraId="0274385F">
      <w:pPr>
        <w:pStyle w:val="7"/>
        <w:widowControl/>
        <w:shd w:val="clear" w:color="auto" w:fill="FFFFFF"/>
        <w:spacing w:beforeAutospacing="0" w:afterAutospacing="0"/>
        <w:ind w:firstLine="513" w:firstLineChars="175"/>
        <w:rPr>
          <w:rFonts w:hint="eastAsia" w:ascii="仿宋" w:hAnsi="仿宋" w:eastAsia="仿宋" w:cs="仿宋"/>
          <w:b/>
          <w:bCs/>
          <w:color w:val="auto"/>
          <w:spacing w:val="6"/>
          <w:kern w:val="2"/>
          <w:sz w:val="28"/>
          <w:szCs w:val="28"/>
          <w:highlight w:val="none"/>
          <w:shd w:val="clear" w:color="auto" w:fill="FFFFFF"/>
        </w:rPr>
      </w:pPr>
      <w:r>
        <w:rPr>
          <w:rFonts w:hint="eastAsia" w:ascii="仿宋" w:hAnsi="仿宋" w:eastAsia="仿宋" w:cs="仿宋"/>
          <w:b/>
          <w:bCs/>
          <w:color w:val="auto"/>
          <w:spacing w:val="6"/>
          <w:kern w:val="2"/>
          <w:sz w:val="28"/>
          <w:szCs w:val="28"/>
          <w:highlight w:val="none"/>
          <w:shd w:val="clear" w:color="auto" w:fill="FFFFFF"/>
        </w:rPr>
        <w:t>(一)本物业基本情况</w:t>
      </w:r>
    </w:p>
    <w:p w14:paraId="3FA357DF">
      <w:pPr>
        <w:pStyle w:val="7"/>
        <w:widowControl/>
        <w:shd w:val="clear" w:color="auto" w:fill="FFFFFF"/>
        <w:spacing w:beforeAutospacing="0" w:afterAutospacing="0"/>
        <w:ind w:firstLine="511" w:firstLineChars="175"/>
        <w:rPr>
          <w:rFonts w:hint="eastAsia" w:ascii="仿宋" w:hAnsi="仿宋" w:eastAsia="仿宋" w:cs="仿宋"/>
          <w:color w:val="auto"/>
          <w:spacing w:val="6"/>
          <w:kern w:val="2"/>
          <w:sz w:val="28"/>
          <w:szCs w:val="28"/>
          <w:highlight w:val="none"/>
          <w:shd w:val="clear" w:color="auto" w:fill="FFFFFF"/>
        </w:rPr>
      </w:pPr>
      <w:r>
        <w:rPr>
          <w:rFonts w:hint="eastAsia" w:ascii="仿宋" w:hAnsi="仿宋" w:eastAsia="仿宋" w:cs="仿宋"/>
          <w:color w:val="auto"/>
          <w:spacing w:val="6"/>
          <w:kern w:val="2"/>
          <w:sz w:val="28"/>
          <w:szCs w:val="28"/>
          <w:highlight w:val="none"/>
          <w:shd w:val="clear" w:color="auto" w:fill="FFFFFF"/>
        </w:rPr>
        <w:t>本物业项目位于上海市浦东新区张江高科技园区15A-03地块，地址为科苑路1599号，用地范围东至才慧路，南至韩家宅河，西至科苑路，北至杰科路。</w:t>
      </w:r>
    </w:p>
    <w:p w14:paraId="786EEB2A">
      <w:pPr>
        <w:pStyle w:val="7"/>
        <w:widowControl/>
        <w:shd w:val="clear" w:color="auto" w:fill="FFFFFF"/>
        <w:spacing w:beforeAutospacing="0" w:afterAutospacing="0"/>
        <w:ind w:firstLine="513" w:firstLineChars="175"/>
        <w:rPr>
          <w:rFonts w:hint="eastAsia" w:ascii="仿宋" w:hAnsi="仿宋" w:eastAsia="仿宋" w:cs="仿宋"/>
          <w:color w:val="auto"/>
          <w:spacing w:val="6"/>
          <w:kern w:val="2"/>
          <w:sz w:val="28"/>
          <w:szCs w:val="28"/>
          <w:highlight w:val="none"/>
          <w:shd w:val="clear" w:color="auto" w:fill="FFFFFF"/>
        </w:rPr>
      </w:pPr>
      <w:r>
        <w:rPr>
          <w:rFonts w:ascii="仿宋" w:hAnsi="仿宋" w:eastAsia="仿宋" w:cs="仿宋"/>
          <w:b/>
          <w:bCs/>
          <w:color w:val="auto"/>
          <w:spacing w:val="6"/>
          <w:kern w:val="2"/>
          <w:sz w:val="28"/>
          <w:szCs w:val="28"/>
          <w:highlight w:val="none"/>
          <w:shd w:val="clear" w:color="auto" w:fill="FFFFFF"/>
        </w:rPr>
        <w:drawing>
          <wp:inline distT="0" distB="0" distL="0" distR="0">
            <wp:extent cx="4643120" cy="2609215"/>
            <wp:effectExtent l="0" t="0" r="5080" b="635"/>
            <wp:docPr id="1" name="图片 1" descr="D:\Users\Documents\WeChat Files\wxid_4cwy2ahbqhaq21\FileStorage\Temp\466f79b42cdbcdde2bef315095b4c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s\Documents\WeChat Files\wxid_4cwy2ahbqhaq21\FileStorage\Temp\466f79b42cdbcdde2bef315095b4ca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650783" cy="2613756"/>
                    </a:xfrm>
                    <a:prstGeom prst="rect">
                      <a:avLst/>
                    </a:prstGeom>
                    <a:noFill/>
                    <a:ln>
                      <a:noFill/>
                    </a:ln>
                  </pic:spPr>
                </pic:pic>
              </a:graphicData>
            </a:graphic>
          </wp:inline>
        </w:drawing>
      </w:r>
    </w:p>
    <w:p w14:paraId="5240A357">
      <w:pPr>
        <w:pStyle w:val="7"/>
        <w:widowControl/>
        <w:shd w:val="clear" w:color="auto" w:fill="FFFFFF"/>
        <w:spacing w:beforeAutospacing="0" w:afterAutospacing="0"/>
        <w:ind w:firstLine="513" w:firstLineChars="175"/>
        <w:rPr>
          <w:rFonts w:hint="eastAsia" w:ascii="仿宋" w:hAnsi="仿宋" w:eastAsia="仿宋" w:cs="仿宋"/>
          <w:color w:val="auto"/>
          <w:spacing w:val="6"/>
          <w:kern w:val="2"/>
          <w:sz w:val="28"/>
          <w:szCs w:val="28"/>
          <w:highlight w:val="none"/>
          <w:shd w:val="clear" w:color="auto" w:fill="FFFFFF"/>
        </w:rPr>
      </w:pPr>
      <w:r>
        <w:rPr>
          <w:rFonts w:ascii="仿宋" w:hAnsi="仿宋" w:eastAsia="仿宋" w:cs="仿宋"/>
          <w:b/>
          <w:bCs/>
          <w:color w:val="auto"/>
          <w:spacing w:val="6"/>
          <w:kern w:val="2"/>
          <w:sz w:val="28"/>
          <w:szCs w:val="28"/>
          <w:highlight w:val="none"/>
          <w:shd w:val="clear" w:color="auto" w:fill="FFFFFF"/>
        </w:rPr>
        <w:drawing>
          <wp:inline distT="0" distB="0" distL="0" distR="0">
            <wp:extent cx="4656455" cy="3066415"/>
            <wp:effectExtent l="0" t="0" r="0" b="635"/>
            <wp:docPr id="2" name="图片 2" descr="D:\Users\Documents\WeChat Files\wxid_4cwy2ahbqhaq21\FileStorage\Temp\e77b4e41c5cff2ffbe6f565b2f11a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Users\Documents\WeChat Files\wxid_4cwy2ahbqhaq21\FileStorage\Temp\e77b4e41c5cff2ffbe6f565b2f11ae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65692" cy="3072639"/>
                    </a:xfrm>
                    <a:prstGeom prst="rect">
                      <a:avLst/>
                    </a:prstGeom>
                    <a:noFill/>
                    <a:ln>
                      <a:noFill/>
                    </a:ln>
                  </pic:spPr>
                </pic:pic>
              </a:graphicData>
            </a:graphic>
          </wp:inline>
        </w:drawing>
      </w:r>
    </w:p>
    <w:p w14:paraId="14C72ED4">
      <w:pPr>
        <w:widowControl/>
        <w:jc w:val="left"/>
        <w:rPr>
          <w:rFonts w:hint="eastAsia" w:ascii="仿宋" w:hAnsi="仿宋" w:eastAsia="仿宋" w:cs="仿宋"/>
          <w:color w:val="auto"/>
          <w:spacing w:val="6"/>
          <w:sz w:val="28"/>
          <w:szCs w:val="28"/>
          <w:highlight w:val="none"/>
          <w:shd w:val="clear" w:color="auto" w:fill="FFFFFF"/>
        </w:rPr>
      </w:pPr>
      <w:r>
        <w:rPr>
          <w:rFonts w:ascii="仿宋" w:hAnsi="仿宋" w:eastAsia="仿宋" w:cs="仿宋"/>
          <w:color w:val="auto"/>
          <w:spacing w:val="6"/>
          <w:sz w:val="28"/>
          <w:szCs w:val="28"/>
          <w:highlight w:val="none"/>
          <w:shd w:val="clear" w:color="auto" w:fill="FFFFFF"/>
        </w:rPr>
        <w:br w:type="page"/>
      </w:r>
    </w:p>
    <w:p w14:paraId="385C35E9">
      <w:pPr>
        <w:pStyle w:val="7"/>
        <w:widowControl/>
        <w:shd w:val="clear" w:color="auto" w:fill="FFFFFF"/>
        <w:spacing w:beforeAutospacing="0" w:afterAutospacing="0"/>
        <w:ind w:firstLine="511" w:firstLineChars="175"/>
        <w:rPr>
          <w:rFonts w:hint="eastAsia" w:ascii="仿宋" w:hAnsi="仿宋" w:eastAsia="仿宋" w:cs="仿宋"/>
          <w:color w:val="auto"/>
          <w:spacing w:val="6"/>
          <w:kern w:val="2"/>
          <w:sz w:val="28"/>
          <w:szCs w:val="28"/>
          <w:highlight w:val="none"/>
          <w:shd w:val="clear" w:color="auto" w:fill="FFFFFF"/>
        </w:rPr>
      </w:pPr>
      <w:r>
        <w:rPr>
          <w:rFonts w:hint="eastAsia" w:ascii="仿宋" w:hAnsi="仿宋" w:eastAsia="仿宋" w:cs="仿宋"/>
          <w:color w:val="auto"/>
          <w:spacing w:val="6"/>
          <w:kern w:val="2"/>
          <w:sz w:val="28"/>
          <w:szCs w:val="28"/>
          <w:highlight w:val="none"/>
          <w:shd w:val="clear" w:color="auto" w:fill="FFFFFF"/>
        </w:rPr>
        <w:t>1幢地下二层，地上由十六层住院塔楼、九层科研塔楼、六层门诊医技裙房组合而成的集医疗、科研、教学等功能于一体的综合。建筑面积136895平方米，其中地上建筑面积94000平方米、地下建筑面积42895平方米。</w:t>
      </w:r>
    </w:p>
    <w:p w14:paraId="448CFCA4">
      <w:pPr>
        <w:pStyle w:val="7"/>
        <w:widowControl/>
        <w:shd w:val="clear" w:color="auto" w:fill="FFFFFF"/>
        <w:spacing w:beforeAutospacing="0" w:afterAutospacing="0"/>
        <w:ind w:firstLine="513" w:firstLineChars="175"/>
        <w:rPr>
          <w:rFonts w:hint="eastAsia" w:ascii="仿宋" w:hAnsi="仿宋" w:eastAsia="仿宋" w:cs="仿宋"/>
          <w:b/>
          <w:bCs/>
          <w:color w:val="auto"/>
          <w:spacing w:val="6"/>
          <w:kern w:val="2"/>
          <w:sz w:val="28"/>
          <w:szCs w:val="28"/>
          <w:highlight w:val="none"/>
          <w:shd w:val="clear" w:color="auto" w:fill="FFFFFF"/>
        </w:rPr>
      </w:pPr>
      <w:r>
        <w:rPr>
          <w:rFonts w:hint="eastAsia" w:ascii="仿宋" w:hAnsi="仿宋" w:eastAsia="仿宋" w:cs="仿宋"/>
          <w:b/>
          <w:bCs/>
          <w:color w:val="auto"/>
          <w:spacing w:val="6"/>
          <w:kern w:val="2"/>
          <w:sz w:val="28"/>
          <w:szCs w:val="28"/>
          <w:highlight w:val="none"/>
          <w:shd w:val="clear" w:color="auto" w:fill="FFFFFF"/>
        </w:rPr>
        <w:t>(二)公用设施、设备及公共场所(地)情况</w:t>
      </w:r>
    </w:p>
    <w:p w14:paraId="6FC506FA">
      <w:pPr>
        <w:widowControl/>
        <w:ind w:firstLine="511" w:firstLineChars="175"/>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1.院区外围总出入口6个，其中车辆专用出入口4个(全部电动道闸)，人行出入口1个，人车混行出入口1个;</w:t>
      </w:r>
    </w:p>
    <w:p w14:paraId="74A99822">
      <w:pPr>
        <w:widowControl/>
        <w:ind w:firstLine="511" w:firstLineChars="175"/>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2.停车场:地下车库出入口3个,一期交付车位722辆，其中地上机动车位约217辆，地下机动车位约 505辆;</w:t>
      </w:r>
    </w:p>
    <w:p w14:paraId="293E3F2C">
      <w:pPr>
        <w:widowControl/>
        <w:ind w:firstLine="511" w:firstLineChars="175"/>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3.变配电系统(有专项服务单位):35KV变电站1个，10KV变电站3个;</w:t>
      </w:r>
    </w:p>
    <w:p w14:paraId="540A4756">
      <w:pPr>
        <w:widowControl/>
        <w:ind w:firstLine="511" w:firstLineChars="175"/>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4.空调系统：水冷离心式机组4台，水冷螺杆式机组2台，开式横流式冷却塔4台，闭式横流式冷却塔4台；</w:t>
      </w:r>
    </w:p>
    <w:p w14:paraId="295F8B9B">
      <w:pPr>
        <w:widowControl/>
        <w:ind w:firstLine="511" w:firstLineChars="175"/>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5.锅炉系统：真空燃气热水锅炉4台；</w:t>
      </w:r>
    </w:p>
    <w:p w14:paraId="517B7939">
      <w:pPr>
        <w:widowControl/>
        <w:ind w:firstLine="511" w:firstLineChars="175"/>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6.生活给水系统：生活水池1座，低位变频给水泵4台，高位生活水箱供水泵2台；</w:t>
      </w:r>
    </w:p>
    <w:p w14:paraId="08E6573A">
      <w:pPr>
        <w:widowControl/>
        <w:ind w:firstLine="511" w:firstLineChars="175"/>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7.业主方提供物业管理用房。</w:t>
      </w:r>
    </w:p>
    <w:p w14:paraId="07AD058B">
      <w:pPr>
        <w:widowControl/>
        <w:ind w:firstLine="513" w:firstLineChars="175"/>
        <w:jc w:val="left"/>
        <w:rPr>
          <w:rFonts w:hint="eastAsia" w:ascii="仿宋" w:hAnsi="仿宋" w:eastAsia="仿宋" w:cs="仿宋"/>
          <w:b/>
          <w:bCs/>
          <w:color w:val="auto"/>
          <w:spacing w:val="6"/>
          <w:sz w:val="28"/>
          <w:szCs w:val="28"/>
          <w:highlight w:val="none"/>
          <w:shd w:val="clear" w:color="auto" w:fill="FFFFFF"/>
        </w:rPr>
      </w:pPr>
      <w:r>
        <w:rPr>
          <w:rFonts w:hint="eastAsia" w:ascii="仿宋" w:hAnsi="仿宋" w:eastAsia="仿宋" w:cs="仿宋"/>
          <w:b/>
          <w:bCs/>
          <w:color w:val="auto"/>
          <w:spacing w:val="6"/>
          <w:sz w:val="28"/>
          <w:szCs w:val="28"/>
          <w:highlight w:val="none"/>
          <w:shd w:val="clear" w:color="auto" w:fill="FFFFFF"/>
        </w:rPr>
        <w:t>(三)各楼宇概况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373"/>
        <w:gridCol w:w="1888"/>
        <w:gridCol w:w="2131"/>
      </w:tblGrid>
      <w:tr w14:paraId="614C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13BA6530">
            <w:pPr>
              <w:jc w:val="center"/>
              <w:rPr>
                <w:rFonts w:hint="eastAsia" w:ascii="仿宋" w:hAnsi="仿宋" w:eastAsia="仿宋"/>
                <w:color w:val="auto"/>
                <w:sz w:val="28"/>
                <w:highlight w:val="none"/>
              </w:rPr>
            </w:pPr>
            <w:r>
              <w:rPr>
                <w:rFonts w:hint="eastAsia" w:ascii="仿宋" w:hAnsi="仿宋" w:eastAsia="仿宋"/>
                <w:color w:val="auto"/>
                <w:sz w:val="28"/>
                <w:highlight w:val="none"/>
              </w:rPr>
              <w:t>建筑功能</w:t>
            </w:r>
          </w:p>
        </w:tc>
        <w:tc>
          <w:tcPr>
            <w:tcW w:w="2373" w:type="dxa"/>
            <w:vAlign w:val="center"/>
          </w:tcPr>
          <w:p w14:paraId="70C8A50C">
            <w:pPr>
              <w:jc w:val="center"/>
              <w:rPr>
                <w:rFonts w:hint="eastAsia" w:ascii="仿宋" w:hAnsi="仿宋" w:eastAsia="仿宋"/>
                <w:color w:val="auto"/>
                <w:sz w:val="28"/>
                <w:highlight w:val="none"/>
              </w:rPr>
            </w:pPr>
            <w:r>
              <w:rPr>
                <w:rFonts w:hint="eastAsia" w:ascii="仿宋" w:hAnsi="仿宋" w:eastAsia="仿宋"/>
                <w:color w:val="auto"/>
                <w:sz w:val="28"/>
                <w:highlight w:val="none"/>
              </w:rPr>
              <w:t>交付时间</w:t>
            </w:r>
          </w:p>
        </w:tc>
        <w:tc>
          <w:tcPr>
            <w:tcW w:w="1888" w:type="dxa"/>
            <w:vAlign w:val="center"/>
          </w:tcPr>
          <w:p w14:paraId="5C70A98E">
            <w:pPr>
              <w:jc w:val="center"/>
              <w:rPr>
                <w:rFonts w:hint="eastAsia" w:ascii="仿宋" w:hAnsi="仿宋" w:eastAsia="仿宋"/>
                <w:color w:val="auto"/>
                <w:sz w:val="28"/>
                <w:highlight w:val="none"/>
              </w:rPr>
            </w:pPr>
            <w:r>
              <w:rPr>
                <w:rFonts w:hint="eastAsia" w:ascii="仿宋" w:hAnsi="仿宋" w:eastAsia="仿宋"/>
                <w:color w:val="auto"/>
                <w:sz w:val="28"/>
                <w:highlight w:val="none"/>
              </w:rPr>
              <w:t>建筑楼层</w:t>
            </w:r>
          </w:p>
        </w:tc>
        <w:tc>
          <w:tcPr>
            <w:tcW w:w="2131" w:type="dxa"/>
            <w:vAlign w:val="center"/>
          </w:tcPr>
          <w:p w14:paraId="69259183">
            <w:pPr>
              <w:jc w:val="center"/>
              <w:rPr>
                <w:rFonts w:hint="eastAsia" w:ascii="仿宋" w:hAnsi="仿宋" w:eastAsia="仿宋"/>
                <w:color w:val="auto"/>
                <w:sz w:val="28"/>
                <w:highlight w:val="none"/>
              </w:rPr>
            </w:pPr>
            <w:r>
              <w:rPr>
                <w:rFonts w:hint="eastAsia" w:ascii="仿宋" w:hAnsi="仿宋" w:eastAsia="仿宋"/>
                <w:color w:val="auto"/>
                <w:sz w:val="28"/>
                <w:highlight w:val="none"/>
              </w:rPr>
              <w:t>建筑面积</w:t>
            </w:r>
          </w:p>
        </w:tc>
      </w:tr>
      <w:tr w14:paraId="4855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4591C946">
            <w:pPr>
              <w:jc w:val="center"/>
              <w:rPr>
                <w:rFonts w:hint="eastAsia" w:ascii="仿宋" w:hAnsi="仿宋" w:eastAsia="仿宋"/>
                <w:color w:val="auto"/>
                <w:sz w:val="28"/>
                <w:highlight w:val="none"/>
              </w:rPr>
            </w:pPr>
            <w:r>
              <w:rPr>
                <w:rFonts w:hint="eastAsia" w:ascii="仿宋" w:hAnsi="仿宋" w:eastAsia="仿宋"/>
                <w:color w:val="auto"/>
                <w:sz w:val="28"/>
                <w:highlight w:val="none"/>
              </w:rPr>
              <w:t>门诊楼</w:t>
            </w:r>
          </w:p>
        </w:tc>
        <w:tc>
          <w:tcPr>
            <w:tcW w:w="2373" w:type="dxa"/>
            <w:vAlign w:val="center"/>
          </w:tcPr>
          <w:p w14:paraId="04E361BE">
            <w:pPr>
              <w:jc w:val="center"/>
              <w:rPr>
                <w:rFonts w:hint="eastAsia" w:ascii="仿宋" w:hAnsi="仿宋" w:eastAsia="仿宋"/>
                <w:color w:val="auto"/>
                <w:sz w:val="28"/>
                <w:highlight w:val="none"/>
              </w:rPr>
            </w:pPr>
            <w:r>
              <w:rPr>
                <w:rFonts w:hint="eastAsia" w:ascii="仿宋" w:hAnsi="仿宋" w:eastAsia="仿宋"/>
                <w:color w:val="auto"/>
                <w:sz w:val="28"/>
                <w:highlight w:val="none"/>
              </w:rPr>
              <w:t>2026年1月31日</w:t>
            </w:r>
          </w:p>
        </w:tc>
        <w:tc>
          <w:tcPr>
            <w:tcW w:w="1888" w:type="dxa"/>
            <w:vAlign w:val="center"/>
          </w:tcPr>
          <w:p w14:paraId="22296B4D">
            <w:pPr>
              <w:jc w:val="center"/>
              <w:rPr>
                <w:rFonts w:hint="eastAsia" w:ascii="仿宋" w:hAnsi="仿宋" w:eastAsia="仿宋"/>
                <w:color w:val="auto"/>
                <w:sz w:val="28"/>
                <w:highlight w:val="none"/>
              </w:rPr>
            </w:pPr>
            <w:r>
              <w:rPr>
                <w:rFonts w:hint="eastAsia" w:ascii="仿宋" w:hAnsi="仿宋" w:eastAsia="仿宋"/>
                <w:color w:val="auto"/>
                <w:sz w:val="28"/>
                <w:highlight w:val="none"/>
              </w:rPr>
              <w:t>6层</w:t>
            </w:r>
          </w:p>
        </w:tc>
        <w:tc>
          <w:tcPr>
            <w:tcW w:w="2131" w:type="dxa"/>
            <w:vAlign w:val="center"/>
          </w:tcPr>
          <w:p w14:paraId="2A062212">
            <w:pPr>
              <w:jc w:val="center"/>
              <w:rPr>
                <w:rFonts w:hint="eastAsia" w:ascii="仿宋" w:hAnsi="仿宋" w:eastAsia="仿宋"/>
                <w:color w:val="auto"/>
                <w:sz w:val="28"/>
                <w:highlight w:val="none"/>
              </w:rPr>
            </w:pPr>
            <w:r>
              <w:rPr>
                <w:rFonts w:hint="eastAsia" w:ascii="仿宋" w:hAnsi="仿宋" w:eastAsia="仿宋"/>
                <w:color w:val="auto"/>
                <w:sz w:val="28"/>
                <w:highlight w:val="none"/>
              </w:rPr>
              <w:t>约86000㎡</w:t>
            </w:r>
          </w:p>
        </w:tc>
      </w:tr>
      <w:tr w14:paraId="385C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1F0FCFF8">
            <w:pPr>
              <w:jc w:val="center"/>
              <w:rPr>
                <w:rFonts w:hint="eastAsia" w:ascii="仿宋" w:hAnsi="仿宋" w:eastAsia="仿宋"/>
                <w:color w:val="auto"/>
                <w:sz w:val="28"/>
                <w:highlight w:val="none"/>
              </w:rPr>
            </w:pPr>
            <w:r>
              <w:rPr>
                <w:rFonts w:hint="eastAsia" w:ascii="仿宋" w:hAnsi="仿宋" w:eastAsia="仿宋"/>
                <w:color w:val="auto"/>
                <w:sz w:val="28"/>
                <w:highlight w:val="none"/>
              </w:rPr>
              <w:t>住院楼</w:t>
            </w:r>
          </w:p>
        </w:tc>
        <w:tc>
          <w:tcPr>
            <w:tcW w:w="2373" w:type="dxa"/>
            <w:vAlign w:val="center"/>
          </w:tcPr>
          <w:p w14:paraId="3CAA210E">
            <w:pPr>
              <w:jc w:val="center"/>
              <w:rPr>
                <w:rFonts w:hint="eastAsia" w:ascii="仿宋" w:hAnsi="仿宋" w:eastAsia="仿宋"/>
                <w:color w:val="auto"/>
                <w:sz w:val="28"/>
                <w:highlight w:val="none"/>
              </w:rPr>
            </w:pPr>
            <w:r>
              <w:rPr>
                <w:rFonts w:hint="eastAsia" w:ascii="仿宋" w:hAnsi="仿宋" w:eastAsia="仿宋"/>
                <w:color w:val="auto"/>
                <w:sz w:val="28"/>
                <w:highlight w:val="none"/>
              </w:rPr>
              <w:t>2026年1月31日</w:t>
            </w:r>
          </w:p>
        </w:tc>
        <w:tc>
          <w:tcPr>
            <w:tcW w:w="1888" w:type="dxa"/>
            <w:vAlign w:val="center"/>
          </w:tcPr>
          <w:p w14:paraId="65C2E642">
            <w:pPr>
              <w:jc w:val="center"/>
              <w:rPr>
                <w:rFonts w:hint="eastAsia" w:ascii="仿宋" w:hAnsi="仿宋" w:eastAsia="仿宋"/>
                <w:color w:val="auto"/>
                <w:sz w:val="28"/>
                <w:highlight w:val="none"/>
              </w:rPr>
            </w:pPr>
            <w:r>
              <w:rPr>
                <w:rFonts w:hint="eastAsia" w:ascii="仿宋" w:hAnsi="仿宋" w:eastAsia="仿宋"/>
                <w:color w:val="auto"/>
                <w:sz w:val="28"/>
                <w:highlight w:val="none"/>
              </w:rPr>
              <w:t>16层</w:t>
            </w:r>
          </w:p>
        </w:tc>
        <w:tc>
          <w:tcPr>
            <w:tcW w:w="2131" w:type="dxa"/>
            <w:vAlign w:val="center"/>
          </w:tcPr>
          <w:p w14:paraId="01085975">
            <w:pPr>
              <w:jc w:val="center"/>
              <w:rPr>
                <w:rFonts w:hint="eastAsia" w:ascii="仿宋" w:hAnsi="仿宋" w:eastAsia="仿宋"/>
                <w:color w:val="auto"/>
                <w:sz w:val="28"/>
                <w:highlight w:val="none"/>
              </w:rPr>
            </w:pPr>
            <w:r>
              <w:rPr>
                <w:rFonts w:hint="eastAsia" w:ascii="仿宋" w:hAnsi="仿宋" w:eastAsia="仿宋"/>
                <w:color w:val="auto"/>
                <w:sz w:val="28"/>
                <w:highlight w:val="none"/>
              </w:rPr>
              <w:t>约24000㎡</w:t>
            </w:r>
          </w:p>
        </w:tc>
      </w:tr>
      <w:tr w14:paraId="6C33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514FA913">
            <w:pPr>
              <w:jc w:val="center"/>
              <w:rPr>
                <w:rFonts w:hint="eastAsia" w:ascii="仿宋" w:hAnsi="仿宋" w:eastAsia="仿宋"/>
                <w:color w:val="auto"/>
                <w:sz w:val="28"/>
                <w:highlight w:val="none"/>
              </w:rPr>
            </w:pPr>
            <w:r>
              <w:rPr>
                <w:rFonts w:hint="eastAsia" w:ascii="仿宋" w:hAnsi="仿宋" w:eastAsia="仿宋"/>
                <w:color w:val="auto"/>
                <w:sz w:val="28"/>
                <w:highlight w:val="none"/>
              </w:rPr>
              <w:t>科研楼</w:t>
            </w:r>
          </w:p>
        </w:tc>
        <w:tc>
          <w:tcPr>
            <w:tcW w:w="2373" w:type="dxa"/>
            <w:vAlign w:val="center"/>
          </w:tcPr>
          <w:p w14:paraId="78160F0C">
            <w:pPr>
              <w:jc w:val="center"/>
              <w:rPr>
                <w:rFonts w:hint="eastAsia" w:ascii="仿宋" w:hAnsi="仿宋" w:eastAsia="仿宋"/>
                <w:color w:val="auto"/>
                <w:sz w:val="28"/>
                <w:highlight w:val="none"/>
              </w:rPr>
            </w:pPr>
            <w:r>
              <w:rPr>
                <w:rFonts w:hint="eastAsia" w:ascii="仿宋" w:hAnsi="仿宋" w:eastAsia="仿宋"/>
                <w:color w:val="auto"/>
                <w:sz w:val="28"/>
                <w:highlight w:val="none"/>
              </w:rPr>
              <w:t>2026年1月31日</w:t>
            </w:r>
          </w:p>
        </w:tc>
        <w:tc>
          <w:tcPr>
            <w:tcW w:w="1888" w:type="dxa"/>
            <w:vAlign w:val="center"/>
          </w:tcPr>
          <w:p w14:paraId="014C34B4">
            <w:pPr>
              <w:jc w:val="center"/>
              <w:rPr>
                <w:rFonts w:hint="eastAsia" w:ascii="仿宋" w:hAnsi="仿宋" w:eastAsia="仿宋"/>
                <w:color w:val="auto"/>
                <w:sz w:val="28"/>
                <w:highlight w:val="none"/>
              </w:rPr>
            </w:pPr>
            <w:r>
              <w:rPr>
                <w:rFonts w:hint="eastAsia" w:ascii="仿宋" w:hAnsi="仿宋" w:eastAsia="仿宋"/>
                <w:color w:val="auto"/>
                <w:sz w:val="28"/>
                <w:highlight w:val="none"/>
              </w:rPr>
              <w:t>9层</w:t>
            </w:r>
          </w:p>
        </w:tc>
        <w:tc>
          <w:tcPr>
            <w:tcW w:w="2131" w:type="dxa"/>
            <w:vAlign w:val="center"/>
          </w:tcPr>
          <w:p w14:paraId="638E7BE2">
            <w:pPr>
              <w:jc w:val="center"/>
              <w:rPr>
                <w:rFonts w:hint="eastAsia" w:ascii="仿宋" w:hAnsi="仿宋" w:eastAsia="仿宋"/>
                <w:color w:val="auto"/>
                <w:sz w:val="28"/>
                <w:highlight w:val="none"/>
              </w:rPr>
            </w:pPr>
            <w:r>
              <w:rPr>
                <w:rFonts w:hint="eastAsia" w:ascii="仿宋" w:hAnsi="仿宋" w:eastAsia="仿宋"/>
                <w:color w:val="auto"/>
                <w:sz w:val="28"/>
                <w:highlight w:val="none"/>
              </w:rPr>
              <w:t>约22000㎡</w:t>
            </w:r>
          </w:p>
        </w:tc>
      </w:tr>
    </w:tbl>
    <w:p w14:paraId="10566B43">
      <w:pPr>
        <w:pStyle w:val="7"/>
        <w:widowControl/>
        <w:shd w:val="clear" w:color="auto" w:fill="FFFFFF"/>
        <w:spacing w:beforeAutospacing="0" w:afterAutospacing="0"/>
        <w:ind w:firstLine="490" w:firstLineChars="175"/>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备注：门诊医技单元为混凝土框架结构，住院单元为框架-剪力墙结构，科研单元为钢结构框架。</w:t>
      </w:r>
    </w:p>
    <w:p w14:paraId="5E5D9386">
      <w:pPr>
        <w:pStyle w:val="7"/>
        <w:widowControl/>
        <w:shd w:val="clear" w:color="auto" w:fill="FFFFFF"/>
        <w:spacing w:beforeAutospacing="0" w:afterAutospacing="0"/>
        <w:ind w:firstLine="492" w:firstLineChars="175"/>
        <w:rPr>
          <w:rFonts w:hint="eastAsia" w:ascii="仿宋" w:hAnsi="仿宋" w:eastAsia="仿宋" w:cs="仿宋"/>
          <w:b/>
          <w:bCs/>
          <w:color w:val="auto"/>
          <w:kern w:val="2"/>
          <w:sz w:val="28"/>
          <w:szCs w:val="28"/>
          <w:highlight w:val="none"/>
        </w:rPr>
      </w:pPr>
      <w:r>
        <w:rPr>
          <w:rFonts w:hint="eastAsia" w:ascii="仿宋" w:hAnsi="仿宋" w:eastAsia="仿宋" w:cs="仿宋"/>
          <w:b/>
          <w:bCs/>
          <w:color w:val="auto"/>
          <w:kern w:val="2"/>
          <w:sz w:val="28"/>
          <w:szCs w:val="28"/>
          <w:highlight w:val="none"/>
        </w:rPr>
        <w:t>二、委托物业管理要求</w:t>
      </w:r>
    </w:p>
    <w:p w14:paraId="46F15FA2">
      <w:pPr>
        <w:widowControl/>
        <w:ind w:firstLine="513" w:firstLineChars="175"/>
        <w:jc w:val="left"/>
        <w:rPr>
          <w:rFonts w:hint="eastAsia" w:ascii="仿宋" w:hAnsi="仿宋" w:eastAsia="仿宋" w:cs="仿宋"/>
          <w:b/>
          <w:bCs/>
          <w:color w:val="auto"/>
          <w:spacing w:val="6"/>
          <w:sz w:val="28"/>
          <w:szCs w:val="28"/>
          <w:highlight w:val="none"/>
          <w:shd w:val="clear" w:color="auto" w:fill="FFFFFF"/>
        </w:rPr>
      </w:pPr>
      <w:r>
        <w:rPr>
          <w:rFonts w:hint="eastAsia" w:ascii="仿宋" w:hAnsi="仿宋" w:eastAsia="仿宋" w:cs="仿宋"/>
          <w:b/>
          <w:bCs/>
          <w:color w:val="auto"/>
          <w:spacing w:val="6"/>
          <w:sz w:val="28"/>
          <w:szCs w:val="28"/>
          <w:highlight w:val="none"/>
          <w:shd w:val="clear" w:color="auto" w:fill="FFFFFF"/>
        </w:rPr>
        <w:t>(一)总体要求:</w:t>
      </w:r>
    </w:p>
    <w:p w14:paraId="34EEAF88">
      <w:pPr>
        <w:pStyle w:val="7"/>
        <w:widowControl/>
        <w:shd w:val="clear" w:color="auto" w:fill="FFFFFF"/>
        <w:spacing w:beforeAutospacing="0" w:afterAutospacing="0"/>
        <w:ind w:firstLine="511" w:firstLineChars="175"/>
        <w:rPr>
          <w:rFonts w:hint="eastAsia" w:ascii="仿宋" w:hAnsi="仿宋" w:eastAsia="仿宋" w:cs="仿宋"/>
          <w:color w:val="auto"/>
          <w:spacing w:val="6"/>
          <w:kern w:val="2"/>
          <w:sz w:val="28"/>
          <w:szCs w:val="28"/>
          <w:highlight w:val="none"/>
          <w:shd w:val="clear" w:color="auto" w:fill="FFFFFF"/>
        </w:rPr>
      </w:pPr>
      <w:r>
        <w:rPr>
          <w:rFonts w:ascii="仿宋" w:hAnsi="仿宋" w:eastAsia="仿宋" w:cs="仿宋"/>
          <w:color w:val="auto"/>
          <w:spacing w:val="6"/>
          <w:kern w:val="2"/>
          <w:sz w:val="28"/>
          <w:szCs w:val="28"/>
          <w:highlight w:val="none"/>
          <w:shd w:val="clear" w:color="auto" w:fill="FFFFFF"/>
        </w:rPr>
        <w:t>本项目旨在通过专业化、系统化的前期物业管理服务，全面保障</w:t>
      </w:r>
      <w:r>
        <w:rPr>
          <w:rFonts w:hint="eastAsia" w:ascii="仿宋" w:hAnsi="仿宋" w:eastAsia="仿宋" w:cs="仿宋"/>
          <w:color w:val="auto"/>
          <w:spacing w:val="6"/>
          <w:kern w:val="2"/>
          <w:sz w:val="28"/>
          <w:szCs w:val="28"/>
          <w:highlight w:val="none"/>
          <w:shd w:val="clear" w:color="auto" w:fill="FFFFFF"/>
        </w:rPr>
        <w:t>临床研究中心</w:t>
      </w:r>
      <w:r>
        <w:rPr>
          <w:rFonts w:ascii="仿宋" w:hAnsi="仿宋" w:eastAsia="仿宋" w:cs="仿宋"/>
          <w:color w:val="auto"/>
          <w:spacing w:val="6"/>
          <w:kern w:val="2"/>
          <w:sz w:val="28"/>
          <w:szCs w:val="28"/>
          <w:highlight w:val="none"/>
          <w:shd w:val="clear" w:color="auto" w:fill="FFFFFF"/>
        </w:rPr>
        <w:t>建设项目的交付与</w:t>
      </w:r>
      <w:r>
        <w:rPr>
          <w:rFonts w:hint="eastAsia" w:ascii="仿宋" w:hAnsi="仿宋" w:eastAsia="仿宋" w:cs="仿宋"/>
          <w:color w:val="auto"/>
          <w:spacing w:val="6"/>
          <w:kern w:val="2"/>
          <w:sz w:val="28"/>
          <w:szCs w:val="28"/>
          <w:highlight w:val="none"/>
          <w:shd w:val="clear" w:color="auto" w:fill="FFFFFF"/>
        </w:rPr>
        <w:t>运行阶段的</w:t>
      </w:r>
      <w:r>
        <w:rPr>
          <w:rFonts w:ascii="仿宋" w:hAnsi="仿宋" w:eastAsia="仿宋" w:cs="仿宋"/>
          <w:color w:val="auto"/>
          <w:spacing w:val="6"/>
          <w:kern w:val="2"/>
          <w:sz w:val="28"/>
          <w:szCs w:val="28"/>
          <w:highlight w:val="none"/>
          <w:shd w:val="clear" w:color="auto" w:fill="FFFFFF"/>
        </w:rPr>
        <w:t>平稳过渡。</w:t>
      </w:r>
      <w:r>
        <w:rPr>
          <w:rFonts w:hint="eastAsia" w:ascii="仿宋" w:hAnsi="仿宋" w:eastAsia="仿宋" w:cs="仿宋"/>
          <w:color w:val="auto"/>
          <w:spacing w:val="6"/>
          <w:kern w:val="2"/>
          <w:sz w:val="28"/>
          <w:szCs w:val="28"/>
          <w:highlight w:val="none"/>
          <w:shd w:val="clear" w:color="auto" w:fill="FFFFFF"/>
        </w:rPr>
        <w:t>要求</w:t>
      </w:r>
      <w:r>
        <w:rPr>
          <w:rFonts w:ascii="仿宋" w:hAnsi="仿宋" w:eastAsia="仿宋" w:cs="仿宋"/>
          <w:color w:val="auto"/>
          <w:spacing w:val="6"/>
          <w:kern w:val="2"/>
          <w:sz w:val="28"/>
          <w:szCs w:val="28"/>
          <w:highlight w:val="none"/>
          <w:shd w:val="clear" w:color="auto" w:fill="FFFFFF"/>
        </w:rPr>
        <w:t>通过开展前期勘察、承接查验、安保防控、环境整治、电力保障及设备调试等关键工作，确保建筑空间布局、机电设备系统及附属设施的功能完整性与运行可靠性；协同建设单位、施工单位落实整改优化，把控工程质量与安全；建立资产防护与环境管理机制，为</w:t>
      </w:r>
      <w:r>
        <w:rPr>
          <w:rFonts w:hint="eastAsia" w:ascii="仿宋" w:hAnsi="仿宋" w:eastAsia="仿宋" w:cs="仿宋"/>
          <w:color w:val="auto"/>
          <w:spacing w:val="6"/>
          <w:kern w:val="2"/>
          <w:sz w:val="28"/>
          <w:szCs w:val="28"/>
          <w:highlight w:val="none"/>
          <w:shd w:val="clear" w:color="auto" w:fill="FFFFFF"/>
        </w:rPr>
        <w:t>临床研究中心的医疗和科研</w:t>
      </w:r>
      <w:r>
        <w:rPr>
          <w:rFonts w:ascii="仿宋" w:hAnsi="仿宋" w:eastAsia="仿宋" w:cs="仿宋"/>
          <w:color w:val="auto"/>
          <w:spacing w:val="6"/>
          <w:kern w:val="2"/>
          <w:sz w:val="28"/>
          <w:szCs w:val="28"/>
          <w:highlight w:val="none"/>
          <w:shd w:val="clear" w:color="auto" w:fill="FFFFFF"/>
        </w:rPr>
        <w:t>正式运营营造安全、整洁、有序的基础环境</w:t>
      </w:r>
      <w:r>
        <w:rPr>
          <w:rFonts w:hint="eastAsia" w:ascii="仿宋" w:hAnsi="仿宋" w:eastAsia="仿宋" w:cs="仿宋"/>
          <w:color w:val="auto"/>
          <w:spacing w:val="6"/>
          <w:kern w:val="2"/>
          <w:sz w:val="28"/>
          <w:szCs w:val="28"/>
          <w:highlight w:val="none"/>
          <w:shd w:val="clear" w:color="auto" w:fill="FFFFFF"/>
        </w:rPr>
        <w:t>和坚实保障；</w:t>
      </w:r>
      <w:r>
        <w:rPr>
          <w:rFonts w:ascii="仿宋" w:hAnsi="仿宋" w:eastAsia="仿宋" w:cs="仿宋"/>
          <w:color w:val="auto"/>
          <w:spacing w:val="6"/>
          <w:kern w:val="2"/>
          <w:sz w:val="28"/>
          <w:szCs w:val="28"/>
          <w:highlight w:val="none"/>
          <w:shd w:val="clear" w:color="auto" w:fill="FFFFFF"/>
        </w:rPr>
        <w:t>最终实现</w:t>
      </w:r>
      <w:r>
        <w:rPr>
          <w:rFonts w:hint="eastAsia" w:ascii="仿宋" w:hAnsi="仿宋" w:eastAsia="仿宋" w:cs="仿宋"/>
          <w:color w:val="auto"/>
          <w:spacing w:val="6"/>
          <w:kern w:val="2"/>
          <w:sz w:val="28"/>
          <w:szCs w:val="28"/>
          <w:highlight w:val="none"/>
          <w:shd w:val="clear" w:color="auto" w:fill="FFFFFF"/>
        </w:rPr>
        <w:t>物业前期服务</w:t>
      </w:r>
      <w:r>
        <w:rPr>
          <w:rFonts w:ascii="仿宋" w:hAnsi="仿宋" w:eastAsia="仿宋" w:cs="仿宋"/>
          <w:color w:val="auto"/>
          <w:spacing w:val="6"/>
          <w:kern w:val="2"/>
          <w:sz w:val="28"/>
          <w:szCs w:val="28"/>
          <w:highlight w:val="none"/>
          <w:shd w:val="clear" w:color="auto" w:fill="FFFFFF"/>
        </w:rPr>
        <w:t>与</w:t>
      </w:r>
      <w:r>
        <w:rPr>
          <w:rFonts w:hint="eastAsia" w:ascii="仿宋" w:hAnsi="仿宋" w:eastAsia="仿宋" w:cs="仿宋"/>
          <w:color w:val="auto"/>
          <w:spacing w:val="6"/>
          <w:kern w:val="2"/>
          <w:sz w:val="28"/>
          <w:szCs w:val="28"/>
          <w:highlight w:val="none"/>
          <w:shd w:val="clear" w:color="auto" w:fill="FFFFFF"/>
        </w:rPr>
        <w:t>运行</w:t>
      </w:r>
      <w:r>
        <w:rPr>
          <w:rFonts w:ascii="仿宋" w:hAnsi="仿宋" w:eastAsia="仿宋" w:cs="仿宋"/>
          <w:color w:val="auto"/>
          <w:spacing w:val="6"/>
          <w:kern w:val="2"/>
          <w:sz w:val="28"/>
          <w:szCs w:val="28"/>
          <w:highlight w:val="none"/>
          <w:shd w:val="clear" w:color="auto" w:fill="FFFFFF"/>
        </w:rPr>
        <w:t>服务的无缝衔接。</w:t>
      </w:r>
    </w:p>
    <w:p w14:paraId="43D0BA8A">
      <w:pPr>
        <w:widowControl/>
        <w:ind w:firstLine="513" w:firstLineChars="175"/>
        <w:jc w:val="left"/>
        <w:rPr>
          <w:rFonts w:hint="eastAsia" w:ascii="仿宋" w:hAnsi="仿宋" w:eastAsia="仿宋" w:cs="仿宋"/>
          <w:b/>
          <w:bCs/>
          <w:color w:val="auto"/>
          <w:spacing w:val="6"/>
          <w:sz w:val="28"/>
          <w:szCs w:val="28"/>
          <w:highlight w:val="none"/>
          <w:shd w:val="clear" w:color="auto" w:fill="FFFFFF"/>
        </w:rPr>
      </w:pPr>
      <w:r>
        <w:rPr>
          <w:rFonts w:hint="eastAsia" w:ascii="仿宋" w:hAnsi="仿宋" w:eastAsia="仿宋" w:cs="仿宋"/>
          <w:b/>
          <w:bCs/>
          <w:color w:val="auto"/>
          <w:spacing w:val="6"/>
          <w:sz w:val="28"/>
          <w:szCs w:val="28"/>
          <w:highlight w:val="none"/>
          <w:shd w:val="clear" w:color="auto" w:fill="FFFFFF"/>
        </w:rPr>
        <w:t>(二)服务需求:</w:t>
      </w:r>
    </w:p>
    <w:p w14:paraId="0E1AED5D">
      <w:pPr>
        <w:widowControl/>
        <w:ind w:firstLine="511" w:firstLineChars="175"/>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本项目服务期限</w:t>
      </w:r>
      <w:r>
        <w:rPr>
          <w:rFonts w:hint="eastAsia" w:ascii="仿宋" w:hAnsi="仿宋" w:eastAsia="仿宋" w:cs="仿宋"/>
          <w:color w:val="auto"/>
          <w:spacing w:val="6"/>
          <w:sz w:val="28"/>
          <w:szCs w:val="28"/>
          <w:highlight w:val="none"/>
          <w:shd w:val="clear" w:color="auto" w:fill="FFFFFF"/>
          <w:lang w:eastAsia="zh-CN"/>
        </w:rPr>
        <w:t>：</w:t>
      </w:r>
      <w:r>
        <w:rPr>
          <w:rFonts w:hint="eastAsia" w:ascii="仿宋" w:hAnsi="仿宋" w:eastAsia="仿宋" w:cs="仿宋"/>
          <w:color w:val="auto"/>
          <w:spacing w:val="6"/>
          <w:sz w:val="28"/>
          <w:szCs w:val="28"/>
          <w:highlight w:val="none"/>
          <w:shd w:val="clear" w:color="auto" w:fill="FFFFFF"/>
        </w:rPr>
        <w:t>自合同签订之日起五个月。</w:t>
      </w:r>
    </w:p>
    <w:p w14:paraId="39911A92">
      <w:pPr>
        <w:widowControl/>
        <w:ind w:firstLine="511" w:firstLineChars="175"/>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各类服务工作时间遇法定假日需调休，方案须经招标单位确认。</w:t>
      </w:r>
    </w:p>
    <w:tbl>
      <w:tblPr>
        <w:tblStyle w:val="8"/>
        <w:tblW w:w="7770" w:type="dxa"/>
        <w:jc w:val="center"/>
        <w:tblLayout w:type="autofit"/>
        <w:tblCellMar>
          <w:top w:w="0" w:type="dxa"/>
          <w:left w:w="108" w:type="dxa"/>
          <w:bottom w:w="0" w:type="dxa"/>
          <w:right w:w="108" w:type="dxa"/>
        </w:tblCellMar>
      </w:tblPr>
      <w:tblGrid>
        <w:gridCol w:w="1417"/>
        <w:gridCol w:w="1204"/>
        <w:gridCol w:w="1627"/>
        <w:gridCol w:w="3522"/>
      </w:tblGrid>
      <w:tr w14:paraId="49E46CEF">
        <w:tblPrEx>
          <w:tblCellMar>
            <w:top w:w="0" w:type="dxa"/>
            <w:left w:w="108" w:type="dxa"/>
            <w:bottom w:w="0" w:type="dxa"/>
            <w:right w:w="108" w:type="dxa"/>
          </w:tblCellMar>
        </w:tblPrEx>
        <w:trPr>
          <w:trHeight w:val="519" w:hRule="atLeast"/>
          <w:jc w:val="center"/>
        </w:trPr>
        <w:tc>
          <w:tcPr>
            <w:tcW w:w="2621" w:type="dxa"/>
            <w:gridSpan w:val="2"/>
            <w:tcBorders>
              <w:top w:val="single" w:color="000000" w:sz="4" w:space="0"/>
              <w:left w:val="single" w:color="000000" w:sz="4" w:space="0"/>
              <w:bottom w:val="single" w:color="000000" w:sz="4" w:space="0"/>
              <w:right w:val="single" w:color="000000" w:sz="4" w:space="0"/>
            </w:tcBorders>
            <w:vAlign w:val="center"/>
          </w:tcPr>
          <w:p w14:paraId="0EB53619">
            <w:pPr>
              <w:widowControl/>
              <w:jc w:val="center"/>
              <w:textAlignment w:val="center"/>
              <w:rPr>
                <w:rFonts w:hint="eastAsia" w:ascii="仿宋" w:hAnsi="仿宋" w:eastAsia="仿宋" w:cs="仿宋"/>
                <w:b/>
                <w:bCs/>
                <w:color w:val="auto"/>
                <w:sz w:val="28"/>
                <w:szCs w:val="28"/>
                <w:highlight w:val="none"/>
              </w:rPr>
            </w:pPr>
            <w:r>
              <w:rPr>
                <w:rFonts w:hint="eastAsia" w:ascii="仿宋" w:hAnsi="仿宋" w:eastAsia="仿宋" w:cs="仿宋"/>
                <w:b/>
                <w:bCs/>
                <w:color w:val="auto"/>
                <w:kern w:val="0"/>
                <w:sz w:val="28"/>
                <w:szCs w:val="28"/>
                <w:highlight w:val="none"/>
                <w:lang w:bidi="ar"/>
              </w:rPr>
              <w:t>服务项目</w:t>
            </w:r>
          </w:p>
        </w:tc>
        <w:tc>
          <w:tcPr>
            <w:tcW w:w="1627" w:type="dxa"/>
            <w:tcBorders>
              <w:top w:val="single" w:color="000000" w:sz="4" w:space="0"/>
              <w:left w:val="single" w:color="000000" w:sz="4" w:space="0"/>
              <w:bottom w:val="single" w:color="000000" w:sz="4" w:space="0"/>
              <w:right w:val="single" w:color="000000" w:sz="4" w:space="0"/>
            </w:tcBorders>
            <w:vAlign w:val="center"/>
          </w:tcPr>
          <w:p w14:paraId="58E91580">
            <w:pPr>
              <w:widowControl/>
              <w:jc w:val="center"/>
              <w:textAlignment w:val="center"/>
              <w:rPr>
                <w:rFonts w:hint="eastAsia" w:ascii="仿宋" w:hAnsi="仿宋" w:eastAsia="仿宋" w:cs="仿宋"/>
                <w:b/>
                <w:bCs/>
                <w:color w:val="auto"/>
                <w:sz w:val="28"/>
                <w:szCs w:val="28"/>
                <w:highlight w:val="none"/>
              </w:rPr>
            </w:pPr>
            <w:r>
              <w:rPr>
                <w:rFonts w:hint="eastAsia" w:ascii="仿宋" w:hAnsi="仿宋" w:eastAsia="仿宋" w:cs="仿宋"/>
                <w:b/>
                <w:bCs/>
                <w:color w:val="auto"/>
                <w:kern w:val="0"/>
                <w:sz w:val="28"/>
                <w:szCs w:val="28"/>
                <w:highlight w:val="none"/>
                <w:lang w:bidi="ar"/>
              </w:rPr>
              <w:t>工作时间</w:t>
            </w:r>
          </w:p>
        </w:tc>
        <w:tc>
          <w:tcPr>
            <w:tcW w:w="3522" w:type="dxa"/>
            <w:tcBorders>
              <w:top w:val="single" w:color="000000" w:sz="4" w:space="0"/>
              <w:left w:val="single" w:color="000000" w:sz="4" w:space="0"/>
              <w:bottom w:val="single" w:color="000000" w:sz="4" w:space="0"/>
              <w:right w:val="single" w:color="000000" w:sz="4" w:space="0"/>
            </w:tcBorders>
            <w:vAlign w:val="center"/>
          </w:tcPr>
          <w:p w14:paraId="00EAC717">
            <w:pPr>
              <w:widowControl/>
              <w:jc w:val="center"/>
              <w:textAlignment w:val="center"/>
              <w:rPr>
                <w:rFonts w:hint="eastAsia" w:ascii="仿宋" w:hAnsi="仿宋" w:eastAsia="仿宋" w:cs="仿宋"/>
                <w:b/>
                <w:bCs/>
                <w:color w:val="auto"/>
                <w:sz w:val="28"/>
                <w:szCs w:val="28"/>
                <w:highlight w:val="none"/>
              </w:rPr>
            </w:pPr>
            <w:r>
              <w:rPr>
                <w:rFonts w:hint="eastAsia" w:ascii="仿宋" w:hAnsi="仿宋" w:eastAsia="仿宋" w:cs="仿宋"/>
                <w:b/>
                <w:bCs/>
                <w:color w:val="auto"/>
                <w:kern w:val="0"/>
                <w:sz w:val="28"/>
                <w:szCs w:val="28"/>
                <w:highlight w:val="none"/>
                <w:lang w:bidi="ar"/>
              </w:rPr>
              <w:t>服务说明</w:t>
            </w:r>
          </w:p>
        </w:tc>
      </w:tr>
      <w:tr w14:paraId="3DA8365D">
        <w:tblPrEx>
          <w:tblCellMar>
            <w:top w:w="0" w:type="dxa"/>
            <w:left w:w="108" w:type="dxa"/>
            <w:bottom w:w="0" w:type="dxa"/>
            <w:right w:w="108" w:type="dxa"/>
          </w:tblCellMar>
        </w:tblPrEx>
        <w:trPr>
          <w:trHeight w:val="519" w:hRule="atLeast"/>
          <w:jc w:val="center"/>
        </w:trPr>
        <w:tc>
          <w:tcPr>
            <w:tcW w:w="1417" w:type="dxa"/>
            <w:vMerge w:val="restart"/>
            <w:tcBorders>
              <w:top w:val="single" w:color="000000" w:sz="4" w:space="0"/>
              <w:left w:val="single" w:color="000000" w:sz="4" w:space="0"/>
              <w:right w:val="single" w:color="000000" w:sz="4" w:space="0"/>
            </w:tcBorders>
            <w:vAlign w:val="center"/>
          </w:tcPr>
          <w:p w14:paraId="5B33F3C7">
            <w:pPr>
              <w:widowControl/>
              <w:jc w:val="center"/>
              <w:textAlignment w:val="center"/>
              <w:rPr>
                <w:rFonts w:hint="eastAsia"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勤卫服务</w:t>
            </w:r>
          </w:p>
        </w:tc>
        <w:tc>
          <w:tcPr>
            <w:tcW w:w="1204" w:type="dxa"/>
            <w:tcBorders>
              <w:top w:val="single" w:color="000000" w:sz="4" w:space="0"/>
              <w:left w:val="single" w:color="000000" w:sz="4" w:space="0"/>
              <w:bottom w:val="single" w:color="000000" w:sz="4" w:space="0"/>
              <w:right w:val="single" w:color="000000" w:sz="4" w:space="0"/>
            </w:tcBorders>
            <w:vAlign w:val="center"/>
          </w:tcPr>
          <w:p w14:paraId="731BEE42">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保洁服务</w:t>
            </w:r>
          </w:p>
        </w:tc>
        <w:tc>
          <w:tcPr>
            <w:tcW w:w="1627" w:type="dxa"/>
            <w:tcBorders>
              <w:top w:val="single" w:color="000000" w:sz="4" w:space="0"/>
              <w:left w:val="single" w:color="000000" w:sz="4" w:space="0"/>
              <w:bottom w:val="single" w:color="000000" w:sz="4" w:space="0"/>
              <w:right w:val="single" w:color="000000" w:sz="4" w:space="0"/>
            </w:tcBorders>
            <w:vAlign w:val="center"/>
          </w:tcPr>
          <w:p w14:paraId="1190596F">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周一至周五</w:t>
            </w:r>
          </w:p>
          <w:p w14:paraId="69C3A9C0">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8:00-17:00</w:t>
            </w:r>
          </w:p>
        </w:tc>
        <w:tc>
          <w:tcPr>
            <w:tcW w:w="3522" w:type="dxa"/>
            <w:tcBorders>
              <w:top w:val="single" w:color="000000" w:sz="4" w:space="0"/>
              <w:left w:val="single" w:color="000000" w:sz="4" w:space="0"/>
              <w:bottom w:val="single" w:color="000000" w:sz="4" w:space="0"/>
              <w:right w:val="single" w:color="000000" w:sz="4" w:space="0"/>
            </w:tcBorders>
            <w:vAlign w:val="center"/>
          </w:tcPr>
          <w:p w14:paraId="12540DF5">
            <w:pPr>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针对已放置开业物资区域开展粗保洁作业，维护现场环境卫生、监管装修垃圾堆放与清运，</w:t>
            </w:r>
            <w:r>
              <w:rPr>
                <w:rFonts w:hint="eastAsia" w:ascii="仿宋" w:hAnsi="仿宋" w:eastAsia="仿宋" w:cs="仿宋"/>
                <w:color w:val="auto"/>
                <w:sz w:val="28"/>
                <w:szCs w:val="28"/>
                <w:highlight w:val="none"/>
              </w:rPr>
              <w:t>控制灰尘污染；</w:t>
            </w:r>
            <w:r>
              <w:rPr>
                <w:rFonts w:hint="eastAsia" w:ascii="仿宋" w:hAnsi="仿宋" w:eastAsia="仿宋" w:cs="仿宋"/>
                <w:b/>
                <w:bCs/>
                <w:color w:val="auto"/>
                <w:sz w:val="28"/>
                <w:szCs w:val="28"/>
                <w:highlight w:val="none"/>
              </w:rPr>
              <w:t>以及根据业主需求，渐进开展院内开荒保洁工作。</w:t>
            </w:r>
          </w:p>
        </w:tc>
      </w:tr>
      <w:tr w14:paraId="6CB2E661">
        <w:tblPrEx>
          <w:tblCellMar>
            <w:top w:w="0" w:type="dxa"/>
            <w:left w:w="108" w:type="dxa"/>
            <w:bottom w:w="0" w:type="dxa"/>
            <w:right w:w="108" w:type="dxa"/>
          </w:tblCellMar>
        </w:tblPrEx>
        <w:trPr>
          <w:trHeight w:val="519" w:hRule="atLeast"/>
          <w:jc w:val="center"/>
        </w:trPr>
        <w:tc>
          <w:tcPr>
            <w:tcW w:w="1417" w:type="dxa"/>
            <w:vMerge w:val="continue"/>
            <w:tcBorders>
              <w:top w:val="single" w:color="000000" w:sz="4" w:space="0"/>
              <w:left w:val="single" w:color="000000" w:sz="4" w:space="0"/>
              <w:bottom w:val="single" w:color="auto" w:sz="4" w:space="0"/>
              <w:right w:val="single" w:color="000000" w:sz="4" w:space="0"/>
            </w:tcBorders>
            <w:vAlign w:val="center"/>
          </w:tcPr>
          <w:p w14:paraId="793A56C3">
            <w:pPr>
              <w:widowControl/>
              <w:jc w:val="center"/>
              <w:textAlignment w:val="center"/>
              <w:rPr>
                <w:rFonts w:hint="eastAsia" w:ascii="仿宋" w:hAnsi="仿宋" w:eastAsia="仿宋" w:cs="仿宋"/>
                <w:color w:val="auto"/>
                <w:kern w:val="0"/>
                <w:sz w:val="28"/>
                <w:szCs w:val="28"/>
                <w:highlight w:val="none"/>
                <w:lang w:bidi="ar"/>
              </w:rPr>
            </w:pPr>
          </w:p>
        </w:tc>
        <w:tc>
          <w:tcPr>
            <w:tcW w:w="1204" w:type="dxa"/>
            <w:tcBorders>
              <w:top w:val="single" w:color="000000" w:sz="4" w:space="0"/>
              <w:left w:val="single" w:color="000000" w:sz="4" w:space="0"/>
              <w:bottom w:val="single" w:color="auto" w:sz="4" w:space="0"/>
              <w:right w:val="single" w:color="000000" w:sz="4" w:space="0"/>
            </w:tcBorders>
            <w:vAlign w:val="center"/>
          </w:tcPr>
          <w:p w14:paraId="4E1F73E5">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行政服务</w:t>
            </w:r>
          </w:p>
        </w:tc>
        <w:tc>
          <w:tcPr>
            <w:tcW w:w="1627" w:type="dxa"/>
            <w:tcBorders>
              <w:top w:val="single" w:color="000000" w:sz="4" w:space="0"/>
              <w:left w:val="single" w:color="000000" w:sz="4" w:space="0"/>
              <w:bottom w:val="single" w:color="auto" w:sz="4" w:space="0"/>
              <w:right w:val="single" w:color="000000" w:sz="4" w:space="0"/>
            </w:tcBorders>
            <w:vAlign w:val="center"/>
          </w:tcPr>
          <w:p w14:paraId="27ADF82D">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周一至周五</w:t>
            </w:r>
          </w:p>
          <w:p w14:paraId="5816A3F9">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8:00-17:00</w:t>
            </w:r>
          </w:p>
        </w:tc>
        <w:tc>
          <w:tcPr>
            <w:tcW w:w="3522" w:type="dxa"/>
            <w:tcBorders>
              <w:top w:val="single" w:color="000000" w:sz="4" w:space="0"/>
              <w:left w:val="single" w:color="000000" w:sz="4" w:space="0"/>
              <w:bottom w:val="single" w:color="auto" w:sz="4" w:space="0"/>
              <w:right w:val="single" w:color="000000" w:sz="4" w:space="0"/>
            </w:tcBorders>
            <w:vAlign w:val="center"/>
          </w:tcPr>
          <w:p w14:paraId="779D6830">
            <w:pPr>
              <w:widowControl/>
              <w:jc w:val="left"/>
              <w:textAlignment w:val="center"/>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kern w:val="0"/>
                <w:sz w:val="28"/>
                <w:szCs w:val="28"/>
                <w:highlight w:val="none"/>
                <w:lang w:bidi="ar"/>
              </w:rPr>
              <w:t>负责前期查验的资料整理，设立专属运行档案空间，构建档案管理体系并开展实施；按业主需求支持会务接待工作，做好会前、会中、会后服务。</w:t>
            </w:r>
          </w:p>
        </w:tc>
      </w:tr>
      <w:tr w14:paraId="1DEF1EC0">
        <w:tblPrEx>
          <w:tblCellMar>
            <w:top w:w="0" w:type="dxa"/>
            <w:left w:w="108" w:type="dxa"/>
            <w:bottom w:w="0" w:type="dxa"/>
            <w:right w:w="108" w:type="dxa"/>
          </w:tblCellMar>
        </w:tblPrEx>
        <w:trPr>
          <w:trHeight w:val="519" w:hRule="atLeast"/>
          <w:jc w:val="center"/>
        </w:trPr>
        <w:tc>
          <w:tcPr>
            <w:tcW w:w="1417" w:type="dxa"/>
            <w:vMerge w:val="restart"/>
            <w:tcBorders>
              <w:top w:val="single" w:color="auto" w:sz="4" w:space="0"/>
              <w:left w:val="single" w:color="auto" w:sz="4" w:space="0"/>
              <w:right w:val="single" w:color="auto" w:sz="4" w:space="0"/>
            </w:tcBorders>
            <w:vAlign w:val="center"/>
          </w:tcPr>
          <w:p w14:paraId="263D1BA3">
            <w:pPr>
              <w:widowControl/>
              <w:jc w:val="center"/>
              <w:textAlignment w:val="center"/>
              <w:rPr>
                <w:rFonts w:hint="eastAsia"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工程服务</w:t>
            </w:r>
          </w:p>
        </w:tc>
        <w:tc>
          <w:tcPr>
            <w:tcW w:w="1204" w:type="dxa"/>
            <w:tcBorders>
              <w:top w:val="single" w:color="auto" w:sz="4" w:space="0"/>
              <w:left w:val="single" w:color="auto" w:sz="4" w:space="0"/>
              <w:bottom w:val="single" w:color="auto" w:sz="4" w:space="0"/>
              <w:right w:val="single" w:color="auto" w:sz="4" w:space="0"/>
            </w:tcBorders>
            <w:vAlign w:val="center"/>
          </w:tcPr>
          <w:p w14:paraId="115A148F">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前期勘察</w:t>
            </w:r>
          </w:p>
        </w:tc>
        <w:tc>
          <w:tcPr>
            <w:tcW w:w="1627" w:type="dxa"/>
            <w:tcBorders>
              <w:top w:val="single" w:color="auto" w:sz="4" w:space="0"/>
              <w:left w:val="single" w:color="auto" w:sz="4" w:space="0"/>
              <w:bottom w:val="single" w:color="auto" w:sz="4" w:space="0"/>
              <w:right w:val="single" w:color="auto" w:sz="4" w:space="0"/>
            </w:tcBorders>
            <w:vAlign w:val="center"/>
          </w:tcPr>
          <w:p w14:paraId="47D36B58">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周一至周五</w:t>
            </w:r>
          </w:p>
          <w:p w14:paraId="14C9EE0E">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8:00-17:00</w:t>
            </w:r>
          </w:p>
        </w:tc>
        <w:tc>
          <w:tcPr>
            <w:tcW w:w="3522" w:type="dxa"/>
            <w:tcBorders>
              <w:top w:val="single" w:color="auto" w:sz="4" w:space="0"/>
              <w:left w:val="single" w:color="auto" w:sz="4" w:space="0"/>
              <w:bottom w:val="single" w:color="auto" w:sz="4" w:space="0"/>
              <w:right w:val="single" w:color="auto" w:sz="4" w:space="0"/>
            </w:tcBorders>
            <w:vAlign w:val="center"/>
          </w:tcPr>
          <w:p w14:paraId="21BE55D2">
            <w:pPr>
              <w:widowControl/>
              <w:jc w:val="left"/>
              <w:textAlignment w:val="center"/>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shd w:val="clear" w:color="auto" w:fill="FFFFFF"/>
              </w:rPr>
              <w:t>通过实地踏勘提前掌握现场实况，全面校验各系统功能达成度，确保满足临床研究中心运行的整体要求。勘察范围涵盖建筑空间布局、机电设备系统及建筑本体附属设施等。</w:t>
            </w:r>
          </w:p>
        </w:tc>
      </w:tr>
      <w:tr w14:paraId="0B1EFCAA">
        <w:tblPrEx>
          <w:tblCellMar>
            <w:top w:w="0" w:type="dxa"/>
            <w:left w:w="108" w:type="dxa"/>
            <w:bottom w:w="0" w:type="dxa"/>
            <w:right w:w="108" w:type="dxa"/>
          </w:tblCellMar>
        </w:tblPrEx>
        <w:trPr>
          <w:trHeight w:val="519" w:hRule="atLeast"/>
          <w:jc w:val="center"/>
        </w:trPr>
        <w:tc>
          <w:tcPr>
            <w:tcW w:w="1417" w:type="dxa"/>
            <w:vMerge w:val="continue"/>
            <w:tcBorders>
              <w:left w:val="single" w:color="auto" w:sz="4" w:space="0"/>
              <w:right w:val="single" w:color="auto" w:sz="4" w:space="0"/>
            </w:tcBorders>
            <w:vAlign w:val="center"/>
          </w:tcPr>
          <w:p w14:paraId="797B6DD5">
            <w:pPr>
              <w:widowControl/>
              <w:jc w:val="center"/>
              <w:textAlignment w:val="center"/>
              <w:rPr>
                <w:rFonts w:hint="eastAsia" w:ascii="仿宋" w:hAnsi="仿宋" w:eastAsia="仿宋" w:cs="仿宋"/>
                <w:color w:val="auto"/>
                <w:kern w:val="0"/>
                <w:sz w:val="28"/>
                <w:szCs w:val="28"/>
                <w:highlight w:val="none"/>
                <w:lang w:bidi="ar"/>
              </w:rPr>
            </w:pPr>
          </w:p>
        </w:tc>
        <w:tc>
          <w:tcPr>
            <w:tcW w:w="1204" w:type="dxa"/>
            <w:tcBorders>
              <w:top w:val="single" w:color="auto" w:sz="4" w:space="0"/>
              <w:left w:val="single" w:color="auto" w:sz="4" w:space="0"/>
              <w:bottom w:val="single" w:color="auto" w:sz="4" w:space="0"/>
              <w:right w:val="single" w:color="auto" w:sz="4" w:space="0"/>
            </w:tcBorders>
            <w:vAlign w:val="center"/>
          </w:tcPr>
          <w:p w14:paraId="0F318C87">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高配系统运维</w:t>
            </w:r>
          </w:p>
        </w:tc>
        <w:tc>
          <w:tcPr>
            <w:tcW w:w="1627" w:type="dxa"/>
            <w:tcBorders>
              <w:top w:val="single" w:color="auto" w:sz="4" w:space="0"/>
              <w:left w:val="single" w:color="auto" w:sz="4" w:space="0"/>
              <w:bottom w:val="single" w:color="auto" w:sz="4" w:space="0"/>
              <w:right w:val="single" w:color="auto" w:sz="4" w:space="0"/>
            </w:tcBorders>
            <w:vAlign w:val="center"/>
          </w:tcPr>
          <w:p w14:paraId="7AE8CC2A">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2026年1-3月</w:t>
            </w:r>
          </w:p>
          <w:p w14:paraId="4FED5F24">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24小时</w:t>
            </w:r>
          </w:p>
        </w:tc>
        <w:tc>
          <w:tcPr>
            <w:tcW w:w="3522" w:type="dxa"/>
            <w:tcBorders>
              <w:top w:val="single" w:color="auto" w:sz="4" w:space="0"/>
              <w:left w:val="single" w:color="auto" w:sz="4" w:space="0"/>
              <w:bottom w:val="single" w:color="auto" w:sz="4" w:space="0"/>
              <w:right w:val="single" w:color="auto" w:sz="4" w:space="0"/>
            </w:tcBorders>
            <w:vAlign w:val="center"/>
          </w:tcPr>
          <w:p w14:paraId="6067D9E4">
            <w:pPr>
              <w:widowControl/>
              <w:jc w:val="left"/>
              <w:textAlignment w:val="center"/>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按国家相关规定，针对35kv和10kv配电间进行驻点值守及巡检工作。</w:t>
            </w:r>
          </w:p>
        </w:tc>
      </w:tr>
      <w:tr w14:paraId="3362C214">
        <w:tblPrEx>
          <w:tblCellMar>
            <w:top w:w="0" w:type="dxa"/>
            <w:left w:w="108" w:type="dxa"/>
            <w:bottom w:w="0" w:type="dxa"/>
            <w:right w:w="108" w:type="dxa"/>
          </w:tblCellMar>
        </w:tblPrEx>
        <w:trPr>
          <w:trHeight w:val="519" w:hRule="atLeast"/>
          <w:jc w:val="center"/>
        </w:trPr>
        <w:tc>
          <w:tcPr>
            <w:tcW w:w="1417" w:type="dxa"/>
            <w:vMerge w:val="continue"/>
            <w:tcBorders>
              <w:left w:val="single" w:color="auto" w:sz="4" w:space="0"/>
              <w:right w:val="single" w:color="auto" w:sz="4" w:space="0"/>
            </w:tcBorders>
            <w:vAlign w:val="center"/>
          </w:tcPr>
          <w:p w14:paraId="3ECFAA66">
            <w:pPr>
              <w:widowControl/>
              <w:jc w:val="center"/>
              <w:textAlignment w:val="center"/>
              <w:rPr>
                <w:rFonts w:hint="eastAsia" w:ascii="仿宋" w:hAnsi="仿宋" w:eastAsia="仿宋" w:cs="仿宋"/>
                <w:color w:val="auto"/>
                <w:kern w:val="0"/>
                <w:sz w:val="28"/>
                <w:szCs w:val="28"/>
                <w:highlight w:val="none"/>
                <w:lang w:bidi="ar"/>
              </w:rPr>
            </w:pPr>
          </w:p>
        </w:tc>
        <w:tc>
          <w:tcPr>
            <w:tcW w:w="1204" w:type="dxa"/>
            <w:tcBorders>
              <w:top w:val="single" w:color="auto" w:sz="4" w:space="0"/>
              <w:left w:val="single" w:color="auto" w:sz="4" w:space="0"/>
              <w:bottom w:val="single" w:color="auto" w:sz="4" w:space="0"/>
              <w:right w:val="single" w:color="auto" w:sz="4" w:space="0"/>
            </w:tcBorders>
            <w:vAlign w:val="center"/>
          </w:tcPr>
          <w:p w14:paraId="3FC8DE13">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承接查验</w:t>
            </w:r>
          </w:p>
        </w:tc>
        <w:tc>
          <w:tcPr>
            <w:tcW w:w="1627" w:type="dxa"/>
            <w:tcBorders>
              <w:top w:val="single" w:color="auto" w:sz="4" w:space="0"/>
              <w:left w:val="single" w:color="auto" w:sz="4" w:space="0"/>
              <w:bottom w:val="single" w:color="auto" w:sz="4" w:space="0"/>
              <w:right w:val="single" w:color="auto" w:sz="4" w:space="0"/>
            </w:tcBorders>
            <w:vAlign w:val="center"/>
          </w:tcPr>
          <w:p w14:paraId="17FC62A2">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周一至周五</w:t>
            </w:r>
          </w:p>
          <w:p w14:paraId="4860B1A0">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8:00-17:00</w:t>
            </w:r>
          </w:p>
        </w:tc>
        <w:tc>
          <w:tcPr>
            <w:tcW w:w="3522" w:type="dxa"/>
            <w:tcBorders>
              <w:top w:val="single" w:color="auto" w:sz="4" w:space="0"/>
              <w:left w:val="single" w:color="auto" w:sz="4" w:space="0"/>
              <w:bottom w:val="single" w:color="auto" w:sz="4" w:space="0"/>
              <w:right w:val="single" w:color="auto" w:sz="4" w:space="0"/>
            </w:tcBorders>
            <w:vAlign w:val="center"/>
          </w:tcPr>
          <w:p w14:paraId="408B199F">
            <w:pPr>
              <w:widowControl/>
              <w:jc w:val="left"/>
              <w:textAlignment w:val="center"/>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shd w:val="clear" w:color="auto" w:fill="FFFFFF"/>
              </w:rPr>
              <w:t>依据行业规范与建设标准，对建筑主体、设备设施、消防安全及空间功能等进行系统性查验与验收，协助业主开展设施设备联调联试，同步协调业主单位、施工单位落实整改事项，</w:t>
            </w:r>
            <w:r>
              <w:rPr>
                <w:rFonts w:hint="eastAsia" w:ascii="仿宋" w:hAnsi="仿宋" w:eastAsia="仿宋" w:cs="仿宋"/>
                <w:color w:val="auto"/>
                <w:sz w:val="28"/>
                <w:szCs w:val="28"/>
                <w:highlight w:val="none"/>
              </w:rPr>
              <w:t>确保项目建设的质量和安全。</w:t>
            </w:r>
          </w:p>
        </w:tc>
      </w:tr>
      <w:tr w14:paraId="699E889B">
        <w:tblPrEx>
          <w:tblCellMar>
            <w:top w:w="0" w:type="dxa"/>
            <w:left w:w="108" w:type="dxa"/>
            <w:bottom w:w="0" w:type="dxa"/>
            <w:right w:w="108" w:type="dxa"/>
          </w:tblCellMar>
        </w:tblPrEx>
        <w:trPr>
          <w:trHeight w:val="519" w:hRule="atLeast"/>
          <w:jc w:val="center"/>
        </w:trPr>
        <w:tc>
          <w:tcPr>
            <w:tcW w:w="1417" w:type="dxa"/>
            <w:vMerge w:val="continue"/>
            <w:tcBorders>
              <w:left w:val="single" w:color="auto" w:sz="4" w:space="0"/>
              <w:bottom w:val="single" w:color="auto" w:sz="4" w:space="0"/>
              <w:right w:val="single" w:color="auto" w:sz="4" w:space="0"/>
            </w:tcBorders>
            <w:vAlign w:val="center"/>
          </w:tcPr>
          <w:p w14:paraId="6EBC4085">
            <w:pPr>
              <w:widowControl/>
              <w:jc w:val="center"/>
              <w:textAlignment w:val="center"/>
              <w:rPr>
                <w:rFonts w:hint="eastAsia" w:ascii="仿宋" w:hAnsi="仿宋" w:eastAsia="仿宋" w:cs="仿宋"/>
                <w:color w:val="auto"/>
                <w:kern w:val="0"/>
                <w:sz w:val="28"/>
                <w:szCs w:val="28"/>
                <w:highlight w:val="none"/>
                <w:lang w:bidi="ar"/>
              </w:rPr>
            </w:pPr>
          </w:p>
        </w:tc>
        <w:tc>
          <w:tcPr>
            <w:tcW w:w="1204" w:type="dxa"/>
            <w:tcBorders>
              <w:top w:val="single" w:color="auto" w:sz="4" w:space="0"/>
              <w:left w:val="single" w:color="auto" w:sz="4" w:space="0"/>
              <w:bottom w:val="single" w:color="auto" w:sz="4" w:space="0"/>
              <w:right w:val="single" w:color="auto" w:sz="4" w:space="0"/>
            </w:tcBorders>
            <w:vAlign w:val="center"/>
          </w:tcPr>
          <w:p w14:paraId="4704248E">
            <w:pPr>
              <w:widowControl/>
              <w:jc w:val="center"/>
              <w:textAlignment w:val="center"/>
              <w:rPr>
                <w:rFonts w:hint="eastAsia" w:ascii="仿宋" w:hAnsi="仿宋" w:eastAsia="仿宋" w:cs="仿宋"/>
                <w:b/>
                <w:bCs/>
                <w:color w:val="auto"/>
                <w:kern w:val="0"/>
                <w:sz w:val="28"/>
                <w:szCs w:val="28"/>
                <w:highlight w:val="none"/>
                <w:lang w:bidi="ar"/>
              </w:rPr>
            </w:pPr>
            <w:r>
              <w:rPr>
                <w:rFonts w:hint="eastAsia" w:ascii="仿宋" w:hAnsi="仿宋" w:eastAsia="仿宋" w:cs="仿宋"/>
                <w:b/>
                <w:bCs/>
                <w:color w:val="auto"/>
                <w:kern w:val="0"/>
                <w:sz w:val="28"/>
                <w:szCs w:val="28"/>
                <w:highlight w:val="none"/>
                <w:lang w:bidi="ar"/>
              </w:rPr>
              <w:t>零星维修</w:t>
            </w:r>
          </w:p>
        </w:tc>
        <w:tc>
          <w:tcPr>
            <w:tcW w:w="1627" w:type="dxa"/>
            <w:tcBorders>
              <w:top w:val="single" w:color="auto" w:sz="4" w:space="0"/>
              <w:left w:val="single" w:color="auto" w:sz="4" w:space="0"/>
              <w:bottom w:val="single" w:color="auto" w:sz="4" w:space="0"/>
              <w:right w:val="single" w:color="auto" w:sz="4" w:space="0"/>
            </w:tcBorders>
            <w:vAlign w:val="center"/>
          </w:tcPr>
          <w:p w14:paraId="04FB2758">
            <w:pPr>
              <w:widowControl/>
              <w:jc w:val="center"/>
              <w:textAlignment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周一至周五</w:t>
            </w:r>
          </w:p>
          <w:p w14:paraId="32210095">
            <w:pPr>
              <w:widowControl/>
              <w:jc w:val="center"/>
              <w:textAlignment w:val="center"/>
              <w:rPr>
                <w:rFonts w:hint="eastAsia" w:ascii="仿宋" w:hAnsi="仿宋" w:eastAsia="仿宋" w:cs="仿宋"/>
                <w:b/>
                <w:bCs/>
                <w:color w:val="auto"/>
                <w:kern w:val="0"/>
                <w:sz w:val="28"/>
                <w:szCs w:val="28"/>
                <w:highlight w:val="none"/>
                <w:lang w:bidi="ar"/>
              </w:rPr>
            </w:pPr>
            <w:r>
              <w:rPr>
                <w:rFonts w:hint="eastAsia" w:ascii="仿宋" w:hAnsi="仿宋" w:eastAsia="仿宋" w:cs="仿宋"/>
                <w:b/>
                <w:bCs/>
                <w:color w:val="auto"/>
                <w:sz w:val="28"/>
                <w:szCs w:val="28"/>
                <w:highlight w:val="none"/>
              </w:rPr>
              <w:t>8:00-17:00</w:t>
            </w:r>
          </w:p>
        </w:tc>
        <w:tc>
          <w:tcPr>
            <w:tcW w:w="3522" w:type="dxa"/>
            <w:tcBorders>
              <w:top w:val="single" w:color="auto" w:sz="4" w:space="0"/>
              <w:left w:val="single" w:color="auto" w:sz="4" w:space="0"/>
              <w:bottom w:val="single" w:color="auto" w:sz="4" w:space="0"/>
              <w:right w:val="single" w:color="auto" w:sz="4" w:space="0"/>
            </w:tcBorders>
            <w:vAlign w:val="center"/>
          </w:tcPr>
          <w:p w14:paraId="37203503">
            <w:pPr>
              <w:widowControl/>
              <w:jc w:val="left"/>
              <w:textAlignment w:val="center"/>
              <w:rPr>
                <w:rFonts w:hint="eastAsia" w:ascii="仿宋" w:hAnsi="仿宋" w:eastAsia="仿宋" w:cs="仿宋"/>
                <w:b/>
                <w:bCs/>
                <w:color w:val="auto"/>
                <w:sz w:val="28"/>
                <w:szCs w:val="28"/>
                <w:highlight w:val="none"/>
                <w:shd w:val="clear" w:color="auto" w:fill="FFFFFF"/>
              </w:rPr>
            </w:pPr>
            <w:r>
              <w:rPr>
                <w:rFonts w:hint="eastAsia" w:ascii="仿宋" w:hAnsi="仿宋" w:eastAsia="仿宋" w:cs="仿宋"/>
                <w:b/>
                <w:bCs/>
                <w:color w:val="auto"/>
                <w:sz w:val="28"/>
                <w:szCs w:val="28"/>
                <w:highlight w:val="none"/>
                <w:shd w:val="clear" w:color="auto" w:fill="FFFFFF"/>
              </w:rPr>
              <w:t>按业主需求开展必要的应急性、补偿性的终端点位布设工作。（含水、电、暖通等）</w:t>
            </w:r>
          </w:p>
        </w:tc>
      </w:tr>
      <w:tr w14:paraId="6A3A0C5A">
        <w:tblPrEx>
          <w:tblCellMar>
            <w:top w:w="0" w:type="dxa"/>
            <w:left w:w="108" w:type="dxa"/>
            <w:bottom w:w="0" w:type="dxa"/>
            <w:right w:w="108" w:type="dxa"/>
          </w:tblCellMar>
        </w:tblPrEx>
        <w:trPr>
          <w:trHeight w:val="519" w:hRule="atLeast"/>
          <w:jc w:val="center"/>
        </w:trPr>
        <w:tc>
          <w:tcPr>
            <w:tcW w:w="1417" w:type="dxa"/>
            <w:vMerge w:val="restart"/>
            <w:tcBorders>
              <w:top w:val="single" w:color="auto" w:sz="4" w:space="0"/>
              <w:left w:val="single" w:color="auto" w:sz="4" w:space="0"/>
              <w:bottom w:val="single" w:color="auto" w:sz="4" w:space="0"/>
              <w:right w:val="single" w:color="auto" w:sz="4" w:space="0"/>
            </w:tcBorders>
            <w:vAlign w:val="center"/>
          </w:tcPr>
          <w:p w14:paraId="01EB9E52">
            <w:pPr>
              <w:widowControl/>
              <w:jc w:val="center"/>
              <w:textAlignment w:val="center"/>
              <w:rPr>
                <w:rFonts w:hint="eastAsia"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秩序维护服务</w:t>
            </w:r>
          </w:p>
        </w:tc>
        <w:tc>
          <w:tcPr>
            <w:tcW w:w="1204" w:type="dxa"/>
            <w:tcBorders>
              <w:top w:val="single" w:color="auto" w:sz="4" w:space="0"/>
              <w:left w:val="single" w:color="auto" w:sz="4" w:space="0"/>
              <w:bottom w:val="single" w:color="auto" w:sz="4" w:space="0"/>
              <w:right w:val="single" w:color="auto" w:sz="4" w:space="0"/>
            </w:tcBorders>
            <w:vAlign w:val="center"/>
          </w:tcPr>
          <w:p w14:paraId="47255481">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lang w:bidi="ar"/>
              </w:rPr>
              <w:t>巡视看护</w:t>
            </w:r>
          </w:p>
        </w:tc>
        <w:tc>
          <w:tcPr>
            <w:tcW w:w="1627" w:type="dxa"/>
            <w:tcBorders>
              <w:top w:val="single" w:color="auto" w:sz="4" w:space="0"/>
              <w:left w:val="single" w:color="auto" w:sz="4" w:space="0"/>
              <w:bottom w:val="single" w:color="auto" w:sz="4" w:space="0"/>
              <w:right w:val="single" w:color="auto" w:sz="4" w:space="0"/>
            </w:tcBorders>
            <w:vAlign w:val="center"/>
          </w:tcPr>
          <w:p w14:paraId="7E27B2DA">
            <w:pPr>
              <w:widowControl/>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24小时</w:t>
            </w:r>
          </w:p>
        </w:tc>
        <w:tc>
          <w:tcPr>
            <w:tcW w:w="3522" w:type="dxa"/>
            <w:tcBorders>
              <w:top w:val="single" w:color="auto" w:sz="4" w:space="0"/>
              <w:left w:val="single" w:color="auto" w:sz="4" w:space="0"/>
              <w:bottom w:val="single" w:color="auto" w:sz="4" w:space="0"/>
              <w:right w:val="single" w:color="auto" w:sz="4" w:space="0"/>
            </w:tcBorders>
            <w:vAlign w:val="center"/>
          </w:tcPr>
          <w:p w14:paraId="54054BCE">
            <w:pPr>
              <w:widowControl/>
              <w:jc w:val="left"/>
              <w:textAlignment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重点</w:t>
            </w:r>
            <w:r>
              <w:rPr>
                <w:rFonts w:hint="eastAsia" w:ascii="仿宋" w:hAnsi="仿宋" w:eastAsia="仿宋" w:cs="仿宋"/>
                <w:color w:val="auto"/>
                <w:spacing w:val="6"/>
                <w:sz w:val="28"/>
                <w:szCs w:val="28"/>
                <w:highlight w:val="none"/>
                <w:shd w:val="clear" w:color="auto" w:fill="FFFFFF"/>
              </w:rPr>
              <w:t>针对进场货物（家具、设备、耗材等），进行巡场等安全防护，保障业主资产安全。管理范围涵盖临床研究中心内所有已放置开业物资的功能用房。</w:t>
            </w:r>
          </w:p>
        </w:tc>
      </w:tr>
      <w:tr w14:paraId="19BF6E59">
        <w:tblPrEx>
          <w:tblCellMar>
            <w:top w:w="0" w:type="dxa"/>
            <w:left w:w="108" w:type="dxa"/>
            <w:bottom w:w="0" w:type="dxa"/>
            <w:right w:w="108" w:type="dxa"/>
          </w:tblCellMar>
        </w:tblPrEx>
        <w:trPr>
          <w:trHeight w:val="519" w:hRule="atLeast"/>
          <w:jc w:val="center"/>
        </w:trPr>
        <w:tc>
          <w:tcPr>
            <w:tcW w:w="1417" w:type="dxa"/>
            <w:vMerge w:val="continue"/>
            <w:tcBorders>
              <w:top w:val="single" w:color="auto" w:sz="4" w:space="0"/>
              <w:left w:val="single" w:color="auto" w:sz="4" w:space="0"/>
              <w:bottom w:val="single" w:color="auto" w:sz="4" w:space="0"/>
              <w:right w:val="single" w:color="auto" w:sz="4" w:space="0"/>
            </w:tcBorders>
            <w:vAlign w:val="center"/>
          </w:tcPr>
          <w:p w14:paraId="4FF8D5D3">
            <w:pPr>
              <w:widowControl/>
              <w:jc w:val="center"/>
              <w:textAlignment w:val="center"/>
              <w:rPr>
                <w:rFonts w:hint="eastAsia" w:ascii="仿宋" w:hAnsi="仿宋" w:eastAsia="仿宋" w:cs="仿宋"/>
                <w:color w:val="auto"/>
                <w:kern w:val="0"/>
                <w:sz w:val="28"/>
                <w:szCs w:val="28"/>
                <w:highlight w:val="none"/>
                <w:lang w:bidi="ar"/>
              </w:rPr>
            </w:pPr>
          </w:p>
        </w:tc>
        <w:tc>
          <w:tcPr>
            <w:tcW w:w="1204" w:type="dxa"/>
            <w:tcBorders>
              <w:top w:val="single" w:color="auto" w:sz="4" w:space="0"/>
              <w:left w:val="single" w:color="auto" w:sz="4" w:space="0"/>
              <w:bottom w:val="single" w:color="auto" w:sz="4" w:space="0"/>
              <w:right w:val="single" w:color="auto" w:sz="4" w:space="0"/>
            </w:tcBorders>
            <w:vAlign w:val="center"/>
          </w:tcPr>
          <w:p w14:paraId="182FE688">
            <w:pPr>
              <w:widowControl/>
              <w:jc w:val="center"/>
              <w:textAlignment w:val="center"/>
              <w:rPr>
                <w:rFonts w:hint="eastAsia" w:ascii="仿宋" w:hAnsi="仿宋" w:eastAsia="仿宋" w:cs="仿宋"/>
                <w:b/>
                <w:bCs/>
                <w:color w:val="auto"/>
                <w:kern w:val="0"/>
                <w:sz w:val="28"/>
                <w:szCs w:val="28"/>
                <w:highlight w:val="none"/>
                <w:lang w:bidi="ar"/>
              </w:rPr>
            </w:pPr>
            <w:r>
              <w:rPr>
                <w:rFonts w:hint="eastAsia" w:ascii="仿宋" w:hAnsi="仿宋" w:eastAsia="仿宋" w:cs="仿宋"/>
                <w:b/>
                <w:bCs/>
                <w:color w:val="auto"/>
                <w:kern w:val="0"/>
                <w:sz w:val="28"/>
                <w:szCs w:val="28"/>
                <w:highlight w:val="none"/>
                <w:lang w:bidi="ar"/>
              </w:rPr>
              <w:t>门岗驻守</w:t>
            </w:r>
          </w:p>
        </w:tc>
        <w:tc>
          <w:tcPr>
            <w:tcW w:w="1627" w:type="dxa"/>
            <w:tcBorders>
              <w:top w:val="single" w:color="auto" w:sz="4" w:space="0"/>
              <w:left w:val="single" w:color="auto" w:sz="4" w:space="0"/>
              <w:bottom w:val="single" w:color="auto" w:sz="4" w:space="0"/>
              <w:right w:val="single" w:color="auto" w:sz="4" w:space="0"/>
            </w:tcBorders>
            <w:vAlign w:val="center"/>
          </w:tcPr>
          <w:p w14:paraId="00ABB1F2">
            <w:pPr>
              <w:widowControl/>
              <w:jc w:val="center"/>
              <w:textAlignment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24小时</w:t>
            </w:r>
          </w:p>
        </w:tc>
        <w:tc>
          <w:tcPr>
            <w:tcW w:w="3522" w:type="dxa"/>
            <w:tcBorders>
              <w:top w:val="single" w:color="auto" w:sz="4" w:space="0"/>
              <w:left w:val="single" w:color="auto" w:sz="4" w:space="0"/>
              <w:bottom w:val="single" w:color="auto" w:sz="4" w:space="0"/>
              <w:right w:val="single" w:color="auto" w:sz="4" w:space="0"/>
            </w:tcBorders>
            <w:vAlign w:val="center"/>
          </w:tcPr>
          <w:p w14:paraId="55D64FC7">
            <w:pPr>
              <w:widowControl/>
              <w:jc w:val="left"/>
              <w:textAlignment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根据业主需求，安排人员全天候驻守外围主出入口、楼宇主出入口，对出入人员及车辆进行管理。</w:t>
            </w:r>
          </w:p>
        </w:tc>
      </w:tr>
    </w:tbl>
    <w:p w14:paraId="5FF8FE3C">
      <w:pPr>
        <w:widowControl/>
        <w:jc w:val="left"/>
        <w:rPr>
          <w:rFonts w:hint="eastAsia" w:ascii="仿宋" w:hAnsi="仿宋" w:eastAsia="仿宋" w:cs="仿宋"/>
          <w:color w:val="auto"/>
          <w:spacing w:val="6"/>
          <w:sz w:val="22"/>
          <w:szCs w:val="28"/>
          <w:highlight w:val="none"/>
          <w:shd w:val="clear" w:color="auto" w:fill="FFFFFF"/>
        </w:rPr>
      </w:pPr>
    </w:p>
    <w:p w14:paraId="6E3E1C96">
      <w:pPr>
        <w:widowControl/>
        <w:ind w:firstLine="487" w:firstLineChars="166"/>
        <w:jc w:val="left"/>
        <w:rPr>
          <w:rFonts w:hint="eastAsia" w:ascii="仿宋" w:hAnsi="仿宋" w:eastAsia="仿宋" w:cs="仿宋"/>
          <w:b/>
          <w:bCs/>
          <w:color w:val="auto"/>
          <w:spacing w:val="6"/>
          <w:sz w:val="28"/>
          <w:szCs w:val="28"/>
          <w:highlight w:val="none"/>
          <w:shd w:val="clear" w:color="auto" w:fill="FFFFFF"/>
        </w:rPr>
      </w:pPr>
      <w:r>
        <w:rPr>
          <w:rFonts w:hint="eastAsia" w:ascii="仿宋" w:hAnsi="仿宋" w:eastAsia="仿宋" w:cs="仿宋"/>
          <w:b/>
          <w:bCs/>
          <w:color w:val="auto"/>
          <w:spacing w:val="6"/>
          <w:sz w:val="28"/>
          <w:szCs w:val="28"/>
          <w:highlight w:val="none"/>
          <w:shd w:val="clear" w:color="auto" w:fill="FFFFFF"/>
        </w:rPr>
        <w:t>需求说明:</w:t>
      </w:r>
    </w:p>
    <w:p w14:paraId="5FDB89B2">
      <w:pPr>
        <w:widowControl/>
        <w:numPr>
          <w:ilvl w:val="0"/>
          <w:numId w:val="1"/>
        </w:numPr>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中标单位应常备维修配件和耗材(公共区域配件及耗材费用由业主提供)，日常维修应于24小时内完成，保洁耗材须实时更换。</w:t>
      </w:r>
    </w:p>
    <w:p w14:paraId="043E5E64">
      <w:pPr>
        <w:widowControl/>
        <w:numPr>
          <w:ilvl w:val="0"/>
          <w:numId w:val="1"/>
        </w:numPr>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中标单位需承担由于中标单位管理及服务过失原因而造成的损失赔偿及相应法律责任。</w:t>
      </w:r>
    </w:p>
    <w:p w14:paraId="67B7C4F1">
      <w:pPr>
        <w:widowControl/>
        <w:numPr>
          <w:ilvl w:val="0"/>
          <w:numId w:val="1"/>
        </w:numPr>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中标单位的项目开办物资由中标单位提供，如电脑，打印机，对讲机，职工服装，各类办公耗材等。</w:t>
      </w:r>
    </w:p>
    <w:p w14:paraId="100B4E9C">
      <w:pPr>
        <w:widowControl/>
        <w:numPr>
          <w:ilvl w:val="0"/>
          <w:numId w:val="1"/>
        </w:numPr>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中标单位负责协助甲方管理相关系统的调试、运行并负责现场管理的安全。</w:t>
      </w:r>
    </w:p>
    <w:p w14:paraId="1CD37038">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管理内容包括但不限于以下内容:</w:t>
      </w:r>
    </w:p>
    <w:p w14:paraId="7684DB00">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协助甲方开展设备调试与验证工作，校准各系统设备单机及联机运行参数；参与负荷工况性能测试，系统验证设备功能的完备性与运行可靠性；同步完善设施设备运行安全保障体系，对各系统设备现场运行进行实施监管，规范建立标准化运维管理机制及试运行台账。</w:t>
      </w:r>
    </w:p>
    <w:p w14:paraId="61D273DA">
      <w:pPr>
        <w:widowControl/>
        <w:ind w:firstLine="487" w:firstLineChars="166"/>
        <w:jc w:val="left"/>
        <w:rPr>
          <w:rFonts w:hint="eastAsia" w:ascii="仿宋" w:hAnsi="仿宋" w:eastAsia="仿宋" w:cs="仿宋"/>
          <w:b/>
          <w:bCs/>
          <w:color w:val="auto"/>
          <w:spacing w:val="6"/>
          <w:sz w:val="28"/>
          <w:szCs w:val="28"/>
          <w:highlight w:val="none"/>
          <w:shd w:val="clear" w:color="auto" w:fill="FFFFFF"/>
        </w:rPr>
      </w:pPr>
      <w:r>
        <w:rPr>
          <w:rFonts w:hint="eastAsia" w:ascii="仿宋" w:hAnsi="仿宋" w:eastAsia="仿宋" w:cs="仿宋"/>
          <w:b/>
          <w:bCs/>
          <w:color w:val="auto"/>
          <w:spacing w:val="6"/>
          <w:sz w:val="28"/>
          <w:szCs w:val="28"/>
          <w:highlight w:val="none"/>
          <w:shd w:val="clear" w:color="auto" w:fill="FFFFFF"/>
        </w:rPr>
        <w:t>绩效目标和技术指标说明:</w:t>
      </w:r>
    </w:p>
    <w:p w14:paraId="61B35EEA">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1.项目人员需持有相应的上岗证、资格证、专业培训合格率100%。</w:t>
      </w:r>
    </w:p>
    <w:p w14:paraId="394D265A">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2.卫生、清洁实行动态保洁，保洁率 99%以上。</w:t>
      </w:r>
    </w:p>
    <w:p w14:paraId="5FC52163">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3.行政服务响应率100%，满意度达成率99%以上。</w:t>
      </w:r>
    </w:p>
    <w:p w14:paraId="289EB2E0">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4.承接查验空间覆盖率100%。</w:t>
      </w:r>
    </w:p>
    <w:p w14:paraId="6B410208">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5.各类系统设备试运行参与率100%。</w:t>
      </w:r>
    </w:p>
    <w:p w14:paraId="37F7D1C3">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6.日常接报修及时率99%以上，返修率不超过1%。</w:t>
      </w:r>
    </w:p>
    <w:p w14:paraId="3936EC33">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7.门岗安保出入口人员及车辆管理覆盖率100%。</w:t>
      </w:r>
    </w:p>
    <w:p w14:paraId="0B102983">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8.安保巡场每日计划执行率100%。</w:t>
      </w:r>
    </w:p>
    <w:p w14:paraId="061536EC">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9.消防管理严格遵守有关消防规定，确保无消防事故。</w:t>
      </w:r>
    </w:p>
    <w:p w14:paraId="76E8B547">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10.安全防范方面确保无重大刑事、交通等安全事故。</w:t>
      </w:r>
    </w:p>
    <w:p w14:paraId="587F51D0">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11.投诉处理率99%及以上。</w:t>
      </w:r>
    </w:p>
    <w:p w14:paraId="27727D7E">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12.除因基建质量、设备在保养期内等特殊原因外，房屋及设备、配套设施完好率98%以上。</w:t>
      </w:r>
    </w:p>
    <w:p w14:paraId="6E4517F2">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13.停车场、道路完好率 98%以上。</w:t>
      </w:r>
    </w:p>
    <w:p w14:paraId="6BB4A290">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14.集水井、雨水井、污水井完好率98%以上。</w:t>
      </w:r>
    </w:p>
    <w:p w14:paraId="0BCD4DB3">
      <w:pPr>
        <w:widowControl/>
        <w:ind w:firstLine="487" w:firstLineChars="166"/>
        <w:jc w:val="left"/>
        <w:rPr>
          <w:rFonts w:hint="eastAsia" w:ascii="仿宋" w:hAnsi="仿宋" w:eastAsia="仿宋" w:cs="仿宋"/>
          <w:b/>
          <w:bCs/>
          <w:color w:val="auto"/>
          <w:spacing w:val="6"/>
          <w:sz w:val="28"/>
          <w:szCs w:val="28"/>
          <w:highlight w:val="none"/>
          <w:shd w:val="clear" w:color="auto" w:fill="FFFFFF"/>
        </w:rPr>
      </w:pPr>
      <w:r>
        <w:rPr>
          <w:rFonts w:hint="eastAsia" w:ascii="仿宋" w:hAnsi="仿宋" w:eastAsia="仿宋" w:cs="仿宋"/>
          <w:b/>
          <w:bCs/>
          <w:color w:val="auto"/>
          <w:spacing w:val="6"/>
          <w:sz w:val="28"/>
          <w:szCs w:val="28"/>
          <w:highlight w:val="none"/>
          <w:shd w:val="clear" w:color="auto" w:fill="FFFFFF"/>
        </w:rPr>
        <w:t>(三)物业服务企业管理要求:</w:t>
      </w:r>
    </w:p>
    <w:p w14:paraId="5E2A8858">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(1)根据IS09001:2015质量管理、IS014001:2015环境管理和IS045001:2018职业健康安全管理体系要求，制定和建立物业管理的架构、规章制度以及相关管理方案、应急预案、巡查巡视及检查报告、设施设备操作规范、服务规范等。</w:t>
      </w:r>
    </w:p>
    <w:p w14:paraId="20BD7A47">
      <w:pPr>
        <w:widowControl/>
        <w:ind w:firstLine="484" w:firstLineChars="166"/>
        <w:jc w:val="left"/>
        <w:rPr>
          <w:rFonts w:hint="eastAsia" w:ascii="仿宋" w:hAnsi="仿宋" w:eastAsia="仿宋" w:cs="仿宋"/>
          <w:color w:val="auto"/>
          <w:spacing w:val="6"/>
          <w:sz w:val="28"/>
          <w:szCs w:val="28"/>
          <w:highlight w:val="none"/>
          <w:shd w:val="clear" w:color="auto" w:fill="FFFFFF"/>
          <w:lang w:eastAsia="zh-CN"/>
        </w:rPr>
      </w:pPr>
      <w:r>
        <w:rPr>
          <w:rFonts w:hint="eastAsia" w:ascii="仿宋" w:hAnsi="仿宋" w:eastAsia="仿宋" w:cs="仿宋"/>
          <w:color w:val="auto"/>
          <w:spacing w:val="6"/>
          <w:sz w:val="28"/>
          <w:szCs w:val="28"/>
          <w:highlight w:val="none"/>
          <w:shd w:val="clear" w:color="auto" w:fill="FFFFFF"/>
        </w:rPr>
        <w:t>(2)物业企业单独制定的相关制度、方案，在实施前要报告招标单位，经招标单位审核批准后方可实施</w:t>
      </w:r>
      <w:r>
        <w:rPr>
          <w:rFonts w:hint="eastAsia" w:ascii="仿宋" w:hAnsi="仿宋" w:eastAsia="仿宋" w:cs="仿宋"/>
          <w:color w:val="auto"/>
          <w:spacing w:val="6"/>
          <w:sz w:val="28"/>
          <w:szCs w:val="28"/>
          <w:highlight w:val="none"/>
          <w:shd w:val="clear" w:color="auto" w:fill="FFFFFF"/>
          <w:lang w:eastAsia="zh-CN"/>
        </w:rPr>
        <w:t>。</w:t>
      </w:r>
      <w:r>
        <w:rPr>
          <w:rFonts w:hint="eastAsia" w:ascii="仿宋" w:hAnsi="仿宋" w:eastAsia="仿宋" w:cs="仿宋"/>
          <w:color w:val="auto"/>
          <w:spacing w:val="6"/>
          <w:sz w:val="28"/>
          <w:szCs w:val="28"/>
          <w:highlight w:val="none"/>
          <w:shd w:val="clear" w:color="auto" w:fill="FFFFFF"/>
        </w:rPr>
        <w:t>包含但不限于安全与防范制度、紧急事件管理制度、人员进出管理制度、车辆进出管理制度、停车场管理制度、消防监控中心管理制度、钥匙及门禁管理制度、装修、施工消防安全管理制度</w:t>
      </w:r>
      <w:r>
        <w:rPr>
          <w:rFonts w:hint="eastAsia" w:ascii="仿宋" w:hAnsi="仿宋" w:eastAsia="仿宋" w:cs="仿宋"/>
          <w:color w:val="auto"/>
          <w:spacing w:val="6"/>
          <w:sz w:val="28"/>
          <w:szCs w:val="28"/>
          <w:highlight w:val="none"/>
          <w:shd w:val="clear" w:color="auto" w:fill="FFFFFF"/>
          <w:lang w:eastAsia="zh-CN"/>
        </w:rPr>
        <w:t>、</w:t>
      </w:r>
      <w:r>
        <w:rPr>
          <w:rFonts w:hint="eastAsia" w:ascii="仿宋" w:hAnsi="仿宋" w:eastAsia="仿宋" w:cs="仿宋"/>
          <w:color w:val="auto"/>
          <w:spacing w:val="6"/>
          <w:sz w:val="28"/>
          <w:szCs w:val="28"/>
          <w:highlight w:val="none"/>
          <w:shd w:val="clear" w:color="auto" w:fill="FFFFFF"/>
        </w:rPr>
        <w:t>消防灭火器材保养检查管理制度、消防安全工作考评和奖惩制度、火灾危险评价和隐患整改制度</w:t>
      </w:r>
      <w:r>
        <w:rPr>
          <w:rFonts w:hint="eastAsia" w:ascii="仿宋" w:hAnsi="仿宋" w:eastAsia="仿宋" w:cs="仿宋"/>
          <w:color w:val="auto"/>
          <w:spacing w:val="6"/>
          <w:sz w:val="28"/>
          <w:szCs w:val="28"/>
          <w:highlight w:val="none"/>
          <w:shd w:val="clear" w:color="auto" w:fill="FFFFFF"/>
          <w:lang w:eastAsia="zh-CN"/>
        </w:rPr>
        <w:t>、危险化学品管理制度、保洁院感管理制度、医疗废物处理管理制度、固体废弃物管理制度、环境消杀管理制度、绿化养护监督制度、洗衣房工作管理制度、洗衣房医院感染管理制度、医院二次供水管理制度、供配电管制制度、供配电运行保养工作规程、特种设备管理制度、消防安全管理制度、医院安全生产责任制度、施工临时用电安全管理制度、设备机房管理制度、施工安全管理制度、值班及交接班制、医院供水系统设施管理制度、污水处理系统管理制度</w:t>
      </w:r>
      <w:r>
        <w:rPr>
          <w:rFonts w:hint="eastAsia" w:ascii="仿宋" w:hAnsi="仿宋" w:eastAsia="仿宋" w:cs="仿宋"/>
          <w:color w:val="auto"/>
          <w:spacing w:val="6"/>
          <w:sz w:val="28"/>
          <w:szCs w:val="28"/>
          <w:highlight w:val="none"/>
          <w:shd w:val="clear" w:color="auto" w:fill="FFFFFF"/>
          <w:lang w:val="en-US" w:eastAsia="zh-CN"/>
        </w:rPr>
        <w:t>等</w:t>
      </w:r>
      <w:r>
        <w:rPr>
          <w:rFonts w:hint="eastAsia" w:ascii="仿宋" w:hAnsi="仿宋" w:eastAsia="仿宋" w:cs="仿宋"/>
          <w:color w:val="auto"/>
          <w:spacing w:val="6"/>
          <w:sz w:val="28"/>
          <w:szCs w:val="28"/>
          <w:highlight w:val="none"/>
          <w:shd w:val="clear" w:color="auto" w:fill="FFFFFF"/>
          <w:lang w:eastAsia="zh-CN"/>
        </w:rPr>
        <w:t>。</w:t>
      </w:r>
    </w:p>
    <w:p w14:paraId="2008B542">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(3)物业企业需建有完善的物业管理档案(设备管理、日常管理、工作记录等)，有完善的对各级人员的管理制度和考核细则，并向招标单位提交上述文件的正式版本，招标单位有权查阅物业企业的管理档案，物业企业项目考核或者招标单位认为有必要时向招标单位移交相关档案。</w:t>
      </w:r>
    </w:p>
    <w:p w14:paraId="091E790D">
      <w:pPr>
        <w:widowControl/>
        <w:ind w:firstLine="487" w:firstLineChars="166"/>
        <w:jc w:val="left"/>
        <w:rPr>
          <w:rFonts w:hint="eastAsia" w:ascii="仿宋" w:hAnsi="仿宋" w:eastAsia="仿宋" w:cs="仿宋"/>
          <w:b/>
          <w:color w:val="auto"/>
          <w:spacing w:val="6"/>
          <w:sz w:val="28"/>
          <w:szCs w:val="28"/>
          <w:highlight w:val="none"/>
          <w:shd w:val="clear" w:color="auto" w:fill="FFFFFF"/>
        </w:rPr>
      </w:pPr>
      <w:r>
        <w:rPr>
          <w:rFonts w:hint="eastAsia" w:ascii="仿宋" w:hAnsi="仿宋" w:eastAsia="仿宋" w:cs="仿宋"/>
          <w:b/>
          <w:color w:val="auto"/>
          <w:spacing w:val="6"/>
          <w:sz w:val="28"/>
          <w:szCs w:val="28"/>
          <w:highlight w:val="none"/>
          <w:shd w:val="clear" w:color="auto" w:fill="FFFFFF"/>
        </w:rPr>
        <w:t>(四)物业服务企业人员需求:</w:t>
      </w:r>
    </w:p>
    <w:p w14:paraId="7116938E">
      <w:pPr>
        <w:widowControl/>
        <w:ind w:firstLine="484" w:firstLineChars="166"/>
        <w:jc w:val="left"/>
        <w:rPr>
          <w:rFonts w:hint="eastAsia" w:ascii="仿宋" w:hAnsi="仿宋" w:eastAsia="仿宋" w:cs="仿宋"/>
          <w:bCs/>
          <w:color w:val="auto"/>
          <w:spacing w:val="6"/>
          <w:sz w:val="28"/>
          <w:szCs w:val="28"/>
          <w:highlight w:val="none"/>
          <w:shd w:val="clear" w:color="auto" w:fill="FFFFFF"/>
        </w:rPr>
      </w:pPr>
      <w:r>
        <w:rPr>
          <w:rFonts w:hint="eastAsia" w:ascii="仿宋" w:hAnsi="仿宋" w:eastAsia="仿宋" w:cs="仿宋"/>
          <w:bCs/>
          <w:color w:val="auto"/>
          <w:spacing w:val="6"/>
          <w:sz w:val="28"/>
          <w:szCs w:val="28"/>
          <w:highlight w:val="none"/>
          <w:shd w:val="clear" w:color="auto" w:fill="FFFFFF"/>
        </w:rPr>
        <w:t>中标单位需为本项目员工按照相关法律法规要求购买相应保险，并承担相应责任。</w:t>
      </w:r>
    </w:p>
    <w:p w14:paraId="0A279265">
      <w:pPr>
        <w:widowControl/>
        <w:ind w:firstLine="484" w:firstLineChars="166"/>
        <w:jc w:val="left"/>
        <w:rPr>
          <w:rFonts w:hint="eastAsia" w:ascii="仿宋" w:hAnsi="仿宋" w:eastAsia="仿宋" w:cs="仿宋"/>
          <w:bCs/>
          <w:color w:val="auto"/>
          <w:spacing w:val="6"/>
          <w:sz w:val="28"/>
          <w:szCs w:val="28"/>
          <w:highlight w:val="none"/>
          <w:shd w:val="clear" w:color="auto" w:fill="FFFFFF"/>
        </w:rPr>
      </w:pPr>
      <w:r>
        <w:rPr>
          <w:rFonts w:hint="eastAsia" w:ascii="仿宋" w:hAnsi="仿宋" w:eastAsia="仿宋" w:cs="仿宋"/>
          <w:bCs/>
          <w:color w:val="auto"/>
          <w:spacing w:val="6"/>
          <w:sz w:val="28"/>
          <w:szCs w:val="28"/>
          <w:highlight w:val="none"/>
          <w:shd w:val="clear" w:color="auto" w:fill="FFFFFF"/>
        </w:rPr>
        <w:t>员工基本要求:</w:t>
      </w:r>
    </w:p>
    <w:p w14:paraId="2B27DE12">
      <w:pPr>
        <w:widowControl/>
        <w:numPr>
          <w:ilvl w:val="0"/>
          <w:numId w:val="2"/>
        </w:numPr>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凡国家有关法规规定需持证上岗的，都应具有相应的有效资格证书；</w:t>
      </w:r>
    </w:p>
    <w:p w14:paraId="337F26EA">
      <w:pPr>
        <w:widowControl/>
        <w:numPr>
          <w:ilvl w:val="0"/>
          <w:numId w:val="2"/>
        </w:numPr>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员工录用需符合入职政审的相关规定；</w:t>
      </w:r>
    </w:p>
    <w:p w14:paraId="3004B8B3">
      <w:pPr>
        <w:widowControl/>
        <w:numPr>
          <w:ilvl w:val="0"/>
          <w:numId w:val="2"/>
        </w:numPr>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根据法律法规要求，为员工购买必要的各类社会保险；</w:t>
      </w:r>
    </w:p>
    <w:p w14:paraId="402E6EC3">
      <w:pPr>
        <w:widowControl/>
        <w:numPr>
          <w:ilvl w:val="0"/>
          <w:numId w:val="2"/>
        </w:numPr>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整个员工队伍的年龄和学历结构比较合理;</w:t>
      </w:r>
    </w:p>
    <w:p w14:paraId="505C1079">
      <w:pPr>
        <w:widowControl/>
        <w:numPr>
          <w:ilvl w:val="0"/>
          <w:numId w:val="2"/>
        </w:numPr>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有完备的培训机制来保证员工队伍的总体素质不断提高:</w:t>
      </w:r>
    </w:p>
    <w:p w14:paraId="76F0BF6E">
      <w:pPr>
        <w:widowControl/>
        <w:numPr>
          <w:ilvl w:val="0"/>
          <w:numId w:val="2"/>
        </w:numPr>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员工用工时间需根据劳动法规定，本招标段内需在劳动法规定内合理配置相应人员，超出的加班部分，视情况可由招标单位审核后另行列支。</w:t>
      </w:r>
    </w:p>
    <w:p w14:paraId="0CECD820">
      <w:pPr>
        <w:widowControl/>
        <w:numPr>
          <w:ilvl w:val="0"/>
          <w:numId w:val="3"/>
        </w:numPr>
        <w:ind w:left="487" w:hanging="487" w:hangingChars="166"/>
        <w:jc w:val="left"/>
        <w:rPr>
          <w:rFonts w:hint="eastAsia" w:ascii="仿宋" w:hAnsi="仿宋" w:eastAsia="仿宋" w:cs="仿宋"/>
          <w:b/>
          <w:bCs/>
          <w:color w:val="auto"/>
          <w:spacing w:val="6"/>
          <w:sz w:val="28"/>
          <w:szCs w:val="28"/>
          <w:highlight w:val="none"/>
          <w:shd w:val="clear" w:color="auto" w:fill="FFFFFF"/>
        </w:rPr>
      </w:pPr>
      <w:r>
        <w:rPr>
          <w:rFonts w:hint="eastAsia" w:ascii="仿宋" w:hAnsi="仿宋" w:eastAsia="仿宋" w:cs="仿宋"/>
          <w:b/>
          <w:bCs/>
          <w:color w:val="auto"/>
          <w:spacing w:val="6"/>
          <w:sz w:val="28"/>
          <w:szCs w:val="28"/>
          <w:highlight w:val="none"/>
          <w:shd w:val="clear" w:color="auto" w:fill="FFFFFF"/>
        </w:rPr>
        <w:t>物业服务项目人员及岗位设置要求:</w:t>
      </w:r>
    </w:p>
    <w:p w14:paraId="752BEC29">
      <w:pPr>
        <w:widowControl/>
        <w:ind w:left="485" w:hanging="484" w:hanging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本要求为项目必备岗位最低要求</w:t>
      </w:r>
    </w:p>
    <w:tbl>
      <w:tblPr>
        <w:tblStyle w:val="8"/>
        <w:tblW w:w="5000" w:type="pct"/>
        <w:tblInd w:w="0" w:type="dxa"/>
        <w:tblLayout w:type="autofit"/>
        <w:tblCellMar>
          <w:top w:w="0" w:type="dxa"/>
          <w:left w:w="108" w:type="dxa"/>
          <w:bottom w:w="0" w:type="dxa"/>
          <w:right w:w="108" w:type="dxa"/>
        </w:tblCellMar>
      </w:tblPr>
      <w:tblGrid>
        <w:gridCol w:w="1127"/>
        <w:gridCol w:w="2384"/>
        <w:gridCol w:w="1161"/>
        <w:gridCol w:w="963"/>
        <w:gridCol w:w="963"/>
        <w:gridCol w:w="963"/>
        <w:gridCol w:w="961"/>
      </w:tblGrid>
      <w:tr w14:paraId="5E2243A8">
        <w:tblPrEx>
          <w:tblCellMar>
            <w:top w:w="0" w:type="dxa"/>
            <w:left w:w="108" w:type="dxa"/>
            <w:bottom w:w="0" w:type="dxa"/>
            <w:right w:w="108" w:type="dxa"/>
          </w:tblCellMar>
        </w:tblPrEx>
        <w:trPr>
          <w:trHeight w:val="570" w:hRule="atLeast"/>
        </w:trPr>
        <w:tc>
          <w:tcPr>
            <w:tcW w:w="2059" w:type="pct"/>
            <w:gridSpan w:val="2"/>
            <w:tcBorders>
              <w:top w:val="single" w:color="auto" w:sz="4" w:space="0"/>
              <w:left w:val="single" w:color="auto" w:sz="4" w:space="0"/>
              <w:bottom w:val="single" w:color="auto" w:sz="4" w:space="0"/>
              <w:right w:val="single" w:color="auto" w:sz="4" w:space="0"/>
            </w:tcBorders>
            <w:vAlign w:val="center"/>
          </w:tcPr>
          <w:p w14:paraId="310FC500">
            <w:pPr>
              <w:widowControl/>
              <w:jc w:val="center"/>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服务项目</w:t>
            </w:r>
          </w:p>
        </w:tc>
        <w:tc>
          <w:tcPr>
            <w:tcW w:w="681" w:type="pct"/>
            <w:tcBorders>
              <w:top w:val="single" w:color="auto" w:sz="4" w:space="0"/>
              <w:left w:val="nil"/>
              <w:bottom w:val="single" w:color="auto" w:sz="4" w:space="0"/>
              <w:right w:val="single" w:color="auto" w:sz="4" w:space="0"/>
            </w:tcBorders>
            <w:vAlign w:val="center"/>
          </w:tcPr>
          <w:p w14:paraId="45055E40">
            <w:pPr>
              <w:widowControl/>
              <w:jc w:val="center"/>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第一个月</w:t>
            </w:r>
          </w:p>
        </w:tc>
        <w:tc>
          <w:tcPr>
            <w:tcW w:w="565" w:type="pct"/>
            <w:tcBorders>
              <w:top w:val="single" w:color="auto" w:sz="4" w:space="0"/>
              <w:left w:val="nil"/>
              <w:bottom w:val="single" w:color="auto" w:sz="4" w:space="0"/>
              <w:right w:val="single" w:color="auto" w:sz="4" w:space="0"/>
            </w:tcBorders>
            <w:vAlign w:val="center"/>
          </w:tcPr>
          <w:p w14:paraId="79FDA180">
            <w:pPr>
              <w:widowControl/>
              <w:jc w:val="center"/>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第二个月</w:t>
            </w:r>
          </w:p>
        </w:tc>
        <w:tc>
          <w:tcPr>
            <w:tcW w:w="565" w:type="pct"/>
            <w:tcBorders>
              <w:top w:val="single" w:color="auto" w:sz="4" w:space="0"/>
              <w:left w:val="nil"/>
              <w:bottom w:val="single" w:color="auto" w:sz="4" w:space="0"/>
              <w:right w:val="single" w:color="auto" w:sz="4" w:space="0"/>
            </w:tcBorders>
            <w:vAlign w:val="center"/>
          </w:tcPr>
          <w:p w14:paraId="1229AD0E">
            <w:pPr>
              <w:widowControl/>
              <w:jc w:val="center"/>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第三个月</w:t>
            </w:r>
          </w:p>
        </w:tc>
        <w:tc>
          <w:tcPr>
            <w:tcW w:w="565" w:type="pct"/>
            <w:tcBorders>
              <w:top w:val="single" w:color="auto" w:sz="4" w:space="0"/>
              <w:left w:val="nil"/>
              <w:bottom w:val="single" w:color="auto" w:sz="4" w:space="0"/>
              <w:right w:val="single" w:color="auto" w:sz="4" w:space="0"/>
            </w:tcBorders>
            <w:vAlign w:val="center"/>
          </w:tcPr>
          <w:p w14:paraId="63E0A7CF">
            <w:pPr>
              <w:widowControl/>
              <w:jc w:val="center"/>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第四个月</w:t>
            </w:r>
          </w:p>
        </w:tc>
        <w:tc>
          <w:tcPr>
            <w:tcW w:w="563" w:type="pct"/>
            <w:tcBorders>
              <w:top w:val="single" w:color="auto" w:sz="4" w:space="0"/>
              <w:left w:val="nil"/>
              <w:bottom w:val="single" w:color="auto" w:sz="4" w:space="0"/>
              <w:right w:val="single" w:color="auto" w:sz="4" w:space="0"/>
            </w:tcBorders>
            <w:vAlign w:val="center"/>
          </w:tcPr>
          <w:p w14:paraId="3C92931B">
            <w:pPr>
              <w:widowControl/>
              <w:jc w:val="center"/>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第五个月</w:t>
            </w:r>
          </w:p>
        </w:tc>
      </w:tr>
      <w:tr w14:paraId="66736816">
        <w:tblPrEx>
          <w:tblCellMar>
            <w:top w:w="0" w:type="dxa"/>
            <w:left w:w="108" w:type="dxa"/>
            <w:bottom w:w="0" w:type="dxa"/>
            <w:right w:w="108" w:type="dxa"/>
          </w:tblCellMar>
        </w:tblPrEx>
        <w:trPr>
          <w:trHeight w:val="285" w:hRule="atLeast"/>
        </w:trPr>
        <w:tc>
          <w:tcPr>
            <w:tcW w:w="661" w:type="pct"/>
            <w:vMerge w:val="restart"/>
            <w:tcBorders>
              <w:top w:val="nil"/>
              <w:left w:val="single" w:color="auto" w:sz="4" w:space="0"/>
              <w:bottom w:val="single" w:color="auto" w:sz="4" w:space="0"/>
              <w:right w:val="single" w:color="auto" w:sz="4" w:space="0"/>
            </w:tcBorders>
            <w:vAlign w:val="center"/>
          </w:tcPr>
          <w:p w14:paraId="638A5D7E">
            <w:pPr>
              <w:widowControl/>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客服中心</w:t>
            </w:r>
          </w:p>
        </w:tc>
        <w:tc>
          <w:tcPr>
            <w:tcW w:w="1397" w:type="pct"/>
            <w:tcBorders>
              <w:top w:val="nil"/>
              <w:left w:val="nil"/>
              <w:bottom w:val="single" w:color="auto" w:sz="4" w:space="0"/>
              <w:right w:val="single" w:color="auto" w:sz="4" w:space="0"/>
            </w:tcBorders>
            <w:vAlign w:val="center"/>
          </w:tcPr>
          <w:p w14:paraId="4E31A654">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项目经理</w:t>
            </w:r>
          </w:p>
        </w:tc>
        <w:tc>
          <w:tcPr>
            <w:tcW w:w="681" w:type="pct"/>
            <w:tcBorders>
              <w:top w:val="nil"/>
              <w:left w:val="nil"/>
              <w:bottom w:val="single" w:color="auto" w:sz="4" w:space="0"/>
              <w:right w:val="single" w:color="auto" w:sz="4" w:space="0"/>
            </w:tcBorders>
            <w:vAlign w:val="center"/>
          </w:tcPr>
          <w:p w14:paraId="61C6D282">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2386B7F2">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024B75EA">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23F751EC">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3" w:type="pct"/>
            <w:tcBorders>
              <w:top w:val="nil"/>
              <w:left w:val="nil"/>
              <w:bottom w:val="single" w:color="auto" w:sz="4" w:space="0"/>
              <w:right w:val="single" w:color="auto" w:sz="4" w:space="0"/>
            </w:tcBorders>
            <w:vAlign w:val="center"/>
          </w:tcPr>
          <w:p w14:paraId="620EA240">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r>
      <w:tr w14:paraId="5C56C9A6">
        <w:tblPrEx>
          <w:tblCellMar>
            <w:top w:w="0" w:type="dxa"/>
            <w:left w:w="108" w:type="dxa"/>
            <w:bottom w:w="0" w:type="dxa"/>
            <w:right w:w="108" w:type="dxa"/>
          </w:tblCellMar>
        </w:tblPrEx>
        <w:trPr>
          <w:trHeight w:val="285" w:hRule="atLeast"/>
        </w:trPr>
        <w:tc>
          <w:tcPr>
            <w:tcW w:w="661" w:type="pct"/>
            <w:vMerge w:val="continue"/>
            <w:tcBorders>
              <w:top w:val="nil"/>
              <w:left w:val="single" w:color="auto" w:sz="4" w:space="0"/>
              <w:bottom w:val="single" w:color="auto" w:sz="4" w:space="0"/>
              <w:right w:val="single" w:color="auto" w:sz="4" w:space="0"/>
            </w:tcBorders>
            <w:vAlign w:val="center"/>
          </w:tcPr>
          <w:p w14:paraId="746CF0FA">
            <w:pPr>
              <w:widowControl/>
              <w:jc w:val="left"/>
              <w:rPr>
                <w:rFonts w:hint="eastAsia" w:ascii="仿宋" w:hAnsi="仿宋" w:eastAsia="仿宋" w:cs="宋体"/>
                <w:color w:val="auto"/>
                <w:kern w:val="0"/>
                <w:sz w:val="24"/>
                <w:highlight w:val="none"/>
              </w:rPr>
            </w:pPr>
          </w:p>
        </w:tc>
        <w:tc>
          <w:tcPr>
            <w:tcW w:w="1397" w:type="pct"/>
            <w:tcBorders>
              <w:top w:val="nil"/>
              <w:left w:val="nil"/>
              <w:bottom w:val="single" w:color="auto" w:sz="4" w:space="0"/>
              <w:right w:val="single" w:color="auto" w:sz="4" w:space="0"/>
            </w:tcBorders>
            <w:vAlign w:val="center"/>
          </w:tcPr>
          <w:p w14:paraId="1265909F">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行政文员</w:t>
            </w:r>
          </w:p>
        </w:tc>
        <w:tc>
          <w:tcPr>
            <w:tcW w:w="681" w:type="pct"/>
            <w:tcBorders>
              <w:top w:val="nil"/>
              <w:left w:val="nil"/>
              <w:bottom w:val="single" w:color="auto" w:sz="4" w:space="0"/>
              <w:right w:val="single" w:color="auto" w:sz="4" w:space="0"/>
            </w:tcBorders>
            <w:vAlign w:val="center"/>
          </w:tcPr>
          <w:p w14:paraId="5D69E985">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43307147">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34768217">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2</w:t>
            </w:r>
          </w:p>
        </w:tc>
        <w:tc>
          <w:tcPr>
            <w:tcW w:w="565" w:type="pct"/>
            <w:tcBorders>
              <w:top w:val="nil"/>
              <w:left w:val="nil"/>
              <w:bottom w:val="single" w:color="auto" w:sz="4" w:space="0"/>
              <w:right w:val="single" w:color="auto" w:sz="4" w:space="0"/>
            </w:tcBorders>
            <w:vAlign w:val="center"/>
          </w:tcPr>
          <w:p w14:paraId="41698944">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2</w:t>
            </w:r>
          </w:p>
        </w:tc>
        <w:tc>
          <w:tcPr>
            <w:tcW w:w="563" w:type="pct"/>
            <w:tcBorders>
              <w:top w:val="nil"/>
              <w:left w:val="nil"/>
              <w:bottom w:val="single" w:color="auto" w:sz="4" w:space="0"/>
              <w:right w:val="single" w:color="auto" w:sz="4" w:space="0"/>
            </w:tcBorders>
            <w:vAlign w:val="center"/>
          </w:tcPr>
          <w:p w14:paraId="08C3D88A">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2</w:t>
            </w:r>
          </w:p>
        </w:tc>
      </w:tr>
      <w:tr w14:paraId="14CEAD01">
        <w:tblPrEx>
          <w:tblCellMar>
            <w:top w:w="0" w:type="dxa"/>
            <w:left w:w="108" w:type="dxa"/>
            <w:bottom w:w="0" w:type="dxa"/>
            <w:right w:w="108" w:type="dxa"/>
          </w:tblCellMar>
        </w:tblPrEx>
        <w:trPr>
          <w:trHeight w:val="285" w:hRule="atLeast"/>
        </w:trPr>
        <w:tc>
          <w:tcPr>
            <w:tcW w:w="661" w:type="pct"/>
            <w:vMerge w:val="restart"/>
            <w:tcBorders>
              <w:top w:val="nil"/>
              <w:left w:val="single" w:color="auto" w:sz="4" w:space="0"/>
              <w:bottom w:val="single" w:color="auto" w:sz="4" w:space="0"/>
              <w:right w:val="single" w:color="auto" w:sz="4" w:space="0"/>
            </w:tcBorders>
            <w:vAlign w:val="center"/>
          </w:tcPr>
          <w:p w14:paraId="0882C2E5">
            <w:pPr>
              <w:widowControl/>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秩序维护部</w:t>
            </w:r>
          </w:p>
        </w:tc>
        <w:tc>
          <w:tcPr>
            <w:tcW w:w="1397" w:type="pct"/>
            <w:tcBorders>
              <w:top w:val="nil"/>
              <w:left w:val="nil"/>
              <w:bottom w:val="single" w:color="auto" w:sz="4" w:space="0"/>
              <w:right w:val="single" w:color="auto" w:sz="4" w:space="0"/>
            </w:tcBorders>
            <w:vAlign w:val="center"/>
          </w:tcPr>
          <w:p w14:paraId="1B7B79A6">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秩序经理</w:t>
            </w:r>
          </w:p>
        </w:tc>
        <w:tc>
          <w:tcPr>
            <w:tcW w:w="681" w:type="pct"/>
            <w:tcBorders>
              <w:top w:val="nil"/>
              <w:left w:val="nil"/>
              <w:bottom w:val="single" w:color="auto" w:sz="4" w:space="0"/>
              <w:right w:val="single" w:color="auto" w:sz="4" w:space="0"/>
            </w:tcBorders>
            <w:vAlign w:val="center"/>
          </w:tcPr>
          <w:p w14:paraId="6AF6A075">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12768977">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68844F81">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36EAE753">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3" w:type="pct"/>
            <w:tcBorders>
              <w:top w:val="nil"/>
              <w:left w:val="nil"/>
              <w:bottom w:val="single" w:color="auto" w:sz="4" w:space="0"/>
              <w:right w:val="single" w:color="auto" w:sz="4" w:space="0"/>
            </w:tcBorders>
            <w:vAlign w:val="center"/>
          </w:tcPr>
          <w:p w14:paraId="6CB91E5C">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r>
      <w:tr w14:paraId="0222E41F">
        <w:tblPrEx>
          <w:tblCellMar>
            <w:top w:w="0" w:type="dxa"/>
            <w:left w:w="108" w:type="dxa"/>
            <w:bottom w:w="0" w:type="dxa"/>
            <w:right w:w="108" w:type="dxa"/>
          </w:tblCellMar>
        </w:tblPrEx>
        <w:trPr>
          <w:trHeight w:val="285" w:hRule="atLeast"/>
        </w:trPr>
        <w:tc>
          <w:tcPr>
            <w:tcW w:w="661" w:type="pct"/>
            <w:vMerge w:val="continue"/>
            <w:tcBorders>
              <w:top w:val="nil"/>
              <w:left w:val="single" w:color="auto" w:sz="4" w:space="0"/>
              <w:bottom w:val="single" w:color="auto" w:sz="4" w:space="0"/>
              <w:right w:val="single" w:color="auto" w:sz="4" w:space="0"/>
            </w:tcBorders>
            <w:vAlign w:val="center"/>
          </w:tcPr>
          <w:p w14:paraId="57CFC352">
            <w:pPr>
              <w:widowControl/>
              <w:jc w:val="left"/>
              <w:rPr>
                <w:rFonts w:hint="eastAsia" w:ascii="仿宋" w:hAnsi="仿宋" w:eastAsia="仿宋" w:cs="宋体"/>
                <w:color w:val="auto"/>
                <w:kern w:val="0"/>
                <w:sz w:val="24"/>
                <w:highlight w:val="none"/>
              </w:rPr>
            </w:pPr>
          </w:p>
        </w:tc>
        <w:tc>
          <w:tcPr>
            <w:tcW w:w="1397" w:type="pct"/>
            <w:tcBorders>
              <w:top w:val="nil"/>
              <w:left w:val="nil"/>
              <w:bottom w:val="single" w:color="auto" w:sz="4" w:space="0"/>
              <w:right w:val="single" w:color="auto" w:sz="4" w:space="0"/>
            </w:tcBorders>
            <w:vAlign w:val="center"/>
          </w:tcPr>
          <w:p w14:paraId="58851753">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秩序维护领班兼机动</w:t>
            </w:r>
          </w:p>
        </w:tc>
        <w:tc>
          <w:tcPr>
            <w:tcW w:w="681" w:type="pct"/>
            <w:tcBorders>
              <w:top w:val="nil"/>
              <w:left w:val="nil"/>
              <w:bottom w:val="single" w:color="auto" w:sz="4" w:space="0"/>
              <w:right w:val="single" w:color="auto" w:sz="4" w:space="0"/>
            </w:tcBorders>
            <w:vAlign w:val="center"/>
          </w:tcPr>
          <w:p w14:paraId="04DCB2A2">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2</w:t>
            </w:r>
          </w:p>
        </w:tc>
        <w:tc>
          <w:tcPr>
            <w:tcW w:w="565" w:type="pct"/>
            <w:tcBorders>
              <w:top w:val="nil"/>
              <w:left w:val="nil"/>
              <w:bottom w:val="single" w:color="auto" w:sz="4" w:space="0"/>
              <w:right w:val="single" w:color="auto" w:sz="4" w:space="0"/>
            </w:tcBorders>
            <w:vAlign w:val="center"/>
          </w:tcPr>
          <w:p w14:paraId="21BD9E69">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2</w:t>
            </w:r>
          </w:p>
        </w:tc>
        <w:tc>
          <w:tcPr>
            <w:tcW w:w="565" w:type="pct"/>
            <w:tcBorders>
              <w:top w:val="nil"/>
              <w:left w:val="nil"/>
              <w:bottom w:val="single" w:color="auto" w:sz="4" w:space="0"/>
              <w:right w:val="single" w:color="auto" w:sz="4" w:space="0"/>
            </w:tcBorders>
            <w:vAlign w:val="center"/>
          </w:tcPr>
          <w:p w14:paraId="0272E669">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4</w:t>
            </w:r>
          </w:p>
        </w:tc>
        <w:tc>
          <w:tcPr>
            <w:tcW w:w="565" w:type="pct"/>
            <w:tcBorders>
              <w:top w:val="nil"/>
              <w:left w:val="nil"/>
              <w:bottom w:val="single" w:color="auto" w:sz="4" w:space="0"/>
              <w:right w:val="single" w:color="auto" w:sz="4" w:space="0"/>
            </w:tcBorders>
            <w:vAlign w:val="center"/>
          </w:tcPr>
          <w:p w14:paraId="0CFDE978">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4</w:t>
            </w:r>
          </w:p>
        </w:tc>
        <w:tc>
          <w:tcPr>
            <w:tcW w:w="563" w:type="pct"/>
            <w:tcBorders>
              <w:top w:val="nil"/>
              <w:left w:val="nil"/>
              <w:bottom w:val="single" w:color="auto" w:sz="4" w:space="0"/>
              <w:right w:val="single" w:color="auto" w:sz="4" w:space="0"/>
            </w:tcBorders>
            <w:vAlign w:val="center"/>
          </w:tcPr>
          <w:p w14:paraId="03F2513B">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4</w:t>
            </w:r>
          </w:p>
        </w:tc>
      </w:tr>
      <w:tr w14:paraId="74200E78">
        <w:tblPrEx>
          <w:tblCellMar>
            <w:top w:w="0" w:type="dxa"/>
            <w:left w:w="108" w:type="dxa"/>
            <w:bottom w:w="0" w:type="dxa"/>
            <w:right w:w="108" w:type="dxa"/>
          </w:tblCellMar>
        </w:tblPrEx>
        <w:trPr>
          <w:trHeight w:val="285" w:hRule="atLeast"/>
        </w:trPr>
        <w:tc>
          <w:tcPr>
            <w:tcW w:w="661" w:type="pct"/>
            <w:vMerge w:val="continue"/>
            <w:tcBorders>
              <w:top w:val="nil"/>
              <w:left w:val="single" w:color="auto" w:sz="4" w:space="0"/>
              <w:bottom w:val="single" w:color="auto" w:sz="4" w:space="0"/>
              <w:right w:val="single" w:color="auto" w:sz="4" w:space="0"/>
            </w:tcBorders>
            <w:vAlign w:val="center"/>
          </w:tcPr>
          <w:p w14:paraId="0F963D7A">
            <w:pPr>
              <w:widowControl/>
              <w:jc w:val="left"/>
              <w:rPr>
                <w:rFonts w:hint="eastAsia" w:ascii="仿宋" w:hAnsi="仿宋" w:eastAsia="仿宋" w:cs="宋体"/>
                <w:color w:val="auto"/>
                <w:kern w:val="0"/>
                <w:sz w:val="24"/>
                <w:highlight w:val="none"/>
              </w:rPr>
            </w:pPr>
          </w:p>
        </w:tc>
        <w:tc>
          <w:tcPr>
            <w:tcW w:w="1397" w:type="pct"/>
            <w:tcBorders>
              <w:top w:val="nil"/>
              <w:left w:val="nil"/>
              <w:bottom w:val="single" w:color="auto" w:sz="4" w:space="0"/>
              <w:right w:val="single" w:color="auto" w:sz="4" w:space="0"/>
            </w:tcBorders>
            <w:vAlign w:val="center"/>
          </w:tcPr>
          <w:p w14:paraId="11C13773">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门岗秩序维护员</w:t>
            </w:r>
          </w:p>
        </w:tc>
        <w:tc>
          <w:tcPr>
            <w:tcW w:w="681" w:type="pct"/>
            <w:tcBorders>
              <w:top w:val="nil"/>
              <w:left w:val="nil"/>
              <w:bottom w:val="single" w:color="auto" w:sz="4" w:space="0"/>
              <w:right w:val="single" w:color="auto" w:sz="4" w:space="0"/>
            </w:tcBorders>
            <w:vAlign w:val="center"/>
          </w:tcPr>
          <w:p w14:paraId="3C78F297">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0</w:t>
            </w:r>
          </w:p>
        </w:tc>
        <w:tc>
          <w:tcPr>
            <w:tcW w:w="565" w:type="pct"/>
            <w:tcBorders>
              <w:top w:val="nil"/>
              <w:left w:val="nil"/>
              <w:bottom w:val="single" w:color="auto" w:sz="4" w:space="0"/>
              <w:right w:val="single" w:color="auto" w:sz="4" w:space="0"/>
            </w:tcBorders>
            <w:vAlign w:val="center"/>
          </w:tcPr>
          <w:p w14:paraId="06FF5AE7">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0</w:t>
            </w:r>
          </w:p>
        </w:tc>
        <w:tc>
          <w:tcPr>
            <w:tcW w:w="565" w:type="pct"/>
            <w:tcBorders>
              <w:top w:val="nil"/>
              <w:left w:val="nil"/>
              <w:bottom w:val="single" w:color="auto" w:sz="4" w:space="0"/>
              <w:right w:val="single" w:color="auto" w:sz="4" w:space="0"/>
            </w:tcBorders>
            <w:vAlign w:val="center"/>
          </w:tcPr>
          <w:p w14:paraId="0D4EFB3B">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4</w:t>
            </w:r>
          </w:p>
        </w:tc>
        <w:tc>
          <w:tcPr>
            <w:tcW w:w="565" w:type="pct"/>
            <w:tcBorders>
              <w:top w:val="nil"/>
              <w:left w:val="nil"/>
              <w:bottom w:val="single" w:color="auto" w:sz="4" w:space="0"/>
              <w:right w:val="single" w:color="auto" w:sz="4" w:space="0"/>
            </w:tcBorders>
            <w:vAlign w:val="center"/>
          </w:tcPr>
          <w:p w14:paraId="2A08B976">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4</w:t>
            </w:r>
          </w:p>
        </w:tc>
        <w:tc>
          <w:tcPr>
            <w:tcW w:w="563" w:type="pct"/>
            <w:tcBorders>
              <w:top w:val="nil"/>
              <w:left w:val="nil"/>
              <w:bottom w:val="single" w:color="auto" w:sz="4" w:space="0"/>
              <w:right w:val="single" w:color="auto" w:sz="4" w:space="0"/>
            </w:tcBorders>
            <w:vAlign w:val="center"/>
          </w:tcPr>
          <w:p w14:paraId="2BBFB218">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4</w:t>
            </w:r>
          </w:p>
        </w:tc>
      </w:tr>
      <w:tr w14:paraId="1D6E1D1C">
        <w:tblPrEx>
          <w:tblCellMar>
            <w:top w:w="0" w:type="dxa"/>
            <w:left w:w="108" w:type="dxa"/>
            <w:bottom w:w="0" w:type="dxa"/>
            <w:right w:w="108" w:type="dxa"/>
          </w:tblCellMar>
        </w:tblPrEx>
        <w:trPr>
          <w:trHeight w:val="285" w:hRule="atLeast"/>
        </w:trPr>
        <w:tc>
          <w:tcPr>
            <w:tcW w:w="661" w:type="pct"/>
            <w:vMerge w:val="continue"/>
            <w:tcBorders>
              <w:top w:val="nil"/>
              <w:left w:val="single" w:color="auto" w:sz="4" w:space="0"/>
              <w:bottom w:val="single" w:color="auto" w:sz="4" w:space="0"/>
              <w:right w:val="single" w:color="auto" w:sz="4" w:space="0"/>
            </w:tcBorders>
            <w:vAlign w:val="center"/>
          </w:tcPr>
          <w:p w14:paraId="0CD803F0">
            <w:pPr>
              <w:widowControl/>
              <w:jc w:val="left"/>
              <w:rPr>
                <w:rFonts w:hint="eastAsia" w:ascii="仿宋" w:hAnsi="仿宋" w:eastAsia="仿宋" w:cs="宋体"/>
                <w:color w:val="auto"/>
                <w:kern w:val="0"/>
                <w:sz w:val="24"/>
                <w:highlight w:val="none"/>
              </w:rPr>
            </w:pPr>
          </w:p>
        </w:tc>
        <w:tc>
          <w:tcPr>
            <w:tcW w:w="1397" w:type="pct"/>
            <w:tcBorders>
              <w:top w:val="nil"/>
              <w:left w:val="nil"/>
              <w:bottom w:val="single" w:color="auto" w:sz="4" w:space="0"/>
              <w:right w:val="single" w:color="auto" w:sz="4" w:space="0"/>
            </w:tcBorders>
            <w:vAlign w:val="center"/>
          </w:tcPr>
          <w:p w14:paraId="561BC8DB">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楼宇安保（两个门）</w:t>
            </w:r>
          </w:p>
        </w:tc>
        <w:tc>
          <w:tcPr>
            <w:tcW w:w="681" w:type="pct"/>
            <w:tcBorders>
              <w:top w:val="nil"/>
              <w:left w:val="nil"/>
              <w:bottom w:val="single" w:color="auto" w:sz="4" w:space="0"/>
              <w:right w:val="single" w:color="auto" w:sz="4" w:space="0"/>
            </w:tcBorders>
            <w:vAlign w:val="center"/>
          </w:tcPr>
          <w:p w14:paraId="02F55C05">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0</w:t>
            </w:r>
          </w:p>
        </w:tc>
        <w:tc>
          <w:tcPr>
            <w:tcW w:w="565" w:type="pct"/>
            <w:tcBorders>
              <w:top w:val="nil"/>
              <w:left w:val="nil"/>
              <w:bottom w:val="single" w:color="auto" w:sz="4" w:space="0"/>
              <w:right w:val="single" w:color="auto" w:sz="4" w:space="0"/>
            </w:tcBorders>
            <w:vAlign w:val="center"/>
          </w:tcPr>
          <w:p w14:paraId="19D7D2DB">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0</w:t>
            </w:r>
          </w:p>
        </w:tc>
        <w:tc>
          <w:tcPr>
            <w:tcW w:w="565" w:type="pct"/>
            <w:tcBorders>
              <w:top w:val="nil"/>
              <w:left w:val="nil"/>
              <w:bottom w:val="single" w:color="auto" w:sz="4" w:space="0"/>
              <w:right w:val="single" w:color="auto" w:sz="4" w:space="0"/>
            </w:tcBorders>
            <w:vAlign w:val="center"/>
          </w:tcPr>
          <w:p w14:paraId="07C0E764">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4</w:t>
            </w:r>
          </w:p>
        </w:tc>
        <w:tc>
          <w:tcPr>
            <w:tcW w:w="565" w:type="pct"/>
            <w:tcBorders>
              <w:top w:val="nil"/>
              <w:left w:val="nil"/>
              <w:bottom w:val="single" w:color="auto" w:sz="4" w:space="0"/>
              <w:right w:val="single" w:color="auto" w:sz="4" w:space="0"/>
            </w:tcBorders>
            <w:vAlign w:val="center"/>
          </w:tcPr>
          <w:p w14:paraId="0E79AAEB">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4</w:t>
            </w:r>
          </w:p>
        </w:tc>
        <w:tc>
          <w:tcPr>
            <w:tcW w:w="563" w:type="pct"/>
            <w:tcBorders>
              <w:top w:val="nil"/>
              <w:left w:val="nil"/>
              <w:bottom w:val="single" w:color="auto" w:sz="4" w:space="0"/>
              <w:right w:val="single" w:color="auto" w:sz="4" w:space="0"/>
            </w:tcBorders>
            <w:vAlign w:val="center"/>
          </w:tcPr>
          <w:p w14:paraId="6C9EA6B3">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4</w:t>
            </w:r>
          </w:p>
        </w:tc>
      </w:tr>
      <w:tr w14:paraId="4B83E28B">
        <w:tblPrEx>
          <w:tblCellMar>
            <w:top w:w="0" w:type="dxa"/>
            <w:left w:w="108" w:type="dxa"/>
            <w:bottom w:w="0" w:type="dxa"/>
            <w:right w:w="108" w:type="dxa"/>
          </w:tblCellMar>
        </w:tblPrEx>
        <w:trPr>
          <w:trHeight w:val="285" w:hRule="atLeast"/>
        </w:trPr>
        <w:tc>
          <w:tcPr>
            <w:tcW w:w="661" w:type="pct"/>
            <w:vMerge w:val="continue"/>
            <w:tcBorders>
              <w:top w:val="nil"/>
              <w:left w:val="single" w:color="auto" w:sz="4" w:space="0"/>
              <w:bottom w:val="single" w:color="auto" w:sz="4" w:space="0"/>
              <w:right w:val="single" w:color="auto" w:sz="4" w:space="0"/>
            </w:tcBorders>
            <w:vAlign w:val="center"/>
          </w:tcPr>
          <w:p w14:paraId="245F8D38">
            <w:pPr>
              <w:widowControl/>
              <w:jc w:val="left"/>
              <w:rPr>
                <w:rFonts w:hint="eastAsia" w:ascii="仿宋" w:hAnsi="仿宋" w:eastAsia="仿宋" w:cs="宋体"/>
                <w:color w:val="auto"/>
                <w:kern w:val="0"/>
                <w:sz w:val="24"/>
                <w:highlight w:val="none"/>
              </w:rPr>
            </w:pPr>
          </w:p>
        </w:tc>
        <w:tc>
          <w:tcPr>
            <w:tcW w:w="1397" w:type="pct"/>
            <w:tcBorders>
              <w:top w:val="nil"/>
              <w:left w:val="nil"/>
              <w:bottom w:val="single" w:color="auto" w:sz="4" w:space="0"/>
              <w:right w:val="single" w:color="auto" w:sz="4" w:space="0"/>
            </w:tcBorders>
            <w:vAlign w:val="center"/>
          </w:tcPr>
          <w:p w14:paraId="00B97337">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巡逻岗</w:t>
            </w:r>
          </w:p>
        </w:tc>
        <w:tc>
          <w:tcPr>
            <w:tcW w:w="681" w:type="pct"/>
            <w:tcBorders>
              <w:top w:val="nil"/>
              <w:left w:val="nil"/>
              <w:bottom w:val="single" w:color="auto" w:sz="4" w:space="0"/>
              <w:right w:val="single" w:color="auto" w:sz="4" w:space="0"/>
            </w:tcBorders>
            <w:vAlign w:val="center"/>
          </w:tcPr>
          <w:p w14:paraId="6585BE99">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2</w:t>
            </w:r>
          </w:p>
        </w:tc>
        <w:tc>
          <w:tcPr>
            <w:tcW w:w="565" w:type="pct"/>
            <w:tcBorders>
              <w:top w:val="nil"/>
              <w:left w:val="nil"/>
              <w:bottom w:val="single" w:color="auto" w:sz="4" w:space="0"/>
              <w:right w:val="single" w:color="auto" w:sz="4" w:space="0"/>
            </w:tcBorders>
            <w:vAlign w:val="center"/>
          </w:tcPr>
          <w:p w14:paraId="56EDE792">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2</w:t>
            </w:r>
          </w:p>
        </w:tc>
        <w:tc>
          <w:tcPr>
            <w:tcW w:w="565" w:type="pct"/>
            <w:tcBorders>
              <w:top w:val="nil"/>
              <w:left w:val="nil"/>
              <w:bottom w:val="single" w:color="auto" w:sz="4" w:space="0"/>
              <w:right w:val="single" w:color="auto" w:sz="4" w:space="0"/>
            </w:tcBorders>
            <w:vAlign w:val="center"/>
          </w:tcPr>
          <w:p w14:paraId="7FD9B83B">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2</w:t>
            </w:r>
          </w:p>
        </w:tc>
        <w:tc>
          <w:tcPr>
            <w:tcW w:w="565" w:type="pct"/>
            <w:tcBorders>
              <w:top w:val="nil"/>
              <w:left w:val="nil"/>
              <w:bottom w:val="single" w:color="auto" w:sz="4" w:space="0"/>
              <w:right w:val="single" w:color="auto" w:sz="4" w:space="0"/>
            </w:tcBorders>
            <w:vAlign w:val="center"/>
          </w:tcPr>
          <w:p w14:paraId="5E7DBAB9">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2</w:t>
            </w:r>
          </w:p>
        </w:tc>
        <w:tc>
          <w:tcPr>
            <w:tcW w:w="563" w:type="pct"/>
            <w:tcBorders>
              <w:top w:val="nil"/>
              <w:left w:val="nil"/>
              <w:bottom w:val="single" w:color="auto" w:sz="4" w:space="0"/>
              <w:right w:val="single" w:color="auto" w:sz="4" w:space="0"/>
            </w:tcBorders>
            <w:vAlign w:val="center"/>
          </w:tcPr>
          <w:p w14:paraId="18713ED3">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2</w:t>
            </w:r>
          </w:p>
        </w:tc>
      </w:tr>
      <w:tr w14:paraId="073B4F15">
        <w:tblPrEx>
          <w:tblCellMar>
            <w:top w:w="0" w:type="dxa"/>
            <w:left w:w="108" w:type="dxa"/>
            <w:bottom w:w="0" w:type="dxa"/>
            <w:right w:w="108" w:type="dxa"/>
          </w:tblCellMar>
        </w:tblPrEx>
        <w:trPr>
          <w:trHeight w:val="285" w:hRule="atLeast"/>
        </w:trPr>
        <w:tc>
          <w:tcPr>
            <w:tcW w:w="661" w:type="pct"/>
            <w:vMerge w:val="restart"/>
            <w:tcBorders>
              <w:top w:val="nil"/>
              <w:left w:val="single" w:color="auto" w:sz="4" w:space="0"/>
              <w:bottom w:val="single" w:color="auto" w:sz="4" w:space="0"/>
              <w:right w:val="single" w:color="auto" w:sz="4" w:space="0"/>
            </w:tcBorders>
            <w:vAlign w:val="center"/>
          </w:tcPr>
          <w:p w14:paraId="1D96C9B0">
            <w:pPr>
              <w:widowControl/>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工程部</w:t>
            </w:r>
          </w:p>
        </w:tc>
        <w:tc>
          <w:tcPr>
            <w:tcW w:w="1397" w:type="pct"/>
            <w:tcBorders>
              <w:top w:val="nil"/>
              <w:left w:val="nil"/>
              <w:bottom w:val="single" w:color="auto" w:sz="4" w:space="0"/>
              <w:right w:val="single" w:color="auto" w:sz="4" w:space="0"/>
            </w:tcBorders>
            <w:vAlign w:val="center"/>
          </w:tcPr>
          <w:p w14:paraId="3CC41A96">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工程经理</w:t>
            </w:r>
          </w:p>
        </w:tc>
        <w:tc>
          <w:tcPr>
            <w:tcW w:w="681" w:type="pct"/>
            <w:tcBorders>
              <w:top w:val="nil"/>
              <w:left w:val="nil"/>
              <w:bottom w:val="single" w:color="auto" w:sz="4" w:space="0"/>
              <w:right w:val="single" w:color="auto" w:sz="4" w:space="0"/>
            </w:tcBorders>
            <w:vAlign w:val="center"/>
          </w:tcPr>
          <w:p w14:paraId="4A3CC86E">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18E1F8EF">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30179B8D">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14B748F1">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3" w:type="pct"/>
            <w:tcBorders>
              <w:top w:val="nil"/>
              <w:left w:val="nil"/>
              <w:bottom w:val="single" w:color="auto" w:sz="4" w:space="0"/>
              <w:right w:val="single" w:color="auto" w:sz="4" w:space="0"/>
            </w:tcBorders>
            <w:vAlign w:val="center"/>
          </w:tcPr>
          <w:p w14:paraId="5675FB6C">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r>
      <w:tr w14:paraId="749BA44E">
        <w:tblPrEx>
          <w:tblCellMar>
            <w:top w:w="0" w:type="dxa"/>
            <w:left w:w="108" w:type="dxa"/>
            <w:bottom w:w="0" w:type="dxa"/>
            <w:right w:w="108" w:type="dxa"/>
          </w:tblCellMar>
        </w:tblPrEx>
        <w:trPr>
          <w:trHeight w:val="285" w:hRule="atLeast"/>
        </w:trPr>
        <w:tc>
          <w:tcPr>
            <w:tcW w:w="661" w:type="pct"/>
            <w:vMerge w:val="continue"/>
            <w:tcBorders>
              <w:top w:val="nil"/>
              <w:left w:val="single" w:color="auto" w:sz="4" w:space="0"/>
              <w:bottom w:val="single" w:color="auto" w:sz="4" w:space="0"/>
              <w:right w:val="single" w:color="auto" w:sz="4" w:space="0"/>
            </w:tcBorders>
            <w:vAlign w:val="center"/>
          </w:tcPr>
          <w:p w14:paraId="09557AE0">
            <w:pPr>
              <w:widowControl/>
              <w:jc w:val="left"/>
              <w:rPr>
                <w:rFonts w:hint="eastAsia" w:ascii="仿宋" w:hAnsi="仿宋" w:eastAsia="仿宋" w:cs="宋体"/>
                <w:color w:val="auto"/>
                <w:kern w:val="0"/>
                <w:sz w:val="24"/>
                <w:highlight w:val="none"/>
              </w:rPr>
            </w:pPr>
          </w:p>
        </w:tc>
        <w:tc>
          <w:tcPr>
            <w:tcW w:w="1397" w:type="pct"/>
            <w:tcBorders>
              <w:top w:val="nil"/>
              <w:left w:val="nil"/>
              <w:bottom w:val="single" w:color="auto" w:sz="4" w:space="0"/>
              <w:right w:val="single" w:color="auto" w:sz="4" w:space="0"/>
            </w:tcBorders>
            <w:vAlign w:val="center"/>
          </w:tcPr>
          <w:p w14:paraId="2F57973A">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工程师</w:t>
            </w:r>
          </w:p>
        </w:tc>
        <w:tc>
          <w:tcPr>
            <w:tcW w:w="681" w:type="pct"/>
            <w:tcBorders>
              <w:top w:val="nil"/>
              <w:left w:val="nil"/>
              <w:bottom w:val="single" w:color="auto" w:sz="4" w:space="0"/>
              <w:right w:val="single" w:color="auto" w:sz="4" w:space="0"/>
            </w:tcBorders>
            <w:vAlign w:val="center"/>
          </w:tcPr>
          <w:p w14:paraId="4E515A38">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0</w:t>
            </w:r>
          </w:p>
        </w:tc>
        <w:tc>
          <w:tcPr>
            <w:tcW w:w="565" w:type="pct"/>
            <w:tcBorders>
              <w:top w:val="nil"/>
              <w:left w:val="nil"/>
              <w:bottom w:val="single" w:color="auto" w:sz="4" w:space="0"/>
              <w:right w:val="single" w:color="auto" w:sz="4" w:space="0"/>
            </w:tcBorders>
            <w:vAlign w:val="center"/>
          </w:tcPr>
          <w:p w14:paraId="21FF017E">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4EE90EDF">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5DEC6185">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3" w:type="pct"/>
            <w:tcBorders>
              <w:top w:val="nil"/>
              <w:left w:val="nil"/>
              <w:bottom w:val="single" w:color="auto" w:sz="4" w:space="0"/>
              <w:right w:val="single" w:color="auto" w:sz="4" w:space="0"/>
            </w:tcBorders>
            <w:vAlign w:val="center"/>
          </w:tcPr>
          <w:p w14:paraId="5066035B">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r>
      <w:tr w14:paraId="20330DD3">
        <w:tblPrEx>
          <w:tblCellMar>
            <w:top w:w="0" w:type="dxa"/>
            <w:left w:w="108" w:type="dxa"/>
            <w:bottom w:w="0" w:type="dxa"/>
            <w:right w:w="108" w:type="dxa"/>
          </w:tblCellMar>
        </w:tblPrEx>
        <w:trPr>
          <w:trHeight w:val="285" w:hRule="atLeast"/>
        </w:trPr>
        <w:tc>
          <w:tcPr>
            <w:tcW w:w="661" w:type="pct"/>
            <w:vMerge w:val="continue"/>
            <w:tcBorders>
              <w:top w:val="nil"/>
              <w:left w:val="single" w:color="auto" w:sz="4" w:space="0"/>
              <w:bottom w:val="single" w:color="auto" w:sz="4" w:space="0"/>
              <w:right w:val="single" w:color="auto" w:sz="4" w:space="0"/>
            </w:tcBorders>
            <w:vAlign w:val="center"/>
          </w:tcPr>
          <w:p w14:paraId="11FB33E8">
            <w:pPr>
              <w:widowControl/>
              <w:jc w:val="left"/>
              <w:rPr>
                <w:rFonts w:hint="eastAsia" w:ascii="仿宋" w:hAnsi="仿宋" w:eastAsia="仿宋" w:cs="宋体"/>
                <w:color w:val="auto"/>
                <w:kern w:val="0"/>
                <w:sz w:val="24"/>
                <w:highlight w:val="none"/>
              </w:rPr>
            </w:pPr>
          </w:p>
        </w:tc>
        <w:tc>
          <w:tcPr>
            <w:tcW w:w="1397" w:type="pct"/>
            <w:tcBorders>
              <w:top w:val="nil"/>
              <w:left w:val="nil"/>
              <w:bottom w:val="single" w:color="auto" w:sz="4" w:space="0"/>
              <w:right w:val="single" w:color="auto" w:sz="4" w:space="0"/>
            </w:tcBorders>
            <w:vAlign w:val="center"/>
          </w:tcPr>
          <w:p w14:paraId="6D031096">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工程助理</w:t>
            </w:r>
          </w:p>
        </w:tc>
        <w:tc>
          <w:tcPr>
            <w:tcW w:w="681" w:type="pct"/>
            <w:tcBorders>
              <w:top w:val="nil"/>
              <w:left w:val="nil"/>
              <w:bottom w:val="single" w:color="auto" w:sz="4" w:space="0"/>
              <w:right w:val="single" w:color="auto" w:sz="4" w:space="0"/>
            </w:tcBorders>
            <w:vAlign w:val="center"/>
          </w:tcPr>
          <w:p w14:paraId="29A04B5F">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05783F2D">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711C55A5">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670E92E6">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3" w:type="pct"/>
            <w:tcBorders>
              <w:top w:val="nil"/>
              <w:left w:val="nil"/>
              <w:bottom w:val="single" w:color="auto" w:sz="4" w:space="0"/>
              <w:right w:val="single" w:color="auto" w:sz="4" w:space="0"/>
            </w:tcBorders>
            <w:vAlign w:val="center"/>
          </w:tcPr>
          <w:p w14:paraId="35267A6A">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r>
      <w:tr w14:paraId="5BA899D0">
        <w:tblPrEx>
          <w:tblCellMar>
            <w:top w:w="0" w:type="dxa"/>
            <w:left w:w="108" w:type="dxa"/>
            <w:bottom w:w="0" w:type="dxa"/>
            <w:right w:w="108" w:type="dxa"/>
          </w:tblCellMar>
        </w:tblPrEx>
        <w:trPr>
          <w:trHeight w:val="285" w:hRule="atLeast"/>
        </w:trPr>
        <w:tc>
          <w:tcPr>
            <w:tcW w:w="661" w:type="pct"/>
            <w:vMerge w:val="continue"/>
            <w:tcBorders>
              <w:top w:val="nil"/>
              <w:left w:val="single" w:color="auto" w:sz="4" w:space="0"/>
              <w:bottom w:val="single" w:color="auto" w:sz="4" w:space="0"/>
              <w:right w:val="single" w:color="auto" w:sz="4" w:space="0"/>
            </w:tcBorders>
            <w:vAlign w:val="center"/>
          </w:tcPr>
          <w:p w14:paraId="61A61EE8">
            <w:pPr>
              <w:widowControl/>
              <w:jc w:val="left"/>
              <w:rPr>
                <w:rFonts w:hint="eastAsia" w:ascii="仿宋" w:hAnsi="仿宋" w:eastAsia="仿宋" w:cs="宋体"/>
                <w:color w:val="auto"/>
                <w:kern w:val="0"/>
                <w:sz w:val="24"/>
                <w:highlight w:val="none"/>
              </w:rPr>
            </w:pPr>
          </w:p>
        </w:tc>
        <w:tc>
          <w:tcPr>
            <w:tcW w:w="1397" w:type="pct"/>
            <w:tcBorders>
              <w:top w:val="nil"/>
              <w:left w:val="nil"/>
              <w:bottom w:val="single" w:color="auto" w:sz="4" w:space="0"/>
              <w:right w:val="single" w:color="auto" w:sz="4" w:space="0"/>
            </w:tcBorders>
            <w:vAlign w:val="center"/>
          </w:tcPr>
          <w:p w14:paraId="3CFCA085">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工程领班</w:t>
            </w:r>
          </w:p>
        </w:tc>
        <w:tc>
          <w:tcPr>
            <w:tcW w:w="681" w:type="pct"/>
            <w:tcBorders>
              <w:top w:val="nil"/>
              <w:left w:val="nil"/>
              <w:bottom w:val="single" w:color="auto" w:sz="4" w:space="0"/>
              <w:right w:val="single" w:color="auto" w:sz="4" w:space="0"/>
            </w:tcBorders>
            <w:vAlign w:val="center"/>
          </w:tcPr>
          <w:p w14:paraId="42A6D9EB">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0</w:t>
            </w:r>
          </w:p>
        </w:tc>
        <w:tc>
          <w:tcPr>
            <w:tcW w:w="565" w:type="pct"/>
            <w:tcBorders>
              <w:top w:val="nil"/>
              <w:left w:val="nil"/>
              <w:bottom w:val="single" w:color="auto" w:sz="4" w:space="0"/>
              <w:right w:val="single" w:color="auto" w:sz="4" w:space="0"/>
            </w:tcBorders>
            <w:vAlign w:val="center"/>
          </w:tcPr>
          <w:p w14:paraId="1602F0C7">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0</w:t>
            </w:r>
          </w:p>
        </w:tc>
        <w:tc>
          <w:tcPr>
            <w:tcW w:w="565" w:type="pct"/>
            <w:tcBorders>
              <w:top w:val="nil"/>
              <w:left w:val="nil"/>
              <w:bottom w:val="single" w:color="auto" w:sz="4" w:space="0"/>
              <w:right w:val="single" w:color="auto" w:sz="4" w:space="0"/>
            </w:tcBorders>
            <w:vAlign w:val="center"/>
          </w:tcPr>
          <w:p w14:paraId="09DBC50F">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0</w:t>
            </w:r>
          </w:p>
        </w:tc>
        <w:tc>
          <w:tcPr>
            <w:tcW w:w="565" w:type="pct"/>
            <w:tcBorders>
              <w:top w:val="nil"/>
              <w:left w:val="nil"/>
              <w:bottom w:val="single" w:color="auto" w:sz="4" w:space="0"/>
              <w:right w:val="single" w:color="auto" w:sz="4" w:space="0"/>
            </w:tcBorders>
            <w:vAlign w:val="center"/>
          </w:tcPr>
          <w:p w14:paraId="4F237DDB">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3" w:type="pct"/>
            <w:tcBorders>
              <w:top w:val="nil"/>
              <w:left w:val="nil"/>
              <w:bottom w:val="single" w:color="auto" w:sz="4" w:space="0"/>
              <w:right w:val="single" w:color="auto" w:sz="4" w:space="0"/>
            </w:tcBorders>
            <w:vAlign w:val="center"/>
          </w:tcPr>
          <w:p w14:paraId="1FA0173F">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r>
      <w:tr w14:paraId="71B3BA5B">
        <w:tblPrEx>
          <w:tblCellMar>
            <w:top w:w="0" w:type="dxa"/>
            <w:left w:w="108" w:type="dxa"/>
            <w:bottom w:w="0" w:type="dxa"/>
            <w:right w:w="108" w:type="dxa"/>
          </w:tblCellMar>
        </w:tblPrEx>
        <w:trPr>
          <w:trHeight w:val="285" w:hRule="atLeast"/>
        </w:trPr>
        <w:tc>
          <w:tcPr>
            <w:tcW w:w="661" w:type="pct"/>
            <w:vMerge w:val="continue"/>
            <w:tcBorders>
              <w:top w:val="nil"/>
              <w:left w:val="single" w:color="auto" w:sz="4" w:space="0"/>
              <w:bottom w:val="single" w:color="auto" w:sz="4" w:space="0"/>
              <w:right w:val="single" w:color="auto" w:sz="4" w:space="0"/>
            </w:tcBorders>
            <w:vAlign w:val="center"/>
          </w:tcPr>
          <w:p w14:paraId="6E2196CD">
            <w:pPr>
              <w:widowControl/>
              <w:jc w:val="left"/>
              <w:rPr>
                <w:rFonts w:hint="eastAsia" w:ascii="仿宋" w:hAnsi="仿宋" w:eastAsia="仿宋" w:cs="宋体"/>
                <w:color w:val="auto"/>
                <w:kern w:val="0"/>
                <w:sz w:val="24"/>
                <w:highlight w:val="none"/>
              </w:rPr>
            </w:pPr>
          </w:p>
        </w:tc>
        <w:tc>
          <w:tcPr>
            <w:tcW w:w="1397" w:type="pct"/>
            <w:tcBorders>
              <w:top w:val="nil"/>
              <w:left w:val="nil"/>
              <w:bottom w:val="single" w:color="auto" w:sz="4" w:space="0"/>
              <w:right w:val="single" w:color="auto" w:sz="4" w:space="0"/>
            </w:tcBorders>
            <w:vAlign w:val="center"/>
          </w:tcPr>
          <w:p w14:paraId="19A3394D">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设备人员（承接查验）</w:t>
            </w:r>
          </w:p>
        </w:tc>
        <w:tc>
          <w:tcPr>
            <w:tcW w:w="681" w:type="pct"/>
            <w:tcBorders>
              <w:top w:val="nil"/>
              <w:left w:val="nil"/>
              <w:bottom w:val="single" w:color="auto" w:sz="4" w:space="0"/>
              <w:right w:val="single" w:color="auto" w:sz="4" w:space="0"/>
            </w:tcBorders>
            <w:vAlign w:val="center"/>
          </w:tcPr>
          <w:p w14:paraId="25D9F825">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3</w:t>
            </w:r>
          </w:p>
        </w:tc>
        <w:tc>
          <w:tcPr>
            <w:tcW w:w="565" w:type="pct"/>
            <w:tcBorders>
              <w:top w:val="nil"/>
              <w:left w:val="nil"/>
              <w:bottom w:val="single" w:color="auto" w:sz="4" w:space="0"/>
              <w:right w:val="single" w:color="auto" w:sz="4" w:space="0"/>
            </w:tcBorders>
            <w:vAlign w:val="center"/>
          </w:tcPr>
          <w:p w14:paraId="36116D9F">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6</w:t>
            </w:r>
          </w:p>
        </w:tc>
        <w:tc>
          <w:tcPr>
            <w:tcW w:w="565" w:type="pct"/>
            <w:tcBorders>
              <w:top w:val="nil"/>
              <w:left w:val="nil"/>
              <w:bottom w:val="single" w:color="auto" w:sz="4" w:space="0"/>
              <w:right w:val="single" w:color="auto" w:sz="4" w:space="0"/>
            </w:tcBorders>
            <w:vAlign w:val="center"/>
          </w:tcPr>
          <w:p w14:paraId="55A73FDB">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18</w:t>
            </w:r>
          </w:p>
        </w:tc>
        <w:tc>
          <w:tcPr>
            <w:tcW w:w="565" w:type="pct"/>
            <w:tcBorders>
              <w:top w:val="nil"/>
              <w:left w:val="nil"/>
              <w:bottom w:val="single" w:color="auto" w:sz="4" w:space="0"/>
              <w:right w:val="single" w:color="auto" w:sz="4" w:space="0"/>
            </w:tcBorders>
            <w:vAlign w:val="center"/>
          </w:tcPr>
          <w:p w14:paraId="0C499F43">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18</w:t>
            </w:r>
          </w:p>
        </w:tc>
        <w:tc>
          <w:tcPr>
            <w:tcW w:w="563" w:type="pct"/>
            <w:tcBorders>
              <w:top w:val="nil"/>
              <w:left w:val="nil"/>
              <w:bottom w:val="single" w:color="auto" w:sz="4" w:space="0"/>
              <w:right w:val="single" w:color="auto" w:sz="4" w:space="0"/>
            </w:tcBorders>
            <w:vAlign w:val="center"/>
          </w:tcPr>
          <w:p w14:paraId="7F6F73A0">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18</w:t>
            </w:r>
          </w:p>
        </w:tc>
      </w:tr>
      <w:tr w14:paraId="382B2942">
        <w:tblPrEx>
          <w:tblCellMar>
            <w:top w:w="0" w:type="dxa"/>
            <w:left w:w="108" w:type="dxa"/>
            <w:bottom w:w="0" w:type="dxa"/>
            <w:right w:w="108" w:type="dxa"/>
          </w:tblCellMar>
        </w:tblPrEx>
        <w:trPr>
          <w:trHeight w:val="285" w:hRule="atLeast"/>
        </w:trPr>
        <w:tc>
          <w:tcPr>
            <w:tcW w:w="661" w:type="pct"/>
            <w:vMerge w:val="restart"/>
            <w:tcBorders>
              <w:top w:val="nil"/>
              <w:left w:val="single" w:color="auto" w:sz="4" w:space="0"/>
              <w:bottom w:val="single" w:color="auto" w:sz="4" w:space="0"/>
              <w:right w:val="single" w:color="auto" w:sz="4" w:space="0"/>
            </w:tcBorders>
            <w:vAlign w:val="center"/>
          </w:tcPr>
          <w:p w14:paraId="1701315E">
            <w:pPr>
              <w:widowControl/>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保洁部</w:t>
            </w:r>
          </w:p>
        </w:tc>
        <w:tc>
          <w:tcPr>
            <w:tcW w:w="1397" w:type="pct"/>
            <w:tcBorders>
              <w:top w:val="nil"/>
              <w:left w:val="nil"/>
              <w:bottom w:val="single" w:color="auto" w:sz="4" w:space="0"/>
              <w:right w:val="single" w:color="auto" w:sz="4" w:space="0"/>
            </w:tcBorders>
            <w:vAlign w:val="center"/>
          </w:tcPr>
          <w:p w14:paraId="23CFA3D0">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保洁主管</w:t>
            </w:r>
          </w:p>
        </w:tc>
        <w:tc>
          <w:tcPr>
            <w:tcW w:w="681" w:type="pct"/>
            <w:tcBorders>
              <w:top w:val="nil"/>
              <w:left w:val="nil"/>
              <w:bottom w:val="single" w:color="auto" w:sz="4" w:space="0"/>
              <w:right w:val="single" w:color="auto" w:sz="4" w:space="0"/>
            </w:tcBorders>
            <w:vAlign w:val="center"/>
          </w:tcPr>
          <w:p w14:paraId="6FCC3308">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07CEBD42">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213F507D">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5" w:type="pct"/>
            <w:tcBorders>
              <w:top w:val="nil"/>
              <w:left w:val="nil"/>
              <w:bottom w:val="single" w:color="auto" w:sz="4" w:space="0"/>
              <w:right w:val="single" w:color="auto" w:sz="4" w:space="0"/>
            </w:tcBorders>
            <w:vAlign w:val="center"/>
          </w:tcPr>
          <w:p w14:paraId="14FF9824">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c>
          <w:tcPr>
            <w:tcW w:w="563" w:type="pct"/>
            <w:tcBorders>
              <w:top w:val="nil"/>
              <w:left w:val="nil"/>
              <w:bottom w:val="single" w:color="auto" w:sz="4" w:space="0"/>
              <w:right w:val="single" w:color="auto" w:sz="4" w:space="0"/>
            </w:tcBorders>
            <w:vAlign w:val="center"/>
          </w:tcPr>
          <w:p w14:paraId="2C7C508E">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1</w:t>
            </w:r>
          </w:p>
        </w:tc>
      </w:tr>
      <w:tr w14:paraId="353FFA03">
        <w:tblPrEx>
          <w:tblCellMar>
            <w:top w:w="0" w:type="dxa"/>
            <w:left w:w="108" w:type="dxa"/>
            <w:bottom w:w="0" w:type="dxa"/>
            <w:right w:w="108" w:type="dxa"/>
          </w:tblCellMar>
        </w:tblPrEx>
        <w:trPr>
          <w:trHeight w:val="285" w:hRule="atLeast"/>
        </w:trPr>
        <w:tc>
          <w:tcPr>
            <w:tcW w:w="661" w:type="pct"/>
            <w:vMerge w:val="continue"/>
            <w:tcBorders>
              <w:top w:val="nil"/>
              <w:left w:val="single" w:color="auto" w:sz="4" w:space="0"/>
              <w:bottom w:val="single" w:color="auto" w:sz="4" w:space="0"/>
              <w:right w:val="single" w:color="auto" w:sz="4" w:space="0"/>
            </w:tcBorders>
            <w:vAlign w:val="center"/>
          </w:tcPr>
          <w:p w14:paraId="6ADAA25D">
            <w:pPr>
              <w:widowControl/>
              <w:jc w:val="left"/>
              <w:rPr>
                <w:rFonts w:hint="eastAsia" w:ascii="仿宋" w:hAnsi="仿宋" w:eastAsia="仿宋" w:cs="宋体"/>
                <w:color w:val="auto"/>
                <w:kern w:val="0"/>
                <w:sz w:val="24"/>
                <w:highlight w:val="none"/>
              </w:rPr>
            </w:pPr>
          </w:p>
        </w:tc>
        <w:tc>
          <w:tcPr>
            <w:tcW w:w="1397" w:type="pct"/>
            <w:tcBorders>
              <w:top w:val="nil"/>
              <w:left w:val="nil"/>
              <w:bottom w:val="single" w:color="auto" w:sz="4" w:space="0"/>
              <w:right w:val="single" w:color="auto" w:sz="4" w:space="0"/>
            </w:tcBorders>
            <w:vAlign w:val="center"/>
          </w:tcPr>
          <w:p w14:paraId="6093BE5F">
            <w:pPr>
              <w:widowControl/>
              <w:jc w:val="center"/>
              <w:rPr>
                <w:rFonts w:hint="eastAsia" w:ascii="仿宋" w:hAnsi="仿宋" w:eastAsia="仿宋" w:cs="宋体"/>
                <w:color w:val="auto"/>
                <w:kern w:val="0"/>
                <w:sz w:val="22"/>
                <w:szCs w:val="22"/>
                <w:highlight w:val="none"/>
              </w:rPr>
            </w:pPr>
            <w:r>
              <w:rPr>
                <w:rFonts w:hint="eastAsia" w:ascii="仿宋" w:hAnsi="仿宋" w:eastAsia="仿宋" w:cs="宋体"/>
                <w:color w:val="auto"/>
                <w:kern w:val="0"/>
                <w:sz w:val="22"/>
                <w:szCs w:val="22"/>
                <w:highlight w:val="none"/>
              </w:rPr>
              <w:t>保洁员</w:t>
            </w:r>
          </w:p>
        </w:tc>
        <w:tc>
          <w:tcPr>
            <w:tcW w:w="681" w:type="pct"/>
            <w:tcBorders>
              <w:top w:val="nil"/>
              <w:left w:val="nil"/>
              <w:bottom w:val="single" w:color="auto" w:sz="4" w:space="0"/>
              <w:right w:val="single" w:color="auto" w:sz="4" w:space="0"/>
            </w:tcBorders>
            <w:vAlign w:val="center"/>
          </w:tcPr>
          <w:p w14:paraId="1EFB34A1">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0</w:t>
            </w:r>
          </w:p>
        </w:tc>
        <w:tc>
          <w:tcPr>
            <w:tcW w:w="565" w:type="pct"/>
            <w:tcBorders>
              <w:top w:val="nil"/>
              <w:left w:val="nil"/>
              <w:bottom w:val="single" w:color="auto" w:sz="4" w:space="0"/>
              <w:right w:val="single" w:color="auto" w:sz="4" w:space="0"/>
            </w:tcBorders>
            <w:vAlign w:val="center"/>
          </w:tcPr>
          <w:p w14:paraId="261ED078">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0</w:t>
            </w:r>
          </w:p>
        </w:tc>
        <w:tc>
          <w:tcPr>
            <w:tcW w:w="565" w:type="pct"/>
            <w:tcBorders>
              <w:top w:val="nil"/>
              <w:left w:val="nil"/>
              <w:bottom w:val="single" w:color="auto" w:sz="4" w:space="0"/>
              <w:right w:val="single" w:color="auto" w:sz="4" w:space="0"/>
            </w:tcBorders>
            <w:vAlign w:val="center"/>
          </w:tcPr>
          <w:p w14:paraId="0730461E">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0</w:t>
            </w:r>
          </w:p>
        </w:tc>
        <w:tc>
          <w:tcPr>
            <w:tcW w:w="565" w:type="pct"/>
            <w:tcBorders>
              <w:top w:val="nil"/>
              <w:left w:val="nil"/>
              <w:bottom w:val="single" w:color="auto" w:sz="4" w:space="0"/>
              <w:right w:val="single" w:color="auto" w:sz="4" w:space="0"/>
            </w:tcBorders>
            <w:vAlign w:val="center"/>
          </w:tcPr>
          <w:p w14:paraId="61FE9B0D">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5</w:t>
            </w:r>
          </w:p>
        </w:tc>
        <w:tc>
          <w:tcPr>
            <w:tcW w:w="563" w:type="pct"/>
            <w:tcBorders>
              <w:top w:val="nil"/>
              <w:left w:val="nil"/>
              <w:bottom w:val="single" w:color="auto" w:sz="4" w:space="0"/>
              <w:right w:val="single" w:color="auto" w:sz="4" w:space="0"/>
            </w:tcBorders>
            <w:vAlign w:val="center"/>
          </w:tcPr>
          <w:p w14:paraId="7F8F3DBA">
            <w:pPr>
              <w:widowControl/>
              <w:jc w:val="center"/>
              <w:textAlignment w:val="center"/>
              <w:rPr>
                <w:rFonts w:hint="eastAsia" w:ascii="仿宋" w:hAnsi="仿宋" w:eastAsia="仿宋" w:cs="宋体"/>
                <w:color w:val="auto"/>
                <w:kern w:val="0"/>
                <w:sz w:val="24"/>
                <w:highlight w:val="none"/>
              </w:rPr>
            </w:pPr>
            <w:r>
              <w:rPr>
                <w:rFonts w:hint="eastAsia" w:ascii="仿宋" w:hAnsi="仿宋" w:eastAsia="仿宋" w:cs="仿宋"/>
                <w:color w:val="auto"/>
                <w:kern w:val="0"/>
                <w:sz w:val="24"/>
                <w:highlight w:val="none"/>
                <w:lang w:bidi="ar"/>
              </w:rPr>
              <w:t>20</w:t>
            </w:r>
          </w:p>
        </w:tc>
      </w:tr>
      <w:tr w14:paraId="679D39CD">
        <w:tblPrEx>
          <w:tblCellMar>
            <w:top w:w="0" w:type="dxa"/>
            <w:left w:w="108" w:type="dxa"/>
            <w:bottom w:w="0" w:type="dxa"/>
            <w:right w:w="108" w:type="dxa"/>
          </w:tblCellMar>
        </w:tblPrEx>
        <w:trPr>
          <w:trHeight w:val="285" w:hRule="atLeast"/>
        </w:trPr>
        <w:tc>
          <w:tcPr>
            <w:tcW w:w="661" w:type="pct"/>
            <w:tcBorders>
              <w:top w:val="nil"/>
              <w:left w:val="single" w:color="auto" w:sz="4" w:space="0"/>
              <w:bottom w:val="single" w:color="auto" w:sz="4" w:space="0"/>
              <w:right w:val="single" w:color="auto" w:sz="4" w:space="0"/>
            </w:tcBorders>
            <w:vAlign w:val="center"/>
          </w:tcPr>
          <w:p w14:paraId="72671F3A">
            <w:pPr>
              <w:widowControl/>
              <w:jc w:val="center"/>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总计</w:t>
            </w:r>
          </w:p>
        </w:tc>
        <w:tc>
          <w:tcPr>
            <w:tcW w:w="1397" w:type="pct"/>
            <w:tcBorders>
              <w:top w:val="nil"/>
              <w:left w:val="nil"/>
              <w:bottom w:val="single" w:color="auto" w:sz="4" w:space="0"/>
              <w:right w:val="single" w:color="auto" w:sz="4" w:space="0"/>
            </w:tcBorders>
            <w:vAlign w:val="center"/>
          </w:tcPr>
          <w:p w14:paraId="7925E19D">
            <w:pPr>
              <w:widowControl/>
              <w:jc w:val="center"/>
              <w:rPr>
                <w:rFonts w:hint="eastAsia" w:ascii="仿宋" w:hAnsi="仿宋" w:eastAsia="仿宋" w:cs="宋体"/>
                <w:b/>
                <w:bCs/>
                <w:color w:val="auto"/>
                <w:kern w:val="0"/>
                <w:sz w:val="22"/>
                <w:szCs w:val="22"/>
                <w:highlight w:val="none"/>
              </w:rPr>
            </w:pPr>
          </w:p>
        </w:tc>
        <w:tc>
          <w:tcPr>
            <w:tcW w:w="681" w:type="pct"/>
            <w:tcBorders>
              <w:top w:val="nil"/>
              <w:left w:val="nil"/>
              <w:bottom w:val="single" w:color="auto" w:sz="4" w:space="0"/>
              <w:right w:val="single" w:color="auto" w:sz="4" w:space="0"/>
            </w:tcBorders>
            <w:vAlign w:val="center"/>
          </w:tcPr>
          <w:p w14:paraId="3D4D3374">
            <w:pPr>
              <w:widowControl/>
              <w:jc w:val="center"/>
              <w:textAlignment w:val="center"/>
              <w:rPr>
                <w:rFonts w:hint="eastAsia" w:ascii="仿宋" w:hAnsi="仿宋" w:eastAsia="仿宋" w:cs="宋体"/>
                <w:b/>
                <w:bCs/>
                <w:color w:val="auto"/>
                <w:kern w:val="0"/>
                <w:sz w:val="24"/>
                <w:highlight w:val="none"/>
              </w:rPr>
            </w:pPr>
            <w:r>
              <w:rPr>
                <w:rFonts w:hint="eastAsia" w:ascii="宋体" w:hAnsi="宋体" w:eastAsia="宋体" w:cs="宋体"/>
                <w:color w:val="auto"/>
                <w:kern w:val="0"/>
                <w:sz w:val="22"/>
                <w:szCs w:val="22"/>
                <w:highlight w:val="none"/>
                <w:lang w:bidi="ar"/>
              </w:rPr>
              <w:t>13</w:t>
            </w:r>
          </w:p>
        </w:tc>
        <w:tc>
          <w:tcPr>
            <w:tcW w:w="565" w:type="pct"/>
            <w:tcBorders>
              <w:top w:val="nil"/>
              <w:left w:val="nil"/>
              <w:bottom w:val="single" w:color="auto" w:sz="4" w:space="0"/>
              <w:right w:val="single" w:color="auto" w:sz="4" w:space="0"/>
            </w:tcBorders>
            <w:vAlign w:val="center"/>
          </w:tcPr>
          <w:p w14:paraId="55BBC6E0">
            <w:pPr>
              <w:widowControl/>
              <w:jc w:val="center"/>
              <w:textAlignment w:val="center"/>
              <w:rPr>
                <w:rFonts w:hint="eastAsia" w:ascii="仿宋" w:hAnsi="仿宋" w:eastAsia="仿宋" w:cs="宋体"/>
                <w:b/>
                <w:bCs/>
                <w:color w:val="auto"/>
                <w:kern w:val="0"/>
                <w:sz w:val="24"/>
                <w:highlight w:val="none"/>
              </w:rPr>
            </w:pPr>
            <w:r>
              <w:rPr>
                <w:rFonts w:hint="eastAsia" w:ascii="宋体" w:hAnsi="宋体" w:eastAsia="宋体" w:cs="宋体"/>
                <w:color w:val="auto"/>
                <w:kern w:val="0"/>
                <w:sz w:val="22"/>
                <w:szCs w:val="22"/>
                <w:highlight w:val="none"/>
                <w:lang w:bidi="ar"/>
              </w:rPr>
              <w:t>17</w:t>
            </w:r>
          </w:p>
        </w:tc>
        <w:tc>
          <w:tcPr>
            <w:tcW w:w="565" w:type="pct"/>
            <w:tcBorders>
              <w:top w:val="nil"/>
              <w:left w:val="nil"/>
              <w:bottom w:val="single" w:color="auto" w:sz="4" w:space="0"/>
              <w:right w:val="single" w:color="auto" w:sz="4" w:space="0"/>
            </w:tcBorders>
            <w:vAlign w:val="center"/>
          </w:tcPr>
          <w:p w14:paraId="1FC96222">
            <w:pPr>
              <w:widowControl/>
              <w:jc w:val="center"/>
              <w:textAlignment w:val="center"/>
              <w:rPr>
                <w:rFonts w:hint="eastAsia" w:ascii="仿宋" w:hAnsi="仿宋" w:eastAsia="仿宋" w:cs="宋体"/>
                <w:b/>
                <w:bCs/>
                <w:color w:val="auto"/>
                <w:kern w:val="0"/>
                <w:sz w:val="24"/>
                <w:highlight w:val="none"/>
              </w:rPr>
            </w:pPr>
            <w:r>
              <w:rPr>
                <w:rFonts w:hint="eastAsia" w:ascii="宋体" w:hAnsi="宋体" w:eastAsia="宋体" w:cs="宋体"/>
                <w:color w:val="auto"/>
                <w:kern w:val="0"/>
                <w:sz w:val="22"/>
                <w:szCs w:val="22"/>
                <w:highlight w:val="none"/>
                <w:lang w:bidi="ar"/>
              </w:rPr>
              <w:t>40</w:t>
            </w:r>
          </w:p>
        </w:tc>
        <w:tc>
          <w:tcPr>
            <w:tcW w:w="565" w:type="pct"/>
            <w:tcBorders>
              <w:top w:val="nil"/>
              <w:left w:val="nil"/>
              <w:bottom w:val="single" w:color="auto" w:sz="4" w:space="0"/>
              <w:right w:val="single" w:color="auto" w:sz="4" w:space="0"/>
            </w:tcBorders>
            <w:vAlign w:val="center"/>
          </w:tcPr>
          <w:p w14:paraId="0BC67544">
            <w:pPr>
              <w:widowControl/>
              <w:jc w:val="center"/>
              <w:textAlignment w:val="center"/>
              <w:rPr>
                <w:rFonts w:hint="eastAsia" w:ascii="仿宋" w:hAnsi="仿宋" w:eastAsia="仿宋" w:cs="宋体"/>
                <w:b/>
                <w:bCs/>
                <w:color w:val="auto"/>
                <w:kern w:val="0"/>
                <w:sz w:val="24"/>
                <w:highlight w:val="none"/>
              </w:rPr>
            </w:pPr>
            <w:r>
              <w:rPr>
                <w:rFonts w:hint="eastAsia" w:ascii="宋体" w:hAnsi="宋体" w:eastAsia="宋体" w:cs="宋体"/>
                <w:color w:val="auto"/>
                <w:kern w:val="0"/>
                <w:sz w:val="22"/>
                <w:szCs w:val="22"/>
                <w:highlight w:val="none"/>
                <w:lang w:bidi="ar"/>
              </w:rPr>
              <w:t>46</w:t>
            </w:r>
          </w:p>
        </w:tc>
        <w:tc>
          <w:tcPr>
            <w:tcW w:w="563" w:type="pct"/>
            <w:tcBorders>
              <w:top w:val="nil"/>
              <w:left w:val="nil"/>
              <w:bottom w:val="single" w:color="auto" w:sz="4" w:space="0"/>
              <w:right w:val="single" w:color="auto" w:sz="4" w:space="0"/>
            </w:tcBorders>
            <w:vAlign w:val="center"/>
          </w:tcPr>
          <w:p w14:paraId="578D6D0C">
            <w:pPr>
              <w:widowControl/>
              <w:jc w:val="center"/>
              <w:textAlignment w:val="center"/>
              <w:rPr>
                <w:rFonts w:hint="eastAsia" w:ascii="仿宋" w:hAnsi="仿宋" w:eastAsia="仿宋" w:cs="宋体"/>
                <w:b/>
                <w:bCs/>
                <w:color w:val="auto"/>
                <w:kern w:val="0"/>
                <w:sz w:val="24"/>
                <w:highlight w:val="none"/>
              </w:rPr>
            </w:pPr>
            <w:r>
              <w:rPr>
                <w:rFonts w:hint="eastAsia" w:ascii="宋体" w:hAnsi="宋体" w:eastAsia="宋体" w:cs="宋体"/>
                <w:color w:val="auto"/>
                <w:kern w:val="0"/>
                <w:sz w:val="22"/>
                <w:szCs w:val="22"/>
                <w:highlight w:val="none"/>
                <w:lang w:bidi="ar"/>
              </w:rPr>
              <w:t>61</w:t>
            </w:r>
          </w:p>
        </w:tc>
      </w:tr>
    </w:tbl>
    <w:p w14:paraId="15BF6283">
      <w:pPr>
        <w:widowControl/>
        <w:jc w:val="left"/>
        <w:rPr>
          <w:rFonts w:hint="eastAsia" w:ascii="仿宋" w:hAnsi="仿宋" w:eastAsia="仿宋" w:cs="仿宋"/>
          <w:b/>
          <w:bCs/>
          <w:color w:val="auto"/>
          <w:spacing w:val="6"/>
          <w:sz w:val="28"/>
          <w:szCs w:val="28"/>
          <w:highlight w:val="none"/>
          <w:shd w:val="clear" w:color="auto" w:fill="FFFFFF"/>
        </w:rPr>
      </w:pPr>
      <w:r>
        <w:rPr>
          <w:rFonts w:hint="eastAsia" w:ascii="仿宋" w:hAnsi="仿宋" w:eastAsia="仿宋" w:cs="仿宋"/>
          <w:b/>
          <w:bCs/>
          <w:color w:val="auto"/>
          <w:spacing w:val="6"/>
          <w:sz w:val="28"/>
          <w:szCs w:val="28"/>
          <w:highlight w:val="none"/>
          <w:shd w:val="clear" w:color="auto" w:fill="FFFFFF"/>
        </w:rPr>
        <w:t>注:因本项目尚未竣工交付，物业管理与服务人员原则上每月不得少于以上岗位配置最低要求，业主单位有权视实际情况进行协商调整。</w:t>
      </w:r>
    </w:p>
    <w:p w14:paraId="6A330AC9">
      <w:pPr>
        <w:widowControl/>
        <w:ind w:firstLine="487" w:firstLineChars="166"/>
        <w:jc w:val="left"/>
        <w:rPr>
          <w:rFonts w:hint="eastAsia" w:ascii="仿宋" w:hAnsi="仿宋" w:eastAsia="仿宋" w:cs="仿宋"/>
          <w:b/>
          <w:bCs/>
          <w:color w:val="auto"/>
          <w:spacing w:val="6"/>
          <w:sz w:val="28"/>
          <w:szCs w:val="28"/>
          <w:highlight w:val="none"/>
          <w:shd w:val="clear" w:color="auto" w:fill="FFFFFF"/>
        </w:rPr>
      </w:pPr>
      <w:r>
        <w:rPr>
          <w:rFonts w:hint="eastAsia" w:ascii="仿宋" w:hAnsi="仿宋" w:eastAsia="仿宋" w:cs="仿宋"/>
          <w:b/>
          <w:bCs/>
          <w:color w:val="auto"/>
          <w:spacing w:val="6"/>
          <w:sz w:val="28"/>
          <w:szCs w:val="28"/>
          <w:highlight w:val="none"/>
          <w:shd w:val="clear" w:color="auto" w:fill="FFFFFF"/>
        </w:rPr>
        <w:t>人员要求</w:t>
      </w:r>
    </w:p>
    <w:p w14:paraId="4331C0FF">
      <w:pPr>
        <w:pStyle w:val="7"/>
        <w:numPr>
          <w:ilvl w:val="0"/>
          <w:numId w:val="4"/>
        </w:numPr>
        <w:shd w:val="clear" w:color="auto" w:fill="FFFFFF"/>
        <w:spacing w:beforeAutospacing="0" w:after="137" w:afterAutospacing="0" w:line="360" w:lineRule="auto"/>
        <w:rPr>
          <w:rFonts w:hint="eastAsia" w:ascii="仿宋" w:hAnsi="仿宋" w:eastAsia="仿宋" w:cs="仿宋"/>
          <w:color w:val="auto"/>
          <w:spacing w:val="6"/>
          <w:kern w:val="2"/>
          <w:sz w:val="28"/>
          <w:szCs w:val="28"/>
          <w:highlight w:val="none"/>
          <w:shd w:val="clear" w:color="auto" w:fill="FFFFFF"/>
        </w:rPr>
      </w:pPr>
      <w:r>
        <w:rPr>
          <w:rFonts w:hint="eastAsia" w:ascii="仿宋" w:hAnsi="仿宋" w:eastAsia="仿宋" w:cs="仿宋"/>
          <w:color w:val="auto"/>
          <w:spacing w:val="6"/>
          <w:kern w:val="2"/>
          <w:sz w:val="28"/>
          <w:szCs w:val="28"/>
          <w:highlight w:val="none"/>
          <w:shd w:val="clear" w:color="auto" w:fill="FFFFFF"/>
        </w:rPr>
        <w:t>项目经理：</w:t>
      </w:r>
      <w:bookmarkStart w:id="0" w:name="_Toc26986"/>
    </w:p>
    <w:p w14:paraId="66C5D9C4">
      <w:pPr>
        <w:numPr>
          <w:ilvl w:val="0"/>
          <w:numId w:val="5"/>
        </w:numPr>
        <w:spacing w:line="360" w:lineRule="auto"/>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年龄50周岁及以下，身体健康，具备本科及以上学历，具有医院及科研项目物业管理工作经验。</w:t>
      </w:r>
    </w:p>
    <w:p w14:paraId="4F4019F5">
      <w:pPr>
        <w:numPr>
          <w:ilvl w:val="0"/>
          <w:numId w:val="5"/>
        </w:numPr>
        <w:spacing w:line="360" w:lineRule="auto"/>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提供投标单位</w:t>
      </w:r>
      <w:r>
        <w:rPr>
          <w:rFonts w:hint="eastAsia" w:ascii="仿宋" w:hAnsi="仿宋" w:eastAsia="仿宋" w:cs="仿宋"/>
          <w:color w:val="auto"/>
          <w:spacing w:val="6"/>
          <w:sz w:val="28"/>
          <w:szCs w:val="28"/>
          <w:highlight w:val="none"/>
          <w:shd w:val="clear" w:color="auto" w:fill="FFFFFF"/>
          <w:lang w:eastAsia="zh-CN"/>
        </w:rPr>
        <w:t>开标前连续六个月</w:t>
      </w:r>
      <w:r>
        <w:rPr>
          <w:rFonts w:hint="eastAsia" w:ascii="仿宋" w:hAnsi="仿宋" w:eastAsia="仿宋" w:cs="仿宋"/>
          <w:color w:val="auto"/>
          <w:spacing w:val="6"/>
          <w:sz w:val="28"/>
          <w:szCs w:val="28"/>
          <w:highlight w:val="none"/>
          <w:shd w:val="clear" w:color="auto" w:fill="FFFFFF"/>
        </w:rPr>
        <w:t>为其缴纳社保</w:t>
      </w:r>
      <w:r>
        <w:rPr>
          <w:rFonts w:hint="eastAsia" w:ascii="仿宋" w:hAnsi="仿宋" w:eastAsia="仿宋" w:cs="仿宋"/>
          <w:color w:val="auto"/>
          <w:spacing w:val="6"/>
          <w:sz w:val="28"/>
          <w:szCs w:val="28"/>
          <w:highlight w:val="none"/>
          <w:shd w:val="clear" w:color="auto" w:fill="FFFFFF"/>
          <w:lang w:eastAsia="zh-CN"/>
        </w:rPr>
        <w:t>的</w:t>
      </w:r>
      <w:r>
        <w:rPr>
          <w:rFonts w:hint="eastAsia" w:ascii="仿宋" w:hAnsi="仿宋" w:eastAsia="仿宋" w:cs="仿宋"/>
          <w:color w:val="auto"/>
          <w:spacing w:val="6"/>
          <w:sz w:val="28"/>
          <w:szCs w:val="28"/>
          <w:highlight w:val="none"/>
          <w:shd w:val="clear" w:color="auto" w:fill="FFFFFF"/>
        </w:rPr>
        <w:t>证明文件。</w:t>
      </w:r>
    </w:p>
    <w:p w14:paraId="6930991A">
      <w:pPr>
        <w:numPr>
          <w:ilvl w:val="0"/>
          <w:numId w:val="5"/>
        </w:numPr>
        <w:spacing w:line="360" w:lineRule="auto"/>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熟悉医疗后勤服务标准，具备物业管理、工程管理、医疗及科研相关经验。</w:t>
      </w:r>
    </w:p>
    <w:p w14:paraId="086E7721">
      <w:pPr>
        <w:pStyle w:val="7"/>
        <w:numPr>
          <w:ilvl w:val="0"/>
          <w:numId w:val="4"/>
        </w:numPr>
        <w:shd w:val="clear" w:color="auto" w:fill="FFFFFF"/>
        <w:spacing w:beforeAutospacing="0" w:afterAutospacing="0" w:line="360" w:lineRule="auto"/>
        <w:rPr>
          <w:rFonts w:hint="eastAsia" w:ascii="仿宋" w:hAnsi="仿宋" w:eastAsia="仿宋" w:cs="仿宋"/>
          <w:color w:val="auto"/>
          <w:spacing w:val="6"/>
          <w:kern w:val="2"/>
          <w:sz w:val="28"/>
          <w:szCs w:val="28"/>
          <w:highlight w:val="none"/>
          <w:shd w:val="clear" w:color="auto" w:fill="FFFFFF"/>
        </w:rPr>
      </w:pPr>
      <w:r>
        <w:rPr>
          <w:rFonts w:hint="eastAsia" w:ascii="仿宋" w:hAnsi="仿宋" w:eastAsia="仿宋" w:cs="仿宋"/>
          <w:color w:val="auto"/>
          <w:spacing w:val="6"/>
          <w:kern w:val="2"/>
          <w:sz w:val="28"/>
          <w:szCs w:val="28"/>
          <w:highlight w:val="none"/>
          <w:shd w:val="clear" w:color="auto" w:fill="FFFFFF"/>
        </w:rPr>
        <w:t>行政文员：</w:t>
      </w:r>
    </w:p>
    <w:p w14:paraId="10DCEA0F">
      <w:pPr>
        <w:numPr>
          <w:ilvl w:val="0"/>
          <w:numId w:val="6"/>
        </w:numPr>
        <w:spacing w:line="360" w:lineRule="auto"/>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年龄45岁</w:t>
      </w:r>
      <w:r>
        <w:rPr>
          <w:rFonts w:hint="eastAsia" w:ascii="仿宋" w:hAnsi="仿宋" w:eastAsia="仿宋" w:cs="仿宋"/>
          <w:color w:val="auto"/>
          <w:spacing w:val="6"/>
          <w:sz w:val="28"/>
          <w:szCs w:val="28"/>
          <w:highlight w:val="none"/>
          <w:shd w:val="clear" w:color="auto" w:fill="FFFFFF"/>
          <w:lang w:eastAsia="zh-CN"/>
        </w:rPr>
        <w:t>及</w:t>
      </w:r>
      <w:r>
        <w:rPr>
          <w:rFonts w:hint="eastAsia" w:ascii="仿宋" w:hAnsi="仿宋" w:eastAsia="仿宋" w:cs="仿宋"/>
          <w:color w:val="auto"/>
          <w:spacing w:val="6"/>
          <w:sz w:val="28"/>
          <w:szCs w:val="28"/>
          <w:highlight w:val="none"/>
          <w:shd w:val="clear" w:color="auto" w:fill="FFFFFF"/>
        </w:rPr>
        <w:t>以下，具备本科及以上学历</w:t>
      </w:r>
      <w:r>
        <w:rPr>
          <w:rFonts w:hint="eastAsia" w:ascii="仿宋" w:hAnsi="仿宋" w:eastAsia="仿宋" w:cs="仿宋"/>
          <w:color w:val="auto"/>
          <w:spacing w:val="6"/>
          <w:sz w:val="28"/>
          <w:szCs w:val="28"/>
          <w:highlight w:val="none"/>
          <w:shd w:val="clear" w:color="auto" w:fill="FFFFFF"/>
          <w:lang w:eastAsia="zh-CN"/>
        </w:rPr>
        <w:t>，</w:t>
      </w:r>
      <w:r>
        <w:rPr>
          <w:rFonts w:hint="eastAsia" w:ascii="仿宋" w:hAnsi="仿宋" w:eastAsia="仿宋" w:cs="仿宋"/>
          <w:color w:val="auto"/>
          <w:spacing w:val="6"/>
          <w:sz w:val="28"/>
          <w:szCs w:val="28"/>
          <w:highlight w:val="none"/>
          <w:shd w:val="clear" w:color="auto" w:fill="FFFFFF"/>
        </w:rPr>
        <w:t>身体健康，普通话标准，沟通能力强，党员优先</w:t>
      </w:r>
      <w:r>
        <w:rPr>
          <w:rFonts w:hint="eastAsia" w:ascii="仿宋" w:hAnsi="仿宋" w:eastAsia="仿宋" w:cs="仿宋"/>
          <w:color w:val="auto"/>
          <w:spacing w:val="6"/>
          <w:sz w:val="28"/>
          <w:szCs w:val="28"/>
          <w:highlight w:val="none"/>
          <w:shd w:val="clear" w:color="auto" w:fill="FFFFFF"/>
          <w:lang w:eastAsia="zh-CN"/>
        </w:rPr>
        <w:t>。</w:t>
      </w:r>
    </w:p>
    <w:p w14:paraId="060BF65A">
      <w:pPr>
        <w:numPr>
          <w:ilvl w:val="0"/>
          <w:numId w:val="6"/>
        </w:numPr>
        <w:spacing w:line="360" w:lineRule="auto"/>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有责任心、吃苦耐劳，爱岗敬业，具备良好的管理、沟通、协调、团队建设能力。</w:t>
      </w:r>
    </w:p>
    <w:p w14:paraId="7617AFE0">
      <w:pPr>
        <w:numPr>
          <w:ilvl w:val="0"/>
          <w:numId w:val="6"/>
        </w:numPr>
        <w:spacing w:line="360" w:lineRule="auto"/>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提供投标单位</w:t>
      </w:r>
      <w:r>
        <w:rPr>
          <w:rFonts w:hint="eastAsia" w:ascii="仿宋" w:hAnsi="仿宋" w:eastAsia="仿宋" w:cs="仿宋"/>
          <w:color w:val="auto"/>
          <w:spacing w:val="6"/>
          <w:sz w:val="28"/>
          <w:szCs w:val="28"/>
          <w:highlight w:val="none"/>
          <w:shd w:val="clear" w:color="auto" w:fill="FFFFFF"/>
          <w:lang w:eastAsia="zh-CN"/>
        </w:rPr>
        <w:t>开标前连续六个月</w:t>
      </w:r>
      <w:r>
        <w:rPr>
          <w:rFonts w:hint="eastAsia" w:ascii="仿宋" w:hAnsi="仿宋" w:eastAsia="仿宋" w:cs="仿宋"/>
          <w:color w:val="auto"/>
          <w:spacing w:val="6"/>
          <w:sz w:val="28"/>
          <w:szCs w:val="28"/>
          <w:highlight w:val="none"/>
          <w:shd w:val="clear" w:color="auto" w:fill="FFFFFF"/>
        </w:rPr>
        <w:t>为其缴纳社保</w:t>
      </w:r>
      <w:r>
        <w:rPr>
          <w:rFonts w:hint="eastAsia" w:ascii="仿宋" w:hAnsi="仿宋" w:eastAsia="仿宋" w:cs="仿宋"/>
          <w:color w:val="auto"/>
          <w:spacing w:val="6"/>
          <w:sz w:val="28"/>
          <w:szCs w:val="28"/>
          <w:highlight w:val="none"/>
          <w:shd w:val="clear" w:color="auto" w:fill="FFFFFF"/>
          <w:lang w:eastAsia="zh-CN"/>
        </w:rPr>
        <w:t>的</w:t>
      </w:r>
      <w:r>
        <w:rPr>
          <w:rFonts w:hint="eastAsia" w:ascii="仿宋" w:hAnsi="仿宋" w:eastAsia="仿宋" w:cs="仿宋"/>
          <w:color w:val="auto"/>
          <w:spacing w:val="6"/>
          <w:sz w:val="28"/>
          <w:szCs w:val="28"/>
          <w:highlight w:val="none"/>
          <w:shd w:val="clear" w:color="auto" w:fill="FFFFFF"/>
        </w:rPr>
        <w:t>证明文件。</w:t>
      </w:r>
    </w:p>
    <w:p w14:paraId="05C32016">
      <w:pPr>
        <w:pStyle w:val="7"/>
        <w:numPr>
          <w:ilvl w:val="0"/>
          <w:numId w:val="4"/>
        </w:numPr>
        <w:shd w:val="clear" w:color="auto" w:fill="FFFFFF"/>
        <w:spacing w:beforeAutospacing="0" w:afterAutospacing="0" w:line="360" w:lineRule="auto"/>
        <w:rPr>
          <w:rFonts w:hint="eastAsia" w:ascii="仿宋" w:hAnsi="仿宋" w:eastAsia="仿宋" w:cs="仿宋"/>
          <w:color w:val="auto"/>
          <w:spacing w:val="6"/>
          <w:kern w:val="2"/>
          <w:sz w:val="28"/>
          <w:szCs w:val="28"/>
          <w:highlight w:val="none"/>
          <w:shd w:val="clear" w:color="auto" w:fill="FFFFFF"/>
        </w:rPr>
      </w:pPr>
      <w:r>
        <w:rPr>
          <w:rFonts w:hint="eastAsia" w:ascii="仿宋" w:hAnsi="仿宋" w:eastAsia="仿宋" w:cs="仿宋"/>
          <w:color w:val="auto"/>
          <w:spacing w:val="6"/>
          <w:kern w:val="2"/>
          <w:sz w:val="28"/>
          <w:szCs w:val="28"/>
          <w:highlight w:val="none"/>
          <w:shd w:val="clear" w:color="auto" w:fill="FFFFFF"/>
        </w:rPr>
        <w:t>秩序经理：</w:t>
      </w:r>
    </w:p>
    <w:p w14:paraId="0C154D39">
      <w:pPr>
        <w:numPr>
          <w:ilvl w:val="0"/>
          <w:numId w:val="7"/>
        </w:numPr>
        <w:spacing w:line="360" w:lineRule="auto"/>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年龄40岁</w:t>
      </w:r>
      <w:r>
        <w:rPr>
          <w:rFonts w:hint="eastAsia" w:ascii="仿宋" w:hAnsi="仿宋" w:eastAsia="仿宋" w:cs="仿宋"/>
          <w:color w:val="auto"/>
          <w:spacing w:val="6"/>
          <w:sz w:val="28"/>
          <w:szCs w:val="28"/>
          <w:highlight w:val="none"/>
          <w:shd w:val="clear" w:color="auto" w:fill="FFFFFF"/>
          <w:lang w:eastAsia="zh-CN"/>
        </w:rPr>
        <w:t>及</w:t>
      </w:r>
      <w:r>
        <w:rPr>
          <w:rFonts w:hint="eastAsia" w:ascii="仿宋" w:hAnsi="仿宋" w:eastAsia="仿宋" w:cs="仿宋"/>
          <w:color w:val="auto"/>
          <w:spacing w:val="6"/>
          <w:sz w:val="28"/>
          <w:szCs w:val="28"/>
          <w:highlight w:val="none"/>
          <w:shd w:val="clear" w:color="auto" w:fill="FFFFFF"/>
        </w:rPr>
        <w:t>以下，具有本科及以上学历，退伍军人优先。</w:t>
      </w:r>
    </w:p>
    <w:p w14:paraId="3F5D8949">
      <w:pPr>
        <w:numPr>
          <w:ilvl w:val="0"/>
          <w:numId w:val="7"/>
        </w:numPr>
        <w:spacing w:line="360" w:lineRule="auto"/>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提供投标单位</w:t>
      </w:r>
      <w:r>
        <w:rPr>
          <w:rFonts w:hint="eastAsia" w:ascii="仿宋" w:hAnsi="仿宋" w:eastAsia="仿宋" w:cs="仿宋"/>
          <w:color w:val="auto"/>
          <w:spacing w:val="6"/>
          <w:sz w:val="28"/>
          <w:szCs w:val="28"/>
          <w:highlight w:val="none"/>
          <w:shd w:val="clear" w:color="auto" w:fill="FFFFFF"/>
          <w:lang w:eastAsia="zh-CN"/>
        </w:rPr>
        <w:t>开标前连续六个月</w:t>
      </w:r>
      <w:r>
        <w:rPr>
          <w:rFonts w:hint="eastAsia" w:ascii="仿宋" w:hAnsi="仿宋" w:eastAsia="仿宋" w:cs="仿宋"/>
          <w:color w:val="auto"/>
          <w:spacing w:val="6"/>
          <w:sz w:val="28"/>
          <w:szCs w:val="28"/>
          <w:highlight w:val="none"/>
          <w:shd w:val="clear" w:color="auto" w:fill="FFFFFF"/>
        </w:rPr>
        <w:t>为其缴纳社保</w:t>
      </w:r>
      <w:r>
        <w:rPr>
          <w:rFonts w:hint="eastAsia" w:ascii="仿宋" w:hAnsi="仿宋" w:eastAsia="仿宋" w:cs="仿宋"/>
          <w:color w:val="auto"/>
          <w:spacing w:val="6"/>
          <w:sz w:val="28"/>
          <w:szCs w:val="28"/>
          <w:highlight w:val="none"/>
          <w:shd w:val="clear" w:color="auto" w:fill="FFFFFF"/>
          <w:lang w:eastAsia="zh-CN"/>
        </w:rPr>
        <w:t>的</w:t>
      </w:r>
      <w:r>
        <w:rPr>
          <w:rFonts w:hint="eastAsia" w:ascii="仿宋" w:hAnsi="仿宋" w:eastAsia="仿宋" w:cs="仿宋"/>
          <w:color w:val="auto"/>
          <w:spacing w:val="6"/>
          <w:sz w:val="28"/>
          <w:szCs w:val="28"/>
          <w:highlight w:val="none"/>
          <w:shd w:val="clear" w:color="auto" w:fill="FFFFFF"/>
        </w:rPr>
        <w:t>证明文件。</w:t>
      </w:r>
    </w:p>
    <w:p w14:paraId="25F03038">
      <w:pPr>
        <w:numPr>
          <w:ilvl w:val="0"/>
          <w:numId w:val="7"/>
        </w:numPr>
        <w:spacing w:line="360" w:lineRule="auto"/>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持消防设施操作员四级及以上证书优先。</w:t>
      </w:r>
      <w:r>
        <w:rPr>
          <w:rFonts w:hint="eastAsia" w:ascii="仿宋" w:hAnsi="仿宋" w:eastAsia="仿宋" w:cs="仿宋"/>
          <w:color w:val="auto"/>
          <w:spacing w:val="6"/>
          <w:sz w:val="28"/>
          <w:szCs w:val="28"/>
          <w:highlight w:val="none"/>
          <w:shd w:val="clear" w:color="auto" w:fill="FFFFFF"/>
          <w:lang w:eastAsia="zh-CN"/>
        </w:rPr>
        <w:t>（准入型）</w:t>
      </w:r>
    </w:p>
    <w:p w14:paraId="0122AB02">
      <w:pPr>
        <w:numPr>
          <w:ilvl w:val="0"/>
          <w:numId w:val="7"/>
        </w:numPr>
        <w:spacing w:line="360" w:lineRule="auto"/>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遵纪守法、品行端正、无不良嗜好；身体健康、有责任心、保密意识强，党员优先。</w:t>
      </w:r>
    </w:p>
    <w:p w14:paraId="2A071457">
      <w:pPr>
        <w:pStyle w:val="7"/>
        <w:numPr>
          <w:ilvl w:val="0"/>
          <w:numId w:val="4"/>
        </w:numPr>
        <w:shd w:val="clear" w:color="auto" w:fill="FFFFFF"/>
        <w:spacing w:beforeAutospacing="0" w:afterAutospacing="0" w:line="360" w:lineRule="auto"/>
        <w:rPr>
          <w:rFonts w:hint="eastAsia" w:ascii="仿宋" w:hAnsi="仿宋" w:eastAsia="仿宋" w:cs="仿宋"/>
          <w:color w:val="auto"/>
          <w:spacing w:val="6"/>
          <w:kern w:val="2"/>
          <w:sz w:val="28"/>
          <w:szCs w:val="28"/>
          <w:highlight w:val="none"/>
          <w:shd w:val="clear" w:color="auto" w:fill="FFFFFF"/>
        </w:rPr>
      </w:pPr>
      <w:r>
        <w:rPr>
          <w:rFonts w:hint="eastAsia" w:ascii="仿宋" w:hAnsi="仿宋" w:eastAsia="仿宋" w:cs="仿宋"/>
          <w:color w:val="auto"/>
          <w:spacing w:val="6"/>
          <w:kern w:val="2"/>
          <w:sz w:val="28"/>
          <w:szCs w:val="28"/>
          <w:highlight w:val="none"/>
          <w:shd w:val="clear" w:color="auto" w:fill="FFFFFF"/>
        </w:rPr>
        <w:t>工程经理</w:t>
      </w:r>
    </w:p>
    <w:bookmarkEnd w:id="0"/>
    <w:p w14:paraId="67AABB68">
      <w:pPr>
        <w:pStyle w:val="7"/>
        <w:shd w:val="clear" w:color="auto" w:fill="FFFFFF"/>
        <w:spacing w:beforeAutospacing="0" w:afterAutospacing="0" w:line="360" w:lineRule="auto"/>
        <w:ind w:left="0" w:leftChars="0" w:firstLine="838" w:firstLineChars="287"/>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(1)</w:t>
      </w:r>
      <w:r>
        <w:rPr>
          <w:rFonts w:hint="eastAsia" w:ascii="仿宋" w:hAnsi="仿宋" w:eastAsia="仿宋" w:cs="仿宋"/>
          <w:color w:val="auto"/>
          <w:spacing w:val="6"/>
          <w:sz w:val="28"/>
          <w:szCs w:val="28"/>
          <w:highlight w:val="none"/>
          <w:shd w:val="clear" w:color="auto" w:fill="FFFFFF"/>
        </w:rPr>
        <w:tab/>
      </w:r>
      <w:r>
        <w:rPr>
          <w:rFonts w:hint="eastAsia" w:ascii="仿宋" w:hAnsi="仿宋" w:eastAsia="仿宋" w:cs="仿宋"/>
          <w:color w:val="auto"/>
          <w:spacing w:val="6"/>
          <w:sz w:val="28"/>
          <w:szCs w:val="28"/>
          <w:highlight w:val="none"/>
          <w:shd w:val="clear" w:color="auto" w:fill="FFFFFF"/>
        </w:rPr>
        <w:t>年龄45岁</w:t>
      </w:r>
      <w:r>
        <w:rPr>
          <w:rFonts w:hint="eastAsia" w:ascii="仿宋" w:hAnsi="仿宋" w:eastAsia="仿宋" w:cs="仿宋"/>
          <w:color w:val="auto"/>
          <w:spacing w:val="6"/>
          <w:sz w:val="28"/>
          <w:szCs w:val="28"/>
          <w:highlight w:val="none"/>
          <w:shd w:val="clear" w:color="auto" w:fill="FFFFFF"/>
          <w:lang w:eastAsia="zh-CN"/>
        </w:rPr>
        <w:t>及</w:t>
      </w:r>
      <w:r>
        <w:rPr>
          <w:rFonts w:hint="eastAsia" w:ascii="仿宋" w:hAnsi="仿宋" w:eastAsia="仿宋" w:cs="仿宋"/>
          <w:color w:val="auto"/>
          <w:spacing w:val="6"/>
          <w:sz w:val="28"/>
          <w:szCs w:val="28"/>
          <w:highlight w:val="none"/>
          <w:shd w:val="clear" w:color="auto" w:fill="FFFFFF"/>
        </w:rPr>
        <w:t>以下，具有本科及以上学历，熟练掌握工程相关知识。</w:t>
      </w:r>
    </w:p>
    <w:p w14:paraId="0F42340B">
      <w:pPr>
        <w:pStyle w:val="7"/>
        <w:shd w:val="clear" w:color="auto" w:fill="FFFFFF"/>
        <w:spacing w:beforeAutospacing="0" w:afterAutospacing="0" w:line="360" w:lineRule="auto"/>
        <w:ind w:left="0" w:leftChars="0" w:firstLine="838" w:firstLineChars="287"/>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w:t>
      </w:r>
      <w:r>
        <w:rPr>
          <w:rFonts w:hint="eastAsia" w:ascii="仿宋" w:hAnsi="仿宋" w:eastAsia="仿宋" w:cs="仿宋"/>
          <w:color w:val="auto"/>
          <w:spacing w:val="6"/>
          <w:sz w:val="28"/>
          <w:szCs w:val="28"/>
          <w:highlight w:val="none"/>
          <w:shd w:val="clear" w:color="auto" w:fill="FFFFFF"/>
          <w:lang w:val="en-US" w:eastAsia="zh-CN"/>
        </w:rPr>
        <w:t>2</w:t>
      </w:r>
      <w:r>
        <w:rPr>
          <w:rFonts w:hint="eastAsia" w:ascii="仿宋" w:hAnsi="仿宋" w:eastAsia="仿宋" w:cs="仿宋"/>
          <w:color w:val="auto"/>
          <w:spacing w:val="6"/>
          <w:sz w:val="28"/>
          <w:szCs w:val="28"/>
          <w:highlight w:val="none"/>
          <w:shd w:val="clear" w:color="auto" w:fill="FFFFFF"/>
        </w:rPr>
        <w:t>)</w:t>
      </w:r>
      <w:r>
        <w:rPr>
          <w:rFonts w:hint="eastAsia" w:ascii="仿宋" w:hAnsi="仿宋" w:eastAsia="仿宋" w:cs="仿宋"/>
          <w:color w:val="auto"/>
          <w:spacing w:val="6"/>
          <w:sz w:val="28"/>
          <w:szCs w:val="28"/>
          <w:highlight w:val="none"/>
          <w:shd w:val="clear" w:color="auto" w:fill="FFFFFF"/>
        </w:rPr>
        <w:tab/>
      </w:r>
      <w:r>
        <w:rPr>
          <w:rFonts w:hint="eastAsia" w:ascii="仿宋" w:hAnsi="仿宋" w:eastAsia="仿宋" w:cs="仿宋"/>
          <w:color w:val="auto"/>
          <w:spacing w:val="6"/>
          <w:sz w:val="28"/>
          <w:szCs w:val="28"/>
          <w:highlight w:val="none"/>
          <w:shd w:val="clear" w:color="auto" w:fill="FFFFFF"/>
        </w:rPr>
        <w:t>具有电工作业操作证。</w:t>
      </w:r>
      <w:r>
        <w:rPr>
          <w:rFonts w:hint="eastAsia" w:ascii="仿宋" w:hAnsi="仿宋" w:eastAsia="仿宋" w:cs="仿宋"/>
          <w:color w:val="auto"/>
          <w:spacing w:val="6"/>
          <w:sz w:val="28"/>
          <w:szCs w:val="28"/>
          <w:highlight w:val="none"/>
          <w:shd w:val="clear" w:color="auto" w:fill="FFFFFF"/>
          <w:lang w:eastAsia="zh-CN"/>
        </w:rPr>
        <w:t>（准入型）</w:t>
      </w:r>
    </w:p>
    <w:p w14:paraId="1C47916D">
      <w:pPr>
        <w:pStyle w:val="7"/>
        <w:shd w:val="clear" w:color="auto" w:fill="FFFFFF"/>
        <w:spacing w:beforeAutospacing="0" w:afterAutospacing="0" w:line="360" w:lineRule="auto"/>
        <w:ind w:left="0" w:leftChars="0" w:firstLine="838" w:firstLineChars="287"/>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w:t>
      </w:r>
      <w:r>
        <w:rPr>
          <w:rFonts w:hint="eastAsia" w:ascii="仿宋" w:hAnsi="仿宋" w:eastAsia="仿宋" w:cs="仿宋"/>
          <w:color w:val="auto"/>
          <w:spacing w:val="6"/>
          <w:sz w:val="28"/>
          <w:szCs w:val="28"/>
          <w:highlight w:val="none"/>
          <w:shd w:val="clear" w:color="auto" w:fill="FFFFFF"/>
          <w:lang w:val="en-US" w:eastAsia="zh-CN"/>
        </w:rPr>
        <w:t>3</w:t>
      </w:r>
      <w:r>
        <w:rPr>
          <w:rFonts w:hint="eastAsia" w:ascii="仿宋" w:hAnsi="仿宋" w:eastAsia="仿宋" w:cs="仿宋"/>
          <w:color w:val="auto"/>
          <w:spacing w:val="6"/>
          <w:sz w:val="28"/>
          <w:szCs w:val="28"/>
          <w:highlight w:val="none"/>
          <w:shd w:val="clear" w:color="auto" w:fill="FFFFFF"/>
        </w:rPr>
        <w:t>)</w:t>
      </w:r>
      <w:r>
        <w:rPr>
          <w:rFonts w:hint="eastAsia" w:ascii="仿宋" w:hAnsi="仿宋" w:eastAsia="仿宋" w:cs="仿宋"/>
          <w:color w:val="auto"/>
          <w:spacing w:val="6"/>
          <w:sz w:val="28"/>
          <w:szCs w:val="28"/>
          <w:highlight w:val="none"/>
          <w:shd w:val="clear" w:color="auto" w:fill="FFFFFF"/>
        </w:rPr>
        <w:tab/>
      </w:r>
      <w:r>
        <w:rPr>
          <w:rFonts w:hint="eastAsia" w:ascii="仿宋" w:hAnsi="仿宋" w:eastAsia="仿宋" w:cs="仿宋"/>
          <w:color w:val="auto"/>
          <w:spacing w:val="6"/>
          <w:sz w:val="28"/>
          <w:szCs w:val="28"/>
          <w:highlight w:val="none"/>
          <w:shd w:val="clear" w:color="auto" w:fill="FFFFFF"/>
        </w:rPr>
        <w:t>具有人社部或住房和城乡建设管理委员会颁发的中级及以上职称。</w:t>
      </w:r>
    </w:p>
    <w:p w14:paraId="49BD32DF">
      <w:pPr>
        <w:pStyle w:val="7"/>
        <w:shd w:val="clear" w:color="auto" w:fill="FFFFFF"/>
        <w:spacing w:beforeAutospacing="0" w:afterAutospacing="0" w:line="360" w:lineRule="auto"/>
        <w:ind w:left="0" w:leftChars="0" w:firstLine="838" w:firstLineChars="287"/>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w:t>
      </w:r>
      <w:r>
        <w:rPr>
          <w:rFonts w:hint="eastAsia" w:ascii="仿宋" w:hAnsi="仿宋" w:eastAsia="仿宋" w:cs="仿宋"/>
          <w:color w:val="auto"/>
          <w:spacing w:val="6"/>
          <w:sz w:val="28"/>
          <w:szCs w:val="28"/>
          <w:highlight w:val="none"/>
          <w:shd w:val="clear" w:color="auto" w:fill="FFFFFF"/>
          <w:lang w:val="en-US" w:eastAsia="zh-CN"/>
        </w:rPr>
        <w:t>4</w:t>
      </w:r>
      <w:r>
        <w:rPr>
          <w:rFonts w:hint="eastAsia" w:ascii="仿宋" w:hAnsi="仿宋" w:eastAsia="仿宋" w:cs="仿宋"/>
          <w:color w:val="auto"/>
          <w:spacing w:val="6"/>
          <w:sz w:val="28"/>
          <w:szCs w:val="28"/>
          <w:highlight w:val="none"/>
          <w:shd w:val="clear" w:color="auto" w:fill="FFFFFF"/>
        </w:rPr>
        <w:t>)</w:t>
      </w:r>
      <w:r>
        <w:rPr>
          <w:rFonts w:hint="eastAsia" w:ascii="仿宋" w:hAnsi="仿宋" w:eastAsia="仿宋" w:cs="仿宋"/>
          <w:color w:val="auto"/>
          <w:spacing w:val="6"/>
          <w:sz w:val="28"/>
          <w:szCs w:val="28"/>
          <w:highlight w:val="none"/>
          <w:shd w:val="clear" w:color="auto" w:fill="FFFFFF"/>
        </w:rPr>
        <w:tab/>
      </w:r>
      <w:r>
        <w:rPr>
          <w:rFonts w:hint="eastAsia" w:ascii="仿宋" w:hAnsi="仿宋" w:eastAsia="仿宋" w:cs="仿宋"/>
          <w:color w:val="auto"/>
          <w:spacing w:val="6"/>
          <w:sz w:val="28"/>
          <w:szCs w:val="28"/>
          <w:highlight w:val="none"/>
          <w:shd w:val="clear" w:color="auto" w:fill="FFFFFF"/>
          <w:lang w:eastAsia="zh-CN"/>
        </w:rPr>
        <w:t>参加并</w:t>
      </w:r>
      <w:r>
        <w:rPr>
          <w:rFonts w:hint="eastAsia" w:ascii="仿宋" w:hAnsi="仿宋" w:eastAsia="仿宋" w:cs="仿宋"/>
          <w:color w:val="auto"/>
          <w:spacing w:val="6"/>
          <w:sz w:val="28"/>
          <w:szCs w:val="28"/>
          <w:highlight w:val="none"/>
          <w:shd w:val="clear" w:color="auto" w:fill="FFFFFF"/>
        </w:rPr>
        <w:t>通过中国物业管理协会组织的物业承接查验与设施设备管理相关培训</w:t>
      </w:r>
    </w:p>
    <w:p w14:paraId="458C187B">
      <w:pPr>
        <w:pStyle w:val="7"/>
        <w:shd w:val="clear" w:color="auto" w:fill="FFFFFF"/>
        <w:spacing w:beforeAutospacing="0" w:afterAutospacing="0" w:line="360" w:lineRule="auto"/>
        <w:ind w:left="0" w:leftChars="0" w:firstLine="838" w:firstLineChars="287"/>
        <w:rPr>
          <w:rFonts w:hint="eastAsia" w:ascii="仿宋" w:hAnsi="仿宋" w:eastAsia="仿宋" w:cs="仿宋"/>
          <w:color w:val="auto"/>
          <w:spacing w:val="6"/>
          <w:kern w:val="2"/>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w:t>
      </w:r>
      <w:r>
        <w:rPr>
          <w:rFonts w:hint="eastAsia" w:ascii="仿宋" w:hAnsi="仿宋" w:eastAsia="仿宋" w:cs="仿宋"/>
          <w:color w:val="auto"/>
          <w:spacing w:val="6"/>
          <w:sz w:val="28"/>
          <w:szCs w:val="28"/>
          <w:highlight w:val="none"/>
          <w:shd w:val="clear" w:color="auto" w:fill="FFFFFF"/>
          <w:lang w:val="en-US" w:eastAsia="zh-CN"/>
        </w:rPr>
        <w:t>5</w:t>
      </w:r>
      <w:r>
        <w:rPr>
          <w:rFonts w:hint="eastAsia" w:ascii="仿宋" w:hAnsi="仿宋" w:eastAsia="仿宋" w:cs="仿宋"/>
          <w:color w:val="auto"/>
          <w:spacing w:val="6"/>
          <w:sz w:val="28"/>
          <w:szCs w:val="28"/>
          <w:highlight w:val="none"/>
          <w:shd w:val="clear" w:color="auto" w:fill="FFFFFF"/>
        </w:rPr>
        <w:t>)</w:t>
      </w:r>
      <w:r>
        <w:rPr>
          <w:rFonts w:hint="eastAsia" w:ascii="仿宋" w:hAnsi="仿宋" w:eastAsia="仿宋" w:cs="仿宋"/>
          <w:color w:val="auto"/>
          <w:spacing w:val="6"/>
          <w:sz w:val="28"/>
          <w:szCs w:val="28"/>
          <w:highlight w:val="none"/>
          <w:shd w:val="clear" w:color="auto" w:fill="FFFFFF"/>
        </w:rPr>
        <w:tab/>
      </w:r>
      <w:r>
        <w:rPr>
          <w:rFonts w:hint="eastAsia" w:ascii="仿宋" w:hAnsi="仿宋" w:eastAsia="仿宋" w:cs="仿宋"/>
          <w:color w:val="auto"/>
          <w:spacing w:val="6"/>
          <w:sz w:val="28"/>
          <w:szCs w:val="28"/>
          <w:highlight w:val="none"/>
          <w:shd w:val="clear" w:color="auto" w:fill="FFFFFF"/>
        </w:rPr>
        <w:t>提供投标单位</w:t>
      </w:r>
      <w:r>
        <w:rPr>
          <w:rFonts w:hint="eastAsia" w:ascii="仿宋" w:hAnsi="仿宋" w:eastAsia="仿宋" w:cs="仿宋"/>
          <w:color w:val="auto"/>
          <w:spacing w:val="6"/>
          <w:sz w:val="28"/>
          <w:szCs w:val="28"/>
          <w:highlight w:val="none"/>
          <w:shd w:val="clear" w:color="auto" w:fill="FFFFFF"/>
          <w:lang w:eastAsia="zh-CN"/>
        </w:rPr>
        <w:t>开标前连续六个月</w:t>
      </w:r>
      <w:r>
        <w:rPr>
          <w:rFonts w:hint="eastAsia" w:ascii="仿宋" w:hAnsi="仿宋" w:eastAsia="仿宋" w:cs="仿宋"/>
          <w:color w:val="auto"/>
          <w:spacing w:val="6"/>
          <w:sz w:val="28"/>
          <w:szCs w:val="28"/>
          <w:highlight w:val="none"/>
          <w:shd w:val="clear" w:color="auto" w:fill="FFFFFF"/>
        </w:rPr>
        <w:t>为其缴纳社保</w:t>
      </w:r>
      <w:r>
        <w:rPr>
          <w:rFonts w:hint="eastAsia" w:ascii="仿宋" w:hAnsi="仿宋" w:eastAsia="仿宋" w:cs="仿宋"/>
          <w:color w:val="auto"/>
          <w:spacing w:val="6"/>
          <w:sz w:val="28"/>
          <w:szCs w:val="28"/>
          <w:highlight w:val="none"/>
          <w:shd w:val="clear" w:color="auto" w:fill="FFFFFF"/>
          <w:lang w:eastAsia="zh-CN"/>
        </w:rPr>
        <w:t>的</w:t>
      </w:r>
      <w:r>
        <w:rPr>
          <w:rFonts w:hint="eastAsia" w:ascii="仿宋" w:hAnsi="仿宋" w:eastAsia="仿宋" w:cs="仿宋"/>
          <w:color w:val="auto"/>
          <w:spacing w:val="6"/>
          <w:sz w:val="28"/>
          <w:szCs w:val="28"/>
          <w:highlight w:val="none"/>
          <w:shd w:val="clear" w:color="auto" w:fill="FFFFFF"/>
        </w:rPr>
        <w:t>证明文件。</w:t>
      </w:r>
    </w:p>
    <w:p w14:paraId="2F144BFA">
      <w:pPr>
        <w:widowControl/>
        <w:ind w:firstLine="487" w:firstLineChars="166"/>
        <w:jc w:val="left"/>
        <w:rPr>
          <w:rFonts w:hint="eastAsia" w:ascii="仿宋" w:hAnsi="仿宋" w:eastAsia="仿宋" w:cs="仿宋"/>
          <w:b/>
          <w:bCs/>
          <w:color w:val="auto"/>
          <w:spacing w:val="6"/>
          <w:sz w:val="28"/>
          <w:szCs w:val="28"/>
          <w:highlight w:val="none"/>
          <w:shd w:val="clear" w:color="auto" w:fill="FFFFFF"/>
        </w:rPr>
      </w:pPr>
      <w:r>
        <w:rPr>
          <w:rFonts w:hint="eastAsia" w:ascii="仿宋" w:hAnsi="仿宋" w:eastAsia="仿宋" w:cs="仿宋"/>
          <w:b/>
          <w:bCs/>
          <w:color w:val="auto"/>
          <w:spacing w:val="6"/>
          <w:sz w:val="28"/>
          <w:szCs w:val="28"/>
          <w:highlight w:val="none"/>
          <w:shd w:val="clear" w:color="auto" w:fill="FFFFFF"/>
        </w:rPr>
        <w:t>三、物业管理与服务的考评</w:t>
      </w:r>
    </w:p>
    <w:p w14:paraId="38B372D0">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(一)本项目管理酬金宜为6%-8%，学校根据每年业务开展情况以日常考评及年度考评的方式对中标公司实施考评</w:t>
      </w:r>
    </w:p>
    <w:p w14:paraId="574869DB">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(二)考评结果处理办法</w:t>
      </w:r>
    </w:p>
    <w:tbl>
      <w:tblPr>
        <w:tblStyle w:val="9"/>
        <w:tblW w:w="8448"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6"/>
        <w:gridCol w:w="5172"/>
      </w:tblGrid>
      <w:tr w14:paraId="5375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276" w:type="dxa"/>
          </w:tcPr>
          <w:p w14:paraId="1011DDAA">
            <w:pPr>
              <w:widowControl/>
              <w:jc w:val="center"/>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90分以上(包括90分)</w:t>
            </w:r>
          </w:p>
        </w:tc>
        <w:tc>
          <w:tcPr>
            <w:tcW w:w="5172" w:type="dxa"/>
          </w:tcPr>
          <w:p w14:paraId="187173D7">
            <w:pPr>
              <w:widowControl/>
              <w:jc w:val="center"/>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全额支付实际运营成本和管理酬金</w:t>
            </w:r>
          </w:p>
        </w:tc>
      </w:tr>
      <w:tr w14:paraId="6CED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276" w:type="dxa"/>
          </w:tcPr>
          <w:p w14:paraId="652B717B">
            <w:pPr>
              <w:widowControl/>
              <w:jc w:val="center"/>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70-89分之间(包括70分)</w:t>
            </w:r>
          </w:p>
        </w:tc>
        <w:tc>
          <w:tcPr>
            <w:tcW w:w="5172" w:type="dxa"/>
          </w:tcPr>
          <w:p w14:paraId="4EAD6448">
            <w:pPr>
              <w:widowControl/>
              <w:jc w:val="center"/>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视情况支付实际运营成本和部分管理酬金</w:t>
            </w:r>
          </w:p>
        </w:tc>
      </w:tr>
      <w:tr w14:paraId="36CB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276" w:type="dxa"/>
          </w:tcPr>
          <w:p w14:paraId="5D3A1D8B">
            <w:pPr>
              <w:widowControl/>
              <w:jc w:val="center"/>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69 分以下</w:t>
            </w:r>
          </w:p>
        </w:tc>
        <w:tc>
          <w:tcPr>
            <w:tcW w:w="5172" w:type="dxa"/>
          </w:tcPr>
          <w:p w14:paraId="198C4F51">
            <w:pPr>
              <w:widowControl/>
              <w:jc w:val="center"/>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甲方可终止合同</w:t>
            </w:r>
          </w:p>
        </w:tc>
      </w:tr>
    </w:tbl>
    <w:p w14:paraId="38F4DA69">
      <w:pPr>
        <w:widowControl/>
        <w:ind w:firstLine="487" w:firstLineChars="166"/>
        <w:jc w:val="left"/>
        <w:rPr>
          <w:rFonts w:hint="eastAsia" w:ascii="仿宋" w:hAnsi="仿宋" w:eastAsia="仿宋" w:cs="仿宋"/>
          <w:b/>
          <w:bCs/>
          <w:color w:val="auto"/>
          <w:spacing w:val="6"/>
          <w:sz w:val="28"/>
          <w:szCs w:val="28"/>
          <w:highlight w:val="none"/>
          <w:shd w:val="clear" w:color="auto" w:fill="FFFFFF"/>
        </w:rPr>
      </w:pPr>
    </w:p>
    <w:p w14:paraId="246BC12B">
      <w:pPr>
        <w:widowControl/>
        <w:ind w:firstLine="487" w:firstLineChars="166"/>
        <w:jc w:val="left"/>
        <w:rPr>
          <w:rFonts w:hint="eastAsia" w:ascii="仿宋" w:hAnsi="仿宋" w:eastAsia="仿宋" w:cs="仿宋"/>
          <w:b/>
          <w:bCs/>
          <w:color w:val="auto"/>
          <w:spacing w:val="6"/>
          <w:sz w:val="28"/>
          <w:szCs w:val="28"/>
          <w:highlight w:val="none"/>
          <w:shd w:val="clear" w:color="auto" w:fill="FFFFFF"/>
        </w:rPr>
      </w:pPr>
      <w:r>
        <w:rPr>
          <w:rFonts w:hint="eastAsia" w:ascii="仿宋" w:hAnsi="仿宋" w:eastAsia="仿宋" w:cs="仿宋"/>
          <w:b/>
          <w:bCs/>
          <w:color w:val="auto"/>
          <w:spacing w:val="6"/>
          <w:sz w:val="28"/>
          <w:szCs w:val="28"/>
          <w:highlight w:val="none"/>
          <w:shd w:val="clear" w:color="auto" w:fill="FFFFFF"/>
        </w:rPr>
        <w:t>四、结算及支付</w:t>
      </w:r>
    </w:p>
    <w:p w14:paraId="54DE4BFD">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中标单位应按月将已发生的费用清单提交业主单位审核,业主单位审核同意后</w:t>
      </w:r>
      <w:r>
        <w:rPr>
          <w:rFonts w:hint="eastAsia" w:ascii="仿宋" w:hAnsi="仿宋" w:eastAsia="仿宋" w:cs="仿宋"/>
          <w:color w:val="auto"/>
          <w:spacing w:val="6"/>
          <w:sz w:val="28"/>
          <w:szCs w:val="28"/>
          <w:highlight w:val="none"/>
          <w:shd w:val="clear" w:color="auto" w:fill="FFFFFF"/>
          <w:lang w:eastAsia="zh-CN"/>
        </w:rPr>
        <w:t>根据招标文件约定向</w:t>
      </w:r>
      <w:r>
        <w:rPr>
          <w:rFonts w:hint="eastAsia" w:ascii="仿宋" w:hAnsi="仿宋" w:eastAsia="仿宋" w:cs="仿宋"/>
          <w:color w:val="auto"/>
          <w:spacing w:val="6"/>
          <w:sz w:val="28"/>
          <w:szCs w:val="28"/>
          <w:highlight w:val="none"/>
          <w:shd w:val="clear" w:color="auto" w:fill="FFFFFF"/>
        </w:rPr>
        <w:t>中标单位</w:t>
      </w:r>
      <w:r>
        <w:rPr>
          <w:rFonts w:hint="eastAsia" w:ascii="仿宋" w:hAnsi="仿宋" w:eastAsia="仿宋" w:cs="仿宋"/>
          <w:color w:val="auto"/>
          <w:spacing w:val="6"/>
          <w:sz w:val="28"/>
          <w:szCs w:val="28"/>
          <w:highlight w:val="none"/>
          <w:shd w:val="clear" w:color="auto" w:fill="FFFFFF"/>
          <w:lang w:eastAsia="zh-CN"/>
        </w:rPr>
        <w:t>支付款项</w:t>
      </w:r>
      <w:r>
        <w:rPr>
          <w:rFonts w:hint="eastAsia" w:ascii="仿宋" w:hAnsi="仿宋" w:eastAsia="仿宋" w:cs="仿宋"/>
          <w:color w:val="auto"/>
          <w:spacing w:val="6"/>
          <w:sz w:val="28"/>
          <w:szCs w:val="28"/>
          <w:highlight w:val="none"/>
          <w:shd w:val="clear" w:color="auto" w:fill="FFFFFF"/>
        </w:rPr>
        <w:t>。</w:t>
      </w:r>
    </w:p>
    <w:p w14:paraId="39188112">
      <w:pPr>
        <w:widowControl/>
        <w:ind w:firstLine="487" w:firstLineChars="166"/>
        <w:jc w:val="left"/>
        <w:rPr>
          <w:rFonts w:hint="eastAsia" w:ascii="仿宋" w:hAnsi="仿宋" w:eastAsia="仿宋" w:cs="仿宋"/>
          <w:b/>
          <w:bCs/>
          <w:color w:val="auto"/>
          <w:spacing w:val="6"/>
          <w:sz w:val="28"/>
          <w:szCs w:val="28"/>
          <w:highlight w:val="none"/>
          <w:shd w:val="clear" w:color="auto" w:fill="FFFFFF"/>
        </w:rPr>
      </w:pPr>
      <w:r>
        <w:rPr>
          <w:rFonts w:hint="eastAsia" w:ascii="仿宋" w:hAnsi="仿宋" w:eastAsia="仿宋" w:cs="仿宋"/>
          <w:b/>
          <w:bCs/>
          <w:color w:val="auto"/>
          <w:spacing w:val="6"/>
          <w:sz w:val="28"/>
          <w:szCs w:val="28"/>
          <w:highlight w:val="none"/>
          <w:shd w:val="clear" w:color="auto" w:fill="FFFFFF"/>
        </w:rPr>
        <w:t>五、投标单位注意事项</w:t>
      </w:r>
    </w:p>
    <w:p w14:paraId="7C1C68ED">
      <w:pPr>
        <w:widowControl/>
        <w:ind w:firstLine="484" w:firstLineChars="166"/>
        <w:jc w:val="left"/>
        <w:rPr>
          <w:rFonts w:hint="eastAsia" w:ascii="仿宋" w:hAnsi="仿宋" w:eastAsia="仿宋" w:cs="仿宋"/>
          <w:color w:val="auto"/>
          <w:spacing w:val="6"/>
          <w:sz w:val="28"/>
          <w:szCs w:val="28"/>
          <w:highlight w:val="none"/>
          <w:shd w:val="clear" w:color="auto" w:fill="FFFFFF"/>
        </w:rPr>
      </w:pPr>
      <w:r>
        <w:rPr>
          <w:rFonts w:hint="eastAsia" w:ascii="仿宋" w:hAnsi="仿宋" w:eastAsia="仿宋" w:cs="仿宋"/>
          <w:color w:val="auto"/>
          <w:spacing w:val="6"/>
          <w:sz w:val="28"/>
          <w:szCs w:val="28"/>
          <w:highlight w:val="none"/>
          <w:shd w:val="clear" w:color="auto" w:fill="FFFFFF"/>
        </w:rPr>
        <w:t>1、本项目不组织踏勘，投标单位可自行踏勘现场，制定符合项目需求和实际的管理方案。</w:t>
      </w:r>
    </w:p>
    <w:p w14:paraId="5000F5B4">
      <w:pPr>
        <w:widowControl/>
        <w:ind w:firstLine="484" w:firstLineChars="166"/>
        <w:jc w:val="left"/>
        <w:rPr>
          <w:rFonts w:hint="eastAsia" w:ascii="仿宋" w:hAnsi="仿宋" w:eastAsia="仿宋" w:cs="仿宋"/>
          <w:color w:val="auto"/>
          <w:spacing w:val="6"/>
          <w:sz w:val="28"/>
          <w:szCs w:val="28"/>
          <w:highlight w:val="none"/>
          <w:shd w:val="clear" w:color="auto" w:fill="FFFFFF"/>
          <w:lang w:val="en-US" w:eastAsia="zh-CN"/>
        </w:rPr>
      </w:pPr>
      <w:r>
        <w:rPr>
          <w:rFonts w:hint="eastAsia" w:ascii="仿宋" w:hAnsi="仿宋" w:eastAsia="仿宋" w:cs="仿宋"/>
          <w:color w:val="auto"/>
          <w:spacing w:val="6"/>
          <w:sz w:val="28"/>
          <w:szCs w:val="28"/>
          <w:highlight w:val="none"/>
          <w:shd w:val="clear" w:color="auto" w:fill="FFFFFF"/>
          <w:lang w:val="en-US" w:eastAsia="zh-CN"/>
        </w:rPr>
        <w:t>2、前期介入与后期交接的配合责任：本项目物业服务分为“前期介入”与“正式运营”两个阶段。本次招标范围为“前期介入”阶段服务。投标人充分知晓并须承诺：中标人需与本项目“正式运营”阶段的物业服务在业主方的组织协调下，无条件配合完成向新任“正式运营”物业服务商的全方位、无缝交接工作。</w:t>
      </w:r>
    </w:p>
    <w:p w14:paraId="4C105CD3">
      <w:pPr>
        <w:widowControl/>
        <w:ind w:firstLine="484" w:firstLineChars="166"/>
        <w:jc w:val="left"/>
        <w:rPr>
          <w:rFonts w:hint="eastAsia" w:ascii="仿宋" w:hAnsi="仿宋" w:eastAsia="仿宋" w:cs="仿宋"/>
          <w:color w:val="auto"/>
          <w:spacing w:val="6"/>
          <w:sz w:val="28"/>
          <w:szCs w:val="28"/>
          <w:highlight w:val="none"/>
          <w:shd w:val="clear" w:color="auto" w:fill="FFFFFF"/>
          <w:lang w:val="en-US" w:eastAsia="zh-CN"/>
        </w:rPr>
      </w:pPr>
    </w:p>
    <w:p w14:paraId="6CBB6FA3">
      <w:pPr>
        <w:widowControl/>
        <w:ind w:firstLine="484" w:firstLineChars="166"/>
        <w:jc w:val="left"/>
        <w:rPr>
          <w:rFonts w:hint="eastAsia" w:ascii="仿宋" w:hAnsi="仿宋" w:eastAsia="仿宋" w:cs="仿宋"/>
          <w:color w:val="auto"/>
          <w:spacing w:val="6"/>
          <w:sz w:val="28"/>
          <w:szCs w:val="28"/>
          <w:highlight w:val="none"/>
          <w:shd w:val="clear" w:color="auto" w:fill="FFFFFF"/>
          <w:lang w:val="en-US" w:eastAsia="zh-CN"/>
        </w:rPr>
      </w:pPr>
    </w:p>
    <w:p w14:paraId="7E25C09A">
      <w:pPr>
        <w:spacing w:line="360" w:lineRule="auto"/>
        <w:jc w:val="left"/>
        <w:rPr>
          <w:rFonts w:hint="eastAsia" w:ascii="仿宋" w:hAnsi="仿宋" w:eastAsia="仿宋" w:cs="仿宋"/>
          <w:color w:val="auto"/>
          <w:spacing w:val="6"/>
          <w:sz w:val="28"/>
          <w:szCs w:val="28"/>
          <w:highlight w:val="none"/>
          <w:shd w:val="clear" w:color="auto" w:fill="FFFFFF"/>
          <w:lang w:val="en-US" w:eastAsia="zh-CN"/>
        </w:rPr>
      </w:pPr>
      <w:r>
        <w:rPr>
          <w:rFonts w:hint="eastAsia" w:ascii="仿宋" w:hAnsi="仿宋" w:eastAsia="仿宋" w:cs="仿宋"/>
          <w:color w:val="auto"/>
          <w:spacing w:val="6"/>
          <w:sz w:val="28"/>
          <w:szCs w:val="28"/>
          <w:highlight w:val="none"/>
          <w:shd w:val="clear" w:color="auto" w:fill="FFFFFF"/>
          <w:lang w:val="en-US" w:eastAsia="zh-CN"/>
        </w:rPr>
        <w:t>附件：</w:t>
      </w:r>
      <w:bookmarkStart w:id="1" w:name="_GoBack"/>
      <w:bookmarkEnd w:id="1"/>
    </w:p>
    <w:p w14:paraId="31BF2C9B">
      <w:pPr>
        <w:spacing w:line="360" w:lineRule="auto"/>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前期</w:t>
      </w:r>
      <w:r>
        <w:rPr>
          <w:rFonts w:hint="eastAsia" w:ascii="黑体" w:hAnsi="黑体" w:eastAsia="黑体" w:cs="黑体"/>
          <w:sz w:val="32"/>
          <w:szCs w:val="32"/>
        </w:rPr>
        <w:t>物业服务考评表</w:t>
      </w:r>
    </w:p>
    <w:p w14:paraId="5E30AFA8">
      <w:pPr>
        <w:spacing w:line="360" w:lineRule="auto"/>
        <w:ind w:left="-124" w:leftChars="-59" w:firstLine="660" w:firstLineChars="300"/>
        <w:rPr>
          <w:rFonts w:hint="default" w:eastAsia="仿宋_GB2312"/>
          <w:sz w:val="22"/>
          <w:u w:val="single"/>
          <w:lang w:val="en-US" w:eastAsia="zh-CN"/>
        </w:rPr>
      </w:pPr>
      <w:r>
        <w:rPr>
          <w:rFonts w:hint="eastAsia"/>
          <w:sz w:val="22"/>
        </w:rPr>
        <w:t>考核方（</w:t>
      </w:r>
      <w:r>
        <w:rPr>
          <w:rFonts w:hint="eastAsia"/>
          <w:sz w:val="22"/>
          <w:lang w:val="en-US" w:eastAsia="zh-CN"/>
        </w:rPr>
        <w:t xml:space="preserve">       </w:t>
      </w:r>
      <w:r>
        <w:rPr>
          <w:rFonts w:hint="eastAsia"/>
          <w:sz w:val="22"/>
        </w:rPr>
        <w:t>）：</w:t>
      </w:r>
      <w:r>
        <w:rPr>
          <w:rFonts w:hint="eastAsia"/>
          <w:sz w:val="22"/>
          <w:u w:val="single"/>
        </w:rPr>
        <w:t xml:space="preserve">                     </w:t>
      </w:r>
      <w:r>
        <w:rPr>
          <w:sz w:val="22"/>
          <w:u w:val="single"/>
        </w:rPr>
        <w:t xml:space="preserve"> </w:t>
      </w:r>
      <w:r>
        <w:rPr>
          <w:sz w:val="22"/>
        </w:rPr>
        <w:t xml:space="preserve">  </w:t>
      </w:r>
      <w:r>
        <w:rPr>
          <w:rFonts w:hint="eastAsia"/>
          <w:sz w:val="22"/>
        </w:rPr>
        <w:t>被考核方：</w:t>
      </w:r>
      <w:r>
        <w:rPr>
          <w:rFonts w:hint="eastAsia"/>
          <w:sz w:val="22"/>
          <w:u w:val="single"/>
          <w:lang w:val="en-US" w:eastAsia="zh-CN"/>
        </w:rPr>
        <w:t xml:space="preserve">            </w:t>
      </w:r>
    </w:p>
    <w:tbl>
      <w:tblPr>
        <w:tblStyle w:val="9"/>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1740"/>
        <w:gridCol w:w="2194"/>
        <w:gridCol w:w="1239"/>
        <w:gridCol w:w="1343"/>
      </w:tblGrid>
      <w:tr w14:paraId="6A28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noWrap w:val="0"/>
            <w:vAlign w:val="center"/>
          </w:tcPr>
          <w:p w14:paraId="1E8B9A08">
            <w:pPr>
              <w:snapToGrid w:val="0"/>
              <w:jc w:val="center"/>
              <w:rPr>
                <w:rFonts w:ascii="仿宋" w:hAnsi="仿宋" w:eastAsia="仿宋" w:cs="仿宋"/>
                <w:b/>
                <w:bCs/>
                <w:szCs w:val="24"/>
              </w:rPr>
            </w:pPr>
            <w:r>
              <w:rPr>
                <w:rFonts w:hint="eastAsia" w:ascii="仿宋" w:hAnsi="仿宋" w:eastAsia="仿宋" w:cs="仿宋"/>
                <w:b/>
                <w:bCs/>
                <w:szCs w:val="24"/>
              </w:rPr>
              <w:t>物业服务项目</w:t>
            </w:r>
          </w:p>
          <w:p w14:paraId="0222C970">
            <w:pPr>
              <w:jc w:val="center"/>
              <w:rPr>
                <w:rFonts w:ascii="仿宋" w:hAnsi="仿宋" w:eastAsia="仿宋" w:cs="仿宋"/>
                <w:b/>
                <w:bCs/>
                <w:szCs w:val="24"/>
              </w:rPr>
            </w:pPr>
            <w:r>
              <w:rPr>
                <w:rFonts w:hint="eastAsia" w:ascii="仿宋" w:hAnsi="仿宋" w:eastAsia="仿宋" w:cs="仿宋"/>
                <w:b/>
                <w:bCs/>
                <w:szCs w:val="24"/>
              </w:rPr>
              <w:t>考核内容</w:t>
            </w:r>
          </w:p>
        </w:tc>
        <w:tc>
          <w:tcPr>
            <w:tcW w:w="1740" w:type="dxa"/>
            <w:noWrap w:val="0"/>
            <w:vAlign w:val="center"/>
          </w:tcPr>
          <w:p w14:paraId="6316B299">
            <w:pPr>
              <w:tabs>
                <w:tab w:val="left" w:pos="552"/>
              </w:tabs>
              <w:jc w:val="center"/>
              <w:rPr>
                <w:rFonts w:hint="default" w:ascii="仿宋" w:hAnsi="仿宋" w:eastAsia="仿宋" w:cs="仿宋"/>
                <w:b/>
                <w:bCs/>
                <w:sz w:val="28"/>
                <w:szCs w:val="28"/>
                <w:lang w:val="en-US" w:eastAsia="zh-CN"/>
              </w:rPr>
            </w:pPr>
            <w:r>
              <w:rPr>
                <w:rFonts w:hint="eastAsia" w:ascii="仿宋" w:hAnsi="仿宋" w:eastAsia="仿宋" w:cs="仿宋"/>
                <w:b/>
                <w:bCs/>
                <w:szCs w:val="24"/>
                <w:lang w:val="en-US" w:eastAsia="zh-CN"/>
              </w:rPr>
              <w:t>分项内容</w:t>
            </w:r>
          </w:p>
        </w:tc>
        <w:tc>
          <w:tcPr>
            <w:tcW w:w="2194" w:type="dxa"/>
            <w:noWrap w:val="0"/>
            <w:vAlign w:val="center"/>
          </w:tcPr>
          <w:p w14:paraId="5E10D987">
            <w:pPr>
              <w:jc w:val="center"/>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考核标准</w:t>
            </w:r>
          </w:p>
        </w:tc>
        <w:tc>
          <w:tcPr>
            <w:tcW w:w="1239" w:type="dxa"/>
            <w:noWrap w:val="0"/>
            <w:vAlign w:val="center"/>
          </w:tcPr>
          <w:p w14:paraId="1E956886">
            <w:pPr>
              <w:jc w:val="center"/>
              <w:rPr>
                <w:rFonts w:ascii="仿宋" w:hAnsi="仿宋" w:eastAsia="仿宋" w:cs="仿宋"/>
                <w:b/>
                <w:bCs/>
                <w:szCs w:val="24"/>
              </w:rPr>
            </w:pPr>
            <w:r>
              <w:rPr>
                <w:rFonts w:hint="eastAsia" w:ascii="仿宋" w:hAnsi="仿宋" w:eastAsia="仿宋" w:cs="仿宋"/>
                <w:b/>
                <w:bCs/>
                <w:szCs w:val="24"/>
              </w:rPr>
              <w:t>考核分值</w:t>
            </w:r>
          </w:p>
        </w:tc>
        <w:tc>
          <w:tcPr>
            <w:tcW w:w="1343" w:type="dxa"/>
            <w:noWrap w:val="0"/>
            <w:vAlign w:val="center"/>
          </w:tcPr>
          <w:p w14:paraId="3FB2799E">
            <w:pPr>
              <w:jc w:val="center"/>
              <w:rPr>
                <w:rFonts w:ascii="仿宋" w:hAnsi="仿宋" w:eastAsia="仿宋" w:cs="仿宋"/>
                <w:b/>
                <w:bCs/>
                <w:szCs w:val="24"/>
              </w:rPr>
            </w:pPr>
            <w:r>
              <w:rPr>
                <w:rFonts w:hint="eastAsia" w:ascii="仿宋" w:hAnsi="仿宋" w:eastAsia="仿宋" w:cs="仿宋"/>
                <w:b/>
                <w:bCs/>
                <w:szCs w:val="24"/>
              </w:rPr>
              <w:t>单项得分</w:t>
            </w:r>
          </w:p>
        </w:tc>
      </w:tr>
      <w:tr w14:paraId="2278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vMerge w:val="restart"/>
            <w:noWrap w:val="0"/>
            <w:vAlign w:val="center"/>
          </w:tcPr>
          <w:p w14:paraId="0BFB8F37">
            <w:pPr>
              <w:keepNext w:val="0"/>
              <w:keepLines w:val="0"/>
              <w:widowControl/>
              <w:suppressLineNumbers w:val="0"/>
              <w:jc w:val="center"/>
              <w:textAlignment w:val="center"/>
              <w:rPr>
                <w:rFonts w:hint="eastAsia" w:ascii="仿宋" w:hAnsi="仿宋" w:eastAsia="仿宋" w:cs="仿宋"/>
                <w:szCs w:val="24"/>
                <w:lang w:val="en-US" w:eastAsia="zh-CN"/>
              </w:rPr>
            </w:pPr>
            <w:r>
              <w:rPr>
                <w:rFonts w:hint="eastAsia" w:ascii="仿宋" w:hAnsi="仿宋" w:eastAsia="仿宋" w:cs="仿宋"/>
                <w:i w:val="0"/>
                <w:iCs w:val="0"/>
                <w:color w:val="000000"/>
                <w:kern w:val="0"/>
                <w:sz w:val="22"/>
                <w:szCs w:val="22"/>
                <w:u w:val="none"/>
                <w:lang w:val="en-US" w:eastAsia="zh-CN" w:bidi="ar"/>
              </w:rPr>
              <w:t>资金和人员计划执行情况</w:t>
            </w:r>
          </w:p>
        </w:tc>
        <w:tc>
          <w:tcPr>
            <w:tcW w:w="1740" w:type="dxa"/>
            <w:noWrap w:val="0"/>
            <w:vAlign w:val="center"/>
          </w:tcPr>
          <w:p w14:paraId="1B3E970E">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人员编制控制</w:t>
            </w:r>
          </w:p>
        </w:tc>
        <w:tc>
          <w:tcPr>
            <w:tcW w:w="2194" w:type="dxa"/>
            <w:noWrap w:val="0"/>
            <w:vAlign w:val="center"/>
          </w:tcPr>
          <w:p w14:paraId="5165CF5C">
            <w:pPr>
              <w:keepNext w:val="0"/>
              <w:keepLines w:val="0"/>
              <w:widowControl/>
              <w:suppressLineNumbers w:val="0"/>
              <w:jc w:val="center"/>
              <w:textAlignment w:val="center"/>
              <w:rPr>
                <w:rFonts w:hint="default"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项目实际人数与招标文件人数相符</w:t>
            </w:r>
          </w:p>
        </w:tc>
        <w:tc>
          <w:tcPr>
            <w:tcW w:w="1239" w:type="dxa"/>
            <w:vMerge w:val="restart"/>
            <w:noWrap w:val="0"/>
            <w:vAlign w:val="center"/>
          </w:tcPr>
          <w:p w14:paraId="3E572277">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15</w:t>
            </w:r>
          </w:p>
        </w:tc>
        <w:tc>
          <w:tcPr>
            <w:tcW w:w="1343" w:type="dxa"/>
            <w:vMerge w:val="restart"/>
            <w:noWrap w:val="0"/>
            <w:vAlign w:val="center"/>
          </w:tcPr>
          <w:p w14:paraId="22D62FC1">
            <w:pPr>
              <w:jc w:val="center"/>
              <w:rPr>
                <w:rFonts w:ascii="仿宋" w:hAnsi="仿宋" w:eastAsia="仿宋" w:cs="仿宋"/>
                <w:sz w:val="28"/>
                <w:szCs w:val="28"/>
              </w:rPr>
            </w:pPr>
          </w:p>
        </w:tc>
      </w:tr>
      <w:tr w14:paraId="69F3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vMerge w:val="continue"/>
            <w:noWrap w:val="0"/>
            <w:vAlign w:val="center"/>
          </w:tcPr>
          <w:p w14:paraId="5A22E78C">
            <w:pPr>
              <w:jc w:val="center"/>
              <w:rPr>
                <w:rFonts w:hint="eastAsia" w:ascii="仿宋" w:hAnsi="仿宋" w:eastAsia="仿宋" w:cs="仿宋"/>
                <w:szCs w:val="24"/>
                <w:lang w:val="en-US" w:eastAsia="zh-CN"/>
              </w:rPr>
            </w:pPr>
          </w:p>
        </w:tc>
        <w:tc>
          <w:tcPr>
            <w:tcW w:w="1740" w:type="dxa"/>
            <w:noWrap w:val="0"/>
            <w:vAlign w:val="center"/>
          </w:tcPr>
          <w:p w14:paraId="33721B62">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资金使用情况</w:t>
            </w:r>
          </w:p>
        </w:tc>
        <w:tc>
          <w:tcPr>
            <w:tcW w:w="2194" w:type="dxa"/>
            <w:noWrap w:val="0"/>
            <w:vAlign w:val="center"/>
          </w:tcPr>
          <w:p w14:paraId="777FFE84">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未超预算</w:t>
            </w:r>
          </w:p>
        </w:tc>
        <w:tc>
          <w:tcPr>
            <w:tcW w:w="1239" w:type="dxa"/>
            <w:vMerge w:val="continue"/>
            <w:noWrap w:val="0"/>
            <w:vAlign w:val="center"/>
          </w:tcPr>
          <w:p w14:paraId="5C133535">
            <w:pPr>
              <w:jc w:val="center"/>
              <w:rPr>
                <w:rFonts w:hint="eastAsia" w:ascii="仿宋" w:hAnsi="仿宋" w:eastAsia="仿宋" w:cs="仿宋"/>
                <w:sz w:val="28"/>
                <w:szCs w:val="28"/>
                <w:lang w:val="en-US" w:eastAsia="zh-CN"/>
              </w:rPr>
            </w:pPr>
          </w:p>
        </w:tc>
        <w:tc>
          <w:tcPr>
            <w:tcW w:w="1343" w:type="dxa"/>
            <w:vMerge w:val="continue"/>
            <w:noWrap w:val="0"/>
            <w:vAlign w:val="center"/>
          </w:tcPr>
          <w:p w14:paraId="1BEF1AB0">
            <w:pPr>
              <w:jc w:val="center"/>
              <w:rPr>
                <w:rFonts w:ascii="仿宋" w:hAnsi="仿宋" w:eastAsia="仿宋" w:cs="仿宋"/>
                <w:sz w:val="28"/>
                <w:szCs w:val="28"/>
              </w:rPr>
            </w:pPr>
          </w:p>
        </w:tc>
      </w:tr>
      <w:tr w14:paraId="2386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vMerge w:val="continue"/>
            <w:noWrap w:val="0"/>
            <w:vAlign w:val="center"/>
          </w:tcPr>
          <w:p w14:paraId="074D0298">
            <w:pPr>
              <w:jc w:val="center"/>
              <w:rPr>
                <w:rFonts w:hint="eastAsia" w:ascii="仿宋" w:hAnsi="仿宋" w:eastAsia="仿宋" w:cs="仿宋"/>
                <w:szCs w:val="24"/>
                <w:lang w:val="en-US" w:eastAsia="zh-CN"/>
              </w:rPr>
            </w:pPr>
          </w:p>
        </w:tc>
        <w:tc>
          <w:tcPr>
            <w:tcW w:w="1740" w:type="dxa"/>
            <w:noWrap w:val="0"/>
            <w:vAlign w:val="center"/>
          </w:tcPr>
          <w:p w14:paraId="6034488F">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管理人员稳定</w:t>
            </w:r>
          </w:p>
        </w:tc>
        <w:tc>
          <w:tcPr>
            <w:tcW w:w="2194" w:type="dxa"/>
            <w:noWrap w:val="0"/>
            <w:vAlign w:val="center"/>
          </w:tcPr>
          <w:p w14:paraId="2BC27651">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各部门管理人员未有调离</w:t>
            </w:r>
          </w:p>
        </w:tc>
        <w:tc>
          <w:tcPr>
            <w:tcW w:w="1239" w:type="dxa"/>
            <w:vMerge w:val="continue"/>
            <w:noWrap w:val="0"/>
            <w:vAlign w:val="center"/>
          </w:tcPr>
          <w:p w14:paraId="078D3C27">
            <w:pPr>
              <w:jc w:val="center"/>
              <w:rPr>
                <w:rFonts w:hint="eastAsia" w:ascii="仿宋" w:hAnsi="仿宋" w:eastAsia="仿宋" w:cs="仿宋"/>
                <w:sz w:val="28"/>
                <w:szCs w:val="28"/>
                <w:lang w:val="en-US" w:eastAsia="zh-CN"/>
              </w:rPr>
            </w:pPr>
          </w:p>
        </w:tc>
        <w:tc>
          <w:tcPr>
            <w:tcW w:w="1343" w:type="dxa"/>
            <w:vMerge w:val="continue"/>
            <w:noWrap w:val="0"/>
            <w:vAlign w:val="center"/>
          </w:tcPr>
          <w:p w14:paraId="117FE5CE">
            <w:pPr>
              <w:jc w:val="center"/>
              <w:rPr>
                <w:rFonts w:ascii="仿宋" w:hAnsi="仿宋" w:eastAsia="仿宋" w:cs="仿宋"/>
                <w:sz w:val="28"/>
                <w:szCs w:val="28"/>
              </w:rPr>
            </w:pPr>
          </w:p>
        </w:tc>
      </w:tr>
      <w:tr w14:paraId="3999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vMerge w:val="restart"/>
            <w:noWrap w:val="0"/>
            <w:vAlign w:val="center"/>
          </w:tcPr>
          <w:p w14:paraId="77AE46B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内部管理体系建立和执行情况</w:t>
            </w:r>
          </w:p>
        </w:tc>
        <w:tc>
          <w:tcPr>
            <w:tcW w:w="1740" w:type="dxa"/>
            <w:noWrap w:val="0"/>
            <w:vAlign w:val="center"/>
          </w:tcPr>
          <w:p w14:paraId="28237563">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内部管理</w:t>
            </w:r>
          </w:p>
        </w:tc>
        <w:tc>
          <w:tcPr>
            <w:tcW w:w="2194" w:type="dxa"/>
            <w:noWrap w:val="0"/>
            <w:vAlign w:val="center"/>
          </w:tcPr>
          <w:p w14:paraId="1237DA60">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服务响应协调性</w:t>
            </w:r>
          </w:p>
        </w:tc>
        <w:tc>
          <w:tcPr>
            <w:tcW w:w="1239" w:type="dxa"/>
            <w:vMerge w:val="restart"/>
            <w:noWrap w:val="0"/>
            <w:vAlign w:val="center"/>
          </w:tcPr>
          <w:p w14:paraId="2D9C58ED">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15</w:t>
            </w:r>
          </w:p>
        </w:tc>
        <w:tc>
          <w:tcPr>
            <w:tcW w:w="1343" w:type="dxa"/>
            <w:vMerge w:val="restart"/>
            <w:noWrap w:val="0"/>
            <w:vAlign w:val="center"/>
          </w:tcPr>
          <w:p w14:paraId="621AC20B">
            <w:pPr>
              <w:jc w:val="center"/>
              <w:rPr>
                <w:rFonts w:ascii="仿宋" w:hAnsi="仿宋" w:eastAsia="仿宋" w:cs="仿宋"/>
                <w:sz w:val="28"/>
                <w:szCs w:val="28"/>
              </w:rPr>
            </w:pPr>
          </w:p>
        </w:tc>
      </w:tr>
      <w:tr w14:paraId="3FD7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vMerge w:val="continue"/>
            <w:noWrap w:val="0"/>
            <w:vAlign w:val="center"/>
          </w:tcPr>
          <w:p w14:paraId="07486E91">
            <w:pPr>
              <w:jc w:val="center"/>
              <w:rPr>
                <w:rFonts w:hint="eastAsia" w:ascii="仿宋" w:hAnsi="仿宋" w:eastAsia="仿宋" w:cs="仿宋"/>
                <w:szCs w:val="24"/>
                <w:lang w:val="en-US" w:eastAsia="zh-CN"/>
              </w:rPr>
            </w:pPr>
          </w:p>
        </w:tc>
        <w:tc>
          <w:tcPr>
            <w:tcW w:w="1740" w:type="dxa"/>
            <w:noWrap w:val="0"/>
            <w:vAlign w:val="center"/>
          </w:tcPr>
          <w:p w14:paraId="017C1E63">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体系建立</w:t>
            </w:r>
          </w:p>
        </w:tc>
        <w:tc>
          <w:tcPr>
            <w:tcW w:w="2194" w:type="dxa"/>
            <w:noWrap w:val="0"/>
            <w:vAlign w:val="center"/>
          </w:tcPr>
          <w:p w14:paraId="79E3B098">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实现三体系贯标</w:t>
            </w:r>
          </w:p>
        </w:tc>
        <w:tc>
          <w:tcPr>
            <w:tcW w:w="1239" w:type="dxa"/>
            <w:vMerge w:val="continue"/>
            <w:noWrap w:val="0"/>
            <w:vAlign w:val="center"/>
          </w:tcPr>
          <w:p w14:paraId="5C89D5AE">
            <w:pPr>
              <w:jc w:val="center"/>
              <w:rPr>
                <w:rFonts w:hint="eastAsia" w:ascii="仿宋" w:hAnsi="仿宋" w:eastAsia="仿宋" w:cs="仿宋"/>
                <w:sz w:val="28"/>
                <w:szCs w:val="28"/>
                <w:lang w:val="en-US" w:eastAsia="zh-CN"/>
              </w:rPr>
            </w:pPr>
          </w:p>
        </w:tc>
        <w:tc>
          <w:tcPr>
            <w:tcW w:w="1343" w:type="dxa"/>
            <w:vMerge w:val="continue"/>
            <w:noWrap w:val="0"/>
            <w:vAlign w:val="center"/>
          </w:tcPr>
          <w:p w14:paraId="35C01CF0">
            <w:pPr>
              <w:jc w:val="center"/>
              <w:rPr>
                <w:rFonts w:ascii="仿宋" w:hAnsi="仿宋" w:eastAsia="仿宋" w:cs="仿宋"/>
                <w:sz w:val="28"/>
                <w:szCs w:val="28"/>
              </w:rPr>
            </w:pPr>
          </w:p>
        </w:tc>
      </w:tr>
      <w:tr w14:paraId="3F4C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vMerge w:val="continue"/>
            <w:noWrap w:val="0"/>
            <w:vAlign w:val="center"/>
          </w:tcPr>
          <w:p w14:paraId="38CB5EB9">
            <w:pPr>
              <w:jc w:val="center"/>
              <w:rPr>
                <w:rFonts w:hint="eastAsia" w:ascii="仿宋" w:hAnsi="仿宋" w:eastAsia="仿宋" w:cs="仿宋"/>
                <w:szCs w:val="24"/>
                <w:lang w:val="en-US" w:eastAsia="zh-CN"/>
              </w:rPr>
            </w:pPr>
          </w:p>
        </w:tc>
        <w:tc>
          <w:tcPr>
            <w:tcW w:w="1740" w:type="dxa"/>
            <w:noWrap w:val="0"/>
            <w:vAlign w:val="center"/>
          </w:tcPr>
          <w:p w14:paraId="5B740CA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档案管理</w:t>
            </w:r>
          </w:p>
        </w:tc>
        <w:tc>
          <w:tcPr>
            <w:tcW w:w="2194" w:type="dxa"/>
            <w:noWrap w:val="0"/>
            <w:vAlign w:val="center"/>
          </w:tcPr>
          <w:p w14:paraId="556FED9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实现档案精准管理</w:t>
            </w:r>
          </w:p>
        </w:tc>
        <w:tc>
          <w:tcPr>
            <w:tcW w:w="1239" w:type="dxa"/>
            <w:vMerge w:val="continue"/>
            <w:noWrap w:val="0"/>
            <w:vAlign w:val="center"/>
          </w:tcPr>
          <w:p w14:paraId="15B8B732">
            <w:pPr>
              <w:jc w:val="center"/>
              <w:rPr>
                <w:rFonts w:hint="eastAsia" w:ascii="仿宋" w:hAnsi="仿宋" w:eastAsia="仿宋" w:cs="仿宋"/>
                <w:sz w:val="28"/>
                <w:szCs w:val="28"/>
                <w:lang w:val="en-US" w:eastAsia="zh-CN"/>
              </w:rPr>
            </w:pPr>
          </w:p>
        </w:tc>
        <w:tc>
          <w:tcPr>
            <w:tcW w:w="1343" w:type="dxa"/>
            <w:vMerge w:val="continue"/>
            <w:noWrap w:val="0"/>
            <w:vAlign w:val="center"/>
          </w:tcPr>
          <w:p w14:paraId="744F5FF2">
            <w:pPr>
              <w:jc w:val="center"/>
              <w:rPr>
                <w:rFonts w:ascii="仿宋" w:hAnsi="仿宋" w:eastAsia="仿宋" w:cs="仿宋"/>
                <w:sz w:val="28"/>
                <w:szCs w:val="28"/>
              </w:rPr>
            </w:pPr>
          </w:p>
        </w:tc>
      </w:tr>
      <w:tr w14:paraId="2276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vMerge w:val="restart"/>
            <w:noWrap w:val="0"/>
            <w:vAlign w:val="center"/>
          </w:tcPr>
          <w:p w14:paraId="5305876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其他事项</w:t>
            </w:r>
          </w:p>
        </w:tc>
        <w:tc>
          <w:tcPr>
            <w:tcW w:w="1740" w:type="dxa"/>
            <w:noWrap w:val="0"/>
            <w:vAlign w:val="center"/>
          </w:tcPr>
          <w:p w14:paraId="0FECC7A7">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有效投诉</w:t>
            </w:r>
          </w:p>
        </w:tc>
        <w:tc>
          <w:tcPr>
            <w:tcW w:w="2194" w:type="dxa"/>
            <w:noWrap w:val="0"/>
            <w:vAlign w:val="center"/>
          </w:tcPr>
          <w:p w14:paraId="7F0654D1">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无</w:t>
            </w:r>
          </w:p>
        </w:tc>
        <w:tc>
          <w:tcPr>
            <w:tcW w:w="1239" w:type="dxa"/>
            <w:vMerge w:val="restart"/>
            <w:noWrap w:val="0"/>
            <w:vAlign w:val="center"/>
          </w:tcPr>
          <w:p w14:paraId="7606FE3A">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343" w:type="dxa"/>
            <w:vMerge w:val="restart"/>
            <w:noWrap w:val="0"/>
            <w:vAlign w:val="center"/>
          </w:tcPr>
          <w:p w14:paraId="7117F590">
            <w:pPr>
              <w:jc w:val="center"/>
              <w:rPr>
                <w:rFonts w:ascii="仿宋" w:hAnsi="仿宋" w:eastAsia="仿宋" w:cs="仿宋"/>
                <w:sz w:val="28"/>
                <w:szCs w:val="28"/>
              </w:rPr>
            </w:pPr>
          </w:p>
        </w:tc>
      </w:tr>
      <w:tr w14:paraId="3A18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vMerge w:val="continue"/>
            <w:noWrap w:val="0"/>
            <w:vAlign w:val="center"/>
          </w:tcPr>
          <w:p w14:paraId="60FE6B9E">
            <w:pPr>
              <w:jc w:val="center"/>
              <w:rPr>
                <w:rFonts w:hint="eastAsia" w:ascii="仿宋" w:hAnsi="仿宋" w:eastAsia="仿宋" w:cs="仿宋"/>
                <w:szCs w:val="24"/>
                <w:lang w:val="en-US" w:eastAsia="zh-CN"/>
              </w:rPr>
            </w:pPr>
          </w:p>
        </w:tc>
        <w:tc>
          <w:tcPr>
            <w:tcW w:w="1740" w:type="dxa"/>
            <w:noWrap w:val="0"/>
            <w:vAlign w:val="center"/>
          </w:tcPr>
          <w:p w14:paraId="02829F5A">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应急响应</w:t>
            </w:r>
          </w:p>
        </w:tc>
        <w:tc>
          <w:tcPr>
            <w:tcW w:w="2194" w:type="dxa"/>
            <w:noWrap w:val="0"/>
            <w:vAlign w:val="center"/>
          </w:tcPr>
          <w:p w14:paraId="746E896C">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
              </w:rPr>
            </w:pPr>
            <w:r>
              <w:rPr>
                <w:rFonts w:hint="eastAsia" w:ascii="仿宋" w:hAnsi="仿宋" w:eastAsia="仿宋" w:cs="仿宋"/>
                <w:i w:val="0"/>
                <w:iCs w:val="0"/>
                <w:color w:val="000000"/>
                <w:kern w:val="0"/>
                <w:sz w:val="22"/>
                <w:szCs w:val="22"/>
                <w:u w:val="none"/>
                <w:lang w:val="en-US" w:eastAsia="zh-CN" w:bidi="ar"/>
              </w:rPr>
              <w:t>突发应急组织能力待提高</w:t>
            </w:r>
          </w:p>
        </w:tc>
        <w:tc>
          <w:tcPr>
            <w:tcW w:w="1239" w:type="dxa"/>
            <w:vMerge w:val="continue"/>
            <w:noWrap w:val="0"/>
            <w:vAlign w:val="center"/>
          </w:tcPr>
          <w:p w14:paraId="00C41DE3">
            <w:pPr>
              <w:jc w:val="center"/>
              <w:rPr>
                <w:rFonts w:hint="eastAsia" w:ascii="仿宋" w:hAnsi="仿宋" w:eastAsia="仿宋" w:cs="仿宋"/>
                <w:sz w:val="28"/>
                <w:szCs w:val="28"/>
                <w:lang w:val="en-US" w:eastAsia="zh-CN"/>
              </w:rPr>
            </w:pPr>
          </w:p>
        </w:tc>
        <w:tc>
          <w:tcPr>
            <w:tcW w:w="1343" w:type="dxa"/>
            <w:vMerge w:val="continue"/>
            <w:noWrap w:val="0"/>
            <w:vAlign w:val="center"/>
          </w:tcPr>
          <w:p w14:paraId="19344248">
            <w:pPr>
              <w:jc w:val="center"/>
              <w:rPr>
                <w:rFonts w:ascii="仿宋" w:hAnsi="仿宋" w:eastAsia="仿宋" w:cs="仿宋"/>
                <w:sz w:val="28"/>
                <w:szCs w:val="28"/>
              </w:rPr>
            </w:pPr>
          </w:p>
        </w:tc>
      </w:tr>
      <w:tr w14:paraId="696D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noWrap w:val="0"/>
            <w:vAlign w:val="center"/>
          </w:tcPr>
          <w:p w14:paraId="29586D1B">
            <w:pPr>
              <w:snapToGrid w:val="0"/>
              <w:jc w:val="center"/>
              <w:rPr>
                <w:rFonts w:ascii="仿宋" w:hAnsi="仿宋" w:eastAsia="仿宋" w:cs="仿宋"/>
                <w:b/>
                <w:bCs/>
                <w:szCs w:val="24"/>
              </w:rPr>
            </w:pPr>
            <w:r>
              <w:rPr>
                <w:rFonts w:hint="eastAsia" w:ascii="仿宋" w:hAnsi="仿宋" w:eastAsia="仿宋" w:cs="仿宋"/>
                <w:b/>
                <w:bCs/>
                <w:szCs w:val="24"/>
              </w:rPr>
              <w:t>物业服务项目</w:t>
            </w:r>
          </w:p>
          <w:p w14:paraId="78F002C8">
            <w:pPr>
              <w:jc w:val="center"/>
              <w:rPr>
                <w:rFonts w:hint="eastAsia" w:ascii="仿宋" w:hAnsi="仿宋" w:eastAsia="仿宋" w:cs="仿宋"/>
                <w:b/>
                <w:bCs/>
                <w:szCs w:val="24"/>
                <w:lang w:val="en-US" w:eastAsia="zh-CN"/>
              </w:rPr>
            </w:pPr>
            <w:r>
              <w:rPr>
                <w:rFonts w:hint="eastAsia" w:ascii="仿宋" w:hAnsi="仿宋" w:eastAsia="仿宋" w:cs="仿宋"/>
                <w:b/>
                <w:bCs/>
                <w:szCs w:val="24"/>
              </w:rPr>
              <w:t>考核内容</w:t>
            </w:r>
          </w:p>
        </w:tc>
        <w:tc>
          <w:tcPr>
            <w:tcW w:w="1740" w:type="dxa"/>
            <w:noWrap w:val="0"/>
            <w:vAlign w:val="center"/>
          </w:tcPr>
          <w:p w14:paraId="0387FA5B">
            <w:pPr>
              <w:tabs>
                <w:tab w:val="left" w:pos="552"/>
              </w:tabs>
              <w:jc w:val="center"/>
              <w:rPr>
                <w:rFonts w:ascii="仿宋" w:hAnsi="仿宋" w:eastAsia="仿宋" w:cs="仿宋"/>
                <w:b/>
                <w:bCs/>
                <w:sz w:val="28"/>
                <w:szCs w:val="28"/>
              </w:rPr>
            </w:pPr>
            <w:r>
              <w:rPr>
                <w:rFonts w:hint="eastAsia" w:ascii="仿宋" w:hAnsi="仿宋" w:eastAsia="仿宋" w:cs="仿宋"/>
                <w:b/>
                <w:bCs/>
                <w:szCs w:val="24"/>
              </w:rPr>
              <w:t>服务内容完成情况及服务专业度</w:t>
            </w:r>
          </w:p>
        </w:tc>
        <w:tc>
          <w:tcPr>
            <w:tcW w:w="2194" w:type="dxa"/>
            <w:noWrap w:val="0"/>
            <w:vAlign w:val="center"/>
          </w:tcPr>
          <w:p w14:paraId="0039FAF9">
            <w:pPr>
              <w:jc w:val="center"/>
              <w:rPr>
                <w:rFonts w:ascii="仿宋" w:hAnsi="仿宋" w:eastAsia="仿宋" w:cs="仿宋"/>
                <w:b/>
                <w:bCs/>
                <w:sz w:val="28"/>
                <w:szCs w:val="28"/>
              </w:rPr>
            </w:pPr>
            <w:r>
              <w:rPr>
                <w:rFonts w:hint="eastAsia" w:ascii="仿宋" w:hAnsi="仿宋" w:eastAsia="仿宋" w:cs="仿宋"/>
                <w:b/>
                <w:bCs/>
                <w:szCs w:val="24"/>
              </w:rPr>
              <w:t>服务态度及响应速度</w:t>
            </w:r>
          </w:p>
        </w:tc>
        <w:tc>
          <w:tcPr>
            <w:tcW w:w="1239" w:type="dxa"/>
            <w:noWrap w:val="0"/>
            <w:vAlign w:val="center"/>
          </w:tcPr>
          <w:p w14:paraId="360C06BE">
            <w:pPr>
              <w:jc w:val="center"/>
              <w:rPr>
                <w:rFonts w:hint="eastAsia" w:ascii="仿宋" w:hAnsi="仿宋" w:eastAsia="仿宋" w:cs="仿宋"/>
                <w:b/>
                <w:bCs/>
                <w:sz w:val="28"/>
                <w:szCs w:val="28"/>
                <w:lang w:val="en-US" w:eastAsia="zh-CN"/>
              </w:rPr>
            </w:pPr>
            <w:r>
              <w:rPr>
                <w:rFonts w:hint="eastAsia" w:ascii="仿宋" w:hAnsi="仿宋" w:eastAsia="仿宋" w:cs="仿宋"/>
                <w:b/>
                <w:bCs/>
                <w:szCs w:val="24"/>
              </w:rPr>
              <w:t>考核分值</w:t>
            </w:r>
          </w:p>
        </w:tc>
        <w:tc>
          <w:tcPr>
            <w:tcW w:w="1343" w:type="dxa"/>
            <w:noWrap w:val="0"/>
            <w:vAlign w:val="center"/>
          </w:tcPr>
          <w:p w14:paraId="2DACB776">
            <w:pPr>
              <w:jc w:val="center"/>
              <w:rPr>
                <w:rFonts w:ascii="仿宋" w:hAnsi="仿宋" w:eastAsia="仿宋" w:cs="仿宋"/>
                <w:b/>
                <w:bCs/>
                <w:sz w:val="28"/>
                <w:szCs w:val="28"/>
              </w:rPr>
            </w:pPr>
            <w:r>
              <w:rPr>
                <w:rFonts w:hint="eastAsia" w:ascii="仿宋" w:hAnsi="仿宋" w:eastAsia="仿宋" w:cs="仿宋"/>
                <w:b/>
                <w:bCs/>
                <w:szCs w:val="24"/>
              </w:rPr>
              <w:t>单项得分</w:t>
            </w:r>
          </w:p>
        </w:tc>
      </w:tr>
      <w:tr w14:paraId="7D62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noWrap w:val="0"/>
            <w:vAlign w:val="center"/>
          </w:tcPr>
          <w:p w14:paraId="1312C6E9">
            <w:pPr>
              <w:jc w:val="center"/>
              <w:rPr>
                <w:rFonts w:hint="default" w:ascii="仿宋" w:hAnsi="仿宋" w:eastAsia="仿宋" w:cs="仿宋"/>
                <w:szCs w:val="24"/>
                <w:lang w:val="en-US" w:eastAsia="zh-CN"/>
              </w:rPr>
            </w:pPr>
            <w:r>
              <w:rPr>
                <w:rFonts w:hint="eastAsia" w:ascii="仿宋" w:hAnsi="仿宋" w:eastAsia="仿宋" w:cs="仿宋"/>
                <w:szCs w:val="24"/>
                <w:lang w:val="en-US" w:eastAsia="zh-CN"/>
              </w:rPr>
              <w:t>承接查验情况</w:t>
            </w:r>
          </w:p>
        </w:tc>
        <w:tc>
          <w:tcPr>
            <w:tcW w:w="1740" w:type="dxa"/>
            <w:noWrap w:val="0"/>
            <w:vAlign w:val="center"/>
          </w:tcPr>
          <w:p w14:paraId="49C41158">
            <w:pPr>
              <w:jc w:val="center"/>
              <w:rPr>
                <w:rFonts w:ascii="仿宋" w:hAnsi="仿宋" w:eastAsia="仿宋" w:cs="仿宋"/>
                <w:sz w:val="28"/>
                <w:szCs w:val="28"/>
              </w:rPr>
            </w:pPr>
          </w:p>
        </w:tc>
        <w:tc>
          <w:tcPr>
            <w:tcW w:w="2194" w:type="dxa"/>
            <w:noWrap w:val="0"/>
            <w:vAlign w:val="center"/>
          </w:tcPr>
          <w:p w14:paraId="2AFE8F65">
            <w:pPr>
              <w:jc w:val="center"/>
              <w:rPr>
                <w:rFonts w:ascii="仿宋" w:hAnsi="仿宋" w:eastAsia="仿宋" w:cs="仿宋"/>
                <w:sz w:val="28"/>
                <w:szCs w:val="28"/>
              </w:rPr>
            </w:pPr>
          </w:p>
        </w:tc>
        <w:tc>
          <w:tcPr>
            <w:tcW w:w="1239" w:type="dxa"/>
            <w:noWrap w:val="0"/>
            <w:vAlign w:val="center"/>
          </w:tcPr>
          <w:p w14:paraId="101394C5">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343" w:type="dxa"/>
            <w:noWrap w:val="0"/>
            <w:vAlign w:val="center"/>
          </w:tcPr>
          <w:p w14:paraId="25BCB8E8">
            <w:pPr>
              <w:jc w:val="center"/>
              <w:rPr>
                <w:rFonts w:ascii="仿宋" w:hAnsi="仿宋" w:eastAsia="仿宋" w:cs="仿宋"/>
                <w:sz w:val="28"/>
                <w:szCs w:val="28"/>
              </w:rPr>
            </w:pPr>
          </w:p>
        </w:tc>
      </w:tr>
      <w:tr w14:paraId="2A08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noWrap w:val="0"/>
            <w:vAlign w:val="center"/>
          </w:tcPr>
          <w:p w14:paraId="14B86A17">
            <w:pPr>
              <w:jc w:val="center"/>
              <w:rPr>
                <w:rFonts w:hint="default" w:ascii="仿宋" w:hAnsi="仿宋" w:eastAsia="仿宋" w:cs="仿宋"/>
                <w:kern w:val="2"/>
                <w:sz w:val="24"/>
                <w:szCs w:val="24"/>
                <w:lang w:val="en-US" w:eastAsia="zh-CN" w:bidi="ar-SA"/>
              </w:rPr>
            </w:pPr>
            <w:r>
              <w:rPr>
                <w:rFonts w:hint="eastAsia" w:ascii="仿宋" w:hAnsi="仿宋" w:eastAsia="仿宋" w:cs="仿宋"/>
                <w:szCs w:val="24"/>
                <w:lang w:val="en-US" w:eastAsia="zh-CN"/>
              </w:rPr>
              <w:t>环境保洁服务</w:t>
            </w:r>
          </w:p>
        </w:tc>
        <w:tc>
          <w:tcPr>
            <w:tcW w:w="1740" w:type="dxa"/>
            <w:noWrap w:val="0"/>
            <w:vAlign w:val="center"/>
          </w:tcPr>
          <w:p w14:paraId="0AF68E03">
            <w:pPr>
              <w:jc w:val="center"/>
              <w:rPr>
                <w:rFonts w:ascii="仿宋" w:hAnsi="仿宋" w:eastAsia="仿宋" w:cs="仿宋"/>
                <w:kern w:val="2"/>
                <w:sz w:val="28"/>
                <w:szCs w:val="28"/>
                <w:lang w:val="en-US" w:eastAsia="zh-CN" w:bidi="ar-SA"/>
              </w:rPr>
            </w:pPr>
          </w:p>
        </w:tc>
        <w:tc>
          <w:tcPr>
            <w:tcW w:w="2194" w:type="dxa"/>
            <w:noWrap w:val="0"/>
            <w:vAlign w:val="center"/>
          </w:tcPr>
          <w:p w14:paraId="0DAF0D57">
            <w:pPr>
              <w:jc w:val="center"/>
              <w:rPr>
                <w:rFonts w:ascii="仿宋" w:hAnsi="仿宋" w:eastAsia="仿宋" w:cs="仿宋"/>
                <w:kern w:val="2"/>
                <w:sz w:val="28"/>
                <w:szCs w:val="28"/>
                <w:lang w:val="en-US" w:eastAsia="zh-CN" w:bidi="ar-SA"/>
              </w:rPr>
            </w:pPr>
          </w:p>
        </w:tc>
        <w:tc>
          <w:tcPr>
            <w:tcW w:w="1239" w:type="dxa"/>
            <w:noWrap w:val="0"/>
            <w:vAlign w:val="center"/>
          </w:tcPr>
          <w:p w14:paraId="35B6E824">
            <w:pPr>
              <w:jc w:val="center"/>
              <w:rPr>
                <w:rFonts w:hint="default" w:ascii="仿宋" w:hAnsi="仿宋" w:eastAsia="仿宋" w:cs="仿宋"/>
                <w:kern w:val="2"/>
                <w:sz w:val="28"/>
                <w:szCs w:val="28"/>
                <w:lang w:val="en-US" w:eastAsia="zh-CN" w:bidi="ar-SA"/>
              </w:rPr>
            </w:pPr>
            <w:r>
              <w:rPr>
                <w:rFonts w:hint="eastAsia" w:ascii="仿宋" w:hAnsi="仿宋" w:eastAsia="仿宋" w:cs="仿宋"/>
                <w:sz w:val="28"/>
                <w:szCs w:val="28"/>
                <w:lang w:val="en-US" w:eastAsia="zh-CN"/>
              </w:rPr>
              <w:t>10</w:t>
            </w:r>
          </w:p>
        </w:tc>
        <w:tc>
          <w:tcPr>
            <w:tcW w:w="1343" w:type="dxa"/>
            <w:noWrap w:val="0"/>
            <w:vAlign w:val="center"/>
          </w:tcPr>
          <w:p w14:paraId="17EE897F">
            <w:pPr>
              <w:jc w:val="center"/>
              <w:rPr>
                <w:rFonts w:ascii="仿宋" w:hAnsi="仿宋" w:eastAsia="仿宋" w:cs="仿宋"/>
                <w:sz w:val="28"/>
                <w:szCs w:val="28"/>
              </w:rPr>
            </w:pPr>
          </w:p>
        </w:tc>
      </w:tr>
      <w:tr w14:paraId="1D1D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noWrap w:val="0"/>
            <w:vAlign w:val="center"/>
          </w:tcPr>
          <w:p w14:paraId="6972FB77">
            <w:pPr>
              <w:jc w:val="center"/>
              <w:rPr>
                <w:rFonts w:hint="default" w:ascii="仿宋" w:hAnsi="仿宋" w:eastAsia="仿宋" w:cs="仿宋"/>
                <w:szCs w:val="24"/>
                <w:lang w:val="en-US" w:eastAsia="zh-CN"/>
              </w:rPr>
            </w:pPr>
            <w:r>
              <w:rPr>
                <w:rFonts w:hint="eastAsia" w:ascii="仿宋" w:hAnsi="仿宋" w:eastAsia="仿宋" w:cs="仿宋"/>
                <w:szCs w:val="24"/>
                <w:lang w:val="en-US" w:eastAsia="zh-CN"/>
              </w:rPr>
              <w:t>会务及接待服务</w:t>
            </w:r>
          </w:p>
        </w:tc>
        <w:tc>
          <w:tcPr>
            <w:tcW w:w="1740" w:type="dxa"/>
            <w:noWrap w:val="0"/>
            <w:vAlign w:val="center"/>
          </w:tcPr>
          <w:p w14:paraId="17B83718">
            <w:pPr>
              <w:jc w:val="center"/>
              <w:rPr>
                <w:rFonts w:ascii="仿宋" w:hAnsi="仿宋" w:eastAsia="仿宋" w:cs="仿宋"/>
                <w:sz w:val="28"/>
                <w:szCs w:val="28"/>
              </w:rPr>
            </w:pPr>
          </w:p>
        </w:tc>
        <w:tc>
          <w:tcPr>
            <w:tcW w:w="2194" w:type="dxa"/>
            <w:noWrap w:val="0"/>
            <w:vAlign w:val="center"/>
          </w:tcPr>
          <w:p w14:paraId="06878CF1">
            <w:pPr>
              <w:jc w:val="center"/>
              <w:rPr>
                <w:rFonts w:ascii="仿宋" w:hAnsi="仿宋" w:eastAsia="仿宋" w:cs="仿宋"/>
                <w:sz w:val="28"/>
                <w:szCs w:val="28"/>
              </w:rPr>
            </w:pPr>
          </w:p>
        </w:tc>
        <w:tc>
          <w:tcPr>
            <w:tcW w:w="1239" w:type="dxa"/>
            <w:noWrap w:val="0"/>
            <w:vAlign w:val="center"/>
          </w:tcPr>
          <w:p w14:paraId="1CBC3A51">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343" w:type="dxa"/>
            <w:noWrap w:val="0"/>
            <w:vAlign w:val="center"/>
          </w:tcPr>
          <w:p w14:paraId="5050C362">
            <w:pPr>
              <w:jc w:val="center"/>
              <w:rPr>
                <w:rFonts w:ascii="仿宋" w:hAnsi="仿宋" w:eastAsia="仿宋" w:cs="仿宋"/>
                <w:sz w:val="28"/>
                <w:szCs w:val="28"/>
              </w:rPr>
            </w:pPr>
          </w:p>
        </w:tc>
      </w:tr>
      <w:tr w14:paraId="7FC3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noWrap w:val="0"/>
            <w:vAlign w:val="center"/>
          </w:tcPr>
          <w:p w14:paraId="56792843">
            <w:pPr>
              <w:jc w:val="center"/>
              <w:rPr>
                <w:rFonts w:hint="eastAsia" w:ascii="仿宋" w:hAnsi="仿宋" w:eastAsia="仿宋" w:cs="仿宋"/>
                <w:szCs w:val="24"/>
                <w:lang w:eastAsia="zh-CN"/>
              </w:rPr>
            </w:pPr>
            <w:r>
              <w:rPr>
                <w:rFonts w:hint="eastAsia" w:ascii="仿宋" w:hAnsi="仿宋" w:eastAsia="仿宋" w:cs="仿宋"/>
                <w:szCs w:val="24"/>
                <w:lang w:val="en-US" w:eastAsia="zh-CN"/>
              </w:rPr>
              <w:t>安保服务</w:t>
            </w:r>
          </w:p>
        </w:tc>
        <w:tc>
          <w:tcPr>
            <w:tcW w:w="1740" w:type="dxa"/>
            <w:noWrap w:val="0"/>
            <w:vAlign w:val="center"/>
          </w:tcPr>
          <w:p w14:paraId="2A1D36AF">
            <w:pPr>
              <w:jc w:val="center"/>
              <w:rPr>
                <w:rFonts w:ascii="仿宋" w:hAnsi="仿宋" w:eastAsia="仿宋" w:cs="仿宋"/>
                <w:sz w:val="28"/>
                <w:szCs w:val="28"/>
              </w:rPr>
            </w:pPr>
          </w:p>
        </w:tc>
        <w:tc>
          <w:tcPr>
            <w:tcW w:w="2194" w:type="dxa"/>
            <w:noWrap w:val="0"/>
            <w:vAlign w:val="center"/>
          </w:tcPr>
          <w:p w14:paraId="40EE1648">
            <w:pPr>
              <w:jc w:val="center"/>
              <w:rPr>
                <w:rFonts w:ascii="仿宋" w:hAnsi="仿宋" w:eastAsia="仿宋" w:cs="仿宋"/>
                <w:sz w:val="28"/>
                <w:szCs w:val="28"/>
              </w:rPr>
            </w:pPr>
          </w:p>
        </w:tc>
        <w:tc>
          <w:tcPr>
            <w:tcW w:w="1239" w:type="dxa"/>
            <w:noWrap w:val="0"/>
            <w:vAlign w:val="center"/>
          </w:tcPr>
          <w:p w14:paraId="59A25E0E">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343" w:type="dxa"/>
            <w:noWrap w:val="0"/>
            <w:vAlign w:val="center"/>
          </w:tcPr>
          <w:p w14:paraId="4C7AAB9F">
            <w:pPr>
              <w:jc w:val="center"/>
              <w:rPr>
                <w:rFonts w:ascii="仿宋" w:hAnsi="仿宋" w:eastAsia="仿宋" w:cs="仿宋"/>
                <w:sz w:val="28"/>
                <w:szCs w:val="28"/>
              </w:rPr>
            </w:pPr>
          </w:p>
        </w:tc>
      </w:tr>
      <w:tr w14:paraId="7892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noWrap w:val="0"/>
            <w:vAlign w:val="center"/>
          </w:tcPr>
          <w:p w14:paraId="50365D9F">
            <w:pPr>
              <w:jc w:val="center"/>
              <w:rPr>
                <w:rFonts w:hint="default" w:ascii="仿宋" w:hAnsi="仿宋" w:eastAsia="仿宋" w:cs="仿宋"/>
                <w:szCs w:val="24"/>
                <w:lang w:val="en-US" w:eastAsia="zh-CN"/>
              </w:rPr>
            </w:pPr>
            <w:r>
              <w:rPr>
                <w:rFonts w:hint="eastAsia" w:ascii="仿宋" w:hAnsi="仿宋" w:eastAsia="仿宋" w:cs="仿宋"/>
                <w:szCs w:val="24"/>
                <w:lang w:val="en-US" w:eastAsia="zh-CN"/>
              </w:rPr>
              <w:t>设备设施管理</w:t>
            </w:r>
          </w:p>
        </w:tc>
        <w:tc>
          <w:tcPr>
            <w:tcW w:w="1740" w:type="dxa"/>
            <w:noWrap w:val="0"/>
            <w:vAlign w:val="center"/>
          </w:tcPr>
          <w:p w14:paraId="6253D47A">
            <w:pPr>
              <w:jc w:val="center"/>
              <w:rPr>
                <w:rFonts w:ascii="仿宋" w:hAnsi="仿宋" w:eastAsia="仿宋" w:cs="仿宋"/>
                <w:sz w:val="28"/>
                <w:szCs w:val="28"/>
              </w:rPr>
            </w:pPr>
          </w:p>
        </w:tc>
        <w:tc>
          <w:tcPr>
            <w:tcW w:w="2194" w:type="dxa"/>
            <w:noWrap w:val="0"/>
            <w:vAlign w:val="center"/>
          </w:tcPr>
          <w:p w14:paraId="108D0530">
            <w:pPr>
              <w:jc w:val="center"/>
              <w:rPr>
                <w:rFonts w:ascii="仿宋" w:hAnsi="仿宋" w:eastAsia="仿宋" w:cs="仿宋"/>
                <w:sz w:val="28"/>
                <w:szCs w:val="28"/>
              </w:rPr>
            </w:pPr>
          </w:p>
        </w:tc>
        <w:tc>
          <w:tcPr>
            <w:tcW w:w="1239" w:type="dxa"/>
            <w:noWrap w:val="0"/>
            <w:vAlign w:val="center"/>
          </w:tcPr>
          <w:p w14:paraId="6EBBB1FB">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343" w:type="dxa"/>
            <w:noWrap w:val="0"/>
            <w:vAlign w:val="center"/>
          </w:tcPr>
          <w:p w14:paraId="3579CF1B">
            <w:pPr>
              <w:jc w:val="center"/>
              <w:rPr>
                <w:rFonts w:ascii="仿宋" w:hAnsi="仿宋" w:eastAsia="仿宋" w:cs="仿宋"/>
                <w:sz w:val="28"/>
                <w:szCs w:val="28"/>
              </w:rPr>
            </w:pPr>
          </w:p>
        </w:tc>
      </w:tr>
      <w:tr w14:paraId="1097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842" w:type="dxa"/>
            <w:noWrap w:val="0"/>
            <w:vAlign w:val="center"/>
          </w:tcPr>
          <w:p w14:paraId="65CFF96A">
            <w:pPr>
              <w:jc w:val="center"/>
              <w:rPr>
                <w:rFonts w:hint="default" w:ascii="仿宋" w:hAnsi="仿宋" w:eastAsia="仿宋" w:cs="仿宋"/>
                <w:szCs w:val="24"/>
                <w:lang w:val="en-US" w:eastAsia="zh-CN"/>
              </w:rPr>
            </w:pPr>
            <w:r>
              <w:rPr>
                <w:rFonts w:hint="eastAsia" w:ascii="仿宋" w:hAnsi="仿宋" w:eastAsia="仿宋" w:cs="仿宋"/>
                <w:szCs w:val="24"/>
                <w:lang w:val="en-US" w:eastAsia="zh-CN"/>
              </w:rPr>
              <w:t>前期与甲方的配合情况</w:t>
            </w:r>
          </w:p>
        </w:tc>
        <w:tc>
          <w:tcPr>
            <w:tcW w:w="1740" w:type="dxa"/>
            <w:noWrap w:val="0"/>
            <w:vAlign w:val="center"/>
          </w:tcPr>
          <w:p w14:paraId="662E153D">
            <w:pPr>
              <w:jc w:val="center"/>
              <w:rPr>
                <w:rFonts w:ascii="仿宋" w:hAnsi="仿宋" w:eastAsia="仿宋" w:cs="仿宋"/>
                <w:sz w:val="28"/>
                <w:szCs w:val="28"/>
              </w:rPr>
            </w:pPr>
          </w:p>
        </w:tc>
        <w:tc>
          <w:tcPr>
            <w:tcW w:w="2194" w:type="dxa"/>
            <w:noWrap w:val="0"/>
            <w:vAlign w:val="center"/>
          </w:tcPr>
          <w:p w14:paraId="659CD00F">
            <w:pPr>
              <w:jc w:val="center"/>
              <w:rPr>
                <w:rFonts w:ascii="仿宋" w:hAnsi="仿宋" w:eastAsia="仿宋" w:cs="仿宋"/>
                <w:sz w:val="28"/>
                <w:szCs w:val="28"/>
              </w:rPr>
            </w:pPr>
          </w:p>
        </w:tc>
        <w:tc>
          <w:tcPr>
            <w:tcW w:w="1239" w:type="dxa"/>
            <w:noWrap w:val="0"/>
            <w:vAlign w:val="center"/>
          </w:tcPr>
          <w:p w14:paraId="3A8D2F2E">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1343" w:type="dxa"/>
            <w:noWrap w:val="0"/>
            <w:vAlign w:val="center"/>
          </w:tcPr>
          <w:p w14:paraId="2BD618FB">
            <w:pPr>
              <w:jc w:val="center"/>
              <w:rPr>
                <w:rFonts w:ascii="仿宋" w:hAnsi="仿宋" w:eastAsia="仿宋" w:cs="仿宋"/>
                <w:sz w:val="28"/>
                <w:szCs w:val="28"/>
              </w:rPr>
            </w:pPr>
          </w:p>
        </w:tc>
      </w:tr>
      <w:tr w14:paraId="440D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6776" w:type="dxa"/>
            <w:gridSpan w:val="3"/>
            <w:noWrap w:val="0"/>
            <w:vAlign w:val="center"/>
          </w:tcPr>
          <w:p w14:paraId="05224DF3">
            <w:pPr>
              <w:rPr>
                <w:rFonts w:ascii="仿宋" w:hAnsi="仿宋" w:eastAsia="仿宋" w:cs="仿宋"/>
                <w:sz w:val="28"/>
                <w:szCs w:val="28"/>
              </w:rPr>
            </w:pPr>
            <w:r>
              <w:rPr>
                <w:rFonts w:hint="eastAsia" w:ascii="仿宋" w:hAnsi="仿宋" w:eastAsia="仿宋" w:cs="仿宋"/>
                <w:sz w:val="28"/>
                <w:szCs w:val="28"/>
              </w:rPr>
              <w:t xml:space="preserve">考核标准：      </w:t>
            </w:r>
          </w:p>
          <w:p w14:paraId="555DCBEB">
            <w:pPr>
              <w:rPr>
                <w:rFonts w:ascii="仿宋" w:hAnsi="仿宋" w:eastAsia="仿宋" w:cs="仿宋"/>
                <w:sz w:val="28"/>
                <w:szCs w:val="28"/>
              </w:rPr>
            </w:pPr>
            <w:r>
              <w:rPr>
                <w:rFonts w:hint="eastAsia" w:ascii="仿宋" w:hAnsi="仿宋" w:eastAsia="仿宋" w:cs="仿宋"/>
                <w:sz w:val="28"/>
                <w:szCs w:val="28"/>
              </w:rPr>
              <w:t>90分以上（优秀） 80-89分（良好）</w:t>
            </w:r>
          </w:p>
          <w:p w14:paraId="4BCF0428">
            <w:pPr>
              <w:rPr>
                <w:rFonts w:ascii="仿宋" w:hAnsi="仿宋" w:eastAsia="仿宋" w:cs="仿宋"/>
                <w:sz w:val="28"/>
                <w:szCs w:val="28"/>
              </w:rPr>
            </w:pPr>
            <w:r>
              <w:rPr>
                <w:rFonts w:hint="eastAsia" w:ascii="仿宋" w:hAnsi="仿宋" w:eastAsia="仿宋" w:cs="仿宋"/>
                <w:sz w:val="28"/>
                <w:szCs w:val="28"/>
              </w:rPr>
              <w:t>70-79分（合格）  69分以下（差）</w:t>
            </w:r>
          </w:p>
        </w:tc>
        <w:tc>
          <w:tcPr>
            <w:tcW w:w="1239" w:type="dxa"/>
            <w:noWrap w:val="0"/>
            <w:vAlign w:val="center"/>
          </w:tcPr>
          <w:p w14:paraId="46B219A6">
            <w:pPr>
              <w:jc w:val="center"/>
              <w:rPr>
                <w:rFonts w:ascii="仿宋" w:hAnsi="仿宋" w:eastAsia="仿宋" w:cs="仿宋"/>
                <w:sz w:val="28"/>
                <w:szCs w:val="28"/>
              </w:rPr>
            </w:pPr>
            <w:r>
              <w:rPr>
                <w:rFonts w:hint="eastAsia" w:ascii="仿宋" w:hAnsi="仿宋" w:eastAsia="仿宋" w:cs="仿宋"/>
                <w:sz w:val="28"/>
                <w:szCs w:val="28"/>
              </w:rPr>
              <w:t>100</w:t>
            </w:r>
          </w:p>
        </w:tc>
        <w:tc>
          <w:tcPr>
            <w:tcW w:w="1343" w:type="dxa"/>
            <w:noWrap w:val="0"/>
            <w:vAlign w:val="center"/>
          </w:tcPr>
          <w:p w14:paraId="395FBCCE">
            <w:pPr>
              <w:jc w:val="center"/>
              <w:rPr>
                <w:rFonts w:ascii="仿宋" w:hAnsi="仿宋" w:eastAsia="仿宋" w:cs="仿宋"/>
                <w:sz w:val="28"/>
                <w:szCs w:val="28"/>
              </w:rPr>
            </w:pPr>
          </w:p>
        </w:tc>
      </w:tr>
      <w:tr w14:paraId="25D2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9358" w:type="dxa"/>
            <w:gridSpan w:val="5"/>
            <w:noWrap w:val="0"/>
            <w:vAlign w:val="top"/>
          </w:tcPr>
          <w:p w14:paraId="36D9F386">
            <w:pPr>
              <w:rPr>
                <w:sz w:val="28"/>
                <w:szCs w:val="28"/>
              </w:rPr>
            </w:pPr>
            <w:r>
              <w:rPr>
                <w:rFonts w:hint="eastAsia"/>
                <w:sz w:val="28"/>
                <w:szCs w:val="28"/>
              </w:rPr>
              <w:t>建议与意见：</w:t>
            </w:r>
          </w:p>
          <w:p w14:paraId="0C2144BA">
            <w:pPr>
              <w:rPr>
                <w:sz w:val="28"/>
                <w:szCs w:val="28"/>
              </w:rPr>
            </w:pPr>
          </w:p>
          <w:p w14:paraId="3F3FA912">
            <w:pPr>
              <w:rPr>
                <w:sz w:val="28"/>
                <w:szCs w:val="28"/>
              </w:rPr>
            </w:pPr>
          </w:p>
          <w:p w14:paraId="72C111EC">
            <w:pPr>
              <w:rPr>
                <w:sz w:val="28"/>
                <w:szCs w:val="28"/>
              </w:rPr>
            </w:pPr>
          </w:p>
          <w:p w14:paraId="0AC4CD0A">
            <w:pPr>
              <w:jc w:val="center"/>
              <w:rPr>
                <w:sz w:val="28"/>
                <w:szCs w:val="28"/>
              </w:rPr>
            </w:pPr>
            <w:r>
              <w:rPr>
                <w:rFonts w:hint="eastAsia"/>
                <w:sz w:val="28"/>
                <w:szCs w:val="28"/>
              </w:rPr>
              <w:t xml:space="preserve">     考核人签名：             日期： </w:t>
            </w:r>
          </w:p>
        </w:tc>
      </w:tr>
    </w:tbl>
    <w:p w14:paraId="4C095781"/>
    <w:p w14:paraId="5B7297F4">
      <w:pPr>
        <w:ind w:left="113"/>
        <w:jc w:val="center"/>
        <w:rPr>
          <w:rFonts w:hint="eastAsia" w:ascii="黑体" w:eastAsia="黑体"/>
          <w:b/>
          <w:sz w:val="36"/>
          <w:szCs w:val="32"/>
          <w:u w:val="double"/>
        </w:rPr>
      </w:pPr>
    </w:p>
    <w:p w14:paraId="18E47B1E">
      <w:pPr>
        <w:widowControl/>
        <w:ind w:firstLine="484" w:firstLineChars="166"/>
        <w:jc w:val="left"/>
        <w:rPr>
          <w:rFonts w:hint="default" w:ascii="仿宋" w:hAnsi="仿宋" w:eastAsia="仿宋" w:cs="仿宋"/>
          <w:color w:val="auto"/>
          <w:spacing w:val="6"/>
          <w:sz w:val="28"/>
          <w:szCs w:val="28"/>
          <w:highlight w:val="none"/>
          <w:shd w:val="clear" w:color="auto" w:fill="FFFFFF"/>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仿宋">
    <w:altName w:val="仿宋_GB2312"/>
    <w:panose1 w:val="02010609060101010101"/>
    <w:charset w:val="00"/>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B0040">
    <w:pPr>
      <w:pStyle w:val="4"/>
      <w:jc w:val="center"/>
    </w:pPr>
    <w:r>
      <w:fldChar w:fldCharType="begin"/>
    </w:r>
    <w:r>
      <w:instrText xml:space="preserve">PAGE   \* MERGEFORMAT</w:instrText>
    </w:r>
    <w:r>
      <w:fldChar w:fldCharType="separate"/>
    </w:r>
    <w:r>
      <w:rPr>
        <w:lang w:val="zh-CN"/>
      </w:rPr>
      <w:t>7</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91B825"/>
    <w:multiLevelType w:val="singleLevel"/>
    <w:tmpl w:val="B291B825"/>
    <w:lvl w:ilvl="0" w:tentative="0">
      <w:start w:val="1"/>
      <w:numFmt w:val="decimal"/>
      <w:suff w:val="nothing"/>
      <w:lvlText w:val="%1、"/>
      <w:lvlJc w:val="left"/>
    </w:lvl>
  </w:abstractNum>
  <w:abstractNum w:abstractNumId="1">
    <w:nsid w:val="C0C2274B"/>
    <w:multiLevelType w:val="singleLevel"/>
    <w:tmpl w:val="C0C2274B"/>
    <w:lvl w:ilvl="0" w:tentative="0">
      <w:start w:val="1"/>
      <w:numFmt w:val="decimal"/>
      <w:lvlText w:val="(%1)"/>
      <w:lvlJc w:val="left"/>
      <w:pPr>
        <w:tabs>
          <w:tab w:val="left" w:pos="312"/>
        </w:tabs>
      </w:pPr>
    </w:lvl>
  </w:abstractNum>
  <w:abstractNum w:abstractNumId="2">
    <w:nsid w:val="10257FD6"/>
    <w:multiLevelType w:val="multilevel"/>
    <w:tmpl w:val="10257FD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3E7B2996"/>
    <w:multiLevelType w:val="multilevel"/>
    <w:tmpl w:val="3E7B2996"/>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543D926D"/>
    <w:multiLevelType w:val="singleLevel"/>
    <w:tmpl w:val="543D926D"/>
    <w:lvl w:ilvl="0" w:tentative="0">
      <w:start w:val="1"/>
      <w:numFmt w:val="bullet"/>
      <w:lvlText w:val=""/>
      <w:lvlJc w:val="left"/>
      <w:pPr>
        <w:ind w:left="420" w:hanging="420"/>
      </w:pPr>
      <w:rPr>
        <w:rFonts w:hint="default" w:ascii="Wingdings" w:hAnsi="Wingdings"/>
      </w:rPr>
    </w:lvl>
  </w:abstractNum>
  <w:abstractNum w:abstractNumId="5">
    <w:nsid w:val="5BB32BB4"/>
    <w:multiLevelType w:val="multilevel"/>
    <w:tmpl w:val="5BB32BB4"/>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7D061225"/>
    <w:multiLevelType w:val="multilevel"/>
    <w:tmpl w:val="7D061225"/>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0"/>
  </w:num>
  <w:num w:numId="2">
    <w:abstractNumId w:val="1"/>
  </w:num>
  <w:num w:numId="3">
    <w:abstractNumId w:val="4"/>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0MGM4NDE3YWFlMzA0MWViNTY0Yjg0OThlOTIyYjUifQ=="/>
  </w:docVars>
  <w:rsids>
    <w:rsidRoot w:val="000A126D"/>
    <w:rsid w:val="000764EE"/>
    <w:rsid w:val="000774AA"/>
    <w:rsid w:val="000A126D"/>
    <w:rsid w:val="00116C8B"/>
    <w:rsid w:val="001324F7"/>
    <w:rsid w:val="001F227D"/>
    <w:rsid w:val="00255DF8"/>
    <w:rsid w:val="002736B0"/>
    <w:rsid w:val="00391FB9"/>
    <w:rsid w:val="003B55D7"/>
    <w:rsid w:val="003D2583"/>
    <w:rsid w:val="003F3F4A"/>
    <w:rsid w:val="00463EDD"/>
    <w:rsid w:val="004D7925"/>
    <w:rsid w:val="004E2128"/>
    <w:rsid w:val="004F68CB"/>
    <w:rsid w:val="005A0D87"/>
    <w:rsid w:val="005F0B59"/>
    <w:rsid w:val="0062172F"/>
    <w:rsid w:val="00627B33"/>
    <w:rsid w:val="006D12E7"/>
    <w:rsid w:val="00723645"/>
    <w:rsid w:val="00755B60"/>
    <w:rsid w:val="007A7BA8"/>
    <w:rsid w:val="007D33E8"/>
    <w:rsid w:val="00805897"/>
    <w:rsid w:val="00887A5A"/>
    <w:rsid w:val="00892E99"/>
    <w:rsid w:val="00917F50"/>
    <w:rsid w:val="009A1D99"/>
    <w:rsid w:val="009C4CC6"/>
    <w:rsid w:val="009D1A28"/>
    <w:rsid w:val="009D70AE"/>
    <w:rsid w:val="00A3420C"/>
    <w:rsid w:val="00B30BC0"/>
    <w:rsid w:val="00B85E1D"/>
    <w:rsid w:val="00BD41F6"/>
    <w:rsid w:val="00C8126A"/>
    <w:rsid w:val="00D03911"/>
    <w:rsid w:val="00DB190B"/>
    <w:rsid w:val="00DF3415"/>
    <w:rsid w:val="00E37079"/>
    <w:rsid w:val="00E540F5"/>
    <w:rsid w:val="00ED0128"/>
    <w:rsid w:val="00F0162F"/>
    <w:rsid w:val="00F43227"/>
    <w:rsid w:val="00F70AD9"/>
    <w:rsid w:val="00FE24EB"/>
    <w:rsid w:val="022E7DE4"/>
    <w:rsid w:val="05A81BF3"/>
    <w:rsid w:val="06A5012F"/>
    <w:rsid w:val="0847289F"/>
    <w:rsid w:val="086E0CBB"/>
    <w:rsid w:val="092E5190"/>
    <w:rsid w:val="0A3960E0"/>
    <w:rsid w:val="0B315D6F"/>
    <w:rsid w:val="0BC55AA8"/>
    <w:rsid w:val="0D8268E9"/>
    <w:rsid w:val="0E79056A"/>
    <w:rsid w:val="0EFC13C8"/>
    <w:rsid w:val="1034443E"/>
    <w:rsid w:val="11217016"/>
    <w:rsid w:val="13DF2200"/>
    <w:rsid w:val="1A3146DE"/>
    <w:rsid w:val="1A5D5BDB"/>
    <w:rsid w:val="1BC76803"/>
    <w:rsid w:val="20812526"/>
    <w:rsid w:val="23595129"/>
    <w:rsid w:val="24752557"/>
    <w:rsid w:val="26F45411"/>
    <w:rsid w:val="2C2567FA"/>
    <w:rsid w:val="2EA422D9"/>
    <w:rsid w:val="2FF9390E"/>
    <w:rsid w:val="30AA3188"/>
    <w:rsid w:val="31FB2816"/>
    <w:rsid w:val="37AB5678"/>
    <w:rsid w:val="37EE37B7"/>
    <w:rsid w:val="3B1A1976"/>
    <w:rsid w:val="3B7017EA"/>
    <w:rsid w:val="3BF95D51"/>
    <w:rsid w:val="421605CD"/>
    <w:rsid w:val="4281682A"/>
    <w:rsid w:val="43010842"/>
    <w:rsid w:val="442870BF"/>
    <w:rsid w:val="45222911"/>
    <w:rsid w:val="453172FD"/>
    <w:rsid w:val="46BE16F0"/>
    <w:rsid w:val="46C47716"/>
    <w:rsid w:val="471E7C15"/>
    <w:rsid w:val="48564E17"/>
    <w:rsid w:val="4B436CC1"/>
    <w:rsid w:val="4DF77F66"/>
    <w:rsid w:val="4EF2455E"/>
    <w:rsid w:val="4F6273C0"/>
    <w:rsid w:val="531B415F"/>
    <w:rsid w:val="5434041A"/>
    <w:rsid w:val="5632063E"/>
    <w:rsid w:val="56876E58"/>
    <w:rsid w:val="57EEC610"/>
    <w:rsid w:val="58DF0AF2"/>
    <w:rsid w:val="59C3464B"/>
    <w:rsid w:val="5AC97398"/>
    <w:rsid w:val="5CA61E20"/>
    <w:rsid w:val="5FFF4368"/>
    <w:rsid w:val="60E008EC"/>
    <w:rsid w:val="636447A9"/>
    <w:rsid w:val="637F70DE"/>
    <w:rsid w:val="663D12E2"/>
    <w:rsid w:val="68480C77"/>
    <w:rsid w:val="69360B08"/>
    <w:rsid w:val="69F635B3"/>
    <w:rsid w:val="6B4D0219"/>
    <w:rsid w:val="712830E7"/>
    <w:rsid w:val="72D37256"/>
    <w:rsid w:val="72E66F89"/>
    <w:rsid w:val="73064FB0"/>
    <w:rsid w:val="79711576"/>
    <w:rsid w:val="79B323F2"/>
    <w:rsid w:val="7A2756A8"/>
    <w:rsid w:val="7DA0357C"/>
    <w:rsid w:val="7DBC17A7"/>
    <w:rsid w:val="7EBBD500"/>
    <w:rsid w:val="AFDD103F"/>
    <w:rsid w:val="BB7B5A83"/>
    <w:rsid w:val="F97F4E89"/>
    <w:rsid w:val="FBFB325A"/>
    <w:rsid w:val="FE777C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List"/>
    <w:basedOn w:val="1"/>
    <w:qFormat/>
    <w:uiPriority w:val="0"/>
    <w:pPr>
      <w:ind w:left="200" w:hanging="200" w:hangingChars="200"/>
    </w:pPr>
    <w:rPr>
      <w:rFonts w:ascii="Times New Roman" w:hAnsi="Times New Roman" w:eastAsia="宋体" w:cs="Times New Roman"/>
    </w:rPr>
  </w:style>
  <w:style w:type="paragraph" w:styleId="7">
    <w:name w:val="Normal (Web)"/>
    <w:basedOn w:val="1"/>
    <w:qFormat/>
    <w:uiPriority w:val="99"/>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qFormat/>
    <w:uiPriority w:val="0"/>
    <w:rPr>
      <w:color w:val="0000FF"/>
      <w:u w:val="single"/>
    </w:rPr>
  </w:style>
  <w:style w:type="paragraph" w:styleId="13">
    <w:name w:val="List Paragraph"/>
    <w:basedOn w:val="1"/>
    <w:qFormat/>
    <w:uiPriority w:val="99"/>
    <w:pPr>
      <w:ind w:firstLine="420" w:firstLineChars="200"/>
    </w:pPr>
  </w:style>
  <w:style w:type="character" w:customStyle="1" w:styleId="14">
    <w:name w:val="页眉 字符"/>
    <w:basedOn w:val="10"/>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4211</Words>
  <Characters>4478</Characters>
  <Lines>28</Lines>
  <Paragraphs>8</Paragraphs>
  <TotalTime>0</TotalTime>
  <ScaleCrop>false</ScaleCrop>
  <LinksUpToDate>false</LinksUpToDate>
  <CharactersWithSpaces>4488</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2025-09-15T17:02:00Z</dcterms:created>
  <dc:creator>Administrator</dc:creator>
  <cp:lastModifiedBy>user</cp:lastModifiedBy>
  <dcterms:modified xsi:type="dcterms:W3CDTF">2025-09-28T14:46:55Z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KSOTemplateDocerSaveRecord">
    <vt:lpwstr>eyJoZGlkIjoiYjZkOWRiZDlkNzljMGQxMTVmMTM4MjNkZjFlMjI4ZDIiLCJ1c2VySWQiOiIyNzEzNjY2ODYifQ==</vt:lpwstr>
  </property>
  <property fmtid="{D5CDD505-2E9C-101B-9397-08002B2CF9AE}" pid="4" name="ICV">
    <vt:lpwstr>115D6261A803F649C2E4D468C1A06EAC_43</vt:lpwstr>
  </property>
</Properties>
</file>