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48"/>
          <w:szCs w:val="48"/>
          <w:highlight w:val="none"/>
        </w:rPr>
      </w:pPr>
      <w:bookmarkStart w:id="0" w:name="_Toc63785461"/>
    </w:p>
    <w:p>
      <w:pPr>
        <w:jc w:val="center"/>
        <w:rPr>
          <w:rFonts w:ascii="黑体" w:hAnsi="黑体" w:eastAsia="黑体"/>
          <w:sz w:val="48"/>
          <w:szCs w:val="48"/>
          <w:highlight w:val="none"/>
        </w:rPr>
      </w:pPr>
    </w:p>
    <w:p>
      <w:pPr>
        <w:jc w:val="center"/>
        <w:outlineLvl w:val="0"/>
        <w:rPr>
          <w:rFonts w:ascii="黑体" w:hAnsi="黑体" w:eastAsia="黑体"/>
          <w:sz w:val="52"/>
          <w:szCs w:val="52"/>
          <w:highlight w:val="none"/>
        </w:rPr>
      </w:pPr>
      <w:r>
        <w:rPr>
          <w:rFonts w:hint="eastAsia" w:ascii="黑体" w:hAnsi="黑体" w:eastAsia="黑体"/>
          <w:sz w:val="52"/>
          <w:szCs w:val="52"/>
          <w:highlight w:val="none"/>
        </w:rPr>
        <w:t>城管执法指挥监管平台（2025年升级改造）</w:t>
      </w:r>
    </w:p>
    <w:p>
      <w:pPr>
        <w:jc w:val="center"/>
        <w:rPr>
          <w:rFonts w:ascii="黑体" w:hAnsi="黑体" w:eastAsia="黑体"/>
          <w:sz w:val="52"/>
          <w:szCs w:val="52"/>
          <w:highlight w:val="none"/>
        </w:rPr>
      </w:pPr>
    </w:p>
    <w:p>
      <w:pPr>
        <w:jc w:val="center"/>
        <w:rPr>
          <w:rFonts w:ascii="黑体" w:hAnsi="黑体" w:eastAsia="黑体"/>
          <w:sz w:val="52"/>
          <w:szCs w:val="52"/>
          <w:highlight w:val="none"/>
        </w:rPr>
      </w:pPr>
      <w:r>
        <w:rPr>
          <w:rFonts w:hint="eastAsia" w:ascii="黑体" w:hAnsi="黑体" w:eastAsia="黑体"/>
          <w:sz w:val="52"/>
          <w:szCs w:val="52"/>
          <w:highlight w:val="none"/>
        </w:rPr>
        <w:t>采购需求</w:t>
      </w:r>
    </w:p>
    <w:p>
      <w:pPr>
        <w:jc w:val="center"/>
        <w:rPr>
          <w:rFonts w:ascii="黑体" w:hAnsi="黑体" w:eastAsia="黑体"/>
          <w:sz w:val="72"/>
          <w:szCs w:val="72"/>
          <w:highlight w:val="none"/>
        </w:rPr>
      </w:pPr>
    </w:p>
    <w:p>
      <w:pPr>
        <w:jc w:val="center"/>
        <w:rPr>
          <w:rFonts w:ascii="黑体" w:hAnsi="黑体" w:eastAsia="黑体"/>
          <w:sz w:val="48"/>
          <w:szCs w:val="48"/>
          <w:highlight w:val="none"/>
        </w:rPr>
      </w:pPr>
    </w:p>
    <w:p>
      <w:pPr>
        <w:jc w:val="center"/>
        <w:rPr>
          <w:rFonts w:ascii="黑体" w:hAnsi="黑体" w:eastAsia="黑体"/>
          <w:sz w:val="52"/>
          <w:szCs w:val="52"/>
          <w:highlight w:val="none"/>
        </w:rPr>
      </w:pPr>
    </w:p>
    <w:p>
      <w:pPr>
        <w:ind w:firstLine="1040"/>
        <w:rPr>
          <w:rFonts w:ascii="黑体" w:hAnsi="黑体" w:eastAsia="黑体"/>
          <w:sz w:val="52"/>
          <w:szCs w:val="52"/>
          <w:highlight w:val="none"/>
        </w:rPr>
      </w:pPr>
    </w:p>
    <w:p>
      <w:pPr>
        <w:rPr>
          <w:highlight w:val="none"/>
        </w:rPr>
      </w:pPr>
    </w:p>
    <w:p>
      <w:pPr>
        <w:rPr>
          <w:highlight w:val="none"/>
        </w:rPr>
      </w:pPr>
    </w:p>
    <w:p>
      <w:pPr>
        <w:rPr>
          <w:highlight w:val="none"/>
        </w:rPr>
      </w:pPr>
    </w:p>
    <w:p>
      <w:pPr>
        <w:rPr>
          <w:highlight w:val="none"/>
        </w:rPr>
      </w:pPr>
    </w:p>
    <w:p>
      <w:pPr>
        <w:rPr>
          <w:highlight w:val="none"/>
        </w:rPr>
      </w:pPr>
    </w:p>
    <w:p>
      <w:pPr>
        <w:spacing w:line="500" w:lineRule="exact"/>
        <w:rPr>
          <w:rFonts w:ascii="宋体" w:hAnsi="宋体"/>
          <w:b/>
          <w:sz w:val="24"/>
          <w:highlight w:val="none"/>
        </w:rPr>
      </w:pPr>
    </w:p>
    <w:p>
      <w:pPr>
        <w:pStyle w:val="25"/>
        <w:rPr>
          <w:rFonts w:ascii="宋体" w:hAnsi="宋体"/>
          <w:b/>
          <w:color w:val="auto"/>
          <w:highlight w:val="none"/>
        </w:rPr>
      </w:pPr>
    </w:p>
    <w:p>
      <w:pPr>
        <w:pStyle w:val="25"/>
        <w:rPr>
          <w:rFonts w:ascii="宋体" w:hAnsi="宋体"/>
          <w:b/>
          <w:color w:val="auto"/>
          <w:highlight w:val="none"/>
        </w:rPr>
        <w:sectPr>
          <w:pgSz w:w="11906" w:h="16838"/>
          <w:pgMar w:top="1440" w:right="1800" w:bottom="1440" w:left="1800" w:header="851" w:footer="992" w:gutter="0"/>
          <w:cols w:space="425" w:num="1"/>
          <w:docGrid w:type="lines" w:linePitch="312" w:charSpace="0"/>
        </w:sectPr>
      </w:pPr>
    </w:p>
    <w:p>
      <w:pPr>
        <w:spacing w:line="500" w:lineRule="exact"/>
        <w:outlineLvl w:val="0"/>
        <w:rPr>
          <w:rFonts w:ascii="宋体" w:hAnsi="宋体"/>
          <w:b/>
          <w:sz w:val="24"/>
          <w:highlight w:val="none"/>
        </w:rPr>
      </w:pPr>
      <w:r>
        <w:rPr>
          <w:rFonts w:hint="eastAsia" w:ascii="宋体" w:hAnsi="宋体"/>
          <w:b/>
          <w:sz w:val="24"/>
          <w:highlight w:val="none"/>
        </w:rPr>
        <w:t>一、项目概况</w:t>
      </w:r>
      <w:bookmarkEnd w:id="0"/>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项目背景：随着执法体制改革持续深化，城管行政执法力量下沉街道，对上海市整条城市管理行政执法条线在管理方式、执法流程等方面均产生了颠覆性的变化和影响。根据《提升行政执法质量三年行动计划（2023—2025年）》《巩固深化全国城市管理执法队伍“强基础、转作风、树形象”专项行动》《上海市行政执法监督办法》《关于深化推进本市建筑垃圾运输车辆联合执法的工作意见》《上海市开展燃气管道风险排查及燃气安全专项整治行动方案》等文件的要求，对无证建筑监管、行政执法监督、城管进社区、建筑垃圾监管、燃气执法、优化分级分类执法检查等方面都提出了明确的要求。因此，需要对城管执法指挥监管平台进行升级改造，优化和新增系统功能，有效支撑全市执法指挥监管工作的开展，落实执法力量下沉工作要求。</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项目现状：上海市城管执法综合指挥监管平台建设于2016年，项目建设主要以信息化解决城管三级统一指挥协调顺畅、快速反应等问题，形成市局统一指挥、各区合成作战的模式。目前平台拥有综合执法监督指导、地图应用、数据统计和报表、城管执法诉件管理、城管执法绩效考核、信访案件转办管理、人才发展管理、户外广告处置管理、街镇评议管理、住宅小区综合监管等多个子系统。2020年建成上海城管执法对象监管系统，目前已建设了沿街经营单位、店招店牌、沿街广告、餐厨垃圾、废弃油脂、小区物业、生活垃圾分类、建筑工地、历史保护建筑、房地产经纪机构和人员、房地产开发和租赁企业等21个全市城管执法主题对象库。无证建筑管理系统于2017年建成并于2019年底完成上云工作，已建新增违建、存量违建、抽样核查、督查督办、综合考评、综合查询、统计分析、数据交互、违建一张图、系统管理和移动端功能模块，2024年无证建筑管理系统的使用方由上海市住房和城乡建设管理委员会变更为上海市城市管理行政执法局。2024年上海市城管执法局对城管执法综合指挥监管平台、城管执法对象监管系统、无证建筑管理系统进行梳理整合并形成“城管执法指挥监管平台”。</w:t>
      </w:r>
    </w:p>
    <w:p>
      <w:pPr>
        <w:pStyle w:val="2"/>
        <w:rPr>
          <w:highlight w:val="none"/>
        </w:rPr>
      </w:pPr>
      <w:r>
        <w:rPr>
          <w:rFonts w:hint="eastAsia"/>
          <w:highlight w:val="none"/>
        </w:rPr>
        <w:drawing>
          <wp:inline distT="0" distB="0" distL="114300" distR="114300">
            <wp:extent cx="5271770" cy="4599305"/>
            <wp:effectExtent l="0" t="0" r="11430" b="10795"/>
            <wp:docPr id="2" name="图片 2" descr="8056da686b545dcca7bd675071bc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56da686b545dcca7bd675071bce39"/>
                    <pic:cNvPicPr>
                      <a:picLocks noChangeAspect="1"/>
                    </pic:cNvPicPr>
                  </pic:nvPicPr>
                  <pic:blipFill>
                    <a:blip r:embed="rId4"/>
                    <a:stretch>
                      <a:fillRect/>
                    </a:stretch>
                  </pic:blipFill>
                  <pic:spPr>
                    <a:xfrm>
                      <a:off x="0" y="0"/>
                      <a:ext cx="5271770" cy="4599305"/>
                    </a:xfrm>
                    <a:prstGeom prst="rect">
                      <a:avLst/>
                    </a:prstGeom>
                  </pic:spPr>
                </pic:pic>
              </a:graphicData>
            </a:graphic>
          </wp:inline>
        </w:drawing>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建设期限：自合同签订之日起至2025年11月30日</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建设地点：上海市城市管理行政执法局（上海市徐家汇路579号6楼）</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预算金额：4,028,000元</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采购金额（最高限价）：4,028,000元</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组织形式：集中采购</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采购方式：公开招标</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是否接受联合体投标：否</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是否按信创要求建设：是</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运维后所属大系统：城管执法指挥监管平台</w:t>
      </w:r>
    </w:p>
    <w:p>
      <w:pPr>
        <w:spacing w:line="500" w:lineRule="exact"/>
        <w:outlineLvl w:val="0"/>
        <w:rPr>
          <w:rFonts w:ascii="宋体" w:hAnsi="宋体"/>
          <w:b/>
          <w:sz w:val="24"/>
          <w:highlight w:val="none"/>
        </w:rPr>
      </w:pPr>
      <w:bookmarkStart w:id="1" w:name="_Toc48223882"/>
      <w:bookmarkStart w:id="2" w:name="_Toc63785463"/>
      <w:r>
        <w:rPr>
          <w:rFonts w:hint="eastAsia" w:ascii="宋体" w:hAnsi="宋体"/>
          <w:b/>
          <w:sz w:val="24"/>
          <w:highlight w:val="none"/>
        </w:rPr>
        <w:t>二、建设目标</w:t>
      </w:r>
      <w:bookmarkEnd w:id="1"/>
      <w:bookmarkEnd w:id="2"/>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根据国家部委、市委市政府等系列文件要求，完善综合指挥监管，进行无证建筑管理功能适配改造及新增功能，新增责任制监督、进社区管理、投诉件转办、交警联动执法等功能。完善城管执法对象监管，落实市委市政府关于优化营商环境相关工作要求，优化分级分类执法检查，减少对企单位干扰，引入管理部门风险评估意见，强化重点区域监管，新增融合模式执法检查；为落实燃气执法事项划归相关工作要求，新增燃气执法对象管理，实现燃气执法相关的各类基础数据管理，为燃气执法提供基础支撑。</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通过本项目的建设拟实现的各目标如下：</w:t>
      </w:r>
    </w:p>
    <w:p>
      <w:pPr>
        <w:numPr>
          <w:ilvl w:val="0"/>
          <w:numId w:val="2"/>
        </w:numPr>
        <w:spacing w:line="360" w:lineRule="auto"/>
        <w:rPr>
          <w:rFonts w:ascii="宋体" w:hAnsi="宋体"/>
          <w:b/>
          <w:sz w:val="24"/>
          <w:szCs w:val="24"/>
          <w:highlight w:val="none"/>
        </w:rPr>
      </w:pPr>
      <w:r>
        <w:rPr>
          <w:rFonts w:hint="eastAsia" w:ascii="宋体" w:hAnsi="宋体"/>
          <w:b/>
          <w:sz w:val="24"/>
          <w:szCs w:val="24"/>
          <w:highlight w:val="none"/>
        </w:rPr>
        <w:t>应用指标:</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本次项目为原系统升级改造，因此要求沿用原系统技术路线及国产化部署环境。</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要求系统满足指挥监管业务日常办理需要。</w:t>
      </w:r>
    </w:p>
    <w:p>
      <w:pPr>
        <w:numPr>
          <w:ilvl w:val="0"/>
          <w:numId w:val="2"/>
        </w:numPr>
        <w:spacing w:line="360" w:lineRule="auto"/>
        <w:rPr>
          <w:rFonts w:ascii="宋体" w:hAnsi="宋体"/>
          <w:b/>
          <w:sz w:val="24"/>
          <w:szCs w:val="24"/>
          <w:highlight w:val="none"/>
        </w:rPr>
      </w:pPr>
      <w:r>
        <w:rPr>
          <w:rFonts w:hint="eastAsia" w:ascii="宋体" w:hAnsi="宋体"/>
          <w:b/>
          <w:sz w:val="24"/>
          <w:szCs w:val="24"/>
          <w:highlight w:val="none"/>
        </w:rPr>
        <w:t>技术指标：</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（1）系统并发量不低于50（符合国产化环境）。</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（2）用户登录账号操作响应时间应小于2秒；</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（3）普通查询操作响应时间应小于5秒；</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（4）综合查询统计操作应小于10秒。</w:t>
      </w:r>
    </w:p>
    <w:p>
      <w:pPr>
        <w:numPr>
          <w:ilvl w:val="0"/>
          <w:numId w:val="2"/>
        </w:numPr>
        <w:spacing w:line="360" w:lineRule="auto"/>
        <w:rPr>
          <w:rFonts w:ascii="宋体" w:hAnsi="宋体"/>
          <w:b/>
          <w:sz w:val="24"/>
          <w:szCs w:val="24"/>
          <w:highlight w:val="none"/>
        </w:rPr>
      </w:pPr>
      <w:r>
        <w:rPr>
          <w:rFonts w:hint="eastAsia" w:ascii="宋体" w:hAnsi="宋体"/>
          <w:b/>
          <w:sz w:val="24"/>
          <w:szCs w:val="24"/>
          <w:highlight w:val="none"/>
        </w:rPr>
        <w:t>绩效目标：</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（1）时效考核目标：2025年11月30日前完成项目建设；</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（2）业务考核目标：项目改造完成后，系统满足城管执法指挥监管平台业务的工作要求，系统运行稳定高效、安全可靠；</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（3）功能考核目标：项目改造完成后，本项目改造的各功能模块正常运行比例达到100%；</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（4）安全考核目标：系统采用等保二级的安全体系，保证数据在处理和传输全过程的安全性；</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（5）满意度考核目标：系统功能能够满足市局执法指挥监管的工作要求，满意度达到95%。</w:t>
      </w:r>
    </w:p>
    <w:p>
      <w:pPr>
        <w:spacing w:line="500" w:lineRule="exact"/>
        <w:outlineLvl w:val="0"/>
        <w:rPr>
          <w:rFonts w:ascii="宋体" w:hAnsi="宋体"/>
          <w:b/>
          <w:sz w:val="24"/>
          <w:highlight w:val="none"/>
        </w:rPr>
      </w:pPr>
      <w:bookmarkStart w:id="3" w:name="_Toc47536676"/>
      <w:bookmarkEnd w:id="3"/>
      <w:bookmarkStart w:id="4" w:name="_Toc47536304"/>
      <w:bookmarkEnd w:id="4"/>
      <w:bookmarkStart w:id="5" w:name="_Toc47533288"/>
      <w:bookmarkEnd w:id="5"/>
      <w:bookmarkStart w:id="6" w:name="_Toc47537166"/>
      <w:bookmarkEnd w:id="6"/>
      <w:bookmarkStart w:id="7" w:name="_Toc47532923"/>
      <w:bookmarkEnd w:id="7"/>
      <w:bookmarkStart w:id="8" w:name="_Toc47539102"/>
      <w:bookmarkEnd w:id="8"/>
      <w:r>
        <w:rPr>
          <w:rFonts w:hint="eastAsia" w:ascii="宋体" w:hAnsi="宋体"/>
          <w:b/>
          <w:sz w:val="24"/>
          <w:highlight w:val="none"/>
        </w:rPr>
        <w:t>三、项目建设内容</w:t>
      </w:r>
    </w:p>
    <w:p>
      <w:pPr>
        <w:widowControl/>
        <w:snapToGrid w:val="0"/>
        <w:spacing w:line="360" w:lineRule="auto"/>
        <w:ind w:firstLine="482" w:firstLineChars="200"/>
        <w:jc w:val="left"/>
        <w:rPr>
          <w:rFonts w:ascii="宋体" w:hAnsi="宋体"/>
          <w:b/>
          <w:sz w:val="24"/>
          <w:szCs w:val="24"/>
          <w:highlight w:val="none"/>
        </w:rPr>
      </w:pPr>
      <w:r>
        <w:rPr>
          <w:rFonts w:hint="eastAsia" w:ascii="宋体" w:hAnsi="宋体"/>
          <w:b/>
          <w:sz w:val="24"/>
          <w:szCs w:val="24"/>
          <w:highlight w:val="none"/>
        </w:rPr>
        <w:t>1、技术路线：</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（1）系统使用</w:t>
      </w:r>
      <w:r>
        <w:rPr>
          <w:rFonts w:ascii="宋体" w:hAnsi="宋体" w:cs="宋体"/>
          <w:sz w:val="24"/>
          <w:szCs w:val="24"/>
          <w:highlight w:val="none"/>
        </w:rPr>
        <w:t>J</w:t>
      </w:r>
      <w:r>
        <w:rPr>
          <w:rFonts w:hint="eastAsia" w:ascii="宋体" w:hAnsi="宋体" w:cs="宋体"/>
          <w:sz w:val="24"/>
          <w:szCs w:val="24"/>
          <w:highlight w:val="none"/>
        </w:rPr>
        <w:t>ava作为业务处理的开发语言；</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（2）采用Java主流的技术应用框架；</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（3）要求使用主流数据库，符合国产化的技术要求；</w:t>
      </w: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（4）要求提供表单引擎、流程引擎等工具满足系统业务扩展需求。</w:t>
      </w:r>
    </w:p>
    <w:p>
      <w:pPr>
        <w:widowControl/>
        <w:snapToGrid w:val="0"/>
        <w:spacing w:line="360" w:lineRule="auto"/>
        <w:ind w:firstLine="482" w:firstLineChars="200"/>
        <w:jc w:val="left"/>
        <w:rPr>
          <w:rFonts w:ascii="宋体" w:hAnsi="宋体"/>
          <w:b/>
          <w:sz w:val="24"/>
          <w:szCs w:val="24"/>
          <w:highlight w:val="none"/>
        </w:rPr>
      </w:pPr>
      <w:r>
        <w:rPr>
          <w:rFonts w:hint="eastAsia" w:ascii="宋体" w:hAnsi="宋体"/>
          <w:b/>
          <w:sz w:val="24"/>
          <w:szCs w:val="24"/>
          <w:highlight w:val="none"/>
        </w:rPr>
        <w:t>2、系统架构：</w:t>
      </w:r>
    </w:p>
    <w:p>
      <w:pPr>
        <w:pStyle w:val="2"/>
        <w:rPr>
          <w:highlight w:val="none"/>
        </w:rPr>
      </w:pPr>
      <w:r>
        <w:rPr>
          <w:rFonts w:hint="eastAsia"/>
          <w:highlight w:val="none"/>
        </w:rPr>
        <w:drawing>
          <wp:inline distT="0" distB="0" distL="114300" distR="114300">
            <wp:extent cx="5271770" cy="4599305"/>
            <wp:effectExtent l="0" t="0" r="11430" b="10795"/>
            <wp:docPr id="3" name="图片 3" descr="8056da686b545dcca7bd675071bc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56da686b545dcca7bd675071bce39"/>
                    <pic:cNvPicPr>
                      <a:picLocks noChangeAspect="1"/>
                    </pic:cNvPicPr>
                  </pic:nvPicPr>
                  <pic:blipFill>
                    <a:blip r:embed="rId4"/>
                    <a:stretch>
                      <a:fillRect/>
                    </a:stretch>
                  </pic:blipFill>
                  <pic:spPr>
                    <a:xfrm>
                      <a:off x="0" y="0"/>
                      <a:ext cx="5271770" cy="4599305"/>
                    </a:xfrm>
                    <a:prstGeom prst="rect">
                      <a:avLst/>
                    </a:prstGeom>
                  </pic:spPr>
                </pic:pic>
              </a:graphicData>
            </a:graphic>
          </wp:inline>
        </w:drawing>
      </w:r>
    </w:p>
    <w:p>
      <w:pPr>
        <w:widowControl/>
        <w:snapToGrid w:val="0"/>
        <w:spacing w:line="440" w:lineRule="exact"/>
        <w:ind w:firstLine="482"/>
        <w:jc w:val="left"/>
        <w:rPr>
          <w:b/>
          <w:sz w:val="24"/>
          <w:szCs w:val="24"/>
          <w:highlight w:val="none"/>
        </w:rPr>
      </w:pPr>
      <w:r>
        <w:rPr>
          <w:rFonts w:hint="eastAsia"/>
          <w:b/>
          <w:sz w:val="24"/>
          <w:szCs w:val="24"/>
          <w:highlight w:val="none"/>
        </w:rPr>
        <w:t>3、部署环境：</w:t>
      </w:r>
    </w:p>
    <w:p>
      <w:pPr>
        <w:widowControl/>
        <w:snapToGrid w:val="0"/>
        <w:spacing w:line="360" w:lineRule="auto"/>
        <w:ind w:firstLine="480" w:firstLineChars="200"/>
        <w:jc w:val="left"/>
        <w:rPr>
          <w:bCs/>
          <w:sz w:val="24"/>
          <w:szCs w:val="24"/>
          <w:highlight w:val="none"/>
        </w:rPr>
      </w:pPr>
      <w:r>
        <w:rPr>
          <w:rFonts w:hint="eastAsia"/>
          <w:bCs/>
          <w:sz w:val="24"/>
          <w:szCs w:val="24"/>
          <w:highlight w:val="none"/>
        </w:rPr>
        <w:t>系统目前部署在上海市电子政务云，操作系统采用统信UOS/麒麟，数据库软件采用达梦/人大金仓，中间件采用东方通，部署网络为政务外网+互联网。</w:t>
      </w:r>
    </w:p>
    <w:p>
      <w:pPr>
        <w:widowControl/>
        <w:numPr>
          <w:ilvl w:val="0"/>
          <w:numId w:val="3"/>
        </w:numPr>
        <w:snapToGrid w:val="0"/>
        <w:spacing w:line="440" w:lineRule="exact"/>
        <w:ind w:firstLine="482"/>
        <w:jc w:val="left"/>
        <w:rPr>
          <w:b/>
          <w:sz w:val="24"/>
          <w:szCs w:val="24"/>
          <w:highlight w:val="none"/>
        </w:rPr>
      </w:pPr>
      <w:r>
        <w:rPr>
          <w:rFonts w:hint="eastAsia"/>
          <w:b/>
          <w:sz w:val="24"/>
          <w:szCs w:val="24"/>
          <w:highlight w:val="none"/>
        </w:rPr>
        <w:t>软件开发清单：</w:t>
      </w:r>
    </w:p>
    <w:tbl>
      <w:tblPr>
        <w:tblStyle w:val="20"/>
        <w:tblW w:w="4998" w:type="pct"/>
        <w:tblInd w:w="0" w:type="dxa"/>
        <w:tblLayout w:type="autofit"/>
        <w:tblCellMar>
          <w:top w:w="0" w:type="dxa"/>
          <w:left w:w="108" w:type="dxa"/>
          <w:bottom w:w="0" w:type="dxa"/>
          <w:right w:w="108" w:type="dxa"/>
        </w:tblCellMar>
      </w:tblPr>
      <w:tblGrid>
        <w:gridCol w:w="576"/>
        <w:gridCol w:w="823"/>
        <w:gridCol w:w="2894"/>
        <w:gridCol w:w="4226"/>
      </w:tblGrid>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序号</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应用软件名称</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模块功能</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功能描述</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w:t>
            </w:r>
          </w:p>
        </w:tc>
        <w:tc>
          <w:tcPr>
            <w:tcW w:w="4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上海市城管执法综合指挥监管平台</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综合指挥监管-无证建筑管理-适配改造-采集录入和数据管理-信息手动录入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无证建筑点位信息手动录入，并对上传的照片、文书、视频等进行压缩</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综合指挥监管-无证建筑管理-适配改造-采集录入和数据管理-Excel导入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无证建筑点位信息Excel导入，在导入过程中先做数据校验</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综合指挥监管-无证建筑管理-适配改造-采集录入和数据管理-数据转移</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无证建筑普查库点位信息数据转移</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综合指挥监管-无证建筑管理-适配改造-采集录入和数据管理-材料电子化</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附件上传和管理功能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综合指挥监管-无证建筑管理-适配改造-采集录入和数据管理-数据管理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无证建筑点位信息修改、删除和网上流程</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综合指挥监管-无证建筑管理-适配改造-计划安排和任务执行-录入拆除信息</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录入拆除信息并网上流转</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综合指挥监管-无证建筑管理-适配改造-抽样核查和督办-设定抽样标准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设定新增违建、存量违建抽样标准</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综合指挥监管-无证建筑管理-适配改造-抽样核查和督办-点位抽样</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根据抽样标准，新增违建、存量违建点位抽样</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综合指挥监管-无证建筑管理-适配改造-抽样核查和督办-筛选样本</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市拆违办根据抽样标准，在系统中筛选核查样本</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综合指挥监管-无证建筑管理-适配改造-抽样核查和督办-点位核查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现场核查案件处置情况，核查处置情况属实的予以结案，并记录核查意见；发现处置不彻底或处置结果与上报情况不符的，将核查实际情况反馈给相应的街道（镇）进行处理</w:t>
            </w:r>
          </w:p>
        </w:tc>
      </w:tr>
      <w:tr>
        <w:tblPrEx>
          <w:tblCellMar>
            <w:top w:w="0" w:type="dxa"/>
            <w:left w:w="108" w:type="dxa"/>
            <w:bottom w:w="0" w:type="dxa"/>
            <w:right w:w="108" w:type="dxa"/>
          </w:tblCellMar>
        </w:tblPrEx>
        <w:trPr>
          <w:trHeight w:val="9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综合指挥监管-无证建筑管理-适配改造-抽样核查和督办-结果录入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现场核查案件处置情况后，将实际情况记录至系统中，系统提供核查意见登记和附件上传等功能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综合指挥监管-无证建筑管理-适配改造-抽样核查和督办-确定督办案件</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提供市/区拆违办确定督办案件功能并支持修改、查看等</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综合指挥监管-无证建筑管理-适配改造-抽样核查和督办-督查督办</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市/区拆违办开具《督办单》并下发督办案件至相关区承办处理</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综合指挥监管-无证建筑管理-适配改造-抽样核查和督办-办理督办案件/反馈督办案件</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区/街镇拆违办在接到《督办单》后，在规定时间内复案件的具体情况、最终处置结果或处置意见上报区/市拆违办</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综合指挥监管-无证建筑管理-适配改造-抽样核查和督办-催办</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市/区拆违办对未按时回复和办结的督办件进行催办</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综合指挥监管-无证建筑管理-适配改造-抽样核查和督办-现场核查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市/区拆违办现场核查督办件的处置情况，核查情况属实的予以结案；发现处置不彻底或处置结果与上报情况不符的，纳入考评，并再行催办</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综合指挥监管-无证建筑管理-适配改造-抽样核查和督办-归档</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完成办结的督办案件流转至销项库</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综合指挥监管-无证建筑管理-适配改造-抽样核查和督办-定时提醒</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对督办件按确定的时间进行定时提醒功能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综合指挥监管-无证建筑管理-适配改造-GIS定位和空间展示-无证建筑多条件空间展示</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支持空间查询和属性查询，并展示点位详细信息</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综合指挥监管-无证建筑管理-适配改造-GIS定位和空间展示-无证建筑空间信息在线编辑</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允许用户录入新发现的存量或新增违建数据，并对其空间点位和四至范围进行编辑</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综合指挥监管-无证建筑管理-适配改造-GIS定位和空间展示-多来源数据空间信息分析和筛选</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多来源数据GIS提供缓冲区分析，与现有数据库进行匹配，判断当前案件与库中数据是否重复</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综合指挥监管-无证建筑管理-适配改造-GIS定位和空间展示-多维度GIS专题分析</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支持对无证建筑基于多条件查询，查询结果生成范围值专题图</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综合指挥监管-无证建筑管理-适配改造-GIS定位和空间展示-空间位置智能搜索和定位</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数据新增、编辑时根据用户输入的地址自动解析出XY坐标</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综合指挥监管-无证建筑管理-适配改造-综合查询-综合查询</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提供新增违建、存量违建、督查督办等11个查询功能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综合指挥监管-无证建筑管理-适配改造-统计分析-定制报表</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根据业务需求提供各类统计报表，支持导出</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综合指挥监管-无证建筑管理-适配改造-统计分析-分析图表</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以图表形式，对各项业务进行统计分析，并提供导出功能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综合指挥监管-无证建筑管理-适配改造-考核评价-生成考核报告</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根据考核标准，以及手动录入和自动的考核结果，最终生成考核报告，并提供预览、打印等功能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综合指挥监管-无证建筑管理-适配改造-考核评价-录入考核结果</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提供非自动生成考核结果的考核项的录入、修改功能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综合指挥监管-无证建筑管理-适配改造-考核评价-考核无证建筑数据登记情况</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考核无证建筑数据登记情况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30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综合指挥监管-无证建筑管理-适配改造-考核评价-考核无证建筑拆除登记情况</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考核无证建筑拆除登记情况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31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综合指挥监管-无证建筑管理-适配改造-考核评价-考核年度拆违计划执行情况</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考核年度拆违计划执行情况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32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综合指挥监管-无证建筑管理-适配改造-考核评价-考核抽样核查情况</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考核抽样核查情况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33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综合指挥监管-无证建筑管理-适配改造-考核评价-考核督办案件情况</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考核督办案件情况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34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综合指挥监管-无证建筑管理-适配改造-考核评价-考核接口数据匹配完成情况</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考核接口数据匹配完成情况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35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综合指挥监管-无证建筑管理-适配改造-数据交互-对接网格化系统</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对接网格化系统</w:t>
            </w:r>
          </w:p>
        </w:tc>
      </w:tr>
      <w:tr>
        <w:tblPrEx>
          <w:tblCellMar>
            <w:top w:w="0" w:type="dxa"/>
            <w:left w:w="108" w:type="dxa"/>
            <w:bottom w:w="0" w:type="dxa"/>
            <w:right w:w="108" w:type="dxa"/>
          </w:tblCellMar>
        </w:tblPrEx>
        <w:trPr>
          <w:trHeight w:val="9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36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综合指挥监管-无证建筑管理-适配改造-数据交互-对接12345热线系统</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对接12345热线系统</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37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综合指挥监管-无证建筑管理-适配改造-数据交互-对接区拆违系统</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通过接口获取区拆违系统推送的无证建筑案件信息和拆除信息，以及推送无证建筑案件信息和考核信息至区拆违系统</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38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综合指挥监管-无证建筑管理-适配改造-移动终端-信息上报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实时上报无证建筑信息，支持照片上传、压缩、查看功能，提供新增点、编辑点、移动、删除等功能辅助用户完成违建数据的空间录入。提供信息完整性校验、有效性校验等</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39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综合指挥监管-无证建筑管理-适配改造-移动终端-外场核实</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对无证信息进行查询、查看详情、信息修改、照片删除、照片上传、照片压缩、照片查看、核实意见录入等功能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40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综合指挥监管-无证建筑管理-适配改造-移动终端-抽样核查外场核查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对无证建筑抽样核查案件进行查询、查看详情，抽样核查案件的外场核查意见录入、修改、删除，核查照片上传、压缩和删除等功能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41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综合指挥监管-无证建筑管理-适配改造-移动终端-督办案件外场核查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对无证建筑督办案件进行查询、查看详情，督办案件的外场核查意见录入、修改、删除，核查照片上传、压缩和删除等功能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42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综合指挥监管-无证建筑管理-适配改造-移动终端-信息公告</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提供移动终端信息公告功能，系统服务器端信息增加、删除、修改等维护功能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43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综合指挥监管-无证建筑管理-适配改造-注记拆除-处置信息录入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主要包括包括注记、立案等</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44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综合指挥监管-无证建筑管理-适配改造-注记拆除-处置信息审核</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处置信息网上流转</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45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综合指挥监管-无证建筑管理-新增功能-专项整治管理-低效用地整治</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对接市规划资源局的低效用地信息，筛选低效用地点位，街镇提交整治信息，区级和市级审核，支持批量审核和导出</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46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综合指挥监管-无证建筑管理-新增功能-专项整治管理-高档住宅（别墅）整治</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筛选别墅和低层高档商品住宅点位，街镇提交整治信息，区级和市级审核，支持批量审核和导出</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47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综合指挥监管-无证建筑管理-新增功能-专项整治管理-两旧一村整治</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根据两旧一村三年行动计划，筛选两旧一村整治点位，街镇提交整治信息，区级和市级审核，支持批量审核、导出</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48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综合指挥监管-无证建筑管理-新增功能-暂缓认定管理-市级暂缓认定</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街镇提交市级暂级认定信息，区和市用户审核，有效期2年，支持批量审核和导出功能。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49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综合指挥监管-无证建筑管理-新增功能-暂缓认定管理-区级暂缓认定</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街镇提交区级暂级认定信息，提交区用户审核，审核通过转至暂缓认定库（市级备案），支持批量审核和导出功能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50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综合指挥监管-无证建筑管理-新增功能-综合发布-信息发布管理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支持市和区用户发布政策法规、每月通报和工作简讯，可选择不同的发布范围。</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51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综合指挥监管-无证建筑管理-新增功能-综合发布-工作反馈</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发布范围内的用户可查阅政策法规、每月通报和工作简讯，并可反馈相关工作结果至上级用户，支持提醒未反馈和未阅功能。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52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综合指挥监管-无证建筑管理-新增功能-点位核实</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街镇用户提交外业点位核实信息，区级和市级用户审核，支持批量审核和导出功能</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53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综合指挥监管-无证建筑管理-新增功能-数据补证</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区用户录入数据补证信息，市用户审核，审核通过计入销项总量，支持一个证书文件可销项1个或多个无证建筑点位，支持批量审核和导出功能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54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综合指挥监管-无证建筑管理-新增功能-安全检测管理-安全检测信息填报和审核</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街镇用户录入安全、消防双检测，区用户审核，周期为2～3年，支持批量审核和导出功能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55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综合指挥监管-无证建筑管理-新增功能-安全检测管理-安全检测信息填报和审核</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市用户进行抽查，支持批量抽查和导出功能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56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综合指挥监管-无证建筑管理-新增功能-移动终端-新增违建</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支持通过各类查询条件查询、查看辖区范围内的新增违建点位信息，并根据查询结果进行统计</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57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综合指挥监管-无证建筑管理-新增功能-移动终端-存量违建</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支持通过各类查询条件查询、查看辖区范围内的存量违建点位信息，并根据查询结果进行统计</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58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综合指挥监管-无证建筑管理-新增功能-移动终端-督查督办</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支持通过各类查询条件查询、查看辖区范围内的区级、市级和挂牌督办案件信息，并根据查询结果进行统计，市级用户可以催办。</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59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综合指挥监管-无证建筑管理-新增功能-移动终端-统计分析</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提供新增违建、存量违建、专项整治、督查督办、无违建创建考核、暂缓认定和销项库等统计功能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60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综合指挥监管-责任制监督-责任制监督任务-责任制监督模板管理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新增责任制监督督察（办）单模板管理功能，设置督察单、督办单模板并进行模板管理。</w:t>
            </w:r>
          </w:p>
        </w:tc>
      </w:tr>
      <w:tr>
        <w:tblPrEx>
          <w:tblCellMar>
            <w:top w:w="0" w:type="dxa"/>
            <w:left w:w="108" w:type="dxa"/>
            <w:bottom w:w="0" w:type="dxa"/>
            <w:right w:w="108" w:type="dxa"/>
          </w:tblCellMar>
        </w:tblPrEx>
        <w:trPr>
          <w:trHeight w:val="9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61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综合指挥监管-责任制监督-责任制监督任务-责任制监督任务流转</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实现自动生成落实责任制任务，生成督察单/督办单，新增督察单、督办单开单前的内部审批流程。并实现责任制监督任务市局、区局、中队三级任务派发流转。</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62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综合指挥监管-责任制监督-责任制监督任务-责任制监督任务处置（中队处置）</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实现中队对责任制监督任务进行处置，并提供任务处理反馈窗口。</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63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综合指挥监管-责任制监督-责任制监督任务-责任制监督任务处置（区局处置）</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支持区局监督员在线按期、按要求填报落实责任制任务情况并上传相关文件，提交反馈至市局。</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64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综合指挥监管-责任制监督-责任制监督任务-区局监督履职情况</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针对责任制监督任务，支持区局对中队监督，将监督情况进行信息反馈填报并提交市局。</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65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综合指挥监管-责任制监督-责任制监督任务-市局监督</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支持市局对区局责任制监督任务处置情况进行监督，有问题转建议书。</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66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综合指挥监管-责任制监督-责任制监督任务-待办任务提醒</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支持系统或短信提醒，以待办任务形式自动推给区局监督员。</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67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综合指挥监管-责任制监督-责任制监督任务-负面问题处置报表</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按照区、街镇两级维度，实现提供负面问题处置数量、类型等统计报表。</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68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综合指挥监管-责任制监督-监督工作台(PC端)</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实现相关监督数据的汇总，实现监督结果数据分析，加强对执法监督工作的监督。</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69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综合指挥监管-责任制监督-监督工作台(移动端)</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新增移动端监督工作台，通过移动应用实现督察关键数据的全量展示，为领导现场决策提供数据支撑。</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70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综合指挥监管-责任制监督-执法监督月报-监督月报模板</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自动化生成执法监督模板，汇总各类内容的统计明细，生成统计报告，支持导出。</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71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综合指挥监管-责任制监督-执法监督月报-统计规则调整</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调整案件核定量统计规则；调整简易程序、普通程序实际办案数、违法建筑拆除案件、重大复杂案件统计规则；调整各区城管执法部门考核人员基数；调整不纳入考核计算涉及的相关处罚事项。</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72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综合指挥监管-责任制监督-“一江一河”“长三角”专项统计报送-数据填报-“一江一河”数据填报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增加一江一河数据填报功能模块。中队按月填报登记，区局汇总审核并提交。</w:t>
            </w:r>
          </w:p>
        </w:tc>
      </w:tr>
      <w:tr>
        <w:tblPrEx>
          <w:tblCellMar>
            <w:top w:w="0" w:type="dxa"/>
            <w:left w:w="108" w:type="dxa"/>
            <w:bottom w:w="0" w:type="dxa"/>
            <w:right w:w="108" w:type="dxa"/>
          </w:tblCellMar>
        </w:tblPrEx>
        <w:trPr>
          <w:trHeight w:val="9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73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综合指挥监管-责任制监督-“一江一河”“长三角”专项统计报送-数据填报-“长三角”数据填报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增加长三角数据填报功能模块。中队按月填报登记，区局进行汇总审核并提交。</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74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综合指挥监管-责任制监督-“一江一河”“长三角”专项统计报送-填报信息管理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实现市、区两级对专项数据填报信息进行审核。支持市区两级退回后，中队进行修改并再次提交，转入逐级审核。</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75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综合指挥监管-责任制监督-“一江一河”“长三角”专项统计报送-“一江一河”数据研判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增加“一江一河”数据统计分析功能模块，设置“一江一河”专项数据表单，按月度进行数据汇总、统计分析，实现全市及各区专项数据汇总统计分析、查看。</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76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综合指挥监管-责任制监督-“一江一河”“长三角”专项统计报送-“长三角”数据研判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增加“长三角”数据统计分析功能模块，设置“长三角”专项数据表单，按月度进行“长三角”专项数据汇总、统计分析，实现全市及各区专项数据汇总统计分析、查看。</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77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综合指挥监管-责任制监督-督察证电子亮证-督察证关联</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同步队伍管理系统电子版督察证，实现人员库展示督察证号、督察证有效开始日期、督察证有效截止日期，系统不可编辑督察证信息。</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78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综合指挥监管-责任制监督-督察证电子亮证-电子亮证</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执法监督页面顶端展示电子亮证，展示本人电子证件。无督察证时则不展示亮证模块。</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79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综合指挥监管-责任制监督-责任制通讯录管理-通讯录信息管理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实现与用房管理系统、执法人员库的关联，支持从用房管理系统、执法人员库直接获取人员相关信息。支持对人员通讯录信息进行手动添加管理。</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80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综合指挥监管-责任制监督-责任制通讯录管理-领导审批</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实现对获取的人员通讯录基本信息进行审核，信息确认无误提交后，支持领导审批。</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81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综合指挥监管-责任制监督-责任制通讯录管理-通讯录生成</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设置通讯录模板，实现自动化生成电子通讯录，并支持通讯录的导出、下载功能。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82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综合指挥监管-责任制监督-责任制通讯录管理-版本管理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根据历史通讯录版本，可查看通讯录历史变化情况，针对变化情况提出通讯录优化管理建议。</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83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综合指挥监管-责任制监督-责任制通讯录管理-移动端查看</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新增移动端通讯录查看功能，并设置查看权限规则。</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84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综合指挥监管-进社区管理-进社区基础信息管理-基础信息库</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实现市城管局进社区基础信息管理，构建社区工作室基础信息库、小区基础信息库、物业公司基础信息库。</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85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综合指挥监管-进社区管理-进社区基础信息管理-社区工作室维护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中队可对辖区的社区工作室进行信息维护，录入服务人员、服务时间，选择关联小区。</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86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综合指挥监管-进社区管理-进社区基础信息管理-社区工作室二维码</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自定义二维码的内容，通过社区工作室、小区、物业公司信息的关联，生成二维码，支持小区居民扫码可自动获取对应小区/物业公司/社区工作室信息。</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87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综合指挥监管-进社区管理-小区情况概览</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整合各类业务数据，实现按小区维度，查看诉件、案件、检查、管执联动等相关工作情况。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88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综合指挥监管-进社区管理-普法宣传发布</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新增普法宣传功能，实现统一的宣传内容维护，按中队或区局进行定向发布、审核。</w:t>
            </w:r>
          </w:p>
        </w:tc>
      </w:tr>
      <w:tr>
        <w:tblPrEx>
          <w:tblCellMar>
            <w:top w:w="0" w:type="dxa"/>
            <w:left w:w="108" w:type="dxa"/>
            <w:bottom w:w="0" w:type="dxa"/>
            <w:right w:w="108" w:type="dxa"/>
          </w:tblCellMar>
        </w:tblPrEx>
        <w:trPr>
          <w:trHeight w:val="3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89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综合指挥监管-进社区管理-签到打卡记录</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实现队员进社区签到记录查看。</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90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综合指挥监管-进社区管理-工作记录</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实现进社区后相关日常巡查、联勤联动、普法宣传等工作日志记录的查看。</w:t>
            </w:r>
          </w:p>
        </w:tc>
      </w:tr>
      <w:tr>
        <w:tblPrEx>
          <w:tblCellMar>
            <w:top w:w="0" w:type="dxa"/>
            <w:left w:w="108" w:type="dxa"/>
            <w:bottom w:w="0" w:type="dxa"/>
            <w:right w:w="108" w:type="dxa"/>
          </w:tblCellMar>
        </w:tblPrEx>
        <w:trPr>
          <w:trHeight w:val="3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91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综合指挥监管-进社区管理-任务管理-内勤转派</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内勤可对投诉建议任务直接进行转派或跟进队员申请再进行转派。</w:t>
            </w:r>
          </w:p>
        </w:tc>
      </w:tr>
      <w:tr>
        <w:tblPrEx>
          <w:tblCellMar>
            <w:top w:w="0" w:type="dxa"/>
            <w:left w:w="108" w:type="dxa"/>
            <w:bottom w:w="0" w:type="dxa"/>
            <w:right w:w="108" w:type="dxa"/>
          </w:tblCellMar>
        </w:tblPrEx>
        <w:trPr>
          <w:trHeight w:val="3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92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综合指挥监管-进社区管理-任务管理-内勤审核</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内勤可对队员处置完成的任务进行审核确认。</w:t>
            </w:r>
          </w:p>
        </w:tc>
      </w:tr>
      <w:tr>
        <w:tblPrEx>
          <w:tblCellMar>
            <w:top w:w="0" w:type="dxa"/>
            <w:left w:w="108" w:type="dxa"/>
            <w:bottom w:w="0" w:type="dxa"/>
            <w:right w:w="108" w:type="dxa"/>
          </w:tblCellMar>
        </w:tblPrEx>
        <w:trPr>
          <w:trHeight w:val="3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93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综合指挥监管-进社区管理-任务管理-任务列表</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展示市民投诉问题任务列表及队员任务处置、流转信息。</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94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综合指挥监管-进社区管理-跟踪评价</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针对队员进社区投诉件处置、人民建议采纳执行情况等进行跟踪评价，实行满意度测评，设计评价指标。</w:t>
            </w:r>
          </w:p>
        </w:tc>
      </w:tr>
      <w:tr>
        <w:tblPrEx>
          <w:tblCellMar>
            <w:top w:w="0" w:type="dxa"/>
            <w:left w:w="108" w:type="dxa"/>
            <w:bottom w:w="0" w:type="dxa"/>
            <w:right w:w="108" w:type="dxa"/>
          </w:tblCellMar>
        </w:tblPrEx>
        <w:trPr>
          <w:trHeight w:val="3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95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综合指挥监管-进社区管理-与区局勤务系统对接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与区局勤务派单处置平台对接，实现进社区工单的三级流转。</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96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综合指挥监管-进社区管理-数据研判-业务数据研判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按社区工作室维度，对进社区相关业务量进行统计分析。</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97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综合指挥监管-进社区管理-数据研判-数据报表生成</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根据统计结果生成各类报表，支持编辑、查看和导出。</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98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综合指挥监管-进社区管理-居民端应用-工作室总览</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支持居民在移动端查看工作室相关信息。</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99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综合指挥监管-进社区管理-居民端应用-市民投诉建议</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实现市民对进社区工作通过扫码进行投诉、提建议。支持投诉人、建议人可选择填写联系方式、所在小区、详情描述、附件上传。</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100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综合指挥监管-进社区管理-居民端应用-普法宣传查看</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支持居民通过扫码可在移动端查看社区普法宣传相关内容。</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101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综合指挥监管-进社区管理-进社区随申办政务云应用-我的工作室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展示队员所服务的工作室信息及所在本中队其他社区工作室信息；实现队员待办任务数字提示。</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102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综合指挥监管-进社区管理-进社区随申办政务云应用-工作室概况</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实现汇总、展示该工作室相关的诉件处置、案件、管执联动、专项任务等数据，展示工作室详情及关联小区信息列表。</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103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综合指挥监管-进社区管理-进社区随申办政务云应用-小区概览</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展示小区基本信息，包括小区名称、地址、所属社区工作室、物业公司等信息。</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104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综合指挥监管-进社区管理-进社区随申办政务云应用-进社区签到打卡</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队员进社区工作时实现考勤签到打卡，可通过GPS位置进行校验，自动生成日志。</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105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综合指挥监管-进社区管理-进社区随申办政务云应用-社区通讯录</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支持队员开展进社区任务处置时查询和维护对应小区相关联系人信息。</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106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综合指挥监管-进社区管理-进社区随申办政务云应用-任务处置-申请转派</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增加队员对市民投诉问题的申请转派。</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107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综合指挥监管-进社区管理-进社区随申办政务云应用-任务处置-处置反馈</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支持队员对市民投诉问题处置结果的反馈，实现关联案件编号和跳转网办系统进行立案登记。</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108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综合指挥监管-进社区管理-进社区随申办政务云应用-物业移交处置</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针对物业公司在小区管理检查工作中发现的违法事件移交给城管部门的，支持由社区工作室派发队员处置。</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109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综合指挥监管-进社区管理-进社区随申办政务云应用-工作日志记录</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实现进社区后相关日常巡查、联勤联动、普法宣传等工作日志的记录功能。并支持工作日志记录列表展示、查看。</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110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综合指挥监管-进社区管理-用房管理-区局基本信息管理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新增大队信息、用房信息、人员编制信息、办公场所。增加监督电话信息。</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111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综合指挥监管-进社区管理-用房管理-历史变更记录</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增加队伍用房历史变更记录功能，记录每次历史用房信息。</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112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综合指挥监管-投诉件转办-12319热线处置-工单获取</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完成与12319热线工单对接，实现委热线投诉处置系统投诉接入市局投诉处置系统，获取12319热线诉件工单所有基本信息。</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113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综合指挥监管-投诉件转办-12319热线处置-工单分发</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新增中队工单派发队员的业务处置流程。</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114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综合指挥监管-投诉件转办-12319热线处置-现场处置记录与结果反馈</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实现队员将处置记录情况、处置结果反馈至中队（或科队）。</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115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综合指挥监管-投诉件转办-12319热线处置-诉件关联案件</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通过与网办系统关联，关联案件号，实现12319诉件转案件，获取案件信息。</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116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综合指挥监管-投诉件转办-12319热线处置-处置结果复核</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实现中队对队员诉件工单处置结果反馈情况的审核。</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117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综合指挥监管-投诉件转办-12319热线处置-退单处理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增加队员退单申请功能，实现退单逐级流转；增加中队审批功能。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118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综合指挥监管-投诉件转办-12319热线处置-延期处置</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增加队员工单处置延期申请功能，设置工单延期申请时限；增加中队延期审批功能。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119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综合指挥监管-投诉件转办-12319热线处置-总队/区局退单申请</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增加市总队/区局退单至城建12319平台的退单申请功能。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120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综合指挥监管-投诉件转办-12319热线处置-存电管理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根据12319城建接口对接要求，针对12345转办单新增申请存电功能，设置存电规则。</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121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综合指挥监管-投诉件转办-12319热线处置-办结销单</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工单在办理完成后进行办结销单，反馈至城建12319热线。</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122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综合指挥监管-投诉件转办-12319热线处置-12319热线处置移动端应用-工单分发</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新增移动端工单派发、接收功能。设计工单派发规则、接收规则。</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123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综合指挥监管-投诉件转办-12319热线处置-12319热线处置移动端应用-现场处置记录与结果反馈</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新增移动端队员处置功能。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124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综合指挥监管-投诉件转办-12319热线处置-12319热线处置移动端应用-诉件关联案件</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新增移动端诉件关联案件功能。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125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综合指挥监管-投诉件转办-12319热线处置-12319热线处置移动端应用-处置结果复核</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新增移动端处置结果复核功能。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126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综合指挥监管-投诉件转办-12319热线处置-12319热线处置移动端应用-退单处理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增加移动端城管内工单流转“退单申请”功能、退单审批功能。</w:t>
            </w:r>
          </w:p>
        </w:tc>
      </w:tr>
      <w:tr>
        <w:tblPrEx>
          <w:tblCellMar>
            <w:top w:w="0" w:type="dxa"/>
            <w:left w:w="108" w:type="dxa"/>
            <w:bottom w:w="0" w:type="dxa"/>
            <w:right w:w="108" w:type="dxa"/>
          </w:tblCellMar>
        </w:tblPrEx>
        <w:trPr>
          <w:trHeight w:val="9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127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综合指挥监管-投诉件转办-12319热线处置-12319热线处置移动端应用-延期处置</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增加移动端工单处置延期申请功能；增加移动端延期审批功能。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128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综合指挥监管-投诉件转办-自动化诉件月报-月报模板管理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制作诉件月报模板，进行模板管理，支持在线查看、编辑、删除、导出。</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129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综合指挥监管-投诉件转办-自动化诉件月报-诉件量研判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统计分析当月（或累计月份）的全市城管执法系统各类来源诉件数量、诉件总数及环比变化（或同比变化）情况。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130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综合指挥监管-投诉件转办-自动化诉件月报-投诉件处理方式研判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统计分析当月和累计月份的各类投诉处置方式的占比，为后续城管投诉件处理工作提供指导。</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131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综合指挥监管-投诉件转办-自动化诉件月报-区域诉件受理数据研判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统计当月各区/各街镇的诉件受理情况数量、环比（或同比）情况，分析投诉量top6的区局/街镇的诉件受理情况。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132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综合指挥监管-投诉件转办-自动化诉件月报-全市诉件类型研判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统计当月大类投诉件数量、当月投诉量排名top3、环比趋势。分析小类诉件的投诉量、环比趋势。</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133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综合指挥监管-投诉件转办-自动化诉件月报-热点投诉区域研判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针对街面、小区热点投诉区域，统计分析当月/当年热点投诉情况，并由高到低进行排名。</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134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综合指挥监管-投诉件转办-自动化诉件月报-街面/小区多次投诉情况研判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统计分析街面小区的当月/当年多次投诉业务量，由高到低进行排名。分析全市多次投诉总数、大类/小类中排名前三的类型及占比情况。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135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综合指挥监管-投诉件转办-自动化诉件月报-各区诉件录入情况研判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分析各区累计月度诉件录入率、诉件录入匹配系数及对应排名情况。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136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综合指挥监管-投诉件转办-自动化诉件月报-各区诉件转案件研判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统计分析累计月度各区12345诉件转案件情况，进行排名并分析各区诉件转案件的变化趋势。</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137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综合指挥监管-投诉件转办-自动化诉件月报-微信公众号便民服务工作研判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统计微信公众号累计诉件、当月诉件数量，进行各类诉件数量及占比统计，分析按要求反馈办结的诉件数量、投诉top3大类、top3小类。并进行环比分析，提供管理建议。</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138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综合指挥监管-投诉件转办-自动化诉件月报-自动化生成月报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根据月报模板自动生成当月诉件月报，并导出文档格式。</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139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综合指挥监管-投诉件转办-自动化诉件周报-周报模板设置</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新增自动化诉件周报，制作诉件周报模板，支持诉件周报模板的在线查看、编辑、删除、导出。</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140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综合指挥监管-投诉件转办-自动化诉件周报-各区投诉受理情况研判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统计分析一周12345、12319、微信公众号以及其他来源中各区诉件数量。</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141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综合指挥监管-投诉件转办-自动化诉件周报-全市诉件类型情况研判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统计分析一周各区不同投诉类型占比情况。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142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综合指挥监管-投诉件转办-自动化诉件周报-街面、小区诉件热点类型情况研判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统计分析一周街面及小区热点诉件类型情况。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143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综合指挥监管-投诉件转办-自动化诉件周报-街镇投诉受理情况研判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统计分析一周投诉高发街镇排名情况，并展示排名top10的街镇情况。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144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综合指挥监管-投诉件转办-自动化诉件周报-工作建议管理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根据一周诉件各维度数据统计分析情况，提供工作推进建议。</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145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综合指挥监管-投诉件转办-自动化诉件周报-自动化生成周报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根据周报模板设置规则及一周诉件数据统计结果，自动生成诉件周报，并导出文档格式。</w:t>
            </w:r>
          </w:p>
        </w:tc>
      </w:tr>
      <w:tr>
        <w:tblPrEx>
          <w:tblCellMar>
            <w:top w:w="0" w:type="dxa"/>
            <w:left w:w="108" w:type="dxa"/>
            <w:bottom w:w="0" w:type="dxa"/>
            <w:right w:w="108" w:type="dxa"/>
          </w:tblCellMar>
        </w:tblPrEx>
        <w:trPr>
          <w:trHeight w:val="3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146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综合指挥监管-投诉件转办-重复投诉件告警</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加强重复投诉件督察督办，针对重复投诉件设置告警规则。</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147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综合指挥监管-投诉件转办-任务超期预警</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新增预警提示功能，根据处理时限标记处理超期及即将超期的情况状态，展示超期倒计时。</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148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综合指挥监管-投诉件转办-总队信访转办管理-总队信访转派登记</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新增总队信访件转派登记功能。</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149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综合指挥监管-投诉件转办-总队信访转办管理-总队信访转派</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新增总队信访件转派功能。增加待转派菜单，支持查看角色，进行工单提醒；进行转派登记人信息公开查看。支持由市局接续处理总队的信访件，再转派到相应单位。</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150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综合指挥监管-投诉件转办-信访关联局长信箱-与局长信箱对接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实现信访系统与局长信箱系统的关联。</w:t>
            </w:r>
          </w:p>
        </w:tc>
      </w:tr>
      <w:tr>
        <w:tblPrEx>
          <w:tblCellMar>
            <w:top w:w="0" w:type="dxa"/>
            <w:left w:w="108" w:type="dxa"/>
            <w:bottom w:w="0" w:type="dxa"/>
            <w:right w:w="108" w:type="dxa"/>
          </w:tblCellMar>
        </w:tblPrEx>
        <w:trPr>
          <w:trHeight w:val="3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151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综合指挥监管-投诉件转办-信访件超时提醒</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实现信访件超期倒计时列表展示。</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152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综合指挥监管-交警联动执法-道路交通秩序联合执法-交警移送-工单登记</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支持市交警总队按照相关数据字段，登记占道设摊事件线索进行登记，生成工单。</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153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综合指挥监管-交警联动执法-道路交通秩序联合执法-交警移送-工单移送管理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市交警总队将登记生成的工单推送到市城管执法局指挥中心。城管队员登记赶赴现场之前，支持市交警总队进行撤单。</w:t>
            </w:r>
          </w:p>
        </w:tc>
      </w:tr>
      <w:tr>
        <w:tblPrEx>
          <w:tblCellMar>
            <w:top w:w="0" w:type="dxa"/>
            <w:left w:w="108" w:type="dxa"/>
            <w:bottom w:w="0" w:type="dxa"/>
            <w:right w:w="108" w:type="dxa"/>
          </w:tblCellMar>
        </w:tblPrEx>
        <w:trPr>
          <w:trHeight w:val="423"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154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综合指挥监管-交警联动执法-道路交通秩序联合执法-工单派发-市局工单接收</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市城管执法局指挥中心接收交警总队线索工单推送后，并进行移送工单信息的审核，支持接收工单信息的在线编辑。</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155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综合指挥监管-交警联动执法-道路交通秩序联合执法-工单派发-退单管理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实现市局、区局、中队三级退单。</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156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综合指挥监管-交警联动执法-道路交通秩序联合执法-工单派发-派单管理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实现工单市局、区局、中队三级派发。</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157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综合指挥监管-交警联动执法-道路交通秩序联合执法-工单派发-先行联系处置</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支持区局在收到市局派发工单提醒后，区局联络员应对工单内容先行联系，系统按照相关字段，生成先行联系内容。</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158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综合指挥监管-交警联动执法-道路交通秩序联合执法-退单审（复）核</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根据不同流程节点，支持对派发过程中的退回工单需要进行审核的部门、人员设置审核、复核权限，审核、复核后，再次转入派发流程。</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159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综合指挥监管-交警联动执法-道路交通秩序联合执法-现场处置-赶赴方式登记</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队员在接收工单后需点击赶赴现场，选择所用车辆类型，对执法车辆类型则需登记车牌号。</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160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综合指挥监管-交警联动执法-道路交通秩序联合执法-现场处置-处置时限管理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新增处置时限管理功能，设置处置时限规则。</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161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综合指挥监管-交警联动执法-道路交通秩序联合执法-现场处置-现场处置取证记录</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队员点击“现场处置”进行现场取证，实现移动端记录现场处置情况。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162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综合指挥监管-交警联动执法-道路交通秩序联合执法-现场处置-队员立案处置</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与网办系统案件关联，实现在交接完成后，队员可在移动端选择对该工单进行立案登记，或关联已登记的案件案号。</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163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综合指挥监管-交警联动执法-道路交通秩序联合执法-现场处置-现场处置结果反馈</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队员在移动端将处置结果提交给中队，中队反馈至区局，再由区局反馈至市总队。</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164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综合指挥监管-交警联动执法-道路交通秩序联合执法-现场处置-处置结果审核</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实行三级审核。由队员提交处置结果后，中队对其进行审核，再由市局进行最后复核。</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165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综合指挥监管-交警联动执法-道路交通秩序联合执法-任务短信提醒-短信提醒管理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根据占道经营联合执法中工单派发、现场处置等各流程环节的具体工作内容及接收方，设计短信提醒内容、发送时间、接收人，实现短信提醒告知。</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166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综合指挥监管-交警联动执法-道路交通秩序联合执法-数据研判-违法事件研判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支持针对全市各区占道设摊经营道路交通秩序联合执法工作所发现的当事人信息、受处罚情况等进行统计。</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167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综合指挥监管-交警联动执法-道路交通秩序联合执法-数据研判-工作周报汇总研判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系统支持每周五下午系统自动生成工作周报，以图表形式统计相关数据，并对全市每周整体工作情况进行汇总分析。支持周报统计结果交警有权限可查阅，并显示“已阅”记录。</w:t>
            </w:r>
          </w:p>
        </w:tc>
      </w:tr>
      <w:tr>
        <w:tblPrEx>
          <w:tblCellMar>
            <w:top w:w="0" w:type="dxa"/>
            <w:left w:w="108" w:type="dxa"/>
            <w:bottom w:w="0" w:type="dxa"/>
            <w:right w:w="108" w:type="dxa"/>
          </w:tblCellMar>
        </w:tblPrEx>
        <w:trPr>
          <w:trHeight w:val="12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168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综合指挥监管-交警联动执法-道路交通秩序联合执法-数据研判-工作月报研判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上一月度的全市各区占道设摊经营道路交通秩序联合执法工作的相关进展情况及数据进行统计分析，以图表形式进行展示，对全市每月整体工作情况进行汇总分析、相关数据同比分析。支持月报统计结果交警有权限可查阅，并显示“已阅”记录。</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169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综合指挥监管-交警联动执法-建筑垃圾案件跨区移交-移交申请登记</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新增移交申请登记功能。系统支持添加、编辑、删除、提交等功能。系统以列表形式展示移交申请信息并汇总统计，支持查看详情信息。</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170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综合指挥监管-交警联动执法-建筑垃圾案件跨区移交-移交审核管理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新增移交申请审核功能，针对审批节点，设置移交申请审核业务流程规则，实现中队-区局-市局三级审核。</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171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综合指挥监管-交警联动执法-建筑垃圾案件跨区移交-案件跨区移交工单派发</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针对案件跨区移交的申请工单，设置案件跨区移交工单派发流程，实现市局-区局-中队-队员的案件跨区移交工单三级派发。</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172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综合指挥监管-交警联动执法-建筑垃圾案件跨区移交-案件跨街镇工单派发</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对案件仅跨街镇移交工单，设计案件跨街镇移交工单派发流程，实现区局-中队-队员的两级派发。</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173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综合指挥监管-交警联动执法-建筑垃圾案件跨区移交-流转日志管理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实现案件跨区/跨街镇移交工单流程日志记录，查看工单任务流转节点与时间。</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174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综合指挥监管-交警联动执法-建筑垃圾案件跨区移交-队员处置登记与反馈</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队员接收工单后进行现场处置，支持移动端记录处置情况、提交与反馈工单处置结果。</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175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综合指挥监管-交警联动执法-建筑垃圾案件跨区移交-处置结果审核</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对队员提交的工单处置结果实现中队、区局、市局三级审核。设置审核规则。</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176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综合指挥监管-交警联动执法-建筑垃圾案件跨区移交-与网办案件关联</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与网上办案系统关联，实现队员移动端关联案件编号。</w:t>
            </w:r>
          </w:p>
        </w:tc>
      </w:tr>
      <w:tr>
        <w:tblPrEx>
          <w:tblCellMar>
            <w:top w:w="0" w:type="dxa"/>
            <w:left w:w="108" w:type="dxa"/>
            <w:bottom w:w="0" w:type="dxa"/>
            <w:right w:w="108" w:type="dxa"/>
          </w:tblCellMar>
        </w:tblPrEx>
        <w:trPr>
          <w:trHeight w:val="3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177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综合指挥监管-交警联动执法-应用安全</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对城管执法指挥监管平台进行加水印处理。</w:t>
            </w:r>
          </w:p>
        </w:tc>
      </w:tr>
      <w:tr>
        <w:tblPrEx>
          <w:tblCellMar>
            <w:top w:w="0" w:type="dxa"/>
            <w:left w:w="108" w:type="dxa"/>
            <w:bottom w:w="0" w:type="dxa"/>
            <w:right w:w="108" w:type="dxa"/>
          </w:tblCellMar>
        </w:tblPrEx>
        <w:trPr>
          <w:trHeight w:val="7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178</w:t>
            </w:r>
          </w:p>
        </w:tc>
        <w:tc>
          <w:tcPr>
            <w:tcW w:w="4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上海市城管执法综合管理平台</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城管执法对象监管-融合模式执法检查-融合检查任务管理-对象信息自管维护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监管对象的负责人或经营者通过扫码可以对发生变动的信息进行信息修改提交，提交后交给执法人员进行审核。</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179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城管执法对象监管-融合模式执法检查-融合检查任务管理-自我维护信息审核</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对于执法对象提交的信息修改内容，执法人员在确认后进行审核，设置审核规则。</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180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城管执法对象监管-融合模式执法检查-融合检查任务管理-非现场行政处罚关联</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已签署承诺书的执法对象在进行非现场执法时可跳转到案件登记页面，实现非现场执法的登记。</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181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城管执法对象监管-融合模式执法检查-融合检查任务管理-区局、街镇抽查任务频率管理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实现针对各类融合执法对象的区局和街镇抽查任务的生成频率管理功能。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182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城管执法对象监管-融合模式执法检查-融合检查任务管理-区局抽查任务比例管理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实现针对各类融合执法对象的区局抽查任务的抽取比例管理功能，设置区局抽查任务比例规则。</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183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城管执法对象监管-融合模式执法检查-融合检查任务管理-街镇抽查任务比例管理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实现针对各类融合执法对象的街镇抽查任务的生成抽取比例功能，设置街镇抽查任务比例规则。</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184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城管执法对象监管-融合模式执法检查-融合检查任务管理-定制化抽查任务管理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实现每个街道可以进行定制化抽查的功能，制定定制化抽查计划时可选择不同的对象小类，对每个街道进行定制化抽查。</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185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城管执法对象监管-融合模式执法检查-油烟对象分级管理-油烟执法对象初始分级管理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对油烟执法对象初始等级进行管理，按照油烟执法对象的初始等级规则对油烟执法对象的初始等级调整。</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186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城管执法对象监管-融合模式执法检查-油烟对象分级管理-油烟执法对象动态调级管理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根据对油烟执法对象的分级分类管理周期和动态调级管理规则，结合不同油烟执法对象的检查情况实现对高中低风险油烟执法对象进行动态调级的管理过程。</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187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城管执法对象监管-融合模式执法检查-油烟对象分级管理-油烟执法对象分级任务管理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实现油烟执法对象按照以下规则的分级任务生成功能，设置油烟执法对象分级任务管理规则。</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188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城管执法对象监管-融合模式执法检查-油烟对象分级管理-油烟执法对象检查事项管理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实现能够按照油烟对象的等级、对象小类、执法层级动态配置不同的油烟执法对象的检查事项及检查内容的功能。</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189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城管执法对象监管-融合模式执法检查-智能监管点位管理-智能监管点位信息管理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对区局定期提交的智能监管点位进行管理。</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190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城管执法对象监管-融合模式执法检查-智能监管点位管理-智能监管点位信息审核</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市局对区局上报的智能监管点位信息进行审核，对于核准的点位信息进行通过，审核未通过的将退回点位申报单位。</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191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城管执法对象监管-融合模式执法检查-智能监管点位管理-智能监管点位对象匹配</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对区局提交的智能监管点位信息，将点位信息与所覆盖的监管对象的信息进行逐一的匹配关联，方便后续的检查结果关联和分级分类任务的核销。</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192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城管执法对象监管-融合模式执法检查-智能监管点位管理-智能监管点位信息检查结果管理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对区局定期上传的智能监管点位的检查结果进行管理，市局对点位信息检查结果进行查看及核对，核对有问题的，发给区局重新进行核实。</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193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城管执法对象监管-融合模式执法检查-智能监管点位管理-智能监管点位分级分类任务核销</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对于审核通过且上传智能点位检查结果的智能监管点位，市局在核实相应的检查结果后对相应的分级分类任务进行核销。</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194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城管执法对象监管-融合模式执法检查-设摊点位信息管理-设摊点位信息核实</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系统会将前期导入的数据设置为未核实，执法人员在进行设摊点位的检查前，需要对设摊点位信息进行核实，否则不能检查。</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195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城管执法对象监管-融合模式执法检查-设摊点位信息管理-设摊点位信息新增</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执法人员在检查过程中，若发现某设摊点位的信息不在系统的设摊点位信息中，可以新增该设摊点位的信息，点位信息新增后，则不需要再进行核实，可直接进入下一步检查的过程。</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196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城管执法对象监管-融合模式执法检查-设摊点位信息管理-设摊点位地址自动获取</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执法人员在新增设摊点位信息时，点位地址可通过自动获取点位地址数据的方式进行添加。</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197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城管执法对象监管-融合模式执法检查-设摊点位信息管理-设摊场所信息变更</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新增设摊场所信息变更功能，设置信息变更编辑规则。</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198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城管执法对象监管-融合模式执法检查-设摊点位信息管理-设摊场所信息变更审核</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新增设摊场所信息变更审核功能，设置信息变更审核规则。</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199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城管执法对象监管-融合模式执法检查-设摊点位信息管理-设摊场所状态管理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新增设摊场所状态管理功能，设置点位状态变更编辑规则。</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200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城管执法对象监管-融合模式执法检查-设摊点位信息管理-外部监督信息管理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市级部门可以增加来自外部监督途径的设摊经营点位信息，添加信息的来源途径（市民投诉或媒体曝光），并选择“是否市容环境问题”和“是否点位治理问题”。</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201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城管执法对象监管-融合模式执法检查-设摊点位信息管理-设摊点位多维筛选</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支持设摊点位多维筛选功能，设置筛选规则。</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202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城管执法对象监管-融合模式执法检查-设摊点位信息管理-设摊点位详情</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设摊点位详情页面汇总展示对象基本信息、变更记录、检查记录、外部监督、行政处罚数据等信息。</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203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城管执法对象监管-融合模式执法检查-设摊点位检查任务管理-设摊点位检查事项管理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实现根据设摊经营场所的点位类型、特色点类型配置检查内容，在检查过程中按照配置的检查内容动态展示检查内容。</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204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城管执法对象监管-融合模式执法检查-设摊点位检查任务管理-设摊点位任务计划管理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针对系统中的设摊点位信息，根据任务生成规则、任务频次和是否依托综合体等信息，每月固定时间生成执法检查任务，并下发至相应的街镇。</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205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城管执法对象监管-融合模式执法检查-设摊点位检查任务管理-设摊点位任务状态更新</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点位状态更新后，根据相关规则可以抵消一定量的检查任务。按照审核通过的周期抵消任务。</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206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城管执法对象监管-融合模式执法检查-设摊点位检查任务管理-设摊点位检查任务筛选</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队员账号可在“我的任务”模块下查看辖区内的点位检查任务列表。</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207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城管执法对象监管-融合模式执法检查-设摊点位检查管理-设摊点位现场检查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执法人员可以根据设摊经营单位检查事项表对设摊经营单位进行现场检查，设置检查规则。</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208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城管执法对象监管-融合模式执法检查-设摊点位检查管理-设摊点位有问题处置</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执法人员进行现场检查后，登记检查情况为“有问题”或“无问题”。并根据“有问题”的情况决定处置结果。</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209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城管执法对象监管-融合模式执法检查-设摊点位检查管理-设摊点位无问题处置</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执法人员进行现场检查后，检查均为无问题时，登记检查情况为“有问题”，需在保存时统一上传检查近景、远景照片。</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210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城管执法对象监管-融合模式执法检查-设摊点位检查管理-设摊点位复查管理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新增设摊点位复查管理功能，设置点位复查规则。</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211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城管执法对象监管-融合模式执法检查-设摊点位检查管理-案件编号关联</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执法人员在设摊点位检查过程中，如发现存在行政处罚的问题，且该问题已经立案处理，支持关联已立案的案件编号；</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212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城管执法对象监管-融合模式执法检查-设摊点位检查管理-案件登记关联</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执法人员在设摊点位检查的过程中，如发现存在的问题需要进行行政处罚，则可以实现跳转至网上办案系统进行案件登记，登记成功后会返回至原问题界面。</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213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城管执法对象监管-融合模式执法检查-设摊点位分级管理-设摊经营场所初始分级管理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对设摊经营场所初始等级进行管理，按照设摊经营场所的初始等级规则对设摊经营场所的初始等级调整。</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214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城管执法对象监管-融合模式执法检查-设摊点位分级管理-设摊经营场所动态调级管理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根据对设摊经营场所的分级分类管理周期和动态调级管理规则，结合不同设摊经营场所的检查情况实现对不同等级设摊经营场所进行动态调级的管理过程。</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215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城管执法对象监管-融合模式执法检查-融合执法分析研判-设摊点位分级监管情况研判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对当前辖区内的点位总数用图表形式进行汇总，并展示辖区内未依托综合体的外摆位总数，及对应的分级情况；市局、区局和中队各自展示各自范围内的检查情况；并按照点位类型进行图表汇总。</w:t>
            </w:r>
          </w:p>
        </w:tc>
      </w:tr>
      <w:tr>
        <w:tblPrEx>
          <w:tblCellMar>
            <w:top w:w="0" w:type="dxa"/>
            <w:left w:w="108" w:type="dxa"/>
            <w:bottom w:w="0" w:type="dxa"/>
            <w:right w:w="108" w:type="dxa"/>
          </w:tblCellMar>
        </w:tblPrEx>
        <w:trPr>
          <w:trHeight w:val="9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216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城管执法对象监管-融合模式执法检查-融合执法分析研判-融合执法对象案诉情况、检查覆盖率研判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对各街道跨门经营投诉问题、案件数量去年同季度的占比情况进行汇总，供区局参考；对III级对象本年的检查覆盖率进行汇总研判。</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217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城管执法对象监管-融合模式执法检查-融合执法分析研判-设摊场所点位对象研判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按照设摊经营场所点位类型、点位状态、特色点类型、未依托综合体的外摆位数据对对象数据进行汇总研判，支持结果导出。</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218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城管执法对象监管-融合模式执法检查-融合执法分析研判-检查任务研判</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统计各区域、街镇下的设摊经营场所点位任务检查情况，包括待检查、已检查、待复查的各类检查任务情况，支持结果导出。</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219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城管执法对象监管-融合模式执法检查-检查码应用管理-电子证照核对</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电子证照调用：在执法检查之前，对电子证照进行调用，并进行电子证照的核对。</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220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城管执法对象监管-融合模式执法检查-检查码应用管理-调证记录</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对于对电子证照调证的历次情况进行记录并形成记录表。</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221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城管执法对象监管-融合模式执法检查-检查码应用管理-检查计划生成</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根据各类业务场景的应用要求，生成各类相应的检查计划，并分配相应的检查内容。</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222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城管执法对象监管-融合模式执法检查-检查码应用管理-检查码对接</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对接全市统一执法平台，实现检查码赋码能力。</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223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城管执法对象监管-融合模式执法检查-检查码应用管理-现场赋码</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通过全市统一执法平台的检查码对接，对各类检查对象进行检查码的赋码。</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224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城管执法对象监管-融合模式执法检查-检查码应用管理-批量赋码</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对于一次检查多个监管对象的情况，根据相应的检查规则和时间，实现对多个对象的批量赋码，减少重复操作。</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225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城管执法对象监管-融合模式执法检查-检查码应用管理-检查管理</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根据检查计划安排的各项事项，对现场进行检查，实现现场检查的过程记录。</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226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城管执法对象监管-融合模式执法检查-检查码应用管理-检查计划公示</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在现场检查时，能够向检查对象现场出示检查码；检查对象通过扫码，能够看到本次检查任务的情况。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227</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城管执法对象监管-融合模式执法检查-检查码应用管理-检查结果公示</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在现场检查后，检查对象通过扫码，能够看到本次现场检查任务的完成情况、检查结果情况。</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228</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城管执法对象监管-融合模式执法检查-检查码应用管理-当事人评价</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检查对象可以通过扫检查码对本次现场检查过程进行评价。</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229</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城管执法对象监管-融合模式执法检查-检查码应用管理-跟踪督办</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上级部门可以通过扫码对检查任务情况进行跟踪，对超期未检查的任务进行督办。</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230</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城管执法对象监管-燃气执法对象管理-检查码应用管理-燃气运输企业库</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新建燃气运输企业库。</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231</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城管执法对象监管-燃气执法对象管理-检查码应用管理-燃气运输车辆库</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新建燃气运输车辆对象库。</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232</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城管执法对象监管-燃气执法对象管理-检查码应用管理-燃气经营企业库</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新建燃气经营企业对象库。</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233</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城管执法对象监管-燃气执法对象管理-检查码应用管理-燃气场站库</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新建燃气场站对象库。</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234</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城管执法对象监管-燃气执法对象管理-检查码应用管理-燃气设施库</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新建燃气设施对象库。</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235</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城管执法对象监管-燃气执法对象管理-检查码应用管理-燃气从业人员库</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新建燃气从业人员对象库。</w:t>
            </w:r>
          </w:p>
        </w:tc>
      </w:tr>
      <w:tr>
        <w:tblPrEx>
          <w:tblCellMar>
            <w:top w:w="0" w:type="dxa"/>
            <w:left w:w="108" w:type="dxa"/>
            <w:bottom w:w="0" w:type="dxa"/>
            <w:right w:w="108" w:type="dxa"/>
          </w:tblCellMar>
        </w:tblPrEx>
        <w:trPr>
          <w:trHeight w:val="6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236</w:t>
            </w: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 w:val="24"/>
                <w:szCs w:val="24"/>
                <w:highlight w:val="none"/>
              </w:rPr>
            </w:pP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城管执法对象监管-燃气执法对象管理-检查码应用管理-移动端</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实现燃气运输企业及车辆库、燃气经营企业库、燃气场站库、燃气设施库、燃气从业人员库的移动端查看、新增等管理。</w:t>
            </w:r>
          </w:p>
        </w:tc>
      </w:tr>
      <w:tr>
        <w:tblPrEx>
          <w:tblCellMar>
            <w:top w:w="0" w:type="dxa"/>
            <w:left w:w="108" w:type="dxa"/>
            <w:bottom w:w="0" w:type="dxa"/>
            <w:right w:w="108" w:type="dxa"/>
          </w:tblCellMar>
        </w:tblPrEx>
        <w:trPr>
          <w:trHeight w:val="1200"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237</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密码功能模块开发</w:t>
            </w:r>
          </w:p>
        </w:tc>
        <w:tc>
          <w:tcPr>
            <w:tcW w:w="17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密码功能模块开发</w:t>
            </w:r>
          </w:p>
        </w:tc>
        <w:tc>
          <w:tcPr>
            <w:tcW w:w="2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4"/>
                <w:szCs w:val="24"/>
                <w:highlight w:val="none"/>
              </w:rPr>
            </w:pPr>
            <w:r>
              <w:rPr>
                <w:rFonts w:hint="eastAsia" w:ascii="宋体" w:hAnsi="宋体" w:cs="宋体"/>
                <w:kern w:val="0"/>
                <w:sz w:val="24"/>
                <w:szCs w:val="24"/>
                <w:highlight w:val="none"/>
                <w:lang w:bidi="ar"/>
              </w:rPr>
              <w:t>开发用户身份认证机制模块、业务重要数据安全传输模块、服务器虚拟机设备日志/访问控制信息完整性模块、重要可执行程序签名验签模块、用户访问控制信息签名验签模块、应用系统重要数据加解密模块、应用系统重要数据签名验签模块。</w:t>
            </w:r>
          </w:p>
        </w:tc>
      </w:tr>
    </w:tbl>
    <w:p>
      <w:pPr>
        <w:pStyle w:val="16"/>
        <w:rPr>
          <w:highlight w:val="none"/>
        </w:rPr>
      </w:pPr>
    </w:p>
    <w:p>
      <w:pPr>
        <w:rPr>
          <w:highlight w:val="none"/>
        </w:rPr>
      </w:pPr>
    </w:p>
    <w:p>
      <w:pPr>
        <w:spacing w:line="500" w:lineRule="exact"/>
        <w:outlineLvl w:val="0"/>
        <w:rPr>
          <w:rFonts w:ascii="宋体" w:hAnsi="宋体"/>
          <w:b/>
          <w:sz w:val="24"/>
          <w:highlight w:val="none"/>
        </w:rPr>
      </w:pPr>
      <w:bookmarkStart w:id="9" w:name="_Toc63785502"/>
      <w:r>
        <w:rPr>
          <w:rFonts w:hint="eastAsia" w:ascii="宋体" w:hAnsi="宋体"/>
          <w:b/>
          <w:sz w:val="24"/>
          <w:highlight w:val="none"/>
        </w:rPr>
        <w:t>四、电子政务云资源需求</w:t>
      </w:r>
      <w:bookmarkEnd w:id="9"/>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根据项目前期资源现状，本次建设向电子政务云申请5台服务器资源用以保障系统各模块功能的正常运行，包括应用服务器2台，数据库服务器2台、移动前置服务器1台。</w:t>
      </w:r>
      <w:bookmarkStart w:id="10" w:name="_Toc63785503"/>
    </w:p>
    <w:tbl>
      <w:tblPr>
        <w:tblStyle w:val="20"/>
        <w:tblW w:w="5000" w:type="pct"/>
        <w:tblInd w:w="0" w:type="dxa"/>
        <w:tblLayout w:type="fixed"/>
        <w:tblCellMar>
          <w:top w:w="0" w:type="dxa"/>
          <w:left w:w="108" w:type="dxa"/>
          <w:bottom w:w="0" w:type="dxa"/>
          <w:right w:w="108" w:type="dxa"/>
        </w:tblCellMar>
      </w:tblPr>
      <w:tblGrid>
        <w:gridCol w:w="653"/>
        <w:gridCol w:w="991"/>
        <w:gridCol w:w="1039"/>
        <w:gridCol w:w="1252"/>
        <w:gridCol w:w="1238"/>
        <w:gridCol w:w="1104"/>
        <w:gridCol w:w="1259"/>
        <w:gridCol w:w="985"/>
      </w:tblGrid>
      <w:tr>
        <w:tblPrEx>
          <w:tblCellMar>
            <w:top w:w="0" w:type="dxa"/>
            <w:left w:w="108" w:type="dxa"/>
            <w:bottom w:w="0" w:type="dxa"/>
            <w:right w:w="108" w:type="dxa"/>
          </w:tblCellMar>
        </w:tblPrEx>
        <w:trPr>
          <w:trHeight w:val="48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序号</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资源类型</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资源名称</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资源说明</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资源核心（核）</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资源内存(GB)</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存储数量(GB)</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资源数量(台)</w:t>
            </w:r>
          </w:p>
        </w:tc>
      </w:tr>
      <w:tr>
        <w:tblPrEx>
          <w:tblCellMar>
            <w:top w:w="0" w:type="dxa"/>
            <w:left w:w="108" w:type="dxa"/>
            <w:bottom w:w="0" w:type="dxa"/>
            <w:right w:w="108" w:type="dxa"/>
          </w:tblCellMar>
        </w:tblPrEx>
        <w:trPr>
          <w:trHeight w:val="56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1</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虚拟机</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应用服务器</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运行应用程序</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16</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64</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1500</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2</w:t>
            </w:r>
          </w:p>
        </w:tc>
      </w:tr>
      <w:tr>
        <w:tblPrEx>
          <w:tblCellMar>
            <w:top w:w="0" w:type="dxa"/>
            <w:left w:w="108" w:type="dxa"/>
            <w:bottom w:w="0" w:type="dxa"/>
            <w:right w:w="108" w:type="dxa"/>
          </w:tblCellMar>
        </w:tblPrEx>
        <w:trPr>
          <w:trHeight w:val="56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2</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虚拟机</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数据库服务器</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数据存储</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16</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64</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3000</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2</w:t>
            </w:r>
          </w:p>
        </w:tc>
      </w:tr>
      <w:tr>
        <w:tblPrEx>
          <w:tblCellMar>
            <w:top w:w="0" w:type="dxa"/>
            <w:left w:w="108" w:type="dxa"/>
            <w:bottom w:w="0" w:type="dxa"/>
            <w:right w:w="108" w:type="dxa"/>
          </w:tblCellMar>
        </w:tblPrEx>
        <w:trPr>
          <w:trHeight w:val="56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3</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虚拟机</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移动前置服务器</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互联网移动端应用</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16</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64</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500</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lang w:bidi="ar"/>
              </w:rPr>
              <w:t>1</w:t>
            </w:r>
          </w:p>
        </w:tc>
      </w:tr>
    </w:tbl>
    <w:p>
      <w:pPr>
        <w:pStyle w:val="2"/>
        <w:rPr>
          <w:highlight w:val="none"/>
        </w:rPr>
      </w:pPr>
    </w:p>
    <w:p>
      <w:pPr>
        <w:pStyle w:val="16"/>
        <w:ind w:firstLine="480" w:firstLineChars="200"/>
        <w:rPr>
          <w:highlight w:val="none"/>
        </w:rPr>
      </w:pPr>
      <w:r>
        <w:rPr>
          <w:rFonts w:hint="eastAsia" w:ascii="宋体" w:hAnsi="宋体"/>
          <w:bCs/>
          <w:sz w:val="24"/>
          <w:highlight w:val="none"/>
        </w:rPr>
        <w:t>同时申请PaaS服务资源需求如下：</w:t>
      </w:r>
    </w:p>
    <w:tbl>
      <w:tblPr>
        <w:tblStyle w:val="20"/>
        <w:tblW w:w="4998" w:type="pct"/>
        <w:tblInd w:w="0" w:type="dxa"/>
        <w:tblLayout w:type="autofit"/>
        <w:tblCellMar>
          <w:top w:w="0" w:type="dxa"/>
          <w:left w:w="108" w:type="dxa"/>
          <w:bottom w:w="0" w:type="dxa"/>
          <w:right w:w="108" w:type="dxa"/>
        </w:tblCellMar>
      </w:tblPr>
      <w:tblGrid>
        <w:gridCol w:w="800"/>
        <w:gridCol w:w="4512"/>
        <w:gridCol w:w="1590"/>
        <w:gridCol w:w="1617"/>
      </w:tblGrid>
      <w:tr>
        <w:tblPrEx>
          <w:tblCellMar>
            <w:top w:w="0" w:type="dxa"/>
            <w:left w:w="108" w:type="dxa"/>
            <w:bottom w:w="0" w:type="dxa"/>
            <w:right w:w="108" w:type="dxa"/>
          </w:tblCellMar>
        </w:tblPrEx>
        <w:trPr>
          <w:trHeight w:val="570" w:hRule="atLeast"/>
        </w:trPr>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序号</w:t>
            </w:r>
          </w:p>
        </w:tc>
        <w:tc>
          <w:tcPr>
            <w:tcW w:w="2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资源名称</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数量</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单位</w:t>
            </w:r>
          </w:p>
        </w:tc>
      </w:tr>
      <w:tr>
        <w:tblPrEx>
          <w:tblCellMar>
            <w:top w:w="0" w:type="dxa"/>
            <w:left w:w="108" w:type="dxa"/>
            <w:bottom w:w="0" w:type="dxa"/>
            <w:right w:w="108" w:type="dxa"/>
          </w:tblCellMar>
        </w:tblPrEx>
        <w:trPr>
          <w:trHeight w:val="280" w:hRule="atLeast"/>
        </w:trPr>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w:t>
            </w:r>
          </w:p>
        </w:tc>
        <w:tc>
          <w:tcPr>
            <w:tcW w:w="26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签名验签服务</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套*年</w:t>
            </w:r>
          </w:p>
        </w:tc>
      </w:tr>
      <w:tr>
        <w:tblPrEx>
          <w:tblCellMar>
            <w:top w:w="0" w:type="dxa"/>
            <w:left w:w="108" w:type="dxa"/>
            <w:bottom w:w="0" w:type="dxa"/>
            <w:right w:w="108" w:type="dxa"/>
          </w:tblCellMar>
        </w:tblPrEx>
        <w:trPr>
          <w:trHeight w:val="280" w:hRule="atLeast"/>
        </w:trPr>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w:t>
            </w:r>
          </w:p>
        </w:tc>
        <w:tc>
          <w:tcPr>
            <w:tcW w:w="26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短信服务</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500000</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条</w:t>
            </w:r>
          </w:p>
        </w:tc>
      </w:tr>
      <w:tr>
        <w:tblPrEx>
          <w:tblCellMar>
            <w:top w:w="0" w:type="dxa"/>
            <w:left w:w="108" w:type="dxa"/>
            <w:bottom w:w="0" w:type="dxa"/>
            <w:right w:w="108" w:type="dxa"/>
          </w:tblCellMar>
        </w:tblPrEx>
        <w:trPr>
          <w:trHeight w:val="280" w:hRule="atLeast"/>
        </w:trPr>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3</w:t>
            </w:r>
          </w:p>
        </w:tc>
        <w:tc>
          <w:tcPr>
            <w:tcW w:w="26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安全防病毒(服务器端)</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5</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套*年</w:t>
            </w:r>
          </w:p>
        </w:tc>
      </w:tr>
      <w:tr>
        <w:tblPrEx>
          <w:tblCellMar>
            <w:top w:w="0" w:type="dxa"/>
            <w:left w:w="108" w:type="dxa"/>
            <w:bottom w:w="0" w:type="dxa"/>
            <w:right w:w="108" w:type="dxa"/>
          </w:tblCellMar>
        </w:tblPrEx>
        <w:trPr>
          <w:trHeight w:val="280" w:hRule="atLeast"/>
        </w:trPr>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4</w:t>
            </w:r>
          </w:p>
        </w:tc>
        <w:tc>
          <w:tcPr>
            <w:tcW w:w="26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安全认证网关服务</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套*年</w:t>
            </w:r>
          </w:p>
        </w:tc>
      </w:tr>
      <w:tr>
        <w:tblPrEx>
          <w:tblCellMar>
            <w:top w:w="0" w:type="dxa"/>
            <w:left w:w="108" w:type="dxa"/>
            <w:bottom w:w="0" w:type="dxa"/>
            <w:right w:w="108" w:type="dxa"/>
          </w:tblCellMar>
        </w:tblPrEx>
        <w:trPr>
          <w:trHeight w:val="280" w:hRule="atLeast"/>
        </w:trPr>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5</w:t>
            </w:r>
          </w:p>
        </w:tc>
        <w:tc>
          <w:tcPr>
            <w:tcW w:w="26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数字证书服务 - SSL证书-通配符</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4</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张*年</w:t>
            </w:r>
          </w:p>
        </w:tc>
      </w:tr>
      <w:tr>
        <w:tblPrEx>
          <w:tblCellMar>
            <w:top w:w="0" w:type="dxa"/>
            <w:left w:w="108" w:type="dxa"/>
            <w:bottom w:w="0" w:type="dxa"/>
            <w:right w:w="108" w:type="dxa"/>
          </w:tblCellMar>
        </w:tblPrEx>
        <w:trPr>
          <w:trHeight w:val="280" w:hRule="atLeast"/>
        </w:trPr>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6</w:t>
            </w:r>
          </w:p>
        </w:tc>
        <w:tc>
          <w:tcPr>
            <w:tcW w:w="26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可信密码服务</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应用*年</w:t>
            </w:r>
          </w:p>
        </w:tc>
      </w:tr>
      <w:tr>
        <w:tblPrEx>
          <w:tblCellMar>
            <w:top w:w="0" w:type="dxa"/>
            <w:left w:w="108" w:type="dxa"/>
            <w:bottom w:w="0" w:type="dxa"/>
            <w:right w:w="108" w:type="dxa"/>
          </w:tblCellMar>
        </w:tblPrEx>
        <w:trPr>
          <w:trHeight w:val="280" w:hRule="atLeast"/>
        </w:trPr>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7</w:t>
            </w:r>
          </w:p>
        </w:tc>
        <w:tc>
          <w:tcPr>
            <w:tcW w:w="26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政务移动端</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4</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个*年</w:t>
            </w:r>
          </w:p>
        </w:tc>
      </w:tr>
      <w:tr>
        <w:tblPrEx>
          <w:tblCellMar>
            <w:top w:w="0" w:type="dxa"/>
            <w:left w:w="108" w:type="dxa"/>
            <w:bottom w:w="0" w:type="dxa"/>
            <w:right w:w="108" w:type="dxa"/>
          </w:tblCellMar>
        </w:tblPrEx>
        <w:trPr>
          <w:trHeight w:val="280" w:hRule="atLeast"/>
        </w:trPr>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8</w:t>
            </w:r>
          </w:p>
        </w:tc>
        <w:tc>
          <w:tcPr>
            <w:tcW w:w="26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中间件-东方通、普元、金蝶</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套*年</w:t>
            </w:r>
          </w:p>
        </w:tc>
      </w:tr>
      <w:tr>
        <w:tblPrEx>
          <w:tblCellMar>
            <w:top w:w="0" w:type="dxa"/>
            <w:left w:w="108" w:type="dxa"/>
            <w:bottom w:w="0" w:type="dxa"/>
            <w:right w:w="108" w:type="dxa"/>
          </w:tblCellMar>
        </w:tblPrEx>
        <w:trPr>
          <w:trHeight w:val="280" w:hRule="atLeast"/>
        </w:trPr>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9</w:t>
            </w:r>
          </w:p>
        </w:tc>
        <w:tc>
          <w:tcPr>
            <w:tcW w:w="26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操作系统服务-统信UOS、麒麟</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5</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套*年</w:t>
            </w:r>
          </w:p>
        </w:tc>
      </w:tr>
      <w:tr>
        <w:tblPrEx>
          <w:tblCellMar>
            <w:top w:w="0" w:type="dxa"/>
            <w:left w:w="108" w:type="dxa"/>
            <w:bottom w:w="0" w:type="dxa"/>
            <w:right w:w="108" w:type="dxa"/>
          </w:tblCellMar>
        </w:tblPrEx>
        <w:trPr>
          <w:trHeight w:val="280" w:hRule="atLeast"/>
        </w:trPr>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10</w:t>
            </w:r>
          </w:p>
        </w:tc>
        <w:tc>
          <w:tcPr>
            <w:tcW w:w="26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数据库服务-达梦、人大金仓</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2</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lang w:bidi="ar"/>
              </w:rPr>
              <w:t>套*年</w:t>
            </w:r>
          </w:p>
        </w:tc>
      </w:tr>
    </w:tbl>
    <w:p>
      <w:pPr>
        <w:pStyle w:val="16"/>
        <w:rPr>
          <w:highlight w:val="none"/>
        </w:rPr>
      </w:pPr>
      <w:r>
        <w:rPr>
          <w:rFonts w:hint="eastAsia" w:asciiTheme="minorEastAsia" w:hAnsiTheme="minorEastAsia" w:eastAsiaTheme="minorEastAsia"/>
          <w:highlight w:val="none"/>
        </w:rPr>
        <w:t>备注：中标供应商应合理利用上述电子政务云资源进行系统的安装和部署。</w:t>
      </w:r>
    </w:p>
    <w:p>
      <w:pPr>
        <w:spacing w:line="500" w:lineRule="exact"/>
        <w:outlineLvl w:val="0"/>
        <w:rPr>
          <w:rFonts w:ascii="宋体" w:hAnsi="宋体"/>
          <w:b/>
          <w:sz w:val="24"/>
          <w:highlight w:val="none"/>
        </w:rPr>
      </w:pPr>
      <w:r>
        <w:rPr>
          <w:rFonts w:hint="eastAsia" w:ascii="宋体" w:hAnsi="宋体"/>
          <w:b/>
          <w:sz w:val="24"/>
          <w:highlight w:val="none"/>
        </w:rPr>
        <w:t>五、其他工作要求</w:t>
      </w:r>
      <w:bookmarkEnd w:id="10"/>
      <w:bookmarkStart w:id="11" w:name="_Toc63785504"/>
      <w:bookmarkEnd w:id="11"/>
      <w:bookmarkStart w:id="12" w:name="_Toc61968111"/>
      <w:bookmarkEnd w:id="12"/>
      <w:bookmarkStart w:id="13" w:name="_Toc63762370"/>
      <w:bookmarkEnd w:id="13"/>
      <w:bookmarkStart w:id="14" w:name="_Toc63585480"/>
      <w:bookmarkEnd w:id="14"/>
      <w:bookmarkStart w:id="15" w:name="_Toc63151871"/>
      <w:bookmarkEnd w:id="15"/>
      <w:bookmarkStart w:id="16" w:name="_Toc62209488"/>
      <w:bookmarkEnd w:id="16"/>
      <w:bookmarkStart w:id="17" w:name="_Toc63785439"/>
      <w:bookmarkEnd w:id="17"/>
      <w:bookmarkStart w:id="18" w:name="_Toc62219358"/>
      <w:bookmarkEnd w:id="18"/>
      <w:bookmarkStart w:id="19" w:name="_Toc63785505"/>
    </w:p>
    <w:p>
      <w:pPr>
        <w:spacing w:line="360" w:lineRule="auto"/>
        <w:outlineLvl w:val="1"/>
        <w:rPr>
          <w:rFonts w:ascii="宋体" w:hAnsi="宋体"/>
          <w:b/>
          <w:bCs/>
          <w:sz w:val="24"/>
          <w:szCs w:val="24"/>
          <w:highlight w:val="none"/>
        </w:rPr>
      </w:pPr>
      <w:r>
        <w:rPr>
          <w:rFonts w:hint="eastAsia" w:ascii="宋体" w:hAnsi="宋体"/>
          <w:b/>
          <w:bCs/>
          <w:sz w:val="24"/>
          <w:szCs w:val="24"/>
          <w:highlight w:val="none"/>
        </w:rPr>
        <w:t>5</w:t>
      </w:r>
      <w:r>
        <w:rPr>
          <w:rFonts w:ascii="宋体" w:hAnsi="宋体"/>
          <w:b/>
          <w:bCs/>
          <w:sz w:val="24"/>
          <w:szCs w:val="24"/>
          <w:highlight w:val="none"/>
        </w:rPr>
        <w:t>.1</w:t>
      </w:r>
      <w:r>
        <w:rPr>
          <w:rFonts w:hint="eastAsia" w:ascii="宋体" w:hAnsi="宋体"/>
          <w:b/>
          <w:bCs/>
          <w:sz w:val="24"/>
          <w:szCs w:val="24"/>
          <w:highlight w:val="none"/>
        </w:rPr>
        <w:t>、数据对接服务要求</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本系统需要与</w:t>
      </w:r>
      <w:r>
        <w:rPr>
          <w:rFonts w:ascii="宋体" w:hAnsi="宋体"/>
          <w:sz w:val="24"/>
          <w:szCs w:val="24"/>
          <w:highlight w:val="none"/>
        </w:rPr>
        <w:t>12319</w:t>
      </w:r>
      <w:r>
        <w:rPr>
          <w:rFonts w:hint="eastAsia" w:ascii="宋体" w:hAnsi="宋体"/>
          <w:sz w:val="24"/>
          <w:szCs w:val="24"/>
          <w:highlight w:val="none"/>
        </w:rPr>
        <w:t>热线系统对接，获取</w:t>
      </w:r>
      <w:r>
        <w:rPr>
          <w:rFonts w:ascii="宋体" w:hAnsi="宋体"/>
          <w:sz w:val="24"/>
          <w:szCs w:val="24"/>
          <w:highlight w:val="none"/>
        </w:rPr>
        <w:t>12319热线诉件工单</w:t>
      </w:r>
      <w:r>
        <w:rPr>
          <w:rFonts w:hint="eastAsia" w:ascii="宋体" w:hAnsi="宋体"/>
          <w:sz w:val="24"/>
          <w:szCs w:val="24"/>
          <w:highlight w:val="none"/>
        </w:rPr>
        <w:t>信息；需要与市统一执法系统对接，实现检查码赋码能力。</w:t>
      </w:r>
    </w:p>
    <w:p>
      <w:pPr>
        <w:spacing w:line="360" w:lineRule="auto"/>
        <w:outlineLvl w:val="1"/>
        <w:rPr>
          <w:rFonts w:ascii="宋体" w:hAnsi="宋体"/>
          <w:b/>
          <w:bCs/>
          <w:sz w:val="24"/>
          <w:szCs w:val="24"/>
          <w:highlight w:val="none"/>
        </w:rPr>
      </w:pPr>
      <w:r>
        <w:rPr>
          <w:rFonts w:hint="eastAsia" w:ascii="宋体" w:hAnsi="宋体"/>
          <w:b/>
          <w:bCs/>
          <w:sz w:val="24"/>
          <w:szCs w:val="24"/>
          <w:highlight w:val="none"/>
        </w:rPr>
        <w:t>5</w:t>
      </w:r>
      <w:r>
        <w:rPr>
          <w:rFonts w:ascii="宋体" w:hAnsi="宋体"/>
          <w:b/>
          <w:bCs/>
          <w:sz w:val="24"/>
          <w:szCs w:val="24"/>
          <w:highlight w:val="none"/>
        </w:rPr>
        <w:t>.2</w:t>
      </w:r>
      <w:r>
        <w:rPr>
          <w:rFonts w:hint="eastAsia" w:ascii="宋体" w:hAnsi="宋体"/>
          <w:b/>
          <w:bCs/>
          <w:sz w:val="24"/>
          <w:szCs w:val="24"/>
          <w:highlight w:val="none"/>
        </w:rPr>
        <w:t>、售后服务要求</w:t>
      </w:r>
      <w:bookmarkEnd w:id="19"/>
    </w:p>
    <w:p>
      <w:pPr>
        <w:pStyle w:val="26"/>
        <w:snapToGrid w:val="0"/>
        <w:spacing w:line="360" w:lineRule="auto"/>
        <w:ind w:firstLine="480"/>
        <w:rPr>
          <w:rFonts w:ascii="宋体" w:hAnsi="宋体"/>
          <w:sz w:val="24"/>
          <w:szCs w:val="24"/>
          <w:highlight w:val="none"/>
        </w:rPr>
      </w:pPr>
      <w:r>
        <w:rPr>
          <w:rFonts w:hint="eastAsia" w:ascii="宋体" w:hAnsi="宋体"/>
          <w:sz w:val="24"/>
          <w:szCs w:val="24"/>
          <w:highlight w:val="none"/>
        </w:rPr>
        <w:t>本项目从系统验收通过之日起1年内提供</w:t>
      </w:r>
      <w:r>
        <w:rPr>
          <w:rFonts w:ascii="宋体" w:hAnsi="宋体"/>
          <w:sz w:val="24"/>
          <w:szCs w:val="24"/>
          <w:highlight w:val="none"/>
        </w:rPr>
        <w:t>7*24小时免费技术支持</w:t>
      </w:r>
      <w:r>
        <w:rPr>
          <w:rFonts w:hint="eastAsia" w:ascii="宋体" w:hAnsi="宋体"/>
          <w:sz w:val="24"/>
          <w:szCs w:val="24"/>
          <w:highlight w:val="none"/>
        </w:rPr>
        <w:t>和售后服务，1年后进入有偿维护期。</w:t>
      </w:r>
    </w:p>
    <w:p>
      <w:pPr>
        <w:pStyle w:val="26"/>
        <w:snapToGrid w:val="0"/>
        <w:spacing w:line="360" w:lineRule="auto"/>
        <w:ind w:firstLine="480"/>
        <w:rPr>
          <w:rFonts w:ascii="宋体" w:hAnsi="宋体"/>
          <w:sz w:val="24"/>
          <w:szCs w:val="24"/>
          <w:highlight w:val="none"/>
        </w:rPr>
      </w:pPr>
      <w:r>
        <w:rPr>
          <w:rFonts w:hint="eastAsia" w:ascii="宋体" w:hAnsi="宋体"/>
          <w:sz w:val="24"/>
          <w:szCs w:val="24"/>
          <w:highlight w:val="none"/>
        </w:rPr>
        <w:t>在质量保证期内，供应商将按照售后服务的承诺提供保修和运行维护服务，如果厂商对信息系统中软、硬件设备等产品中的部分保修期超过上述期限的，则按照厂商的规定进行免费保修。</w:t>
      </w:r>
    </w:p>
    <w:p>
      <w:pPr>
        <w:pStyle w:val="26"/>
        <w:snapToGrid w:val="0"/>
        <w:spacing w:line="360" w:lineRule="auto"/>
        <w:ind w:firstLine="480"/>
        <w:rPr>
          <w:rFonts w:ascii="宋体" w:hAnsi="宋体"/>
          <w:sz w:val="24"/>
          <w:szCs w:val="24"/>
          <w:highlight w:val="none"/>
        </w:rPr>
      </w:pPr>
      <w:r>
        <w:rPr>
          <w:rFonts w:hint="eastAsia" w:ascii="宋体" w:hAnsi="宋体"/>
          <w:sz w:val="24"/>
          <w:szCs w:val="24"/>
          <w:highlight w:val="none"/>
        </w:rPr>
        <w:t>在质量保证期内，供应商负责信息系统的运行维护工作，确保信息系统安全、稳定、可靠地运行。本项目涉及的运行维护工作范围为：运维期限内针对本系统的免费技术支撑，故障响应及软件升级。</w:t>
      </w:r>
      <w:bookmarkStart w:id="20" w:name="_Toc63785506"/>
    </w:p>
    <w:p>
      <w:pPr>
        <w:pStyle w:val="26"/>
        <w:snapToGrid w:val="0"/>
        <w:spacing w:line="360" w:lineRule="auto"/>
        <w:ind w:firstLine="0" w:firstLineChars="0"/>
        <w:outlineLvl w:val="1"/>
        <w:rPr>
          <w:rFonts w:ascii="宋体" w:hAnsi="宋体"/>
          <w:b/>
          <w:bCs/>
          <w:sz w:val="24"/>
          <w:szCs w:val="24"/>
          <w:highlight w:val="none"/>
        </w:rPr>
      </w:pPr>
      <w:r>
        <w:rPr>
          <w:rFonts w:hint="eastAsia" w:ascii="宋体" w:hAnsi="宋体"/>
          <w:b/>
          <w:bCs/>
          <w:sz w:val="24"/>
          <w:szCs w:val="24"/>
          <w:highlight w:val="none"/>
        </w:rPr>
        <w:t>5</w:t>
      </w:r>
      <w:r>
        <w:rPr>
          <w:rFonts w:ascii="宋体" w:hAnsi="宋体"/>
          <w:b/>
          <w:bCs/>
          <w:sz w:val="24"/>
          <w:szCs w:val="24"/>
          <w:highlight w:val="none"/>
        </w:rPr>
        <w:t>.3</w:t>
      </w:r>
      <w:r>
        <w:rPr>
          <w:rFonts w:hint="eastAsia" w:ascii="宋体" w:hAnsi="宋体"/>
          <w:b/>
          <w:bCs/>
          <w:sz w:val="24"/>
          <w:szCs w:val="24"/>
          <w:highlight w:val="none"/>
        </w:rPr>
        <w:t>、应急响应要求</w:t>
      </w:r>
      <w:bookmarkEnd w:id="20"/>
    </w:p>
    <w:p>
      <w:pPr>
        <w:pStyle w:val="26"/>
        <w:snapToGrid w:val="0"/>
        <w:spacing w:line="360" w:lineRule="auto"/>
        <w:ind w:firstLine="480"/>
        <w:rPr>
          <w:rFonts w:ascii="宋体" w:hAnsi="宋体"/>
          <w:sz w:val="24"/>
          <w:szCs w:val="24"/>
          <w:highlight w:val="none"/>
        </w:rPr>
      </w:pPr>
      <w:r>
        <w:rPr>
          <w:rFonts w:hint="eastAsia" w:ascii="宋体" w:hAnsi="宋体"/>
          <w:sz w:val="24"/>
          <w:szCs w:val="24"/>
          <w:highlight w:val="none"/>
        </w:rPr>
        <w:t>供应商对系统故障应能够实时响应，若系统发生故障，接到通知后</w:t>
      </w:r>
      <w:r>
        <w:rPr>
          <w:rFonts w:ascii="宋体" w:hAnsi="宋体"/>
          <w:sz w:val="24"/>
          <w:szCs w:val="24"/>
          <w:highlight w:val="none"/>
        </w:rPr>
        <w:t>30分钟之内响应，专业工程师2小时内到达现场</w:t>
      </w:r>
      <w:r>
        <w:rPr>
          <w:rFonts w:hint="eastAsia" w:ascii="宋体" w:hAnsi="宋体"/>
          <w:sz w:val="24"/>
          <w:szCs w:val="24"/>
          <w:highlight w:val="none"/>
        </w:rPr>
        <w:t>。特殊故障与客户沟通协商后，按照协商的方式制定解决方案并进行处理。</w:t>
      </w:r>
    </w:p>
    <w:p>
      <w:pPr>
        <w:pStyle w:val="26"/>
        <w:snapToGrid w:val="0"/>
        <w:spacing w:line="360" w:lineRule="auto"/>
        <w:ind w:firstLine="480"/>
        <w:rPr>
          <w:rFonts w:ascii="宋体" w:hAnsi="宋体"/>
          <w:sz w:val="24"/>
          <w:szCs w:val="24"/>
          <w:highlight w:val="none"/>
        </w:rPr>
      </w:pPr>
      <w:r>
        <w:rPr>
          <w:rFonts w:hint="eastAsia" w:ascii="宋体" w:hAnsi="宋体"/>
          <w:sz w:val="24"/>
          <w:szCs w:val="24"/>
          <w:highlight w:val="none"/>
        </w:rPr>
        <w:t>具体故障级别及对应的应急响应要求如下：</w:t>
      </w:r>
    </w:p>
    <w:p>
      <w:pPr>
        <w:pStyle w:val="26"/>
        <w:snapToGrid w:val="0"/>
        <w:spacing w:line="360" w:lineRule="auto"/>
        <w:ind w:firstLine="480"/>
        <w:rPr>
          <w:rFonts w:ascii="宋体" w:hAnsi="宋体"/>
          <w:sz w:val="24"/>
          <w:szCs w:val="24"/>
          <w:highlight w:val="none"/>
        </w:rPr>
      </w:pPr>
      <w:r>
        <w:rPr>
          <w:rFonts w:hint="eastAsia" w:ascii="宋体" w:hAnsi="宋体"/>
          <w:sz w:val="24"/>
          <w:szCs w:val="24"/>
          <w:highlight w:val="none"/>
        </w:rPr>
        <w:t>一级故障：在</w:t>
      </w:r>
      <w:r>
        <w:rPr>
          <w:rFonts w:ascii="宋体" w:hAnsi="宋体"/>
          <w:sz w:val="24"/>
          <w:szCs w:val="24"/>
          <w:highlight w:val="none"/>
        </w:rPr>
        <w:t>1小时内确诊，总故障解决时间不超过4小时。</w:t>
      </w:r>
    </w:p>
    <w:p>
      <w:pPr>
        <w:pStyle w:val="26"/>
        <w:snapToGrid w:val="0"/>
        <w:spacing w:line="360" w:lineRule="auto"/>
        <w:ind w:firstLine="480"/>
        <w:rPr>
          <w:rFonts w:ascii="宋体" w:hAnsi="宋体"/>
          <w:sz w:val="24"/>
          <w:szCs w:val="24"/>
          <w:highlight w:val="none"/>
        </w:rPr>
      </w:pPr>
      <w:r>
        <w:rPr>
          <w:rFonts w:hint="eastAsia" w:ascii="宋体" w:hAnsi="宋体"/>
          <w:sz w:val="24"/>
          <w:szCs w:val="24"/>
          <w:highlight w:val="none"/>
        </w:rPr>
        <w:t>二级故障：在</w:t>
      </w:r>
      <w:r>
        <w:rPr>
          <w:rFonts w:ascii="宋体" w:hAnsi="宋体"/>
          <w:sz w:val="24"/>
          <w:szCs w:val="24"/>
          <w:highlight w:val="none"/>
        </w:rPr>
        <w:t>2小时内确诊，并在4小时内由专家到达现场确诊并解决，总故障解决时间不超过8小时；</w:t>
      </w:r>
    </w:p>
    <w:p>
      <w:pPr>
        <w:pStyle w:val="26"/>
        <w:snapToGrid w:val="0"/>
        <w:spacing w:line="360" w:lineRule="auto"/>
        <w:ind w:firstLine="480"/>
        <w:rPr>
          <w:rFonts w:ascii="宋体" w:hAnsi="宋体"/>
          <w:sz w:val="24"/>
          <w:szCs w:val="24"/>
          <w:highlight w:val="none"/>
        </w:rPr>
      </w:pPr>
      <w:r>
        <w:rPr>
          <w:rFonts w:hint="eastAsia" w:ascii="宋体" w:hAnsi="宋体"/>
          <w:sz w:val="24"/>
          <w:szCs w:val="24"/>
          <w:highlight w:val="none"/>
        </w:rPr>
        <w:t>三、四级故障：在</w:t>
      </w:r>
      <w:r>
        <w:rPr>
          <w:rFonts w:ascii="宋体" w:hAnsi="宋体"/>
          <w:sz w:val="24"/>
          <w:szCs w:val="24"/>
          <w:highlight w:val="none"/>
        </w:rPr>
        <w:t>4小时内确诊故障，总故障解决时间不超过16小时。</w:t>
      </w:r>
      <w:bookmarkStart w:id="21" w:name="_Toc63785507"/>
    </w:p>
    <w:p>
      <w:pPr>
        <w:pStyle w:val="26"/>
        <w:snapToGrid w:val="0"/>
        <w:spacing w:line="360" w:lineRule="auto"/>
        <w:ind w:firstLine="0" w:firstLineChars="0"/>
        <w:outlineLvl w:val="1"/>
        <w:rPr>
          <w:rFonts w:ascii="宋体" w:hAnsi="宋体"/>
          <w:b/>
          <w:bCs/>
          <w:sz w:val="24"/>
          <w:szCs w:val="24"/>
          <w:highlight w:val="none"/>
        </w:rPr>
      </w:pPr>
      <w:r>
        <w:rPr>
          <w:rFonts w:ascii="宋体" w:hAnsi="宋体"/>
          <w:b/>
          <w:bCs/>
          <w:sz w:val="24"/>
          <w:szCs w:val="24"/>
          <w:highlight w:val="none"/>
        </w:rPr>
        <w:t>5.4</w:t>
      </w:r>
      <w:r>
        <w:rPr>
          <w:rFonts w:hint="eastAsia" w:ascii="宋体" w:hAnsi="宋体"/>
          <w:b/>
          <w:bCs/>
          <w:sz w:val="24"/>
          <w:szCs w:val="24"/>
          <w:highlight w:val="none"/>
        </w:rPr>
        <w:t>、培训要求</w:t>
      </w:r>
      <w:bookmarkEnd w:id="21"/>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对系统使用单位提供业务操作培训，应提供详细培训方案。</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(1)在12个月的质量保证期内，提供2次与项目相关的必要培训。</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(2)供应商需要开展分层次的人员培训工作，每次培训后应对参加培训人员进行测试，评估培训成果。培训应具有培训教材、培训环境和高水平的培训讲师。</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(3)供应商应提供一般用户的基础操作培训和部门信息管理员的日常应用维护的培训，确保用户对象能够掌握对应的操作技能。</w:t>
      </w:r>
      <w:bookmarkStart w:id="22" w:name="_Toc63785508"/>
    </w:p>
    <w:p>
      <w:pPr>
        <w:spacing w:line="360" w:lineRule="auto"/>
        <w:outlineLvl w:val="1"/>
        <w:rPr>
          <w:rFonts w:ascii="宋体" w:hAnsi="宋体"/>
          <w:b/>
          <w:bCs/>
          <w:sz w:val="24"/>
          <w:szCs w:val="24"/>
          <w:highlight w:val="none"/>
        </w:rPr>
      </w:pPr>
      <w:r>
        <w:rPr>
          <w:rFonts w:hint="eastAsia" w:ascii="宋体" w:hAnsi="宋体"/>
          <w:b/>
          <w:bCs/>
          <w:sz w:val="24"/>
          <w:szCs w:val="24"/>
          <w:highlight w:val="none"/>
        </w:rPr>
        <w:t>5</w:t>
      </w:r>
      <w:r>
        <w:rPr>
          <w:rFonts w:ascii="宋体" w:hAnsi="宋体"/>
          <w:b/>
          <w:bCs/>
          <w:sz w:val="24"/>
          <w:szCs w:val="24"/>
          <w:highlight w:val="none"/>
        </w:rPr>
        <w:t>.5</w:t>
      </w:r>
      <w:r>
        <w:rPr>
          <w:rFonts w:hint="eastAsia" w:ascii="宋体" w:hAnsi="宋体"/>
          <w:b/>
          <w:bCs/>
          <w:sz w:val="24"/>
          <w:szCs w:val="24"/>
          <w:highlight w:val="none"/>
        </w:rPr>
        <w:t>、验收要求</w:t>
      </w:r>
      <w:bookmarkEnd w:id="22"/>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本项目按下述方式开展验收。</w:t>
      </w:r>
    </w:p>
    <w:p>
      <w:pPr>
        <w:spacing w:line="360" w:lineRule="auto"/>
        <w:ind w:firstLine="480" w:firstLineChars="200"/>
        <w:rPr>
          <w:szCs w:val="21"/>
          <w:highlight w:val="none"/>
        </w:rPr>
      </w:pPr>
      <w:r>
        <w:rPr>
          <w:rFonts w:hint="eastAsia" w:ascii="宋体" w:hAnsi="宋体"/>
          <w:sz w:val="24"/>
          <w:szCs w:val="21"/>
          <w:highlight w:val="none"/>
          <w:lang w:bidi="ar"/>
        </w:rPr>
        <w:t>（1）验收分初验和终验。</w:t>
      </w:r>
    </w:p>
    <w:p>
      <w:pPr>
        <w:spacing w:line="360" w:lineRule="auto"/>
        <w:ind w:firstLine="480" w:firstLineChars="200"/>
        <w:rPr>
          <w:szCs w:val="21"/>
          <w:highlight w:val="none"/>
        </w:rPr>
      </w:pPr>
      <w:r>
        <w:rPr>
          <w:rFonts w:hint="eastAsia" w:ascii="宋体" w:hAnsi="宋体"/>
          <w:sz w:val="24"/>
          <w:szCs w:val="21"/>
          <w:highlight w:val="none"/>
          <w:lang w:bidi="ar"/>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pPr>
        <w:spacing w:line="360" w:lineRule="auto"/>
        <w:ind w:firstLine="480" w:firstLineChars="200"/>
        <w:rPr>
          <w:szCs w:val="21"/>
          <w:highlight w:val="none"/>
        </w:rPr>
      </w:pPr>
      <w:r>
        <w:rPr>
          <w:rFonts w:hint="eastAsia" w:ascii="宋体" w:hAnsi="宋体"/>
          <w:sz w:val="24"/>
          <w:szCs w:val="21"/>
          <w:highlight w:val="none"/>
          <w:lang w:bidi="ar"/>
        </w:rPr>
        <w:t>（3）初验时，供应商须提供软件文档包括《用户需求说明书》、《系统概要设计说明书》、《系统详细设计说明书》、《三方功能需求确认单》、《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pPr>
        <w:spacing w:line="360" w:lineRule="auto"/>
        <w:ind w:firstLine="480" w:firstLineChars="200"/>
        <w:rPr>
          <w:szCs w:val="21"/>
          <w:highlight w:val="none"/>
        </w:rPr>
      </w:pPr>
      <w:r>
        <w:rPr>
          <w:rFonts w:hint="eastAsia" w:ascii="宋体" w:hAnsi="宋体"/>
          <w:sz w:val="24"/>
          <w:szCs w:val="21"/>
          <w:highlight w:val="none"/>
          <w:lang w:bidi="ar"/>
        </w:rPr>
        <w:t>（4）自初验通过之日起，招标方享有供应商免费提供的30天的信息系统试运行现场驻场服务期。该期间内，供应商应当按照招标方的要求提供现场技术支持服务，解决信息系统试运行期间可能出现的各类问题，或进一步提高与完善信息系统运行水平。</w:t>
      </w:r>
    </w:p>
    <w:p>
      <w:pPr>
        <w:spacing w:line="360" w:lineRule="auto"/>
        <w:ind w:firstLine="480" w:firstLineChars="200"/>
        <w:rPr>
          <w:szCs w:val="21"/>
          <w:highlight w:val="none"/>
        </w:rPr>
      </w:pPr>
      <w:r>
        <w:rPr>
          <w:rFonts w:hint="eastAsia" w:ascii="宋体" w:hAnsi="宋体"/>
          <w:sz w:val="24"/>
          <w:szCs w:val="21"/>
          <w:highlight w:val="none"/>
          <w:lang w:bidi="ar"/>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10个工作日内发起组织专家验收会。</w:t>
      </w:r>
    </w:p>
    <w:p>
      <w:pPr>
        <w:spacing w:line="360" w:lineRule="auto"/>
        <w:ind w:firstLine="480" w:firstLineChars="200"/>
        <w:rPr>
          <w:szCs w:val="21"/>
          <w:highlight w:val="none"/>
        </w:rPr>
      </w:pPr>
      <w:r>
        <w:rPr>
          <w:rFonts w:hint="eastAsia" w:ascii="宋体" w:hAnsi="宋体"/>
          <w:sz w:val="24"/>
          <w:szCs w:val="21"/>
          <w:highlight w:val="none"/>
          <w:lang w:bidi="ar"/>
        </w:rPr>
        <w:t>（6）如果属于供应商原因致使本项目未能通过终验，供应商应当排除缺陷，直至本项目完全符合验收标准，由上述情形而产生的相关费用应由供应商自行承担。</w:t>
      </w:r>
    </w:p>
    <w:p>
      <w:pPr>
        <w:spacing w:line="360" w:lineRule="auto"/>
        <w:ind w:firstLine="480" w:firstLineChars="200"/>
        <w:rPr>
          <w:szCs w:val="21"/>
          <w:highlight w:val="none"/>
        </w:rPr>
      </w:pPr>
      <w:r>
        <w:rPr>
          <w:rFonts w:hint="eastAsia" w:ascii="宋体" w:hAnsi="宋体"/>
          <w:sz w:val="24"/>
          <w:szCs w:val="21"/>
          <w:highlight w:val="none"/>
          <w:lang w:bidi="ar"/>
        </w:rPr>
        <w:t>（7）如果由于招标方原因导致本项目在终验通过前出现故障或问题，供应商应及时配合排除该方面的故障或问题。</w:t>
      </w:r>
    </w:p>
    <w:p>
      <w:pPr>
        <w:spacing w:line="360" w:lineRule="auto"/>
        <w:ind w:firstLine="480" w:firstLineChars="200"/>
        <w:rPr>
          <w:szCs w:val="21"/>
          <w:highlight w:val="none"/>
        </w:rPr>
      </w:pPr>
      <w:r>
        <w:rPr>
          <w:rFonts w:hint="eastAsia" w:ascii="宋体" w:hAnsi="宋体"/>
          <w:sz w:val="24"/>
          <w:szCs w:val="21"/>
          <w:highlight w:val="none"/>
          <w:lang w:bidi="ar"/>
        </w:rPr>
        <w:t>（8）如本项目连续3次验收未通过（含初验未通过或终验未通过），招标方有权解除项目，并有权依照本项目约定的违约条款追究供应商的违约责任。</w:t>
      </w:r>
    </w:p>
    <w:p>
      <w:pPr>
        <w:spacing w:line="360" w:lineRule="auto"/>
        <w:outlineLvl w:val="1"/>
        <w:rPr>
          <w:rFonts w:ascii="宋体" w:hAnsi="宋体"/>
          <w:b/>
          <w:bCs/>
          <w:sz w:val="24"/>
          <w:szCs w:val="24"/>
          <w:highlight w:val="none"/>
        </w:rPr>
      </w:pPr>
      <w:bookmarkStart w:id="23" w:name="_Toc63785509"/>
      <w:r>
        <w:rPr>
          <w:rFonts w:ascii="宋体" w:hAnsi="宋体"/>
          <w:b/>
          <w:bCs/>
          <w:sz w:val="24"/>
          <w:szCs w:val="24"/>
          <w:highlight w:val="none"/>
        </w:rPr>
        <w:t>5.6</w:t>
      </w:r>
      <w:r>
        <w:rPr>
          <w:rFonts w:hint="eastAsia" w:ascii="宋体" w:hAnsi="宋体"/>
          <w:b/>
          <w:bCs/>
          <w:sz w:val="24"/>
          <w:szCs w:val="24"/>
          <w:highlight w:val="none"/>
        </w:rPr>
        <w:t>、进度要求</w:t>
      </w:r>
      <w:bookmarkEnd w:id="23"/>
    </w:p>
    <w:p>
      <w:pPr>
        <w:spacing w:line="360" w:lineRule="auto"/>
        <w:ind w:firstLine="480" w:firstLineChars="200"/>
        <w:rPr>
          <w:rFonts w:ascii="宋体" w:hAnsi="宋体"/>
          <w:sz w:val="24"/>
          <w:szCs w:val="24"/>
          <w:highlight w:val="none"/>
        </w:rPr>
      </w:pPr>
      <w:r>
        <w:rPr>
          <w:rFonts w:hint="eastAsia" w:ascii="宋体" w:hAnsi="宋体"/>
          <w:sz w:val="24"/>
          <w:szCs w:val="24"/>
          <w:highlight w:val="none"/>
          <w:lang w:bidi="ar"/>
        </w:rPr>
        <w:t>投标人</w:t>
      </w:r>
      <w:r>
        <w:rPr>
          <w:rFonts w:hint="eastAsia" w:ascii="宋体" w:hAnsi="宋体"/>
          <w:sz w:val="24"/>
          <w:szCs w:val="24"/>
          <w:highlight w:val="none"/>
        </w:rPr>
        <w:t>应根据建设内容，分阶段制定合理的时间进度，并且应根据采购人要求进行调整和细化。</w:t>
      </w:r>
    </w:p>
    <w:p>
      <w:pPr>
        <w:spacing w:line="360" w:lineRule="auto"/>
        <w:ind w:firstLine="480" w:firstLineChars="200"/>
        <w:rPr>
          <w:rFonts w:ascii="宋体" w:hAnsi="宋体"/>
          <w:sz w:val="24"/>
          <w:szCs w:val="24"/>
          <w:highlight w:val="none"/>
        </w:rPr>
      </w:pPr>
      <w:r>
        <w:rPr>
          <w:rFonts w:hint="eastAsia" w:ascii="宋体" w:hAnsi="宋体" w:cs="宋体"/>
          <w:sz w:val="24"/>
          <w:szCs w:val="24"/>
          <w:highlight w:val="none"/>
        </w:rPr>
        <w:t>自合同签订之日起至2025年11月30前</w:t>
      </w:r>
      <w:r>
        <w:rPr>
          <w:rFonts w:hint="eastAsia" w:ascii="宋体" w:hAnsi="宋体"/>
          <w:sz w:val="24"/>
          <w:szCs w:val="24"/>
          <w:highlight w:val="none"/>
        </w:rPr>
        <w:t>完成软件开发、测试及投入试运行，并按照本年度内相关要求达到项目验收要求。分为3个阶段：</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第一阶段</w:t>
      </w:r>
      <w:r>
        <w:rPr>
          <w:rFonts w:hint="eastAsia"/>
          <w:sz w:val="24"/>
          <w:szCs w:val="22"/>
          <w:highlight w:val="none"/>
        </w:rPr>
        <w:t>（</w:t>
      </w:r>
      <w:r>
        <w:rPr>
          <w:sz w:val="24"/>
          <w:szCs w:val="22"/>
          <w:highlight w:val="none"/>
        </w:rPr>
        <w:t>2</w:t>
      </w:r>
      <w:r>
        <w:rPr>
          <w:rFonts w:hint="eastAsia"/>
          <w:sz w:val="24"/>
          <w:szCs w:val="22"/>
          <w:highlight w:val="none"/>
        </w:rPr>
        <w:t>个月）</w:t>
      </w:r>
      <w:r>
        <w:rPr>
          <w:rFonts w:hint="eastAsia" w:ascii="宋体" w:hAnsi="宋体"/>
          <w:sz w:val="24"/>
          <w:szCs w:val="24"/>
          <w:highlight w:val="none"/>
        </w:rPr>
        <w:t>：完成需求细化及系统详细设计；</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第二阶段</w:t>
      </w:r>
      <w:r>
        <w:rPr>
          <w:rFonts w:hint="eastAsia"/>
          <w:sz w:val="24"/>
          <w:szCs w:val="22"/>
          <w:highlight w:val="none"/>
        </w:rPr>
        <w:t>（4个月）</w:t>
      </w:r>
      <w:r>
        <w:rPr>
          <w:rFonts w:hint="eastAsia" w:ascii="宋体" w:hAnsi="宋体"/>
          <w:sz w:val="24"/>
          <w:szCs w:val="24"/>
          <w:highlight w:val="none"/>
        </w:rPr>
        <w:t>：完成系统功能的开发与测试；</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第三阶段</w:t>
      </w:r>
      <w:r>
        <w:rPr>
          <w:rFonts w:hint="eastAsia"/>
          <w:sz w:val="24"/>
          <w:szCs w:val="22"/>
          <w:highlight w:val="none"/>
        </w:rPr>
        <w:t>（</w:t>
      </w:r>
      <w:r>
        <w:rPr>
          <w:sz w:val="24"/>
          <w:szCs w:val="22"/>
          <w:highlight w:val="none"/>
        </w:rPr>
        <w:t>2</w:t>
      </w:r>
      <w:r>
        <w:rPr>
          <w:rFonts w:hint="eastAsia"/>
          <w:sz w:val="24"/>
          <w:szCs w:val="22"/>
          <w:highlight w:val="none"/>
        </w:rPr>
        <w:t>个月）</w:t>
      </w:r>
      <w:r>
        <w:rPr>
          <w:rFonts w:hint="eastAsia" w:ascii="宋体" w:hAnsi="宋体"/>
          <w:sz w:val="24"/>
          <w:szCs w:val="24"/>
          <w:highlight w:val="none"/>
        </w:rPr>
        <w:t>：系统上线试运行，完成验收。</w:t>
      </w:r>
    </w:p>
    <w:p>
      <w:pPr>
        <w:spacing w:line="360" w:lineRule="auto"/>
        <w:outlineLvl w:val="1"/>
        <w:rPr>
          <w:rFonts w:ascii="宋体" w:hAnsi="宋体"/>
          <w:b/>
          <w:bCs/>
          <w:sz w:val="24"/>
          <w:szCs w:val="24"/>
          <w:highlight w:val="none"/>
        </w:rPr>
      </w:pPr>
      <w:bookmarkStart w:id="24" w:name="_Toc63785510"/>
      <w:r>
        <w:rPr>
          <w:rFonts w:hint="eastAsia" w:ascii="宋体" w:hAnsi="宋体"/>
          <w:b/>
          <w:bCs/>
          <w:sz w:val="24"/>
          <w:szCs w:val="24"/>
          <w:highlight w:val="none"/>
        </w:rPr>
        <w:t>5</w:t>
      </w:r>
      <w:r>
        <w:rPr>
          <w:rFonts w:ascii="宋体" w:hAnsi="宋体"/>
          <w:b/>
          <w:bCs/>
          <w:sz w:val="24"/>
          <w:szCs w:val="24"/>
          <w:highlight w:val="none"/>
        </w:rPr>
        <w:t>.7</w:t>
      </w:r>
      <w:r>
        <w:rPr>
          <w:rFonts w:hint="eastAsia" w:ascii="宋体" w:hAnsi="宋体"/>
          <w:b/>
          <w:bCs/>
          <w:sz w:val="24"/>
          <w:szCs w:val="24"/>
          <w:highlight w:val="none"/>
        </w:rPr>
        <w:t>、项目团队及驻场人员要求</w:t>
      </w:r>
      <w:bookmarkEnd w:id="24"/>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1）投标人必须具有稳定的在职技术保障力量，能够提供及时的技术支援或服务，应针对本项目提供不少于22人的项目服务团队（包括项目经理、技术负责人、研发、实施等），投标人的相关服务人员需具备相应的服务能力，需提供相关证明（报价截止前三个月依法缴纳社保费的证明）</w:t>
      </w:r>
      <w:r>
        <w:rPr>
          <w:rFonts w:ascii="宋体" w:hAnsi="宋体"/>
          <w:sz w:val="24"/>
          <w:szCs w:val="24"/>
          <w:highlight w:val="none"/>
        </w:rPr>
        <w:t>。</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82"/>
        <w:gridCol w:w="1309"/>
        <w:gridCol w:w="2325"/>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6" w:type="dxa"/>
            <w:noWrap/>
            <w:vAlign w:val="center"/>
          </w:tcPr>
          <w:p>
            <w:pPr>
              <w:widowControl/>
              <w:spacing w:line="360" w:lineRule="auto"/>
              <w:jc w:val="center"/>
              <w:rPr>
                <w:rFonts w:ascii="宋体" w:hAnsi="宋体"/>
                <w:b/>
                <w:sz w:val="24"/>
                <w:szCs w:val="24"/>
                <w:highlight w:val="none"/>
              </w:rPr>
            </w:pPr>
            <w:r>
              <w:rPr>
                <w:rFonts w:hint="eastAsia" w:ascii="宋体" w:hAnsi="宋体"/>
                <w:b/>
                <w:sz w:val="24"/>
                <w:szCs w:val="24"/>
                <w:highlight w:val="none"/>
              </w:rPr>
              <w:t>角色</w:t>
            </w:r>
          </w:p>
        </w:tc>
        <w:tc>
          <w:tcPr>
            <w:tcW w:w="2182" w:type="dxa"/>
            <w:noWrap/>
            <w:vAlign w:val="center"/>
          </w:tcPr>
          <w:p>
            <w:pPr>
              <w:widowControl/>
              <w:spacing w:line="360" w:lineRule="auto"/>
              <w:jc w:val="center"/>
              <w:rPr>
                <w:rFonts w:ascii="宋体" w:hAnsi="宋体"/>
                <w:b/>
                <w:sz w:val="24"/>
                <w:szCs w:val="24"/>
                <w:highlight w:val="none"/>
              </w:rPr>
            </w:pPr>
            <w:r>
              <w:rPr>
                <w:rFonts w:hint="eastAsia" w:ascii="宋体" w:hAnsi="宋体"/>
                <w:b/>
                <w:sz w:val="24"/>
                <w:szCs w:val="24"/>
                <w:highlight w:val="none"/>
              </w:rPr>
              <w:t>主要职责</w:t>
            </w:r>
          </w:p>
        </w:tc>
        <w:tc>
          <w:tcPr>
            <w:tcW w:w="1309" w:type="dxa"/>
            <w:noWrap/>
            <w:vAlign w:val="center"/>
          </w:tcPr>
          <w:p>
            <w:pPr>
              <w:widowControl/>
              <w:spacing w:line="360" w:lineRule="auto"/>
              <w:jc w:val="center"/>
              <w:rPr>
                <w:rFonts w:ascii="宋体" w:hAnsi="宋体"/>
                <w:b/>
                <w:sz w:val="24"/>
                <w:szCs w:val="24"/>
                <w:highlight w:val="none"/>
              </w:rPr>
            </w:pPr>
            <w:r>
              <w:rPr>
                <w:rFonts w:hint="eastAsia" w:ascii="宋体" w:hAnsi="宋体"/>
                <w:b/>
                <w:sz w:val="24"/>
                <w:szCs w:val="24"/>
                <w:highlight w:val="none"/>
              </w:rPr>
              <w:t>人员数量</w:t>
            </w:r>
          </w:p>
        </w:tc>
        <w:tc>
          <w:tcPr>
            <w:tcW w:w="2325" w:type="dxa"/>
            <w:vAlign w:val="center"/>
          </w:tcPr>
          <w:p>
            <w:pPr>
              <w:widowControl/>
              <w:spacing w:line="360" w:lineRule="auto"/>
              <w:jc w:val="center"/>
              <w:rPr>
                <w:rFonts w:ascii="宋体" w:hAnsi="宋体"/>
                <w:b/>
                <w:sz w:val="24"/>
                <w:szCs w:val="24"/>
                <w:highlight w:val="none"/>
              </w:rPr>
            </w:pPr>
            <w:r>
              <w:rPr>
                <w:rFonts w:hint="eastAsia" w:ascii="宋体" w:hAnsi="宋体"/>
                <w:b/>
                <w:sz w:val="24"/>
                <w:szCs w:val="24"/>
                <w:highlight w:val="none"/>
              </w:rPr>
              <w:t>人员要求</w:t>
            </w:r>
          </w:p>
        </w:tc>
        <w:tc>
          <w:tcPr>
            <w:tcW w:w="1180" w:type="dxa"/>
            <w:noWrap/>
            <w:vAlign w:val="center"/>
          </w:tcPr>
          <w:p>
            <w:pPr>
              <w:widowControl/>
              <w:spacing w:line="360" w:lineRule="auto"/>
              <w:jc w:val="center"/>
              <w:rPr>
                <w:rFonts w:ascii="宋体" w:hAnsi="宋体"/>
                <w:b/>
                <w:sz w:val="24"/>
                <w:szCs w:val="24"/>
                <w:highlight w:val="none"/>
              </w:rPr>
            </w:pPr>
            <w:r>
              <w:rPr>
                <w:rFonts w:hint="eastAsia" w:ascii="宋体" w:hAnsi="宋体"/>
                <w:b/>
                <w:sz w:val="24"/>
                <w:szCs w:val="24"/>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6"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项目经理</w:t>
            </w:r>
          </w:p>
        </w:tc>
        <w:tc>
          <w:tcPr>
            <w:tcW w:w="2182" w:type="dxa"/>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负责项目质量和进度控制</w:t>
            </w:r>
          </w:p>
        </w:tc>
        <w:tc>
          <w:tcPr>
            <w:tcW w:w="1309"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1人</w:t>
            </w:r>
          </w:p>
        </w:tc>
        <w:tc>
          <w:tcPr>
            <w:tcW w:w="2325" w:type="dxa"/>
            <w:vAlign w:val="center"/>
          </w:tcPr>
          <w:p>
            <w:pPr>
              <w:widowControl/>
              <w:spacing w:line="360" w:lineRule="auto"/>
              <w:jc w:val="left"/>
              <w:rPr>
                <w:rFonts w:ascii="宋体" w:hAnsi="宋体"/>
                <w:sz w:val="24"/>
                <w:szCs w:val="24"/>
                <w:highlight w:val="none"/>
              </w:rPr>
            </w:pPr>
            <w:r>
              <w:rPr>
                <w:rFonts w:hint="eastAsia" w:ascii="宋体" w:hAnsi="宋体"/>
                <w:sz w:val="24"/>
                <w:szCs w:val="24"/>
                <w:highlight w:val="none"/>
              </w:rPr>
              <w:t>1.硕士及以上学历2.具备计算机技术与软件专业技术资格(水平)高级及以上证书或计算机类高级职称的</w:t>
            </w:r>
          </w:p>
        </w:tc>
        <w:tc>
          <w:tcPr>
            <w:tcW w:w="1180"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526"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技术负责人</w:t>
            </w:r>
          </w:p>
        </w:tc>
        <w:tc>
          <w:tcPr>
            <w:tcW w:w="2182" w:type="dxa"/>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负责项目需求评估与系统架构设计</w:t>
            </w:r>
          </w:p>
        </w:tc>
        <w:tc>
          <w:tcPr>
            <w:tcW w:w="1309"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1人</w:t>
            </w:r>
          </w:p>
        </w:tc>
        <w:tc>
          <w:tcPr>
            <w:tcW w:w="2325" w:type="dxa"/>
            <w:vAlign w:val="center"/>
          </w:tcPr>
          <w:p>
            <w:pPr>
              <w:widowControl/>
              <w:spacing w:line="360" w:lineRule="auto"/>
              <w:jc w:val="left"/>
              <w:rPr>
                <w:rFonts w:ascii="宋体" w:hAnsi="宋体"/>
                <w:sz w:val="24"/>
                <w:szCs w:val="24"/>
                <w:highlight w:val="none"/>
              </w:rPr>
            </w:pPr>
            <w:r>
              <w:rPr>
                <w:rFonts w:hint="eastAsia" w:ascii="宋体" w:hAnsi="宋体"/>
                <w:sz w:val="24"/>
                <w:szCs w:val="24"/>
                <w:highlight w:val="none"/>
              </w:rPr>
              <w:t>/</w:t>
            </w:r>
          </w:p>
        </w:tc>
        <w:tc>
          <w:tcPr>
            <w:tcW w:w="1180"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6"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研发</w:t>
            </w:r>
          </w:p>
        </w:tc>
        <w:tc>
          <w:tcPr>
            <w:tcW w:w="2182"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负责项目具体开发与测试</w:t>
            </w:r>
          </w:p>
        </w:tc>
        <w:tc>
          <w:tcPr>
            <w:tcW w:w="1309"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14人</w:t>
            </w:r>
          </w:p>
        </w:tc>
        <w:tc>
          <w:tcPr>
            <w:tcW w:w="2325" w:type="dxa"/>
            <w:vAlign w:val="center"/>
          </w:tcPr>
          <w:p>
            <w:pPr>
              <w:widowControl/>
              <w:tabs>
                <w:tab w:val="left" w:pos="402"/>
                <w:tab w:val="center" w:pos="983"/>
              </w:tabs>
              <w:spacing w:line="360" w:lineRule="auto"/>
              <w:jc w:val="left"/>
              <w:rPr>
                <w:rFonts w:ascii="宋体" w:hAnsi="宋体"/>
                <w:sz w:val="24"/>
                <w:szCs w:val="24"/>
                <w:highlight w:val="none"/>
              </w:rPr>
            </w:pPr>
            <w:r>
              <w:rPr>
                <w:rFonts w:hint="eastAsia" w:ascii="宋体" w:hAnsi="宋体"/>
                <w:sz w:val="24"/>
                <w:szCs w:val="24"/>
                <w:highlight w:val="none"/>
              </w:rPr>
              <w:t>/</w:t>
            </w:r>
          </w:p>
        </w:tc>
        <w:tc>
          <w:tcPr>
            <w:tcW w:w="1180"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26"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实施</w:t>
            </w:r>
          </w:p>
        </w:tc>
        <w:tc>
          <w:tcPr>
            <w:tcW w:w="2182"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负责项目现场实施</w:t>
            </w:r>
          </w:p>
        </w:tc>
        <w:tc>
          <w:tcPr>
            <w:tcW w:w="1309"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6人</w:t>
            </w:r>
          </w:p>
        </w:tc>
        <w:tc>
          <w:tcPr>
            <w:tcW w:w="2325" w:type="dxa"/>
            <w:vAlign w:val="center"/>
          </w:tcPr>
          <w:p>
            <w:pPr>
              <w:widowControl/>
              <w:spacing w:line="360" w:lineRule="auto"/>
              <w:jc w:val="left"/>
              <w:rPr>
                <w:rFonts w:ascii="宋体" w:hAnsi="宋体"/>
                <w:sz w:val="24"/>
                <w:szCs w:val="24"/>
                <w:highlight w:val="none"/>
              </w:rPr>
            </w:pPr>
            <w:r>
              <w:rPr>
                <w:rFonts w:hint="eastAsia" w:ascii="宋体" w:hAnsi="宋体"/>
                <w:sz w:val="24"/>
                <w:szCs w:val="24"/>
                <w:highlight w:val="none"/>
              </w:rPr>
              <w:t>/</w:t>
            </w:r>
          </w:p>
        </w:tc>
        <w:tc>
          <w:tcPr>
            <w:tcW w:w="1180"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驻场</w:t>
            </w:r>
          </w:p>
        </w:tc>
      </w:tr>
    </w:tbl>
    <w:p>
      <w:pPr>
        <w:spacing w:line="360" w:lineRule="auto"/>
        <w:ind w:firstLine="480" w:firstLineChars="200"/>
        <w:rPr>
          <w:rFonts w:ascii="宋体" w:hAnsi="宋体"/>
          <w:sz w:val="24"/>
          <w:szCs w:val="24"/>
          <w:highlight w:val="none"/>
        </w:rPr>
      </w:pPr>
      <w:r>
        <w:rPr>
          <w:rFonts w:hint="eastAsia" w:ascii="宋体" w:hAnsi="宋体"/>
          <w:sz w:val="24"/>
          <w:szCs w:val="24"/>
          <w:highlight w:val="none"/>
        </w:rPr>
        <w:t>2）投标人应针对本项目提供不少于6人的质保期间支撑团队（其中项目经理1人，技术工程师不少于1人，驻场实施不少于4人）；投标人的相关服务人员需具备相应的服务能力，需提供相关证明（报价截止前三个月依法缴纳社保费的证明）</w:t>
      </w:r>
      <w:r>
        <w:rPr>
          <w:rFonts w:ascii="宋体" w:hAnsi="宋体"/>
          <w:sz w:val="24"/>
          <w:szCs w:val="24"/>
          <w:highlight w:val="none"/>
        </w:rPr>
        <w:t>。</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1876"/>
        <w:gridCol w:w="1391"/>
        <w:gridCol w:w="2197"/>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58" w:type="dxa"/>
            <w:noWrap/>
            <w:vAlign w:val="center"/>
          </w:tcPr>
          <w:p>
            <w:pPr>
              <w:widowControl/>
              <w:spacing w:line="360" w:lineRule="auto"/>
              <w:jc w:val="center"/>
              <w:rPr>
                <w:rFonts w:ascii="宋体" w:hAnsi="宋体"/>
                <w:b/>
                <w:sz w:val="24"/>
                <w:szCs w:val="24"/>
                <w:highlight w:val="none"/>
              </w:rPr>
            </w:pPr>
            <w:r>
              <w:rPr>
                <w:rFonts w:hint="eastAsia" w:ascii="宋体" w:hAnsi="宋体"/>
                <w:b/>
                <w:sz w:val="24"/>
                <w:szCs w:val="24"/>
                <w:highlight w:val="none"/>
              </w:rPr>
              <w:t>角色</w:t>
            </w:r>
          </w:p>
        </w:tc>
        <w:tc>
          <w:tcPr>
            <w:tcW w:w="1876" w:type="dxa"/>
            <w:noWrap/>
            <w:vAlign w:val="center"/>
          </w:tcPr>
          <w:p>
            <w:pPr>
              <w:widowControl/>
              <w:spacing w:line="360" w:lineRule="auto"/>
              <w:jc w:val="center"/>
              <w:rPr>
                <w:rFonts w:ascii="宋体" w:hAnsi="宋体"/>
                <w:b/>
                <w:sz w:val="24"/>
                <w:szCs w:val="24"/>
                <w:highlight w:val="none"/>
              </w:rPr>
            </w:pPr>
            <w:r>
              <w:rPr>
                <w:rFonts w:hint="eastAsia" w:ascii="宋体" w:hAnsi="宋体"/>
                <w:b/>
                <w:sz w:val="24"/>
                <w:szCs w:val="24"/>
                <w:highlight w:val="none"/>
              </w:rPr>
              <w:t>主要职责</w:t>
            </w:r>
          </w:p>
        </w:tc>
        <w:tc>
          <w:tcPr>
            <w:tcW w:w="1391" w:type="dxa"/>
            <w:noWrap/>
            <w:vAlign w:val="center"/>
          </w:tcPr>
          <w:p>
            <w:pPr>
              <w:widowControl/>
              <w:spacing w:line="360" w:lineRule="auto"/>
              <w:jc w:val="center"/>
              <w:rPr>
                <w:rFonts w:ascii="宋体" w:hAnsi="宋体"/>
                <w:b/>
                <w:sz w:val="24"/>
                <w:szCs w:val="24"/>
                <w:highlight w:val="none"/>
              </w:rPr>
            </w:pPr>
            <w:r>
              <w:rPr>
                <w:rFonts w:hint="eastAsia" w:ascii="宋体" w:hAnsi="宋体"/>
                <w:b/>
                <w:sz w:val="24"/>
                <w:szCs w:val="24"/>
                <w:highlight w:val="none"/>
              </w:rPr>
              <w:t>人员数量</w:t>
            </w:r>
          </w:p>
        </w:tc>
        <w:tc>
          <w:tcPr>
            <w:tcW w:w="2197" w:type="dxa"/>
            <w:vAlign w:val="center"/>
          </w:tcPr>
          <w:p>
            <w:pPr>
              <w:widowControl/>
              <w:spacing w:line="360" w:lineRule="auto"/>
              <w:jc w:val="center"/>
              <w:rPr>
                <w:rFonts w:ascii="宋体" w:hAnsi="宋体"/>
                <w:b/>
                <w:sz w:val="24"/>
                <w:szCs w:val="24"/>
                <w:highlight w:val="none"/>
              </w:rPr>
            </w:pPr>
            <w:r>
              <w:rPr>
                <w:rFonts w:hint="eastAsia" w:ascii="宋体" w:hAnsi="宋体"/>
                <w:b/>
                <w:sz w:val="24"/>
                <w:szCs w:val="24"/>
                <w:highlight w:val="none"/>
              </w:rPr>
              <w:t>人员要求</w:t>
            </w:r>
          </w:p>
        </w:tc>
        <w:tc>
          <w:tcPr>
            <w:tcW w:w="1180" w:type="dxa"/>
            <w:noWrap/>
            <w:vAlign w:val="center"/>
          </w:tcPr>
          <w:p>
            <w:pPr>
              <w:widowControl/>
              <w:spacing w:line="360" w:lineRule="auto"/>
              <w:jc w:val="center"/>
              <w:rPr>
                <w:rFonts w:ascii="宋体" w:hAnsi="宋体"/>
                <w:b/>
                <w:sz w:val="24"/>
                <w:szCs w:val="24"/>
                <w:highlight w:val="none"/>
              </w:rPr>
            </w:pPr>
            <w:r>
              <w:rPr>
                <w:rFonts w:hint="eastAsia" w:ascii="宋体" w:hAnsi="宋体"/>
                <w:b/>
                <w:sz w:val="24"/>
                <w:szCs w:val="24"/>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0" w:hRule="atLeast"/>
          <w:jc w:val="center"/>
        </w:trPr>
        <w:tc>
          <w:tcPr>
            <w:tcW w:w="1458"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项目经理</w:t>
            </w:r>
          </w:p>
        </w:tc>
        <w:tc>
          <w:tcPr>
            <w:tcW w:w="1876" w:type="dxa"/>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负责项目质量和进度控制</w:t>
            </w:r>
          </w:p>
        </w:tc>
        <w:tc>
          <w:tcPr>
            <w:tcW w:w="1391"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1人</w:t>
            </w:r>
          </w:p>
        </w:tc>
        <w:tc>
          <w:tcPr>
            <w:tcW w:w="2197" w:type="dxa"/>
            <w:vAlign w:val="center"/>
          </w:tcPr>
          <w:p>
            <w:pPr>
              <w:widowControl/>
              <w:numPr>
                <w:ilvl w:val="0"/>
                <w:numId w:val="4"/>
              </w:numPr>
              <w:spacing w:line="360" w:lineRule="auto"/>
              <w:jc w:val="left"/>
              <w:rPr>
                <w:rFonts w:hint="eastAsia" w:ascii="宋体" w:hAnsi="宋体"/>
                <w:sz w:val="24"/>
                <w:szCs w:val="24"/>
                <w:highlight w:val="none"/>
              </w:rPr>
            </w:pPr>
            <w:r>
              <w:rPr>
                <w:rFonts w:hint="eastAsia" w:ascii="宋体" w:hAnsi="宋体"/>
                <w:sz w:val="24"/>
                <w:szCs w:val="24"/>
                <w:highlight w:val="none"/>
              </w:rPr>
              <w:t>硕士及以上学历</w:t>
            </w:r>
          </w:p>
          <w:p>
            <w:pPr>
              <w:widowControl/>
              <w:numPr>
                <w:ilvl w:val="0"/>
                <w:numId w:val="4"/>
              </w:numPr>
              <w:spacing w:line="360" w:lineRule="auto"/>
              <w:jc w:val="left"/>
              <w:rPr>
                <w:rFonts w:ascii="宋体" w:hAnsi="宋体"/>
                <w:sz w:val="24"/>
                <w:szCs w:val="24"/>
                <w:highlight w:val="none"/>
              </w:rPr>
            </w:pPr>
            <w:r>
              <w:rPr>
                <w:rFonts w:hint="eastAsia" w:ascii="宋体" w:hAnsi="宋体"/>
                <w:sz w:val="24"/>
                <w:szCs w:val="24"/>
                <w:highlight w:val="none"/>
              </w:rPr>
              <w:t>具备计算机技术与软件专业技术资格(水平)高级及以上证书或计算机类高级职称的</w:t>
            </w:r>
          </w:p>
        </w:tc>
        <w:tc>
          <w:tcPr>
            <w:tcW w:w="1180"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58"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技术工程师</w:t>
            </w:r>
          </w:p>
        </w:tc>
        <w:tc>
          <w:tcPr>
            <w:tcW w:w="1876" w:type="dxa"/>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负责项目需求评估与开发</w:t>
            </w:r>
          </w:p>
        </w:tc>
        <w:tc>
          <w:tcPr>
            <w:tcW w:w="1391"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1人</w:t>
            </w:r>
          </w:p>
        </w:tc>
        <w:tc>
          <w:tcPr>
            <w:tcW w:w="2197" w:type="dxa"/>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w:t>
            </w:r>
          </w:p>
        </w:tc>
        <w:tc>
          <w:tcPr>
            <w:tcW w:w="1180"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58"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实施</w:t>
            </w:r>
          </w:p>
        </w:tc>
        <w:tc>
          <w:tcPr>
            <w:tcW w:w="1876"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负责项目运行维护</w:t>
            </w:r>
          </w:p>
        </w:tc>
        <w:tc>
          <w:tcPr>
            <w:tcW w:w="1391"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4人</w:t>
            </w:r>
          </w:p>
        </w:tc>
        <w:tc>
          <w:tcPr>
            <w:tcW w:w="2197" w:type="dxa"/>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w:t>
            </w:r>
          </w:p>
        </w:tc>
        <w:tc>
          <w:tcPr>
            <w:tcW w:w="1180" w:type="dxa"/>
            <w:noWrap/>
            <w:vAlign w:val="center"/>
          </w:tcPr>
          <w:p>
            <w:pPr>
              <w:widowControl/>
              <w:spacing w:line="360" w:lineRule="auto"/>
              <w:jc w:val="center"/>
              <w:rPr>
                <w:rFonts w:ascii="宋体" w:hAnsi="宋体"/>
                <w:sz w:val="24"/>
                <w:szCs w:val="24"/>
                <w:highlight w:val="none"/>
              </w:rPr>
            </w:pPr>
            <w:r>
              <w:rPr>
                <w:rFonts w:hint="eastAsia" w:ascii="宋体" w:hAnsi="宋体"/>
                <w:sz w:val="24"/>
                <w:szCs w:val="24"/>
                <w:highlight w:val="none"/>
              </w:rPr>
              <w:t>驻场</w:t>
            </w:r>
          </w:p>
        </w:tc>
      </w:tr>
    </w:tbl>
    <w:p>
      <w:pPr>
        <w:spacing w:line="360" w:lineRule="auto"/>
        <w:outlineLvl w:val="1"/>
        <w:rPr>
          <w:rFonts w:ascii="宋体" w:hAnsi="宋体"/>
          <w:b/>
          <w:bCs/>
          <w:sz w:val="24"/>
          <w:szCs w:val="24"/>
          <w:highlight w:val="none"/>
        </w:rPr>
      </w:pPr>
      <w:bookmarkStart w:id="25" w:name="_Toc63785511"/>
      <w:r>
        <w:rPr>
          <w:rFonts w:hint="eastAsia" w:ascii="宋体" w:hAnsi="宋体"/>
          <w:b/>
          <w:bCs/>
          <w:sz w:val="24"/>
          <w:szCs w:val="24"/>
          <w:highlight w:val="none"/>
        </w:rPr>
        <w:t>5</w:t>
      </w:r>
      <w:r>
        <w:rPr>
          <w:rFonts w:ascii="宋体" w:hAnsi="宋体"/>
          <w:b/>
          <w:bCs/>
          <w:sz w:val="24"/>
          <w:szCs w:val="24"/>
          <w:highlight w:val="none"/>
        </w:rPr>
        <w:t>.8</w:t>
      </w:r>
      <w:r>
        <w:rPr>
          <w:rFonts w:hint="eastAsia" w:ascii="宋体" w:hAnsi="宋体"/>
          <w:b/>
          <w:bCs/>
          <w:sz w:val="24"/>
          <w:szCs w:val="24"/>
          <w:highlight w:val="none"/>
        </w:rPr>
        <w:t>、</w:t>
      </w:r>
      <w:r>
        <w:rPr>
          <w:rFonts w:ascii="宋体" w:hAnsi="宋体"/>
          <w:b/>
          <w:bCs/>
          <w:sz w:val="24"/>
          <w:szCs w:val="24"/>
          <w:highlight w:val="none"/>
        </w:rPr>
        <w:t>等级保护要求</w:t>
      </w:r>
      <w:bookmarkEnd w:id="25"/>
    </w:p>
    <w:p>
      <w:pPr>
        <w:spacing w:line="360" w:lineRule="auto"/>
        <w:ind w:firstLine="480" w:firstLineChars="200"/>
        <w:rPr>
          <w:rFonts w:ascii="宋体" w:hAnsi="宋体"/>
          <w:sz w:val="24"/>
          <w:szCs w:val="24"/>
          <w:highlight w:val="none"/>
        </w:rPr>
      </w:pPr>
      <w:r>
        <w:rPr>
          <w:rFonts w:ascii="宋体" w:hAnsi="宋体"/>
          <w:sz w:val="24"/>
          <w:szCs w:val="24"/>
          <w:highlight w:val="none"/>
        </w:rPr>
        <w:t>本项目等级保护要求：</w:t>
      </w:r>
      <w:r>
        <w:rPr>
          <w:rFonts w:hint="eastAsia" w:ascii="宋体" w:hAnsi="宋体"/>
          <w:sz w:val="24"/>
          <w:szCs w:val="24"/>
          <w:highlight w:val="none"/>
        </w:rPr>
        <w:t>参照等保二级要求建设。</w:t>
      </w:r>
    </w:p>
    <w:p>
      <w:pPr>
        <w:spacing w:line="360" w:lineRule="auto"/>
        <w:outlineLvl w:val="1"/>
        <w:rPr>
          <w:rFonts w:ascii="宋体" w:hAnsi="宋体"/>
          <w:b/>
          <w:bCs/>
          <w:sz w:val="24"/>
          <w:szCs w:val="24"/>
          <w:highlight w:val="none"/>
        </w:rPr>
      </w:pPr>
      <w:r>
        <w:rPr>
          <w:rFonts w:hint="eastAsia" w:ascii="宋体" w:hAnsi="宋体"/>
          <w:b/>
          <w:bCs/>
          <w:sz w:val="24"/>
          <w:szCs w:val="24"/>
          <w:highlight w:val="none"/>
        </w:rPr>
        <w:t>5</w:t>
      </w:r>
      <w:r>
        <w:rPr>
          <w:rFonts w:ascii="宋体" w:hAnsi="宋体"/>
          <w:b/>
          <w:bCs/>
          <w:sz w:val="24"/>
          <w:szCs w:val="24"/>
          <w:highlight w:val="none"/>
        </w:rPr>
        <w:t>.9</w:t>
      </w:r>
      <w:r>
        <w:rPr>
          <w:rFonts w:hint="eastAsia" w:ascii="宋体" w:hAnsi="宋体"/>
          <w:b/>
          <w:bCs/>
          <w:sz w:val="24"/>
          <w:szCs w:val="24"/>
          <w:highlight w:val="none"/>
        </w:rPr>
        <w:t>、商业密码应用需求</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本项目需要进行密码功能模块开发。具体包括开发用户身份认证机制模块、业务重要数据安全传输模块、服务器虚拟机设备日志/访问控制信息完整性模块、重要可执行程序签名验签模块、用户访问控制信息签名验签模块、应用系统重要数据加解密模块、应用系统重要数据签名验签模块。投标人须提供完整的密码应用方案。</w:t>
      </w:r>
    </w:p>
    <w:p>
      <w:pPr>
        <w:pStyle w:val="2"/>
        <w:jc w:val="center"/>
        <w:rPr>
          <w:rFonts w:ascii="仿宋" w:hAnsi="仿宋"/>
          <w:sz w:val="24"/>
          <w:szCs w:val="22"/>
          <w:highlight w:val="none"/>
        </w:rPr>
      </w:pPr>
      <w:r>
        <w:rPr>
          <w:rFonts w:ascii="仿宋" w:hAnsi="仿宋"/>
          <w:sz w:val="24"/>
          <w:szCs w:val="22"/>
          <w:highlight w:val="none"/>
        </w:rPr>
        <w:t>系统密码应用需求</w:t>
      </w:r>
      <w:r>
        <w:rPr>
          <w:rFonts w:hint="eastAsia" w:ascii="仿宋" w:hAnsi="仿宋"/>
          <w:sz w:val="24"/>
          <w:szCs w:val="22"/>
          <w:highlight w:val="none"/>
        </w:rPr>
        <w:t>清单</w:t>
      </w:r>
    </w:p>
    <w:tbl>
      <w:tblPr>
        <w:tblStyle w:val="2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11"/>
        <w:gridCol w:w="614"/>
        <w:gridCol w:w="1904"/>
        <w:gridCol w:w="3989"/>
        <w:gridCol w:w="14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270" w:type="dxa"/>
            <w:gridSpan w:val="2"/>
            <w:shd w:val="clear" w:color="auto" w:fill="FFFFFF"/>
            <w:vAlign w:val="center"/>
          </w:tcPr>
          <w:p>
            <w:pPr>
              <w:wordWrap w:val="0"/>
              <w:jc w:val="center"/>
              <w:textAlignment w:val="center"/>
              <w:rPr>
                <w:rFonts w:ascii="宋体" w:hAnsi="宋体" w:cs="宋体"/>
                <w:b/>
                <w:bCs/>
                <w:sz w:val="24"/>
                <w:szCs w:val="24"/>
                <w:highlight w:val="none"/>
              </w:rPr>
            </w:pPr>
            <w:r>
              <w:rPr>
                <w:rFonts w:hint="eastAsia" w:ascii="宋体" w:hAnsi="宋体" w:cs="宋体"/>
                <w:b/>
                <w:bCs/>
                <w:sz w:val="24"/>
                <w:szCs w:val="24"/>
                <w:highlight w:val="none"/>
                <w:lang w:bidi="ar"/>
              </w:rPr>
              <w:t>安全层面</w:t>
            </w:r>
          </w:p>
        </w:tc>
        <w:tc>
          <w:tcPr>
            <w:tcW w:w="2078" w:type="dxa"/>
            <w:shd w:val="clear" w:color="auto" w:fill="FFFFFF"/>
            <w:vAlign w:val="center"/>
          </w:tcPr>
          <w:p>
            <w:pPr>
              <w:wordWrap w:val="0"/>
              <w:jc w:val="center"/>
              <w:textAlignment w:val="center"/>
              <w:rPr>
                <w:rFonts w:ascii="宋体" w:hAnsi="宋体" w:cs="宋体"/>
                <w:b/>
                <w:bCs/>
                <w:sz w:val="24"/>
                <w:szCs w:val="24"/>
                <w:highlight w:val="none"/>
              </w:rPr>
            </w:pPr>
            <w:r>
              <w:rPr>
                <w:rFonts w:hint="eastAsia" w:ascii="宋体" w:hAnsi="宋体" w:cs="宋体"/>
                <w:b/>
                <w:bCs/>
                <w:sz w:val="24"/>
                <w:szCs w:val="24"/>
                <w:highlight w:val="none"/>
                <w:lang w:bidi="ar"/>
              </w:rPr>
              <w:t>指标要求</w:t>
            </w:r>
          </w:p>
        </w:tc>
        <w:tc>
          <w:tcPr>
            <w:tcW w:w="4428" w:type="dxa"/>
            <w:shd w:val="clear" w:color="auto" w:fill="FFFFFF"/>
            <w:vAlign w:val="center"/>
          </w:tcPr>
          <w:p>
            <w:pPr>
              <w:wordWrap w:val="0"/>
              <w:jc w:val="center"/>
              <w:textAlignment w:val="center"/>
              <w:rPr>
                <w:rFonts w:ascii="宋体" w:hAnsi="宋体" w:cs="宋体"/>
                <w:b/>
                <w:bCs/>
                <w:sz w:val="24"/>
                <w:szCs w:val="24"/>
                <w:highlight w:val="none"/>
              </w:rPr>
            </w:pPr>
            <w:r>
              <w:rPr>
                <w:rFonts w:hint="eastAsia" w:ascii="宋体" w:hAnsi="宋体" w:cs="宋体"/>
                <w:b/>
                <w:bCs/>
                <w:sz w:val="24"/>
                <w:szCs w:val="24"/>
                <w:highlight w:val="none"/>
                <w:lang w:bidi="ar"/>
              </w:rPr>
              <w:t>系统密码应用需求</w:t>
            </w:r>
          </w:p>
        </w:tc>
        <w:tc>
          <w:tcPr>
            <w:tcW w:w="1505" w:type="dxa"/>
            <w:shd w:val="clear" w:color="auto" w:fill="FFFFFF"/>
            <w:vAlign w:val="center"/>
          </w:tcPr>
          <w:p>
            <w:pPr>
              <w:wordWrap w:val="0"/>
              <w:jc w:val="center"/>
              <w:textAlignment w:val="center"/>
              <w:rPr>
                <w:rFonts w:ascii="宋体" w:hAnsi="宋体" w:cs="宋体"/>
                <w:b/>
                <w:bCs/>
                <w:sz w:val="24"/>
                <w:szCs w:val="24"/>
                <w:highlight w:val="none"/>
              </w:rPr>
            </w:pPr>
            <w:r>
              <w:rPr>
                <w:rFonts w:hint="eastAsia" w:ascii="宋体" w:hAnsi="宋体" w:cs="宋体"/>
                <w:b/>
                <w:bCs/>
                <w:sz w:val="24"/>
                <w:szCs w:val="24"/>
                <w:highlight w:val="none"/>
                <w:lang w:bidi="ar"/>
              </w:rPr>
              <w:t>不适用说明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restart"/>
            <w:shd w:val="clear" w:color="auto" w:fill="FFFFFF"/>
          </w:tcPr>
          <w:p>
            <w:pPr>
              <w:wordWrap w:val="0"/>
              <w:jc w:val="center"/>
              <w:textAlignment w:val="center"/>
              <w:rPr>
                <w:rFonts w:ascii="宋体" w:hAnsi="宋体" w:cs="宋体"/>
                <w:sz w:val="24"/>
                <w:szCs w:val="24"/>
                <w:highlight w:val="none"/>
                <w:lang w:bidi="ar"/>
              </w:rPr>
            </w:pPr>
            <w:r>
              <w:rPr>
                <w:rFonts w:hint="eastAsia" w:ascii="宋体" w:hAnsi="宋体" w:cs="宋体"/>
                <w:sz w:val="24"/>
                <w:szCs w:val="24"/>
                <w:highlight w:val="none"/>
                <w:lang w:bidi="ar"/>
              </w:rPr>
              <w:t>计算平台安全</w:t>
            </w:r>
          </w:p>
        </w:tc>
        <w:tc>
          <w:tcPr>
            <w:tcW w:w="637" w:type="dxa"/>
            <w:vMerge w:val="restart"/>
            <w:shd w:val="clear" w:color="auto" w:fill="FFFFFF"/>
            <w:vAlign w:val="center"/>
          </w:tcPr>
          <w:p>
            <w:pPr>
              <w:wordWrap w:val="0"/>
              <w:jc w:val="center"/>
              <w:textAlignment w:val="center"/>
              <w:rPr>
                <w:rFonts w:ascii="宋体" w:hAnsi="宋体" w:cs="宋体"/>
                <w:sz w:val="24"/>
                <w:szCs w:val="24"/>
                <w:highlight w:val="none"/>
              </w:rPr>
            </w:pPr>
            <w:r>
              <w:rPr>
                <w:rFonts w:hint="eastAsia" w:ascii="宋体" w:hAnsi="宋体" w:cs="宋体"/>
                <w:sz w:val="24"/>
                <w:szCs w:val="24"/>
                <w:highlight w:val="none"/>
                <w:lang w:bidi="ar"/>
              </w:rPr>
              <w:t>物理和环境安全</w:t>
            </w: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身份鉴别</w:t>
            </w:r>
          </w:p>
        </w:tc>
        <w:tc>
          <w:tcPr>
            <w:tcW w:w="442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pacing w:val="21"/>
                <w:sz w:val="24"/>
                <w:szCs w:val="24"/>
                <w:highlight w:val="none"/>
              </w:rPr>
              <w:t>确</w:t>
            </w:r>
            <w:r>
              <w:rPr>
                <w:rFonts w:hint="eastAsia" w:ascii="宋体" w:hAnsi="宋体" w:cs="宋体"/>
                <w:spacing w:val="17"/>
                <w:sz w:val="24"/>
                <w:szCs w:val="24"/>
                <w:highlight w:val="none"/>
              </w:rPr>
              <w:t>认进入机房人员身份的真实</w:t>
            </w:r>
            <w:r>
              <w:rPr>
                <w:rFonts w:hint="eastAsia" w:ascii="宋体" w:hAnsi="宋体" w:cs="宋体"/>
                <w:spacing w:val="10"/>
                <w:sz w:val="24"/>
                <w:szCs w:val="24"/>
                <w:highlight w:val="none"/>
              </w:rPr>
              <w:t>性</w:t>
            </w:r>
            <w:r>
              <w:rPr>
                <w:rFonts w:hint="eastAsia" w:ascii="宋体" w:hAnsi="宋体" w:cs="宋体"/>
                <w:spacing w:val="7"/>
                <w:sz w:val="24"/>
                <w:szCs w:val="24"/>
                <w:highlight w:val="none"/>
              </w:rPr>
              <w:t>，防止假冒人员进入。</w:t>
            </w:r>
          </w:p>
        </w:tc>
        <w:tc>
          <w:tcPr>
            <w:tcW w:w="1505" w:type="dxa"/>
            <w:vMerge w:val="restart"/>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系统的物理和环境安全由云平台提供安全保障。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电子门禁记录数据完整性</w:t>
            </w:r>
          </w:p>
        </w:tc>
        <w:tc>
          <w:tcPr>
            <w:tcW w:w="4428" w:type="dxa"/>
            <w:shd w:val="clear" w:color="auto" w:fill="FFFFFF"/>
            <w:vAlign w:val="center"/>
          </w:tcPr>
          <w:p>
            <w:pPr>
              <w:wordWrap w:val="0"/>
              <w:rPr>
                <w:rFonts w:ascii="宋体" w:hAnsi="宋体" w:cs="宋体"/>
                <w:sz w:val="24"/>
                <w:szCs w:val="24"/>
                <w:highlight w:val="none"/>
              </w:rPr>
            </w:pPr>
            <w:r>
              <w:rPr>
                <w:rFonts w:hint="eastAsia" w:ascii="宋体" w:hAnsi="宋体" w:cs="宋体"/>
                <w:spacing w:val="21"/>
                <w:sz w:val="24"/>
                <w:szCs w:val="24"/>
                <w:highlight w:val="none"/>
              </w:rPr>
              <w:t>保</w:t>
            </w:r>
            <w:r>
              <w:rPr>
                <w:rFonts w:hint="eastAsia" w:ascii="宋体" w:hAnsi="宋体" w:cs="宋体"/>
                <w:spacing w:val="17"/>
                <w:sz w:val="24"/>
                <w:szCs w:val="24"/>
                <w:highlight w:val="none"/>
              </w:rPr>
              <w:t>护电子门禁系统进出记录的完整性，</w:t>
            </w:r>
            <w:r>
              <w:rPr>
                <w:rFonts w:hint="eastAsia" w:ascii="宋体" w:hAnsi="宋体" w:cs="宋体"/>
                <w:spacing w:val="9"/>
                <w:sz w:val="24"/>
                <w:szCs w:val="24"/>
                <w:highlight w:val="none"/>
              </w:rPr>
              <w:t>防</w:t>
            </w:r>
            <w:r>
              <w:rPr>
                <w:rFonts w:hint="eastAsia" w:ascii="宋体" w:hAnsi="宋体" w:cs="宋体"/>
                <w:spacing w:val="7"/>
                <w:sz w:val="24"/>
                <w:szCs w:val="24"/>
                <w:highlight w:val="none"/>
              </w:rPr>
              <w:t>止被非授权篡改。</w:t>
            </w:r>
          </w:p>
        </w:tc>
        <w:tc>
          <w:tcPr>
            <w:tcW w:w="1505" w:type="dxa"/>
            <w:vMerge w:val="continue"/>
            <w:shd w:val="clear" w:color="auto" w:fill="FFFFFF"/>
            <w:vAlign w:val="center"/>
          </w:tcPr>
          <w:p>
            <w:pPr>
              <w:wordWrap w:val="0"/>
              <w:rPr>
                <w:rFonts w:ascii="宋体" w:hAnsi="宋体" w:cs="宋体"/>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lang w:bidi="ar"/>
              </w:rPr>
            </w:pPr>
            <w:r>
              <w:rPr>
                <w:rFonts w:hint="eastAsia" w:ascii="宋体" w:hAnsi="宋体" w:cs="宋体"/>
                <w:sz w:val="24"/>
                <w:szCs w:val="24"/>
                <w:highlight w:val="none"/>
                <w:lang w:bidi="ar"/>
              </w:rPr>
              <w:t>视频监控记录数</w:t>
            </w:r>
          </w:p>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据完整性</w:t>
            </w:r>
          </w:p>
        </w:tc>
        <w:tc>
          <w:tcPr>
            <w:tcW w:w="4428" w:type="dxa"/>
            <w:shd w:val="clear" w:color="auto" w:fill="FFFFFF"/>
            <w:vAlign w:val="center"/>
          </w:tcPr>
          <w:p>
            <w:pPr>
              <w:wordWrap w:val="0"/>
              <w:rPr>
                <w:rFonts w:ascii="宋体" w:hAnsi="宋体" w:cs="宋体"/>
                <w:spacing w:val="17"/>
                <w:sz w:val="24"/>
                <w:szCs w:val="24"/>
                <w:highlight w:val="none"/>
              </w:rPr>
            </w:pPr>
            <w:r>
              <w:rPr>
                <w:rFonts w:hint="eastAsia" w:ascii="宋体" w:hAnsi="宋体" w:cs="宋体"/>
                <w:spacing w:val="17"/>
                <w:sz w:val="24"/>
                <w:szCs w:val="24"/>
                <w:highlight w:val="none"/>
              </w:rPr>
              <w:t>保护视频监控音像记录的完整性，防止被非授权篡改。</w:t>
            </w:r>
          </w:p>
        </w:tc>
        <w:tc>
          <w:tcPr>
            <w:tcW w:w="1505" w:type="dxa"/>
            <w:vMerge w:val="continue"/>
            <w:shd w:val="clear" w:color="auto" w:fill="FFFFFF"/>
            <w:vAlign w:val="center"/>
          </w:tcPr>
          <w:p>
            <w:pPr>
              <w:wordWrap w:val="0"/>
              <w:rPr>
                <w:rFonts w:ascii="宋体" w:hAnsi="宋体" w:cs="宋体"/>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密码服务</w:t>
            </w:r>
          </w:p>
        </w:tc>
        <w:tc>
          <w:tcPr>
            <w:tcW w:w="4428" w:type="dxa"/>
            <w:shd w:val="clear" w:color="auto" w:fill="FFFFFF"/>
            <w:vAlign w:val="center"/>
          </w:tcPr>
          <w:p>
            <w:pPr>
              <w:wordWrap w:val="0"/>
              <w:rPr>
                <w:rFonts w:ascii="宋体" w:hAnsi="宋体" w:cs="宋体"/>
                <w:spacing w:val="17"/>
                <w:sz w:val="24"/>
                <w:szCs w:val="24"/>
                <w:highlight w:val="none"/>
              </w:rPr>
            </w:pPr>
            <w:r>
              <w:rPr>
                <w:rFonts w:hint="eastAsia" w:ascii="宋体" w:hAnsi="宋体" w:cs="宋体"/>
                <w:spacing w:val="17"/>
                <w:sz w:val="24"/>
                <w:szCs w:val="24"/>
                <w:highlight w:val="none"/>
              </w:rPr>
              <w:t>不适用</w:t>
            </w:r>
          </w:p>
        </w:tc>
        <w:tc>
          <w:tcPr>
            <w:tcW w:w="1505" w:type="dxa"/>
            <w:vMerge w:val="continue"/>
            <w:shd w:val="clear" w:color="auto" w:fill="FFFFFF"/>
            <w:vAlign w:val="center"/>
          </w:tcPr>
          <w:p>
            <w:pPr>
              <w:wordWrap w:val="0"/>
              <w:rPr>
                <w:rFonts w:ascii="宋体" w:hAnsi="宋体" w:cs="宋体"/>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密码产品</w:t>
            </w:r>
          </w:p>
        </w:tc>
        <w:tc>
          <w:tcPr>
            <w:tcW w:w="4428" w:type="dxa"/>
            <w:shd w:val="clear" w:color="auto" w:fill="FFFFFF"/>
            <w:vAlign w:val="center"/>
          </w:tcPr>
          <w:p>
            <w:pPr>
              <w:wordWrap w:val="0"/>
              <w:rPr>
                <w:rFonts w:ascii="宋体" w:hAnsi="宋体" w:cs="宋体"/>
                <w:spacing w:val="17"/>
                <w:sz w:val="24"/>
                <w:szCs w:val="24"/>
                <w:highlight w:val="none"/>
              </w:rPr>
            </w:pPr>
            <w:r>
              <w:rPr>
                <w:rFonts w:hint="eastAsia" w:ascii="宋体" w:hAnsi="宋体" w:cs="宋体"/>
                <w:spacing w:val="17"/>
                <w:sz w:val="24"/>
                <w:szCs w:val="24"/>
                <w:highlight w:val="none"/>
              </w:rPr>
              <w:t>采用的密码产品应达到GB/T 37092-2018二级及以上安全要求。</w:t>
            </w:r>
          </w:p>
        </w:tc>
        <w:tc>
          <w:tcPr>
            <w:tcW w:w="1505" w:type="dxa"/>
            <w:vMerge w:val="continue"/>
            <w:shd w:val="clear" w:color="auto" w:fill="FFFFFF"/>
            <w:vAlign w:val="center"/>
          </w:tcPr>
          <w:p>
            <w:pPr>
              <w:wordWrap w:val="0"/>
              <w:rPr>
                <w:rFonts w:ascii="宋体" w:hAnsi="宋体" w:cs="宋体"/>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textAlignment w:val="center"/>
              <w:rPr>
                <w:rFonts w:ascii="宋体" w:hAnsi="宋体" w:cs="宋体"/>
                <w:sz w:val="24"/>
                <w:szCs w:val="24"/>
                <w:highlight w:val="none"/>
                <w:lang w:bidi="ar"/>
              </w:rPr>
            </w:pPr>
          </w:p>
        </w:tc>
        <w:tc>
          <w:tcPr>
            <w:tcW w:w="637" w:type="dxa"/>
            <w:vMerge w:val="restart"/>
            <w:shd w:val="clear" w:color="auto" w:fill="FFFFFF"/>
            <w:vAlign w:val="center"/>
          </w:tcPr>
          <w:p>
            <w:pPr>
              <w:wordWrap w:val="0"/>
              <w:jc w:val="center"/>
              <w:textAlignment w:val="center"/>
              <w:rPr>
                <w:rFonts w:ascii="宋体" w:hAnsi="宋体" w:cs="宋体"/>
                <w:sz w:val="24"/>
                <w:szCs w:val="24"/>
                <w:highlight w:val="none"/>
              </w:rPr>
            </w:pPr>
            <w:r>
              <w:rPr>
                <w:rFonts w:hint="eastAsia" w:ascii="宋体" w:hAnsi="宋体" w:cs="宋体"/>
                <w:sz w:val="24"/>
                <w:szCs w:val="24"/>
                <w:highlight w:val="none"/>
                <w:lang w:bidi="ar"/>
              </w:rPr>
              <w:t>网络和通信安全</w:t>
            </w:r>
          </w:p>
        </w:tc>
        <w:tc>
          <w:tcPr>
            <w:tcW w:w="2078" w:type="dxa"/>
            <w:vMerge w:val="restart"/>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身份鉴别</w:t>
            </w:r>
          </w:p>
        </w:tc>
        <w:tc>
          <w:tcPr>
            <w:tcW w:w="442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确保</w:t>
            </w:r>
            <w:r>
              <w:rPr>
                <w:rFonts w:hint="eastAsia" w:ascii="宋体" w:hAnsi="宋体" w:cs="宋体"/>
                <w:i/>
                <w:iCs/>
                <w:sz w:val="24"/>
                <w:szCs w:val="24"/>
                <w:highlight w:val="none"/>
                <w:lang w:bidi="ar"/>
              </w:rPr>
              <w:t>PC端、移动端</w:t>
            </w:r>
            <w:r>
              <w:rPr>
                <w:rFonts w:hint="eastAsia" w:ascii="宋体" w:hAnsi="宋体" w:cs="宋体"/>
                <w:sz w:val="24"/>
                <w:szCs w:val="24"/>
                <w:highlight w:val="none"/>
                <w:lang w:bidi="ar"/>
              </w:rPr>
              <w:t>和服务端通信实体身份的真实性，防止与假冒实体进行通信。</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vMerge w:val="continue"/>
            <w:shd w:val="clear" w:color="auto" w:fill="FFFFFF"/>
            <w:vAlign w:val="center"/>
          </w:tcPr>
          <w:p>
            <w:pPr>
              <w:wordWrap w:val="0"/>
              <w:rPr>
                <w:rFonts w:ascii="宋体" w:hAnsi="宋体" w:cs="宋体"/>
                <w:sz w:val="24"/>
                <w:szCs w:val="24"/>
                <w:highlight w:val="none"/>
              </w:rPr>
            </w:pPr>
          </w:p>
        </w:tc>
        <w:tc>
          <w:tcPr>
            <w:tcW w:w="442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管理端的身份鉴别由云平台提供安全保障。</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云平台通过密评，已被完全评估。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通信数据完整性</w:t>
            </w:r>
          </w:p>
        </w:tc>
        <w:tc>
          <w:tcPr>
            <w:tcW w:w="4428" w:type="dxa"/>
            <w:vMerge w:val="restart"/>
            <w:shd w:val="clear" w:color="auto" w:fill="FFFFFF"/>
            <w:vAlign w:val="center"/>
          </w:tcPr>
          <w:p>
            <w:pPr>
              <w:rPr>
                <w:rFonts w:ascii="宋体" w:hAnsi="宋体" w:cs="宋体"/>
                <w:sz w:val="24"/>
                <w:szCs w:val="24"/>
                <w:highlight w:val="none"/>
              </w:rPr>
            </w:pPr>
            <w:r>
              <w:rPr>
                <w:rStyle w:val="36"/>
                <w:rFonts w:hint="default" w:ascii="宋体" w:hAnsi="宋体" w:eastAsia="宋体" w:cs="宋体"/>
                <w:color w:val="auto"/>
                <w:highlight w:val="none"/>
              </w:rPr>
              <w:t>保护通信过程中重要业务数据的完整性和机密性， 防止数据被非授权篡改， 防止重要数据泄露</w:t>
            </w:r>
            <w:r>
              <w:rPr>
                <w:rFonts w:hint="eastAsia" w:ascii="宋体" w:hAnsi="宋体" w:cs="宋体"/>
                <w:sz w:val="24"/>
                <w:szCs w:val="24"/>
                <w:highlight w:val="none"/>
              </w:rPr>
              <w:t>。</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通信过程中重要数据的机密性</w:t>
            </w:r>
          </w:p>
        </w:tc>
        <w:tc>
          <w:tcPr>
            <w:tcW w:w="4428" w:type="dxa"/>
            <w:vMerge w:val="continue"/>
            <w:shd w:val="clear" w:color="auto" w:fill="FFFFFF"/>
            <w:vAlign w:val="center"/>
          </w:tcPr>
          <w:p>
            <w:pPr>
              <w:wordWrap w:val="0"/>
              <w:textAlignment w:val="center"/>
              <w:rPr>
                <w:rFonts w:ascii="宋体" w:hAnsi="宋体" w:cs="宋体"/>
                <w:sz w:val="24"/>
                <w:szCs w:val="24"/>
                <w:highlight w:val="none"/>
              </w:rPr>
            </w:pP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vMerge w:val="restart"/>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网络边界访问控制信息的完整性</w:t>
            </w:r>
          </w:p>
        </w:tc>
        <w:tc>
          <w:tcPr>
            <w:tcW w:w="4428" w:type="dxa"/>
            <w:shd w:val="clear" w:color="auto" w:fill="FFFFFF"/>
            <w:vAlign w:val="center"/>
          </w:tcPr>
          <w:p>
            <w:pPr>
              <w:rPr>
                <w:rFonts w:ascii="宋体" w:hAnsi="宋体" w:cs="宋体"/>
                <w:sz w:val="24"/>
                <w:szCs w:val="24"/>
                <w:highlight w:val="none"/>
              </w:rPr>
            </w:pPr>
            <w:r>
              <w:rPr>
                <w:rFonts w:hint="eastAsia" w:ascii="宋体" w:hAnsi="宋体" w:cs="宋体"/>
                <w:sz w:val="24"/>
                <w:szCs w:val="24"/>
                <w:highlight w:val="none"/>
                <w:lang w:bidi="ar"/>
              </w:rPr>
              <w:t>保护</w:t>
            </w:r>
            <w:r>
              <w:rPr>
                <w:rFonts w:hint="eastAsia" w:ascii="宋体" w:hAnsi="宋体" w:cs="宋体"/>
                <w:i/>
                <w:iCs/>
                <w:sz w:val="24"/>
                <w:szCs w:val="24"/>
                <w:highlight w:val="none"/>
                <w:lang w:bidi="ar"/>
              </w:rPr>
              <w:t>PC端、移动端</w:t>
            </w:r>
            <w:r>
              <w:rPr>
                <w:rFonts w:hint="eastAsia" w:ascii="宋体" w:hAnsi="宋体" w:cs="宋体"/>
                <w:sz w:val="24"/>
                <w:szCs w:val="24"/>
                <w:highlight w:val="none"/>
                <w:lang w:bidi="ar"/>
              </w:rPr>
              <w:t>和服务端通信过程中网络边界访问控制信息的完整性，防止被非授权篡改。</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vMerge w:val="continue"/>
            <w:shd w:val="clear" w:color="auto" w:fill="FFFFFF"/>
            <w:vAlign w:val="center"/>
          </w:tcPr>
          <w:p>
            <w:pPr>
              <w:wordWrap w:val="0"/>
              <w:textAlignment w:val="center"/>
              <w:rPr>
                <w:rFonts w:ascii="宋体" w:hAnsi="宋体" w:cs="宋体"/>
                <w:sz w:val="24"/>
                <w:szCs w:val="24"/>
                <w:highlight w:val="none"/>
                <w:lang w:bidi="ar"/>
              </w:rPr>
            </w:pPr>
          </w:p>
        </w:tc>
        <w:tc>
          <w:tcPr>
            <w:tcW w:w="4428" w:type="dxa"/>
            <w:shd w:val="clear" w:color="auto" w:fill="FFFFFF"/>
            <w:vAlign w:val="center"/>
          </w:tcPr>
          <w:p>
            <w:pPr>
              <w:rPr>
                <w:rFonts w:ascii="宋体" w:hAnsi="宋体" w:cs="宋体"/>
                <w:sz w:val="24"/>
                <w:szCs w:val="24"/>
                <w:highlight w:val="none"/>
                <w:lang w:bidi="ar"/>
              </w:rPr>
            </w:pPr>
            <w:r>
              <w:rPr>
                <w:rFonts w:hint="eastAsia" w:ascii="宋体" w:hAnsi="宋体" w:cs="宋体"/>
                <w:sz w:val="24"/>
                <w:szCs w:val="24"/>
                <w:highlight w:val="none"/>
                <w:lang w:bidi="ar"/>
              </w:rPr>
              <w:t>系统网络拓扑中不同区域网络边界访问控制信息的完整性保护由云平台提供。</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云平台通过密评，已被完全评估。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安全接入认证</w:t>
            </w:r>
          </w:p>
        </w:tc>
        <w:tc>
          <w:tcPr>
            <w:tcW w:w="442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不适用。</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无外部设备接入本系统的需求。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密码服务</w:t>
            </w:r>
          </w:p>
        </w:tc>
        <w:tc>
          <w:tcPr>
            <w:tcW w:w="442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采用的数字证书由具备资质的电子认证服务机构签发。</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密码产品</w:t>
            </w:r>
          </w:p>
        </w:tc>
        <w:tc>
          <w:tcPr>
            <w:tcW w:w="4428" w:type="dxa"/>
            <w:shd w:val="clear" w:color="auto" w:fill="FFFFFF"/>
            <w:vAlign w:val="center"/>
          </w:tcPr>
          <w:p>
            <w:pPr>
              <w:wordWrap w:val="0"/>
              <w:textAlignment w:val="center"/>
              <w:rPr>
                <w:rFonts w:ascii="宋体" w:hAnsi="宋体" w:cs="宋体"/>
                <w:i/>
                <w:iCs/>
                <w:sz w:val="24"/>
                <w:szCs w:val="24"/>
                <w:highlight w:val="none"/>
              </w:rPr>
            </w:pPr>
            <w:r>
              <w:rPr>
                <w:rFonts w:hint="eastAsia" w:ascii="宋体" w:hAnsi="宋体" w:cs="宋体"/>
                <w:sz w:val="24"/>
                <w:szCs w:val="24"/>
                <w:highlight w:val="none"/>
              </w:rPr>
              <w:t>客户端采用的安全浏览器、密码模块（二级）、USBKey达到GB/T 37092二级安全要求。</w:t>
            </w:r>
          </w:p>
        </w:tc>
        <w:tc>
          <w:tcPr>
            <w:tcW w:w="1505" w:type="dxa"/>
            <w:shd w:val="clear" w:color="auto" w:fill="FFFFFF"/>
            <w:vAlign w:val="center"/>
          </w:tcPr>
          <w:p>
            <w:pPr>
              <w:wordWrap w:val="0"/>
              <w:textAlignment w:val="center"/>
              <w:rPr>
                <w:rFonts w:ascii="宋体" w:hAnsi="宋体" w:cs="宋体"/>
                <w:i/>
                <w:iCs/>
                <w:sz w:val="24"/>
                <w:szCs w:val="24"/>
                <w:highlight w:val="none"/>
              </w:rPr>
            </w:pPr>
            <w:r>
              <w:rPr>
                <w:rFonts w:hint="eastAsia" w:ascii="宋体" w:hAnsi="宋体" w:cs="宋体"/>
                <w:sz w:val="24"/>
                <w:szCs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textAlignment w:val="center"/>
              <w:rPr>
                <w:rFonts w:ascii="宋体" w:hAnsi="宋体" w:cs="宋体"/>
                <w:sz w:val="24"/>
                <w:szCs w:val="24"/>
                <w:highlight w:val="none"/>
                <w:lang w:bidi="ar"/>
              </w:rPr>
            </w:pPr>
          </w:p>
        </w:tc>
        <w:tc>
          <w:tcPr>
            <w:tcW w:w="637" w:type="dxa"/>
            <w:vMerge w:val="restart"/>
            <w:shd w:val="clear" w:color="auto" w:fill="FFFFFF"/>
            <w:vAlign w:val="center"/>
          </w:tcPr>
          <w:p>
            <w:pPr>
              <w:wordWrap w:val="0"/>
              <w:jc w:val="center"/>
              <w:textAlignment w:val="center"/>
              <w:rPr>
                <w:rFonts w:ascii="宋体" w:hAnsi="宋体" w:cs="宋体"/>
                <w:sz w:val="24"/>
                <w:szCs w:val="24"/>
                <w:highlight w:val="none"/>
              </w:rPr>
            </w:pPr>
            <w:r>
              <w:rPr>
                <w:rFonts w:hint="eastAsia" w:ascii="宋体" w:hAnsi="宋体" w:cs="宋体"/>
                <w:sz w:val="24"/>
                <w:szCs w:val="24"/>
                <w:highlight w:val="none"/>
                <w:lang w:bidi="ar"/>
              </w:rPr>
              <w:t>设备和计算安全</w:t>
            </w: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身份鉴别</w:t>
            </w:r>
          </w:p>
        </w:tc>
        <w:tc>
          <w:tcPr>
            <w:tcW w:w="4428" w:type="dxa"/>
            <w:shd w:val="clear" w:color="auto" w:fill="FFFFFF"/>
            <w:vAlign w:val="center"/>
          </w:tcPr>
          <w:p>
            <w:pPr>
              <w:rPr>
                <w:rFonts w:ascii="宋体" w:hAnsi="宋体" w:cs="宋体"/>
                <w:sz w:val="24"/>
                <w:szCs w:val="24"/>
                <w:highlight w:val="none"/>
              </w:rPr>
            </w:pPr>
            <w:r>
              <w:rPr>
                <w:rStyle w:val="36"/>
                <w:rFonts w:hint="default" w:ascii="宋体" w:hAnsi="宋体" w:eastAsia="宋体" w:cs="宋体"/>
                <w:color w:val="auto"/>
                <w:highlight w:val="none"/>
              </w:rPr>
              <w:t>管理员通过远程运维管理终端访问堡垒机、服务器虚拟机、数据库、密码服务时，对其身份真实性进行识别和确认， 防止假冒人员登录。</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远程管理通道安全</w:t>
            </w:r>
          </w:p>
        </w:tc>
        <w:tc>
          <w:tcPr>
            <w:tcW w:w="4428" w:type="dxa"/>
            <w:shd w:val="clear" w:color="auto" w:fill="FFFFFF"/>
            <w:vAlign w:val="center"/>
          </w:tcPr>
          <w:p>
            <w:pPr>
              <w:rPr>
                <w:rFonts w:ascii="宋体" w:hAnsi="宋体" w:cs="宋体"/>
                <w:sz w:val="24"/>
                <w:szCs w:val="24"/>
                <w:highlight w:val="none"/>
              </w:rPr>
            </w:pPr>
            <w:r>
              <w:rPr>
                <w:rStyle w:val="36"/>
                <w:rFonts w:hint="default" w:ascii="宋体" w:hAnsi="宋体" w:eastAsia="宋体" w:cs="宋体"/>
                <w:color w:val="auto"/>
                <w:highlight w:val="none"/>
              </w:rPr>
              <w:t>在设备实施远程运维管理时，对设备的运维管理通道进行保护，防止运维管理数据泄漏。</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系统资源访问控制信息完整性</w:t>
            </w:r>
          </w:p>
        </w:tc>
        <w:tc>
          <w:tcPr>
            <w:tcW w:w="442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保护服务器虚拟机、数据库等设备访问控制信息的完整性，防止被非授权篡改。</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重要信息资源安全标记完整性</w:t>
            </w:r>
          </w:p>
        </w:tc>
        <w:tc>
          <w:tcPr>
            <w:tcW w:w="442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不适用。</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设备没有安全标记。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日志记录完整性</w:t>
            </w:r>
          </w:p>
        </w:tc>
        <w:tc>
          <w:tcPr>
            <w:tcW w:w="4428" w:type="dxa"/>
            <w:shd w:val="clear" w:color="auto" w:fill="FFFFFF"/>
            <w:vAlign w:val="center"/>
          </w:tcPr>
          <w:p>
            <w:pPr>
              <w:rPr>
                <w:rFonts w:ascii="宋体" w:hAnsi="宋体" w:cs="宋体"/>
                <w:sz w:val="24"/>
                <w:szCs w:val="24"/>
                <w:highlight w:val="none"/>
              </w:rPr>
            </w:pPr>
            <w:r>
              <w:rPr>
                <w:rStyle w:val="36"/>
                <w:rFonts w:hint="default" w:ascii="宋体" w:hAnsi="宋体" w:eastAsia="宋体" w:cs="宋体"/>
                <w:color w:val="auto"/>
                <w:highlight w:val="none"/>
              </w:rPr>
              <w:t>保护系统中服务器虚拟机、数据库、密码服务的日志记录的完整性，防止被非授权篡改。</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重要可执行程序完整性、来源真实性</w:t>
            </w:r>
          </w:p>
        </w:tc>
        <w:tc>
          <w:tcPr>
            <w:tcW w:w="4428" w:type="dxa"/>
            <w:shd w:val="clear" w:color="auto" w:fill="FFFFFF"/>
            <w:vAlign w:val="center"/>
          </w:tcPr>
          <w:p>
            <w:pPr>
              <w:rPr>
                <w:rFonts w:ascii="宋体" w:hAnsi="宋体" w:cs="宋体"/>
                <w:sz w:val="24"/>
                <w:szCs w:val="24"/>
                <w:highlight w:val="none"/>
              </w:rPr>
            </w:pPr>
            <w:r>
              <w:rPr>
                <w:rStyle w:val="36"/>
                <w:rFonts w:hint="default" w:ascii="宋体" w:hAnsi="宋体" w:eastAsia="宋体" w:cs="宋体"/>
                <w:color w:val="auto"/>
                <w:highlight w:val="none"/>
              </w:rPr>
              <w:t>保护应用服务器等设备中部署的重要可执行程序的完整性和来源真实性，防止被非授权篡改。</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密码服务</w:t>
            </w:r>
          </w:p>
        </w:tc>
        <w:tc>
          <w:tcPr>
            <w:tcW w:w="442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采用的云密码服务由云平台提供。</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云平台通过密评，已被完全评估。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jc w:val="center"/>
              <w:rPr>
                <w:rFonts w:ascii="宋体" w:hAnsi="宋体" w:cs="宋体"/>
                <w:sz w:val="24"/>
                <w:szCs w:val="24"/>
                <w:highlight w:val="none"/>
              </w:rPr>
            </w:pPr>
          </w:p>
        </w:tc>
        <w:tc>
          <w:tcPr>
            <w:tcW w:w="637" w:type="dxa"/>
            <w:vMerge w:val="continue"/>
            <w:shd w:val="clear" w:color="auto" w:fill="FFFFFF"/>
            <w:vAlign w:val="center"/>
          </w:tcPr>
          <w:p>
            <w:pPr>
              <w:wordWrap w:val="0"/>
              <w:jc w:val="center"/>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密码产品</w:t>
            </w:r>
          </w:p>
        </w:tc>
        <w:tc>
          <w:tcPr>
            <w:tcW w:w="4428" w:type="dxa"/>
            <w:shd w:val="clear" w:color="auto" w:fill="FFFFFF"/>
            <w:vAlign w:val="center"/>
          </w:tcPr>
          <w:p>
            <w:pPr>
              <w:wordWrap w:val="0"/>
              <w:textAlignment w:val="center"/>
              <w:rPr>
                <w:rFonts w:ascii="宋体" w:hAnsi="宋体" w:cs="宋体"/>
                <w:i/>
                <w:iCs/>
                <w:sz w:val="24"/>
                <w:szCs w:val="24"/>
                <w:highlight w:val="none"/>
              </w:rPr>
            </w:pPr>
            <w:r>
              <w:rPr>
                <w:rFonts w:hint="eastAsia" w:ascii="宋体" w:hAnsi="宋体" w:cs="宋体"/>
                <w:sz w:val="24"/>
                <w:szCs w:val="24"/>
                <w:highlight w:val="none"/>
                <w:lang w:bidi="ar"/>
              </w:rPr>
              <w:t>服务端相关的密码产品由云平台提供安全保障。</w:t>
            </w:r>
          </w:p>
        </w:tc>
        <w:tc>
          <w:tcPr>
            <w:tcW w:w="1505" w:type="dxa"/>
            <w:shd w:val="clear" w:color="auto" w:fill="FFFFFF"/>
            <w:vAlign w:val="center"/>
          </w:tcPr>
          <w:p>
            <w:pPr>
              <w:wordWrap w:val="0"/>
              <w:textAlignment w:val="center"/>
              <w:rPr>
                <w:rFonts w:ascii="宋体" w:hAnsi="宋体" w:cs="宋体"/>
                <w:i/>
                <w:iCs/>
                <w:sz w:val="24"/>
                <w:szCs w:val="24"/>
                <w:highlight w:val="none"/>
              </w:rPr>
            </w:pPr>
            <w:r>
              <w:rPr>
                <w:rFonts w:hint="eastAsia" w:ascii="宋体" w:hAnsi="宋体" w:cs="宋体"/>
                <w:sz w:val="24"/>
                <w:szCs w:val="24"/>
                <w:highlight w:val="none"/>
                <w:lang w:bidi="ar"/>
              </w:rPr>
              <w:t>云平台通过密评，已被完全评估。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restart"/>
            <w:shd w:val="clear" w:color="auto" w:fill="FFFFFF"/>
          </w:tcPr>
          <w:p>
            <w:pPr>
              <w:jc w:val="center"/>
              <w:rPr>
                <w:rFonts w:ascii="宋体" w:hAnsi="宋体" w:cs="宋体"/>
                <w:sz w:val="24"/>
                <w:szCs w:val="24"/>
                <w:highlight w:val="none"/>
              </w:rPr>
            </w:pPr>
            <w:r>
              <w:rPr>
                <w:rStyle w:val="36"/>
                <w:rFonts w:hint="default" w:ascii="宋体" w:hAnsi="宋体" w:eastAsia="宋体" w:cs="宋体"/>
                <w:color w:val="auto"/>
                <w:highlight w:val="none"/>
              </w:rPr>
              <w:t>业 务应 用安全</w:t>
            </w:r>
          </w:p>
        </w:tc>
        <w:tc>
          <w:tcPr>
            <w:tcW w:w="637" w:type="dxa"/>
            <w:vMerge w:val="restart"/>
            <w:shd w:val="clear" w:color="auto" w:fill="FFFFFF"/>
            <w:vAlign w:val="center"/>
          </w:tcPr>
          <w:p>
            <w:pPr>
              <w:wordWrap w:val="0"/>
              <w:jc w:val="center"/>
              <w:textAlignment w:val="center"/>
              <w:rPr>
                <w:rFonts w:ascii="宋体" w:hAnsi="宋体" w:cs="宋体"/>
                <w:sz w:val="24"/>
                <w:szCs w:val="24"/>
                <w:highlight w:val="none"/>
              </w:rPr>
            </w:pPr>
            <w:r>
              <w:rPr>
                <w:rFonts w:hint="eastAsia" w:ascii="宋体" w:hAnsi="宋体" w:cs="宋体"/>
                <w:sz w:val="24"/>
                <w:szCs w:val="24"/>
                <w:highlight w:val="none"/>
                <w:lang w:bidi="ar"/>
              </w:rPr>
              <w:t>应用和数据安全</w:t>
            </w: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身份鉴别</w:t>
            </w:r>
          </w:p>
        </w:tc>
        <w:tc>
          <w:tcPr>
            <w:tcW w:w="4428" w:type="dxa"/>
            <w:shd w:val="clear" w:color="auto" w:fill="FFFFFF"/>
            <w:vAlign w:val="center"/>
          </w:tcPr>
          <w:p>
            <w:pPr>
              <w:rPr>
                <w:rFonts w:ascii="宋体" w:hAnsi="宋体" w:cs="宋体"/>
                <w:sz w:val="24"/>
                <w:szCs w:val="24"/>
                <w:highlight w:val="none"/>
              </w:rPr>
            </w:pPr>
            <w:r>
              <w:rPr>
                <w:rStyle w:val="36"/>
                <w:rFonts w:hint="default" w:ascii="宋体" w:hAnsi="宋体" w:eastAsia="宋体" w:cs="宋体"/>
                <w:color w:val="auto"/>
                <w:highlight w:val="none"/>
              </w:rPr>
              <w:t>确认应用系统用户身份的真实性，防止假冒人员登录。</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rPr>
                <w:rFonts w:ascii="宋体" w:hAnsi="宋体" w:cs="宋体"/>
                <w:sz w:val="24"/>
                <w:szCs w:val="24"/>
                <w:highlight w:val="none"/>
              </w:rPr>
            </w:pPr>
          </w:p>
        </w:tc>
        <w:tc>
          <w:tcPr>
            <w:tcW w:w="637" w:type="dxa"/>
            <w:vMerge w:val="continue"/>
            <w:shd w:val="clear" w:color="auto" w:fill="FFFFFF"/>
            <w:vAlign w:val="center"/>
          </w:tcPr>
          <w:p>
            <w:pPr>
              <w:wordWrap w:val="0"/>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访问控制信息完整性</w:t>
            </w:r>
          </w:p>
        </w:tc>
        <w:tc>
          <w:tcPr>
            <w:tcW w:w="442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对应用系统的访问权限控制列表进行完整性保护，防止被非授权篡改。</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rPr>
                <w:rFonts w:ascii="宋体" w:hAnsi="宋体" w:cs="宋体"/>
                <w:sz w:val="24"/>
                <w:szCs w:val="24"/>
                <w:highlight w:val="none"/>
              </w:rPr>
            </w:pPr>
          </w:p>
        </w:tc>
        <w:tc>
          <w:tcPr>
            <w:tcW w:w="637" w:type="dxa"/>
            <w:vMerge w:val="continue"/>
            <w:shd w:val="clear" w:color="auto" w:fill="FFFFFF"/>
            <w:vAlign w:val="center"/>
          </w:tcPr>
          <w:p>
            <w:pPr>
              <w:wordWrap w:val="0"/>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重要信息资源安全标记完整性</w:t>
            </w:r>
          </w:p>
        </w:tc>
        <w:tc>
          <w:tcPr>
            <w:tcW w:w="442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不适用。</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应用没有安全标记。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rPr>
                <w:rFonts w:ascii="宋体" w:hAnsi="宋体" w:cs="宋体"/>
                <w:sz w:val="24"/>
                <w:szCs w:val="24"/>
                <w:highlight w:val="none"/>
              </w:rPr>
            </w:pPr>
          </w:p>
        </w:tc>
        <w:tc>
          <w:tcPr>
            <w:tcW w:w="637" w:type="dxa"/>
            <w:vMerge w:val="continue"/>
            <w:shd w:val="clear" w:color="auto" w:fill="FFFFFF"/>
            <w:vAlign w:val="center"/>
          </w:tcPr>
          <w:p>
            <w:pPr>
              <w:wordWrap w:val="0"/>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重要数据传输机密性</w:t>
            </w:r>
          </w:p>
        </w:tc>
        <w:tc>
          <w:tcPr>
            <w:tcW w:w="4428" w:type="dxa"/>
            <w:vMerge w:val="restart"/>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保护</w:t>
            </w:r>
            <w:r>
              <w:rPr>
                <w:rFonts w:hint="eastAsia" w:ascii="宋体" w:hAnsi="宋体" w:cs="宋体"/>
                <w:i/>
                <w:iCs/>
                <w:sz w:val="24"/>
                <w:szCs w:val="24"/>
                <w:highlight w:val="none"/>
                <w:lang w:bidi="ar"/>
              </w:rPr>
              <w:t>PC端、移动端</w:t>
            </w:r>
            <w:r>
              <w:rPr>
                <w:rFonts w:hint="eastAsia" w:ascii="宋体" w:hAnsi="宋体" w:cs="宋体"/>
                <w:sz w:val="24"/>
                <w:szCs w:val="24"/>
                <w:highlight w:val="none"/>
                <w:lang w:bidi="ar"/>
              </w:rPr>
              <w:t>与服务端之间传输和存储的用户身份鉴别信息等重要数据的机密性和完整性，防止数据泄露给非授权的个人、进程等。保护系统业务日志数据的完整性，防止该数据被非授权篡改。</w:t>
            </w:r>
          </w:p>
        </w:tc>
        <w:tc>
          <w:tcPr>
            <w:tcW w:w="1505" w:type="dxa"/>
            <w:vMerge w:val="restart"/>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rPr>
                <w:rFonts w:ascii="宋体" w:hAnsi="宋体" w:cs="宋体"/>
                <w:sz w:val="24"/>
                <w:szCs w:val="24"/>
                <w:highlight w:val="none"/>
              </w:rPr>
            </w:pPr>
          </w:p>
        </w:tc>
        <w:tc>
          <w:tcPr>
            <w:tcW w:w="637" w:type="dxa"/>
            <w:vMerge w:val="continue"/>
            <w:shd w:val="clear" w:color="auto" w:fill="FFFFFF"/>
            <w:vAlign w:val="center"/>
          </w:tcPr>
          <w:p>
            <w:pPr>
              <w:wordWrap w:val="0"/>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重要数据存储机密性</w:t>
            </w:r>
          </w:p>
        </w:tc>
        <w:tc>
          <w:tcPr>
            <w:tcW w:w="4428" w:type="dxa"/>
            <w:vMerge w:val="continue"/>
            <w:shd w:val="clear" w:color="auto" w:fill="FFFFFF"/>
            <w:vAlign w:val="center"/>
          </w:tcPr>
          <w:p>
            <w:pPr>
              <w:wordWrap w:val="0"/>
              <w:rPr>
                <w:rFonts w:ascii="宋体" w:hAnsi="宋体" w:cs="宋体"/>
                <w:sz w:val="24"/>
                <w:szCs w:val="24"/>
                <w:highlight w:val="none"/>
              </w:rPr>
            </w:pPr>
          </w:p>
        </w:tc>
        <w:tc>
          <w:tcPr>
            <w:tcW w:w="1505" w:type="dxa"/>
            <w:vMerge w:val="continue"/>
            <w:shd w:val="clear" w:color="auto" w:fill="FFFFFF"/>
            <w:vAlign w:val="center"/>
          </w:tcPr>
          <w:p>
            <w:pPr>
              <w:wordWrap w:val="0"/>
              <w:rPr>
                <w:rFonts w:ascii="宋体" w:hAnsi="宋体" w:cs="宋体"/>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rPr>
                <w:rFonts w:ascii="宋体" w:hAnsi="宋体" w:cs="宋体"/>
                <w:sz w:val="24"/>
                <w:szCs w:val="24"/>
                <w:highlight w:val="none"/>
              </w:rPr>
            </w:pPr>
          </w:p>
        </w:tc>
        <w:tc>
          <w:tcPr>
            <w:tcW w:w="637" w:type="dxa"/>
            <w:vMerge w:val="continue"/>
            <w:shd w:val="clear" w:color="auto" w:fill="FFFFFF"/>
            <w:vAlign w:val="center"/>
          </w:tcPr>
          <w:p>
            <w:pPr>
              <w:wordWrap w:val="0"/>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重要数据传输完整性</w:t>
            </w:r>
          </w:p>
        </w:tc>
        <w:tc>
          <w:tcPr>
            <w:tcW w:w="4428" w:type="dxa"/>
            <w:vMerge w:val="continue"/>
            <w:shd w:val="clear" w:color="auto" w:fill="FFFFFF"/>
            <w:vAlign w:val="center"/>
          </w:tcPr>
          <w:p>
            <w:pPr>
              <w:wordWrap w:val="0"/>
              <w:rPr>
                <w:rFonts w:ascii="宋体" w:hAnsi="宋体" w:cs="宋体"/>
                <w:sz w:val="24"/>
                <w:szCs w:val="24"/>
                <w:highlight w:val="none"/>
              </w:rPr>
            </w:pPr>
          </w:p>
        </w:tc>
        <w:tc>
          <w:tcPr>
            <w:tcW w:w="1505" w:type="dxa"/>
            <w:vMerge w:val="continue"/>
            <w:shd w:val="clear" w:color="auto" w:fill="FFFFFF"/>
            <w:vAlign w:val="center"/>
          </w:tcPr>
          <w:p>
            <w:pPr>
              <w:wordWrap w:val="0"/>
              <w:rPr>
                <w:rFonts w:ascii="宋体" w:hAnsi="宋体" w:cs="宋体"/>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rPr>
                <w:rFonts w:ascii="宋体" w:hAnsi="宋体" w:cs="宋体"/>
                <w:sz w:val="24"/>
                <w:szCs w:val="24"/>
                <w:highlight w:val="none"/>
              </w:rPr>
            </w:pPr>
          </w:p>
        </w:tc>
        <w:tc>
          <w:tcPr>
            <w:tcW w:w="637" w:type="dxa"/>
            <w:vMerge w:val="continue"/>
            <w:shd w:val="clear" w:color="auto" w:fill="FFFFFF"/>
            <w:vAlign w:val="center"/>
          </w:tcPr>
          <w:p>
            <w:pPr>
              <w:wordWrap w:val="0"/>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lang w:bidi="ar"/>
              </w:rPr>
            </w:pPr>
            <w:r>
              <w:rPr>
                <w:rFonts w:hint="eastAsia" w:ascii="宋体" w:hAnsi="宋体" w:cs="宋体"/>
                <w:sz w:val="24"/>
                <w:szCs w:val="24"/>
                <w:highlight w:val="none"/>
                <w:lang w:bidi="ar"/>
              </w:rPr>
              <w:t>重要数据存储完整性</w:t>
            </w:r>
          </w:p>
        </w:tc>
        <w:tc>
          <w:tcPr>
            <w:tcW w:w="4428" w:type="dxa"/>
            <w:vMerge w:val="continue"/>
            <w:shd w:val="clear" w:color="auto" w:fill="FFFFFF"/>
            <w:vAlign w:val="center"/>
          </w:tcPr>
          <w:p>
            <w:pPr>
              <w:wordWrap w:val="0"/>
              <w:rPr>
                <w:rFonts w:ascii="宋体" w:hAnsi="宋体" w:cs="宋体"/>
                <w:sz w:val="24"/>
                <w:szCs w:val="24"/>
                <w:highlight w:val="none"/>
              </w:rPr>
            </w:pPr>
          </w:p>
        </w:tc>
        <w:tc>
          <w:tcPr>
            <w:tcW w:w="1505" w:type="dxa"/>
            <w:vMerge w:val="continue"/>
            <w:shd w:val="clear" w:color="auto" w:fill="FFFFFF"/>
            <w:vAlign w:val="center"/>
          </w:tcPr>
          <w:p>
            <w:pPr>
              <w:wordWrap w:val="0"/>
              <w:rPr>
                <w:rFonts w:ascii="宋体" w:hAnsi="宋体" w:cs="宋体"/>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rPr>
                <w:rFonts w:ascii="宋体" w:hAnsi="宋体" w:cs="宋体"/>
                <w:sz w:val="24"/>
                <w:szCs w:val="24"/>
                <w:highlight w:val="none"/>
              </w:rPr>
            </w:pPr>
          </w:p>
        </w:tc>
        <w:tc>
          <w:tcPr>
            <w:tcW w:w="637" w:type="dxa"/>
            <w:vMerge w:val="continue"/>
            <w:shd w:val="clear" w:color="auto" w:fill="FFFFFF"/>
            <w:vAlign w:val="center"/>
          </w:tcPr>
          <w:p>
            <w:pPr>
              <w:wordWrap w:val="0"/>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不可否认性</w:t>
            </w:r>
          </w:p>
        </w:tc>
        <w:tc>
          <w:tcPr>
            <w:tcW w:w="4428" w:type="dxa"/>
            <w:shd w:val="clear" w:color="auto" w:fill="FFFFFF"/>
            <w:vAlign w:val="center"/>
          </w:tcPr>
          <w:p>
            <w:pPr>
              <w:rPr>
                <w:rFonts w:ascii="宋体" w:hAnsi="宋体" w:cs="宋体"/>
                <w:sz w:val="24"/>
                <w:szCs w:val="24"/>
                <w:highlight w:val="none"/>
              </w:rPr>
            </w:pPr>
            <w:r>
              <w:rPr>
                <w:rStyle w:val="36"/>
                <w:rFonts w:hint="default" w:ascii="宋体" w:hAnsi="宋体" w:eastAsia="宋体" w:cs="宋体"/>
                <w:color w:val="auto"/>
                <w:highlight w:val="none"/>
              </w:rPr>
              <w:t>保护系统中流转的电子公文数据的不可否认性， 确保发送方对已经发生的操作行为无法否认。</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rPr>
                <w:rFonts w:ascii="宋体" w:hAnsi="宋体" w:cs="宋体"/>
                <w:sz w:val="24"/>
                <w:szCs w:val="24"/>
                <w:highlight w:val="none"/>
              </w:rPr>
            </w:pPr>
          </w:p>
        </w:tc>
        <w:tc>
          <w:tcPr>
            <w:tcW w:w="637" w:type="dxa"/>
            <w:vMerge w:val="continue"/>
            <w:shd w:val="clear" w:color="auto" w:fill="FFFFFF"/>
            <w:vAlign w:val="center"/>
          </w:tcPr>
          <w:p>
            <w:pPr>
              <w:wordWrap w:val="0"/>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密码服务</w:t>
            </w:r>
          </w:p>
        </w:tc>
        <w:tc>
          <w:tcPr>
            <w:tcW w:w="442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采用的数字证书由具备资质的电子认证服务机构签发。</w:t>
            </w:r>
          </w:p>
        </w:tc>
        <w:tc>
          <w:tcPr>
            <w:tcW w:w="1505"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3" w:type="dxa"/>
            <w:vMerge w:val="continue"/>
            <w:shd w:val="clear" w:color="auto" w:fill="FFFFFF"/>
          </w:tcPr>
          <w:p>
            <w:pPr>
              <w:wordWrap w:val="0"/>
              <w:rPr>
                <w:rFonts w:ascii="宋体" w:hAnsi="宋体" w:cs="宋体"/>
                <w:sz w:val="24"/>
                <w:szCs w:val="24"/>
                <w:highlight w:val="none"/>
              </w:rPr>
            </w:pPr>
          </w:p>
        </w:tc>
        <w:tc>
          <w:tcPr>
            <w:tcW w:w="637" w:type="dxa"/>
            <w:vMerge w:val="continue"/>
            <w:shd w:val="clear" w:color="auto" w:fill="FFFFFF"/>
            <w:vAlign w:val="center"/>
          </w:tcPr>
          <w:p>
            <w:pPr>
              <w:wordWrap w:val="0"/>
              <w:rPr>
                <w:rFonts w:ascii="宋体" w:hAnsi="宋体" w:cs="宋体"/>
                <w:sz w:val="24"/>
                <w:szCs w:val="24"/>
                <w:highlight w:val="none"/>
              </w:rPr>
            </w:pPr>
          </w:p>
        </w:tc>
        <w:tc>
          <w:tcPr>
            <w:tcW w:w="2078" w:type="dxa"/>
            <w:shd w:val="clear" w:color="auto" w:fill="FFFFFF"/>
            <w:vAlign w:val="center"/>
          </w:tcPr>
          <w:p>
            <w:pPr>
              <w:wordWrap w:val="0"/>
              <w:textAlignment w:val="center"/>
              <w:rPr>
                <w:rFonts w:ascii="宋体" w:hAnsi="宋体" w:cs="宋体"/>
                <w:sz w:val="24"/>
                <w:szCs w:val="24"/>
                <w:highlight w:val="none"/>
              </w:rPr>
            </w:pPr>
            <w:r>
              <w:rPr>
                <w:rFonts w:hint="eastAsia" w:ascii="宋体" w:hAnsi="宋体" w:cs="宋体"/>
                <w:sz w:val="24"/>
                <w:szCs w:val="24"/>
                <w:highlight w:val="none"/>
                <w:lang w:bidi="ar"/>
              </w:rPr>
              <w:t>密码产品</w:t>
            </w:r>
          </w:p>
        </w:tc>
        <w:tc>
          <w:tcPr>
            <w:tcW w:w="4428" w:type="dxa"/>
            <w:shd w:val="clear" w:color="auto" w:fill="FFFFFF"/>
            <w:vAlign w:val="center"/>
          </w:tcPr>
          <w:p>
            <w:pPr>
              <w:wordWrap w:val="0"/>
              <w:textAlignment w:val="center"/>
              <w:rPr>
                <w:rFonts w:ascii="宋体" w:hAnsi="宋体" w:cs="宋体"/>
                <w:i/>
                <w:iCs/>
                <w:sz w:val="24"/>
                <w:szCs w:val="24"/>
                <w:highlight w:val="none"/>
              </w:rPr>
            </w:pPr>
            <w:r>
              <w:rPr>
                <w:rFonts w:hint="eastAsia" w:ascii="宋体" w:hAnsi="宋体" w:cs="宋体"/>
                <w:sz w:val="24"/>
                <w:szCs w:val="24"/>
                <w:highlight w:val="none"/>
                <w:lang w:bidi="ar"/>
              </w:rPr>
              <w:t>服务端相关的密码产品由云平台提供安全保障。</w:t>
            </w:r>
          </w:p>
        </w:tc>
        <w:tc>
          <w:tcPr>
            <w:tcW w:w="1505" w:type="dxa"/>
            <w:shd w:val="clear" w:color="auto" w:fill="FFFFFF"/>
            <w:vAlign w:val="center"/>
          </w:tcPr>
          <w:p>
            <w:pPr>
              <w:wordWrap w:val="0"/>
              <w:textAlignment w:val="center"/>
              <w:rPr>
                <w:rFonts w:ascii="宋体" w:hAnsi="宋体" w:cs="宋体"/>
                <w:i/>
                <w:iCs/>
                <w:sz w:val="24"/>
                <w:szCs w:val="24"/>
                <w:highlight w:val="none"/>
              </w:rPr>
            </w:pPr>
            <w:r>
              <w:rPr>
                <w:rFonts w:hint="eastAsia" w:ascii="宋体" w:hAnsi="宋体" w:cs="宋体"/>
                <w:sz w:val="24"/>
                <w:szCs w:val="24"/>
                <w:highlight w:val="none"/>
                <w:lang w:bidi="ar"/>
              </w:rPr>
              <w:t>云平台通过密评，已被完全评估。</w:t>
            </w:r>
          </w:p>
        </w:tc>
      </w:tr>
    </w:tbl>
    <w:p>
      <w:pPr>
        <w:spacing w:line="360" w:lineRule="auto"/>
        <w:rPr>
          <w:rFonts w:ascii="宋体" w:hAnsi="宋体"/>
          <w:sz w:val="24"/>
          <w:szCs w:val="24"/>
          <w:highlight w:val="none"/>
        </w:rPr>
      </w:pPr>
    </w:p>
    <w:p>
      <w:pPr>
        <w:spacing w:line="360" w:lineRule="auto"/>
        <w:outlineLvl w:val="1"/>
        <w:rPr>
          <w:rFonts w:ascii="宋体" w:hAnsi="宋体"/>
          <w:b/>
          <w:bCs/>
          <w:sz w:val="24"/>
          <w:szCs w:val="24"/>
          <w:highlight w:val="none"/>
        </w:rPr>
      </w:pPr>
      <w:bookmarkStart w:id="26" w:name="_Toc63785512"/>
      <w:r>
        <w:rPr>
          <w:rFonts w:hint="eastAsia" w:ascii="宋体" w:hAnsi="宋体"/>
          <w:b/>
          <w:bCs/>
          <w:sz w:val="24"/>
          <w:szCs w:val="24"/>
          <w:highlight w:val="none"/>
        </w:rPr>
        <w:t>5</w:t>
      </w:r>
      <w:r>
        <w:rPr>
          <w:rFonts w:ascii="宋体" w:hAnsi="宋体"/>
          <w:b/>
          <w:bCs/>
          <w:sz w:val="24"/>
          <w:szCs w:val="24"/>
          <w:highlight w:val="none"/>
        </w:rPr>
        <w:t>.10</w:t>
      </w:r>
      <w:r>
        <w:rPr>
          <w:rFonts w:hint="eastAsia" w:ascii="宋体" w:hAnsi="宋体"/>
          <w:b/>
          <w:bCs/>
          <w:sz w:val="24"/>
          <w:szCs w:val="24"/>
          <w:highlight w:val="none"/>
        </w:rPr>
        <w:t>、技术文件要求</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投标人提供的书面技术资料应能确保系统正常运行所需的管理、运营及维护有关的全套文件。技术文件应该全面、完整、详细。投标人提供的技术文件至少应包括：</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系统说明文件；</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2、</w:t>
      </w:r>
      <w:r>
        <w:rPr>
          <w:rFonts w:ascii="宋体" w:hAnsi="宋体"/>
          <w:sz w:val="24"/>
          <w:szCs w:val="24"/>
          <w:highlight w:val="none"/>
        </w:rPr>
        <w:t xml:space="preserve">技术手册(安装、测试、操作、维护、故障排除等)； </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3、</w:t>
      </w:r>
      <w:r>
        <w:rPr>
          <w:rFonts w:ascii="宋体" w:hAnsi="宋体"/>
          <w:sz w:val="24"/>
          <w:szCs w:val="24"/>
          <w:highlight w:val="none"/>
        </w:rPr>
        <w:t>项目文档，应该包括：</w:t>
      </w:r>
      <w:bookmarkStart w:id="28" w:name="_GoBack"/>
      <w:bookmarkEnd w:id="28"/>
    </w:p>
    <w:p>
      <w:pPr>
        <w:spacing w:line="360" w:lineRule="auto"/>
        <w:ind w:firstLine="480" w:firstLineChars="200"/>
        <w:rPr>
          <w:rFonts w:ascii="宋体" w:hAnsi="宋体"/>
          <w:sz w:val="24"/>
          <w:szCs w:val="24"/>
          <w:highlight w:val="none"/>
        </w:rPr>
      </w:pPr>
      <w:r>
        <w:rPr>
          <w:rFonts w:ascii="宋体" w:hAnsi="宋体"/>
          <w:sz w:val="24"/>
          <w:szCs w:val="24"/>
          <w:highlight w:val="none"/>
        </w:rPr>
        <w:t>(1)软件需求说明书</w:t>
      </w:r>
    </w:p>
    <w:p>
      <w:pPr>
        <w:spacing w:line="360" w:lineRule="auto"/>
        <w:ind w:firstLine="480" w:firstLineChars="200"/>
        <w:rPr>
          <w:rFonts w:ascii="宋体" w:hAnsi="宋体"/>
          <w:sz w:val="24"/>
          <w:szCs w:val="24"/>
          <w:highlight w:val="none"/>
        </w:rPr>
      </w:pPr>
      <w:r>
        <w:rPr>
          <w:rFonts w:ascii="宋体" w:hAnsi="宋体"/>
          <w:sz w:val="24"/>
          <w:szCs w:val="24"/>
          <w:highlight w:val="none"/>
        </w:rPr>
        <w:t>(2)系统总体设计说明书</w:t>
      </w:r>
    </w:p>
    <w:p>
      <w:pPr>
        <w:spacing w:line="360" w:lineRule="auto"/>
        <w:ind w:firstLine="480" w:firstLineChars="200"/>
        <w:rPr>
          <w:rFonts w:ascii="宋体" w:hAnsi="宋体"/>
          <w:sz w:val="24"/>
          <w:szCs w:val="24"/>
          <w:highlight w:val="none"/>
        </w:rPr>
      </w:pPr>
      <w:r>
        <w:rPr>
          <w:rFonts w:ascii="宋体" w:hAnsi="宋体"/>
          <w:sz w:val="24"/>
          <w:szCs w:val="24"/>
          <w:highlight w:val="none"/>
        </w:rPr>
        <w:t>(3)应用软件功能清单</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提供全套技术文件纸介质</w:t>
      </w:r>
      <w:r>
        <w:rPr>
          <w:rFonts w:ascii="宋体" w:hAnsi="宋体"/>
          <w:sz w:val="24"/>
          <w:szCs w:val="24"/>
          <w:highlight w:val="none"/>
        </w:rPr>
        <w:t>3套以及电子文件1套。</w:t>
      </w:r>
    </w:p>
    <w:p>
      <w:pPr>
        <w:spacing w:line="360" w:lineRule="auto"/>
        <w:outlineLvl w:val="1"/>
        <w:rPr>
          <w:rFonts w:ascii="宋体" w:hAnsi="宋体"/>
          <w:b/>
          <w:bCs/>
          <w:sz w:val="24"/>
          <w:szCs w:val="24"/>
          <w:highlight w:val="none"/>
        </w:rPr>
      </w:pPr>
      <w:r>
        <w:rPr>
          <w:rFonts w:hint="eastAsia" w:ascii="宋体" w:hAnsi="宋体"/>
          <w:b/>
          <w:bCs/>
          <w:sz w:val="24"/>
          <w:szCs w:val="24"/>
          <w:highlight w:val="none"/>
        </w:rPr>
        <w:t>5</w:t>
      </w:r>
      <w:r>
        <w:rPr>
          <w:rFonts w:ascii="宋体" w:hAnsi="宋体"/>
          <w:b/>
          <w:bCs/>
          <w:sz w:val="24"/>
          <w:szCs w:val="24"/>
          <w:highlight w:val="none"/>
        </w:rPr>
        <w:t>.11</w:t>
      </w:r>
      <w:r>
        <w:rPr>
          <w:rFonts w:hint="eastAsia" w:ascii="宋体" w:hAnsi="宋体"/>
          <w:b/>
          <w:bCs/>
          <w:sz w:val="24"/>
          <w:szCs w:val="24"/>
          <w:highlight w:val="none"/>
        </w:rPr>
        <w:t>、其他要求</w:t>
      </w:r>
    </w:p>
    <w:p>
      <w:pPr>
        <w:spacing w:line="360" w:lineRule="auto"/>
        <w:ind w:firstLine="480" w:firstLineChars="200"/>
        <w:rPr>
          <w:rFonts w:ascii="宋体" w:hAnsi="宋体"/>
          <w:sz w:val="24"/>
          <w:szCs w:val="24"/>
          <w:highlight w:val="none"/>
        </w:rPr>
      </w:pPr>
      <w:r>
        <w:rPr>
          <w:rFonts w:hint="eastAsia" w:ascii="宋体" w:hAnsi="宋体"/>
          <w:sz w:val="24"/>
          <w:szCs w:val="24"/>
          <w:highlight w:val="none"/>
        </w:rPr>
        <w:t>根据市大数据中心要求，做好系统数据库的管理规范化、数据标准化、完成数据编目和数据上链工作；按照中心的统一管理要求，做好</w:t>
      </w:r>
      <w:r>
        <w:rPr>
          <w:rFonts w:hint="eastAsia" w:ascii="宋体" w:hAnsi="宋体" w:cs="宋体"/>
          <w:sz w:val="24"/>
          <w:szCs w:val="24"/>
          <w:highlight w:val="none"/>
        </w:rPr>
        <w:t>城管执法指挥监管平台</w:t>
      </w:r>
      <w:r>
        <w:rPr>
          <w:rFonts w:hint="eastAsia" w:ascii="宋体" w:hAnsi="宋体"/>
          <w:sz w:val="24"/>
          <w:szCs w:val="24"/>
          <w:highlight w:val="none"/>
        </w:rPr>
        <w:t>相关前期系统的运维工作，确保系统安全、稳定运行，确保数据安全，满足业务部门需求。</w:t>
      </w:r>
    </w:p>
    <w:p>
      <w:pPr>
        <w:spacing w:line="360" w:lineRule="auto"/>
        <w:outlineLvl w:val="0"/>
        <w:rPr>
          <w:rFonts w:ascii="宋体" w:hAnsi="宋体"/>
          <w:b/>
          <w:bCs/>
          <w:sz w:val="24"/>
          <w:szCs w:val="24"/>
          <w:highlight w:val="none"/>
        </w:rPr>
      </w:pPr>
      <w:r>
        <w:rPr>
          <w:rFonts w:hint="eastAsia" w:ascii="宋体" w:hAnsi="宋体"/>
          <w:sz w:val="24"/>
          <w:szCs w:val="24"/>
          <w:highlight w:val="none"/>
        </w:rPr>
        <w:t>六</w:t>
      </w:r>
      <w:r>
        <w:rPr>
          <w:rFonts w:hint="eastAsia" w:ascii="宋体" w:hAnsi="宋体"/>
          <w:b/>
          <w:bCs/>
          <w:sz w:val="24"/>
          <w:szCs w:val="24"/>
          <w:highlight w:val="none"/>
        </w:rPr>
        <w:t>、供应商管理要求</w:t>
      </w:r>
      <w:bookmarkEnd w:id="26"/>
    </w:p>
    <w:p>
      <w:pPr>
        <w:pStyle w:val="27"/>
        <w:ind w:firstLine="480"/>
        <w:rPr>
          <w:sz w:val="24"/>
          <w:szCs w:val="24"/>
          <w:highlight w:val="none"/>
        </w:rPr>
      </w:pPr>
      <w:r>
        <w:rPr>
          <w:rFonts w:hint="eastAsia"/>
          <w:sz w:val="24"/>
          <w:szCs w:val="24"/>
          <w:highlight w:val="none"/>
        </w:rPr>
        <w:t>1、在项目实施期间，成交人应严格执行国家、地方、行业有关本项目业务管理和安全作业的法律、法规和制度并按规定承担相应的费用。成交人因违反规定等原因造成的一切损失和责任由成交人自行承担。</w:t>
      </w:r>
    </w:p>
    <w:p>
      <w:pPr>
        <w:pStyle w:val="27"/>
        <w:ind w:firstLine="480"/>
        <w:rPr>
          <w:sz w:val="24"/>
          <w:szCs w:val="24"/>
          <w:highlight w:val="none"/>
        </w:rPr>
      </w:pPr>
      <w:r>
        <w:rPr>
          <w:rFonts w:hint="eastAsia"/>
          <w:sz w:val="24"/>
          <w:szCs w:val="24"/>
          <w:highlight w:val="none"/>
        </w:rPr>
        <w:t>2、成交人在响应文件中承诺并经采购人认定的项目负责人及专业技术人员必须是本单位职工（在本单位缴纳社会保障金）和该项目实施现场的实际操作者，应具有类似本项目的实施经验，并应在软件应用调研、安装、试运行等期间常驻项目现场。未经采购人同意，成交人不得调换或撤离上述人员。如采购人认为有必要，可要求成交人对上述人员中的部分人员作出更好的调整。</w:t>
      </w:r>
    </w:p>
    <w:p>
      <w:pPr>
        <w:pStyle w:val="27"/>
        <w:ind w:firstLine="480"/>
        <w:rPr>
          <w:sz w:val="24"/>
          <w:szCs w:val="24"/>
          <w:highlight w:val="none"/>
        </w:rPr>
      </w:pPr>
      <w:r>
        <w:rPr>
          <w:rFonts w:hint="eastAsia"/>
          <w:sz w:val="24"/>
          <w:szCs w:val="24"/>
          <w:highlight w:val="none"/>
        </w:rPr>
        <w:t>3、成交人在项目实施期间，应按项目实际进度与环节落实所对应项目整体及各环节管理工作，按照规范做好项目实施期间相关管理与实施记录。</w:t>
      </w:r>
    </w:p>
    <w:p>
      <w:pPr>
        <w:pStyle w:val="27"/>
        <w:ind w:firstLine="480"/>
        <w:rPr>
          <w:sz w:val="24"/>
          <w:szCs w:val="24"/>
          <w:highlight w:val="none"/>
        </w:rPr>
      </w:pPr>
      <w:r>
        <w:rPr>
          <w:rFonts w:hint="eastAsia"/>
          <w:sz w:val="24"/>
          <w:szCs w:val="24"/>
          <w:highlight w:val="none"/>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pPr>
        <w:pStyle w:val="27"/>
        <w:ind w:firstLine="480"/>
        <w:rPr>
          <w:sz w:val="24"/>
          <w:szCs w:val="24"/>
          <w:highlight w:val="none"/>
        </w:rPr>
      </w:pPr>
      <w:r>
        <w:rPr>
          <w:rFonts w:hint="eastAsia"/>
          <w:sz w:val="24"/>
          <w:szCs w:val="24"/>
          <w:highlight w:val="none"/>
        </w:rPr>
        <w:t>5、成交人在项目实施期间必须遵守采购人的规章制度并提供实施人员名单。</w:t>
      </w:r>
    </w:p>
    <w:p>
      <w:pPr>
        <w:pStyle w:val="27"/>
        <w:ind w:firstLine="480"/>
        <w:rPr>
          <w:sz w:val="24"/>
          <w:szCs w:val="24"/>
          <w:highlight w:val="none"/>
        </w:rPr>
      </w:pPr>
      <w:r>
        <w:rPr>
          <w:rFonts w:hint="eastAsia"/>
          <w:sz w:val="24"/>
          <w:szCs w:val="24"/>
          <w:highlight w:val="none"/>
        </w:rPr>
        <w:t>6、各投标人在响应文件中要结合本项目的特点和采购人上述的具体要求制定相应的管理措施，并在报价中列支相应的费用清单，投标人报价中未列支上述费用清单的，上述费用视为已包含在投标人的投标总报价中。</w:t>
      </w:r>
    </w:p>
    <w:p>
      <w:pPr>
        <w:pStyle w:val="27"/>
        <w:ind w:firstLine="480"/>
        <w:rPr>
          <w:sz w:val="24"/>
          <w:szCs w:val="24"/>
          <w:highlight w:val="none"/>
        </w:rPr>
      </w:pPr>
      <w:r>
        <w:rPr>
          <w:rFonts w:hint="eastAsia"/>
          <w:sz w:val="24"/>
          <w:szCs w:val="24"/>
          <w:highlight w:val="none"/>
        </w:rPr>
        <w:t>7、本项目软件开发及调试将纳入采购人的管理范围，成交人在此过程中须服从上述单位的管理协调。</w:t>
      </w:r>
    </w:p>
    <w:p>
      <w:pPr>
        <w:pStyle w:val="27"/>
        <w:ind w:firstLine="480"/>
        <w:rPr>
          <w:sz w:val="24"/>
          <w:szCs w:val="24"/>
          <w:highlight w:val="none"/>
        </w:rPr>
      </w:pPr>
      <w:r>
        <w:rPr>
          <w:rFonts w:hint="eastAsia"/>
          <w:sz w:val="24"/>
          <w:szCs w:val="24"/>
          <w:highlight w:val="none"/>
        </w:rPr>
        <w:t>8、优先考虑</w:t>
      </w:r>
      <w:bookmarkStart w:id="27" w:name="_Toc63785513"/>
      <w:r>
        <w:rPr>
          <w:rFonts w:hint="eastAsia"/>
          <w:sz w:val="24"/>
          <w:szCs w:val="24"/>
          <w:highlight w:val="none"/>
        </w:rPr>
        <w:t>具有信息安全管理体系认证(GB/T22080-2016或ISO/IEC 27001:2013 认证)、质量管理体系认证(GB/T19001-2016或IS0 9001:2015 认证)、信息技术服务管理体系认证（ISO/IEC20000:2018认证）并在有效期内的供应商</w:t>
      </w:r>
    </w:p>
    <w:p>
      <w:pPr>
        <w:pStyle w:val="27"/>
        <w:ind w:firstLine="480"/>
        <w:rPr>
          <w:sz w:val="24"/>
          <w:szCs w:val="24"/>
          <w:highlight w:val="none"/>
        </w:rPr>
      </w:pPr>
      <w:r>
        <w:rPr>
          <w:rFonts w:hint="eastAsia"/>
          <w:sz w:val="24"/>
          <w:szCs w:val="24"/>
          <w:highlight w:val="none"/>
        </w:rPr>
        <w:t>9、优先考虑具有与本项目主要建设内容业务相关的应用软件著作权登记证书的供应商，与本项目建设内容相关的包括：</w:t>
      </w:r>
      <w:r>
        <w:rPr>
          <w:rFonts w:hint="eastAsia"/>
          <w:sz w:val="24"/>
          <w:szCs w:val="24"/>
          <w:highlight w:val="none"/>
          <w:lang w:eastAsia="zh-CN"/>
        </w:rPr>
        <w:t>违</w:t>
      </w:r>
      <w:r>
        <w:rPr>
          <w:rFonts w:hint="eastAsia"/>
          <w:sz w:val="24"/>
          <w:szCs w:val="24"/>
          <w:highlight w:val="none"/>
        </w:rPr>
        <w:t>法建筑管理类、执法督察管理类、执法勤务管理类、管执联动管理类、诉件处置管理类、建筑垃圾联合执法管理类。</w:t>
      </w:r>
    </w:p>
    <w:bookmarkEnd w:id="27"/>
    <w:p>
      <w:pPr>
        <w:rPr>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Arial Unicode MS"/>
    <w:panose1 w:val="02010609060101010101"/>
    <w:charset w:val="86"/>
    <w:family w:val="modern"/>
    <w:pitch w:val="default"/>
    <w:sig w:usb0="00000000" w:usb1="00000000" w:usb2="00000016" w:usb3="00000000" w:csb0="00040001" w:csb1="00000000"/>
  </w:font>
  <w:font w:name="Arial Unicode MS">
    <w:panose1 w:val="020B0604020202020204"/>
    <w:charset w:val="86"/>
    <w:family w:val="auto"/>
    <w:pitch w:val="default"/>
    <w:sig w:usb0="FFFFFFFF" w:usb1="E9FFFFFF" w:usb2="0000003F" w:usb3="00000000" w:csb0="601F00FF" w:csb1="FFFF0000"/>
  </w:font>
  <w:font w:name="微软雅黑">
    <w:panose1 w:val="020B0503020204020204"/>
    <w:charset w:val="86"/>
    <w:family w:val="auto"/>
    <w:pitch w:val="default"/>
    <w:sig w:usb0="80000287" w:usb1="2A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FF2E46"/>
    <w:multiLevelType w:val="singleLevel"/>
    <w:tmpl w:val="FDFF2E46"/>
    <w:lvl w:ilvl="0" w:tentative="0">
      <w:start w:val="1"/>
      <w:numFmt w:val="decimal"/>
      <w:lvlText w:val="%1."/>
      <w:lvlJc w:val="left"/>
      <w:pPr>
        <w:tabs>
          <w:tab w:val="left" w:pos="312"/>
        </w:tabs>
      </w:pPr>
    </w:lvl>
  </w:abstractNum>
  <w:abstractNum w:abstractNumId="1">
    <w:nsid w:val="3CBC9044"/>
    <w:multiLevelType w:val="singleLevel"/>
    <w:tmpl w:val="3CBC9044"/>
    <w:lvl w:ilvl="0" w:tentative="0">
      <w:start w:val="1"/>
      <w:numFmt w:val="bullet"/>
      <w:lvlText w:val=""/>
      <w:lvlJc w:val="left"/>
      <w:pPr>
        <w:ind w:left="987" w:hanging="420"/>
      </w:pPr>
      <w:rPr>
        <w:rFonts w:hint="default" w:ascii="Wingdings" w:hAnsi="Wingdings"/>
      </w:rPr>
    </w:lvl>
  </w:abstractNum>
  <w:abstractNum w:abstractNumId="2">
    <w:nsid w:val="444861EB"/>
    <w:multiLevelType w:val="multilevel"/>
    <w:tmpl w:val="444861EB"/>
    <w:lvl w:ilvl="0" w:tentative="0">
      <w:start w:val="1"/>
      <w:numFmt w:val="chineseCountingThousand"/>
      <w:pStyle w:val="3"/>
      <w:lvlText w:val="第%1章"/>
      <w:lvlJc w:val="left"/>
      <w:pPr>
        <w:ind w:left="0" w:firstLine="0"/>
      </w:pPr>
      <w:rPr>
        <w:rFonts w:hint="eastAsia" w:ascii="Times New Roman" w:hAnsi="Times New Roman" w:eastAsia="黑体"/>
        <w:b w:val="0"/>
        <w:i w:val="0"/>
        <w:sz w:val="28"/>
      </w:rPr>
    </w:lvl>
    <w:lvl w:ilvl="1" w:tentative="0">
      <w:start w:val="1"/>
      <w:numFmt w:val="decimal"/>
      <w:pStyle w:val="4"/>
      <w:lvlText w:val="%2"/>
      <w:lvlJc w:val="left"/>
      <w:pPr>
        <w:ind w:left="0" w:firstLine="0"/>
      </w:pPr>
      <w:rPr>
        <w:rFonts w:hint="eastAsia" w:ascii="Times New Roman" w:hAnsi="Times New Roman" w:eastAsia="黑体"/>
        <w:b w:val="0"/>
        <w:i w:val="0"/>
        <w:sz w:val="28"/>
      </w:rPr>
    </w:lvl>
    <w:lvl w:ilvl="2" w:tentative="0">
      <w:start w:val="1"/>
      <w:numFmt w:val="decimal"/>
      <w:pStyle w:val="5"/>
      <w:lvlText w:val="%2.%3"/>
      <w:lvlJc w:val="left"/>
      <w:pPr>
        <w:ind w:left="0" w:firstLine="0"/>
      </w:pPr>
      <w:rPr>
        <w:rFonts w:hint="eastAsia" w:ascii="Times New Roman" w:hAnsi="Times New Roman" w:eastAsia="宋体"/>
        <w:b/>
        <w:i w:val="0"/>
        <w:sz w:val="24"/>
      </w:rPr>
    </w:lvl>
    <w:lvl w:ilvl="3" w:tentative="0">
      <w:start w:val="1"/>
      <w:numFmt w:val="decimal"/>
      <w:pStyle w:val="6"/>
      <w:lvlText w:val="%2.%3.%4"/>
      <w:lvlJc w:val="left"/>
      <w:pPr>
        <w:ind w:left="0" w:firstLine="0"/>
      </w:pPr>
      <w:rPr>
        <w:rFonts w:hint="eastAsia" w:ascii="Times New Roman" w:hAnsi="Times New Roman" w:eastAsia="宋体"/>
        <w:b/>
        <w:i w:val="0"/>
        <w:sz w:val="24"/>
      </w:rPr>
    </w:lvl>
    <w:lvl w:ilvl="4" w:tentative="0">
      <w:start w:val="1"/>
      <w:numFmt w:val="decimal"/>
      <w:pStyle w:val="7"/>
      <w:lvlText w:val="%2.%3.%4.%5"/>
      <w:lvlJc w:val="left"/>
      <w:pPr>
        <w:ind w:left="1008" w:hanging="1008"/>
      </w:pPr>
      <w:rPr>
        <w:rFonts w:hint="eastAsia" w:ascii="Times New Roman" w:hAnsi="Times New Roman" w:eastAsia="宋体"/>
        <w:b/>
        <w:i w:val="0"/>
        <w:sz w:val="24"/>
      </w:rPr>
    </w:lvl>
    <w:lvl w:ilvl="5" w:tentative="0">
      <w:start w:val="1"/>
      <w:numFmt w:val="decimal"/>
      <w:pStyle w:val="8"/>
      <w:lvlText w:val="%2.%3.%4.%5.%6"/>
      <w:lvlJc w:val="left"/>
      <w:pPr>
        <w:ind w:left="1152" w:hanging="1152"/>
      </w:pPr>
      <w:rPr>
        <w:rFonts w:hint="eastAsia" w:ascii="Times New Roman" w:hAnsi="Times New Roman" w:eastAsia="宋体"/>
        <w:b/>
        <w:bCs w:val="0"/>
        <w:i w:val="0"/>
        <w:sz w:val="24"/>
        <w:szCs w:val="24"/>
      </w:rPr>
    </w:lvl>
    <w:lvl w:ilvl="6" w:tentative="0">
      <w:start w:val="1"/>
      <w:numFmt w:val="decimal"/>
      <w:pStyle w:val="9"/>
      <w:lvlText w:val="%2.%3.%4.%5.%6.%7"/>
      <w:lvlJc w:val="left"/>
      <w:pPr>
        <w:ind w:left="2016" w:hanging="1296"/>
      </w:pPr>
      <w:rPr>
        <w:rFonts w:hint="eastAsia" w:ascii="Times New Roman" w:hAnsi="Times New Roman" w:eastAsia="宋体"/>
        <w:b/>
        <w:i w:val="0"/>
        <w:sz w:val="21"/>
        <w:szCs w:val="21"/>
      </w:rPr>
    </w:lvl>
    <w:lvl w:ilvl="7" w:tentative="0">
      <w:start w:val="1"/>
      <w:numFmt w:val="decimal"/>
      <w:pStyle w:val="10"/>
      <w:lvlText w:val="%2.%3.%4.%5.%6.%7.%8"/>
      <w:lvlJc w:val="left"/>
      <w:pPr>
        <w:ind w:left="1440" w:hanging="1440"/>
      </w:pPr>
      <w:rPr>
        <w:rFonts w:hint="eastAsia" w:ascii="Times New Roman" w:hAnsi="Times New Roman" w:eastAsia="宋体"/>
        <w:b/>
        <w:i w:val="0"/>
        <w:sz w:val="24"/>
      </w:rPr>
    </w:lvl>
    <w:lvl w:ilvl="8" w:tentative="0">
      <w:start w:val="1"/>
      <w:numFmt w:val="decimal"/>
      <w:pStyle w:val="11"/>
      <w:lvlText w:val="%2.%3.%4.%5.%6.%7.%8.%9"/>
      <w:lvlJc w:val="left"/>
      <w:pPr>
        <w:ind w:left="1584" w:hanging="1584"/>
      </w:pPr>
      <w:rPr>
        <w:rFonts w:hint="eastAsia" w:ascii="Times New Roman" w:hAnsi="Times New Roman" w:eastAsia="宋体"/>
        <w:b/>
        <w:i w:val="0"/>
        <w:sz w:val="24"/>
      </w:rPr>
    </w:lvl>
  </w:abstractNum>
  <w:abstractNum w:abstractNumId="3">
    <w:nsid w:val="4EBBCE57"/>
    <w:multiLevelType w:val="singleLevel"/>
    <w:tmpl w:val="4EBBCE57"/>
    <w:lvl w:ilvl="0" w:tentative="0">
      <w:start w:val="4"/>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411049C"/>
    <w:rsid w:val="00101C42"/>
    <w:rsid w:val="0011755A"/>
    <w:rsid w:val="00137D89"/>
    <w:rsid w:val="00161AB5"/>
    <w:rsid w:val="001624A9"/>
    <w:rsid w:val="001959D1"/>
    <w:rsid w:val="001E079E"/>
    <w:rsid w:val="001F3C57"/>
    <w:rsid w:val="0021085E"/>
    <w:rsid w:val="00245CB7"/>
    <w:rsid w:val="002E5CD1"/>
    <w:rsid w:val="00305587"/>
    <w:rsid w:val="00312A6C"/>
    <w:rsid w:val="00335E4F"/>
    <w:rsid w:val="00356D91"/>
    <w:rsid w:val="003B4C52"/>
    <w:rsid w:val="003D08EB"/>
    <w:rsid w:val="003D1710"/>
    <w:rsid w:val="00403638"/>
    <w:rsid w:val="0044462D"/>
    <w:rsid w:val="00456B11"/>
    <w:rsid w:val="00467C50"/>
    <w:rsid w:val="00473F9F"/>
    <w:rsid w:val="00477A3D"/>
    <w:rsid w:val="004B2B08"/>
    <w:rsid w:val="00501026"/>
    <w:rsid w:val="00504D1C"/>
    <w:rsid w:val="005858BB"/>
    <w:rsid w:val="005C0CBF"/>
    <w:rsid w:val="005D0162"/>
    <w:rsid w:val="00604991"/>
    <w:rsid w:val="00604F73"/>
    <w:rsid w:val="00617918"/>
    <w:rsid w:val="006A1DCF"/>
    <w:rsid w:val="0070213E"/>
    <w:rsid w:val="00703ABF"/>
    <w:rsid w:val="00713D82"/>
    <w:rsid w:val="00781DD4"/>
    <w:rsid w:val="00785780"/>
    <w:rsid w:val="00825B8D"/>
    <w:rsid w:val="00834757"/>
    <w:rsid w:val="00835F9B"/>
    <w:rsid w:val="008954C8"/>
    <w:rsid w:val="008E3335"/>
    <w:rsid w:val="00910452"/>
    <w:rsid w:val="00966B57"/>
    <w:rsid w:val="009975B5"/>
    <w:rsid w:val="00AC1CEF"/>
    <w:rsid w:val="00AC5969"/>
    <w:rsid w:val="00B073DA"/>
    <w:rsid w:val="00B125FE"/>
    <w:rsid w:val="00BC47B0"/>
    <w:rsid w:val="00BF16FF"/>
    <w:rsid w:val="00C27D1B"/>
    <w:rsid w:val="00C628B6"/>
    <w:rsid w:val="00C816AA"/>
    <w:rsid w:val="00C9058B"/>
    <w:rsid w:val="00C9199D"/>
    <w:rsid w:val="00CC2512"/>
    <w:rsid w:val="00CD204F"/>
    <w:rsid w:val="00D31174"/>
    <w:rsid w:val="00D80A4D"/>
    <w:rsid w:val="00E362BA"/>
    <w:rsid w:val="00E51E39"/>
    <w:rsid w:val="00E80DBC"/>
    <w:rsid w:val="00ED0BC1"/>
    <w:rsid w:val="00EF0367"/>
    <w:rsid w:val="00F9314E"/>
    <w:rsid w:val="00F97982"/>
    <w:rsid w:val="01991FA8"/>
    <w:rsid w:val="049171EB"/>
    <w:rsid w:val="07EC5043"/>
    <w:rsid w:val="09B259BF"/>
    <w:rsid w:val="1BC6DE8E"/>
    <w:rsid w:val="1C9A0C60"/>
    <w:rsid w:val="1D4901FB"/>
    <w:rsid w:val="1E2A0251"/>
    <w:rsid w:val="1FF07D1F"/>
    <w:rsid w:val="2580476C"/>
    <w:rsid w:val="2B367DA6"/>
    <w:rsid w:val="2EA414CB"/>
    <w:rsid w:val="32361BEB"/>
    <w:rsid w:val="3411049C"/>
    <w:rsid w:val="42E8C0C8"/>
    <w:rsid w:val="4A121195"/>
    <w:rsid w:val="545A4CFE"/>
    <w:rsid w:val="5ADD0795"/>
    <w:rsid w:val="644431C2"/>
    <w:rsid w:val="66EB82B0"/>
    <w:rsid w:val="69841830"/>
    <w:rsid w:val="6AFED409"/>
    <w:rsid w:val="6BB739DC"/>
    <w:rsid w:val="6FEF0917"/>
    <w:rsid w:val="74C01A5C"/>
    <w:rsid w:val="77F968F7"/>
    <w:rsid w:val="77FE227A"/>
    <w:rsid w:val="785726D7"/>
    <w:rsid w:val="7BBC61D2"/>
    <w:rsid w:val="CF9FF4F6"/>
    <w:rsid w:val="D4D81719"/>
    <w:rsid w:val="F3BB7741"/>
    <w:rsid w:val="FCFF67E5"/>
    <w:rsid w:val="FF8F4F00"/>
    <w:rsid w:val="FFFF7A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numPr>
        <w:ilvl w:val="0"/>
        <w:numId w:val="1"/>
      </w:numPr>
      <w:spacing w:before="340" w:after="330" w:line="576" w:lineRule="auto"/>
      <w:outlineLvl w:val="0"/>
    </w:pPr>
    <w:rPr>
      <w:b/>
      <w:kern w:val="44"/>
      <w:sz w:val="44"/>
    </w:rPr>
  </w:style>
  <w:style w:type="paragraph" w:styleId="4">
    <w:name w:val="heading 2"/>
    <w:basedOn w:val="1"/>
    <w:next w:val="1"/>
    <w:semiHidden/>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5">
    <w:name w:val="heading 3"/>
    <w:basedOn w:val="1"/>
    <w:next w:val="1"/>
    <w:semiHidden/>
    <w:unhideWhenUsed/>
    <w:qFormat/>
    <w:uiPriority w:val="0"/>
    <w:pPr>
      <w:keepNext/>
      <w:keepLines/>
      <w:numPr>
        <w:ilvl w:val="2"/>
        <w:numId w:val="1"/>
      </w:numPr>
      <w:spacing w:before="260" w:after="260" w:line="413" w:lineRule="auto"/>
      <w:outlineLvl w:val="2"/>
    </w:pPr>
    <w:rPr>
      <w:b/>
      <w:sz w:val="32"/>
    </w:rPr>
  </w:style>
  <w:style w:type="paragraph" w:styleId="6">
    <w:name w:val="heading 4"/>
    <w:basedOn w:val="1"/>
    <w:next w:val="1"/>
    <w:semiHidden/>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7">
    <w:name w:val="heading 5"/>
    <w:basedOn w:val="1"/>
    <w:next w:val="1"/>
    <w:link w:val="24"/>
    <w:semiHidden/>
    <w:unhideWhenUsed/>
    <w:qFormat/>
    <w:uiPriority w:val="0"/>
    <w:pPr>
      <w:keepNext/>
      <w:keepLines/>
      <w:numPr>
        <w:ilvl w:val="4"/>
        <w:numId w:val="1"/>
      </w:numPr>
      <w:spacing w:before="160" w:after="170"/>
      <w:ind w:left="0" w:firstLine="0"/>
      <w:jc w:val="left"/>
      <w:outlineLvl w:val="4"/>
    </w:pPr>
    <w:rPr>
      <w:rFonts w:cstheme="minorBidi"/>
      <w:b/>
      <w:bCs/>
      <w:szCs w:val="28"/>
    </w:rPr>
  </w:style>
  <w:style w:type="paragraph" w:styleId="8">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10">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12">
    <w:name w:val="annotation text"/>
    <w:basedOn w:val="1"/>
    <w:link w:val="33"/>
    <w:qFormat/>
    <w:uiPriority w:val="0"/>
    <w:pPr>
      <w:jc w:val="left"/>
    </w:pPr>
  </w:style>
  <w:style w:type="paragraph" w:styleId="13">
    <w:name w:val="Balloon Text"/>
    <w:basedOn w:val="1"/>
    <w:link w:val="32"/>
    <w:qFormat/>
    <w:uiPriority w:val="0"/>
    <w:rPr>
      <w:sz w:val="18"/>
      <w:szCs w:val="18"/>
    </w:rPr>
  </w:style>
  <w:style w:type="paragraph" w:styleId="14">
    <w:name w:val="footer"/>
    <w:basedOn w:val="1"/>
    <w:link w:val="31"/>
    <w:qFormat/>
    <w:uiPriority w:val="0"/>
    <w:pPr>
      <w:tabs>
        <w:tab w:val="center" w:pos="4153"/>
        <w:tab w:val="right" w:pos="8306"/>
      </w:tabs>
      <w:snapToGrid w:val="0"/>
      <w:jc w:val="left"/>
    </w:pPr>
    <w:rPr>
      <w:sz w:val="18"/>
      <w:szCs w:val="18"/>
    </w:rPr>
  </w:style>
  <w:style w:type="paragraph" w:styleId="15">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spacing w:after="100" w:line="276" w:lineRule="auto"/>
    </w:pPr>
    <w:rPr>
      <w:rFonts w:ascii="Calibri" w:hAnsi="Calibri"/>
      <w:sz w:val="22"/>
      <w:szCs w:val="22"/>
    </w:rPr>
  </w:style>
  <w:style w:type="paragraph" w:styleId="17">
    <w:name w:val="toc 2"/>
    <w:basedOn w:val="1"/>
    <w:next w:val="1"/>
    <w:qFormat/>
    <w:uiPriority w:val="0"/>
    <w:pPr>
      <w:tabs>
        <w:tab w:val="right" w:leader="dot" w:pos="8930"/>
      </w:tabs>
      <w:spacing w:line="360" w:lineRule="auto"/>
      <w:ind w:left="420" w:leftChars="200"/>
    </w:pPr>
    <w:rPr>
      <w:rFonts w:ascii="Arial" w:hAnsi="Arial"/>
      <w:spacing w:val="-6"/>
      <w:szCs w:val="24"/>
      <w:lang w:bidi="he-IL"/>
    </w:rPr>
  </w:style>
  <w:style w:type="paragraph" w:styleId="18">
    <w:name w:val="annotation subject"/>
    <w:basedOn w:val="12"/>
    <w:next w:val="12"/>
    <w:link w:val="35"/>
    <w:uiPriority w:val="0"/>
    <w:rPr>
      <w:b/>
      <w:bCs/>
    </w:rPr>
  </w:style>
  <w:style w:type="paragraph" w:styleId="19">
    <w:name w:val="Body Text First Indent"/>
    <w:basedOn w:val="2"/>
    <w:next w:val="1"/>
    <w:qFormat/>
    <w:uiPriority w:val="0"/>
    <w:pPr>
      <w:spacing w:line="360" w:lineRule="auto"/>
    </w:pPr>
    <w:rPr>
      <w:rFonts w:asciiTheme="minorHAnsi" w:hAnsiTheme="minorHAnsi" w:cstheme="minorBidi"/>
      <w:szCs w:val="22"/>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annotation reference"/>
    <w:basedOn w:val="22"/>
    <w:qFormat/>
    <w:uiPriority w:val="0"/>
    <w:rPr>
      <w:sz w:val="21"/>
      <w:szCs w:val="21"/>
    </w:rPr>
  </w:style>
  <w:style w:type="character" w:customStyle="1" w:styleId="24">
    <w:name w:val="标题 5 字符"/>
    <w:basedOn w:val="22"/>
    <w:link w:val="7"/>
    <w:autoRedefine/>
    <w:qFormat/>
    <w:uiPriority w:val="0"/>
    <w:rPr>
      <w:rFonts w:ascii="Times New Roman" w:hAnsi="Times New Roman" w:eastAsia="宋体" w:cstheme="minorBidi"/>
      <w:b/>
      <w:bCs/>
      <w:kern w:val="2"/>
      <w:sz w:val="24"/>
      <w:szCs w:val="28"/>
      <w:lang w:bidi="ar-SA"/>
    </w:rPr>
  </w:style>
  <w:style w:type="paragraph" w:customStyle="1" w:styleId="25">
    <w:name w:val="Default"/>
    <w:autoRedefine/>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customStyle="1" w:styleId="26">
    <w:name w:val="正文缩进1"/>
    <w:basedOn w:val="1"/>
    <w:autoRedefine/>
    <w:qFormat/>
    <w:uiPriority w:val="0"/>
    <w:pPr>
      <w:ind w:firstLine="420" w:firstLineChars="200"/>
    </w:pPr>
  </w:style>
  <w:style w:type="paragraph" w:customStyle="1" w:styleId="27">
    <w:name w:val="正文正文2"/>
    <w:basedOn w:val="1"/>
    <w:autoRedefine/>
    <w:qFormat/>
    <w:uiPriority w:val="0"/>
    <w:pPr>
      <w:spacing w:line="360" w:lineRule="auto"/>
      <w:ind w:firstLine="460" w:firstLineChars="200"/>
    </w:pPr>
    <w:rPr>
      <w:rFonts w:ascii="宋体" w:hAnsi="宋体"/>
      <w:szCs w:val="21"/>
    </w:rPr>
  </w:style>
  <w:style w:type="paragraph" w:customStyle="1" w:styleId="28">
    <w:name w:val="Table Text"/>
    <w:basedOn w:val="1"/>
    <w:semiHidden/>
    <w:qFormat/>
    <w:uiPriority w:val="0"/>
    <w:rPr>
      <w:rFonts w:ascii="宋体" w:hAnsi="宋体" w:cs="宋体"/>
      <w:szCs w:val="21"/>
      <w:lang w:eastAsia="en-US"/>
    </w:rPr>
  </w:style>
  <w:style w:type="table" w:customStyle="1" w:styleId="29">
    <w:name w:val="Table Normal"/>
    <w:semiHidden/>
    <w:unhideWhenUsed/>
    <w:qFormat/>
    <w:uiPriority w:val="0"/>
    <w:tblPr>
      <w:tblCellMar>
        <w:top w:w="0" w:type="dxa"/>
        <w:left w:w="0" w:type="dxa"/>
        <w:bottom w:w="0" w:type="dxa"/>
        <w:right w:w="0" w:type="dxa"/>
      </w:tblCellMar>
    </w:tblPr>
  </w:style>
  <w:style w:type="character" w:customStyle="1" w:styleId="30">
    <w:name w:val="页眉 字符"/>
    <w:basedOn w:val="22"/>
    <w:link w:val="15"/>
    <w:uiPriority w:val="0"/>
    <w:rPr>
      <w:kern w:val="2"/>
      <w:sz w:val="18"/>
      <w:szCs w:val="18"/>
    </w:rPr>
  </w:style>
  <w:style w:type="character" w:customStyle="1" w:styleId="31">
    <w:name w:val="页脚 字符"/>
    <w:basedOn w:val="22"/>
    <w:link w:val="14"/>
    <w:qFormat/>
    <w:uiPriority w:val="0"/>
    <w:rPr>
      <w:kern w:val="2"/>
      <w:sz w:val="18"/>
      <w:szCs w:val="18"/>
    </w:rPr>
  </w:style>
  <w:style w:type="character" w:customStyle="1" w:styleId="32">
    <w:name w:val="批注框文本 字符"/>
    <w:basedOn w:val="22"/>
    <w:link w:val="13"/>
    <w:uiPriority w:val="0"/>
    <w:rPr>
      <w:kern w:val="2"/>
      <w:sz w:val="18"/>
      <w:szCs w:val="18"/>
    </w:rPr>
  </w:style>
  <w:style w:type="character" w:customStyle="1" w:styleId="33">
    <w:name w:val="批注文字 字符"/>
    <w:basedOn w:val="22"/>
    <w:link w:val="12"/>
    <w:uiPriority w:val="0"/>
    <w:rPr>
      <w:kern w:val="2"/>
      <w:sz w:val="21"/>
    </w:rPr>
  </w:style>
  <w:style w:type="paragraph" w:customStyle="1" w:styleId="34">
    <w:name w:val="修订1"/>
    <w:hidden/>
    <w:semiHidden/>
    <w:uiPriority w:val="99"/>
    <w:rPr>
      <w:rFonts w:ascii="Times New Roman" w:hAnsi="Times New Roman" w:eastAsia="宋体" w:cs="Times New Roman"/>
      <w:kern w:val="2"/>
      <w:sz w:val="21"/>
      <w:lang w:val="en-US" w:eastAsia="zh-CN" w:bidi="ar-SA"/>
    </w:rPr>
  </w:style>
  <w:style w:type="character" w:customStyle="1" w:styleId="35">
    <w:name w:val="批注主题 字符"/>
    <w:basedOn w:val="33"/>
    <w:link w:val="18"/>
    <w:uiPriority w:val="0"/>
    <w:rPr>
      <w:b/>
      <w:bCs/>
      <w:kern w:val="2"/>
      <w:sz w:val="21"/>
    </w:rPr>
  </w:style>
  <w:style w:type="character" w:customStyle="1" w:styleId="36">
    <w:name w:val="fontstyle01"/>
    <w:basedOn w:val="22"/>
    <w:qFormat/>
    <w:uiPriority w:val="0"/>
    <w:rPr>
      <w:rFonts w:hint="eastAsia" w:ascii="仿宋" w:hAnsi="仿宋" w:eastAsia="仿宋"/>
      <w:color w:val="00000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53CCA14B-68BB-41D2-89AC-37B101CBED3B}">
  <ds:schemaRefs/>
</ds:datastoreItem>
</file>

<file path=docProps/app.xml><?xml version="1.0" encoding="utf-8"?>
<Properties xmlns="http://schemas.openxmlformats.org/officeDocument/2006/extended-properties" xmlns:vt="http://schemas.openxmlformats.org/officeDocument/2006/docPropsVTypes">
  <Template>Normal.dotm</Template>
  <Pages>57</Pages>
  <Words>4541</Words>
  <Characters>25886</Characters>
  <Lines>215</Lines>
  <Paragraphs>60</Paragraphs>
  <TotalTime>15</TotalTime>
  <ScaleCrop>false</ScaleCrop>
  <LinksUpToDate>false</LinksUpToDate>
  <CharactersWithSpaces>30367</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2025-02-23T02:50:00Z</dcterms:created>
  <dc:creator>moni</dc:creator>
  <cp:lastModifiedBy>高际航</cp:lastModifiedBy>
  <dcterms:modified xsi:type="dcterms:W3CDTF">2025-03-21T10:57:48Z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5DF76EC3DE7D052199D5DC676F652F17_43</vt:lpwstr>
  </property>
  <property fmtid="{D5CDD505-2E9C-101B-9397-08002B2CF9AE}" pid="4" name="KSOTemplateDocerSaveRecord">
    <vt:lpwstr>eyJoZGlkIjoiNDhkYWU3OGU1YjdiZjZmYzAyODUwMmQ4OTA5OTZmN2MiLCJ1c2VySWQiOiIxMjc4NjMyNzU2In0=</vt:lpwstr>
  </property>
</Properties>
</file>