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2BC2D">
      <w:pPr>
        <w:spacing w:line="560" w:lineRule="exact"/>
        <w:rPr>
          <w:rFonts w:ascii="黑体" w:hAnsi="黑体" w:eastAsia="黑体" w:cs="Times New Roman"/>
          <w:sz w:val="32"/>
        </w:rPr>
      </w:pPr>
      <w:r>
        <w:rPr>
          <w:rFonts w:hint="eastAsia" w:ascii="黑体" w:hAnsi="黑体" w:eastAsia="黑体" w:cs="Times New Roman"/>
          <w:sz w:val="32"/>
        </w:rPr>
        <w:t>附件</w:t>
      </w:r>
    </w:p>
    <w:p w14:paraId="4CFC1B6F">
      <w:pPr>
        <w:spacing w:line="560" w:lineRule="exact"/>
        <w:jc w:val="center"/>
        <w:rPr>
          <w:rFonts w:ascii="方正小标宋简体" w:hAnsi="等线" w:eastAsia="方正小标宋简体" w:cs="Times New Roman"/>
          <w:sz w:val="44"/>
          <w:szCs w:val="44"/>
        </w:rPr>
      </w:pPr>
    </w:p>
    <w:p w14:paraId="2D34D622">
      <w:pPr>
        <w:spacing w:line="560" w:lineRule="exact"/>
        <w:jc w:val="center"/>
        <w:rPr>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rPr>
        <w:t>科技处</w:t>
      </w:r>
      <w:r>
        <w:rPr>
          <w:rFonts w:ascii="方正小标宋简体" w:hAnsi="等线" w:eastAsia="方正小标宋简体" w:cs="Times New Roman"/>
          <w:sz w:val="44"/>
          <w:szCs w:val="44"/>
        </w:rPr>
        <w:t>-上海公安信息系统应用日志智能</w:t>
      </w:r>
    </w:p>
    <w:p w14:paraId="5B1BC94D">
      <w:pPr>
        <w:spacing w:line="560" w:lineRule="exact"/>
        <w:jc w:val="center"/>
        <w:rPr>
          <w:rFonts w:ascii="方正小标宋简体" w:hAnsi="等线" w:eastAsia="方正小标宋简体" w:cs="Times New Roman"/>
          <w:sz w:val="44"/>
          <w:szCs w:val="44"/>
        </w:rPr>
      </w:pPr>
      <w:r>
        <w:rPr>
          <w:rFonts w:ascii="方正小标宋简体" w:hAnsi="等线" w:eastAsia="方正小标宋简体" w:cs="Times New Roman"/>
          <w:sz w:val="44"/>
          <w:szCs w:val="44"/>
        </w:rPr>
        <w:t>分析系统（2024年升级改造）</w:t>
      </w:r>
    </w:p>
    <w:p w14:paraId="0532DB28">
      <w:pPr>
        <w:spacing w:line="560" w:lineRule="exact"/>
        <w:jc w:val="center"/>
        <w:rPr>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rPr>
        <w:t>项目需求书</w:t>
      </w:r>
    </w:p>
    <w:p w14:paraId="1EDD6207">
      <w:pPr>
        <w:pStyle w:val="4"/>
        <w:numPr>
          <w:ilvl w:val="0"/>
          <w:numId w:val="2"/>
        </w:numPr>
        <w:spacing w:before="312"/>
        <w:rPr>
          <w:rFonts w:ascii="仿宋" w:hAnsi="仿宋" w:eastAsia="仿宋" w:cs="仿宋"/>
        </w:rPr>
      </w:pPr>
      <w:r>
        <w:rPr>
          <w:rFonts w:hint="eastAsia" w:ascii="仿宋" w:hAnsi="仿宋" w:eastAsia="仿宋" w:cs="仿宋"/>
        </w:rPr>
        <w:t>项目背景</w:t>
      </w:r>
    </w:p>
    <w:p w14:paraId="7CF77DB4">
      <w:pPr>
        <w:pStyle w:val="48"/>
        <w:ind w:firstLine="640"/>
        <w:rPr>
          <w:rFonts w:ascii="仿宋_GB2312" w:hAnsi="黑体" w:eastAsia="仿宋_GB2312"/>
          <w:bCs/>
          <w:kern w:val="0"/>
          <w:sz w:val="32"/>
        </w:rPr>
      </w:pPr>
      <w:r>
        <w:rPr>
          <w:rFonts w:hint="eastAsia" w:ascii="仿宋_GB2312" w:eastAsia="仿宋_GB2312"/>
          <w:sz w:val="32"/>
          <w:szCs w:val="32"/>
        </w:rPr>
        <w:t>2018年，上海市公安局开展上海公安信息系统应用日志智能分析系统的建设。从公安应用系统/资源库的应用日志入手，实现对用户操作行为（增、删、改、查询、登录等）的记录和分析，对数据盗取、越权访问等造成公安敏感信息泄露、侵犯公民隐私的行为进行监测预警和事后倒查追溯，提高公安数据应用的安全性。</w:t>
      </w:r>
      <w:r>
        <w:rPr>
          <w:rFonts w:hint="eastAsia" w:ascii="仿宋_GB2312" w:hAnsi="黑体" w:eastAsia="仿宋_GB2312"/>
          <w:kern w:val="0"/>
          <w:sz w:val="32"/>
          <w:szCs w:val="32"/>
        </w:rPr>
        <w:t>2019年各应用系统随着“智慧公安”建设推进，陆续迁移进视频传输网，2020年我局开展了“神经元”感知网安全审计智能分析系统建设，该系统的技术架构和应用功能充分借鉴了2018年应用日志智能分析系统。2018至2020年日志系统主要提供市局开展案事件反查信息支撑服务。</w:t>
      </w:r>
      <w:r>
        <w:rPr>
          <w:rFonts w:hint="eastAsia" w:ascii="仿宋_GB2312" w:hAnsi="黑体" w:eastAsia="仿宋_GB2312"/>
          <w:bCs/>
          <w:kern w:val="0"/>
          <w:sz w:val="32"/>
          <w:szCs w:val="32"/>
        </w:rPr>
        <w:t>自2020年起，根据市局工作“提前发现苗头问题、及时警示风险问题”等有关要求，我们与督察总队开始开展</w:t>
      </w:r>
      <w:r>
        <w:rPr>
          <w:rFonts w:ascii="仿宋_GB2312" w:hAnsi="黑体" w:eastAsia="仿宋_GB2312"/>
          <w:bCs/>
          <w:kern w:val="0"/>
          <w:sz w:val="32"/>
          <w:szCs w:val="32"/>
        </w:rPr>
        <w:t>违规查询问题专项整治</w:t>
      </w:r>
      <w:r>
        <w:rPr>
          <w:rFonts w:hint="eastAsia" w:ascii="仿宋_GB2312" w:hAnsi="黑体" w:eastAsia="仿宋_GB2312"/>
          <w:bCs/>
          <w:kern w:val="0"/>
          <w:sz w:val="32"/>
          <w:szCs w:val="32"/>
        </w:rPr>
        <w:t>试点，并于</w:t>
      </w:r>
      <w:r>
        <w:rPr>
          <w:rFonts w:ascii="仿宋_GB2312" w:hAnsi="黑体" w:eastAsia="仿宋_GB2312"/>
          <w:bCs/>
          <w:kern w:val="0"/>
          <w:sz w:val="32"/>
          <w:szCs w:val="32"/>
        </w:rPr>
        <w:t>2021年3月签订了《应用安全审计长效工作机制备忘录》</w:t>
      </w:r>
      <w:r>
        <w:rPr>
          <w:rFonts w:hint="eastAsia" w:ascii="仿宋_GB2312" w:hAnsi="黑体" w:eastAsia="仿宋_GB2312"/>
          <w:bCs/>
          <w:kern w:val="0"/>
          <w:sz w:val="32"/>
          <w:szCs w:val="32"/>
        </w:rPr>
        <w:t>。</w:t>
      </w:r>
    </w:p>
    <w:p w14:paraId="218A4E47">
      <w:pPr>
        <w:ind w:firstLine="640" w:firstLineChars="200"/>
        <w:rPr>
          <w:rFonts w:ascii="仿宋_GB2312" w:eastAsia="仿宋_GB2312"/>
          <w:sz w:val="32"/>
        </w:rPr>
      </w:pPr>
      <w:r>
        <w:rPr>
          <w:rFonts w:hint="eastAsia" w:ascii="仿宋_GB2312" w:eastAsia="仿宋_GB2312"/>
          <w:sz w:val="32"/>
        </w:rPr>
        <w:t>当前，</w:t>
      </w:r>
      <w:r>
        <w:rPr>
          <w:rFonts w:hint="eastAsia" w:ascii="仿宋_GB2312" w:hAnsi="黑体" w:eastAsia="仿宋_GB2312"/>
          <w:bCs/>
          <w:kern w:val="0"/>
          <w:sz w:val="32"/>
        </w:rPr>
        <w:t>在从严管党、从严治警的形式下，市委市政府也对市局党委工作提出了更高要求，市局下发了</w:t>
      </w:r>
      <w:r>
        <w:rPr>
          <w:rFonts w:hint="eastAsia" w:ascii="仿宋_GB2312" w:eastAsia="仿宋_GB2312"/>
          <w:sz w:val="32"/>
        </w:rPr>
        <w:t>《关于常态化整治“违规查询”问题的工作方案》，</w:t>
      </w:r>
      <w:r>
        <w:rPr>
          <w:rFonts w:hint="eastAsia" w:ascii="仿宋_GB2312" w:hAnsi="黑体" w:eastAsia="仿宋_GB2312"/>
          <w:bCs/>
          <w:kern w:val="0"/>
          <w:sz w:val="32"/>
        </w:rPr>
        <w:t>将违规</w:t>
      </w:r>
      <w:r>
        <w:rPr>
          <w:rFonts w:ascii="仿宋_GB2312" w:hAnsi="黑体" w:eastAsia="仿宋_GB2312"/>
          <w:bCs/>
          <w:kern w:val="0"/>
          <w:sz w:val="32"/>
        </w:rPr>
        <w:t>专项整治</w:t>
      </w:r>
      <w:r>
        <w:rPr>
          <w:rFonts w:hint="eastAsia" w:ascii="仿宋_GB2312" w:hAnsi="黑体" w:eastAsia="仿宋_GB2312"/>
          <w:bCs/>
          <w:kern w:val="0"/>
          <w:sz w:val="32"/>
        </w:rPr>
        <w:t>工作基于日志审计平台常态</w:t>
      </w:r>
      <w:r>
        <w:rPr>
          <w:rFonts w:hint="eastAsia" w:ascii="仿宋_GB2312" w:eastAsia="仿宋_GB2312"/>
          <w:sz w:val="32"/>
        </w:rPr>
        <w:t>化运作。故对于日志智能分析的需求产生了变化，平台定位上，该平台从原有的应用安全内部支撑服务，变成了为全警队伍风险隐患管理提供一个统一的平台，是一个基于内部人员和操作行为的搜索平台；服务对象上，从原有的为公安安全管理部门内部使用，向全局支撑综合性应用系统转变，让我局约3000个部门的政工领导，可基于平台日常进行常态化违规情况管控，看到所管人员的日常工作情况，及时获取到可能的队伍风险情况；界面展现上，需要建设相应的态势感知大屏，综合展现风险隐患点。</w:t>
      </w:r>
    </w:p>
    <w:p w14:paraId="6EA832A4">
      <w:pPr>
        <w:pStyle w:val="48"/>
        <w:ind w:firstLine="640"/>
        <w:rPr>
          <w:rFonts w:ascii="仿宋_GB2312" w:eastAsia="仿宋_GB2312"/>
          <w:sz w:val="32"/>
          <w:szCs w:val="32"/>
        </w:rPr>
      </w:pPr>
      <w:r>
        <w:rPr>
          <w:rFonts w:hint="eastAsia" w:ascii="仿宋_GB2312" w:hAnsi="黑体" w:eastAsia="仿宋_GB2312"/>
          <w:bCs/>
          <w:kern w:val="0"/>
          <w:sz w:val="32"/>
          <w:szCs w:val="32"/>
        </w:rPr>
        <w:t>同时，随着原视频传</w:t>
      </w:r>
      <w:r>
        <w:rPr>
          <w:rFonts w:hint="eastAsia" w:ascii="仿宋_GB2312" w:eastAsia="仿宋_GB2312"/>
          <w:sz w:val="32"/>
          <w:szCs w:val="32"/>
        </w:rPr>
        <w:t>输网应用系统的回迁、上海公安移动应用的繁荣，上海公安信息系统应用日志智能分析系统</w:t>
      </w:r>
      <w:r>
        <w:rPr>
          <w:rFonts w:hint="eastAsia" w:ascii="仿宋_GB2312" w:hAnsi="黑体" w:eastAsia="仿宋_GB2312"/>
          <w:bCs/>
          <w:kern w:val="0"/>
          <w:sz w:val="32"/>
          <w:szCs w:val="32"/>
        </w:rPr>
        <w:t>视频传</w:t>
      </w:r>
      <w:r>
        <w:rPr>
          <w:rFonts w:hint="eastAsia" w:ascii="仿宋_GB2312" w:eastAsia="仿宋_GB2312"/>
          <w:sz w:val="32"/>
          <w:szCs w:val="32"/>
        </w:rPr>
        <w:t>输网、移动应用也需及时跟进进行应用日志采集。因此，需要对上海公安信息系统应用日志智能分析系统进行升级改造。</w:t>
      </w:r>
    </w:p>
    <w:p w14:paraId="636B1750">
      <w:pPr>
        <w:pStyle w:val="4"/>
        <w:numPr>
          <w:ilvl w:val="0"/>
          <w:numId w:val="2"/>
        </w:numPr>
        <w:spacing w:before="312"/>
        <w:rPr>
          <w:rFonts w:ascii="仿宋" w:hAnsi="仿宋" w:eastAsia="仿宋" w:cs="仿宋"/>
        </w:rPr>
      </w:pPr>
      <w:r>
        <w:rPr>
          <w:rFonts w:hint="eastAsia" w:ascii="仿宋" w:hAnsi="仿宋" w:eastAsia="仿宋" w:cs="仿宋"/>
        </w:rPr>
        <w:t>建设目标</w:t>
      </w:r>
    </w:p>
    <w:p w14:paraId="5E434FB8">
      <w:pPr>
        <w:pStyle w:val="48"/>
        <w:ind w:firstLine="640"/>
        <w:rPr>
          <w:rFonts w:ascii="仿宋_GB2312" w:eastAsia="仿宋_GB2312"/>
          <w:sz w:val="32"/>
          <w:szCs w:val="32"/>
        </w:rPr>
      </w:pPr>
      <w:bookmarkStart w:id="0" w:name="_Hlk172275629"/>
      <w:bookmarkStart w:id="1" w:name="_Hlk172659872"/>
      <w:r>
        <w:rPr>
          <w:rFonts w:hint="eastAsia" w:ascii="仿宋_GB2312" w:eastAsia="仿宋_GB2312"/>
          <w:sz w:val="32"/>
          <w:szCs w:val="32"/>
        </w:rPr>
        <w:t>基于2018年所建设的上海公安信息系统应用日志智能分析系统进行升级改造，完成对原“神经元”感知网安全审计智能分析系统中，视频传输网日志采集功能的构建，在视频传输网部署一套安全审计专用日志采集设备；迁移原“神经元”感知网安全审计智能分析系统中数据，统一汇聚至公安信息网；从终端、应用、资源服务接口等维度的日志入手，综合利用</w:t>
      </w:r>
      <w:bookmarkStart w:id="2" w:name="_Hlk172286369"/>
      <w:r>
        <w:rPr>
          <w:rFonts w:hint="eastAsia" w:ascii="仿宋_GB2312" w:eastAsia="仿宋_GB2312"/>
          <w:sz w:val="32"/>
          <w:szCs w:val="32"/>
        </w:rPr>
        <w:t>多源异构数据接入、数据识别处理、特征工程、模型训练、专家系统、全文检索、集群并行计算等</w:t>
      </w:r>
      <w:bookmarkEnd w:id="2"/>
      <w:r>
        <w:rPr>
          <w:rFonts w:hint="eastAsia" w:ascii="仿宋_GB2312" w:eastAsia="仿宋_GB2312"/>
          <w:sz w:val="32"/>
          <w:szCs w:val="32"/>
        </w:rPr>
        <w:t>技术</w:t>
      </w:r>
      <w:r>
        <w:rPr>
          <w:rFonts w:ascii="仿宋_GB2312" w:eastAsia="仿宋_GB2312"/>
          <w:sz w:val="32"/>
          <w:szCs w:val="32"/>
        </w:rPr>
        <w:t>构建一套智能化的日志分析与管理系统</w:t>
      </w:r>
      <w:r>
        <w:rPr>
          <w:rFonts w:hint="eastAsia" w:ascii="仿宋_GB2312" w:eastAsia="仿宋_GB2312"/>
          <w:sz w:val="32"/>
          <w:szCs w:val="32"/>
        </w:rPr>
        <w:t>，</w:t>
      </w:r>
      <w:bookmarkStart w:id="3" w:name="_Hlk172286412"/>
      <w:r>
        <w:rPr>
          <w:rFonts w:ascii="仿宋_GB2312" w:eastAsia="仿宋_GB2312"/>
          <w:sz w:val="32"/>
          <w:szCs w:val="32"/>
        </w:rPr>
        <w:t>实现日志的高效检索、行为的精准回溯、异常行为的实时预警以及快速响应处置等核心功能</w:t>
      </w:r>
      <w:r>
        <w:rPr>
          <w:rFonts w:hint="eastAsia" w:ascii="仿宋_GB2312" w:eastAsia="仿宋_GB2312"/>
          <w:sz w:val="32"/>
          <w:szCs w:val="32"/>
        </w:rPr>
        <w:t>，为打击和威慑危害公安大数据安全的违法违规行为</w:t>
      </w:r>
      <w:bookmarkEnd w:id="0"/>
      <w:bookmarkEnd w:id="3"/>
      <w:r>
        <w:rPr>
          <w:rFonts w:hint="eastAsia" w:ascii="仿宋_GB2312" w:eastAsia="仿宋_GB2312"/>
          <w:sz w:val="32"/>
          <w:szCs w:val="32"/>
        </w:rPr>
        <w:t>提供强有力抓手。</w:t>
      </w:r>
      <w:r>
        <w:rPr>
          <w:rFonts w:ascii="仿宋_GB2312" w:eastAsia="仿宋_GB2312"/>
          <w:sz w:val="32"/>
          <w:szCs w:val="32"/>
        </w:rPr>
        <w:t>解决公安信息化应用安全领域中的“发现难、查证难”问题，通过智能化的技术手段，提高安全事件的发现率和查证效率</w:t>
      </w:r>
      <w:r>
        <w:rPr>
          <w:rFonts w:hint="eastAsia" w:ascii="仿宋_GB2312" w:eastAsia="仿宋_GB2312"/>
          <w:sz w:val="32"/>
          <w:szCs w:val="32"/>
        </w:rPr>
        <w:t>，</w:t>
      </w:r>
      <w:r>
        <w:rPr>
          <w:rFonts w:ascii="仿宋_GB2312" w:eastAsia="仿宋_GB2312"/>
          <w:sz w:val="32"/>
          <w:szCs w:val="32"/>
        </w:rPr>
        <w:t>提高</w:t>
      </w:r>
      <w:r>
        <w:rPr>
          <w:rFonts w:hint="eastAsia" w:ascii="仿宋_GB2312" w:eastAsia="仿宋_GB2312"/>
          <w:sz w:val="32"/>
          <w:szCs w:val="32"/>
        </w:rPr>
        <w:t>公安信息化应用安全</w:t>
      </w:r>
      <w:r>
        <w:rPr>
          <w:rFonts w:ascii="仿宋_GB2312" w:eastAsia="仿宋_GB2312"/>
          <w:sz w:val="32"/>
          <w:szCs w:val="32"/>
        </w:rPr>
        <w:t>的管理水平，防范</w:t>
      </w:r>
      <w:r>
        <w:rPr>
          <w:rFonts w:hint="eastAsia" w:ascii="仿宋_GB2312" w:eastAsia="仿宋_GB2312"/>
          <w:sz w:val="32"/>
          <w:szCs w:val="32"/>
        </w:rPr>
        <w:t>信息泄漏</w:t>
      </w:r>
      <w:r>
        <w:rPr>
          <w:rFonts w:ascii="仿宋_GB2312" w:eastAsia="仿宋_GB2312"/>
          <w:sz w:val="32"/>
          <w:szCs w:val="32"/>
        </w:rPr>
        <w:t>，保护</w:t>
      </w:r>
      <w:r>
        <w:rPr>
          <w:rFonts w:hint="eastAsia" w:ascii="仿宋_GB2312" w:eastAsia="仿宋_GB2312"/>
          <w:sz w:val="32"/>
          <w:szCs w:val="32"/>
        </w:rPr>
        <w:t>公安</w:t>
      </w:r>
      <w:r>
        <w:rPr>
          <w:rFonts w:ascii="仿宋_GB2312" w:eastAsia="仿宋_GB2312"/>
          <w:sz w:val="32"/>
          <w:szCs w:val="32"/>
        </w:rPr>
        <w:t>数据的安全</w:t>
      </w:r>
      <w:r>
        <w:rPr>
          <w:rFonts w:hint="eastAsia" w:ascii="仿宋_GB2312" w:eastAsia="仿宋_GB2312"/>
          <w:sz w:val="32"/>
          <w:szCs w:val="32"/>
        </w:rPr>
        <w:t>。</w:t>
      </w:r>
      <w:bookmarkEnd w:id="1"/>
    </w:p>
    <w:p w14:paraId="103714AC">
      <w:pPr>
        <w:pStyle w:val="4"/>
        <w:numPr>
          <w:ilvl w:val="0"/>
          <w:numId w:val="2"/>
        </w:numPr>
        <w:spacing w:before="312"/>
        <w:rPr>
          <w:rFonts w:ascii="仿宋" w:hAnsi="仿宋" w:eastAsia="仿宋" w:cs="仿宋"/>
        </w:rPr>
      </w:pPr>
      <w:r>
        <w:rPr>
          <w:rFonts w:hint="eastAsia" w:ascii="仿宋" w:hAnsi="仿宋" w:eastAsia="仿宋" w:cs="仿宋"/>
        </w:rPr>
        <w:t>建设需求</w:t>
      </w:r>
    </w:p>
    <w:p w14:paraId="689F53E1">
      <w:pPr>
        <w:pStyle w:val="5"/>
        <w:numPr>
          <w:ilvl w:val="1"/>
          <w:numId w:val="2"/>
        </w:numPr>
        <w:rPr>
          <w:rFonts w:ascii="楷体_GB2312" w:eastAsia="楷体_GB2312"/>
          <w:b w:val="0"/>
          <w:sz w:val="32"/>
        </w:rPr>
      </w:pPr>
      <w:r>
        <w:rPr>
          <w:rFonts w:hint="eastAsia" w:ascii="楷体_GB2312" w:eastAsia="楷体_GB2312" w:cs="黑体"/>
          <w:b w:val="0"/>
          <w:bCs w:val="0"/>
          <w:sz w:val="32"/>
        </w:rPr>
        <w:t>日志采集</w:t>
      </w:r>
    </w:p>
    <w:p w14:paraId="435A8372">
      <w:pPr>
        <w:pStyle w:val="48"/>
        <w:ind w:firstLine="640"/>
        <w:rPr>
          <w:rFonts w:ascii="仿宋_GB2312" w:eastAsia="仿宋_GB2312"/>
          <w:sz w:val="32"/>
          <w:szCs w:val="32"/>
        </w:rPr>
      </w:pPr>
      <w:r>
        <w:rPr>
          <w:rFonts w:ascii="仿宋_GB2312" w:eastAsia="仿宋_GB2312"/>
          <w:sz w:val="32"/>
          <w:szCs w:val="32"/>
        </w:rPr>
        <w:t>日志</w:t>
      </w:r>
      <w:r>
        <w:rPr>
          <w:rFonts w:hint="eastAsia" w:ascii="仿宋_GB2312" w:eastAsia="仿宋_GB2312"/>
          <w:sz w:val="32"/>
          <w:szCs w:val="32"/>
        </w:rPr>
        <w:t>数据是公安信息系统应用日志智能分析系统的基础。本项目</w:t>
      </w:r>
      <w:r>
        <w:rPr>
          <w:rFonts w:ascii="仿宋_GB2312" w:eastAsia="仿宋_GB2312"/>
          <w:sz w:val="32"/>
          <w:szCs w:val="32"/>
        </w:rPr>
        <w:t>要求能够、实时、高效地</w:t>
      </w:r>
      <w:r>
        <w:rPr>
          <w:rFonts w:hint="eastAsia" w:ascii="仿宋_GB2312" w:eastAsia="仿宋_GB2312"/>
          <w:sz w:val="32"/>
          <w:szCs w:val="32"/>
        </w:rPr>
        <w:t>采集和接入</w:t>
      </w:r>
      <w:r>
        <w:rPr>
          <w:rFonts w:ascii="仿宋_GB2312" w:eastAsia="仿宋_GB2312"/>
          <w:sz w:val="32"/>
          <w:szCs w:val="32"/>
        </w:rPr>
        <w:t>来自</w:t>
      </w:r>
      <w:r>
        <w:rPr>
          <w:rFonts w:hint="eastAsia" w:ascii="仿宋_GB2312" w:eastAsia="仿宋_GB2312"/>
          <w:sz w:val="32"/>
          <w:szCs w:val="32"/>
        </w:rPr>
        <w:t>公安视频传输网和公安信息</w:t>
      </w:r>
      <w:r>
        <w:rPr>
          <w:rFonts w:ascii="仿宋_GB2312" w:eastAsia="仿宋_GB2312"/>
          <w:sz w:val="32"/>
          <w:szCs w:val="32"/>
        </w:rPr>
        <w:t>网</w:t>
      </w:r>
      <w:r>
        <w:rPr>
          <w:rFonts w:hint="eastAsia" w:ascii="仿宋_GB2312" w:eastAsia="仿宋_GB2312"/>
          <w:sz w:val="32"/>
          <w:szCs w:val="32"/>
        </w:rPr>
        <w:t>中的</w:t>
      </w:r>
      <w:r>
        <w:rPr>
          <w:rFonts w:ascii="仿宋_GB2312" w:eastAsia="仿宋_GB2312"/>
          <w:sz w:val="32"/>
          <w:szCs w:val="32"/>
        </w:rPr>
        <w:t>应用</w:t>
      </w:r>
      <w:r>
        <w:rPr>
          <w:rFonts w:hint="eastAsia" w:ascii="仿宋_GB2312" w:eastAsia="仿宋_GB2312"/>
          <w:sz w:val="32"/>
          <w:szCs w:val="32"/>
        </w:rPr>
        <w:t>、资源服务接口等多类</w:t>
      </w:r>
      <w:r>
        <w:rPr>
          <w:rFonts w:ascii="仿宋_GB2312" w:eastAsia="仿宋_GB2312"/>
          <w:sz w:val="32"/>
          <w:szCs w:val="32"/>
        </w:rPr>
        <w:t>日志数据，确保数据的完整性、准确性和时效性</w:t>
      </w:r>
      <w:r>
        <w:rPr>
          <w:rFonts w:hint="eastAsia" w:ascii="仿宋_GB2312" w:eastAsia="仿宋_GB2312"/>
          <w:sz w:val="32"/>
          <w:szCs w:val="32"/>
        </w:rPr>
        <w:t>，</w:t>
      </w:r>
      <w:r>
        <w:rPr>
          <w:rFonts w:ascii="仿宋_GB2312" w:eastAsia="仿宋_GB2312"/>
          <w:sz w:val="32"/>
          <w:szCs w:val="32"/>
        </w:rPr>
        <w:t>以满足后续的数据分析、安全审计等多元化需求</w:t>
      </w:r>
      <w:r>
        <w:rPr>
          <w:rFonts w:hint="eastAsia" w:ascii="仿宋_GB2312" w:eastAsia="仿宋_GB2312"/>
          <w:sz w:val="32"/>
          <w:szCs w:val="32"/>
        </w:rPr>
        <w:t>。</w:t>
      </w:r>
    </w:p>
    <w:p w14:paraId="7516DF3D">
      <w:pPr>
        <w:pStyle w:val="6"/>
        <w:numPr>
          <w:ilvl w:val="2"/>
          <w:numId w:val="2"/>
        </w:numPr>
        <w:rPr>
          <w:rFonts w:ascii="仿宋" w:hAnsi="仿宋" w:eastAsia="仿宋" w:cs="仿宋"/>
        </w:rPr>
      </w:pPr>
      <w:r>
        <w:rPr>
          <w:rFonts w:hint="eastAsia" w:ascii="仿宋" w:hAnsi="仿宋" w:eastAsia="仿宋" w:cs="仿宋"/>
        </w:rPr>
        <w:t>视频专网日志采集模块</w:t>
      </w:r>
    </w:p>
    <w:p w14:paraId="0815B20D">
      <w:pPr>
        <w:pStyle w:val="48"/>
        <w:ind w:firstLine="640"/>
        <w:rPr>
          <w:rFonts w:ascii="仿宋_GB2312" w:eastAsia="仿宋_GB2312"/>
          <w:sz w:val="32"/>
          <w:szCs w:val="32"/>
        </w:rPr>
      </w:pPr>
      <w:r>
        <w:rPr>
          <w:rFonts w:hint="eastAsia" w:ascii="仿宋_GB2312" w:eastAsia="仿宋_GB2312"/>
          <w:sz w:val="32"/>
          <w:szCs w:val="32"/>
        </w:rPr>
        <w:t>对接原阿里云专有存储相应接口，获取原视频专网日志数据，并转存到NAS/DAS存储系统；通过主动采集和被动接收方式，获取视频专网视频图像信息系应用日志。</w:t>
      </w:r>
    </w:p>
    <w:p w14:paraId="57A2895D">
      <w:pPr>
        <w:pStyle w:val="6"/>
        <w:numPr>
          <w:ilvl w:val="2"/>
          <w:numId w:val="2"/>
        </w:numPr>
        <w:rPr>
          <w:rFonts w:ascii="仿宋" w:hAnsi="仿宋" w:eastAsia="仿宋" w:cs="仿宋"/>
        </w:rPr>
      </w:pPr>
      <w:r>
        <w:rPr>
          <w:rFonts w:hint="eastAsia" w:ascii="仿宋" w:hAnsi="仿宋" w:eastAsia="仿宋" w:cs="仿宋"/>
        </w:rPr>
        <w:t>移动信息网日志接入模块</w:t>
      </w:r>
    </w:p>
    <w:p w14:paraId="75B71391">
      <w:pPr>
        <w:pStyle w:val="48"/>
        <w:ind w:firstLine="640"/>
        <w:rPr>
          <w:rFonts w:ascii="仿宋_GB2312" w:eastAsia="仿宋_GB2312"/>
          <w:sz w:val="32"/>
          <w:szCs w:val="32"/>
        </w:rPr>
      </w:pPr>
      <w:r>
        <w:rPr>
          <w:rFonts w:hint="eastAsia" w:ascii="仿宋_GB2312" w:eastAsia="仿宋_GB2312"/>
          <w:sz w:val="32"/>
          <w:szCs w:val="32"/>
        </w:rPr>
        <w:t>通过主动采集和被动接收方式，获取三类区移动警务应用日志。日志采集方式包括web服务接口方式、数据库接口方式、Kafka消息订阅方式和文件同步方式。</w:t>
      </w:r>
    </w:p>
    <w:p w14:paraId="54AA34F0">
      <w:pPr>
        <w:pStyle w:val="5"/>
        <w:numPr>
          <w:ilvl w:val="1"/>
          <w:numId w:val="2"/>
        </w:numPr>
        <w:rPr>
          <w:rFonts w:ascii="楷体_GB2312" w:eastAsia="楷体_GB2312" w:cs="黑体"/>
          <w:b w:val="0"/>
          <w:bCs w:val="0"/>
          <w:sz w:val="32"/>
        </w:rPr>
      </w:pPr>
      <w:r>
        <w:rPr>
          <w:rFonts w:hint="eastAsia" w:ascii="楷体_GB2312" w:eastAsia="楷体_GB2312" w:cs="黑体"/>
          <w:b w:val="0"/>
          <w:bCs w:val="0"/>
          <w:sz w:val="32"/>
        </w:rPr>
        <w:t>日志基础服务</w:t>
      </w:r>
    </w:p>
    <w:p w14:paraId="23CD8CE6">
      <w:pPr>
        <w:pStyle w:val="6"/>
        <w:numPr>
          <w:ilvl w:val="2"/>
          <w:numId w:val="2"/>
        </w:numPr>
        <w:rPr>
          <w:rFonts w:ascii="仿宋" w:hAnsi="仿宋" w:eastAsia="仿宋" w:cs="仿宋"/>
        </w:rPr>
      </w:pPr>
      <w:r>
        <w:rPr>
          <w:rFonts w:hint="eastAsia" w:ascii="仿宋" w:hAnsi="仿宋" w:eastAsia="仿宋" w:cs="仿宋"/>
        </w:rPr>
        <w:t>查询服务模块</w:t>
      </w:r>
    </w:p>
    <w:p w14:paraId="06E845E7">
      <w:pPr>
        <w:pStyle w:val="48"/>
        <w:ind w:firstLine="560" w:firstLineChars="175"/>
        <w:rPr>
          <w:rFonts w:ascii="仿宋_GB2312" w:eastAsia="仿宋_GB2312"/>
          <w:sz w:val="32"/>
          <w:szCs w:val="32"/>
        </w:rPr>
      </w:pPr>
      <w:r>
        <w:rPr>
          <w:rFonts w:hint="eastAsia" w:ascii="仿宋_GB2312" w:eastAsia="仿宋_GB2312"/>
          <w:sz w:val="32"/>
          <w:szCs w:val="32"/>
        </w:rPr>
        <w:t>基于平台的数据仓库，提供查询检索服务接口，</w:t>
      </w:r>
      <w:r>
        <w:rPr>
          <w:rFonts w:ascii="仿宋_GB2312" w:eastAsia="仿宋_GB2312"/>
          <w:sz w:val="32"/>
          <w:szCs w:val="32"/>
        </w:rPr>
        <w:t>以供内部系统、分析工具、第三方应用或用户进行便捷查询和数据分析</w:t>
      </w:r>
      <w:r>
        <w:rPr>
          <w:rFonts w:hint="eastAsia" w:ascii="仿宋_GB2312" w:eastAsia="仿宋_GB2312"/>
          <w:sz w:val="32"/>
          <w:szCs w:val="32"/>
        </w:rPr>
        <w:t>。</w:t>
      </w:r>
    </w:p>
    <w:p w14:paraId="1AD521F3">
      <w:pPr>
        <w:pStyle w:val="6"/>
        <w:numPr>
          <w:ilvl w:val="2"/>
          <w:numId w:val="2"/>
        </w:numPr>
        <w:rPr>
          <w:rFonts w:ascii="仿宋" w:hAnsi="仿宋" w:eastAsia="仿宋" w:cs="仿宋"/>
        </w:rPr>
      </w:pPr>
      <w:r>
        <w:rPr>
          <w:rFonts w:hint="eastAsia" w:ascii="仿宋" w:hAnsi="仿宋" w:eastAsia="仿宋" w:cs="仿宋"/>
        </w:rPr>
        <w:t>订阅服务模块</w:t>
      </w:r>
    </w:p>
    <w:p w14:paraId="1A5D966A">
      <w:pPr>
        <w:pStyle w:val="48"/>
        <w:ind w:firstLine="560" w:firstLineChars="175"/>
        <w:rPr>
          <w:rFonts w:ascii="仿宋_GB2312" w:eastAsia="仿宋_GB2312"/>
          <w:sz w:val="32"/>
          <w:szCs w:val="32"/>
        </w:rPr>
      </w:pPr>
      <w:r>
        <w:rPr>
          <w:rFonts w:hint="eastAsia" w:ascii="仿宋_GB2312" w:eastAsia="仿宋_GB2312"/>
          <w:sz w:val="32"/>
          <w:szCs w:val="32"/>
        </w:rPr>
        <w:t>基于平台的数据仓库和分析计算能力，将日志数据和分析结果发布为相应主题的订阅服务，提供订阅服务接口，支持预警数据通知功能。</w:t>
      </w:r>
    </w:p>
    <w:p w14:paraId="021DE999">
      <w:pPr>
        <w:pStyle w:val="6"/>
        <w:numPr>
          <w:ilvl w:val="2"/>
          <w:numId w:val="2"/>
        </w:numPr>
        <w:rPr>
          <w:rFonts w:ascii="仿宋" w:hAnsi="仿宋" w:eastAsia="仿宋" w:cs="仿宋"/>
        </w:rPr>
      </w:pPr>
      <w:r>
        <w:rPr>
          <w:rFonts w:hint="eastAsia" w:ascii="仿宋" w:hAnsi="仿宋" w:eastAsia="仿宋" w:cs="仿宋"/>
        </w:rPr>
        <w:t>推送服务模块</w:t>
      </w:r>
    </w:p>
    <w:p w14:paraId="2B27DB02">
      <w:pPr>
        <w:pStyle w:val="48"/>
        <w:ind w:firstLine="560" w:firstLineChars="175"/>
        <w:rPr>
          <w:rFonts w:ascii="仿宋_GB2312" w:eastAsia="仿宋_GB2312"/>
          <w:sz w:val="32"/>
          <w:szCs w:val="32"/>
        </w:rPr>
      </w:pPr>
      <w:r>
        <w:rPr>
          <w:rFonts w:hint="eastAsia" w:ascii="仿宋_GB2312" w:eastAsia="仿宋_GB2312"/>
          <w:sz w:val="32"/>
          <w:szCs w:val="32"/>
        </w:rPr>
        <w:t>基于</w:t>
      </w:r>
      <w:r>
        <w:rPr>
          <w:rFonts w:ascii="仿宋_GB2312" w:eastAsia="仿宋_GB2312"/>
          <w:sz w:val="32"/>
          <w:szCs w:val="32"/>
        </w:rPr>
        <w:t>WebSocket协议或数据库同步技术，实现数据的即时推送和分发，确保信息的时效性。</w:t>
      </w:r>
    </w:p>
    <w:p w14:paraId="02107C91">
      <w:pPr>
        <w:pStyle w:val="6"/>
        <w:numPr>
          <w:ilvl w:val="2"/>
          <w:numId w:val="2"/>
        </w:numPr>
        <w:rPr>
          <w:rFonts w:ascii="仿宋" w:hAnsi="仿宋" w:eastAsia="仿宋" w:cs="仿宋"/>
        </w:rPr>
      </w:pPr>
      <w:r>
        <w:rPr>
          <w:rFonts w:hint="eastAsia" w:ascii="仿宋" w:hAnsi="仿宋" w:eastAsia="仿宋" w:cs="仿宋"/>
        </w:rPr>
        <w:t>访问服务模块</w:t>
      </w:r>
    </w:p>
    <w:p w14:paraId="532BC0F6">
      <w:pPr>
        <w:pStyle w:val="48"/>
        <w:ind w:firstLine="560" w:firstLineChars="175"/>
        <w:rPr>
          <w:rFonts w:ascii="仿宋_GB2312" w:eastAsia="仿宋_GB2312"/>
          <w:sz w:val="32"/>
          <w:szCs w:val="32"/>
        </w:rPr>
      </w:pPr>
      <w:r>
        <w:rPr>
          <w:rFonts w:hint="eastAsia" w:ascii="仿宋_GB2312" w:eastAsia="仿宋_GB2312"/>
          <w:sz w:val="32"/>
          <w:szCs w:val="32"/>
        </w:rPr>
        <w:t>基于</w:t>
      </w:r>
      <w:r>
        <w:rPr>
          <w:rFonts w:ascii="仿宋_GB2312" w:eastAsia="仿宋_GB2312"/>
          <w:sz w:val="32"/>
          <w:szCs w:val="32"/>
        </w:rPr>
        <w:t>REST API技术访问数据库，实现数据创建、读取和删除接口，可以更方便、安全地实现对平台数据库的访问和操作</w:t>
      </w:r>
      <w:r>
        <w:rPr>
          <w:rFonts w:hint="eastAsia" w:ascii="仿宋_GB2312" w:eastAsia="仿宋_GB2312"/>
          <w:sz w:val="32"/>
          <w:szCs w:val="32"/>
        </w:rPr>
        <w:t>。</w:t>
      </w:r>
    </w:p>
    <w:p w14:paraId="43CD0173">
      <w:pPr>
        <w:pStyle w:val="6"/>
        <w:numPr>
          <w:ilvl w:val="2"/>
          <w:numId w:val="2"/>
        </w:numPr>
        <w:rPr>
          <w:rFonts w:ascii="仿宋" w:hAnsi="仿宋" w:eastAsia="仿宋" w:cs="仿宋"/>
        </w:rPr>
      </w:pPr>
      <w:r>
        <w:rPr>
          <w:rFonts w:hint="eastAsia" w:ascii="仿宋" w:hAnsi="仿宋" w:eastAsia="仿宋" w:cs="仿宋"/>
        </w:rPr>
        <w:t>分析服务模块</w:t>
      </w:r>
    </w:p>
    <w:p w14:paraId="0EE05803">
      <w:pPr>
        <w:pStyle w:val="48"/>
        <w:ind w:firstLine="560" w:firstLineChars="175"/>
        <w:rPr>
          <w:rFonts w:ascii="仿宋_GB2312" w:eastAsia="仿宋_GB2312"/>
          <w:sz w:val="32"/>
          <w:szCs w:val="32"/>
        </w:rPr>
      </w:pPr>
      <w:r>
        <w:rPr>
          <w:rFonts w:hint="eastAsia" w:ascii="仿宋_GB2312" w:eastAsia="仿宋_GB2312"/>
          <w:sz w:val="32"/>
          <w:szCs w:val="32"/>
        </w:rPr>
        <w:t>平台支持模型分析、模型关联分析、统计分析等能力，并封装为</w:t>
      </w:r>
      <w:r>
        <w:rPr>
          <w:rFonts w:ascii="仿宋_GB2312" w:eastAsia="仿宋_GB2312"/>
          <w:sz w:val="32"/>
          <w:szCs w:val="32"/>
        </w:rPr>
        <w:t>API服务</w:t>
      </w:r>
      <w:r>
        <w:rPr>
          <w:rFonts w:hint="eastAsia" w:ascii="仿宋_GB2312" w:eastAsia="仿宋_GB2312"/>
          <w:sz w:val="32"/>
          <w:szCs w:val="32"/>
        </w:rPr>
        <w:t>。日志分析服务模块支持对采集的应用系统日志进行数据分析服务，支持利用自然语言识别与处理技术、敏感数据分析技术，对日志内操作内容进行提取，包含个人隐私数据如身份证、手机号、姓名、银行卡号码、车牌号等敏感字段。</w:t>
      </w:r>
    </w:p>
    <w:p w14:paraId="5EADB2CC">
      <w:pPr>
        <w:pStyle w:val="5"/>
        <w:numPr>
          <w:ilvl w:val="1"/>
          <w:numId w:val="2"/>
        </w:numPr>
        <w:rPr>
          <w:rFonts w:ascii="楷体_GB2312" w:eastAsia="楷体_GB2312" w:cs="黑体"/>
          <w:b w:val="0"/>
          <w:bCs w:val="0"/>
          <w:sz w:val="32"/>
        </w:rPr>
      </w:pPr>
      <w:r>
        <w:rPr>
          <w:rFonts w:hint="eastAsia" w:ascii="楷体_GB2312" w:eastAsia="楷体_GB2312" w:cs="黑体"/>
          <w:b w:val="0"/>
          <w:bCs w:val="0"/>
          <w:sz w:val="32"/>
        </w:rPr>
        <w:t>数据分析计算引擎调取</w:t>
      </w:r>
    </w:p>
    <w:p w14:paraId="2E14E29F">
      <w:pPr>
        <w:pStyle w:val="48"/>
        <w:ind w:firstLine="560" w:firstLineChars="175"/>
        <w:rPr>
          <w:rFonts w:ascii="仿宋_GB2312" w:eastAsia="仿宋_GB2312"/>
          <w:sz w:val="32"/>
          <w:szCs w:val="32"/>
        </w:rPr>
      </w:pPr>
      <w:r>
        <w:rPr>
          <w:rFonts w:hint="eastAsia" w:ascii="仿宋_GB2312" w:eastAsia="仿宋_GB2312"/>
          <w:sz w:val="32"/>
          <w:szCs w:val="32"/>
        </w:rPr>
        <w:t>针对部署于公安网的存算一体设备，开发调用离线批处理计算、实时内存计算、</w:t>
      </w:r>
      <w:r>
        <w:rPr>
          <w:rFonts w:ascii="仿宋_GB2312" w:eastAsia="仿宋_GB2312"/>
          <w:sz w:val="32"/>
          <w:szCs w:val="32"/>
        </w:rPr>
        <w:t>OLAP关联计算、机器学习计算等能力</w:t>
      </w:r>
      <w:r>
        <w:rPr>
          <w:rFonts w:hint="eastAsia" w:ascii="仿宋_GB2312" w:eastAsia="仿宋_GB2312"/>
          <w:sz w:val="32"/>
          <w:szCs w:val="32"/>
        </w:rPr>
        <w:t>，</w:t>
      </w:r>
      <w:r>
        <w:rPr>
          <w:rFonts w:ascii="仿宋_GB2312" w:eastAsia="仿宋_GB2312"/>
          <w:sz w:val="32"/>
          <w:szCs w:val="32"/>
        </w:rPr>
        <w:t>对海量日志数据进行深入的分析和挖掘</w:t>
      </w:r>
      <w:r>
        <w:rPr>
          <w:rFonts w:hint="eastAsia" w:ascii="仿宋_GB2312" w:eastAsia="仿宋_GB2312"/>
          <w:sz w:val="32"/>
          <w:szCs w:val="32"/>
        </w:rPr>
        <w:t>。</w:t>
      </w:r>
    </w:p>
    <w:p w14:paraId="362A646E">
      <w:pPr>
        <w:pStyle w:val="5"/>
        <w:numPr>
          <w:ilvl w:val="1"/>
          <w:numId w:val="2"/>
        </w:numPr>
        <w:rPr>
          <w:rFonts w:ascii="楷体_GB2312" w:eastAsia="楷体_GB2312" w:cs="黑体"/>
          <w:b w:val="0"/>
          <w:bCs w:val="0"/>
          <w:sz w:val="32"/>
        </w:rPr>
      </w:pPr>
      <w:r>
        <w:rPr>
          <w:rFonts w:hint="eastAsia" w:ascii="楷体_GB2312" w:eastAsia="楷体_GB2312" w:cs="黑体"/>
          <w:b w:val="0"/>
          <w:bCs w:val="0"/>
          <w:sz w:val="32"/>
        </w:rPr>
        <w:t>日志应用</w:t>
      </w:r>
    </w:p>
    <w:p w14:paraId="58923BDC">
      <w:pPr>
        <w:pStyle w:val="48"/>
        <w:ind w:firstLine="560" w:firstLineChars="175"/>
        <w:rPr>
          <w:rFonts w:ascii="仿宋_GB2312" w:eastAsia="仿宋_GB2312"/>
          <w:sz w:val="32"/>
          <w:szCs w:val="32"/>
        </w:rPr>
      </w:pPr>
      <w:r>
        <w:rPr>
          <w:rFonts w:ascii="仿宋_GB2312" w:eastAsia="仿宋_GB2312"/>
          <w:sz w:val="32"/>
          <w:szCs w:val="32"/>
        </w:rPr>
        <w:t>对现有智能分析系统进行功能增强、性能优化、技术升级</w:t>
      </w:r>
      <w:r>
        <w:rPr>
          <w:rFonts w:hint="eastAsia" w:ascii="仿宋_GB2312" w:eastAsia="仿宋_GB2312"/>
          <w:sz w:val="32"/>
          <w:szCs w:val="32"/>
        </w:rPr>
        <w:t>和</w:t>
      </w:r>
      <w:r>
        <w:rPr>
          <w:rFonts w:ascii="仿宋_GB2312" w:eastAsia="仿宋_GB2312"/>
          <w:sz w:val="32"/>
          <w:szCs w:val="32"/>
        </w:rPr>
        <w:t>界面改进</w:t>
      </w:r>
      <w:r>
        <w:rPr>
          <w:rFonts w:hint="eastAsia" w:ascii="仿宋_GB2312" w:eastAsia="仿宋_GB2312"/>
          <w:sz w:val="32"/>
          <w:szCs w:val="32"/>
        </w:rPr>
        <w:t>。</w:t>
      </w:r>
    </w:p>
    <w:p w14:paraId="25F01D0F">
      <w:pPr>
        <w:pStyle w:val="48"/>
        <w:ind w:firstLine="560" w:firstLineChars="175"/>
        <w:rPr>
          <w:rFonts w:ascii="仿宋_GB2312" w:eastAsia="仿宋_GB2312"/>
          <w:sz w:val="32"/>
          <w:szCs w:val="32"/>
        </w:rPr>
      </w:pPr>
      <w:r>
        <w:rPr>
          <w:rFonts w:hint="eastAsia" w:ascii="仿宋_GB2312" w:eastAsia="仿宋_GB2312"/>
          <w:sz w:val="32"/>
          <w:szCs w:val="32"/>
        </w:rPr>
        <w:t>架构设计：</w:t>
      </w:r>
      <w:r>
        <w:rPr>
          <w:rFonts w:ascii="仿宋_GB2312" w:eastAsia="仿宋_GB2312"/>
          <w:sz w:val="32"/>
          <w:szCs w:val="32"/>
        </w:rPr>
        <w:t>设计新的技术架构，确保系统的可扩展性、稳定性、安全性，并考虑未来技术升级的可能性。</w:t>
      </w:r>
    </w:p>
    <w:p w14:paraId="341791EE">
      <w:pPr>
        <w:pStyle w:val="48"/>
        <w:ind w:firstLine="560" w:firstLineChars="175"/>
        <w:rPr>
          <w:rFonts w:ascii="仿宋_GB2312" w:eastAsia="仿宋_GB2312"/>
          <w:sz w:val="32"/>
          <w:szCs w:val="32"/>
        </w:rPr>
      </w:pPr>
      <w:r>
        <w:rPr>
          <w:rFonts w:hint="eastAsia" w:ascii="仿宋_GB2312" w:eastAsia="仿宋_GB2312"/>
          <w:sz w:val="32"/>
          <w:szCs w:val="32"/>
        </w:rPr>
        <w:t>接口设计：</w:t>
      </w:r>
      <w:r>
        <w:rPr>
          <w:rFonts w:ascii="仿宋_GB2312" w:eastAsia="仿宋_GB2312"/>
          <w:sz w:val="32"/>
          <w:szCs w:val="32"/>
        </w:rPr>
        <w:t>定义清晰的API接口规范，确保与其他系统的无缝集成</w:t>
      </w:r>
      <w:r>
        <w:rPr>
          <w:rFonts w:hint="eastAsia" w:ascii="仿宋_GB2312" w:eastAsia="仿宋_GB2312"/>
          <w:sz w:val="32"/>
          <w:szCs w:val="32"/>
        </w:rPr>
        <w:t>。</w:t>
      </w:r>
    </w:p>
    <w:p w14:paraId="662BFEB1">
      <w:pPr>
        <w:pStyle w:val="48"/>
        <w:ind w:firstLine="560" w:firstLineChars="175"/>
        <w:rPr>
          <w:rFonts w:ascii="仿宋_GB2312" w:eastAsia="仿宋_GB2312"/>
          <w:sz w:val="32"/>
          <w:szCs w:val="32"/>
        </w:rPr>
      </w:pPr>
      <w:r>
        <w:rPr>
          <w:rFonts w:hint="eastAsia" w:ascii="仿宋_GB2312" w:eastAsia="仿宋_GB2312"/>
          <w:sz w:val="32"/>
          <w:szCs w:val="32"/>
        </w:rPr>
        <w:t>功能开发：</w:t>
      </w:r>
      <w:r>
        <w:rPr>
          <w:rFonts w:ascii="仿宋_GB2312" w:eastAsia="仿宋_GB2312"/>
          <w:sz w:val="32"/>
          <w:szCs w:val="32"/>
        </w:rPr>
        <w:t>根据需求说明书，开发或升级智能分析应用的核心功能，</w:t>
      </w:r>
      <w:r>
        <w:rPr>
          <w:rFonts w:hint="eastAsia" w:ascii="仿宋_GB2312" w:eastAsia="仿宋_GB2312"/>
          <w:sz w:val="32"/>
          <w:szCs w:val="32"/>
        </w:rPr>
        <w:t>包括</w:t>
      </w:r>
      <w:r>
        <w:rPr>
          <w:rFonts w:ascii="仿宋_GB2312" w:eastAsia="仿宋_GB2312"/>
          <w:sz w:val="32"/>
          <w:szCs w:val="32"/>
        </w:rPr>
        <w:t>数据采集、处理、分析、可视化等。</w:t>
      </w:r>
    </w:p>
    <w:p w14:paraId="435CC9B5">
      <w:pPr>
        <w:pStyle w:val="48"/>
        <w:ind w:firstLine="560" w:firstLineChars="175"/>
        <w:rPr>
          <w:rFonts w:ascii="仿宋_GB2312" w:eastAsia="仿宋_GB2312"/>
          <w:sz w:val="32"/>
          <w:szCs w:val="32"/>
        </w:rPr>
      </w:pPr>
      <w:r>
        <w:rPr>
          <w:rFonts w:hint="eastAsia" w:ascii="仿宋_GB2312" w:eastAsia="仿宋_GB2312"/>
          <w:sz w:val="32"/>
          <w:szCs w:val="32"/>
        </w:rPr>
        <w:t>用户界面改进：</w:t>
      </w:r>
      <w:r>
        <w:rPr>
          <w:rFonts w:ascii="仿宋_GB2312" w:eastAsia="仿宋_GB2312"/>
          <w:sz w:val="32"/>
          <w:szCs w:val="32"/>
        </w:rPr>
        <w:t>设计更加直观、易用的用户界面，提升用户体验</w:t>
      </w:r>
      <w:r>
        <w:rPr>
          <w:rFonts w:hint="eastAsia" w:ascii="仿宋_GB2312" w:eastAsia="仿宋_GB2312"/>
          <w:sz w:val="32"/>
          <w:szCs w:val="32"/>
        </w:rPr>
        <w:t>。提供界面设计的原型图或示例图。</w:t>
      </w:r>
    </w:p>
    <w:p w14:paraId="409061E8">
      <w:pPr>
        <w:pStyle w:val="48"/>
        <w:ind w:firstLine="560" w:firstLineChars="175"/>
        <w:rPr>
          <w:rFonts w:ascii="仿宋_GB2312" w:eastAsia="仿宋_GB2312"/>
          <w:sz w:val="32"/>
          <w:szCs w:val="32"/>
        </w:rPr>
      </w:pPr>
      <w:r>
        <w:rPr>
          <w:rFonts w:hint="eastAsia" w:ascii="仿宋_GB2312" w:eastAsia="仿宋_GB2312"/>
          <w:sz w:val="32"/>
          <w:szCs w:val="32"/>
        </w:rPr>
        <w:t>安全设计：</w:t>
      </w:r>
      <w:r>
        <w:rPr>
          <w:rFonts w:ascii="仿宋_GB2312" w:eastAsia="仿宋_GB2312"/>
          <w:sz w:val="32"/>
          <w:szCs w:val="32"/>
        </w:rPr>
        <w:t>确保系统的数据安全性，包括</w:t>
      </w:r>
      <w:r>
        <w:rPr>
          <w:rFonts w:hint="eastAsia" w:ascii="仿宋_GB2312" w:eastAsia="仿宋_GB2312"/>
          <w:sz w:val="32"/>
          <w:szCs w:val="32"/>
        </w:rPr>
        <w:t>密码应用改造</w:t>
      </w:r>
      <w:r>
        <w:rPr>
          <w:rFonts w:ascii="仿宋_GB2312" w:eastAsia="仿宋_GB2312"/>
          <w:sz w:val="32"/>
          <w:szCs w:val="32"/>
        </w:rPr>
        <w:t>、访问控制、审计日志等</w:t>
      </w:r>
      <w:r>
        <w:rPr>
          <w:rFonts w:hint="eastAsia" w:ascii="仿宋_GB2312" w:eastAsia="仿宋_GB2312"/>
          <w:sz w:val="32"/>
          <w:szCs w:val="32"/>
        </w:rPr>
        <w:t>。</w:t>
      </w:r>
    </w:p>
    <w:p w14:paraId="6AD7CD98">
      <w:pPr>
        <w:pStyle w:val="6"/>
        <w:numPr>
          <w:ilvl w:val="2"/>
          <w:numId w:val="2"/>
        </w:numPr>
        <w:rPr>
          <w:rFonts w:ascii="仿宋" w:hAnsi="仿宋" w:eastAsia="仿宋" w:cs="仿宋"/>
        </w:rPr>
      </w:pPr>
      <w:r>
        <w:rPr>
          <w:rFonts w:hint="eastAsia" w:ascii="仿宋" w:hAnsi="仿宋" w:eastAsia="仿宋" w:cs="仿宋"/>
        </w:rPr>
        <w:t>态势大屏展现</w:t>
      </w:r>
    </w:p>
    <w:p w14:paraId="35AFA84C">
      <w:pPr>
        <w:pStyle w:val="48"/>
        <w:ind w:firstLine="560" w:firstLineChars="175"/>
        <w:rPr>
          <w:rFonts w:ascii="仿宋_GB2312" w:eastAsia="仿宋_GB2312"/>
          <w:sz w:val="32"/>
          <w:szCs w:val="32"/>
        </w:rPr>
      </w:pPr>
      <w:r>
        <w:rPr>
          <w:rFonts w:hint="eastAsia" w:ascii="仿宋_GB2312" w:eastAsia="仿宋_GB2312"/>
          <w:sz w:val="32"/>
          <w:szCs w:val="32"/>
        </w:rPr>
        <w:t>以可视化态势大屏形式提供审计分析平台的整体信息概览，包括接入应用数、用户数、接入数据总量、组织机构数、模型数、活跃应用、活跃用户、活跃单位部门等信息，并可视化展现每个接入单位当前综合风险情况；并提供应用入口功能。</w:t>
      </w:r>
    </w:p>
    <w:p w14:paraId="0570CB98">
      <w:pPr>
        <w:pStyle w:val="48"/>
        <w:ind w:firstLine="560" w:firstLineChars="175"/>
        <w:rPr>
          <w:rFonts w:ascii="仿宋_GB2312" w:eastAsia="仿宋_GB2312"/>
          <w:sz w:val="32"/>
          <w:szCs w:val="32"/>
        </w:rPr>
      </w:pPr>
      <w:r>
        <w:rPr>
          <w:rFonts w:hint="eastAsia" w:ascii="仿宋_GB2312" w:eastAsia="仿宋_GB2312"/>
          <w:sz w:val="32"/>
          <w:szCs w:val="32"/>
        </w:rPr>
        <w:t>如：根据用户历史操作行为分析用户画像，包括但不限于信息查询时间分布、最长访问系统、最常用使用IP、查询银行卡号、查询电话号码、查询车牌号、查询邮箱、查询身份证、查询住宿记录、固定时间内告警趋势、告警类型占比、作息规律、常用功能等信息，并以图表形式展示。支持画像数据二次下钻分析，并可查看详情。</w:t>
      </w:r>
    </w:p>
    <w:p w14:paraId="718FD111">
      <w:pPr>
        <w:pStyle w:val="6"/>
        <w:numPr>
          <w:ilvl w:val="2"/>
          <w:numId w:val="2"/>
        </w:numPr>
        <w:rPr>
          <w:rFonts w:ascii="仿宋" w:hAnsi="仿宋" w:eastAsia="仿宋" w:cs="仿宋"/>
        </w:rPr>
      </w:pPr>
      <w:r>
        <w:rPr>
          <w:rFonts w:hint="eastAsia" w:ascii="仿宋" w:hAnsi="仿宋" w:eastAsia="仿宋" w:cs="仿宋"/>
        </w:rPr>
        <w:t>日志查询</w:t>
      </w:r>
    </w:p>
    <w:p w14:paraId="0DC038C1">
      <w:pPr>
        <w:pStyle w:val="48"/>
        <w:ind w:firstLine="560" w:firstLineChars="175"/>
        <w:rPr>
          <w:rFonts w:ascii="仿宋_GB2312" w:eastAsia="仿宋_GB2312"/>
          <w:sz w:val="32"/>
          <w:szCs w:val="32"/>
        </w:rPr>
      </w:pPr>
      <w:r>
        <w:rPr>
          <w:rFonts w:hint="eastAsia" w:ascii="仿宋_GB2312" w:eastAsia="仿宋_GB2312"/>
          <w:sz w:val="32"/>
          <w:szCs w:val="32"/>
        </w:rPr>
        <w:t>提供基于时间、应用、用户、关键字等条件的日志搜索；以及基于终端、机构、应用系统等过滤功能。</w:t>
      </w:r>
    </w:p>
    <w:p w14:paraId="24340366">
      <w:pPr>
        <w:pStyle w:val="48"/>
        <w:ind w:firstLine="560" w:firstLineChars="175"/>
        <w:rPr>
          <w:rFonts w:ascii="仿宋_GB2312" w:eastAsia="仿宋_GB2312"/>
          <w:sz w:val="32"/>
          <w:szCs w:val="32"/>
        </w:rPr>
      </w:pPr>
      <w:r>
        <w:rPr>
          <w:rFonts w:hint="eastAsia" w:ascii="仿宋_GB2312" w:eastAsia="仿宋_GB2312"/>
          <w:sz w:val="32"/>
          <w:szCs w:val="32"/>
        </w:rPr>
        <w:t>全文模糊查询：</w:t>
      </w:r>
      <w:r>
        <w:rPr>
          <w:rFonts w:ascii="仿宋_GB2312" w:eastAsia="仿宋_GB2312"/>
          <w:sz w:val="32"/>
          <w:szCs w:val="32"/>
        </w:rPr>
        <w:t>用户可以通过输入关键词，对日志全文内容进行模糊查询</w:t>
      </w:r>
      <w:r>
        <w:rPr>
          <w:rFonts w:hint="eastAsia" w:ascii="仿宋_GB2312" w:eastAsia="仿宋_GB2312"/>
          <w:sz w:val="32"/>
          <w:szCs w:val="32"/>
        </w:rPr>
        <w:t>。多条件组合查询：</w:t>
      </w:r>
      <w:r>
        <w:rPr>
          <w:rFonts w:ascii="仿宋_GB2312" w:eastAsia="仿宋_GB2312"/>
          <w:sz w:val="32"/>
          <w:szCs w:val="32"/>
        </w:rPr>
        <w:t>支持多种条件的组合查询，如时间范围、</w:t>
      </w:r>
      <w:r>
        <w:rPr>
          <w:rFonts w:hint="eastAsia" w:ascii="仿宋_GB2312" w:eastAsia="仿宋_GB2312"/>
          <w:sz w:val="32"/>
          <w:szCs w:val="32"/>
        </w:rPr>
        <w:t>用户名</w:t>
      </w:r>
      <w:r>
        <w:rPr>
          <w:rFonts w:ascii="仿宋_GB2312" w:eastAsia="仿宋_GB2312"/>
          <w:sz w:val="32"/>
          <w:szCs w:val="32"/>
        </w:rPr>
        <w:t>、日志来源等</w:t>
      </w:r>
      <w:r>
        <w:rPr>
          <w:rFonts w:hint="eastAsia" w:ascii="仿宋_GB2312" w:eastAsia="仿宋_GB2312"/>
          <w:sz w:val="32"/>
          <w:szCs w:val="32"/>
        </w:rPr>
        <w:t>。</w:t>
      </w:r>
    </w:p>
    <w:p w14:paraId="0642CDB8">
      <w:pPr>
        <w:pStyle w:val="6"/>
        <w:numPr>
          <w:ilvl w:val="2"/>
          <w:numId w:val="2"/>
        </w:numPr>
        <w:rPr>
          <w:rFonts w:ascii="仿宋" w:hAnsi="仿宋" w:eastAsia="仿宋" w:cs="仿宋"/>
        </w:rPr>
      </w:pPr>
      <w:r>
        <w:rPr>
          <w:rFonts w:hint="eastAsia" w:ascii="仿宋" w:hAnsi="仿宋" w:eastAsia="仿宋" w:cs="仿宋"/>
        </w:rPr>
        <w:t>日志下载输出</w:t>
      </w:r>
    </w:p>
    <w:p w14:paraId="5E4ABEBF">
      <w:pPr>
        <w:pStyle w:val="48"/>
        <w:ind w:firstLine="560" w:firstLineChars="175"/>
        <w:rPr>
          <w:rFonts w:ascii="仿宋_GB2312" w:eastAsia="仿宋_GB2312"/>
          <w:sz w:val="32"/>
          <w:szCs w:val="32"/>
        </w:rPr>
      </w:pPr>
      <w:r>
        <w:rPr>
          <w:rFonts w:hint="eastAsia" w:ascii="仿宋_GB2312" w:eastAsia="仿宋_GB2312"/>
          <w:sz w:val="32"/>
          <w:szCs w:val="32"/>
        </w:rPr>
        <w:t>为使用人在页面上进行使用情况的翻译服务输出；提供用户对所查询日志的批量下载功能。</w:t>
      </w:r>
    </w:p>
    <w:p w14:paraId="6025CCB2">
      <w:pPr>
        <w:pStyle w:val="48"/>
        <w:ind w:firstLine="560" w:firstLineChars="175"/>
        <w:rPr>
          <w:rFonts w:ascii="仿宋_GB2312" w:eastAsia="仿宋_GB2312"/>
          <w:sz w:val="32"/>
          <w:szCs w:val="32"/>
        </w:rPr>
      </w:pPr>
      <w:r>
        <w:rPr>
          <w:rFonts w:ascii="仿宋_GB2312" w:eastAsia="仿宋_GB2312"/>
          <w:sz w:val="32"/>
          <w:szCs w:val="32"/>
        </w:rPr>
        <w:t>可以通过系统的用户界面，</w:t>
      </w:r>
      <w:r>
        <w:rPr>
          <w:rFonts w:hint="eastAsia" w:ascii="仿宋_GB2312" w:eastAsia="仿宋_GB2312"/>
          <w:sz w:val="32"/>
          <w:szCs w:val="32"/>
        </w:rPr>
        <w:t>通过</w:t>
      </w:r>
      <w:r>
        <w:rPr>
          <w:rFonts w:ascii="仿宋_GB2312" w:eastAsia="仿宋_GB2312"/>
          <w:sz w:val="32"/>
          <w:szCs w:val="32"/>
        </w:rPr>
        <w:t>指定时间范围、</w:t>
      </w:r>
      <w:r>
        <w:rPr>
          <w:rFonts w:hint="eastAsia" w:ascii="仿宋_GB2312" w:eastAsia="仿宋_GB2312"/>
          <w:sz w:val="32"/>
          <w:szCs w:val="32"/>
        </w:rPr>
        <w:t>用户名</w:t>
      </w:r>
      <w:r>
        <w:rPr>
          <w:rFonts w:ascii="仿宋_GB2312" w:eastAsia="仿宋_GB2312"/>
          <w:sz w:val="32"/>
          <w:szCs w:val="32"/>
        </w:rPr>
        <w:t>等条件，下载符合条件的日志文件。</w:t>
      </w:r>
    </w:p>
    <w:p w14:paraId="2C182AC2">
      <w:pPr>
        <w:pStyle w:val="6"/>
        <w:numPr>
          <w:ilvl w:val="2"/>
          <w:numId w:val="2"/>
        </w:numPr>
        <w:rPr>
          <w:rFonts w:ascii="仿宋" w:hAnsi="仿宋" w:eastAsia="仿宋" w:cs="仿宋"/>
        </w:rPr>
      </w:pPr>
      <w:r>
        <w:rPr>
          <w:rFonts w:hint="eastAsia" w:ascii="仿宋" w:hAnsi="仿宋" w:eastAsia="仿宋" w:cs="仿宋"/>
        </w:rPr>
        <w:t>日志分析</w:t>
      </w:r>
    </w:p>
    <w:p w14:paraId="4109E464">
      <w:pPr>
        <w:pStyle w:val="48"/>
        <w:ind w:firstLine="560" w:firstLineChars="175"/>
        <w:rPr>
          <w:rFonts w:ascii="仿宋_GB2312" w:eastAsia="仿宋_GB2312"/>
          <w:sz w:val="32"/>
          <w:szCs w:val="32"/>
        </w:rPr>
      </w:pPr>
      <w:r>
        <w:rPr>
          <w:rFonts w:hint="eastAsia" w:ascii="仿宋_GB2312" w:eastAsia="仿宋_GB2312"/>
          <w:sz w:val="32"/>
          <w:szCs w:val="32"/>
        </w:rPr>
        <w:t>提供多种日志分析底层功能建设；支持实时接入案件、车辆、高风险人员其他业务数据，进行碰撞比对，为预警服务进行产出，提升预警准确性。</w:t>
      </w:r>
    </w:p>
    <w:p w14:paraId="0694F2BB">
      <w:pPr>
        <w:pStyle w:val="48"/>
        <w:ind w:firstLine="560" w:firstLineChars="175"/>
        <w:rPr>
          <w:rFonts w:ascii="仿宋_GB2312" w:eastAsia="仿宋_GB2312"/>
          <w:sz w:val="32"/>
          <w:szCs w:val="32"/>
        </w:rPr>
      </w:pPr>
      <w:r>
        <w:rPr>
          <w:rFonts w:hint="eastAsia" w:ascii="仿宋_GB2312" w:eastAsia="仿宋_GB2312"/>
          <w:sz w:val="32"/>
          <w:szCs w:val="32"/>
        </w:rPr>
        <w:t>支持建立红名单人员库、白名单人员库、特定人员库，作为系统基础数据，提供作为日志分析补充能力。支持模版导入功能、支持批量导出、新增、修改、删除等功能；</w:t>
      </w:r>
    </w:p>
    <w:p w14:paraId="780152A0">
      <w:pPr>
        <w:pStyle w:val="6"/>
        <w:numPr>
          <w:ilvl w:val="2"/>
          <w:numId w:val="2"/>
        </w:numPr>
        <w:rPr>
          <w:rFonts w:ascii="仿宋" w:hAnsi="仿宋" w:eastAsia="仿宋" w:cs="仿宋"/>
        </w:rPr>
      </w:pPr>
      <w:r>
        <w:rPr>
          <w:rFonts w:hint="eastAsia" w:ascii="仿宋" w:hAnsi="仿宋" w:eastAsia="仿宋" w:cs="仿宋"/>
        </w:rPr>
        <w:t>模型建设</w:t>
      </w:r>
    </w:p>
    <w:p w14:paraId="02C97272">
      <w:pPr>
        <w:pStyle w:val="48"/>
        <w:ind w:firstLine="560" w:firstLineChars="175"/>
        <w:rPr>
          <w:rFonts w:ascii="仿宋_GB2312" w:eastAsia="仿宋_GB2312"/>
          <w:sz w:val="32"/>
          <w:szCs w:val="32"/>
        </w:rPr>
      </w:pPr>
      <w:r>
        <w:rPr>
          <w:rFonts w:hint="eastAsia" w:ascii="仿宋_GB2312" w:eastAsia="仿宋_GB2312"/>
          <w:sz w:val="32"/>
          <w:szCs w:val="32"/>
        </w:rPr>
        <w:t>提供模型图形化配置界面或编程接口，支持自定义模型搭建，允许用户根据需求构建自定义的算法模型。提供不活跃账号异常启用模型、非执法办案部门查询模型、异常查询公安内部人员信息模型、反复查询同一信息模型、非案件承办人查询案件信息模型、超业务范围查询案件模型、查询交通事故涉及轨迹模型、异常查询接报警事件模型等模型模版。</w:t>
      </w:r>
    </w:p>
    <w:p w14:paraId="50A3F46A">
      <w:pPr>
        <w:pStyle w:val="6"/>
        <w:numPr>
          <w:ilvl w:val="2"/>
          <w:numId w:val="2"/>
        </w:numPr>
        <w:rPr>
          <w:rFonts w:ascii="仿宋" w:hAnsi="仿宋" w:eastAsia="仿宋" w:cs="仿宋"/>
        </w:rPr>
      </w:pPr>
      <w:r>
        <w:rPr>
          <w:rFonts w:hint="eastAsia" w:ascii="仿宋" w:hAnsi="仿宋" w:eastAsia="仿宋" w:cs="仿宋"/>
        </w:rPr>
        <w:t>模型配置</w:t>
      </w:r>
    </w:p>
    <w:p w14:paraId="2A05D071">
      <w:pPr>
        <w:pStyle w:val="48"/>
        <w:ind w:firstLine="560" w:firstLineChars="175"/>
        <w:rPr>
          <w:rFonts w:ascii="仿宋_GB2312" w:eastAsia="仿宋_GB2312"/>
          <w:sz w:val="32"/>
          <w:szCs w:val="32"/>
        </w:rPr>
      </w:pPr>
      <w:r>
        <w:rPr>
          <w:rFonts w:hint="eastAsia" w:ascii="仿宋_GB2312" w:eastAsia="仿宋_GB2312"/>
          <w:sz w:val="32"/>
          <w:szCs w:val="32"/>
        </w:rPr>
        <w:t>通过前端页面对系统内的所有告警模型进行参数设置，包括触发阈值、触发时间、启用/停用、模型名称、模型描述、告警级别等参数设置。</w:t>
      </w:r>
    </w:p>
    <w:p w14:paraId="61625206">
      <w:pPr>
        <w:pStyle w:val="6"/>
        <w:numPr>
          <w:ilvl w:val="2"/>
          <w:numId w:val="2"/>
        </w:numPr>
        <w:rPr>
          <w:rFonts w:ascii="仿宋" w:hAnsi="仿宋" w:eastAsia="仿宋" w:cs="仿宋"/>
        </w:rPr>
      </w:pPr>
      <w:r>
        <w:rPr>
          <w:rFonts w:hint="eastAsia" w:ascii="仿宋" w:hAnsi="仿宋" w:eastAsia="仿宋" w:cs="仿宋"/>
        </w:rPr>
        <w:t>模型碰撞比对</w:t>
      </w:r>
    </w:p>
    <w:p w14:paraId="526AC3AD">
      <w:pPr>
        <w:pStyle w:val="48"/>
        <w:ind w:firstLine="560" w:firstLineChars="175"/>
        <w:rPr>
          <w:rFonts w:ascii="仿宋_GB2312" w:eastAsia="仿宋_GB2312"/>
          <w:sz w:val="32"/>
          <w:szCs w:val="32"/>
        </w:rPr>
      </w:pPr>
      <w:r>
        <w:rPr>
          <w:rFonts w:hint="eastAsia" w:ascii="仿宋_GB2312" w:eastAsia="仿宋_GB2312"/>
          <w:sz w:val="32"/>
          <w:szCs w:val="32"/>
        </w:rPr>
        <w:t>满足用户自主进行多个模型碰撞分析需求，可以在模型目录选择多个模型，对于模型数据结果的交集、差集、并集进行分析。</w:t>
      </w:r>
    </w:p>
    <w:p w14:paraId="66915FFB">
      <w:pPr>
        <w:pStyle w:val="6"/>
        <w:numPr>
          <w:ilvl w:val="2"/>
          <w:numId w:val="2"/>
        </w:numPr>
        <w:rPr>
          <w:rFonts w:ascii="仿宋" w:hAnsi="仿宋" w:eastAsia="仿宋" w:cs="仿宋"/>
        </w:rPr>
      </w:pPr>
      <w:r>
        <w:rPr>
          <w:rFonts w:hint="eastAsia" w:ascii="仿宋" w:hAnsi="仿宋" w:eastAsia="仿宋" w:cs="仿宋"/>
        </w:rPr>
        <w:t>告警中心</w:t>
      </w:r>
    </w:p>
    <w:p w14:paraId="594E1BB6">
      <w:pPr>
        <w:pStyle w:val="48"/>
        <w:ind w:firstLine="560" w:firstLineChars="175"/>
        <w:rPr>
          <w:rFonts w:ascii="仿宋_GB2312" w:eastAsia="仿宋_GB2312"/>
          <w:sz w:val="32"/>
          <w:szCs w:val="32"/>
        </w:rPr>
      </w:pPr>
      <w:r>
        <w:rPr>
          <w:rFonts w:hint="eastAsia" w:ascii="仿宋_GB2312" w:eastAsia="仿宋_GB2312"/>
          <w:sz w:val="32"/>
          <w:szCs w:val="32"/>
        </w:rPr>
        <w:t>支持告警类型筛选、告警时间查询，展示告警事件总数、告警用户数、告警应用数、告警终端数、告警趋势（时间分布）、告警类型分布、TOP告警用户、TOP告警应用等信息。</w:t>
      </w:r>
    </w:p>
    <w:p w14:paraId="24483AEE">
      <w:pPr>
        <w:pStyle w:val="6"/>
        <w:numPr>
          <w:ilvl w:val="2"/>
          <w:numId w:val="2"/>
        </w:numPr>
        <w:rPr>
          <w:rFonts w:ascii="仿宋" w:hAnsi="仿宋" w:eastAsia="仿宋" w:cs="仿宋"/>
        </w:rPr>
      </w:pPr>
      <w:r>
        <w:rPr>
          <w:rFonts w:hint="eastAsia" w:ascii="仿宋" w:hAnsi="仿宋" w:eastAsia="仿宋" w:cs="仿宋"/>
        </w:rPr>
        <w:t>用户画像</w:t>
      </w:r>
    </w:p>
    <w:p w14:paraId="3B2FB242">
      <w:pPr>
        <w:pStyle w:val="48"/>
        <w:ind w:firstLine="560" w:firstLineChars="175"/>
        <w:rPr>
          <w:rFonts w:ascii="仿宋_GB2312" w:eastAsia="仿宋_GB2312"/>
          <w:sz w:val="32"/>
          <w:szCs w:val="32"/>
        </w:rPr>
      </w:pPr>
      <w:r>
        <w:rPr>
          <w:rFonts w:hint="eastAsia" w:ascii="仿宋_GB2312" w:eastAsia="仿宋_GB2312"/>
          <w:sz w:val="32"/>
          <w:szCs w:val="32"/>
        </w:rPr>
        <w:t>基于用户的行为日志和基础属性信息对用户进行刻画。包括但不限于姓名、编号、岗位、身份证号、性别、单位部门、常访问应用、常用</w:t>
      </w:r>
      <w:r>
        <w:rPr>
          <w:rFonts w:ascii="仿宋_GB2312" w:eastAsia="仿宋_GB2312"/>
          <w:sz w:val="32"/>
          <w:szCs w:val="32"/>
        </w:rPr>
        <w:t>IP、访问时间分布、告警数等信息</w:t>
      </w:r>
      <w:r>
        <w:rPr>
          <w:rFonts w:hint="eastAsia" w:ascii="仿宋_GB2312" w:eastAsia="仿宋_GB2312"/>
          <w:sz w:val="32"/>
          <w:szCs w:val="32"/>
        </w:rPr>
        <w:t>。</w:t>
      </w:r>
    </w:p>
    <w:p w14:paraId="5EB65897">
      <w:pPr>
        <w:pStyle w:val="48"/>
        <w:ind w:firstLine="560" w:firstLineChars="175"/>
        <w:rPr>
          <w:rFonts w:ascii="仿宋_GB2312" w:eastAsia="仿宋_GB2312"/>
          <w:sz w:val="32"/>
          <w:szCs w:val="32"/>
        </w:rPr>
      </w:pPr>
    </w:p>
    <w:p w14:paraId="02A2FEF4">
      <w:pPr>
        <w:pStyle w:val="6"/>
        <w:numPr>
          <w:ilvl w:val="2"/>
          <w:numId w:val="2"/>
        </w:numPr>
        <w:rPr>
          <w:rFonts w:ascii="仿宋" w:hAnsi="仿宋" w:eastAsia="仿宋" w:cs="仿宋"/>
        </w:rPr>
      </w:pPr>
      <w:r>
        <w:rPr>
          <w:rFonts w:hint="eastAsia" w:ascii="仿宋" w:hAnsi="仿宋" w:eastAsia="仿宋" w:cs="仿宋"/>
        </w:rPr>
        <w:t>应用画像</w:t>
      </w:r>
    </w:p>
    <w:p w14:paraId="54AAD98D">
      <w:pPr>
        <w:pStyle w:val="48"/>
        <w:ind w:firstLine="560" w:firstLineChars="175"/>
        <w:rPr>
          <w:rFonts w:ascii="仿宋_GB2312" w:eastAsia="仿宋_GB2312"/>
          <w:sz w:val="32"/>
          <w:szCs w:val="32"/>
        </w:rPr>
      </w:pPr>
      <w:r>
        <w:rPr>
          <w:rFonts w:hint="eastAsia" w:ascii="仿宋_GB2312" w:eastAsia="仿宋_GB2312"/>
          <w:sz w:val="32"/>
          <w:szCs w:val="32"/>
        </w:rPr>
        <w:t>基于应用日志和基础属性信息对应用系统进行刻画。包括但不限于应用名称、负责人、应用类型、敏感等级、所属机构、用户数、告警数、日志量、跨区域访问数、访问用户</w:t>
      </w:r>
      <w:r>
        <w:rPr>
          <w:rFonts w:ascii="仿宋_GB2312" w:eastAsia="仿宋_GB2312"/>
          <w:sz w:val="32"/>
          <w:szCs w:val="32"/>
        </w:rPr>
        <w:t>TOP10等信息</w:t>
      </w:r>
      <w:r>
        <w:rPr>
          <w:rFonts w:hint="eastAsia" w:ascii="仿宋_GB2312" w:eastAsia="仿宋_GB2312"/>
          <w:sz w:val="32"/>
          <w:szCs w:val="32"/>
        </w:rPr>
        <w:t>。</w:t>
      </w:r>
    </w:p>
    <w:p w14:paraId="14C997A9">
      <w:pPr>
        <w:pStyle w:val="6"/>
        <w:numPr>
          <w:ilvl w:val="2"/>
          <w:numId w:val="2"/>
        </w:numPr>
        <w:rPr>
          <w:rFonts w:ascii="仿宋" w:hAnsi="仿宋" w:eastAsia="仿宋" w:cs="仿宋"/>
        </w:rPr>
      </w:pPr>
      <w:r>
        <w:rPr>
          <w:rFonts w:hint="eastAsia" w:ascii="仿宋" w:hAnsi="仿宋" w:eastAsia="仿宋" w:cs="仿宋"/>
        </w:rPr>
        <w:t>终端画像</w:t>
      </w:r>
    </w:p>
    <w:p w14:paraId="08A33397">
      <w:pPr>
        <w:pStyle w:val="48"/>
        <w:ind w:firstLine="560" w:firstLineChars="175"/>
        <w:rPr>
          <w:rFonts w:ascii="仿宋_GB2312" w:eastAsia="仿宋_GB2312"/>
          <w:sz w:val="32"/>
          <w:szCs w:val="32"/>
        </w:rPr>
      </w:pPr>
      <w:r>
        <w:rPr>
          <w:rFonts w:hint="eastAsia" w:ascii="仿宋_GB2312" w:eastAsia="仿宋_GB2312"/>
          <w:sz w:val="32"/>
          <w:szCs w:val="32"/>
        </w:rPr>
        <w:t>基于终端行为日志和基础属性信息对终端进行刻画。包括但不限于</w:t>
      </w:r>
      <w:r>
        <w:rPr>
          <w:rFonts w:ascii="仿宋_GB2312" w:eastAsia="仿宋_GB2312"/>
          <w:sz w:val="32"/>
          <w:szCs w:val="32"/>
        </w:rPr>
        <w:t>IP地址、单位部门、告警数量、告警类型、使用用户、访问应用排行等信息</w:t>
      </w:r>
      <w:r>
        <w:rPr>
          <w:rFonts w:hint="eastAsia" w:ascii="仿宋_GB2312" w:eastAsia="仿宋_GB2312"/>
          <w:sz w:val="32"/>
          <w:szCs w:val="32"/>
        </w:rPr>
        <w:t>。</w:t>
      </w:r>
    </w:p>
    <w:p w14:paraId="13967FFA">
      <w:pPr>
        <w:pStyle w:val="6"/>
        <w:numPr>
          <w:ilvl w:val="2"/>
          <w:numId w:val="2"/>
        </w:numPr>
        <w:rPr>
          <w:rFonts w:ascii="仿宋" w:hAnsi="仿宋" w:eastAsia="仿宋" w:cs="仿宋"/>
        </w:rPr>
      </w:pPr>
      <w:r>
        <w:rPr>
          <w:rFonts w:hint="eastAsia" w:ascii="仿宋" w:hAnsi="仿宋" w:eastAsia="仿宋" w:cs="仿宋"/>
        </w:rPr>
        <w:t>组织机构画像</w:t>
      </w:r>
    </w:p>
    <w:p w14:paraId="5C3558DC">
      <w:pPr>
        <w:pStyle w:val="48"/>
        <w:ind w:firstLine="560" w:firstLineChars="175"/>
        <w:rPr>
          <w:rFonts w:ascii="仿宋_GB2312" w:eastAsia="仿宋_GB2312"/>
          <w:sz w:val="32"/>
          <w:szCs w:val="32"/>
        </w:rPr>
      </w:pPr>
      <w:r>
        <w:rPr>
          <w:rFonts w:hint="eastAsia" w:ascii="仿宋_GB2312" w:eastAsia="仿宋_GB2312"/>
          <w:sz w:val="32"/>
          <w:szCs w:val="32"/>
        </w:rPr>
        <w:t>基于用户行为日志进行聚类分析，对组织机构进行刻画。包括但不限于机构详情、机构告警类型占比、机构人员预警、机构活跃用户、机构人员访问系统排名、机构终端日志</w:t>
      </w:r>
      <w:r>
        <w:rPr>
          <w:rFonts w:ascii="仿宋_GB2312" w:eastAsia="仿宋_GB2312"/>
          <w:sz w:val="32"/>
          <w:szCs w:val="32"/>
        </w:rPr>
        <w:t>top排行、机构时间日志数分布等信息</w:t>
      </w:r>
      <w:r>
        <w:rPr>
          <w:rFonts w:hint="eastAsia" w:ascii="仿宋_GB2312" w:eastAsia="仿宋_GB2312"/>
          <w:sz w:val="32"/>
          <w:szCs w:val="32"/>
        </w:rPr>
        <w:t>。</w:t>
      </w:r>
    </w:p>
    <w:p w14:paraId="4CE0CA9A">
      <w:pPr>
        <w:pStyle w:val="5"/>
        <w:numPr>
          <w:ilvl w:val="1"/>
          <w:numId w:val="2"/>
        </w:numPr>
        <w:rPr>
          <w:rFonts w:ascii="楷体_GB2312" w:eastAsia="楷体_GB2312" w:cs="黑体"/>
          <w:b w:val="0"/>
          <w:bCs w:val="0"/>
          <w:sz w:val="32"/>
        </w:rPr>
      </w:pPr>
      <w:r>
        <w:rPr>
          <w:rFonts w:hint="eastAsia" w:ascii="楷体_GB2312" w:eastAsia="楷体_GB2312" w:cs="黑体"/>
          <w:b w:val="0"/>
          <w:bCs w:val="0"/>
          <w:sz w:val="32"/>
        </w:rPr>
        <w:t>平台维护功能</w:t>
      </w:r>
    </w:p>
    <w:p w14:paraId="55A944C7">
      <w:pPr>
        <w:pStyle w:val="6"/>
        <w:numPr>
          <w:ilvl w:val="2"/>
          <w:numId w:val="2"/>
        </w:numPr>
        <w:rPr>
          <w:rFonts w:ascii="仿宋" w:hAnsi="仿宋" w:eastAsia="仿宋" w:cs="仿宋"/>
        </w:rPr>
      </w:pPr>
      <w:r>
        <w:rPr>
          <w:rFonts w:hint="eastAsia" w:ascii="仿宋" w:hAnsi="仿宋" w:eastAsia="仿宋" w:cs="仿宋"/>
        </w:rPr>
        <w:t>统计报表生成</w:t>
      </w:r>
    </w:p>
    <w:p w14:paraId="65A9EE46">
      <w:pPr>
        <w:pStyle w:val="48"/>
        <w:ind w:firstLine="560" w:firstLineChars="175"/>
        <w:rPr>
          <w:rFonts w:ascii="仿宋_GB2312" w:eastAsia="仿宋_GB2312"/>
          <w:sz w:val="32"/>
          <w:szCs w:val="32"/>
        </w:rPr>
      </w:pPr>
      <w:r>
        <w:rPr>
          <w:rFonts w:hint="eastAsia" w:ascii="仿宋_GB2312" w:eastAsia="仿宋_GB2312"/>
          <w:sz w:val="32"/>
          <w:szCs w:val="32"/>
        </w:rPr>
        <w:t>基于预置规则生成各种报表，如日报、周报、月报等，并支持多种形式的展示方式，如表格、图表等，方便管理者快速了解用户异常行为情况、系统运行情况。</w:t>
      </w:r>
    </w:p>
    <w:p w14:paraId="37C28199">
      <w:pPr>
        <w:pStyle w:val="6"/>
        <w:numPr>
          <w:ilvl w:val="2"/>
          <w:numId w:val="2"/>
        </w:numPr>
        <w:rPr>
          <w:rFonts w:ascii="仿宋" w:hAnsi="仿宋" w:eastAsia="仿宋" w:cs="仿宋"/>
        </w:rPr>
      </w:pPr>
      <w:r>
        <w:rPr>
          <w:rFonts w:hint="eastAsia" w:ascii="仿宋" w:hAnsi="仿宋" w:eastAsia="仿宋" w:cs="仿宋"/>
        </w:rPr>
        <w:t>重点关注对象</w:t>
      </w:r>
    </w:p>
    <w:p w14:paraId="684FEAD2">
      <w:pPr>
        <w:pStyle w:val="48"/>
        <w:ind w:firstLine="560" w:firstLineChars="175"/>
        <w:rPr>
          <w:rFonts w:ascii="仿宋_GB2312" w:eastAsia="仿宋_GB2312"/>
          <w:sz w:val="32"/>
          <w:szCs w:val="32"/>
        </w:rPr>
      </w:pPr>
      <w:r>
        <w:rPr>
          <w:rFonts w:hint="eastAsia" w:ascii="仿宋_GB2312" w:eastAsia="仿宋_GB2312"/>
          <w:sz w:val="32"/>
          <w:szCs w:val="32"/>
        </w:rPr>
        <w:t>用户可以设置重点关注对象，</w:t>
      </w:r>
      <w:r>
        <w:rPr>
          <w:rFonts w:ascii="仿宋_GB2312" w:eastAsia="仿宋_GB2312"/>
          <w:sz w:val="32"/>
          <w:szCs w:val="32"/>
        </w:rPr>
        <w:t>用于监控和预警特定对象（如</w:t>
      </w:r>
      <w:r>
        <w:rPr>
          <w:rFonts w:hint="eastAsia" w:ascii="仿宋_GB2312" w:eastAsia="仿宋_GB2312"/>
          <w:sz w:val="32"/>
          <w:szCs w:val="32"/>
        </w:rPr>
        <w:t>用户、终端</w:t>
      </w:r>
      <w:r>
        <w:rPr>
          <w:rFonts w:ascii="仿宋_GB2312" w:eastAsia="仿宋_GB2312"/>
          <w:sz w:val="32"/>
          <w:szCs w:val="32"/>
        </w:rPr>
        <w:t>）</w:t>
      </w:r>
      <w:r>
        <w:rPr>
          <w:rFonts w:hint="eastAsia" w:ascii="仿宋_GB2312" w:eastAsia="仿宋_GB2312"/>
          <w:sz w:val="32"/>
          <w:szCs w:val="32"/>
        </w:rPr>
        <w:t>的访问行为</w:t>
      </w:r>
      <w:r>
        <w:rPr>
          <w:rFonts w:ascii="仿宋_GB2312" w:eastAsia="仿宋_GB2312"/>
          <w:sz w:val="32"/>
          <w:szCs w:val="32"/>
        </w:rPr>
        <w:t>活动</w:t>
      </w:r>
      <w:r>
        <w:rPr>
          <w:rFonts w:hint="eastAsia" w:ascii="仿宋_GB2312" w:eastAsia="仿宋_GB2312"/>
          <w:sz w:val="32"/>
          <w:szCs w:val="32"/>
        </w:rPr>
        <w:t>，</w:t>
      </w:r>
      <w:r>
        <w:rPr>
          <w:rFonts w:ascii="仿宋_GB2312" w:eastAsia="仿宋_GB2312"/>
          <w:sz w:val="32"/>
          <w:szCs w:val="32"/>
        </w:rPr>
        <w:t>一旦其</w:t>
      </w:r>
      <w:r>
        <w:rPr>
          <w:rFonts w:hint="eastAsia" w:ascii="仿宋_GB2312" w:eastAsia="仿宋_GB2312"/>
          <w:sz w:val="32"/>
          <w:szCs w:val="32"/>
        </w:rPr>
        <w:t>行为</w:t>
      </w:r>
      <w:r>
        <w:rPr>
          <w:rFonts w:ascii="仿宋_GB2312" w:eastAsia="仿宋_GB2312"/>
          <w:sz w:val="32"/>
          <w:szCs w:val="32"/>
        </w:rPr>
        <w:t>出现异常或符合预设的预警条件，系统立即触发预警</w:t>
      </w:r>
      <w:r>
        <w:rPr>
          <w:rFonts w:hint="eastAsia" w:ascii="仿宋_GB2312" w:eastAsia="仿宋_GB2312"/>
          <w:sz w:val="32"/>
          <w:szCs w:val="32"/>
        </w:rPr>
        <w:t>。管理员能够在关注对象列表中，查询关注对象的日志记录、告警等信息，方便管理员对被关注对象（用户和终端）进行快速便捷的日志审计和分析。</w:t>
      </w:r>
    </w:p>
    <w:p w14:paraId="6D23E512">
      <w:pPr>
        <w:pStyle w:val="6"/>
        <w:numPr>
          <w:ilvl w:val="2"/>
          <w:numId w:val="2"/>
        </w:numPr>
        <w:rPr>
          <w:rFonts w:ascii="仿宋" w:hAnsi="仿宋" w:eastAsia="仿宋" w:cs="仿宋"/>
        </w:rPr>
      </w:pPr>
      <w:r>
        <w:rPr>
          <w:rFonts w:hint="eastAsia" w:ascii="仿宋" w:hAnsi="仿宋" w:eastAsia="仿宋" w:cs="仿宋"/>
        </w:rPr>
        <w:t>系统配置管理</w:t>
      </w:r>
    </w:p>
    <w:p w14:paraId="7AD3C0CE">
      <w:pPr>
        <w:pStyle w:val="48"/>
        <w:ind w:firstLine="560" w:firstLineChars="175"/>
        <w:rPr>
          <w:rFonts w:ascii="仿宋_GB2312" w:eastAsia="仿宋_GB2312"/>
          <w:sz w:val="32"/>
          <w:szCs w:val="32"/>
        </w:rPr>
      </w:pPr>
      <w:r>
        <w:rPr>
          <w:rFonts w:hint="eastAsia" w:ascii="仿宋_GB2312" w:eastAsia="仿宋_GB2312"/>
          <w:sz w:val="32"/>
          <w:szCs w:val="32"/>
        </w:rPr>
        <w:t>提供平台的基本配置设置功能，包括参数配置、网络连接配置、运行状态监控管理等。</w:t>
      </w:r>
    </w:p>
    <w:p w14:paraId="3CA9ED70">
      <w:pPr>
        <w:pStyle w:val="6"/>
        <w:numPr>
          <w:ilvl w:val="2"/>
          <w:numId w:val="2"/>
        </w:numPr>
        <w:rPr>
          <w:rFonts w:ascii="仿宋" w:hAnsi="仿宋" w:eastAsia="仿宋" w:cs="仿宋"/>
        </w:rPr>
      </w:pPr>
      <w:r>
        <w:rPr>
          <w:rFonts w:hint="eastAsia" w:ascii="仿宋" w:hAnsi="仿宋" w:eastAsia="仿宋" w:cs="仿宋"/>
        </w:rPr>
        <w:t>用户管理</w:t>
      </w:r>
    </w:p>
    <w:p w14:paraId="27300842">
      <w:pPr>
        <w:pStyle w:val="48"/>
        <w:ind w:firstLine="560" w:firstLineChars="175"/>
        <w:rPr>
          <w:rFonts w:ascii="仿宋_GB2312" w:eastAsia="仿宋_GB2312"/>
          <w:sz w:val="32"/>
          <w:szCs w:val="32"/>
        </w:rPr>
      </w:pPr>
      <w:r>
        <w:rPr>
          <w:rFonts w:hint="eastAsia" w:ascii="仿宋_GB2312" w:eastAsia="仿宋_GB2312"/>
          <w:sz w:val="32"/>
          <w:szCs w:val="32"/>
        </w:rPr>
        <w:t>负责管理系统的用户及其相关信息。包括用户的注册、登录、密码找回、账户禁用</w:t>
      </w:r>
      <w:r>
        <w:rPr>
          <w:rFonts w:ascii="仿宋_GB2312" w:eastAsia="仿宋_GB2312"/>
          <w:sz w:val="32"/>
          <w:szCs w:val="32"/>
        </w:rPr>
        <w:t>/启用、分配初始密码、组织结构管理等。用户与组织机构进行映射，提供树状层级结构目录，可以更加清晰地反映用户与组织机构的关系，并支持用户查找，支持用户信息导入导出</w:t>
      </w:r>
      <w:r>
        <w:rPr>
          <w:rFonts w:hint="eastAsia" w:ascii="仿宋_GB2312" w:eastAsia="仿宋_GB2312"/>
          <w:sz w:val="32"/>
          <w:szCs w:val="32"/>
        </w:rPr>
        <w:t>。</w:t>
      </w:r>
    </w:p>
    <w:p w14:paraId="64419689">
      <w:pPr>
        <w:pStyle w:val="6"/>
        <w:numPr>
          <w:ilvl w:val="2"/>
          <w:numId w:val="2"/>
        </w:numPr>
        <w:rPr>
          <w:rFonts w:ascii="仿宋" w:hAnsi="仿宋" w:eastAsia="仿宋" w:cs="仿宋"/>
        </w:rPr>
      </w:pPr>
      <w:r>
        <w:rPr>
          <w:rFonts w:hint="eastAsia" w:ascii="仿宋" w:hAnsi="仿宋" w:eastAsia="仿宋" w:cs="仿宋"/>
        </w:rPr>
        <w:t>权限管理</w:t>
      </w:r>
    </w:p>
    <w:p w14:paraId="612B9430">
      <w:pPr>
        <w:pStyle w:val="48"/>
        <w:ind w:firstLine="560" w:firstLineChars="175"/>
        <w:rPr>
          <w:rFonts w:ascii="仿宋_GB2312" w:eastAsia="仿宋_GB2312"/>
          <w:sz w:val="32"/>
          <w:szCs w:val="32"/>
        </w:rPr>
      </w:pPr>
      <w:r>
        <w:rPr>
          <w:rFonts w:hint="eastAsia" w:ascii="仿宋_GB2312" w:eastAsia="仿宋_GB2312"/>
          <w:sz w:val="32"/>
          <w:szCs w:val="32"/>
        </w:rPr>
        <w:t>支持为不同用户分配不同的权限，控制他们对系统资源的访问和操作。支持角色管理，管理员可以定义不同的角色，并为每个角色分配一组权限。基于树状层级结构进行权限控制，可以提供更高的安全性，也便于权限和角色的继承，可以大大减少管理员的工作量。支持分层分级管理，分为多层级管理员、多层级使用员，且为分局、市局业务单位所有政工干部根据不同需求，开通相应的角色权限。</w:t>
      </w:r>
    </w:p>
    <w:p w14:paraId="2AF03515">
      <w:pPr>
        <w:pStyle w:val="48"/>
        <w:ind w:firstLine="560" w:firstLineChars="175"/>
        <w:rPr>
          <w:rFonts w:ascii="仿宋_GB2312" w:eastAsia="仿宋_GB2312"/>
          <w:sz w:val="32"/>
          <w:szCs w:val="32"/>
        </w:rPr>
      </w:pPr>
      <w:r>
        <w:rPr>
          <w:rFonts w:hint="eastAsia" w:ascii="仿宋_GB2312" w:eastAsia="仿宋_GB2312"/>
          <w:sz w:val="32"/>
          <w:szCs w:val="32"/>
        </w:rPr>
        <w:t>支持1、2、3级管理员权限管理，上级管理员可查看下级管理员的使用情况，如登录天数、登录次数、登录时间分布等信息。3级管理员可查看下级用户列表信息，以及下级的日志数据概况（访问量、告警数等），能够从用户列表点击人员，跳转查看人员档案。</w:t>
      </w:r>
    </w:p>
    <w:p w14:paraId="1898DF3C">
      <w:pPr>
        <w:pStyle w:val="48"/>
        <w:ind w:firstLine="560" w:firstLineChars="175"/>
        <w:rPr>
          <w:rFonts w:ascii="仿宋_GB2312" w:eastAsia="仿宋_GB2312"/>
          <w:sz w:val="32"/>
          <w:szCs w:val="32"/>
        </w:rPr>
      </w:pPr>
      <w:r>
        <w:rPr>
          <w:rFonts w:hint="eastAsia" w:ascii="仿宋_GB2312" w:eastAsia="仿宋_GB2312"/>
          <w:sz w:val="32"/>
          <w:szCs w:val="32"/>
        </w:rPr>
        <w:t>权限管理功能</w:t>
      </w:r>
      <w:r>
        <w:rPr>
          <w:rFonts w:ascii="仿宋_GB2312" w:eastAsia="仿宋_GB2312"/>
          <w:sz w:val="32"/>
          <w:szCs w:val="32"/>
        </w:rPr>
        <w:t>够随着人员调动和人员组织机构变更</w:t>
      </w:r>
      <w:r>
        <w:rPr>
          <w:rFonts w:hint="eastAsia" w:ascii="仿宋_GB2312" w:eastAsia="仿宋_GB2312"/>
          <w:sz w:val="32"/>
          <w:szCs w:val="32"/>
        </w:rPr>
        <w:t>，实现</w:t>
      </w:r>
      <w:r>
        <w:rPr>
          <w:rFonts w:ascii="仿宋_GB2312" w:eastAsia="仿宋_GB2312"/>
          <w:sz w:val="32"/>
          <w:szCs w:val="32"/>
        </w:rPr>
        <w:t>自动回收权限</w:t>
      </w:r>
      <w:r>
        <w:rPr>
          <w:rFonts w:hint="eastAsia" w:ascii="仿宋_GB2312" w:eastAsia="仿宋_GB2312"/>
          <w:sz w:val="32"/>
          <w:szCs w:val="32"/>
        </w:rPr>
        <w:t>。</w:t>
      </w:r>
    </w:p>
    <w:p w14:paraId="16B558FE">
      <w:pPr>
        <w:pStyle w:val="5"/>
        <w:numPr>
          <w:ilvl w:val="1"/>
          <w:numId w:val="2"/>
        </w:numPr>
        <w:rPr>
          <w:rFonts w:ascii="楷体_GB2312" w:eastAsia="楷体_GB2312" w:cs="黑体"/>
          <w:b w:val="0"/>
          <w:bCs w:val="0"/>
          <w:sz w:val="32"/>
        </w:rPr>
      </w:pPr>
      <w:r>
        <w:rPr>
          <w:rFonts w:hint="eastAsia" w:ascii="楷体_GB2312" w:eastAsia="楷体_GB2312" w:cs="黑体"/>
          <w:b w:val="0"/>
          <w:bCs w:val="0"/>
          <w:sz w:val="32"/>
        </w:rPr>
        <w:t>密码改造</w:t>
      </w:r>
    </w:p>
    <w:p w14:paraId="205C9DDF">
      <w:pPr>
        <w:pStyle w:val="48"/>
        <w:ind w:firstLine="640"/>
        <w:rPr>
          <w:rFonts w:ascii="仿宋_GB2312" w:eastAsia="仿宋_GB2312"/>
          <w:sz w:val="32"/>
          <w:szCs w:val="32"/>
        </w:rPr>
      </w:pPr>
      <w:r>
        <w:rPr>
          <w:rFonts w:hint="eastAsia" w:ascii="仿宋_GB2312" w:eastAsia="仿宋_GB2312"/>
          <w:sz w:val="32"/>
          <w:szCs w:val="32"/>
        </w:rPr>
        <w:t>为了</w:t>
      </w:r>
      <w:r>
        <w:rPr>
          <w:rFonts w:ascii="仿宋_GB2312" w:eastAsia="仿宋_GB2312"/>
          <w:sz w:val="32"/>
          <w:szCs w:val="32"/>
        </w:rPr>
        <w:t>确保关键信息基础设施和重要信息系统的密码应用符合国家密码管理的相关法规要求</w:t>
      </w:r>
      <w:r>
        <w:rPr>
          <w:rFonts w:hint="eastAsia" w:ascii="仿宋_GB2312" w:eastAsia="仿宋_GB2312"/>
          <w:sz w:val="32"/>
          <w:szCs w:val="32"/>
        </w:rPr>
        <w:t>，</w:t>
      </w:r>
      <w:r>
        <w:rPr>
          <w:rFonts w:ascii="仿宋_GB2312" w:eastAsia="仿宋_GB2312"/>
          <w:sz w:val="32"/>
          <w:szCs w:val="32"/>
        </w:rPr>
        <w:t>对</w:t>
      </w:r>
      <w:r>
        <w:rPr>
          <w:rFonts w:hint="eastAsia" w:ascii="仿宋_GB2312" w:eastAsia="仿宋_GB2312"/>
          <w:sz w:val="32"/>
          <w:szCs w:val="32"/>
        </w:rPr>
        <w:t>智能分析系统的</w:t>
      </w:r>
      <w:r>
        <w:rPr>
          <w:rFonts w:ascii="仿宋_GB2312" w:eastAsia="仿宋_GB2312"/>
          <w:sz w:val="32"/>
          <w:szCs w:val="32"/>
        </w:rPr>
        <w:t>密码算法进行评估，选择符合国家密码管理要求的算法进行升级</w:t>
      </w:r>
      <w:r>
        <w:rPr>
          <w:rFonts w:hint="eastAsia" w:ascii="仿宋_GB2312" w:eastAsia="仿宋_GB2312"/>
          <w:sz w:val="32"/>
          <w:szCs w:val="32"/>
        </w:rPr>
        <w:t>，</w:t>
      </w:r>
      <w:r>
        <w:rPr>
          <w:rFonts w:ascii="仿宋_GB2312" w:eastAsia="仿宋_GB2312"/>
          <w:sz w:val="32"/>
          <w:szCs w:val="32"/>
        </w:rPr>
        <w:t>将密码应用集成到</w:t>
      </w:r>
      <w:r>
        <w:rPr>
          <w:rFonts w:hint="eastAsia" w:ascii="仿宋_GB2312" w:eastAsia="仿宋_GB2312"/>
          <w:sz w:val="32"/>
          <w:szCs w:val="32"/>
        </w:rPr>
        <w:t>身份鉴别、数据传输、数据加密等</w:t>
      </w:r>
      <w:r>
        <w:rPr>
          <w:rFonts w:ascii="仿宋_GB2312" w:eastAsia="仿宋_GB2312"/>
          <w:sz w:val="32"/>
          <w:szCs w:val="32"/>
        </w:rPr>
        <w:t>模块中</w:t>
      </w:r>
      <w:r>
        <w:rPr>
          <w:rFonts w:hint="eastAsia" w:ascii="仿宋_GB2312" w:eastAsia="仿宋_GB2312"/>
          <w:sz w:val="32"/>
          <w:szCs w:val="32"/>
        </w:rPr>
        <w:t>。</w:t>
      </w:r>
    </w:p>
    <w:p w14:paraId="76AB364A">
      <w:pPr>
        <w:pStyle w:val="5"/>
        <w:numPr>
          <w:ilvl w:val="1"/>
          <w:numId w:val="2"/>
        </w:numPr>
        <w:rPr>
          <w:rFonts w:ascii="楷体_GB2312" w:eastAsia="楷体_GB2312" w:cs="黑体"/>
          <w:b w:val="0"/>
          <w:bCs w:val="0"/>
          <w:sz w:val="32"/>
        </w:rPr>
      </w:pPr>
      <w:bookmarkStart w:id="4" w:name="_Toc144387953"/>
      <w:r>
        <w:rPr>
          <w:rFonts w:hint="eastAsia" w:ascii="楷体_GB2312" w:eastAsia="楷体_GB2312" w:cs="黑体"/>
          <w:b w:val="0"/>
          <w:bCs w:val="0"/>
          <w:sz w:val="32"/>
        </w:rPr>
        <w:t>其他需求</w:t>
      </w:r>
      <w:bookmarkEnd w:id="4"/>
      <w:bookmarkStart w:id="5" w:name="_Toc144387954"/>
    </w:p>
    <w:p w14:paraId="44D55ED6">
      <w:pPr>
        <w:pStyle w:val="6"/>
        <w:numPr>
          <w:ilvl w:val="2"/>
          <w:numId w:val="2"/>
        </w:numPr>
        <w:rPr>
          <w:rFonts w:ascii="仿宋" w:hAnsi="仿宋" w:eastAsia="仿宋" w:cs="仿宋"/>
        </w:rPr>
      </w:pPr>
      <w:r>
        <w:rPr>
          <w:rFonts w:hint="eastAsia" w:ascii="仿宋" w:hAnsi="仿宋" w:eastAsia="仿宋" w:cs="仿宋"/>
        </w:rPr>
        <w:t>关键性能参数</w:t>
      </w:r>
      <w:bookmarkEnd w:id="5"/>
    </w:p>
    <w:p w14:paraId="03506E1F">
      <w:pPr>
        <w:spacing w:line="560" w:lineRule="exact"/>
        <w:ind w:firstLine="640" w:firstLineChars="200"/>
        <w:rPr>
          <w:rFonts w:ascii="仿宋_GB2312" w:hAnsi="仿宋" w:eastAsia="仿宋_GB2312" w:cs="仿宋"/>
          <w:color w:val="000000"/>
          <w:kern w:val="0"/>
          <w:sz w:val="32"/>
        </w:rPr>
      </w:pPr>
      <w:r>
        <w:rPr>
          <w:rFonts w:ascii="仿宋_GB2312" w:hAnsi="仿宋" w:eastAsia="仿宋_GB2312" w:cs="仿宋"/>
          <w:color w:val="000000"/>
          <w:kern w:val="0"/>
          <w:sz w:val="32"/>
        </w:rPr>
        <w:t>用户规模：支持</w:t>
      </w:r>
      <w:r>
        <w:rPr>
          <w:rFonts w:hint="eastAsia" w:ascii="仿宋_GB2312" w:hAnsi="仿宋" w:eastAsia="仿宋_GB2312" w:cs="仿宋"/>
          <w:color w:val="000000"/>
          <w:kern w:val="0"/>
          <w:sz w:val="32"/>
        </w:rPr>
        <w:t>55000</w:t>
      </w:r>
      <w:r>
        <w:rPr>
          <w:rFonts w:ascii="仿宋_GB2312" w:hAnsi="仿宋" w:eastAsia="仿宋_GB2312" w:cs="仿宋"/>
          <w:color w:val="000000"/>
          <w:kern w:val="0"/>
          <w:sz w:val="32"/>
        </w:rPr>
        <w:t>个用户；</w:t>
      </w:r>
    </w:p>
    <w:p w14:paraId="5B75B814">
      <w:pPr>
        <w:spacing w:line="560" w:lineRule="exact"/>
        <w:ind w:firstLine="640" w:firstLineChars="200"/>
        <w:rPr>
          <w:rFonts w:ascii="仿宋_GB2312" w:hAnsi="仿宋" w:eastAsia="仿宋_GB2312" w:cs="仿宋"/>
          <w:color w:val="000000"/>
          <w:kern w:val="0"/>
          <w:sz w:val="32"/>
        </w:rPr>
      </w:pPr>
      <w:r>
        <w:rPr>
          <w:rFonts w:ascii="仿宋_GB2312" w:hAnsi="仿宋" w:eastAsia="仿宋_GB2312" w:cs="仿宋"/>
          <w:color w:val="000000"/>
          <w:kern w:val="0"/>
          <w:sz w:val="32"/>
        </w:rPr>
        <w:t>机构规模：支持</w:t>
      </w:r>
      <w:r>
        <w:rPr>
          <w:rFonts w:hint="eastAsia" w:ascii="仿宋_GB2312" w:hAnsi="仿宋" w:eastAsia="仿宋_GB2312" w:cs="仿宋"/>
          <w:color w:val="000000"/>
          <w:kern w:val="0"/>
          <w:sz w:val="32"/>
        </w:rPr>
        <w:t>1500</w:t>
      </w:r>
      <w:r>
        <w:rPr>
          <w:rFonts w:ascii="仿宋_GB2312" w:hAnsi="仿宋" w:eastAsia="仿宋_GB2312" w:cs="仿宋"/>
          <w:color w:val="000000"/>
          <w:kern w:val="0"/>
          <w:sz w:val="32"/>
        </w:rPr>
        <w:t>个机构；</w:t>
      </w:r>
    </w:p>
    <w:p w14:paraId="5A4CBCA1">
      <w:pPr>
        <w:spacing w:line="560" w:lineRule="exact"/>
        <w:ind w:firstLine="640" w:firstLineChars="200"/>
        <w:rPr>
          <w:rFonts w:ascii="仿宋_GB2312" w:hAnsi="仿宋" w:eastAsia="仿宋_GB2312" w:cs="仿宋"/>
          <w:color w:val="000000"/>
          <w:kern w:val="0"/>
          <w:sz w:val="32"/>
        </w:rPr>
      </w:pPr>
      <w:r>
        <w:rPr>
          <w:rFonts w:hint="eastAsia" w:ascii="仿宋_GB2312" w:hAnsi="仿宋" w:eastAsia="仿宋_GB2312" w:cs="仿宋"/>
          <w:color w:val="000000"/>
          <w:kern w:val="0"/>
          <w:sz w:val="32"/>
        </w:rPr>
        <w:t>并发量：支持用户并发150以上；</w:t>
      </w:r>
    </w:p>
    <w:p w14:paraId="7653A0FE">
      <w:pPr>
        <w:spacing w:line="560" w:lineRule="exact"/>
        <w:ind w:firstLine="640" w:firstLineChars="200"/>
        <w:rPr>
          <w:rFonts w:ascii="仿宋_GB2312" w:hAnsi="仿宋" w:eastAsia="仿宋_GB2312" w:cs="仿宋"/>
          <w:color w:val="000000"/>
          <w:kern w:val="0"/>
          <w:sz w:val="32"/>
        </w:rPr>
      </w:pPr>
      <w:r>
        <w:rPr>
          <w:rFonts w:ascii="仿宋_GB2312" w:hAnsi="仿宋" w:eastAsia="仿宋_GB2312" w:cs="仿宋"/>
          <w:color w:val="000000"/>
          <w:kern w:val="0"/>
          <w:sz w:val="32"/>
        </w:rPr>
        <w:t>日志记录数：支持日志</w:t>
      </w:r>
      <w:r>
        <w:rPr>
          <w:rFonts w:hint="eastAsia" w:ascii="仿宋_GB2312" w:hAnsi="仿宋" w:eastAsia="仿宋_GB2312" w:cs="仿宋"/>
          <w:color w:val="000000"/>
          <w:kern w:val="0"/>
          <w:sz w:val="32"/>
        </w:rPr>
        <w:t>数据存储1年以上。</w:t>
      </w:r>
    </w:p>
    <w:p w14:paraId="64376AD5">
      <w:pPr>
        <w:pStyle w:val="6"/>
        <w:numPr>
          <w:ilvl w:val="2"/>
          <w:numId w:val="2"/>
        </w:numPr>
        <w:rPr>
          <w:rFonts w:ascii="仿宋" w:hAnsi="仿宋" w:eastAsia="仿宋" w:cs="仿宋"/>
        </w:rPr>
      </w:pPr>
      <w:bookmarkStart w:id="6" w:name="_Toc144387955"/>
      <w:r>
        <w:rPr>
          <w:rFonts w:hint="eastAsia" w:ascii="仿宋" w:hAnsi="仿宋" w:eastAsia="仿宋" w:cs="仿宋"/>
        </w:rPr>
        <w:t>适配需求</w:t>
      </w:r>
      <w:bookmarkEnd w:id="6"/>
    </w:p>
    <w:p w14:paraId="1DBB2F76">
      <w:pPr>
        <w:spacing w:line="560" w:lineRule="exact"/>
        <w:ind w:firstLine="640" w:firstLineChars="200"/>
        <w:rPr>
          <w:rFonts w:ascii="仿宋_GB2312" w:hAnsi="仿宋" w:eastAsia="仿宋_GB2312" w:cs="仿宋"/>
          <w:color w:val="000000"/>
          <w:kern w:val="0"/>
          <w:sz w:val="32"/>
        </w:rPr>
      </w:pPr>
      <w:r>
        <w:rPr>
          <w:rFonts w:hint="eastAsia" w:ascii="仿宋_GB2312" w:hAnsi="仿宋" w:eastAsia="仿宋_GB2312" w:cs="仿宋"/>
          <w:color w:val="000000"/>
          <w:kern w:val="0"/>
          <w:sz w:val="32"/>
        </w:rPr>
        <w:t>需针对该项目申请的市局服务器、数据库、中间件等资源做好软件适配。</w:t>
      </w:r>
    </w:p>
    <w:p w14:paraId="53ACBA9C">
      <w:pPr>
        <w:pStyle w:val="5"/>
        <w:numPr>
          <w:ilvl w:val="1"/>
          <w:numId w:val="2"/>
        </w:numPr>
        <w:rPr>
          <w:rFonts w:ascii="楷体_GB2312" w:eastAsia="楷体_GB2312" w:cs="黑体"/>
          <w:b w:val="0"/>
          <w:bCs w:val="0"/>
          <w:sz w:val="32"/>
        </w:rPr>
      </w:pPr>
      <w:r>
        <w:rPr>
          <w:rFonts w:hint="eastAsia" w:ascii="楷体_GB2312" w:eastAsia="楷体_GB2312" w:cs="黑体"/>
          <w:b w:val="0"/>
          <w:bCs w:val="0"/>
          <w:sz w:val="32"/>
        </w:rPr>
        <w:t>需求清单</w:t>
      </w:r>
    </w:p>
    <w:p w14:paraId="13C45398">
      <w:pPr>
        <w:pStyle w:val="6"/>
        <w:numPr>
          <w:ilvl w:val="2"/>
          <w:numId w:val="2"/>
        </w:numPr>
        <w:rPr>
          <w:rFonts w:ascii="仿宋" w:hAnsi="仿宋" w:eastAsia="仿宋" w:cs="仿宋"/>
        </w:rPr>
      </w:pPr>
      <w:r>
        <w:rPr>
          <w:rFonts w:hint="eastAsia" w:ascii="仿宋" w:hAnsi="仿宋" w:eastAsia="仿宋" w:cs="仿宋"/>
        </w:rPr>
        <w:t>软件开发需求清单</w:t>
      </w:r>
    </w:p>
    <w:tbl>
      <w:tblPr>
        <w:tblStyle w:val="2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25"/>
        <w:gridCol w:w="1260"/>
        <w:gridCol w:w="5862"/>
      </w:tblGrid>
      <w:tr w14:paraId="1F2D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14:paraId="79EFC155">
            <w:pPr>
              <w:widowControl/>
              <w:adjustRightInd/>
              <w:snapToGrid/>
              <w:spacing w:line="240" w:lineRule="auto"/>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序号</w:t>
            </w:r>
          </w:p>
        </w:tc>
        <w:tc>
          <w:tcPr>
            <w:tcW w:w="725" w:type="dxa"/>
            <w:vAlign w:val="center"/>
          </w:tcPr>
          <w:p w14:paraId="22EE68A7">
            <w:pPr>
              <w:widowControl/>
              <w:adjustRightInd/>
              <w:snapToGrid/>
              <w:spacing w:line="240" w:lineRule="auto"/>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类别</w:t>
            </w:r>
          </w:p>
        </w:tc>
        <w:tc>
          <w:tcPr>
            <w:tcW w:w="1260" w:type="dxa"/>
            <w:vAlign w:val="center"/>
          </w:tcPr>
          <w:p w14:paraId="32A0DBAC">
            <w:pPr>
              <w:widowControl/>
              <w:adjustRightInd/>
              <w:snapToGrid/>
              <w:spacing w:line="240" w:lineRule="auto"/>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功能模块</w:t>
            </w:r>
          </w:p>
        </w:tc>
        <w:tc>
          <w:tcPr>
            <w:tcW w:w="5862" w:type="dxa"/>
            <w:vAlign w:val="center"/>
          </w:tcPr>
          <w:p w14:paraId="184AC187">
            <w:pPr>
              <w:widowControl/>
              <w:adjustRightInd/>
              <w:snapToGrid/>
              <w:spacing w:line="240" w:lineRule="auto"/>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功能描述</w:t>
            </w:r>
          </w:p>
        </w:tc>
      </w:tr>
      <w:tr w14:paraId="0881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307F0FBF">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1</w:t>
            </w:r>
          </w:p>
        </w:tc>
        <w:tc>
          <w:tcPr>
            <w:tcW w:w="725" w:type="dxa"/>
            <w:vMerge w:val="restart"/>
            <w:vAlign w:val="center"/>
          </w:tcPr>
          <w:p w14:paraId="399B5499">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日志采集</w:t>
            </w:r>
          </w:p>
        </w:tc>
        <w:tc>
          <w:tcPr>
            <w:tcW w:w="1260" w:type="dxa"/>
            <w:vAlign w:val="center"/>
          </w:tcPr>
          <w:p w14:paraId="546054DC">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视频专网日志采集模块</w:t>
            </w:r>
          </w:p>
        </w:tc>
        <w:tc>
          <w:tcPr>
            <w:tcW w:w="5862" w:type="dxa"/>
            <w:vAlign w:val="center"/>
          </w:tcPr>
          <w:p w14:paraId="629D4EAF">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对接原阿里云专有存储相应接口，获取原视频专网日志数据，均需并转存到NAS/DAS存储系统；通过主动采集和被动接收方式，获取视频专网视频图像信息系应用日志</w:t>
            </w:r>
          </w:p>
        </w:tc>
      </w:tr>
      <w:tr w14:paraId="5BBC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2A7342ED">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2</w:t>
            </w:r>
          </w:p>
        </w:tc>
        <w:tc>
          <w:tcPr>
            <w:tcW w:w="725" w:type="dxa"/>
            <w:vMerge w:val="continue"/>
            <w:vAlign w:val="center"/>
          </w:tcPr>
          <w:p w14:paraId="02FF3BF0">
            <w:pPr>
              <w:widowControl/>
              <w:adjustRightInd/>
              <w:snapToGrid/>
              <w:spacing w:line="240" w:lineRule="auto"/>
              <w:jc w:val="center"/>
              <w:rPr>
                <w:rFonts w:ascii="仿宋_GB2312" w:eastAsia="仿宋_GB2312" w:cs="宋体"/>
                <w:bCs/>
                <w:color w:val="000000"/>
                <w:kern w:val="0"/>
                <w:sz w:val="24"/>
                <w:szCs w:val="24"/>
              </w:rPr>
            </w:pPr>
          </w:p>
        </w:tc>
        <w:tc>
          <w:tcPr>
            <w:tcW w:w="1260" w:type="dxa"/>
            <w:vAlign w:val="center"/>
          </w:tcPr>
          <w:p w14:paraId="7536AB25">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移动信息网日志采集模块</w:t>
            </w:r>
          </w:p>
        </w:tc>
        <w:tc>
          <w:tcPr>
            <w:tcW w:w="5862" w:type="dxa"/>
            <w:vAlign w:val="center"/>
          </w:tcPr>
          <w:p w14:paraId="42FF4055">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通过主动采集和被动接收方式，获取移动信息网三类区移动警务应用日志。日志采集方式包括</w:t>
            </w:r>
            <w:r>
              <w:rPr>
                <w:rFonts w:ascii="仿宋_GB2312" w:eastAsia="仿宋_GB2312" w:cs="宋体"/>
                <w:bCs/>
                <w:color w:val="000000"/>
                <w:kern w:val="0"/>
                <w:sz w:val="24"/>
                <w:szCs w:val="24"/>
              </w:rPr>
              <w:t>web服务接口方式、数据库接口方式、Kafka消息订阅方式和文件同步方式。</w:t>
            </w:r>
          </w:p>
        </w:tc>
      </w:tr>
      <w:tr w14:paraId="6829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14:paraId="51B4FFB4">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3</w:t>
            </w:r>
          </w:p>
        </w:tc>
        <w:tc>
          <w:tcPr>
            <w:tcW w:w="725" w:type="dxa"/>
            <w:vMerge w:val="restart"/>
            <w:vAlign w:val="center"/>
          </w:tcPr>
          <w:p w14:paraId="11A2A3E5">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日志基础服务</w:t>
            </w:r>
          </w:p>
        </w:tc>
        <w:tc>
          <w:tcPr>
            <w:tcW w:w="1260" w:type="dxa"/>
            <w:vAlign w:val="center"/>
          </w:tcPr>
          <w:p w14:paraId="271FD18E">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查询服务模块</w:t>
            </w:r>
          </w:p>
        </w:tc>
        <w:tc>
          <w:tcPr>
            <w:tcW w:w="5862" w:type="dxa"/>
            <w:vAlign w:val="center"/>
          </w:tcPr>
          <w:p w14:paraId="3C7977D5">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基于平台的数据仓库，提供查询检索服务接口</w:t>
            </w:r>
          </w:p>
        </w:tc>
      </w:tr>
      <w:tr w14:paraId="10C7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441B87D3">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4</w:t>
            </w:r>
          </w:p>
        </w:tc>
        <w:tc>
          <w:tcPr>
            <w:tcW w:w="725" w:type="dxa"/>
            <w:vMerge w:val="continue"/>
            <w:vAlign w:val="center"/>
          </w:tcPr>
          <w:p w14:paraId="26D886D7">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7D8D7209">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订阅服务模块</w:t>
            </w:r>
          </w:p>
        </w:tc>
        <w:tc>
          <w:tcPr>
            <w:tcW w:w="5862" w:type="dxa"/>
            <w:vAlign w:val="center"/>
          </w:tcPr>
          <w:p w14:paraId="5D9F4783">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基于平台的数据仓库和分析计算能力，将日志数据和分析结果发布为相应主题的订阅服务，提供订阅服务接口</w:t>
            </w:r>
          </w:p>
        </w:tc>
      </w:tr>
      <w:tr w14:paraId="0C0A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4B3DB077">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5</w:t>
            </w:r>
          </w:p>
        </w:tc>
        <w:tc>
          <w:tcPr>
            <w:tcW w:w="725" w:type="dxa"/>
            <w:vMerge w:val="continue"/>
            <w:vAlign w:val="center"/>
          </w:tcPr>
          <w:p w14:paraId="639A1F54">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2BAC1BA6">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推送服务模块</w:t>
            </w:r>
          </w:p>
        </w:tc>
        <w:tc>
          <w:tcPr>
            <w:tcW w:w="5862" w:type="dxa"/>
            <w:vAlign w:val="center"/>
          </w:tcPr>
          <w:p w14:paraId="4D2F0006">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基于WebSocket协议或数据库同步技术，实现数据的即时推送和分发，确保信息的时效性。</w:t>
            </w:r>
          </w:p>
        </w:tc>
      </w:tr>
      <w:tr w14:paraId="5C91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3EF7CCFF">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6</w:t>
            </w:r>
          </w:p>
        </w:tc>
        <w:tc>
          <w:tcPr>
            <w:tcW w:w="725" w:type="dxa"/>
            <w:vMerge w:val="continue"/>
            <w:vAlign w:val="center"/>
          </w:tcPr>
          <w:p w14:paraId="17742587">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5A0FD54E">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访问服务模块</w:t>
            </w:r>
          </w:p>
        </w:tc>
        <w:tc>
          <w:tcPr>
            <w:tcW w:w="5862" w:type="dxa"/>
            <w:vAlign w:val="center"/>
          </w:tcPr>
          <w:p w14:paraId="79F19D7C">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基于REST API技术访问数据库，实现数据创建、读取和删除接口，可以更方便、安全地实现对平台数据库的访问和操作</w:t>
            </w:r>
          </w:p>
        </w:tc>
      </w:tr>
      <w:tr w14:paraId="7A5D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4269226C">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7</w:t>
            </w:r>
          </w:p>
        </w:tc>
        <w:tc>
          <w:tcPr>
            <w:tcW w:w="725" w:type="dxa"/>
            <w:vMerge w:val="continue"/>
            <w:vAlign w:val="center"/>
          </w:tcPr>
          <w:p w14:paraId="07ED59B3">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303928E8">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分析服务模块</w:t>
            </w:r>
          </w:p>
        </w:tc>
        <w:tc>
          <w:tcPr>
            <w:tcW w:w="5862" w:type="dxa"/>
            <w:vAlign w:val="center"/>
          </w:tcPr>
          <w:p w14:paraId="3FD232CE">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将平台的模型分析、关联分析、统计分析等能力封装为API服务</w:t>
            </w:r>
          </w:p>
        </w:tc>
      </w:tr>
      <w:tr w14:paraId="2A5D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14:paraId="2D0A045B">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8</w:t>
            </w:r>
          </w:p>
        </w:tc>
        <w:tc>
          <w:tcPr>
            <w:tcW w:w="725" w:type="dxa"/>
            <w:vAlign w:val="center"/>
          </w:tcPr>
          <w:p w14:paraId="7E28DEC4">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数据分析计算引擎调取</w:t>
            </w:r>
          </w:p>
        </w:tc>
        <w:tc>
          <w:tcPr>
            <w:tcW w:w="1260" w:type="dxa"/>
            <w:vAlign w:val="center"/>
          </w:tcPr>
          <w:p w14:paraId="27651A38">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数据分析计算引擎</w:t>
            </w:r>
          </w:p>
        </w:tc>
        <w:tc>
          <w:tcPr>
            <w:tcW w:w="5862" w:type="dxa"/>
            <w:vAlign w:val="center"/>
          </w:tcPr>
          <w:p w14:paraId="2897D818">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针对部署于公安网的存算一体设备，开发调用离线批处理计算、实时内存计算、OLAP关联计算、机器学习计算等能力</w:t>
            </w:r>
          </w:p>
        </w:tc>
      </w:tr>
      <w:tr w14:paraId="578E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01C34825">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9</w:t>
            </w:r>
          </w:p>
        </w:tc>
        <w:tc>
          <w:tcPr>
            <w:tcW w:w="725" w:type="dxa"/>
            <w:vMerge w:val="restart"/>
            <w:vAlign w:val="center"/>
          </w:tcPr>
          <w:p w14:paraId="530941A2">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日志应用</w:t>
            </w:r>
          </w:p>
        </w:tc>
        <w:tc>
          <w:tcPr>
            <w:tcW w:w="1260" w:type="dxa"/>
            <w:vAlign w:val="center"/>
          </w:tcPr>
          <w:p w14:paraId="68B7AC46">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态势大屏展现</w:t>
            </w:r>
          </w:p>
        </w:tc>
        <w:tc>
          <w:tcPr>
            <w:tcW w:w="5862" w:type="dxa"/>
            <w:vAlign w:val="center"/>
          </w:tcPr>
          <w:p w14:paraId="1CF03215">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以可视化态势大屏形式提供审计分析平台的整体信息概览，包括接入应用数、用户数、接入数据总量、组织机构数、模型数、活跃应用、活跃用户、活跃单位部门等信息，并可视化展现每个接入单位当前综合风险情况；并提供应用入口功能</w:t>
            </w:r>
          </w:p>
        </w:tc>
      </w:tr>
      <w:tr w14:paraId="38FE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48579E93">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10</w:t>
            </w:r>
          </w:p>
        </w:tc>
        <w:tc>
          <w:tcPr>
            <w:tcW w:w="725" w:type="dxa"/>
            <w:vMerge w:val="continue"/>
            <w:vAlign w:val="center"/>
          </w:tcPr>
          <w:p w14:paraId="76FDB809">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05803904">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日志查询</w:t>
            </w:r>
          </w:p>
        </w:tc>
        <w:tc>
          <w:tcPr>
            <w:tcW w:w="5862" w:type="dxa"/>
            <w:vAlign w:val="center"/>
          </w:tcPr>
          <w:p w14:paraId="2F0DB14A">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提供基于时间、应用、用户、关键字等条件的日志搜索；以及基于终端、机构、应用系统等过滤功能</w:t>
            </w:r>
          </w:p>
        </w:tc>
      </w:tr>
      <w:tr w14:paraId="4A3C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23C568C3">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11</w:t>
            </w:r>
          </w:p>
        </w:tc>
        <w:tc>
          <w:tcPr>
            <w:tcW w:w="725" w:type="dxa"/>
            <w:vMerge w:val="continue"/>
            <w:vAlign w:val="center"/>
          </w:tcPr>
          <w:p w14:paraId="45A7F591">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20A912F0">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日志下载输出</w:t>
            </w:r>
          </w:p>
        </w:tc>
        <w:tc>
          <w:tcPr>
            <w:tcW w:w="5862" w:type="dxa"/>
            <w:vAlign w:val="center"/>
          </w:tcPr>
          <w:p w14:paraId="5A007AEF">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为使用人在页面上进行使用情况的翻译服务输出；提供用户对所查询日志的批量下载功能</w:t>
            </w:r>
          </w:p>
        </w:tc>
      </w:tr>
      <w:tr w14:paraId="5780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3E787225">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12</w:t>
            </w:r>
          </w:p>
        </w:tc>
        <w:tc>
          <w:tcPr>
            <w:tcW w:w="725" w:type="dxa"/>
            <w:vMerge w:val="continue"/>
            <w:vAlign w:val="center"/>
          </w:tcPr>
          <w:p w14:paraId="6A947F87">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211ACD8E">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日志分析</w:t>
            </w:r>
          </w:p>
        </w:tc>
        <w:tc>
          <w:tcPr>
            <w:tcW w:w="5862" w:type="dxa"/>
            <w:vAlign w:val="center"/>
          </w:tcPr>
          <w:p w14:paraId="56DFE48D">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提供多种日志分析底层功能建设；支持实时接入案件、车辆、高风险人员其他业务数据，进行碰撞比对，为预警服务进行产出</w:t>
            </w:r>
          </w:p>
        </w:tc>
      </w:tr>
      <w:tr w14:paraId="5377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44FB6712">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13</w:t>
            </w:r>
          </w:p>
        </w:tc>
        <w:tc>
          <w:tcPr>
            <w:tcW w:w="725" w:type="dxa"/>
            <w:vMerge w:val="continue"/>
            <w:vAlign w:val="center"/>
          </w:tcPr>
          <w:p w14:paraId="5E1F585A">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02B59247">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模型建设</w:t>
            </w:r>
          </w:p>
        </w:tc>
        <w:tc>
          <w:tcPr>
            <w:tcW w:w="5862" w:type="dxa"/>
            <w:vAlign w:val="center"/>
          </w:tcPr>
          <w:p w14:paraId="3E2D76C6">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提供图形化界面或编程接口，允许用户根据需求构建自定义的算法模型。提供不活跃账号异常启用模型、非执法办案部门查询模型、异常查询公安内部人员信息模型、反复查询同一信息模型、非案件承办人查询案件信息模型、超业务范围查询案件模型、查询交通事故涉及轨迹模型、异常查询接报警事件模型等模型模版</w:t>
            </w:r>
          </w:p>
        </w:tc>
      </w:tr>
      <w:tr w14:paraId="71B7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4738BD62">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14</w:t>
            </w:r>
          </w:p>
        </w:tc>
        <w:tc>
          <w:tcPr>
            <w:tcW w:w="725" w:type="dxa"/>
            <w:vMerge w:val="continue"/>
            <w:vAlign w:val="center"/>
          </w:tcPr>
          <w:p w14:paraId="120AB6B7">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0A1F7D01">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模型配置</w:t>
            </w:r>
          </w:p>
        </w:tc>
        <w:tc>
          <w:tcPr>
            <w:tcW w:w="5862" w:type="dxa"/>
            <w:vAlign w:val="center"/>
          </w:tcPr>
          <w:p w14:paraId="72FD4CE1">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通过前端页面对系统内的所有告警模型进行参数设置，包括触发阈值、触发时间、启用/停用、模型名称、模型描述、告警级别等参数设置。</w:t>
            </w:r>
          </w:p>
        </w:tc>
      </w:tr>
      <w:tr w14:paraId="42EF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0F832E69">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15</w:t>
            </w:r>
          </w:p>
        </w:tc>
        <w:tc>
          <w:tcPr>
            <w:tcW w:w="725" w:type="dxa"/>
            <w:vMerge w:val="continue"/>
            <w:vAlign w:val="center"/>
          </w:tcPr>
          <w:p w14:paraId="3EFCCC3A">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6E8C51AD">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模型碰撞比对</w:t>
            </w:r>
          </w:p>
        </w:tc>
        <w:tc>
          <w:tcPr>
            <w:tcW w:w="5862" w:type="dxa"/>
            <w:vAlign w:val="center"/>
          </w:tcPr>
          <w:p w14:paraId="553758D2">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满足用户自主进行多个模型碰撞分析需求，可以在模型目录选择多个模型，对于模型数据结果的交集、差集、并集进行分析</w:t>
            </w:r>
          </w:p>
        </w:tc>
      </w:tr>
      <w:tr w14:paraId="6E8B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394AB25E">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16</w:t>
            </w:r>
          </w:p>
        </w:tc>
        <w:tc>
          <w:tcPr>
            <w:tcW w:w="725" w:type="dxa"/>
            <w:vMerge w:val="continue"/>
            <w:vAlign w:val="center"/>
          </w:tcPr>
          <w:p w14:paraId="789F602C">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0860D275">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告警中心</w:t>
            </w:r>
          </w:p>
        </w:tc>
        <w:tc>
          <w:tcPr>
            <w:tcW w:w="5862" w:type="dxa"/>
            <w:vAlign w:val="center"/>
          </w:tcPr>
          <w:p w14:paraId="2C7182EA">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支持告警类型筛选、告警时间查询，展示告警事件总数、告警用户数、告警应用数、告警终端数、告警趋势（时间分布）、告警类型分布、TOP告警用户、TOP告警应用等信息</w:t>
            </w:r>
          </w:p>
        </w:tc>
      </w:tr>
      <w:tr w14:paraId="3DB2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7D21C936">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17</w:t>
            </w:r>
          </w:p>
        </w:tc>
        <w:tc>
          <w:tcPr>
            <w:tcW w:w="725" w:type="dxa"/>
            <w:vMerge w:val="continue"/>
            <w:vAlign w:val="center"/>
          </w:tcPr>
          <w:p w14:paraId="57054AF2">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2B8E7AC6">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用户画像</w:t>
            </w:r>
          </w:p>
        </w:tc>
        <w:tc>
          <w:tcPr>
            <w:tcW w:w="5862" w:type="dxa"/>
            <w:vAlign w:val="center"/>
          </w:tcPr>
          <w:p w14:paraId="51050F74">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基于用户的行为日志和基础属性信息对用户进行刻画。包括但不限于姓名、编号、岗位、身份证号、性别、单位部门、常访问应用、常用IP、访问时间分布、告警数等信息</w:t>
            </w:r>
          </w:p>
        </w:tc>
      </w:tr>
      <w:tr w14:paraId="2481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38EB1DE9">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18</w:t>
            </w:r>
          </w:p>
        </w:tc>
        <w:tc>
          <w:tcPr>
            <w:tcW w:w="725" w:type="dxa"/>
            <w:vMerge w:val="continue"/>
            <w:vAlign w:val="center"/>
          </w:tcPr>
          <w:p w14:paraId="234E3EEB">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21F7ADD2">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应用画像</w:t>
            </w:r>
          </w:p>
        </w:tc>
        <w:tc>
          <w:tcPr>
            <w:tcW w:w="5862" w:type="dxa"/>
            <w:vAlign w:val="center"/>
          </w:tcPr>
          <w:p w14:paraId="62FA119C">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基于应用日志和基础属性信息对应用系统进行刻画。包括但不限于应用名称、负责人、应用类型、敏感等级、所属机构、用户数、告警数、日志量、跨区域访问数、访问用户TOP10等信息</w:t>
            </w:r>
          </w:p>
        </w:tc>
      </w:tr>
      <w:tr w14:paraId="204F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1E4D4978">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19</w:t>
            </w:r>
          </w:p>
        </w:tc>
        <w:tc>
          <w:tcPr>
            <w:tcW w:w="725" w:type="dxa"/>
            <w:vMerge w:val="continue"/>
            <w:vAlign w:val="center"/>
          </w:tcPr>
          <w:p w14:paraId="0CE19B8E">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5FA3CBB9">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终端画像</w:t>
            </w:r>
          </w:p>
        </w:tc>
        <w:tc>
          <w:tcPr>
            <w:tcW w:w="5862" w:type="dxa"/>
            <w:vAlign w:val="center"/>
          </w:tcPr>
          <w:p w14:paraId="7A6EA6A7">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基于终端行为日志和基础属性信息对终端进行刻画。包括但不限于IP地址、单位部门、告警数量、告警类型、使用用户、访问应用排行等信息</w:t>
            </w:r>
          </w:p>
        </w:tc>
      </w:tr>
      <w:tr w14:paraId="1D28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697D3A87">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20</w:t>
            </w:r>
          </w:p>
        </w:tc>
        <w:tc>
          <w:tcPr>
            <w:tcW w:w="725" w:type="dxa"/>
            <w:vMerge w:val="continue"/>
            <w:vAlign w:val="center"/>
          </w:tcPr>
          <w:p w14:paraId="4F82CFBC">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49B83C2F">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组织机构画像</w:t>
            </w:r>
          </w:p>
        </w:tc>
        <w:tc>
          <w:tcPr>
            <w:tcW w:w="5862" w:type="dxa"/>
            <w:vAlign w:val="center"/>
          </w:tcPr>
          <w:p w14:paraId="20948823">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基于用户行为日志进行聚类分析，对组织机构进行刻画。包括但不限于机构详情、机构告警类型占比、机构人员预警、机构活跃用户、机构人员访问系统排名、机构终端日志top排行、机构时间日志数分布等信息</w:t>
            </w:r>
          </w:p>
        </w:tc>
      </w:tr>
      <w:tr w14:paraId="4206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7EAB634E">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21</w:t>
            </w:r>
          </w:p>
        </w:tc>
        <w:tc>
          <w:tcPr>
            <w:tcW w:w="725" w:type="dxa"/>
            <w:vMerge w:val="restart"/>
            <w:vAlign w:val="center"/>
          </w:tcPr>
          <w:p w14:paraId="79F5867A">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平台维护功能</w:t>
            </w:r>
          </w:p>
        </w:tc>
        <w:tc>
          <w:tcPr>
            <w:tcW w:w="1260" w:type="dxa"/>
            <w:vAlign w:val="center"/>
          </w:tcPr>
          <w:p w14:paraId="31D28E3A">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统计报表生成</w:t>
            </w:r>
          </w:p>
        </w:tc>
        <w:tc>
          <w:tcPr>
            <w:tcW w:w="5862" w:type="dxa"/>
            <w:vAlign w:val="center"/>
          </w:tcPr>
          <w:p w14:paraId="03F83DB6">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基于预置规则生成各种报表，如日报、周报、月报等，并支持多种形式的展示方式，如表格、图表等，方便管理者快速了解用户异常行为情况、系统运行情况</w:t>
            </w:r>
          </w:p>
        </w:tc>
      </w:tr>
      <w:tr w14:paraId="0491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71283CBF">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22</w:t>
            </w:r>
          </w:p>
        </w:tc>
        <w:tc>
          <w:tcPr>
            <w:tcW w:w="725" w:type="dxa"/>
            <w:vMerge w:val="continue"/>
            <w:vAlign w:val="center"/>
          </w:tcPr>
          <w:p w14:paraId="3F89535D">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1A3006D6">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重点关注对象</w:t>
            </w:r>
          </w:p>
        </w:tc>
        <w:tc>
          <w:tcPr>
            <w:tcW w:w="5862" w:type="dxa"/>
            <w:vAlign w:val="center"/>
          </w:tcPr>
          <w:p w14:paraId="4409F4B1">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方便管理员对被关注对象（用户和终端）进行快速便捷的日志审计和分析。管理员能够在关注对象列表中，查询关注对象的日志记录、告警等信息</w:t>
            </w:r>
          </w:p>
        </w:tc>
      </w:tr>
      <w:tr w14:paraId="3394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32BAE6A7">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23</w:t>
            </w:r>
          </w:p>
        </w:tc>
        <w:tc>
          <w:tcPr>
            <w:tcW w:w="725" w:type="dxa"/>
            <w:vMerge w:val="continue"/>
            <w:vAlign w:val="center"/>
          </w:tcPr>
          <w:p w14:paraId="4858BAFD">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309EA550">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系统配置管理</w:t>
            </w:r>
          </w:p>
        </w:tc>
        <w:tc>
          <w:tcPr>
            <w:tcW w:w="5862" w:type="dxa"/>
            <w:vAlign w:val="center"/>
          </w:tcPr>
          <w:p w14:paraId="651E99E8">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提供平台的基本配置设置功能，包括参数配置、网络连接配置、运行状态监控管理等</w:t>
            </w:r>
          </w:p>
        </w:tc>
      </w:tr>
      <w:tr w14:paraId="6446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106E20A1">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24</w:t>
            </w:r>
          </w:p>
        </w:tc>
        <w:tc>
          <w:tcPr>
            <w:tcW w:w="725" w:type="dxa"/>
            <w:vMerge w:val="continue"/>
            <w:vAlign w:val="center"/>
          </w:tcPr>
          <w:p w14:paraId="066728C1">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0C9201E9">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用户管理</w:t>
            </w:r>
          </w:p>
        </w:tc>
        <w:tc>
          <w:tcPr>
            <w:tcW w:w="5862" w:type="dxa"/>
            <w:vAlign w:val="center"/>
          </w:tcPr>
          <w:p w14:paraId="603ADDF9">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负责管理系统的用户及其相关信息。包括用户的注册、登录、密码找回、账户禁用/启用、分配初始密码、组织结构管理等。用户与组织机构进行映射，提供树状层级结构目录，可以更加清晰地反映用户与组织机构的关系，并支持用户查找，支持用户信息导入导出；</w:t>
            </w:r>
          </w:p>
        </w:tc>
      </w:tr>
      <w:tr w14:paraId="2D0E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1257FE6C">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25</w:t>
            </w:r>
          </w:p>
        </w:tc>
        <w:tc>
          <w:tcPr>
            <w:tcW w:w="725" w:type="dxa"/>
            <w:vMerge w:val="continue"/>
            <w:vAlign w:val="center"/>
          </w:tcPr>
          <w:p w14:paraId="0C45FCF5">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63022ACE">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权限管理</w:t>
            </w:r>
          </w:p>
        </w:tc>
        <w:tc>
          <w:tcPr>
            <w:tcW w:w="5862" w:type="dxa"/>
            <w:vAlign w:val="center"/>
          </w:tcPr>
          <w:p w14:paraId="1FFE9C1B">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支持为不同用户分配不同的权限，控制他们对系统资源的访问和操作。支持角色管理，管理员可以定义不同的角色，并为每个角色分配一组权限。基于树状层级结构进行权限控制，可以提供更高的安全性，也便于权限和角色的继承，可以大大减少管理员的工作量。支持分层分级管理，分为多层级管理员、多层级使用员，且为分局、市局业务单位所有政工干部根据不同需求，开通相应的角色权限。</w:t>
            </w:r>
          </w:p>
        </w:tc>
      </w:tr>
      <w:tr w14:paraId="6FFE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297CB820">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26</w:t>
            </w:r>
          </w:p>
        </w:tc>
        <w:tc>
          <w:tcPr>
            <w:tcW w:w="725" w:type="dxa"/>
            <w:vMerge w:val="restart"/>
            <w:vAlign w:val="center"/>
          </w:tcPr>
          <w:p w14:paraId="4B9BF0AD">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密码改造</w:t>
            </w:r>
          </w:p>
        </w:tc>
        <w:tc>
          <w:tcPr>
            <w:tcW w:w="1260" w:type="dxa"/>
            <w:vAlign w:val="center"/>
          </w:tcPr>
          <w:p w14:paraId="329239BB">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身份鉴别</w:t>
            </w:r>
          </w:p>
        </w:tc>
        <w:tc>
          <w:tcPr>
            <w:tcW w:w="5862" w:type="dxa"/>
            <w:vAlign w:val="center"/>
          </w:tcPr>
          <w:p w14:paraId="1E2116D6">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身份鉴别</w:t>
            </w:r>
          </w:p>
        </w:tc>
      </w:tr>
      <w:tr w14:paraId="1E19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504096D2">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27</w:t>
            </w:r>
          </w:p>
        </w:tc>
        <w:tc>
          <w:tcPr>
            <w:tcW w:w="725" w:type="dxa"/>
            <w:vMerge w:val="continue"/>
            <w:vAlign w:val="center"/>
          </w:tcPr>
          <w:p w14:paraId="137C3A39">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53622604">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远程管理通道安全</w:t>
            </w:r>
          </w:p>
        </w:tc>
        <w:tc>
          <w:tcPr>
            <w:tcW w:w="5862" w:type="dxa"/>
            <w:vAlign w:val="center"/>
          </w:tcPr>
          <w:p w14:paraId="17CC4B6F">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远程管理通道安全</w:t>
            </w:r>
          </w:p>
        </w:tc>
      </w:tr>
      <w:tr w14:paraId="79AD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53EC147B">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28</w:t>
            </w:r>
          </w:p>
        </w:tc>
        <w:tc>
          <w:tcPr>
            <w:tcW w:w="725" w:type="dxa"/>
            <w:vMerge w:val="continue"/>
            <w:vAlign w:val="center"/>
          </w:tcPr>
          <w:p w14:paraId="4CF45DBF">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36A7C55A">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访问控制信息完整性</w:t>
            </w:r>
          </w:p>
        </w:tc>
        <w:tc>
          <w:tcPr>
            <w:tcW w:w="5862" w:type="dxa"/>
            <w:vAlign w:val="center"/>
          </w:tcPr>
          <w:p w14:paraId="35580F73">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访问控制信息完整性</w:t>
            </w:r>
          </w:p>
        </w:tc>
      </w:tr>
      <w:tr w14:paraId="7E1F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14:paraId="37DEDDBA">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29</w:t>
            </w:r>
          </w:p>
        </w:tc>
        <w:tc>
          <w:tcPr>
            <w:tcW w:w="725" w:type="dxa"/>
            <w:vMerge w:val="continue"/>
            <w:vAlign w:val="center"/>
          </w:tcPr>
          <w:p w14:paraId="68AA4A8C">
            <w:pPr>
              <w:widowControl/>
              <w:adjustRightInd/>
              <w:snapToGrid/>
              <w:spacing w:line="240" w:lineRule="auto"/>
              <w:rPr>
                <w:rFonts w:ascii="仿宋_GB2312" w:eastAsia="仿宋_GB2312" w:cs="宋体"/>
                <w:bCs/>
                <w:color w:val="000000"/>
                <w:kern w:val="0"/>
                <w:sz w:val="24"/>
                <w:szCs w:val="24"/>
              </w:rPr>
            </w:pPr>
          </w:p>
        </w:tc>
        <w:tc>
          <w:tcPr>
            <w:tcW w:w="1260" w:type="dxa"/>
            <w:vAlign w:val="center"/>
          </w:tcPr>
          <w:p w14:paraId="038EC9F6">
            <w:pPr>
              <w:widowControl/>
              <w:adjustRightInd/>
              <w:snapToGrid/>
              <w:spacing w:line="240" w:lineRule="auto"/>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数据加密存储</w:t>
            </w:r>
          </w:p>
        </w:tc>
        <w:tc>
          <w:tcPr>
            <w:tcW w:w="5862" w:type="dxa"/>
            <w:vAlign w:val="center"/>
          </w:tcPr>
          <w:p w14:paraId="36AED712">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数据加密存储</w:t>
            </w:r>
          </w:p>
        </w:tc>
      </w:tr>
    </w:tbl>
    <w:p w14:paraId="560DAF7A">
      <w:pPr>
        <w:spacing w:line="560" w:lineRule="exact"/>
        <w:ind w:firstLine="643" w:firstLineChars="200"/>
        <w:rPr>
          <w:rFonts w:ascii="仿宋_GB2312" w:hAnsi="仿宋" w:eastAsia="仿宋_GB2312" w:cs="仿宋"/>
          <w:b/>
          <w:color w:val="000000"/>
          <w:kern w:val="0"/>
          <w:sz w:val="32"/>
        </w:rPr>
      </w:pPr>
    </w:p>
    <w:p w14:paraId="4052C604">
      <w:pPr>
        <w:pStyle w:val="6"/>
        <w:numPr>
          <w:ilvl w:val="2"/>
          <w:numId w:val="2"/>
        </w:numPr>
        <w:rPr>
          <w:rFonts w:ascii="仿宋" w:hAnsi="仿宋" w:eastAsia="仿宋" w:cs="仿宋"/>
        </w:rPr>
      </w:pPr>
      <w:r>
        <w:rPr>
          <w:rFonts w:hint="eastAsia" w:ascii="仿宋" w:hAnsi="仿宋" w:eastAsia="仿宋" w:cs="仿宋"/>
        </w:rPr>
        <w:t>硬件设备性能指标</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498"/>
        <w:gridCol w:w="757"/>
        <w:gridCol w:w="5703"/>
        <w:gridCol w:w="498"/>
        <w:gridCol w:w="496"/>
      </w:tblGrid>
      <w:tr w14:paraId="68F8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tcPr>
          <w:p w14:paraId="5AEBE9F4">
            <w:pPr>
              <w:widowControl/>
              <w:adjustRightInd/>
              <w:snapToGrid/>
              <w:spacing w:line="240" w:lineRule="auto"/>
              <w:rPr>
                <w:rFonts w:cs="宋体"/>
                <w:b/>
                <w:bCs/>
                <w:color w:val="000000"/>
                <w:kern w:val="0"/>
                <w:sz w:val="24"/>
                <w:szCs w:val="24"/>
              </w:rPr>
            </w:pPr>
            <w:r>
              <w:rPr>
                <w:rFonts w:hint="eastAsia" w:cs="宋体"/>
                <w:b/>
                <w:bCs/>
                <w:color w:val="000000"/>
                <w:kern w:val="0"/>
                <w:sz w:val="24"/>
                <w:szCs w:val="24"/>
              </w:rPr>
              <w:t>项目</w:t>
            </w:r>
          </w:p>
        </w:tc>
        <w:tc>
          <w:tcPr>
            <w:tcW w:w="292" w:type="pct"/>
          </w:tcPr>
          <w:p w14:paraId="41C8815E">
            <w:pPr>
              <w:widowControl/>
              <w:adjustRightInd/>
              <w:snapToGrid/>
              <w:spacing w:line="240" w:lineRule="auto"/>
              <w:rPr>
                <w:rFonts w:cs="宋体"/>
                <w:b/>
                <w:bCs/>
                <w:color w:val="000000"/>
                <w:kern w:val="0"/>
                <w:sz w:val="24"/>
                <w:szCs w:val="24"/>
              </w:rPr>
            </w:pPr>
            <w:r>
              <w:rPr>
                <w:rFonts w:hint="eastAsia" w:cs="宋体"/>
                <w:b/>
                <w:bCs/>
                <w:color w:val="000000"/>
                <w:kern w:val="0"/>
                <w:sz w:val="24"/>
                <w:szCs w:val="24"/>
              </w:rPr>
              <w:t>序号</w:t>
            </w:r>
          </w:p>
        </w:tc>
        <w:tc>
          <w:tcPr>
            <w:tcW w:w="444" w:type="pct"/>
          </w:tcPr>
          <w:p w14:paraId="17A9C340">
            <w:pPr>
              <w:widowControl/>
              <w:adjustRightInd/>
              <w:snapToGrid/>
              <w:spacing w:line="240" w:lineRule="auto"/>
              <w:rPr>
                <w:rFonts w:cs="宋体"/>
                <w:b/>
                <w:bCs/>
                <w:color w:val="000000"/>
                <w:kern w:val="0"/>
                <w:sz w:val="24"/>
                <w:szCs w:val="24"/>
              </w:rPr>
            </w:pPr>
            <w:r>
              <w:rPr>
                <w:rFonts w:hint="eastAsia" w:cs="宋体"/>
                <w:b/>
                <w:bCs/>
                <w:color w:val="000000"/>
                <w:kern w:val="0"/>
                <w:sz w:val="24"/>
                <w:szCs w:val="24"/>
              </w:rPr>
              <w:t>名称</w:t>
            </w:r>
          </w:p>
        </w:tc>
        <w:tc>
          <w:tcPr>
            <w:tcW w:w="3346" w:type="pct"/>
          </w:tcPr>
          <w:p w14:paraId="39BBEB95">
            <w:pPr>
              <w:widowControl/>
              <w:adjustRightInd/>
              <w:snapToGrid/>
              <w:spacing w:line="240" w:lineRule="auto"/>
              <w:rPr>
                <w:rFonts w:cs="宋体"/>
                <w:b/>
                <w:bCs/>
                <w:color w:val="000000"/>
                <w:kern w:val="0"/>
                <w:sz w:val="24"/>
                <w:szCs w:val="24"/>
              </w:rPr>
            </w:pPr>
            <w:r>
              <w:rPr>
                <w:rFonts w:hint="eastAsia" w:cs="宋体"/>
                <w:b/>
                <w:bCs/>
                <w:color w:val="000000"/>
                <w:kern w:val="0"/>
                <w:sz w:val="24"/>
                <w:szCs w:val="24"/>
              </w:rPr>
              <w:t>技术规格</w:t>
            </w:r>
          </w:p>
        </w:tc>
        <w:tc>
          <w:tcPr>
            <w:tcW w:w="292" w:type="pct"/>
          </w:tcPr>
          <w:p w14:paraId="37701F0D">
            <w:pPr>
              <w:widowControl/>
              <w:adjustRightInd/>
              <w:snapToGrid/>
              <w:spacing w:line="240" w:lineRule="auto"/>
              <w:rPr>
                <w:rFonts w:cs="宋体"/>
                <w:b/>
                <w:bCs/>
                <w:color w:val="000000"/>
                <w:kern w:val="0"/>
                <w:sz w:val="24"/>
                <w:szCs w:val="24"/>
              </w:rPr>
            </w:pPr>
            <w:r>
              <w:rPr>
                <w:rFonts w:hint="eastAsia" w:cs="宋体"/>
                <w:b/>
                <w:bCs/>
                <w:color w:val="000000"/>
                <w:kern w:val="0"/>
                <w:sz w:val="24"/>
                <w:szCs w:val="24"/>
              </w:rPr>
              <w:t>数量</w:t>
            </w:r>
          </w:p>
        </w:tc>
        <w:tc>
          <w:tcPr>
            <w:tcW w:w="291" w:type="pct"/>
          </w:tcPr>
          <w:p w14:paraId="20E1CE49">
            <w:pPr>
              <w:widowControl/>
              <w:adjustRightInd/>
              <w:snapToGrid/>
              <w:spacing w:line="240" w:lineRule="auto"/>
              <w:rPr>
                <w:rFonts w:cs="宋体"/>
                <w:b/>
                <w:bCs/>
                <w:color w:val="000000"/>
                <w:kern w:val="0"/>
                <w:sz w:val="24"/>
                <w:szCs w:val="24"/>
              </w:rPr>
            </w:pPr>
            <w:r>
              <w:rPr>
                <w:rFonts w:hint="eastAsia" w:cs="宋体"/>
                <w:b/>
                <w:bCs/>
                <w:color w:val="000000"/>
                <w:kern w:val="0"/>
                <w:sz w:val="24"/>
                <w:szCs w:val="24"/>
              </w:rPr>
              <w:t>单位</w:t>
            </w:r>
          </w:p>
        </w:tc>
      </w:tr>
      <w:tr w14:paraId="1C23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Merge w:val="restart"/>
          </w:tcPr>
          <w:p w14:paraId="1FD82592">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硬件设备</w:t>
            </w:r>
          </w:p>
        </w:tc>
        <w:tc>
          <w:tcPr>
            <w:tcW w:w="292" w:type="pct"/>
          </w:tcPr>
          <w:p w14:paraId="706895F2">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1</w:t>
            </w:r>
          </w:p>
        </w:tc>
        <w:tc>
          <w:tcPr>
            <w:tcW w:w="444" w:type="pct"/>
          </w:tcPr>
          <w:p w14:paraId="158D5C39">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安全审计产品1</w:t>
            </w:r>
          </w:p>
        </w:tc>
        <w:tc>
          <w:tcPr>
            <w:tcW w:w="3346" w:type="pct"/>
          </w:tcPr>
          <w:p w14:paraId="74C02B03">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机架设备；CPU≥2颗4核，内存≥32GB，数据硬盘≥4TB；冗余电源；千兆网络接口≥4个；万兆网络接口≥2个；吞吐量≥8Gbps。</w:t>
            </w:r>
          </w:p>
          <w:p w14:paraId="4DFC09B9">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系统功能：</w:t>
            </w:r>
          </w:p>
          <w:p w14:paraId="0F1DEF8C">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1、具有知识产权。</w:t>
            </w:r>
          </w:p>
          <w:p w14:paraId="20CB26E0">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2、日志采集：具备多种方式的日志采集功能，包括WEB服务接口采集、数据库采集、Kafka消息采集、文件共享服务采集等方式。</w:t>
            </w:r>
          </w:p>
          <w:p w14:paraId="726DAA14">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3、支持对视频图像信息系统、集成指挥应用等业务应用日志数据进行深度解析，提取出关键信息字段，如时间戳、源IP、目的IP、事件类型、事件描述等。</w:t>
            </w:r>
          </w:p>
          <w:p w14:paraId="73780A1C">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4、具备</w:t>
            </w:r>
            <w:r>
              <w:rPr>
                <w:rFonts w:ascii="仿宋_GB2312" w:eastAsia="仿宋_GB2312" w:cs="宋体"/>
                <w:bCs/>
                <w:color w:val="000000"/>
                <w:kern w:val="0"/>
                <w:sz w:val="24"/>
                <w:szCs w:val="24"/>
              </w:rPr>
              <w:t>日志数据的映射功能，</w:t>
            </w:r>
            <w:r>
              <w:rPr>
                <w:rFonts w:hint="eastAsia" w:ascii="仿宋_GB2312" w:eastAsia="仿宋_GB2312" w:cs="宋体"/>
                <w:bCs/>
                <w:color w:val="000000"/>
                <w:kern w:val="0"/>
                <w:sz w:val="24"/>
                <w:szCs w:val="24"/>
              </w:rPr>
              <w:t>将</w:t>
            </w:r>
            <w:r>
              <w:rPr>
                <w:rFonts w:ascii="仿宋_GB2312" w:eastAsia="仿宋_GB2312" w:cs="宋体"/>
                <w:bCs/>
                <w:color w:val="000000"/>
                <w:kern w:val="0"/>
                <w:sz w:val="24"/>
                <w:szCs w:val="24"/>
              </w:rPr>
              <w:t>源数据结构中的字段与目标数据结构中的字段进行对应和转换</w:t>
            </w:r>
            <w:r>
              <w:rPr>
                <w:rFonts w:hint="eastAsia" w:ascii="仿宋_GB2312" w:eastAsia="仿宋_GB2312" w:cs="宋体"/>
                <w:bCs/>
                <w:color w:val="000000"/>
                <w:kern w:val="0"/>
                <w:sz w:val="24"/>
                <w:szCs w:val="24"/>
              </w:rPr>
              <w:t>。</w:t>
            </w:r>
          </w:p>
          <w:p w14:paraId="7F43DC32">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5、具备日志数据进行格转功能，以格式化文件通过边界接入平台同步进公安信息网。</w:t>
            </w:r>
          </w:p>
          <w:p w14:paraId="59BDA682">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6、具备数据校验功能，具备日志数据质量校验功能，包括格式校验、值域范围检查、字段齐全检查、空值检查、哈希值校验等。；</w:t>
            </w:r>
          </w:p>
          <w:p w14:paraId="0496A073">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7、具备视频图像应用审计功能，支持查看视图库日志，审计内容包括操作时间、源IP、目标IP、用户名、流量大小、检索输入条件、操作详情等信息。</w:t>
            </w:r>
          </w:p>
          <w:p w14:paraId="2EC80AA1">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▲8、具备日志数据校验、加密存储，存储总量&gt;1050 万。同时具备统计分析结果列表展示，内容包括操作日志数、操作类型数等，可查看详情支持列表数据导出。提供CMA认证的检测报告以证明。</w:t>
            </w:r>
          </w:p>
        </w:tc>
        <w:tc>
          <w:tcPr>
            <w:tcW w:w="292" w:type="pct"/>
          </w:tcPr>
          <w:p w14:paraId="347745E2">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1</w:t>
            </w:r>
          </w:p>
        </w:tc>
        <w:tc>
          <w:tcPr>
            <w:tcW w:w="291" w:type="pct"/>
          </w:tcPr>
          <w:p w14:paraId="119EEDF4">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台</w:t>
            </w:r>
          </w:p>
        </w:tc>
      </w:tr>
      <w:tr w14:paraId="29E6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Merge w:val="continue"/>
          </w:tcPr>
          <w:p w14:paraId="1D7502B4">
            <w:pPr>
              <w:widowControl/>
              <w:adjustRightInd/>
              <w:snapToGrid/>
              <w:spacing w:line="240" w:lineRule="auto"/>
              <w:rPr>
                <w:rFonts w:ascii="仿宋_GB2312" w:eastAsia="仿宋_GB2312" w:cs="宋体"/>
                <w:bCs/>
                <w:color w:val="000000"/>
                <w:kern w:val="0"/>
                <w:sz w:val="24"/>
                <w:szCs w:val="24"/>
              </w:rPr>
            </w:pPr>
          </w:p>
        </w:tc>
        <w:tc>
          <w:tcPr>
            <w:tcW w:w="292" w:type="pct"/>
          </w:tcPr>
          <w:p w14:paraId="2F641341">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2</w:t>
            </w:r>
          </w:p>
        </w:tc>
        <w:tc>
          <w:tcPr>
            <w:tcW w:w="444" w:type="pct"/>
          </w:tcPr>
          <w:p w14:paraId="6536F783">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安全审计产品2</w:t>
            </w:r>
          </w:p>
        </w:tc>
        <w:tc>
          <w:tcPr>
            <w:tcW w:w="3346" w:type="pct"/>
          </w:tcPr>
          <w:p w14:paraId="78C2A4C5">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机架设备；CPU≥2颗4核，内存≥32GB，数据硬盘≥4TB；冗余电源；千兆网络接口≥4个；万兆网络接口≥2个；吞吐量≥8Gbps。</w:t>
            </w:r>
          </w:p>
          <w:p w14:paraId="02603D02">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系统功能：</w:t>
            </w:r>
          </w:p>
          <w:p w14:paraId="22A9BBE2">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1、具有知识产权。</w:t>
            </w:r>
          </w:p>
          <w:p w14:paraId="00BB846C">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2、日志采集：具备多种方式的日志采集功能，包括WEB服务接口采集、数据库采集、Kafka消息采集、文件共享服务采集等方式。</w:t>
            </w:r>
          </w:p>
          <w:p w14:paraId="529018B6">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3、支持对移动警务应用、移动服务总线日志数据进行深度解析，提取出关键信息字段，如时间戳、源IP、目的IP、事件类型、事件描述等。</w:t>
            </w:r>
          </w:p>
          <w:p w14:paraId="0DAC91BB">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4、具备</w:t>
            </w:r>
            <w:r>
              <w:rPr>
                <w:rFonts w:ascii="仿宋_GB2312" w:eastAsia="仿宋_GB2312" w:cs="宋体"/>
                <w:bCs/>
                <w:color w:val="000000"/>
                <w:kern w:val="0"/>
                <w:sz w:val="24"/>
                <w:szCs w:val="24"/>
              </w:rPr>
              <w:t>日志数据的映射功能，</w:t>
            </w:r>
            <w:r>
              <w:rPr>
                <w:rFonts w:hint="eastAsia" w:ascii="仿宋_GB2312" w:eastAsia="仿宋_GB2312" w:cs="宋体"/>
                <w:bCs/>
                <w:color w:val="000000"/>
                <w:kern w:val="0"/>
                <w:sz w:val="24"/>
                <w:szCs w:val="24"/>
              </w:rPr>
              <w:t>将</w:t>
            </w:r>
            <w:r>
              <w:rPr>
                <w:rFonts w:ascii="仿宋_GB2312" w:eastAsia="仿宋_GB2312" w:cs="宋体"/>
                <w:bCs/>
                <w:color w:val="000000"/>
                <w:kern w:val="0"/>
                <w:sz w:val="24"/>
                <w:szCs w:val="24"/>
              </w:rPr>
              <w:t>源数据结构中的字段与目标数据结构中的字段进行对应和转换</w:t>
            </w:r>
            <w:r>
              <w:rPr>
                <w:rFonts w:hint="eastAsia" w:ascii="仿宋_GB2312" w:eastAsia="仿宋_GB2312" w:cs="宋体"/>
                <w:bCs/>
                <w:color w:val="000000"/>
                <w:kern w:val="0"/>
                <w:sz w:val="24"/>
                <w:szCs w:val="24"/>
              </w:rPr>
              <w:t>。</w:t>
            </w:r>
          </w:p>
          <w:p w14:paraId="7075AD4A">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5、具备日志数据进行格转功能，以格式化文件通过边界接入平台同步进公安信息网。</w:t>
            </w:r>
          </w:p>
          <w:p w14:paraId="252ACE16">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6、具备数据校验功能，具备日志数据质量校验功能，包括格式校验、值域范围检查、字段齐全检查、空值检查、哈希值校验等。。</w:t>
            </w:r>
          </w:p>
          <w:p w14:paraId="195F9F79">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7、具备服务总线引擎，对接移动服务总线获取移动警务应用日志。</w:t>
            </w:r>
          </w:p>
          <w:p w14:paraId="44C2310B">
            <w:pPr>
              <w:pStyle w:val="2"/>
              <w:ind w:left="0"/>
              <w:rPr>
                <w:rFonts w:eastAsia="仿宋_GB2312"/>
              </w:rPr>
            </w:pPr>
            <w:r>
              <w:rPr>
                <w:rFonts w:hint="eastAsia" w:ascii="仿宋_GB2312" w:eastAsia="仿宋_GB2312" w:cs="宋体"/>
                <w:bCs/>
                <w:color w:val="000000"/>
                <w:kern w:val="0"/>
                <w:sz w:val="24"/>
                <w:szCs w:val="24"/>
              </w:rPr>
              <w:t>▲8、具备根据当前 IP、当前日志原文内容，解析出此IP 最近 7天是否存在与当前日志原文相似或者相同的日志发生，分析相同告警模型和内容中的同一性，相同资产告警的差异性，发现潜在的系统瓶颈、异常行为和安全威胁。提供CMA认证的检测报告证明。</w:t>
            </w:r>
          </w:p>
        </w:tc>
        <w:tc>
          <w:tcPr>
            <w:tcW w:w="292" w:type="pct"/>
          </w:tcPr>
          <w:p w14:paraId="62362EB7">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1</w:t>
            </w:r>
          </w:p>
        </w:tc>
        <w:tc>
          <w:tcPr>
            <w:tcW w:w="291" w:type="pct"/>
          </w:tcPr>
          <w:p w14:paraId="76029105">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台</w:t>
            </w:r>
          </w:p>
        </w:tc>
      </w:tr>
      <w:tr w14:paraId="7E19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5" w:type="pct"/>
            <w:vMerge w:val="continue"/>
          </w:tcPr>
          <w:p w14:paraId="34DF7B1B">
            <w:pPr>
              <w:widowControl/>
              <w:adjustRightInd/>
              <w:snapToGrid/>
              <w:spacing w:line="240" w:lineRule="auto"/>
              <w:rPr>
                <w:rFonts w:ascii="仿宋_GB2312" w:eastAsia="仿宋_GB2312" w:cs="宋体"/>
                <w:bCs/>
                <w:color w:val="000000"/>
                <w:kern w:val="0"/>
                <w:sz w:val="24"/>
                <w:szCs w:val="24"/>
              </w:rPr>
            </w:pPr>
          </w:p>
        </w:tc>
        <w:tc>
          <w:tcPr>
            <w:tcW w:w="292" w:type="pct"/>
          </w:tcPr>
          <w:p w14:paraId="6CE1BA83">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3</w:t>
            </w:r>
          </w:p>
        </w:tc>
        <w:tc>
          <w:tcPr>
            <w:tcW w:w="444" w:type="pct"/>
          </w:tcPr>
          <w:p w14:paraId="1DB00CD4">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应用安全审计一体机</w:t>
            </w:r>
          </w:p>
        </w:tc>
        <w:tc>
          <w:tcPr>
            <w:tcW w:w="3346" w:type="pct"/>
          </w:tcPr>
          <w:p w14:paraId="63A620FD">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2U机架式设备；配置国产CPU和国产操作系统；CPU≥16C（核），内存≥256GB，数据硬盘空间≥24TB；冗余电源；千兆网络接口≥4个。</w:t>
            </w:r>
          </w:p>
          <w:p w14:paraId="4FA74248">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系统功能：内置应用安全审计基础套件，包括日志采集、日志清洗、日志组织、日志管理、日志服务、分析服务等组件。</w:t>
            </w:r>
          </w:p>
          <w:p w14:paraId="2DEA5B3C">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1、具备日志采集引擎，支持多种方式的日志采集功能，包括WEB服务接口采集、数据库采集、Kafka消息采集、文件共享服务采集等方式。</w:t>
            </w:r>
          </w:p>
          <w:p w14:paraId="2D8B139D">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2、具备分布式SQL执行引擎，</w:t>
            </w:r>
            <w:r>
              <w:rPr>
                <w:rFonts w:ascii="仿宋_GB2312" w:eastAsia="仿宋_GB2312" w:cs="宋体"/>
                <w:bCs/>
                <w:color w:val="000000"/>
                <w:kern w:val="0"/>
                <w:sz w:val="24"/>
                <w:szCs w:val="24"/>
              </w:rPr>
              <w:t>将SQL查询转换为分布式计算任务，能够在多个节点上并行执行查询，加速数据处理速度</w:t>
            </w:r>
            <w:r>
              <w:rPr>
                <w:rFonts w:hint="eastAsia" w:ascii="仿宋_GB2312" w:eastAsia="仿宋_GB2312" w:cs="宋体"/>
                <w:bCs/>
                <w:color w:val="000000"/>
                <w:kern w:val="0"/>
                <w:sz w:val="24"/>
                <w:szCs w:val="24"/>
              </w:rPr>
              <w:t>。</w:t>
            </w:r>
          </w:p>
          <w:p w14:paraId="44589DE4">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3、具备分布式数据映射搜索处理组件，</w:t>
            </w:r>
            <w:r>
              <w:rPr>
                <w:rFonts w:ascii="仿宋_GB2312" w:eastAsia="仿宋_GB2312" w:cs="宋体"/>
                <w:bCs/>
                <w:color w:val="000000"/>
                <w:kern w:val="0"/>
                <w:sz w:val="24"/>
                <w:szCs w:val="24"/>
              </w:rPr>
              <w:t>提供</w:t>
            </w:r>
            <w:r>
              <w:rPr>
                <w:rFonts w:hint="eastAsia" w:ascii="仿宋_GB2312" w:eastAsia="仿宋_GB2312" w:cs="宋体"/>
                <w:bCs/>
                <w:color w:val="000000"/>
                <w:kern w:val="0"/>
                <w:sz w:val="24"/>
                <w:szCs w:val="24"/>
              </w:rPr>
              <w:t>索引创建、索引管理、</w:t>
            </w:r>
            <w:r>
              <w:rPr>
                <w:rFonts w:ascii="仿宋_GB2312" w:eastAsia="仿宋_GB2312" w:cs="宋体"/>
                <w:bCs/>
                <w:color w:val="000000"/>
                <w:kern w:val="0"/>
                <w:sz w:val="24"/>
                <w:szCs w:val="24"/>
              </w:rPr>
              <w:t>全文搜索、范围查询、模糊匹配等多种搜索</w:t>
            </w:r>
            <w:r>
              <w:rPr>
                <w:rFonts w:hint="eastAsia" w:ascii="仿宋_GB2312" w:eastAsia="仿宋_GB2312" w:cs="宋体"/>
                <w:bCs/>
                <w:color w:val="000000"/>
                <w:kern w:val="0"/>
                <w:sz w:val="24"/>
                <w:szCs w:val="24"/>
              </w:rPr>
              <w:t>能力。</w:t>
            </w:r>
          </w:p>
          <w:p w14:paraId="6D73AFED">
            <w:pPr>
              <w:pStyle w:val="2"/>
              <w:ind w:left="0"/>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▲4、具备自定义模型配置，包括模型名称、模型 Cron、是否草稿、模型描述、SQL 来源、参数化。提供CMA认证的检测报告证明。</w:t>
            </w:r>
          </w:p>
          <w:p w14:paraId="755D8F02">
            <w:pPr>
              <w:pStyle w:val="2"/>
              <w:ind w:left="0"/>
            </w:pPr>
            <w:r>
              <w:rPr>
                <w:rFonts w:hint="eastAsia" w:ascii="仿宋_GB2312" w:eastAsia="仿宋_GB2312" w:cs="宋体"/>
                <w:bCs/>
                <w:color w:val="000000"/>
                <w:kern w:val="0"/>
                <w:sz w:val="24"/>
                <w:szCs w:val="24"/>
              </w:rPr>
              <w:t>▲5、具备日志高级检索，可以根据操作人单位、业务线、系统名称、终端 IP、操作人地区、操作类型、日志类型进行对日志进行高级筛选。提供CMA认证的检测报告证明。</w:t>
            </w:r>
          </w:p>
          <w:p w14:paraId="2420F259">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▲6、具备用户行为大数据分析组件，提供异地登录、离退休人员、访问量突增、非工作时间访问、异常账号、频繁操作、高频查询、同人不同IP等20多种告警模型。</w:t>
            </w:r>
            <w:r>
              <w:rPr>
                <w:rFonts w:ascii="仿宋_GB2312" w:hAnsi="宋体" w:eastAsia="仿宋_GB2312" w:cs="宋体"/>
                <w:bCs/>
                <w:color w:val="000000"/>
                <w:kern w:val="0"/>
                <w:sz w:val="24"/>
                <w:szCs w:val="24"/>
              </w:rPr>
              <w:t>提供CMA认证的检测报告证明</w:t>
            </w:r>
            <w:r>
              <w:rPr>
                <w:rFonts w:hint="eastAsia" w:ascii="仿宋_GB2312" w:eastAsia="仿宋_GB2312" w:cs="宋体"/>
                <w:bCs/>
                <w:color w:val="000000"/>
                <w:kern w:val="0"/>
                <w:sz w:val="24"/>
                <w:szCs w:val="24"/>
              </w:rPr>
              <w:t>。</w:t>
            </w:r>
          </w:p>
          <w:p w14:paraId="5CBFA965">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▲7、具备日志大数据</w:t>
            </w:r>
            <w:bookmarkStart w:id="13" w:name="_GoBack"/>
            <w:bookmarkEnd w:id="13"/>
            <w:r>
              <w:rPr>
                <w:rFonts w:hint="eastAsia" w:ascii="仿宋_GB2312" w:eastAsia="仿宋_GB2312" w:cs="宋体"/>
                <w:bCs/>
                <w:color w:val="000000"/>
                <w:kern w:val="0"/>
                <w:sz w:val="24"/>
                <w:szCs w:val="24"/>
              </w:rPr>
              <w:t>分析系统，提供10多种研判分析模式，包括智能分析、反向追溯、交叉访问、同机构比对、数据泄露可疑名单、用户轨迹分析、操作量 TOP10 分析、热词反查分析、工作时间访问对比、越权访问、离职退岗人员查询等功能。</w:t>
            </w:r>
            <w:r>
              <w:rPr>
                <w:rFonts w:ascii="仿宋_GB2312" w:hAnsi="宋体" w:eastAsia="仿宋_GB2312" w:cs="宋体"/>
                <w:bCs/>
                <w:color w:val="000000"/>
                <w:kern w:val="0"/>
                <w:sz w:val="24"/>
                <w:szCs w:val="24"/>
              </w:rPr>
              <w:t>提供CMA认证的检测报告证明</w:t>
            </w:r>
            <w:r>
              <w:rPr>
                <w:rFonts w:hint="eastAsia" w:ascii="仿宋_GB2312" w:eastAsia="仿宋_GB2312" w:cs="宋体"/>
                <w:bCs/>
                <w:color w:val="000000"/>
                <w:kern w:val="0"/>
                <w:sz w:val="24"/>
                <w:szCs w:val="24"/>
              </w:rPr>
              <w:t>。</w:t>
            </w:r>
          </w:p>
          <w:p w14:paraId="6780C925">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8、具备日志清洗组件，对各类日志数据进行解析、映射、转换、清洗、标识和质量校验等处理，将其转化为满足《公安信息系统应用日志安全审计平台日志采集规范》要求的数据。</w:t>
            </w:r>
          </w:p>
          <w:p w14:paraId="774BEF25">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9、具备日志组织组件，满足大规模</w:t>
            </w:r>
            <w:r>
              <w:rPr>
                <w:rFonts w:ascii="仿宋_GB2312" w:eastAsia="仿宋_GB2312" w:cs="宋体"/>
                <w:bCs/>
                <w:color w:val="000000"/>
                <w:kern w:val="0"/>
                <w:sz w:val="24"/>
                <w:szCs w:val="24"/>
              </w:rPr>
              <w:t>日志数据进行持久化存储</w:t>
            </w:r>
            <w:r>
              <w:rPr>
                <w:rFonts w:hint="eastAsia" w:ascii="仿宋_GB2312" w:eastAsia="仿宋_GB2312" w:cs="宋体"/>
                <w:bCs/>
                <w:color w:val="000000"/>
                <w:kern w:val="0"/>
                <w:sz w:val="24"/>
                <w:szCs w:val="24"/>
              </w:rPr>
              <w:t>，支持</w:t>
            </w:r>
            <w:r>
              <w:rPr>
                <w:rFonts w:ascii="仿宋_GB2312" w:eastAsia="仿宋_GB2312" w:cs="宋体"/>
                <w:bCs/>
                <w:color w:val="000000"/>
                <w:kern w:val="0"/>
                <w:sz w:val="24"/>
                <w:szCs w:val="24"/>
              </w:rPr>
              <w:t>高可扩展性、高可用性。</w:t>
            </w:r>
          </w:p>
          <w:p w14:paraId="7090B405">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10、具备日志管理组件，包括数据目录管理、数据质量管理、元数据管理、数据标签管理、数据统计、数据加密管理等功能，为数据分析提供高质量、高可靠的数据支撑。</w:t>
            </w:r>
          </w:p>
          <w:p w14:paraId="5E9AC79C">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11、具备日志服务组件，支持日志数据封装为查询服务接口、订阅服务接口、推送服务接口、访问服务接口、分析服务接口，对外部用户和系统提供数据支持。</w:t>
            </w:r>
          </w:p>
          <w:p w14:paraId="0674EC45">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12、提供数据分析计算组件，支持离线批处理计算、实时内存计算、OLAP关联计算、机器学习等能力。</w:t>
            </w:r>
          </w:p>
          <w:p w14:paraId="794117C7">
            <w:pPr>
              <w:pStyle w:val="2"/>
              <w:ind w:left="0"/>
              <w:rPr>
                <w:rFonts w:ascii="仿宋_GB2312" w:eastAsia="仿宋_GB2312" w:cs="宋体"/>
                <w:bCs/>
                <w:color w:val="000000"/>
                <w:kern w:val="0"/>
                <w:sz w:val="24"/>
                <w:szCs w:val="24"/>
              </w:rPr>
            </w:pPr>
          </w:p>
        </w:tc>
        <w:tc>
          <w:tcPr>
            <w:tcW w:w="292" w:type="pct"/>
          </w:tcPr>
          <w:p w14:paraId="504B29D0">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5</w:t>
            </w:r>
          </w:p>
        </w:tc>
        <w:tc>
          <w:tcPr>
            <w:tcW w:w="291" w:type="pct"/>
          </w:tcPr>
          <w:p w14:paraId="1E8571B6">
            <w:pPr>
              <w:widowControl/>
              <w:adjustRightInd/>
              <w:snapToGrid/>
              <w:spacing w:line="240" w:lineRule="auto"/>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台</w:t>
            </w:r>
          </w:p>
        </w:tc>
      </w:tr>
    </w:tbl>
    <w:p w14:paraId="611599EC">
      <w:pPr>
        <w:rPr>
          <w:rFonts w:ascii="仿宋_GB2312" w:hAnsi="仿宋" w:eastAsia="仿宋_GB2312" w:cs="仿宋"/>
          <w:b/>
          <w:color w:val="000000"/>
          <w:kern w:val="0"/>
          <w:sz w:val="32"/>
        </w:rPr>
      </w:pPr>
      <w:r>
        <w:rPr>
          <w:rFonts w:hint="eastAsia" w:ascii="仿宋_GB2312" w:hAnsi="仿宋" w:eastAsia="仿宋_GB2312" w:cs="仿宋"/>
          <w:b/>
          <w:color w:val="000000"/>
          <w:kern w:val="0"/>
          <w:sz w:val="32"/>
        </w:rPr>
        <w:t>注：标记▲项目为关键技术指标，需要按要求提供证明文件。</w:t>
      </w:r>
    </w:p>
    <w:p w14:paraId="694F9487">
      <w:pPr>
        <w:pStyle w:val="5"/>
        <w:numPr>
          <w:ilvl w:val="1"/>
          <w:numId w:val="2"/>
        </w:numPr>
        <w:rPr>
          <w:rFonts w:ascii="楷体_GB2312" w:eastAsia="楷体_GB2312" w:cs="黑体"/>
          <w:b w:val="0"/>
          <w:bCs w:val="0"/>
          <w:sz w:val="32"/>
        </w:rPr>
      </w:pPr>
      <w:bookmarkStart w:id="7" w:name="_Toc144387957"/>
      <w:bookmarkStart w:id="8" w:name="_Toc144387958"/>
      <w:r>
        <w:rPr>
          <w:rFonts w:hint="eastAsia" w:ascii="楷体_GB2312" w:eastAsia="楷体_GB2312" w:cs="黑体"/>
          <w:b w:val="0"/>
          <w:bCs w:val="0"/>
          <w:sz w:val="32"/>
        </w:rPr>
        <w:t>应用安全能力</w:t>
      </w:r>
      <w:bookmarkEnd w:id="7"/>
    </w:p>
    <w:p w14:paraId="0BF45D90">
      <w:pPr>
        <w:spacing w:line="560" w:lineRule="exact"/>
        <w:ind w:firstLine="640" w:firstLineChars="200"/>
        <w:rPr>
          <w:rFonts w:ascii="仿宋_GB2312" w:hAnsi="仿宋" w:eastAsia="仿宋_GB2312" w:cs="仿宋"/>
          <w:color w:val="000000"/>
          <w:kern w:val="0"/>
          <w:sz w:val="32"/>
        </w:rPr>
      </w:pPr>
      <w:r>
        <w:rPr>
          <w:rFonts w:hint="eastAsia" w:ascii="仿宋_GB2312" w:hAnsi="仿宋" w:eastAsia="仿宋_GB2312" w:cs="仿宋"/>
          <w:color w:val="000000"/>
          <w:kern w:val="0"/>
          <w:sz w:val="32"/>
        </w:rPr>
        <w:t>（1）应用系统初步拟定为国家应用等级保护二级应用，配合按照国家应用等级保护相关要求开展定级、测评。</w:t>
      </w:r>
    </w:p>
    <w:p w14:paraId="0494E758">
      <w:pPr>
        <w:spacing w:line="560" w:lineRule="exact"/>
        <w:ind w:firstLine="640" w:firstLineChars="200"/>
        <w:rPr>
          <w:rFonts w:ascii="仿宋_GB2312" w:hAnsi="仿宋" w:eastAsia="仿宋_GB2312" w:cs="仿宋"/>
          <w:color w:val="000000"/>
          <w:kern w:val="0"/>
          <w:sz w:val="32"/>
        </w:rPr>
      </w:pPr>
      <w:r>
        <w:rPr>
          <w:rFonts w:hint="eastAsia" w:ascii="仿宋_GB2312" w:hAnsi="仿宋" w:eastAsia="仿宋_GB2312" w:cs="仿宋"/>
          <w:color w:val="000000"/>
          <w:kern w:val="0"/>
          <w:sz w:val="32"/>
        </w:rPr>
        <w:t>（2）配合开展商密改造；配合开展第三方软件检测；配合开展第三方应用安全检测，并修复安全漏洞。</w:t>
      </w:r>
    </w:p>
    <w:p w14:paraId="5FCA961D">
      <w:pPr>
        <w:spacing w:line="560" w:lineRule="exact"/>
        <w:ind w:firstLine="640" w:firstLineChars="200"/>
        <w:rPr>
          <w:rFonts w:ascii="仿宋_GB2312" w:hAnsi="仿宋" w:eastAsia="仿宋_GB2312" w:cs="仿宋"/>
          <w:color w:val="000000"/>
          <w:kern w:val="0"/>
          <w:sz w:val="32"/>
        </w:rPr>
      </w:pPr>
      <w:r>
        <w:rPr>
          <w:rFonts w:hint="eastAsia" w:ascii="仿宋_GB2312" w:hAnsi="仿宋" w:eastAsia="仿宋_GB2312" w:cs="仿宋"/>
          <w:color w:val="000000"/>
          <w:kern w:val="0"/>
          <w:sz w:val="32"/>
        </w:rPr>
        <w:t>（3）满足公安大量敏感性数据展示与查询脱敏显示的需要。</w:t>
      </w:r>
    </w:p>
    <w:p w14:paraId="40151205">
      <w:pPr>
        <w:spacing w:line="560" w:lineRule="exact"/>
        <w:ind w:firstLine="640" w:firstLineChars="200"/>
        <w:rPr>
          <w:rFonts w:ascii="仿宋_GB2312" w:hAnsi="仿宋" w:eastAsia="仿宋_GB2312" w:cs="仿宋"/>
          <w:color w:val="000000"/>
          <w:kern w:val="0"/>
          <w:sz w:val="32"/>
        </w:rPr>
      </w:pPr>
      <w:r>
        <w:rPr>
          <w:rFonts w:hint="eastAsia" w:ascii="仿宋_GB2312" w:hAnsi="仿宋" w:eastAsia="仿宋_GB2312" w:cs="仿宋"/>
          <w:color w:val="000000"/>
          <w:kern w:val="0"/>
          <w:sz w:val="32"/>
        </w:rPr>
        <w:t>（4）能够满足我单位其他的网络、数据和应用安全管理要求。</w:t>
      </w:r>
    </w:p>
    <w:p w14:paraId="29021B71">
      <w:pPr>
        <w:pStyle w:val="4"/>
        <w:numPr>
          <w:ilvl w:val="0"/>
          <w:numId w:val="2"/>
        </w:numPr>
        <w:spacing w:before="312"/>
        <w:rPr>
          <w:rFonts w:ascii="仿宋" w:hAnsi="仿宋" w:eastAsia="仿宋" w:cs="仿宋"/>
        </w:rPr>
      </w:pPr>
      <w:r>
        <w:rPr>
          <w:rFonts w:hint="eastAsia" w:ascii="仿宋" w:hAnsi="仿宋" w:eastAsia="仿宋" w:cs="仿宋"/>
        </w:rPr>
        <w:t>运行环境</w:t>
      </w:r>
      <w:bookmarkEnd w:id="8"/>
    </w:p>
    <w:p w14:paraId="60E0E040">
      <w:pPr>
        <w:spacing w:line="560" w:lineRule="exact"/>
        <w:ind w:firstLine="640" w:firstLineChars="200"/>
        <w:rPr>
          <w:rFonts w:ascii="仿宋_GB2312" w:eastAsia="仿宋_GB2312"/>
          <w:sz w:val="32"/>
        </w:rPr>
      </w:pPr>
      <w:r>
        <w:rPr>
          <w:rFonts w:hint="eastAsia" w:ascii="仿宋_GB2312" w:eastAsia="仿宋_GB2312"/>
          <w:sz w:val="32"/>
        </w:rPr>
        <w:t>系统在上海公安信息网用户域运行并提供服务，视频传输网日志采集设备部署于视频传输网。</w:t>
      </w:r>
      <w:bookmarkStart w:id="9" w:name="_Toc144387959"/>
    </w:p>
    <w:p w14:paraId="462224FE">
      <w:pPr>
        <w:pStyle w:val="4"/>
        <w:numPr>
          <w:ilvl w:val="0"/>
          <w:numId w:val="2"/>
        </w:numPr>
        <w:spacing w:before="312"/>
        <w:rPr>
          <w:rFonts w:ascii="仿宋" w:hAnsi="仿宋" w:eastAsia="仿宋" w:cs="仿宋"/>
        </w:rPr>
      </w:pPr>
      <w:r>
        <w:rPr>
          <w:rFonts w:hint="eastAsia" w:ascii="仿宋" w:hAnsi="仿宋" w:eastAsia="仿宋" w:cs="仿宋"/>
        </w:rPr>
        <w:t>运维及服务要求</w:t>
      </w:r>
      <w:bookmarkEnd w:id="9"/>
    </w:p>
    <w:p w14:paraId="4E1D41E6">
      <w:pPr>
        <w:spacing w:line="560" w:lineRule="exact"/>
        <w:ind w:firstLine="640" w:firstLineChars="200"/>
        <w:rPr>
          <w:rFonts w:ascii="仿宋_GB2312" w:hAnsi="仿宋" w:eastAsia="仿宋_GB2312" w:cs="仿宋"/>
          <w:color w:val="000000"/>
          <w:kern w:val="0"/>
          <w:sz w:val="32"/>
        </w:rPr>
      </w:pPr>
      <w:r>
        <w:rPr>
          <w:rFonts w:hint="eastAsia" w:ascii="仿宋_GB2312" w:hAnsi="仿宋" w:eastAsia="仿宋_GB2312" w:cs="仿宋"/>
          <w:color w:val="000000"/>
          <w:kern w:val="0"/>
          <w:sz w:val="32"/>
        </w:rPr>
        <w:t>（1）项目完成后，中标方应向用户提供完整的技术资料。</w:t>
      </w:r>
    </w:p>
    <w:p w14:paraId="2249AEE5">
      <w:pPr>
        <w:spacing w:line="560" w:lineRule="exact"/>
        <w:ind w:firstLine="640" w:firstLineChars="200"/>
        <w:rPr>
          <w:rFonts w:ascii="仿宋_GB2312" w:hAnsi="仿宋" w:eastAsia="仿宋_GB2312" w:cs="仿宋"/>
          <w:color w:val="000000"/>
          <w:kern w:val="0"/>
          <w:sz w:val="32"/>
        </w:rPr>
      </w:pPr>
      <w:r>
        <w:rPr>
          <w:rFonts w:hint="eastAsia" w:ascii="仿宋_GB2312" w:hAnsi="仿宋" w:eastAsia="仿宋_GB2312" w:cs="仿宋"/>
          <w:color w:val="000000"/>
          <w:kern w:val="0"/>
          <w:sz w:val="32"/>
        </w:rPr>
        <w:t>（2）项目完成后，</w:t>
      </w:r>
      <w:r>
        <w:rPr>
          <w:rFonts w:eastAsia="仿宋_GB2312"/>
          <w:kern w:val="0"/>
          <w:sz w:val="32"/>
        </w:rPr>
        <w:t>对</w:t>
      </w:r>
      <w:r>
        <w:rPr>
          <w:rFonts w:hint="eastAsia" w:eastAsia="仿宋_GB2312"/>
          <w:kern w:val="0"/>
          <w:sz w:val="32"/>
        </w:rPr>
        <w:t>项目</w:t>
      </w:r>
      <w:r>
        <w:rPr>
          <w:rFonts w:eastAsia="仿宋_GB2312"/>
          <w:kern w:val="0"/>
          <w:sz w:val="32"/>
        </w:rPr>
        <w:t>涉及的</w:t>
      </w:r>
      <w:bookmarkStart w:id="10" w:name="OLE_LINK7"/>
      <w:r>
        <w:rPr>
          <w:rFonts w:eastAsia="仿宋_GB2312"/>
          <w:kern w:val="0"/>
          <w:sz w:val="32"/>
        </w:rPr>
        <w:t>软件开发功能</w:t>
      </w:r>
      <w:r>
        <w:rPr>
          <w:rFonts w:hint="eastAsia" w:eastAsia="仿宋_GB2312"/>
          <w:kern w:val="0"/>
          <w:sz w:val="32"/>
        </w:rPr>
        <w:t>提供</w:t>
      </w:r>
      <w:r>
        <w:rPr>
          <w:rFonts w:eastAsia="仿宋_GB2312"/>
          <w:kern w:val="0"/>
          <w:sz w:val="32"/>
        </w:rPr>
        <w:t>1年免费维护、硬件</w:t>
      </w:r>
      <w:r>
        <w:rPr>
          <w:rFonts w:hint="eastAsia" w:eastAsia="仿宋_GB2312"/>
          <w:kern w:val="0"/>
          <w:sz w:val="32"/>
        </w:rPr>
        <w:t>部分提供</w:t>
      </w:r>
      <w:r>
        <w:rPr>
          <w:rFonts w:eastAsia="仿宋_GB2312"/>
          <w:kern w:val="0"/>
          <w:sz w:val="32"/>
        </w:rPr>
        <w:t>3年的免费维护</w:t>
      </w:r>
      <w:bookmarkEnd w:id="10"/>
      <w:r>
        <w:rPr>
          <w:rFonts w:eastAsia="仿宋_GB2312"/>
          <w:kern w:val="0"/>
          <w:sz w:val="32"/>
        </w:rPr>
        <w:t>，</w:t>
      </w:r>
      <w:r>
        <w:rPr>
          <w:rFonts w:hint="eastAsia" w:ascii="仿宋_GB2312" w:hAnsi="仿宋" w:eastAsia="仿宋_GB2312" w:cs="仿宋"/>
          <w:color w:val="000000"/>
          <w:kern w:val="0"/>
          <w:sz w:val="32"/>
        </w:rPr>
        <w:t>包括：整体优化与根据用户需求开展的功能更新，提供不少于1人的驻场维护服务，7*24小时的电话技术支持服务，如出现故障需一般各模块2小时内响应，重要模块1小时内响应，2小时内到现场服务，4小时内解决问题；系统日常巡检服务(月度巡检)，对于各开发功能提供技术支持以及相关系统对接的技术支持；支持与市局应用开展对接联调调试。</w:t>
      </w:r>
    </w:p>
    <w:p w14:paraId="18622F41">
      <w:pPr>
        <w:spacing w:line="560" w:lineRule="exact"/>
        <w:ind w:firstLine="640" w:firstLineChars="200"/>
        <w:rPr>
          <w:rFonts w:ascii="仿宋_GB2312" w:hAnsi="仿宋" w:eastAsia="仿宋_GB2312" w:cs="仿宋"/>
          <w:color w:val="000000"/>
          <w:kern w:val="0"/>
          <w:sz w:val="32"/>
        </w:rPr>
      </w:pPr>
      <w:r>
        <w:rPr>
          <w:rFonts w:hint="eastAsia" w:ascii="仿宋_GB2312" w:hAnsi="仿宋" w:eastAsia="仿宋_GB2312" w:cs="仿宋"/>
          <w:color w:val="000000"/>
          <w:kern w:val="0"/>
          <w:sz w:val="32"/>
        </w:rPr>
        <w:t>（3）中标方在用户方指定的重大节点期间加强保障，提供应急方案等，并根据用户方的要求在重大活动期间指派不少于1人进行7×24小时的现场技术支持服务。</w:t>
      </w:r>
    </w:p>
    <w:p w14:paraId="12B38B00">
      <w:pPr>
        <w:spacing w:line="560" w:lineRule="exact"/>
        <w:ind w:firstLine="640" w:firstLineChars="200"/>
        <w:rPr>
          <w:rFonts w:ascii="仿宋_GB2312" w:hAnsi="仿宋" w:eastAsia="仿宋_GB2312" w:cs="仿宋"/>
          <w:color w:val="000000"/>
          <w:kern w:val="0"/>
          <w:sz w:val="32"/>
        </w:rPr>
      </w:pPr>
      <w:r>
        <w:rPr>
          <w:rFonts w:hint="eastAsia" w:ascii="仿宋_GB2312" w:hAnsi="仿宋" w:eastAsia="仿宋_GB2312" w:cs="仿宋"/>
          <w:color w:val="000000"/>
          <w:kern w:val="0"/>
          <w:sz w:val="32"/>
        </w:rPr>
        <w:t>（</w:t>
      </w:r>
      <w:r>
        <w:rPr>
          <w:rFonts w:ascii="仿宋_GB2312" w:hAnsi="仿宋" w:eastAsia="仿宋_GB2312" w:cs="仿宋"/>
          <w:color w:val="000000"/>
          <w:kern w:val="0"/>
          <w:sz w:val="32"/>
        </w:rPr>
        <w:t>4</w:t>
      </w:r>
      <w:r>
        <w:rPr>
          <w:rFonts w:hint="eastAsia" w:ascii="仿宋_GB2312" w:hAnsi="仿宋" w:eastAsia="仿宋_GB2312" w:cs="仿宋"/>
          <w:color w:val="000000"/>
          <w:kern w:val="0"/>
          <w:sz w:val="32"/>
        </w:rPr>
        <w:t>）投标方需要提供企业综合实力证明文件，如ISO27001信息安全管理体系、ISO20000信息技术服务管理体系认证、CCRC信息安全服务资质认证证书等。</w:t>
      </w:r>
    </w:p>
    <w:p w14:paraId="05878E0A">
      <w:pPr>
        <w:pStyle w:val="4"/>
        <w:numPr>
          <w:ilvl w:val="0"/>
          <w:numId w:val="2"/>
        </w:numPr>
        <w:spacing w:before="312"/>
        <w:rPr>
          <w:rFonts w:ascii="仿宋" w:hAnsi="仿宋" w:eastAsia="仿宋" w:cs="仿宋"/>
        </w:rPr>
      </w:pPr>
      <w:bookmarkStart w:id="11" w:name="_Toc144387960"/>
      <w:r>
        <w:rPr>
          <w:rFonts w:hint="eastAsia" w:ascii="仿宋" w:hAnsi="仿宋" w:eastAsia="仿宋" w:cs="仿宋"/>
        </w:rPr>
        <w:t>实施要求</w:t>
      </w:r>
      <w:bookmarkEnd w:id="11"/>
    </w:p>
    <w:p w14:paraId="514FA4CB">
      <w:pPr>
        <w:spacing w:line="560" w:lineRule="exact"/>
        <w:ind w:firstLine="640" w:firstLineChars="200"/>
        <w:rPr>
          <w:rFonts w:ascii="仿宋_GB2312" w:hAnsi="仿宋" w:eastAsia="仿宋_GB2312" w:cs="仿宋"/>
          <w:color w:val="000000"/>
          <w:kern w:val="0"/>
          <w:sz w:val="32"/>
        </w:rPr>
      </w:pPr>
      <w:r>
        <w:rPr>
          <w:rFonts w:hint="eastAsia" w:ascii="仿宋_GB2312" w:hAnsi="仿宋" w:eastAsia="仿宋_GB2312" w:cs="仿宋"/>
          <w:color w:val="000000"/>
          <w:kern w:val="0"/>
          <w:sz w:val="32"/>
        </w:rPr>
        <w:t>（1）中标方负责项目性能的优化指导、故障诊断等工作，根据实际运行情况，定期调整软件硬件配置策略。</w:t>
      </w:r>
    </w:p>
    <w:p w14:paraId="104C7F6C">
      <w:pPr>
        <w:spacing w:line="560" w:lineRule="exact"/>
        <w:ind w:firstLine="640" w:firstLineChars="200"/>
        <w:rPr>
          <w:rFonts w:ascii="仿宋_GB2312" w:hAnsi="仿宋" w:eastAsia="仿宋_GB2312" w:cs="仿宋"/>
          <w:color w:val="000000"/>
          <w:kern w:val="0"/>
          <w:sz w:val="32"/>
        </w:rPr>
      </w:pPr>
      <w:r>
        <w:rPr>
          <w:rFonts w:hint="eastAsia" w:ascii="仿宋_GB2312" w:hAnsi="仿宋" w:eastAsia="仿宋_GB2312" w:cs="仿宋"/>
          <w:color w:val="000000"/>
          <w:kern w:val="0"/>
          <w:sz w:val="32"/>
        </w:rPr>
        <w:t>（2）中标方应该保证所提供的所有产品皆不侵犯任何第三方的版权、知识产权和其他合法权利。</w:t>
      </w:r>
    </w:p>
    <w:p w14:paraId="13C6DD9C">
      <w:pPr>
        <w:spacing w:line="560" w:lineRule="exact"/>
        <w:ind w:firstLine="640" w:firstLineChars="200"/>
        <w:rPr>
          <w:rFonts w:ascii="仿宋_GB2312" w:hAnsi="Calibri" w:eastAsia="仿宋_GB2312"/>
          <w:sz w:val="32"/>
        </w:rPr>
      </w:pPr>
      <w:r>
        <w:rPr>
          <w:rFonts w:hint="eastAsia" w:ascii="仿宋_GB2312" w:hAnsi="仿宋" w:eastAsia="仿宋_GB2312" w:cs="仿宋"/>
          <w:color w:val="000000"/>
          <w:kern w:val="0"/>
          <w:sz w:val="32"/>
        </w:rPr>
        <w:t>（3）</w:t>
      </w:r>
      <w:r>
        <w:rPr>
          <w:rFonts w:hint="eastAsia" w:ascii="仿宋_GB2312" w:hAnsi="Calibri" w:eastAsia="仿宋_GB2312"/>
          <w:sz w:val="32"/>
        </w:rPr>
        <w:t>项目经理需具备信息系统项目管理师证书，实施团队在实施期间需提供不少于8人（含项目经理）的专业服务。从业经验需得到用户方认可。并需提供相关证书扫描件、个人履历等，以及投标人为以上人员缴纳社保的证明。</w:t>
      </w:r>
    </w:p>
    <w:p w14:paraId="15D44B31">
      <w:pPr>
        <w:spacing w:line="560" w:lineRule="exact"/>
        <w:ind w:firstLine="640" w:firstLineChars="200"/>
        <w:rPr>
          <w:rFonts w:ascii="仿宋_GB2312" w:hAnsi="Calibri" w:eastAsia="仿宋_GB2312"/>
          <w:sz w:val="32"/>
        </w:rPr>
      </w:pPr>
      <w:r>
        <w:rPr>
          <w:rFonts w:hint="eastAsia" w:ascii="仿宋_GB2312" w:hAnsi="仿宋" w:eastAsia="仿宋_GB2312" w:cs="仿宋"/>
          <w:color w:val="000000"/>
          <w:kern w:val="0"/>
          <w:sz w:val="32"/>
        </w:rPr>
        <w:t>（4）</w:t>
      </w:r>
      <w:r>
        <w:rPr>
          <w:rFonts w:hint="eastAsia" w:ascii="仿宋_GB2312" w:hAnsi="Calibri" w:eastAsia="仿宋_GB2312"/>
          <w:sz w:val="32"/>
        </w:rPr>
        <w:t>中标方应协助用户制定运行相关规范，并提供相关咨询、建议服务。</w:t>
      </w:r>
    </w:p>
    <w:p w14:paraId="7F71437D">
      <w:pPr>
        <w:spacing w:line="560" w:lineRule="exact"/>
        <w:ind w:firstLine="640" w:firstLineChars="200"/>
        <w:rPr>
          <w:rFonts w:ascii="仿宋_GB2312" w:hAnsi="Calibri" w:eastAsia="仿宋_GB2312"/>
          <w:sz w:val="32"/>
        </w:rPr>
      </w:pPr>
      <w:r>
        <w:rPr>
          <w:rFonts w:hint="eastAsia" w:ascii="仿宋_GB2312" w:hAnsi="Calibri" w:eastAsia="仿宋_GB2312"/>
          <w:sz w:val="32"/>
        </w:rPr>
        <w:t>（5）中标方应在项目合同签订后4个月内完成建设工作（包含1个月试运行期）。</w:t>
      </w:r>
      <w:bookmarkStart w:id="12" w:name="_Toc144387961"/>
    </w:p>
    <w:p w14:paraId="583524DD">
      <w:pPr>
        <w:pStyle w:val="4"/>
        <w:numPr>
          <w:ilvl w:val="0"/>
          <w:numId w:val="2"/>
        </w:numPr>
        <w:spacing w:before="312"/>
        <w:rPr>
          <w:rFonts w:ascii="仿宋" w:hAnsi="仿宋" w:eastAsia="仿宋" w:cs="仿宋"/>
        </w:rPr>
      </w:pPr>
      <w:r>
        <w:rPr>
          <w:rFonts w:hint="eastAsia" w:ascii="仿宋" w:hAnsi="仿宋" w:eastAsia="仿宋" w:cs="仿宋"/>
        </w:rPr>
        <w:t>验收</w:t>
      </w:r>
      <w:bookmarkEnd w:id="12"/>
    </w:p>
    <w:p w14:paraId="221510B3">
      <w:pPr>
        <w:spacing w:line="560" w:lineRule="exact"/>
        <w:ind w:firstLine="640" w:firstLineChars="200"/>
        <w:rPr>
          <w:rFonts w:hint="eastAsia" w:ascii="PingFang-SC-Regular" w:hAnsi="PingFang-SC-Regular" w:cs="Segoe UI"/>
          <w:color w:val="06071F"/>
          <w:kern w:val="0"/>
          <w:sz w:val="23"/>
          <w:szCs w:val="23"/>
        </w:rPr>
      </w:pPr>
      <w:r>
        <w:rPr>
          <w:rFonts w:hint="eastAsia" w:ascii="仿宋_GB2312" w:hAnsi="仿宋" w:eastAsia="仿宋_GB2312" w:cs="仿宋"/>
          <w:color w:val="000000"/>
          <w:kern w:val="0"/>
          <w:sz w:val="32"/>
        </w:rPr>
        <w:t>在中标方完成项目系统和设备安装部署并通过按相关测评后进行验收，若存在双方无法达成共识的项目功能问题，用户有权委托第三方检查机构进行测试及验收。</w:t>
      </w:r>
    </w:p>
    <w:p w14:paraId="7A9449B6">
      <w:pPr>
        <w:pStyle w:val="48"/>
        <w:ind w:firstLine="480"/>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altName w:val="Noto Sans CJK SC"/>
    <w:panose1 w:val="00000000000000000000"/>
    <w:charset w:val="86"/>
    <w:family w:val="auto"/>
    <w:pitch w:val="default"/>
    <w:sig w:usb0="00000000" w:usb1="00000000" w:usb2="00000016" w:usb3="00000000" w:csb0="0004000F" w:csb1="00000000"/>
  </w:font>
  <w:font w:name="Noto Sans CJK SC">
    <w:panose1 w:val="020B0500000000000000"/>
    <w:charset w:val="86"/>
    <w:family w:val="auto"/>
    <w:pitch w:val="default"/>
    <w:sig w:usb0="30000083" w:usb1="2BDF3C10" w:usb2="00000016" w:usb3="00000000" w:csb0="602E0107" w:csb1="00000000"/>
  </w:font>
  <w:font w:name="楷体_GB2312">
    <w:panose1 w:val="02010609030101010101"/>
    <w:charset w:val="86"/>
    <w:family w:val="modern"/>
    <w:pitch w:val="default"/>
    <w:sig w:usb0="00000001" w:usb1="080E0000" w:usb2="00000000" w:usb3="00000000" w:csb0="00040000" w:csb1="00000000"/>
  </w:font>
  <w:font w:name="PingFang-SC-Regular">
    <w:altName w:val="仿宋_GB2312"/>
    <w:panose1 w:val="00000000000000000000"/>
    <w:charset w:val="00"/>
    <w:family w:val="roman"/>
    <w:pitch w:val="default"/>
    <w:sig w:usb0="00000000" w:usb1="00000000" w:usb2="00000000" w:usb3="00000000" w:csb0="00000000" w:csb1="00000000"/>
  </w:font>
  <w:font w:name="Segoe UI">
    <w:altName w:val="Noto Naskh Arabic"/>
    <w:panose1 w:val="020B0502040204020203"/>
    <w:charset w:val="00"/>
    <w:family w:val="swiss"/>
    <w:pitch w:val="default"/>
    <w:sig w:usb0="00000000" w:usb1="00000000" w:usb2="00000029" w:usb3="00000000" w:csb0="000001DF" w:csb1="00000000"/>
  </w:font>
  <w:font w:name="Noto Naskh Arabic">
    <w:panose1 w:val="020B0502040504020204"/>
    <w:charset w:val="00"/>
    <w:family w:val="auto"/>
    <w:pitch w:val="default"/>
    <w:sig w:usb0="80002003" w:usb1="80002000" w:usb2="00000008" w:usb3="00000000" w:csb0="00000041" w:csb1="00080000"/>
  </w:font>
  <w:font w:name="GWZT-EN">
    <w:panose1 w:val="02020400000000000000"/>
    <w:charset w:val="86"/>
    <w:family w:val="auto"/>
    <w:pitch w:val="default"/>
    <w:sig w:usb0="A00002BF" w:usb1="38CF7CFA" w:usb2="00082016"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3225286"/>
    </w:sdtPr>
    <w:sdtEndPr>
      <w:rPr>
        <w:sz w:val="22"/>
      </w:rPr>
    </w:sdtEndPr>
    <w:sdtContent>
      <w:p w14:paraId="4E47DA6C">
        <w:pPr>
          <w:pStyle w:val="18"/>
          <w:jc w:val="center"/>
          <w:rPr>
            <w:sz w:val="22"/>
          </w:rPr>
        </w:pPr>
        <w:r>
          <w:rPr>
            <w:sz w:val="22"/>
          </w:rPr>
          <w:fldChar w:fldCharType="begin"/>
        </w:r>
        <w:r>
          <w:rPr>
            <w:sz w:val="22"/>
          </w:rPr>
          <w:instrText xml:space="preserve"> PAGE   \* MERGEFORMAT </w:instrText>
        </w:r>
        <w:r>
          <w:rPr>
            <w:sz w:val="22"/>
          </w:rPr>
          <w:fldChar w:fldCharType="separate"/>
        </w:r>
        <w:r>
          <w:rPr>
            <w:sz w:val="22"/>
            <w:lang w:val="zh-CN"/>
          </w:rPr>
          <w:t>-</w:t>
        </w:r>
        <w:r>
          <w:rPr>
            <w:sz w:val="22"/>
          </w:rPr>
          <w:t xml:space="preserve"> 18 -</w:t>
        </w:r>
        <w:r>
          <w:rPr>
            <w:sz w:val="22"/>
          </w:rPr>
          <w:fldChar w:fldCharType="end"/>
        </w:r>
      </w:p>
    </w:sdtContent>
  </w:sdt>
  <w:p w14:paraId="3B583A98">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11B30"/>
    <w:multiLevelType w:val="multilevel"/>
    <w:tmpl w:val="F5B11B30"/>
    <w:lvl w:ilvl="0" w:tentative="0">
      <w:start w:val="1"/>
      <w:numFmt w:val="decimal"/>
      <w:lvlText w:val="%1."/>
      <w:lvlJc w:val="left"/>
      <w:pPr>
        <w:ind w:left="425" w:hanging="425"/>
      </w:pPr>
      <w:rPr>
        <w:rFonts w:hint="default"/>
      </w:rPr>
    </w:lvl>
    <w:lvl w:ilvl="1" w:tentative="0">
      <w:start w:val="1"/>
      <w:numFmt w:val="decimal"/>
      <w:lvlText w:val="%1.%2."/>
      <w:lvlJc w:val="left"/>
      <w:pPr>
        <w:ind w:left="993"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58B43839"/>
    <w:multiLevelType w:val="multilevel"/>
    <w:tmpl w:val="58B43839"/>
    <w:lvl w:ilvl="0" w:tentative="0">
      <w:start w:val="1"/>
      <w:numFmt w:val="chineseCountingThousand"/>
      <w:pStyle w:val="4"/>
      <w:suff w:val="nothing"/>
      <w:lvlText w:val="%1、"/>
      <w:lvlJc w:val="left"/>
      <w:pPr>
        <w:ind w:left="573" w:hanging="431"/>
      </w:pPr>
      <w:rPr>
        <w:rFonts w:hint="eastAsia" w:ascii="黑体" w:hAnsi="黑体" w:eastAsia="黑体"/>
        <w:b/>
        <w:i w:val="0"/>
        <w:sz w:val="32"/>
      </w:rPr>
    </w:lvl>
    <w:lvl w:ilvl="1" w:tentative="0">
      <w:start w:val="1"/>
      <w:numFmt w:val="decimal"/>
      <w:pStyle w:val="5"/>
      <w:isLgl/>
      <w:lvlText w:val="%1.%2"/>
      <w:lvlJc w:val="left"/>
      <w:pPr>
        <w:ind w:left="544" w:hanging="431"/>
      </w:pPr>
      <w:rPr>
        <w:rFonts w:hint="eastAsia" w:ascii="黑体" w:hAnsi="黑体" w:eastAsia="黑体"/>
        <w:b/>
        <w:i w:val="0"/>
        <w:sz w:val="30"/>
      </w:rPr>
    </w:lvl>
    <w:lvl w:ilvl="2" w:tentative="0">
      <w:start w:val="1"/>
      <w:numFmt w:val="decimal"/>
      <w:pStyle w:val="6"/>
      <w:isLgl/>
      <w:suff w:val="space"/>
      <w:lvlText w:val="%1.%2.%3"/>
      <w:lvlJc w:val="left"/>
      <w:pPr>
        <w:ind w:left="657" w:hanging="431"/>
      </w:pPr>
      <w:rPr>
        <w:rFonts w:hint="eastAsia" w:ascii="黑体" w:hAnsi="黑体" w:eastAsia="黑体"/>
        <w:b/>
        <w:i w:val="0"/>
        <w:sz w:val="30"/>
        <w:lang w:eastAsia="zh-CN"/>
      </w:rPr>
    </w:lvl>
    <w:lvl w:ilvl="3" w:tentative="0">
      <w:start w:val="1"/>
      <w:numFmt w:val="decimal"/>
      <w:pStyle w:val="7"/>
      <w:isLgl/>
      <w:suff w:val="space"/>
      <w:lvlText w:val="%1.%2.%3.%4"/>
      <w:lvlJc w:val="left"/>
      <w:pPr>
        <w:ind w:left="770" w:hanging="431"/>
      </w:pPr>
      <w:rPr>
        <w:rFonts w:hint="eastAsia" w:ascii="黑体" w:hAnsi="黑体" w:eastAsia="黑体"/>
        <w:b/>
        <w:i w:val="0"/>
        <w:sz w:val="28"/>
      </w:rPr>
    </w:lvl>
    <w:lvl w:ilvl="4" w:tentative="0">
      <w:start w:val="1"/>
      <w:numFmt w:val="decimal"/>
      <w:pStyle w:val="8"/>
      <w:isLgl/>
      <w:suff w:val="space"/>
      <w:lvlText w:val="%1.%2.%3.%4.%5"/>
      <w:lvlJc w:val="left"/>
      <w:pPr>
        <w:ind w:left="883" w:hanging="431"/>
      </w:pPr>
      <w:rPr>
        <w:rFonts w:hint="eastAsia" w:ascii="黑体" w:hAnsi="黑体" w:eastAsia="黑体"/>
        <w:b/>
        <w:i w:val="0"/>
        <w:sz w:val="28"/>
      </w:rPr>
    </w:lvl>
    <w:lvl w:ilvl="5" w:tentative="0">
      <w:start w:val="1"/>
      <w:numFmt w:val="decimal"/>
      <w:pStyle w:val="9"/>
      <w:isLgl/>
      <w:lvlText w:val="%1.%2.%3.%4.%5.%6"/>
      <w:lvlJc w:val="left"/>
      <w:pPr>
        <w:ind w:left="996" w:hanging="431"/>
      </w:pPr>
      <w:rPr>
        <w:rFonts w:hint="eastAsia" w:eastAsia="宋体"/>
        <w:b/>
        <w:bCs w:val="0"/>
        <w:i w:val="0"/>
        <w:iCs w:val="0"/>
        <w:caps w:val="0"/>
        <w:smallCaps w:val="0"/>
        <w:strike w:val="0"/>
        <w:dstrike w:val="0"/>
        <w:vanish w:val="0"/>
        <w:spacing w:val="0"/>
        <w:position w:val="0"/>
        <w:sz w:val="24"/>
        <w:u w:val="none"/>
        <w:vertAlign w:val="baseline"/>
      </w:rPr>
    </w:lvl>
    <w:lvl w:ilvl="6" w:tentative="0">
      <w:start w:val="1"/>
      <w:numFmt w:val="decimal"/>
      <w:lvlText w:val="%1.%2.%3.%4.%5.%6.%7"/>
      <w:lvlJc w:val="left"/>
      <w:pPr>
        <w:ind w:left="1109" w:hanging="431"/>
      </w:pPr>
      <w:rPr>
        <w:rFonts w:hint="eastAsia"/>
      </w:rPr>
    </w:lvl>
    <w:lvl w:ilvl="7" w:tentative="0">
      <w:start w:val="1"/>
      <w:numFmt w:val="decimal"/>
      <w:lvlText w:val="%1.%2.%3.%4.%5.%6.%7.%8"/>
      <w:lvlJc w:val="left"/>
      <w:pPr>
        <w:ind w:left="1222" w:hanging="431"/>
      </w:pPr>
      <w:rPr>
        <w:rFonts w:hint="eastAsia"/>
      </w:rPr>
    </w:lvl>
    <w:lvl w:ilvl="8" w:tentative="0">
      <w:start w:val="1"/>
      <w:numFmt w:val="decimal"/>
      <w:lvlText w:val="%1.%2.%3.%4.%5.%6.%7.%8.%9"/>
      <w:lvlJc w:val="left"/>
      <w:pPr>
        <w:ind w:left="1335" w:hanging="431"/>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YmEzMTNhMjdkYThkNDYyOTNhN2M4MTNhMDJiODcifQ=="/>
  </w:docVars>
  <w:rsids>
    <w:rsidRoot w:val="005356A9"/>
    <w:rsid w:val="000045D5"/>
    <w:rsid w:val="000155C4"/>
    <w:rsid w:val="000351DB"/>
    <w:rsid w:val="00081051"/>
    <w:rsid w:val="000856BE"/>
    <w:rsid w:val="00094706"/>
    <w:rsid w:val="000A58C1"/>
    <w:rsid w:val="000B33AC"/>
    <w:rsid w:val="000C0AB0"/>
    <w:rsid w:val="00105490"/>
    <w:rsid w:val="00105A12"/>
    <w:rsid w:val="00130112"/>
    <w:rsid w:val="001457E0"/>
    <w:rsid w:val="001604E6"/>
    <w:rsid w:val="001D0964"/>
    <w:rsid w:val="001D202E"/>
    <w:rsid w:val="001D6504"/>
    <w:rsid w:val="001E5B0D"/>
    <w:rsid w:val="002020A4"/>
    <w:rsid w:val="0020345A"/>
    <w:rsid w:val="002055EE"/>
    <w:rsid w:val="00215B69"/>
    <w:rsid w:val="002366EE"/>
    <w:rsid w:val="00242497"/>
    <w:rsid w:val="002442DC"/>
    <w:rsid w:val="0025100F"/>
    <w:rsid w:val="002610C3"/>
    <w:rsid w:val="00263AD4"/>
    <w:rsid w:val="00264C1C"/>
    <w:rsid w:val="002805AC"/>
    <w:rsid w:val="0029579A"/>
    <w:rsid w:val="002A5E5D"/>
    <w:rsid w:val="002A604A"/>
    <w:rsid w:val="002C39E4"/>
    <w:rsid w:val="002C3F9F"/>
    <w:rsid w:val="002C5E4B"/>
    <w:rsid w:val="002C69E6"/>
    <w:rsid w:val="002D073E"/>
    <w:rsid w:val="002D2DDE"/>
    <w:rsid w:val="002D7212"/>
    <w:rsid w:val="002E5D7B"/>
    <w:rsid w:val="003078EF"/>
    <w:rsid w:val="00313B29"/>
    <w:rsid w:val="0031735E"/>
    <w:rsid w:val="00327794"/>
    <w:rsid w:val="00330BE7"/>
    <w:rsid w:val="00337566"/>
    <w:rsid w:val="00346AE8"/>
    <w:rsid w:val="00374C08"/>
    <w:rsid w:val="00376E35"/>
    <w:rsid w:val="003909A8"/>
    <w:rsid w:val="00391D8E"/>
    <w:rsid w:val="003A4654"/>
    <w:rsid w:val="003D038C"/>
    <w:rsid w:val="003D05B2"/>
    <w:rsid w:val="003F4D1A"/>
    <w:rsid w:val="0041786B"/>
    <w:rsid w:val="00434A19"/>
    <w:rsid w:val="00444334"/>
    <w:rsid w:val="00453BEF"/>
    <w:rsid w:val="004558F9"/>
    <w:rsid w:val="00470F45"/>
    <w:rsid w:val="00485D1A"/>
    <w:rsid w:val="00493EEE"/>
    <w:rsid w:val="00497745"/>
    <w:rsid w:val="004C4D4E"/>
    <w:rsid w:val="004D74FF"/>
    <w:rsid w:val="004F5E84"/>
    <w:rsid w:val="004F6BCF"/>
    <w:rsid w:val="005035FA"/>
    <w:rsid w:val="00524F13"/>
    <w:rsid w:val="00527AF0"/>
    <w:rsid w:val="005356A9"/>
    <w:rsid w:val="00544B18"/>
    <w:rsid w:val="00551B88"/>
    <w:rsid w:val="005530C0"/>
    <w:rsid w:val="005537FC"/>
    <w:rsid w:val="00560840"/>
    <w:rsid w:val="005838A4"/>
    <w:rsid w:val="00583F5D"/>
    <w:rsid w:val="0058708B"/>
    <w:rsid w:val="0059073D"/>
    <w:rsid w:val="005A209E"/>
    <w:rsid w:val="005E32D6"/>
    <w:rsid w:val="005E499E"/>
    <w:rsid w:val="006028E3"/>
    <w:rsid w:val="00603E06"/>
    <w:rsid w:val="0061207E"/>
    <w:rsid w:val="00616091"/>
    <w:rsid w:val="00617838"/>
    <w:rsid w:val="0062635C"/>
    <w:rsid w:val="00637FAC"/>
    <w:rsid w:val="0064469D"/>
    <w:rsid w:val="00650863"/>
    <w:rsid w:val="00654330"/>
    <w:rsid w:val="00657571"/>
    <w:rsid w:val="006577DD"/>
    <w:rsid w:val="006722BA"/>
    <w:rsid w:val="006748FE"/>
    <w:rsid w:val="00683409"/>
    <w:rsid w:val="006A4C46"/>
    <w:rsid w:val="006A5467"/>
    <w:rsid w:val="006B32E5"/>
    <w:rsid w:val="006C369B"/>
    <w:rsid w:val="006D5CC4"/>
    <w:rsid w:val="006D75C0"/>
    <w:rsid w:val="006D7ABA"/>
    <w:rsid w:val="006E131D"/>
    <w:rsid w:val="006E447F"/>
    <w:rsid w:val="006E44E4"/>
    <w:rsid w:val="006E4A3E"/>
    <w:rsid w:val="006F1C2A"/>
    <w:rsid w:val="006F29C9"/>
    <w:rsid w:val="006F7837"/>
    <w:rsid w:val="00700499"/>
    <w:rsid w:val="00701587"/>
    <w:rsid w:val="00701A6A"/>
    <w:rsid w:val="007079B7"/>
    <w:rsid w:val="00715DB2"/>
    <w:rsid w:val="0072265A"/>
    <w:rsid w:val="00737FA6"/>
    <w:rsid w:val="00750E7A"/>
    <w:rsid w:val="00776E03"/>
    <w:rsid w:val="00781813"/>
    <w:rsid w:val="00786939"/>
    <w:rsid w:val="007904EC"/>
    <w:rsid w:val="00790FD5"/>
    <w:rsid w:val="007B17F0"/>
    <w:rsid w:val="007B192A"/>
    <w:rsid w:val="007C65C1"/>
    <w:rsid w:val="007F381C"/>
    <w:rsid w:val="007F70A3"/>
    <w:rsid w:val="0080635E"/>
    <w:rsid w:val="008147F1"/>
    <w:rsid w:val="00816F36"/>
    <w:rsid w:val="00820843"/>
    <w:rsid w:val="008611AC"/>
    <w:rsid w:val="008661B4"/>
    <w:rsid w:val="00883CFA"/>
    <w:rsid w:val="00884998"/>
    <w:rsid w:val="00884A07"/>
    <w:rsid w:val="0089481C"/>
    <w:rsid w:val="008A03F8"/>
    <w:rsid w:val="008A5939"/>
    <w:rsid w:val="008A71DD"/>
    <w:rsid w:val="008C1132"/>
    <w:rsid w:val="008C48F0"/>
    <w:rsid w:val="008D0886"/>
    <w:rsid w:val="008F12AB"/>
    <w:rsid w:val="008F489E"/>
    <w:rsid w:val="008F6532"/>
    <w:rsid w:val="0090174A"/>
    <w:rsid w:val="009079C1"/>
    <w:rsid w:val="009175CE"/>
    <w:rsid w:val="00921179"/>
    <w:rsid w:val="00924B97"/>
    <w:rsid w:val="009345DC"/>
    <w:rsid w:val="00945EB1"/>
    <w:rsid w:val="00957725"/>
    <w:rsid w:val="00973EB3"/>
    <w:rsid w:val="009770D8"/>
    <w:rsid w:val="009801FF"/>
    <w:rsid w:val="009839C5"/>
    <w:rsid w:val="00987448"/>
    <w:rsid w:val="00990741"/>
    <w:rsid w:val="00994872"/>
    <w:rsid w:val="00996034"/>
    <w:rsid w:val="009D1903"/>
    <w:rsid w:val="009E6DAF"/>
    <w:rsid w:val="009E7F2F"/>
    <w:rsid w:val="009F1F84"/>
    <w:rsid w:val="00A0204F"/>
    <w:rsid w:val="00A14679"/>
    <w:rsid w:val="00A16E55"/>
    <w:rsid w:val="00A16E92"/>
    <w:rsid w:val="00A24FB8"/>
    <w:rsid w:val="00A30997"/>
    <w:rsid w:val="00A336B8"/>
    <w:rsid w:val="00A33D17"/>
    <w:rsid w:val="00A61DF4"/>
    <w:rsid w:val="00A8249E"/>
    <w:rsid w:val="00A90891"/>
    <w:rsid w:val="00AA16C6"/>
    <w:rsid w:val="00AA4B31"/>
    <w:rsid w:val="00AB324A"/>
    <w:rsid w:val="00AC4022"/>
    <w:rsid w:val="00AC62BE"/>
    <w:rsid w:val="00AC7F81"/>
    <w:rsid w:val="00AF7299"/>
    <w:rsid w:val="00AF7C76"/>
    <w:rsid w:val="00B032A4"/>
    <w:rsid w:val="00B125D6"/>
    <w:rsid w:val="00B1320F"/>
    <w:rsid w:val="00B37473"/>
    <w:rsid w:val="00B46B60"/>
    <w:rsid w:val="00B477B7"/>
    <w:rsid w:val="00B522A8"/>
    <w:rsid w:val="00B52BE1"/>
    <w:rsid w:val="00B54CD6"/>
    <w:rsid w:val="00B64C3B"/>
    <w:rsid w:val="00B66F61"/>
    <w:rsid w:val="00B67382"/>
    <w:rsid w:val="00B80B9C"/>
    <w:rsid w:val="00B879C2"/>
    <w:rsid w:val="00B9551A"/>
    <w:rsid w:val="00BB724C"/>
    <w:rsid w:val="00BE2576"/>
    <w:rsid w:val="00BE2BC8"/>
    <w:rsid w:val="00BE4C5E"/>
    <w:rsid w:val="00BE54EF"/>
    <w:rsid w:val="00BE5B91"/>
    <w:rsid w:val="00BE75FB"/>
    <w:rsid w:val="00BF020F"/>
    <w:rsid w:val="00BF2022"/>
    <w:rsid w:val="00BF20C6"/>
    <w:rsid w:val="00BF2D3C"/>
    <w:rsid w:val="00BF37E9"/>
    <w:rsid w:val="00BF4920"/>
    <w:rsid w:val="00C06CDE"/>
    <w:rsid w:val="00C1132A"/>
    <w:rsid w:val="00C1264C"/>
    <w:rsid w:val="00C205EE"/>
    <w:rsid w:val="00C26BC3"/>
    <w:rsid w:val="00C33A89"/>
    <w:rsid w:val="00C424A4"/>
    <w:rsid w:val="00C43438"/>
    <w:rsid w:val="00C62DFF"/>
    <w:rsid w:val="00C847BB"/>
    <w:rsid w:val="00C94E21"/>
    <w:rsid w:val="00CB37E0"/>
    <w:rsid w:val="00CD3973"/>
    <w:rsid w:val="00CD4A94"/>
    <w:rsid w:val="00CD7A4D"/>
    <w:rsid w:val="00CE44EE"/>
    <w:rsid w:val="00CE765C"/>
    <w:rsid w:val="00CF1989"/>
    <w:rsid w:val="00CF53F7"/>
    <w:rsid w:val="00D277E9"/>
    <w:rsid w:val="00D533D3"/>
    <w:rsid w:val="00D5343B"/>
    <w:rsid w:val="00D75E8C"/>
    <w:rsid w:val="00D905EB"/>
    <w:rsid w:val="00DB0F0B"/>
    <w:rsid w:val="00DC0347"/>
    <w:rsid w:val="00DC1541"/>
    <w:rsid w:val="00DC5325"/>
    <w:rsid w:val="00DD148E"/>
    <w:rsid w:val="00DD2658"/>
    <w:rsid w:val="00DD7580"/>
    <w:rsid w:val="00DE30C9"/>
    <w:rsid w:val="00DE697E"/>
    <w:rsid w:val="00DF2D4A"/>
    <w:rsid w:val="00E05FBF"/>
    <w:rsid w:val="00E12370"/>
    <w:rsid w:val="00E12982"/>
    <w:rsid w:val="00E13FCC"/>
    <w:rsid w:val="00E26E11"/>
    <w:rsid w:val="00E3080E"/>
    <w:rsid w:val="00E56004"/>
    <w:rsid w:val="00E578C4"/>
    <w:rsid w:val="00E70A3A"/>
    <w:rsid w:val="00E80738"/>
    <w:rsid w:val="00E85EB8"/>
    <w:rsid w:val="00E86E22"/>
    <w:rsid w:val="00E906E2"/>
    <w:rsid w:val="00EA66F7"/>
    <w:rsid w:val="00EC0929"/>
    <w:rsid w:val="00EC7B5D"/>
    <w:rsid w:val="00EF71C7"/>
    <w:rsid w:val="00F02BCB"/>
    <w:rsid w:val="00F12AD7"/>
    <w:rsid w:val="00F167B0"/>
    <w:rsid w:val="00F3020E"/>
    <w:rsid w:val="00F32E17"/>
    <w:rsid w:val="00F37A23"/>
    <w:rsid w:val="00F55A08"/>
    <w:rsid w:val="00F72190"/>
    <w:rsid w:val="00F724E8"/>
    <w:rsid w:val="00F73740"/>
    <w:rsid w:val="00F94728"/>
    <w:rsid w:val="00FB3214"/>
    <w:rsid w:val="00FC6F1C"/>
    <w:rsid w:val="00FD0898"/>
    <w:rsid w:val="00FD43A3"/>
    <w:rsid w:val="00FE4442"/>
    <w:rsid w:val="00FE6869"/>
    <w:rsid w:val="00FF138C"/>
    <w:rsid w:val="00FF13FB"/>
    <w:rsid w:val="00FF54D2"/>
    <w:rsid w:val="00FF5A45"/>
    <w:rsid w:val="00FF7878"/>
    <w:rsid w:val="01C40DDD"/>
    <w:rsid w:val="06FF4FDA"/>
    <w:rsid w:val="0AC137CA"/>
    <w:rsid w:val="1388223A"/>
    <w:rsid w:val="1EB12291"/>
    <w:rsid w:val="1FC6F7BB"/>
    <w:rsid w:val="2A2C4ADE"/>
    <w:rsid w:val="2EC83315"/>
    <w:rsid w:val="32107E31"/>
    <w:rsid w:val="357B43A3"/>
    <w:rsid w:val="3B8763FC"/>
    <w:rsid w:val="3CC63716"/>
    <w:rsid w:val="3E3ABFF2"/>
    <w:rsid w:val="40152647"/>
    <w:rsid w:val="442037B5"/>
    <w:rsid w:val="44501A81"/>
    <w:rsid w:val="4A634B21"/>
    <w:rsid w:val="50EE68AA"/>
    <w:rsid w:val="54DA0EF3"/>
    <w:rsid w:val="57DF27AA"/>
    <w:rsid w:val="5942710E"/>
    <w:rsid w:val="5D513286"/>
    <w:rsid w:val="623E5FC6"/>
    <w:rsid w:val="62481AB3"/>
    <w:rsid w:val="69CF4947"/>
    <w:rsid w:val="6B203B6D"/>
    <w:rsid w:val="6B4F1B0A"/>
    <w:rsid w:val="6DC60517"/>
    <w:rsid w:val="71087253"/>
    <w:rsid w:val="7A8E36A3"/>
    <w:rsid w:val="7FFE8A93"/>
    <w:rsid w:val="A7CF5938"/>
    <w:rsid w:val="AFBE8353"/>
    <w:rsid w:val="F3E33C61"/>
    <w:rsid w:val="FAFF7E07"/>
    <w:rsid w:val="FE66E84D"/>
    <w:rsid w:val="FFEC6801"/>
    <w:rsid w:val="FFFBF16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pPr>
    <w:rPr>
      <w:rFonts w:ascii="宋体" w:hAnsi="宋体" w:eastAsia="宋体" w:cs="黑体"/>
      <w:kern w:val="2"/>
      <w:sz w:val="21"/>
      <w:szCs w:val="32"/>
      <w:lang w:val="en-US" w:eastAsia="zh-CN" w:bidi="ar-SA"/>
    </w:rPr>
  </w:style>
  <w:style w:type="paragraph" w:styleId="4">
    <w:name w:val="heading 1"/>
    <w:basedOn w:val="1"/>
    <w:next w:val="1"/>
    <w:link w:val="28"/>
    <w:qFormat/>
    <w:uiPriority w:val="0"/>
    <w:pPr>
      <w:keepNext/>
      <w:keepLines/>
      <w:numPr>
        <w:ilvl w:val="0"/>
        <w:numId w:val="1"/>
      </w:numPr>
      <w:adjustRightInd/>
      <w:snapToGrid/>
      <w:spacing w:beforeLines="100"/>
      <w:jc w:val="both"/>
      <w:outlineLvl w:val="0"/>
    </w:pPr>
    <w:rPr>
      <w:rFonts w:ascii="黑体" w:eastAsia="黑体"/>
      <w:b/>
      <w:bCs/>
      <w:kern w:val="44"/>
      <w:sz w:val="32"/>
      <w:szCs w:val="44"/>
    </w:rPr>
  </w:style>
  <w:style w:type="paragraph" w:styleId="5">
    <w:name w:val="heading 2"/>
    <w:basedOn w:val="1"/>
    <w:next w:val="1"/>
    <w:link w:val="29"/>
    <w:qFormat/>
    <w:uiPriority w:val="0"/>
    <w:pPr>
      <w:keepNext/>
      <w:keepLines/>
      <w:numPr>
        <w:ilvl w:val="1"/>
        <w:numId w:val="1"/>
      </w:numPr>
      <w:adjustRightInd/>
      <w:snapToGrid/>
      <w:jc w:val="both"/>
      <w:outlineLvl w:val="1"/>
    </w:pPr>
    <w:rPr>
      <w:rFonts w:ascii="黑体" w:eastAsia="黑体" w:cstheme="majorBidi"/>
      <w:b/>
      <w:bCs/>
      <w:sz w:val="30"/>
    </w:rPr>
  </w:style>
  <w:style w:type="paragraph" w:styleId="6">
    <w:name w:val="heading 3"/>
    <w:basedOn w:val="1"/>
    <w:next w:val="1"/>
    <w:link w:val="30"/>
    <w:qFormat/>
    <w:uiPriority w:val="0"/>
    <w:pPr>
      <w:keepNext/>
      <w:keepLines/>
      <w:numPr>
        <w:ilvl w:val="2"/>
        <w:numId w:val="1"/>
      </w:numPr>
      <w:adjustRightInd/>
      <w:snapToGrid/>
      <w:jc w:val="both"/>
      <w:outlineLvl w:val="2"/>
    </w:pPr>
    <w:rPr>
      <w:rFonts w:ascii="黑体" w:eastAsia="黑体"/>
      <w:b/>
      <w:bCs/>
      <w:sz w:val="28"/>
    </w:rPr>
  </w:style>
  <w:style w:type="paragraph" w:styleId="7">
    <w:name w:val="heading 4"/>
    <w:basedOn w:val="1"/>
    <w:next w:val="1"/>
    <w:link w:val="31"/>
    <w:qFormat/>
    <w:uiPriority w:val="0"/>
    <w:pPr>
      <w:keepNext/>
      <w:keepLines/>
      <w:numPr>
        <w:ilvl w:val="3"/>
        <w:numId w:val="1"/>
      </w:numPr>
      <w:adjustRightInd/>
      <w:snapToGrid/>
      <w:jc w:val="both"/>
      <w:outlineLvl w:val="3"/>
    </w:pPr>
    <w:rPr>
      <w:rFonts w:cstheme="majorBidi"/>
      <w:b/>
      <w:bCs/>
      <w:sz w:val="28"/>
      <w:szCs w:val="28"/>
    </w:rPr>
  </w:style>
  <w:style w:type="paragraph" w:styleId="8">
    <w:name w:val="heading 5"/>
    <w:basedOn w:val="1"/>
    <w:next w:val="1"/>
    <w:link w:val="32"/>
    <w:qFormat/>
    <w:uiPriority w:val="0"/>
    <w:pPr>
      <w:keepNext/>
      <w:keepLines/>
      <w:numPr>
        <w:ilvl w:val="4"/>
        <w:numId w:val="1"/>
      </w:numPr>
      <w:adjustRightInd/>
      <w:snapToGrid/>
      <w:jc w:val="both"/>
      <w:outlineLvl w:val="4"/>
    </w:pPr>
    <w:rPr>
      <w:b/>
      <w:bCs/>
      <w:sz w:val="28"/>
      <w:szCs w:val="28"/>
    </w:rPr>
  </w:style>
  <w:style w:type="paragraph" w:styleId="9">
    <w:name w:val="heading 6"/>
    <w:basedOn w:val="1"/>
    <w:next w:val="1"/>
    <w:link w:val="33"/>
    <w:qFormat/>
    <w:uiPriority w:val="0"/>
    <w:pPr>
      <w:keepNext/>
      <w:keepLines/>
      <w:numPr>
        <w:ilvl w:val="5"/>
        <w:numId w:val="1"/>
      </w:numPr>
      <w:adjustRightInd/>
      <w:snapToGrid/>
      <w:jc w:val="both"/>
      <w:outlineLvl w:val="5"/>
    </w:pPr>
    <w:rPr>
      <w:rFonts w:cstheme="majorBidi"/>
      <w:b/>
      <w:bCs/>
      <w:sz w:val="28"/>
      <w:szCs w:val="24"/>
    </w:rPr>
  </w:style>
  <w:style w:type="paragraph" w:styleId="10">
    <w:name w:val="heading 7"/>
    <w:basedOn w:val="1"/>
    <w:next w:val="1"/>
    <w:link w:val="34"/>
    <w:qFormat/>
    <w:uiPriority w:val="0"/>
    <w:pPr>
      <w:keepNext/>
      <w:keepLines/>
      <w:adjustRightInd/>
      <w:snapToGrid/>
      <w:spacing w:before="240" w:after="64" w:line="320" w:lineRule="auto"/>
      <w:jc w:val="both"/>
      <w:outlineLvl w:val="6"/>
    </w:pPr>
    <w:rPr>
      <w:rFonts w:cstheme="majorBidi"/>
      <w:b/>
      <w:bCs/>
      <w:sz w:val="24"/>
      <w:szCs w:val="24"/>
    </w:rPr>
  </w:style>
  <w:style w:type="paragraph" w:styleId="11">
    <w:name w:val="heading 8"/>
    <w:basedOn w:val="1"/>
    <w:next w:val="1"/>
    <w:link w:val="35"/>
    <w:qFormat/>
    <w:uiPriority w:val="0"/>
    <w:pPr>
      <w:keepNext/>
      <w:keepLines/>
      <w:adjustRightInd/>
      <w:snapToGrid/>
      <w:spacing w:before="240" w:after="64" w:line="320" w:lineRule="auto"/>
      <w:jc w:val="both"/>
      <w:outlineLvl w:val="7"/>
    </w:pPr>
    <w:rPr>
      <w:rFonts w:ascii="Arial" w:hAnsi="Arial" w:eastAsia="黑体" w:cstheme="majorBidi"/>
      <w:sz w:val="24"/>
      <w:szCs w:val="24"/>
    </w:rPr>
  </w:style>
  <w:style w:type="paragraph" w:styleId="12">
    <w:name w:val="heading 9"/>
    <w:basedOn w:val="1"/>
    <w:next w:val="1"/>
    <w:link w:val="36"/>
    <w:qFormat/>
    <w:uiPriority w:val="0"/>
    <w:pPr>
      <w:keepNext/>
      <w:keepLines/>
      <w:adjustRightInd/>
      <w:snapToGrid/>
      <w:spacing w:before="240" w:after="64" w:line="320" w:lineRule="auto"/>
      <w:jc w:val="both"/>
      <w:outlineLvl w:val="8"/>
    </w:pPr>
    <w:rPr>
      <w:rFonts w:ascii="Arial" w:hAnsi="Arial" w:eastAsia="黑体" w:cstheme="majorBidi"/>
      <w:szCs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107"/>
    </w:pPr>
    <w:rPr>
      <w:szCs w:val="21"/>
    </w:rPr>
  </w:style>
  <w:style w:type="paragraph" w:styleId="3">
    <w:name w:val="toc 2"/>
    <w:basedOn w:val="1"/>
    <w:next w:val="1"/>
    <w:qFormat/>
    <w:uiPriority w:val="39"/>
    <w:pPr>
      <w:ind w:left="420" w:leftChars="200"/>
    </w:pPr>
  </w:style>
  <w:style w:type="paragraph" w:styleId="13">
    <w:name w:val="Normal Indent"/>
    <w:basedOn w:val="1"/>
    <w:link w:val="88"/>
    <w:qFormat/>
    <w:uiPriority w:val="0"/>
    <w:pPr>
      <w:adjustRightInd/>
      <w:snapToGrid/>
      <w:ind w:firstLine="480"/>
      <w:jc w:val="both"/>
    </w:pPr>
    <w:rPr>
      <w:rFonts w:ascii="Times New Roman" w:hAnsi="Times New Roman"/>
      <w:kern w:val="44"/>
      <w:sz w:val="24"/>
      <w:szCs w:val="24"/>
    </w:rPr>
  </w:style>
  <w:style w:type="paragraph" w:styleId="14">
    <w:name w:val="caption"/>
    <w:basedOn w:val="1"/>
    <w:next w:val="1"/>
    <w:link w:val="89"/>
    <w:qFormat/>
    <w:uiPriority w:val="0"/>
    <w:pPr>
      <w:adjustRightInd/>
      <w:snapToGrid/>
      <w:spacing w:before="152" w:after="160"/>
      <w:jc w:val="both"/>
    </w:pPr>
    <w:rPr>
      <w:rFonts w:ascii="Arial" w:hAnsi="Arial" w:eastAsia="黑体" w:cs="Arial"/>
      <w:sz w:val="20"/>
      <w:szCs w:val="20"/>
    </w:rPr>
  </w:style>
  <w:style w:type="paragraph" w:styleId="15">
    <w:name w:val="Document Map"/>
    <w:basedOn w:val="1"/>
    <w:link w:val="101"/>
    <w:semiHidden/>
    <w:unhideWhenUsed/>
    <w:qFormat/>
    <w:uiPriority w:val="99"/>
    <w:rPr>
      <w:sz w:val="18"/>
      <w:szCs w:val="18"/>
    </w:rPr>
  </w:style>
  <w:style w:type="paragraph" w:styleId="16">
    <w:name w:val="annotation text"/>
    <w:basedOn w:val="1"/>
    <w:semiHidden/>
    <w:unhideWhenUsed/>
    <w:qFormat/>
    <w:uiPriority w:val="99"/>
  </w:style>
  <w:style w:type="paragraph" w:styleId="17">
    <w:name w:val="Balloon Text"/>
    <w:basedOn w:val="1"/>
    <w:link w:val="99"/>
    <w:semiHidden/>
    <w:unhideWhenUsed/>
    <w:qFormat/>
    <w:uiPriority w:val="99"/>
    <w:pPr>
      <w:spacing w:line="240" w:lineRule="auto"/>
    </w:pPr>
    <w:rPr>
      <w:sz w:val="18"/>
      <w:szCs w:val="18"/>
    </w:rPr>
  </w:style>
  <w:style w:type="paragraph" w:styleId="18">
    <w:name w:val="footer"/>
    <w:basedOn w:val="1"/>
    <w:link w:val="47"/>
    <w:unhideWhenUsed/>
    <w:qFormat/>
    <w:uiPriority w:val="99"/>
    <w:pPr>
      <w:tabs>
        <w:tab w:val="center" w:pos="4153"/>
        <w:tab w:val="right" w:pos="8306"/>
      </w:tabs>
    </w:pPr>
    <w:rPr>
      <w:sz w:val="18"/>
      <w:szCs w:val="18"/>
    </w:rPr>
  </w:style>
  <w:style w:type="paragraph" w:styleId="19">
    <w:name w:val="header"/>
    <w:basedOn w:val="1"/>
    <w:link w:val="46"/>
    <w:unhideWhenUsed/>
    <w:qFormat/>
    <w:uiPriority w:val="0"/>
    <w:pPr>
      <w:pBdr>
        <w:bottom w:val="single" w:color="auto" w:sz="6" w:space="1"/>
      </w:pBdr>
      <w:tabs>
        <w:tab w:val="center" w:pos="4153"/>
        <w:tab w:val="right" w:pos="8306"/>
      </w:tabs>
      <w:spacing w:line="240" w:lineRule="auto"/>
      <w:jc w:val="center"/>
    </w:pPr>
    <w:rPr>
      <w:rFonts w:ascii="方正仿宋_GBK"/>
      <w:sz w:val="18"/>
      <w:szCs w:val="18"/>
    </w:rPr>
  </w:style>
  <w:style w:type="paragraph" w:styleId="20">
    <w:name w:val="Subtitle"/>
    <w:basedOn w:val="1"/>
    <w:next w:val="1"/>
    <w:link w:val="38"/>
    <w:qFormat/>
    <w:uiPriority w:val="0"/>
    <w:pPr>
      <w:adjustRightInd/>
      <w:snapToGrid/>
      <w:spacing w:before="240" w:after="60" w:line="312" w:lineRule="auto"/>
      <w:jc w:val="center"/>
      <w:outlineLvl w:val="1"/>
    </w:pPr>
    <w:rPr>
      <w:rFonts w:ascii="Cambria" w:hAnsi="Cambria" w:cstheme="majorBidi"/>
      <w:b/>
      <w:bCs/>
      <w:kern w:val="28"/>
      <w:sz w:val="32"/>
    </w:rPr>
  </w:style>
  <w:style w:type="paragraph" w:styleId="21">
    <w:name w:val="Title"/>
    <w:basedOn w:val="1"/>
    <w:link w:val="37"/>
    <w:qFormat/>
    <w:uiPriority w:val="0"/>
    <w:pPr>
      <w:adjustRightInd/>
      <w:snapToGrid/>
      <w:spacing w:before="240" w:after="60"/>
      <w:jc w:val="center"/>
      <w:outlineLvl w:val="0"/>
    </w:pPr>
    <w:rPr>
      <w:rFonts w:ascii="Arial" w:hAnsi="Arial" w:cs="Arial"/>
      <w:b/>
      <w:bCs/>
      <w:sz w:val="32"/>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Emphasis"/>
    <w:qFormat/>
    <w:uiPriority w:val="0"/>
    <w:rPr>
      <w:i/>
      <w:iCs/>
    </w:rPr>
  </w:style>
  <w:style w:type="character" w:styleId="27">
    <w:name w:val="annotation reference"/>
    <w:basedOn w:val="24"/>
    <w:semiHidden/>
    <w:unhideWhenUsed/>
    <w:qFormat/>
    <w:uiPriority w:val="99"/>
    <w:rPr>
      <w:sz w:val="21"/>
      <w:szCs w:val="21"/>
    </w:rPr>
  </w:style>
  <w:style w:type="character" w:customStyle="1" w:styleId="28">
    <w:name w:val="标题 1 Char"/>
    <w:link w:val="4"/>
    <w:qFormat/>
    <w:uiPriority w:val="0"/>
    <w:rPr>
      <w:rFonts w:ascii="黑体" w:hAnsi="宋体" w:eastAsia="黑体" w:cs="黑体"/>
      <w:b/>
      <w:bCs/>
      <w:kern w:val="44"/>
      <w:sz w:val="32"/>
      <w:szCs w:val="44"/>
    </w:rPr>
  </w:style>
  <w:style w:type="character" w:customStyle="1" w:styleId="29">
    <w:name w:val="标题 2 Char"/>
    <w:link w:val="5"/>
    <w:qFormat/>
    <w:uiPriority w:val="0"/>
    <w:rPr>
      <w:rFonts w:ascii="黑体" w:hAnsi="宋体" w:eastAsia="黑体" w:cstheme="majorBidi"/>
      <w:b/>
      <w:bCs/>
      <w:kern w:val="2"/>
      <w:sz w:val="30"/>
      <w:szCs w:val="32"/>
    </w:rPr>
  </w:style>
  <w:style w:type="character" w:customStyle="1" w:styleId="30">
    <w:name w:val="标题 3 Char"/>
    <w:link w:val="6"/>
    <w:qFormat/>
    <w:uiPriority w:val="0"/>
    <w:rPr>
      <w:rFonts w:ascii="黑体" w:hAnsi="宋体" w:eastAsia="黑体" w:cs="黑体"/>
      <w:b/>
      <w:bCs/>
      <w:kern w:val="2"/>
      <w:sz w:val="28"/>
      <w:szCs w:val="32"/>
    </w:rPr>
  </w:style>
  <w:style w:type="character" w:customStyle="1" w:styleId="31">
    <w:name w:val="标题 4 Char"/>
    <w:link w:val="7"/>
    <w:qFormat/>
    <w:uiPriority w:val="0"/>
    <w:rPr>
      <w:rFonts w:ascii="宋体" w:hAnsi="宋体" w:cstheme="majorBidi"/>
      <w:b/>
      <w:bCs/>
      <w:kern w:val="2"/>
      <w:sz w:val="28"/>
      <w:szCs w:val="28"/>
    </w:rPr>
  </w:style>
  <w:style w:type="character" w:customStyle="1" w:styleId="32">
    <w:name w:val="标题 5 Char"/>
    <w:link w:val="8"/>
    <w:qFormat/>
    <w:uiPriority w:val="0"/>
    <w:rPr>
      <w:rFonts w:ascii="宋体" w:hAnsi="宋体" w:cs="黑体"/>
      <w:b/>
      <w:bCs/>
      <w:kern w:val="2"/>
      <w:sz w:val="28"/>
      <w:szCs w:val="28"/>
    </w:rPr>
  </w:style>
  <w:style w:type="character" w:customStyle="1" w:styleId="33">
    <w:name w:val="标题 6 Char"/>
    <w:link w:val="9"/>
    <w:qFormat/>
    <w:uiPriority w:val="0"/>
    <w:rPr>
      <w:rFonts w:ascii="宋体" w:hAnsi="宋体" w:cstheme="majorBidi"/>
      <w:b/>
      <w:bCs/>
      <w:kern w:val="2"/>
      <w:sz w:val="28"/>
      <w:szCs w:val="24"/>
    </w:rPr>
  </w:style>
  <w:style w:type="character" w:customStyle="1" w:styleId="34">
    <w:name w:val="标题 7 Char"/>
    <w:link w:val="10"/>
    <w:qFormat/>
    <w:uiPriority w:val="0"/>
    <w:rPr>
      <w:rFonts w:ascii="宋体" w:hAnsi="宋体" w:cstheme="majorBidi"/>
      <w:b/>
      <w:bCs/>
      <w:kern w:val="2"/>
      <w:sz w:val="24"/>
      <w:szCs w:val="24"/>
    </w:rPr>
  </w:style>
  <w:style w:type="character" w:customStyle="1" w:styleId="35">
    <w:name w:val="标题 8 Char"/>
    <w:link w:val="11"/>
    <w:qFormat/>
    <w:uiPriority w:val="0"/>
    <w:rPr>
      <w:rFonts w:ascii="Arial" w:hAnsi="Arial" w:eastAsia="黑体" w:cstheme="majorBidi"/>
      <w:kern w:val="2"/>
      <w:sz w:val="24"/>
      <w:szCs w:val="24"/>
    </w:rPr>
  </w:style>
  <w:style w:type="character" w:customStyle="1" w:styleId="36">
    <w:name w:val="标题 9 Char"/>
    <w:link w:val="12"/>
    <w:qFormat/>
    <w:uiPriority w:val="0"/>
    <w:rPr>
      <w:rFonts w:ascii="Arial" w:hAnsi="Arial" w:eastAsia="黑体" w:cstheme="majorBidi"/>
      <w:kern w:val="2"/>
      <w:sz w:val="21"/>
      <w:szCs w:val="21"/>
    </w:rPr>
  </w:style>
  <w:style w:type="character" w:customStyle="1" w:styleId="37">
    <w:name w:val="标题 Char"/>
    <w:link w:val="21"/>
    <w:qFormat/>
    <w:uiPriority w:val="0"/>
    <w:rPr>
      <w:rFonts w:ascii="Arial" w:hAnsi="Arial" w:cs="Arial"/>
      <w:b/>
      <w:bCs/>
      <w:kern w:val="2"/>
      <w:sz w:val="32"/>
      <w:szCs w:val="32"/>
    </w:rPr>
  </w:style>
  <w:style w:type="character" w:customStyle="1" w:styleId="38">
    <w:name w:val="副标题 Char"/>
    <w:link w:val="20"/>
    <w:qFormat/>
    <w:uiPriority w:val="0"/>
    <w:rPr>
      <w:rFonts w:ascii="Cambria" w:hAnsi="Cambria" w:cstheme="majorBidi"/>
      <w:b/>
      <w:bCs/>
      <w:kern w:val="28"/>
      <w:sz w:val="32"/>
      <w:szCs w:val="32"/>
    </w:rPr>
  </w:style>
  <w:style w:type="paragraph" w:styleId="39">
    <w:name w:val="Quote"/>
    <w:basedOn w:val="1"/>
    <w:next w:val="1"/>
    <w:link w:val="40"/>
    <w:qFormat/>
    <w:uiPriority w:val="29"/>
    <w:pPr>
      <w:adjustRightInd/>
      <w:snapToGrid/>
      <w:jc w:val="both"/>
    </w:pPr>
    <w:rPr>
      <w:rFonts w:ascii="Times New Roman" w:hAnsi="Times New Roman"/>
      <w:i/>
      <w:iCs/>
      <w:color w:val="000000"/>
      <w:szCs w:val="24"/>
    </w:rPr>
  </w:style>
  <w:style w:type="character" w:customStyle="1" w:styleId="40">
    <w:name w:val="引用 Char"/>
    <w:link w:val="39"/>
    <w:qFormat/>
    <w:uiPriority w:val="29"/>
    <w:rPr>
      <w:rFonts w:ascii="Times New Roman" w:hAnsi="Times New Roman" w:cs="黑体"/>
      <w:i/>
      <w:iCs/>
      <w:color w:val="000000"/>
      <w:kern w:val="2"/>
      <w:sz w:val="21"/>
      <w:szCs w:val="24"/>
    </w:rPr>
  </w:style>
  <w:style w:type="paragraph" w:styleId="41">
    <w:name w:val="List Paragraph"/>
    <w:basedOn w:val="1"/>
    <w:link w:val="92"/>
    <w:qFormat/>
    <w:uiPriority w:val="34"/>
    <w:pPr>
      <w:autoSpaceDE w:val="0"/>
      <w:autoSpaceDN w:val="0"/>
      <w:adjustRightInd/>
      <w:snapToGrid/>
      <w:jc w:val="both"/>
    </w:pPr>
    <w:rPr>
      <w:rFonts w:ascii="Times New Roman" w:hAnsi="Times New Roman"/>
      <w:sz w:val="24"/>
      <w:szCs w:val="24"/>
    </w:rPr>
  </w:style>
  <w:style w:type="character" w:customStyle="1" w:styleId="42">
    <w:name w:val="明显强调1"/>
    <w:qFormat/>
    <w:uiPriority w:val="21"/>
    <w:rPr>
      <w:b/>
      <w:bCs/>
      <w:i/>
      <w:iCs/>
      <w:color w:val="4F81BD"/>
    </w:rPr>
  </w:style>
  <w:style w:type="paragraph" w:styleId="43">
    <w:name w:val="Intense Quote"/>
    <w:basedOn w:val="1"/>
    <w:next w:val="1"/>
    <w:link w:val="44"/>
    <w:qFormat/>
    <w:uiPriority w:val="30"/>
    <w:pPr>
      <w:pBdr>
        <w:bottom w:val="single" w:color="4F81BD" w:sz="4" w:space="4"/>
      </w:pBdr>
      <w:adjustRightInd/>
      <w:snapToGrid/>
      <w:spacing w:before="200" w:after="280"/>
      <w:ind w:left="936" w:right="936"/>
      <w:jc w:val="both"/>
    </w:pPr>
    <w:rPr>
      <w:rFonts w:ascii="Times New Roman" w:hAnsi="Times New Roman"/>
      <w:b/>
      <w:bCs/>
      <w:i/>
      <w:iCs/>
      <w:color w:val="4F81BD"/>
      <w:szCs w:val="24"/>
    </w:rPr>
  </w:style>
  <w:style w:type="character" w:customStyle="1" w:styleId="44">
    <w:name w:val="明显引用 Char"/>
    <w:link w:val="43"/>
    <w:qFormat/>
    <w:uiPriority w:val="30"/>
    <w:rPr>
      <w:rFonts w:ascii="Times New Roman" w:hAnsi="Times New Roman" w:cs="黑体"/>
      <w:b/>
      <w:bCs/>
      <w:i/>
      <w:iCs/>
      <w:color w:val="4F81BD"/>
      <w:kern w:val="2"/>
      <w:sz w:val="21"/>
      <w:szCs w:val="24"/>
    </w:rPr>
  </w:style>
  <w:style w:type="character" w:customStyle="1" w:styleId="45">
    <w:name w:val="明显参考1"/>
    <w:qFormat/>
    <w:uiPriority w:val="32"/>
    <w:rPr>
      <w:b/>
      <w:bCs/>
      <w:smallCaps/>
      <w:color w:val="C0504D"/>
      <w:spacing w:val="5"/>
      <w:u w:val="single"/>
    </w:rPr>
  </w:style>
  <w:style w:type="character" w:customStyle="1" w:styleId="46">
    <w:name w:val="页眉 Char"/>
    <w:link w:val="19"/>
    <w:qFormat/>
    <w:uiPriority w:val="0"/>
    <w:rPr>
      <w:rFonts w:ascii="方正仿宋_GBK" w:hAnsi="宋体" w:cs="黑体"/>
      <w:kern w:val="2"/>
      <w:sz w:val="18"/>
      <w:szCs w:val="18"/>
    </w:rPr>
  </w:style>
  <w:style w:type="character" w:customStyle="1" w:styleId="47">
    <w:name w:val="页脚 Char"/>
    <w:basedOn w:val="24"/>
    <w:link w:val="18"/>
    <w:qFormat/>
    <w:uiPriority w:val="99"/>
    <w:rPr>
      <w:sz w:val="18"/>
      <w:szCs w:val="18"/>
    </w:rPr>
  </w:style>
  <w:style w:type="paragraph" w:customStyle="1" w:styleId="48">
    <w:name w:val="列出段落1"/>
    <w:basedOn w:val="1"/>
    <w:link w:val="49"/>
    <w:qFormat/>
    <w:uiPriority w:val="0"/>
    <w:pPr>
      <w:adjustRightInd/>
      <w:snapToGrid/>
      <w:ind w:firstLine="420" w:firstLineChars="200"/>
      <w:jc w:val="both"/>
    </w:pPr>
    <w:rPr>
      <w:sz w:val="24"/>
      <w:szCs w:val="24"/>
    </w:rPr>
  </w:style>
  <w:style w:type="character" w:customStyle="1" w:styleId="49">
    <w:name w:val="List Paragraph Char Char"/>
    <w:link w:val="48"/>
    <w:qFormat/>
    <w:locked/>
    <w:uiPriority w:val="0"/>
    <w:rPr>
      <w:rFonts w:ascii="宋体" w:hAnsi="宋体" w:cs="黑体"/>
      <w:kern w:val="2"/>
      <w:sz w:val="24"/>
      <w:szCs w:val="24"/>
    </w:rPr>
  </w:style>
  <w:style w:type="paragraph" w:customStyle="1" w:styleId="50">
    <w:name w:val="样式1"/>
    <w:basedOn w:val="1"/>
    <w:link w:val="51"/>
    <w:qFormat/>
    <w:uiPriority w:val="0"/>
    <w:pPr>
      <w:adjustRightInd/>
      <w:snapToGrid/>
      <w:ind w:firstLine="200" w:firstLineChars="200"/>
      <w:jc w:val="both"/>
    </w:pPr>
    <w:rPr>
      <w:rFonts w:ascii="Times New Roman" w:hAnsi="Times New Roman"/>
      <w:sz w:val="24"/>
      <w:szCs w:val="24"/>
    </w:rPr>
  </w:style>
  <w:style w:type="character" w:customStyle="1" w:styleId="51">
    <w:name w:val="样式1 字符"/>
    <w:link w:val="50"/>
    <w:qFormat/>
    <w:uiPriority w:val="0"/>
    <w:rPr>
      <w:rFonts w:ascii="Times New Roman" w:hAnsi="Times New Roman" w:cs="黑体"/>
      <w:kern w:val="2"/>
      <w:sz w:val="24"/>
      <w:szCs w:val="24"/>
    </w:rPr>
  </w:style>
  <w:style w:type="paragraph" w:customStyle="1" w:styleId="52">
    <w:name w:val="标准段落正文"/>
    <w:basedOn w:val="1"/>
    <w:link w:val="53"/>
    <w:qFormat/>
    <w:uiPriority w:val="0"/>
    <w:pPr>
      <w:adjustRightInd/>
      <w:snapToGrid/>
      <w:ind w:firstLine="200" w:firstLineChars="200"/>
    </w:pPr>
    <w:rPr>
      <w:color w:val="000000"/>
      <w:sz w:val="24"/>
      <w:szCs w:val="24"/>
    </w:rPr>
  </w:style>
  <w:style w:type="character" w:customStyle="1" w:styleId="53">
    <w:name w:val="标准段落正文 Char1"/>
    <w:link w:val="52"/>
    <w:qFormat/>
    <w:uiPriority w:val="0"/>
    <w:rPr>
      <w:rFonts w:ascii="宋体" w:hAnsi="宋体" w:cs="黑体"/>
      <w:color w:val="000000"/>
      <w:kern w:val="2"/>
      <w:sz w:val="24"/>
      <w:szCs w:val="24"/>
    </w:rPr>
  </w:style>
  <w:style w:type="paragraph" w:customStyle="1" w:styleId="54">
    <w:name w:val="项目排列"/>
    <w:basedOn w:val="1"/>
    <w:qFormat/>
    <w:uiPriority w:val="0"/>
    <w:pPr>
      <w:tabs>
        <w:tab w:val="left" w:pos="900"/>
      </w:tabs>
      <w:adjustRightInd/>
      <w:snapToGrid/>
      <w:spacing w:beforeLines="50" w:afterLines="50" w:line="300" w:lineRule="auto"/>
      <w:ind w:left="431"/>
      <w:jc w:val="both"/>
    </w:pPr>
    <w:rPr>
      <w:rFonts w:ascii="Times New Roman" w:hAnsi="Times New Roman"/>
      <w:szCs w:val="24"/>
    </w:rPr>
  </w:style>
  <w:style w:type="paragraph" w:customStyle="1" w:styleId="55">
    <w:name w:val="列出段落11"/>
    <w:basedOn w:val="48"/>
    <w:qFormat/>
    <w:uiPriority w:val="0"/>
    <w:pPr>
      <w:ind w:firstLine="480"/>
      <w:jc w:val="left"/>
    </w:pPr>
    <w:rPr>
      <w:rFonts w:hAnsi="Calibri" w:cs="仿宋"/>
      <w:color w:val="333333"/>
      <w:szCs w:val="28"/>
      <w:shd w:val="clear" w:color="auto" w:fill="FFFFFF"/>
    </w:rPr>
  </w:style>
  <w:style w:type="paragraph" w:customStyle="1" w:styleId="56">
    <w:name w:val="01正文"/>
    <w:basedOn w:val="1"/>
    <w:link w:val="57"/>
    <w:qFormat/>
    <w:uiPriority w:val="0"/>
    <w:pPr>
      <w:ind w:firstLine="200" w:firstLineChars="200"/>
    </w:pPr>
    <w:rPr>
      <w:rFonts w:ascii="方正仿宋_GBK"/>
      <w:sz w:val="24"/>
      <w:szCs w:val="24"/>
    </w:rPr>
  </w:style>
  <w:style w:type="character" w:customStyle="1" w:styleId="57">
    <w:name w:val="01正文 字符"/>
    <w:link w:val="56"/>
    <w:qFormat/>
    <w:uiPriority w:val="0"/>
    <w:rPr>
      <w:rFonts w:ascii="方正仿宋_GBK" w:hAnsi="宋体" w:cs="黑体"/>
      <w:kern w:val="2"/>
      <w:sz w:val="24"/>
      <w:szCs w:val="24"/>
    </w:rPr>
  </w:style>
  <w:style w:type="paragraph" w:customStyle="1" w:styleId="58">
    <w:name w:val="正文（绿盟科技）"/>
    <w:link w:val="59"/>
    <w:qFormat/>
    <w:uiPriority w:val="0"/>
    <w:pPr>
      <w:spacing w:line="300" w:lineRule="auto"/>
      <w:jc w:val="center"/>
    </w:pPr>
    <w:rPr>
      <w:rFonts w:ascii="Arial" w:hAnsi="Arial" w:eastAsia="宋体" w:cs="Times New Roman"/>
      <w:sz w:val="24"/>
      <w:szCs w:val="21"/>
      <w:lang w:val="en-US" w:eastAsia="zh-CN" w:bidi="ar-SA"/>
    </w:rPr>
  </w:style>
  <w:style w:type="character" w:customStyle="1" w:styleId="59">
    <w:name w:val="正文（绿盟科技） Char"/>
    <w:link w:val="58"/>
    <w:qFormat/>
    <w:uiPriority w:val="0"/>
    <w:rPr>
      <w:rFonts w:ascii="Arial" w:hAnsi="Arial"/>
      <w:sz w:val="24"/>
      <w:szCs w:val="21"/>
    </w:rPr>
  </w:style>
  <w:style w:type="paragraph" w:customStyle="1" w:styleId="60">
    <w:name w:val="列表（符号二级）（绿盟科技）"/>
    <w:basedOn w:val="61"/>
    <w:qFormat/>
    <w:uiPriority w:val="0"/>
    <w:pPr>
      <w:spacing w:before="0" w:beforeAutospacing="0" w:after="0" w:afterAutospacing="0"/>
    </w:pPr>
  </w:style>
  <w:style w:type="paragraph" w:customStyle="1" w:styleId="61">
    <w:name w:val="列表（符号一级）（绿盟科技）"/>
    <w:basedOn w:val="1"/>
    <w:link w:val="62"/>
    <w:qFormat/>
    <w:uiPriority w:val="0"/>
    <w:pPr>
      <w:widowControl/>
      <w:adjustRightInd/>
      <w:snapToGrid/>
      <w:spacing w:before="100" w:beforeAutospacing="1" w:after="100" w:afterAutospacing="1" w:line="300" w:lineRule="auto"/>
    </w:pPr>
    <w:rPr>
      <w:rFonts w:ascii="Arial" w:hAnsi="Arial"/>
      <w:kern w:val="0"/>
      <w:szCs w:val="21"/>
    </w:rPr>
  </w:style>
  <w:style w:type="character" w:customStyle="1" w:styleId="62">
    <w:name w:val="列表（符号一级）（绿盟科技） Char"/>
    <w:link w:val="61"/>
    <w:qFormat/>
    <w:uiPriority w:val="0"/>
    <w:rPr>
      <w:rFonts w:ascii="Arial" w:hAnsi="Arial" w:cs="黑体"/>
      <w:sz w:val="21"/>
      <w:szCs w:val="21"/>
    </w:rPr>
  </w:style>
  <w:style w:type="paragraph" w:customStyle="1" w:styleId="63">
    <w:name w:val="正文首行缩进（绿盟科技）"/>
    <w:basedOn w:val="1"/>
    <w:link w:val="64"/>
    <w:qFormat/>
    <w:uiPriority w:val="0"/>
    <w:pPr>
      <w:widowControl/>
      <w:adjustRightInd/>
      <w:snapToGrid/>
      <w:spacing w:after="50" w:line="300" w:lineRule="auto"/>
    </w:pPr>
    <w:rPr>
      <w:rFonts w:ascii="Arial" w:hAnsi="Arial"/>
      <w:kern w:val="0"/>
      <w:sz w:val="24"/>
      <w:szCs w:val="21"/>
    </w:rPr>
  </w:style>
  <w:style w:type="character" w:customStyle="1" w:styleId="64">
    <w:name w:val="正文首行缩进（绿盟科技） Char"/>
    <w:link w:val="63"/>
    <w:qFormat/>
    <w:uiPriority w:val="0"/>
    <w:rPr>
      <w:rFonts w:ascii="Arial" w:hAnsi="Arial" w:cs="黑体"/>
      <w:sz w:val="24"/>
      <w:szCs w:val="21"/>
    </w:rPr>
  </w:style>
  <w:style w:type="paragraph" w:customStyle="1" w:styleId="65">
    <w:name w:val="Text"/>
    <w:basedOn w:val="1"/>
    <w:link w:val="66"/>
    <w:qFormat/>
    <w:uiPriority w:val="0"/>
    <w:pPr>
      <w:widowControl/>
      <w:spacing w:beforeLines="50" w:afterLines="50" w:line="312" w:lineRule="auto"/>
      <w:ind w:firstLine="480"/>
      <w:jc w:val="both"/>
    </w:pPr>
    <w:rPr>
      <w:rFonts w:cs="宋体"/>
      <w:color w:val="000000"/>
      <w:kern w:val="0"/>
      <w:sz w:val="24"/>
      <w:szCs w:val="24"/>
    </w:rPr>
  </w:style>
  <w:style w:type="character" w:customStyle="1" w:styleId="66">
    <w:name w:val="Text Char"/>
    <w:link w:val="65"/>
    <w:qFormat/>
    <w:uiPriority w:val="0"/>
    <w:rPr>
      <w:rFonts w:ascii="宋体" w:hAnsi="宋体" w:cs="宋体"/>
      <w:color w:val="000000"/>
      <w:sz w:val="24"/>
      <w:szCs w:val="24"/>
    </w:rPr>
  </w:style>
  <w:style w:type="paragraph" w:customStyle="1" w:styleId="67">
    <w:name w:val="标题 1（绿盟科技）"/>
    <w:basedOn w:val="4"/>
    <w:next w:val="1"/>
    <w:qFormat/>
    <w:uiPriority w:val="0"/>
    <w:pPr>
      <w:numPr>
        <w:numId w:val="0"/>
      </w:numPr>
      <w:pBdr>
        <w:bottom w:val="single" w:color="auto" w:sz="48" w:space="1"/>
      </w:pBdr>
      <w:spacing w:before="600" w:line="576" w:lineRule="auto"/>
      <w:jc w:val="left"/>
    </w:pPr>
    <w:rPr>
      <w:rFonts w:ascii="Arial" w:hAnsi="Arial"/>
    </w:rPr>
  </w:style>
  <w:style w:type="paragraph" w:customStyle="1" w:styleId="68">
    <w:name w:val="标题 2（绿盟科技）"/>
    <w:basedOn w:val="5"/>
    <w:next w:val="1"/>
    <w:qFormat/>
    <w:uiPriority w:val="0"/>
    <w:pPr>
      <w:numPr>
        <w:ilvl w:val="0"/>
        <w:numId w:val="0"/>
      </w:numPr>
      <w:spacing w:line="415" w:lineRule="auto"/>
      <w:jc w:val="left"/>
    </w:pPr>
    <w:rPr>
      <w:rFonts w:ascii="Arial" w:hAnsi="Arial" w:cs="Times New Roman"/>
      <w:bCs w:val="0"/>
    </w:rPr>
  </w:style>
  <w:style w:type="paragraph" w:customStyle="1" w:styleId="69">
    <w:name w:val="标题 3（绿盟科技）"/>
    <w:basedOn w:val="6"/>
    <w:next w:val="1"/>
    <w:qFormat/>
    <w:uiPriority w:val="0"/>
    <w:pPr>
      <w:numPr>
        <w:ilvl w:val="0"/>
        <w:numId w:val="0"/>
      </w:numPr>
      <w:tabs>
        <w:tab w:val="left" w:pos="960"/>
      </w:tabs>
      <w:spacing w:line="415" w:lineRule="auto"/>
      <w:jc w:val="left"/>
    </w:pPr>
    <w:rPr>
      <w:rFonts w:ascii="Arial" w:hAnsi="Arial"/>
      <w:bCs w:val="0"/>
      <w:kern w:val="0"/>
      <w:sz w:val="30"/>
      <w:szCs w:val="30"/>
    </w:rPr>
  </w:style>
  <w:style w:type="paragraph" w:customStyle="1" w:styleId="70">
    <w:name w:val="标题 4（绿盟科技）"/>
    <w:basedOn w:val="7"/>
    <w:next w:val="1"/>
    <w:qFormat/>
    <w:uiPriority w:val="0"/>
    <w:pPr>
      <w:widowControl/>
      <w:numPr>
        <w:ilvl w:val="0"/>
        <w:numId w:val="0"/>
      </w:numPr>
      <w:spacing w:after="156"/>
    </w:pPr>
    <w:rPr>
      <w:rFonts w:ascii="Arial" w:hAnsi="Arial" w:eastAsia="黑体" w:cs="Times New Roman"/>
      <w:bCs w:val="0"/>
    </w:rPr>
  </w:style>
  <w:style w:type="paragraph" w:customStyle="1" w:styleId="71">
    <w:name w:val="标题 5（有编号）（绿盟科技）"/>
    <w:basedOn w:val="1"/>
    <w:next w:val="1"/>
    <w:qFormat/>
    <w:uiPriority w:val="0"/>
    <w:pPr>
      <w:keepNext/>
      <w:keepLines/>
      <w:adjustRightInd/>
      <w:snapToGrid/>
      <w:spacing w:before="280" w:after="156" w:line="377" w:lineRule="auto"/>
      <w:outlineLvl w:val="4"/>
    </w:pPr>
    <w:rPr>
      <w:rFonts w:ascii="Arial" w:hAnsi="Arial" w:eastAsia="黑体"/>
      <w:b/>
      <w:kern w:val="0"/>
      <w:szCs w:val="28"/>
    </w:rPr>
  </w:style>
  <w:style w:type="paragraph" w:customStyle="1" w:styleId="72">
    <w:name w:val="标题 6（有编号）（绿盟科技）"/>
    <w:basedOn w:val="1"/>
    <w:next w:val="1"/>
    <w:qFormat/>
    <w:uiPriority w:val="0"/>
    <w:pPr>
      <w:keepNext/>
      <w:keepLines/>
      <w:adjustRightInd/>
      <w:snapToGrid/>
      <w:spacing w:before="240" w:after="64" w:line="319" w:lineRule="auto"/>
      <w:outlineLvl w:val="5"/>
    </w:pPr>
    <w:rPr>
      <w:rFonts w:ascii="Arial" w:hAnsi="Arial" w:eastAsia="黑体"/>
      <w:b/>
      <w:kern w:val="0"/>
      <w:szCs w:val="24"/>
    </w:rPr>
  </w:style>
  <w:style w:type="paragraph" w:customStyle="1" w:styleId="73">
    <w:name w:val="无间隔1"/>
    <w:basedOn w:val="1"/>
    <w:link w:val="74"/>
    <w:qFormat/>
    <w:uiPriority w:val="0"/>
    <w:pPr>
      <w:widowControl/>
      <w:adjustRightInd/>
      <w:snapToGrid/>
      <w:spacing w:line="240" w:lineRule="auto"/>
    </w:pPr>
    <w:rPr>
      <w:rFonts w:cs="Calibri"/>
      <w:kern w:val="0"/>
      <w:sz w:val="24"/>
      <w:szCs w:val="24"/>
      <w:lang w:eastAsia="en-US"/>
    </w:rPr>
  </w:style>
  <w:style w:type="character" w:customStyle="1" w:styleId="74">
    <w:name w:val="No Spacing Char"/>
    <w:link w:val="73"/>
    <w:qFormat/>
    <w:locked/>
    <w:uiPriority w:val="0"/>
    <w:rPr>
      <w:rFonts w:ascii="宋体" w:hAnsi="宋体" w:cs="Calibri"/>
      <w:sz w:val="24"/>
      <w:szCs w:val="24"/>
      <w:lang w:eastAsia="en-US"/>
    </w:rPr>
  </w:style>
  <w:style w:type="paragraph" w:customStyle="1" w:styleId="75">
    <w:name w:val="无间隔2"/>
    <w:basedOn w:val="1"/>
    <w:qFormat/>
    <w:uiPriority w:val="0"/>
    <w:pPr>
      <w:widowControl/>
      <w:adjustRightInd/>
      <w:snapToGrid/>
      <w:spacing w:line="240" w:lineRule="auto"/>
    </w:pPr>
    <w:rPr>
      <w:rFonts w:cs="Calibri"/>
      <w:kern w:val="0"/>
      <w:szCs w:val="24"/>
      <w:lang w:eastAsia="en-US"/>
    </w:rPr>
  </w:style>
  <w:style w:type="paragraph" w:customStyle="1" w:styleId="76">
    <w:name w:val="JS2"/>
    <w:basedOn w:val="5"/>
    <w:link w:val="77"/>
    <w:qFormat/>
    <w:uiPriority w:val="0"/>
    <w:pPr>
      <w:numPr>
        <w:ilvl w:val="0"/>
        <w:numId w:val="0"/>
      </w:numPr>
      <w:spacing w:beforeLines="50" w:afterLines="50"/>
      <w:ind w:left="100" w:leftChars="100" w:right="50" w:rightChars="50"/>
      <w:jc w:val="left"/>
    </w:pPr>
    <w:rPr>
      <w:rFonts w:ascii="方正楷体_GBK" w:hAnsi="Cambria" w:cs="Times New Roman"/>
    </w:rPr>
  </w:style>
  <w:style w:type="character" w:customStyle="1" w:styleId="77">
    <w:name w:val="JS2 Char"/>
    <w:link w:val="76"/>
    <w:qFormat/>
    <w:uiPriority w:val="0"/>
    <w:rPr>
      <w:rFonts w:ascii="方正楷体_GBK" w:hAnsi="Cambria" w:eastAsia="黑体"/>
      <w:b/>
      <w:bCs/>
      <w:kern w:val="2"/>
      <w:sz w:val="30"/>
      <w:szCs w:val="32"/>
    </w:rPr>
  </w:style>
  <w:style w:type="paragraph" w:customStyle="1" w:styleId="78">
    <w:name w:val="JS1"/>
    <w:basedOn w:val="1"/>
    <w:link w:val="79"/>
    <w:qFormat/>
    <w:uiPriority w:val="0"/>
    <w:pPr>
      <w:spacing w:beforeLines="50"/>
      <w:outlineLvl w:val="0"/>
    </w:pPr>
    <w:rPr>
      <w:rFonts w:ascii="方正黑体_GBK"/>
      <w:b/>
      <w:sz w:val="44"/>
    </w:rPr>
  </w:style>
  <w:style w:type="character" w:customStyle="1" w:styleId="79">
    <w:name w:val="JS1 Char"/>
    <w:link w:val="78"/>
    <w:qFormat/>
    <w:uiPriority w:val="0"/>
    <w:rPr>
      <w:rFonts w:ascii="方正黑体_GBK" w:hAnsi="宋体" w:cs="黑体"/>
      <w:b/>
      <w:kern w:val="2"/>
      <w:sz w:val="44"/>
      <w:szCs w:val="32"/>
    </w:rPr>
  </w:style>
  <w:style w:type="paragraph" w:customStyle="1" w:styleId="80">
    <w:name w:val="JS3"/>
    <w:basedOn w:val="6"/>
    <w:qFormat/>
    <w:uiPriority w:val="0"/>
    <w:pPr>
      <w:numPr>
        <w:ilvl w:val="0"/>
        <w:numId w:val="0"/>
      </w:numPr>
      <w:adjustRightInd w:val="0"/>
      <w:snapToGrid w:val="0"/>
      <w:spacing w:afterLines="50" w:line="293" w:lineRule="auto"/>
      <w:ind w:left="100" w:leftChars="100"/>
      <w:jc w:val="left"/>
    </w:pPr>
    <w:rPr>
      <w:rFonts w:ascii="方正仿宋_GBK"/>
    </w:rPr>
  </w:style>
  <w:style w:type="paragraph" w:customStyle="1" w:styleId="81">
    <w:name w:val="JS4"/>
    <w:basedOn w:val="7"/>
    <w:qFormat/>
    <w:uiPriority w:val="0"/>
    <w:pPr>
      <w:numPr>
        <w:ilvl w:val="0"/>
        <w:numId w:val="0"/>
      </w:numPr>
      <w:adjustRightInd w:val="0"/>
      <w:snapToGrid w:val="0"/>
      <w:spacing w:beforeLines="50" w:afterLines="50" w:line="293" w:lineRule="auto"/>
      <w:ind w:left="50" w:leftChars="50"/>
      <w:jc w:val="left"/>
    </w:pPr>
    <w:rPr>
      <w:rFonts w:ascii="方正仿宋_GBK" w:hAnsi="Cambria" w:cs="Times New Roman"/>
      <w:sz w:val="32"/>
      <w:szCs w:val="32"/>
    </w:rPr>
  </w:style>
  <w:style w:type="paragraph" w:customStyle="1" w:styleId="82">
    <w:name w:val="JS5"/>
    <w:basedOn w:val="8"/>
    <w:qFormat/>
    <w:uiPriority w:val="0"/>
    <w:pPr>
      <w:numPr>
        <w:ilvl w:val="0"/>
        <w:numId w:val="0"/>
      </w:numPr>
      <w:adjustRightInd w:val="0"/>
      <w:snapToGrid w:val="0"/>
      <w:spacing w:beforeLines="50" w:afterLines="50" w:line="293" w:lineRule="auto"/>
      <w:jc w:val="left"/>
    </w:pPr>
    <w:rPr>
      <w:rFonts w:ascii="方正仿宋_GBK"/>
      <w:kern w:val="0"/>
      <w:sz w:val="32"/>
      <w:szCs w:val="32"/>
    </w:rPr>
  </w:style>
  <w:style w:type="paragraph" w:customStyle="1" w:styleId="83">
    <w:name w:val="_Style 30"/>
    <w:basedOn w:val="1"/>
    <w:qFormat/>
    <w:uiPriority w:val="34"/>
    <w:pPr>
      <w:adjustRightInd/>
      <w:snapToGrid/>
      <w:ind w:left="200" w:leftChars="200" w:firstLine="200" w:firstLineChars="200"/>
      <w:jc w:val="both"/>
    </w:pPr>
    <w:rPr>
      <w:rFonts w:ascii="Times New Roman" w:hAnsi="Times New Roman"/>
      <w:szCs w:val="24"/>
    </w:rPr>
  </w:style>
  <w:style w:type="paragraph" w:customStyle="1" w:styleId="84">
    <w:name w:val="正文 首行缩进:  2 字符 Char"/>
    <w:basedOn w:val="1"/>
    <w:qFormat/>
    <w:uiPriority w:val="0"/>
    <w:pPr>
      <w:adjustRightInd/>
      <w:snapToGrid/>
      <w:spacing w:line="240" w:lineRule="auto"/>
      <w:jc w:val="both"/>
    </w:pPr>
    <w:rPr>
      <w:rFonts w:ascii="Times New Roman" w:hAnsi="Times New Roman" w:cs="宋体"/>
      <w:szCs w:val="20"/>
    </w:rPr>
  </w:style>
  <w:style w:type="paragraph" w:customStyle="1" w:styleId="85">
    <w:name w:val="格式正文"/>
    <w:basedOn w:val="1"/>
    <w:link w:val="86"/>
    <w:qFormat/>
    <w:uiPriority w:val="0"/>
    <w:pPr>
      <w:adjustRightInd/>
      <w:snapToGrid/>
      <w:spacing w:beforeLines="50" w:afterLines="50"/>
      <w:ind w:firstLine="482"/>
      <w:jc w:val="both"/>
    </w:pPr>
    <w:rPr>
      <w:rFonts w:ascii="Times New Roman" w:hAnsi="Times New Roman"/>
      <w:kern w:val="0"/>
      <w:sz w:val="24"/>
      <w:szCs w:val="20"/>
    </w:rPr>
  </w:style>
  <w:style w:type="character" w:customStyle="1" w:styleId="86">
    <w:name w:val="格式正文 Char"/>
    <w:link w:val="85"/>
    <w:qFormat/>
    <w:uiPriority w:val="0"/>
    <w:rPr>
      <w:rFonts w:ascii="Times New Roman" w:hAnsi="Times New Roman" w:cs="黑体"/>
      <w:sz w:val="24"/>
    </w:rPr>
  </w:style>
  <w:style w:type="paragraph" w:customStyle="1" w:styleId="87">
    <w:name w:val="Table Paragraph"/>
    <w:basedOn w:val="1"/>
    <w:qFormat/>
    <w:uiPriority w:val="1"/>
    <w:pPr>
      <w:adjustRightInd/>
      <w:snapToGrid/>
      <w:spacing w:line="240" w:lineRule="auto"/>
      <w:jc w:val="both"/>
    </w:pPr>
    <w:rPr>
      <w:rFonts w:cs="宋体"/>
      <w:szCs w:val="22"/>
      <w:lang w:val="zh-CN" w:bidi="zh-CN"/>
    </w:rPr>
  </w:style>
  <w:style w:type="character" w:customStyle="1" w:styleId="88">
    <w:name w:val="正文缩进 Char"/>
    <w:link w:val="13"/>
    <w:qFormat/>
    <w:uiPriority w:val="0"/>
    <w:rPr>
      <w:rFonts w:ascii="Times New Roman" w:hAnsi="Times New Roman" w:cs="黑体"/>
      <w:kern w:val="44"/>
      <w:sz w:val="24"/>
      <w:szCs w:val="24"/>
    </w:rPr>
  </w:style>
  <w:style w:type="character" w:customStyle="1" w:styleId="89">
    <w:name w:val="题注 Char"/>
    <w:link w:val="14"/>
    <w:qFormat/>
    <w:uiPriority w:val="0"/>
    <w:rPr>
      <w:rFonts w:ascii="Arial" w:hAnsi="Arial" w:eastAsia="黑体" w:cs="Arial"/>
      <w:kern w:val="2"/>
    </w:rPr>
  </w:style>
  <w:style w:type="paragraph" w:styleId="90">
    <w:name w:val="No Spacing"/>
    <w:basedOn w:val="1"/>
    <w:link w:val="91"/>
    <w:qFormat/>
    <w:uiPriority w:val="1"/>
    <w:pPr>
      <w:adjustRightInd/>
      <w:snapToGrid/>
      <w:jc w:val="both"/>
    </w:pPr>
    <w:rPr>
      <w:rFonts w:ascii="Times New Roman" w:hAnsi="Times New Roman"/>
      <w:szCs w:val="24"/>
    </w:rPr>
  </w:style>
  <w:style w:type="character" w:customStyle="1" w:styleId="91">
    <w:name w:val="无间隔 Char"/>
    <w:link w:val="90"/>
    <w:qFormat/>
    <w:uiPriority w:val="1"/>
    <w:rPr>
      <w:rFonts w:ascii="Times New Roman" w:hAnsi="Times New Roman" w:cs="黑体"/>
      <w:kern w:val="2"/>
      <w:sz w:val="21"/>
      <w:szCs w:val="24"/>
    </w:rPr>
  </w:style>
  <w:style w:type="character" w:customStyle="1" w:styleId="92">
    <w:name w:val="列出段落 Char"/>
    <w:link w:val="41"/>
    <w:qFormat/>
    <w:uiPriority w:val="34"/>
    <w:rPr>
      <w:rFonts w:ascii="Times New Roman" w:hAnsi="Times New Roman" w:cs="黑体"/>
      <w:kern w:val="2"/>
      <w:sz w:val="24"/>
      <w:szCs w:val="24"/>
    </w:rPr>
  </w:style>
  <w:style w:type="character" w:customStyle="1" w:styleId="93">
    <w:name w:val="不明显强调1"/>
    <w:qFormat/>
    <w:uiPriority w:val="19"/>
    <w:rPr>
      <w:i/>
      <w:iCs/>
      <w:color w:val="808080"/>
    </w:rPr>
  </w:style>
  <w:style w:type="character" w:customStyle="1" w:styleId="94">
    <w:name w:val="不明显参考1"/>
    <w:qFormat/>
    <w:uiPriority w:val="31"/>
    <w:rPr>
      <w:smallCaps/>
      <w:color w:val="C0504D"/>
      <w:u w:val="single"/>
    </w:rPr>
  </w:style>
  <w:style w:type="character" w:customStyle="1" w:styleId="95">
    <w:name w:val="书籍标题1"/>
    <w:qFormat/>
    <w:uiPriority w:val="33"/>
    <w:rPr>
      <w:b/>
      <w:bCs/>
      <w:smallCaps/>
      <w:spacing w:val="5"/>
    </w:rPr>
  </w:style>
  <w:style w:type="paragraph" w:customStyle="1" w:styleId="96">
    <w:name w:val="TOC 标题1"/>
    <w:basedOn w:val="4"/>
    <w:next w:val="1"/>
    <w:qFormat/>
    <w:uiPriority w:val="39"/>
    <w:pPr>
      <w:numPr>
        <w:numId w:val="0"/>
      </w:numPr>
      <w:outlineLvl w:val="9"/>
    </w:pPr>
    <w:rPr>
      <w:rFonts w:cstheme="majorBidi"/>
    </w:rPr>
  </w:style>
  <w:style w:type="paragraph" w:customStyle="1" w:styleId="97">
    <w:name w:val="可研正文"/>
    <w:basedOn w:val="1"/>
    <w:link w:val="98"/>
    <w:qFormat/>
    <w:uiPriority w:val="0"/>
    <w:pPr>
      <w:adjustRightInd/>
      <w:snapToGrid/>
      <w:ind w:firstLine="200" w:firstLineChars="200"/>
      <w:jc w:val="both"/>
    </w:pPr>
    <w:rPr>
      <w:rFonts w:ascii="仿宋" w:hAnsi="仿宋" w:eastAsia="仿宋" w:cs="Times New Roman"/>
      <w:sz w:val="28"/>
      <w:szCs w:val="28"/>
    </w:rPr>
  </w:style>
  <w:style w:type="character" w:customStyle="1" w:styleId="98">
    <w:name w:val="可研正文 Char"/>
    <w:link w:val="97"/>
    <w:qFormat/>
    <w:uiPriority w:val="0"/>
    <w:rPr>
      <w:rFonts w:ascii="仿宋" w:hAnsi="仿宋" w:eastAsia="仿宋"/>
      <w:kern w:val="2"/>
      <w:sz w:val="28"/>
      <w:szCs w:val="28"/>
    </w:rPr>
  </w:style>
  <w:style w:type="character" w:customStyle="1" w:styleId="99">
    <w:name w:val="批注框文本 Char"/>
    <w:basedOn w:val="24"/>
    <w:link w:val="17"/>
    <w:semiHidden/>
    <w:qFormat/>
    <w:uiPriority w:val="99"/>
    <w:rPr>
      <w:rFonts w:ascii="宋体" w:hAnsi="宋体" w:cs="黑体"/>
      <w:kern w:val="2"/>
      <w:sz w:val="18"/>
      <w:szCs w:val="18"/>
    </w:rPr>
  </w:style>
  <w:style w:type="paragraph" w:customStyle="1" w:styleId="100">
    <w:name w:val="修订1"/>
    <w:hidden/>
    <w:unhideWhenUsed/>
    <w:qFormat/>
    <w:uiPriority w:val="99"/>
    <w:rPr>
      <w:rFonts w:ascii="宋体" w:hAnsi="宋体" w:eastAsia="宋体" w:cs="黑体"/>
      <w:kern w:val="2"/>
      <w:sz w:val="21"/>
      <w:szCs w:val="32"/>
      <w:lang w:val="en-US" w:eastAsia="zh-CN" w:bidi="ar-SA"/>
    </w:rPr>
  </w:style>
  <w:style w:type="character" w:customStyle="1" w:styleId="101">
    <w:name w:val="文档结构图 Char"/>
    <w:basedOn w:val="24"/>
    <w:link w:val="15"/>
    <w:semiHidden/>
    <w:qFormat/>
    <w:uiPriority w:val="99"/>
    <w:rPr>
      <w:rFonts w:ascii="宋体" w:hAnsi="宋体"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EF9F6C15-70D3-4274-9066-F48DE091288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1501</Words>
  <Characters>8559</Characters>
  <Lines>71</Lines>
  <Paragraphs>20</Paragraphs>
  <TotalTime>11</TotalTime>
  <ScaleCrop>false</ScaleCrop>
  <LinksUpToDate>false</LinksUpToDate>
  <CharactersWithSpaces>10040</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2025-08-28T07:06:00Z</dcterms:created>
  <dc:creator>duzheng</dc:creator>
  <cp:lastModifiedBy>user</cp:lastModifiedBy>
  <dcterms:modified xsi:type="dcterms:W3CDTF">2025-09-11T11:55:44Z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eyJoZGlkIjoiODViY2JkMjU3NGYzZTEwMzZmMGFkZWViYmNkYWU3NDIiLCJ1c2VySWQiOiIzOTc2NTE0MzkifQ==</vt:lpwstr>
  </property>
  <property fmtid="{D5CDD505-2E9C-101B-9397-08002B2CF9AE}" pid="3" name="KSOProductBuildVer">
    <vt:lpwstr>2052-12.8.2.18605</vt:lpwstr>
  </property>
  <property fmtid="{D5CDD505-2E9C-101B-9397-08002B2CF9AE}" pid="4" name="ICV">
    <vt:lpwstr>B5CB4B05682030DECBABAF68F5799EC3_43</vt:lpwstr>
  </property>
</Properties>
</file>