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项目需求文档</w:t>
      </w:r>
    </w:p>
    <w:p>
      <w:pPr>
        <w:spacing w:after="0" w:line="240" w:lineRule="auto"/>
        <w:rPr>
          <w:rFonts w:hint="eastAsia" w:ascii="仿宋" w:hAnsi="仿宋" w:eastAsia="仿宋"/>
          <w:sz w:val="32"/>
          <w:szCs w:val="32"/>
        </w:rPr>
      </w:pPr>
    </w:p>
    <w:p>
      <w:pPr>
        <w:spacing w:after="0" w:line="240" w:lineRule="auto"/>
        <w:ind w:firstLine="560" w:firstLineChars="200"/>
        <w:jc w:val="both"/>
        <w:rPr>
          <w:rFonts w:hint="eastAsia" w:ascii="黑体" w:hAnsi="黑体" w:eastAsia="黑体"/>
          <w:sz w:val="28"/>
          <w:szCs w:val="28"/>
        </w:rPr>
      </w:pPr>
      <w:r>
        <w:rPr>
          <w:rFonts w:hint="eastAsia" w:ascii="黑体" w:hAnsi="黑体" w:eastAsia="黑体"/>
          <w:sz w:val="28"/>
          <w:szCs w:val="28"/>
        </w:rPr>
        <w:t>一、项目名称</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2025全球数商大会活动配套服务</w:t>
      </w:r>
    </w:p>
    <w:p>
      <w:pPr>
        <w:spacing w:after="0" w:line="240" w:lineRule="auto"/>
        <w:ind w:firstLine="560" w:firstLineChars="200"/>
        <w:jc w:val="both"/>
        <w:rPr>
          <w:rFonts w:hint="eastAsia" w:ascii="黑体" w:hAnsi="黑体" w:eastAsia="黑体"/>
          <w:sz w:val="28"/>
          <w:szCs w:val="28"/>
        </w:rPr>
      </w:pPr>
      <w:r>
        <w:rPr>
          <w:rFonts w:hint="eastAsia" w:ascii="黑体" w:hAnsi="黑体" w:eastAsia="黑体"/>
          <w:sz w:val="28"/>
          <w:szCs w:val="28"/>
        </w:rPr>
        <w:t>二、项目背景</w:t>
      </w:r>
    </w:p>
    <w:p>
      <w:pPr>
        <w:spacing w:after="0" w:line="240" w:lineRule="auto"/>
        <w:ind w:firstLine="560" w:firstLineChars="200"/>
        <w:jc w:val="both"/>
        <w:rPr>
          <w:rFonts w:hint="eastAsia" w:ascii="宋体" w:hAnsi="宋体" w:eastAsia="宋体"/>
          <w:sz w:val="28"/>
          <w:szCs w:val="28"/>
        </w:rPr>
      </w:pPr>
      <w:r>
        <w:rPr>
          <w:rFonts w:hint="eastAsia" w:ascii="宋体" w:hAnsi="宋体" w:eastAsia="宋体"/>
          <w:sz w:val="28"/>
          <w:szCs w:val="28"/>
        </w:rPr>
        <w:t>2025全球数商大会拟于2025年11月下旬在上海国际会议中心（上海市浦东新区滨江大道2727号）召开，本届大会以数联全球 商通未来——乘数无界∞为主题，设置“会、商、展、用”四大板块，从会议论坛、商业转化、展示展览、应用体验四大方面体系策划系列活动,</w:t>
      </w:r>
      <w:r>
        <w:rPr>
          <w:rFonts w:hint="eastAsia"/>
        </w:rPr>
        <w:t xml:space="preserve"> </w:t>
      </w:r>
      <w:r>
        <w:rPr>
          <w:rFonts w:hint="eastAsia" w:ascii="宋体" w:hAnsi="宋体" w:eastAsia="宋体"/>
          <w:sz w:val="28"/>
          <w:szCs w:val="28"/>
        </w:rPr>
        <w:t>在既往成功办会经验基础上，推进实体经济和数字经济深度融合，凝聚共识、团结力量,以“层次更高、专业更强、覆盖更广”为目标，进一步深化大会作为数据领域顶级盛事与国际交流平台的全球影响力。</w:t>
      </w:r>
    </w:p>
    <w:p>
      <w:pPr>
        <w:spacing w:after="0" w:line="240" w:lineRule="auto"/>
        <w:ind w:firstLine="560" w:firstLineChars="200"/>
        <w:jc w:val="both"/>
        <w:rPr>
          <w:rFonts w:hint="eastAsia" w:ascii="黑体" w:hAnsi="黑体" w:eastAsia="黑体"/>
          <w:sz w:val="28"/>
          <w:szCs w:val="28"/>
        </w:rPr>
      </w:pPr>
      <w:r>
        <w:rPr>
          <w:rFonts w:hint="eastAsia" w:ascii="黑体" w:hAnsi="黑体" w:eastAsia="黑体"/>
          <w:sz w:val="28"/>
          <w:szCs w:val="28"/>
        </w:rPr>
        <w:t>三、需求概况</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本项目拟结合2025全球数商大会召开背景，围绕数商生态培育与行业引领，系统组织“宣传推广、行业研究、应用体验、闭门研讨”等配套服务，通过构建城市级数商传播矩阵、产出行业研究与白皮书、打造典型应用体验与场景清单、形成闭门研讨纪要与政策建议等一系列可落地、可传播、可转化的成果，营造市场化、法治化、国际化的良好发展氛围，促进政府与行业之间的高端专业对话与务实协同，带动数商企业入库与项目落地，反哺大会品牌与长效机制建设，实现“以会促产、以会育商、以会强生态”。</w:t>
      </w:r>
    </w:p>
    <w:p>
      <w:pPr>
        <w:spacing w:after="0" w:line="240" w:lineRule="auto"/>
        <w:ind w:firstLine="560" w:firstLineChars="200"/>
        <w:jc w:val="both"/>
        <w:rPr>
          <w:rFonts w:hint="eastAsia" w:ascii="黑体" w:hAnsi="黑体" w:eastAsia="黑体" w:cs="仿宋_GB2312"/>
          <w:sz w:val="28"/>
          <w:szCs w:val="28"/>
        </w:rPr>
      </w:pPr>
      <w:r>
        <w:rPr>
          <w:rFonts w:hint="eastAsia" w:ascii="黑体" w:hAnsi="黑体" w:eastAsia="黑体" w:cs="仿宋_GB2312"/>
          <w:sz w:val="28"/>
          <w:szCs w:val="28"/>
        </w:rPr>
        <w:t>四、付款方式</w:t>
      </w:r>
    </w:p>
    <w:p>
      <w:pPr>
        <w:spacing w:after="0" w:line="240" w:lineRule="auto"/>
        <w:ind w:firstLine="560" w:firstLineChars="200"/>
        <w:jc w:val="both"/>
        <w:rPr>
          <w:rFonts w:hint="eastAsia" w:ascii="黑体" w:hAnsi="黑体" w:eastAsia="黑体" w:cs="仿宋_GB2312"/>
          <w:sz w:val="28"/>
          <w:szCs w:val="28"/>
        </w:rPr>
      </w:pPr>
      <w:r>
        <w:rPr>
          <w:rFonts w:hint="eastAsia" w:ascii="宋体" w:hAnsi="宋体" w:eastAsia="宋体" w:cs="仿宋_GB2312"/>
          <w:sz w:val="28"/>
          <w:szCs w:val="28"/>
        </w:rPr>
        <w:t>合同签订且采购人收到付款凭证后，支付合同金额的70%；成交人完成项目并通过验收，收到付款凭证后，支付同金额的30%。</w:t>
      </w:r>
    </w:p>
    <w:p>
      <w:pPr>
        <w:spacing w:after="0" w:line="240" w:lineRule="auto"/>
        <w:ind w:firstLine="560" w:firstLineChars="200"/>
        <w:jc w:val="both"/>
        <w:rPr>
          <w:rFonts w:hint="eastAsia" w:ascii="黑体" w:hAnsi="黑体" w:eastAsia="黑体" w:cs="仿宋_GB2312"/>
          <w:sz w:val="28"/>
          <w:szCs w:val="28"/>
        </w:rPr>
      </w:pPr>
      <w:r>
        <w:rPr>
          <w:rFonts w:hint="eastAsia" w:ascii="黑体" w:hAnsi="黑体" w:eastAsia="黑体" w:cs="仿宋_GB2312"/>
          <w:sz w:val="28"/>
          <w:szCs w:val="28"/>
        </w:rPr>
        <w:t>五、服务期限</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自合同签订之日起至2025年12月30日</w:t>
      </w:r>
    </w:p>
    <w:p>
      <w:pPr>
        <w:spacing w:after="0" w:line="240" w:lineRule="auto"/>
        <w:ind w:firstLine="560" w:firstLineChars="200"/>
        <w:jc w:val="both"/>
        <w:rPr>
          <w:rFonts w:hint="eastAsia" w:ascii="黑体" w:hAnsi="黑体" w:eastAsia="黑体" w:cs="仿宋_GB2312"/>
          <w:sz w:val="28"/>
          <w:szCs w:val="28"/>
        </w:rPr>
      </w:pPr>
      <w:r>
        <w:rPr>
          <w:rFonts w:hint="eastAsia" w:ascii="黑体" w:hAnsi="黑体" w:eastAsia="黑体" w:cs="仿宋_GB2312"/>
          <w:sz w:val="28"/>
          <w:szCs w:val="28"/>
        </w:rPr>
        <w:t>六、项目要求</w:t>
      </w:r>
    </w:p>
    <w:p>
      <w:pPr>
        <w:spacing w:after="0" w:line="240" w:lineRule="auto"/>
        <w:ind w:firstLine="560" w:firstLineChars="200"/>
        <w:jc w:val="both"/>
        <w:rPr>
          <w:rFonts w:hint="eastAsia" w:ascii="楷体_GB2312" w:hAnsi="仿宋" w:eastAsia="楷体_GB2312" w:cs="仿宋_GB2312"/>
          <w:sz w:val="28"/>
          <w:szCs w:val="28"/>
        </w:rPr>
      </w:pPr>
      <w:r>
        <w:rPr>
          <w:rFonts w:hint="eastAsia" w:ascii="楷体_GB2312" w:hAnsi="仿宋" w:eastAsia="楷体_GB2312" w:cs="仿宋_GB2312"/>
          <w:sz w:val="28"/>
          <w:szCs w:val="28"/>
        </w:rPr>
        <w:t>（一）服务要求</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1、宣传推广</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（1）数商生态发展宣传片</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要求分别聚焦上海数据要素产业发展以及数商生态宣传，共制作2则不短于2分钟的视频宣传片，体现数字化和国际化的视觉风格，同时融合现代科技感，展现本市数据要素产业发展的先进成果，打响“上海数商”品牌影响力，2则视频需在2025全球数商大会上露出播放，</w:t>
      </w:r>
      <w:r>
        <w:rPr>
          <w:rFonts w:hint="eastAsia" w:ascii="宋体" w:hAnsi="宋体" w:eastAsia="宋体" w:cs="仿宋_GB2312"/>
          <w:sz w:val="28"/>
          <w:szCs w:val="28"/>
          <w:lang w:eastAsia="zh-CN"/>
        </w:rPr>
        <w:t>供应商响应</w:t>
      </w:r>
      <w:r>
        <w:rPr>
          <w:rFonts w:hint="eastAsia" w:ascii="宋体" w:hAnsi="宋体" w:eastAsia="宋体" w:cs="仿宋_GB2312"/>
          <w:sz w:val="28"/>
          <w:szCs w:val="28"/>
        </w:rPr>
        <w:t>时提供上海数据要素产业发展视频的脚本。</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为便于了解制作团队的创意水准和执行能力，</w:t>
      </w:r>
      <w:r>
        <w:rPr>
          <w:rFonts w:hint="eastAsia" w:ascii="宋体" w:hAnsi="宋体" w:eastAsia="宋体" w:cs="仿宋_GB2312"/>
          <w:sz w:val="28"/>
          <w:szCs w:val="28"/>
          <w:lang w:eastAsia="zh-CN"/>
        </w:rPr>
        <w:t>供应商</w:t>
      </w:r>
      <w:r>
        <w:rPr>
          <w:rFonts w:hint="eastAsia" w:ascii="宋体" w:hAnsi="宋体" w:eastAsia="宋体" w:cs="仿宋_GB2312"/>
          <w:sz w:val="28"/>
          <w:szCs w:val="28"/>
          <w:lang w:val="en-US" w:eastAsia="zh-CN"/>
        </w:rPr>
        <w:t>需</w:t>
      </w:r>
      <w:r>
        <w:rPr>
          <w:rFonts w:hint="eastAsia" w:ascii="宋体" w:hAnsi="宋体" w:eastAsia="宋体" w:cs="仿宋_GB2312"/>
          <w:sz w:val="28"/>
          <w:szCs w:val="28"/>
        </w:rPr>
        <w:t>提供1则不超过2分钟的宣传片样片，样片主题不限，重点体现团队在画面设计、节奏控制及内容表达方面的制作经验与综合能力。样片仅用于评审参考，不纳入最终成果交付。</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（2）数商领军人物访谈</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要求2025全球数商大会期间组织采访不少于10家头部参会数商企业的创始人、CEO或其他高管，开展数商领军人物深度访谈，会后制作形成不少于10条访谈视频以及1条汇总视频，呈现头部数商企业高管的创新理念与对行业前瞻思考，并通过不少于5个地方主流媒体及大会官方媒体平台对外进行发布和宣传。</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（3）展览路演案例集</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要求收集汇总2025全球数商大会展览及路演环节的优秀成果案例，汇编形成1个收录不少于40个具有代表性、创新性和前瞻性的优秀案例的案例集，通过不少于5个地方主流媒体及大会官方媒体平台对外进行发布和宣传，并可在上海市数据局官网进行下载。</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（4）数商大会观点汇编</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要求2025全球数商大会期间收集汇总出席嘉宾的演讲与对话内容，提炼核心观点形成不少于20篇观点汇编，并在大会结束后1个月内通过不少于5个地方主流媒体及大会官方媒体平台对外进行发布和宣传。</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2、行业研究</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要求结合数据要素产业发展现状，围绕国资数据集团发展、可信数据空间发展、基于区块链的数据资产、数据确权等4个话题，组织行业专家学者在服务周期内发布4篇行业研究报告，每篇不少于1万字，</w:t>
      </w:r>
      <w:r>
        <w:rPr>
          <w:rFonts w:hint="eastAsia" w:ascii="宋体" w:hAnsi="宋体" w:eastAsia="宋体" w:cs="仿宋_GB2312"/>
          <w:sz w:val="28"/>
          <w:szCs w:val="28"/>
          <w:lang w:eastAsia="zh-CN"/>
        </w:rPr>
        <w:t>供应商响应文件中</w:t>
      </w:r>
      <w:r>
        <w:rPr>
          <w:rFonts w:hint="eastAsia" w:ascii="宋体" w:hAnsi="宋体" w:eastAsia="宋体" w:cs="仿宋_GB2312"/>
          <w:sz w:val="28"/>
          <w:szCs w:val="28"/>
        </w:rPr>
        <w:t>需提供研究报告大纲，并确保至少有2篇报告需在2025全球数商大会主论坛或主题论坛上进行发布。</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3、应用体验</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要求2025全球数商大会期间在上海国家会议中心举行一场户外数字体验活动，面向全体市民，设置包括但不限于数字舞台、数字体验、数字市集等区域，通过舞台表演、数字化体验互动、打卡权益获取等形式，吸引</w:t>
      </w:r>
      <w:r>
        <w:rPr>
          <w:rFonts w:hint="eastAsia" w:ascii="宋体" w:hAnsi="宋体" w:eastAsia="宋体" w:cs="仿宋_GB2312"/>
          <w:sz w:val="28"/>
          <w:szCs w:val="28"/>
          <w:lang w:eastAsia="zh-CN"/>
        </w:rPr>
        <w:t>公众</w:t>
      </w:r>
      <w:bookmarkStart w:id="0" w:name="_GoBack"/>
      <w:bookmarkEnd w:id="0"/>
      <w:r>
        <w:rPr>
          <w:rFonts w:hint="eastAsia" w:ascii="宋体" w:hAnsi="宋体" w:eastAsia="宋体" w:cs="仿宋_GB2312"/>
          <w:sz w:val="28"/>
          <w:szCs w:val="28"/>
        </w:rPr>
        <w:t>参与活动，近距离了解数据要素对提升生活质量所带来的变革，活动结束后形成活动总结记录。</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4、闭门研讨会</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要求在服务期限内，围绕国家数据局近期政策方向，结合2025全球数商大会主题，分别聚焦全国一体化数据要素市场、数据产权制度、可信数据空间、区块链赋能数字商业新生态、数据要素价值释放、公共数据融合开发前瞻等主题组织6场闭门研讨会，组织政府部门、数商企业及专家代表共同探讨数据要素产业政策及发展方向，并在会后形成闭门会主要观点总结，供相关部门决策参考。</w:t>
      </w:r>
    </w:p>
    <w:p>
      <w:pPr>
        <w:spacing w:after="0" w:line="240" w:lineRule="auto"/>
        <w:ind w:firstLine="560" w:firstLineChars="200"/>
        <w:jc w:val="both"/>
        <w:rPr>
          <w:rFonts w:hint="eastAsia" w:ascii="楷体_GB2312" w:hAnsi="仿宋" w:eastAsia="楷体_GB2312" w:cs="仿宋_GB2312"/>
          <w:sz w:val="28"/>
          <w:szCs w:val="28"/>
        </w:rPr>
      </w:pPr>
      <w:r>
        <w:rPr>
          <w:rFonts w:hint="eastAsia" w:ascii="楷体_GB2312" w:hAnsi="仿宋" w:eastAsia="楷体_GB2312" w:cs="仿宋_GB2312"/>
          <w:sz w:val="28"/>
          <w:szCs w:val="28"/>
        </w:rPr>
        <w:t>（二）供应商要求</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1、</w:t>
      </w:r>
      <w:r>
        <w:rPr>
          <w:rFonts w:hint="eastAsia" w:ascii="宋体" w:hAnsi="宋体" w:eastAsia="宋体" w:cs="仿宋_GB2312"/>
          <w:sz w:val="28"/>
          <w:szCs w:val="28"/>
          <w:lang w:eastAsia="zh-CN"/>
        </w:rPr>
        <w:t>供应商需具有</w:t>
      </w:r>
      <w:r>
        <w:rPr>
          <w:rFonts w:hint="eastAsia" w:ascii="宋体" w:hAnsi="宋体" w:eastAsia="宋体" w:cs="仿宋_GB2312"/>
          <w:sz w:val="28"/>
          <w:szCs w:val="28"/>
        </w:rPr>
        <w:t>主办或承办过数据要素及数字化转型相关的大赛/培训/活动的</w:t>
      </w:r>
      <w:r>
        <w:rPr>
          <w:rFonts w:hint="eastAsia" w:ascii="宋体" w:hAnsi="宋体" w:eastAsia="宋体" w:cs="仿宋_GB2312"/>
          <w:sz w:val="28"/>
          <w:szCs w:val="28"/>
          <w:lang w:eastAsia="zh-CN"/>
        </w:rPr>
        <w:t>经验</w:t>
      </w:r>
      <w:r>
        <w:rPr>
          <w:rFonts w:hint="eastAsia" w:ascii="宋体" w:hAnsi="宋体" w:eastAsia="宋体" w:cs="仿宋_GB2312"/>
          <w:sz w:val="28"/>
          <w:szCs w:val="28"/>
        </w:rPr>
        <w:t>。</w:t>
      </w:r>
    </w:p>
    <w:p>
      <w:pPr>
        <w:spacing w:after="0" w:line="240" w:lineRule="auto"/>
        <w:ind w:firstLine="560" w:firstLineChars="200"/>
        <w:jc w:val="both"/>
        <w:rPr>
          <w:rFonts w:ascii="宋体" w:hAnsi="宋体" w:eastAsia="宋体" w:cs="仿宋_GB2312"/>
          <w:sz w:val="28"/>
          <w:szCs w:val="28"/>
        </w:rPr>
      </w:pPr>
      <w:r>
        <w:rPr>
          <w:rFonts w:hint="eastAsia" w:ascii="宋体" w:hAnsi="宋体" w:eastAsia="宋体" w:cs="仿宋_GB2312"/>
          <w:sz w:val="28"/>
          <w:szCs w:val="28"/>
        </w:rPr>
        <w:t>2、优先考虑具备ISO 9001质量管理体系认证、ISO 27001信息安全管理体系认证以及ISO27701隐私信息管理体系认证的单位、优先考虑具备DCMM数据管理能力成熟度认证的单位。</w:t>
      </w:r>
    </w:p>
    <w:p>
      <w:pPr>
        <w:spacing w:after="0" w:line="240" w:lineRule="auto"/>
        <w:ind w:firstLine="560" w:firstLineChars="200"/>
        <w:jc w:val="both"/>
        <w:rPr>
          <w:rFonts w:ascii="宋体" w:hAnsi="宋体" w:eastAsia="宋体" w:cs="仿宋_GB2312"/>
          <w:sz w:val="28"/>
          <w:szCs w:val="28"/>
        </w:rPr>
      </w:pPr>
      <w:r>
        <w:rPr>
          <w:rFonts w:hint="eastAsia" w:ascii="宋体" w:hAnsi="宋体" w:eastAsia="宋体" w:cs="仿宋_GB2312"/>
          <w:sz w:val="28"/>
          <w:szCs w:val="28"/>
        </w:rPr>
        <w:t>3、</w:t>
      </w:r>
      <w:r>
        <w:rPr>
          <w:rFonts w:hint="eastAsia" w:ascii="宋体" w:hAnsi="宋体" w:eastAsia="宋体" w:cs="仿宋_GB2312"/>
          <w:sz w:val="28"/>
          <w:szCs w:val="28"/>
          <w:lang w:eastAsia="zh-CN"/>
        </w:rPr>
        <w:t>供应商需</w:t>
      </w:r>
      <w:r>
        <w:rPr>
          <w:rFonts w:hint="eastAsia" w:ascii="宋体" w:hAnsi="宋体" w:eastAsia="宋体" w:cs="仿宋_GB2312"/>
          <w:sz w:val="28"/>
          <w:szCs w:val="28"/>
        </w:rPr>
        <w:t>具备课题研究能力，</w:t>
      </w:r>
      <w:r>
        <w:rPr>
          <w:rFonts w:hint="eastAsia" w:ascii="宋体" w:hAnsi="宋体" w:eastAsia="宋体" w:cs="仿宋_GB2312"/>
          <w:sz w:val="28"/>
          <w:szCs w:val="28"/>
          <w:lang w:eastAsia="zh-CN"/>
        </w:rPr>
        <w:t>对</w:t>
      </w:r>
      <w:r>
        <w:rPr>
          <w:rFonts w:hint="eastAsia" w:ascii="宋体" w:hAnsi="宋体" w:eastAsia="宋体" w:cs="仿宋_GB2312"/>
          <w:sz w:val="28"/>
          <w:szCs w:val="28"/>
        </w:rPr>
        <w:t>数据要素和数字化转型相关白皮书/行业研究报告</w:t>
      </w:r>
      <w:r>
        <w:rPr>
          <w:rFonts w:hint="eastAsia" w:ascii="宋体" w:hAnsi="宋体" w:eastAsia="宋体" w:cs="仿宋_GB2312"/>
          <w:sz w:val="28"/>
          <w:szCs w:val="28"/>
          <w:lang w:eastAsia="zh-CN"/>
        </w:rPr>
        <w:t>等内容熟悉了解</w:t>
      </w:r>
      <w:r>
        <w:rPr>
          <w:rFonts w:hint="eastAsia" w:ascii="宋体" w:hAnsi="宋体" w:eastAsia="宋体" w:cs="仿宋_GB2312"/>
          <w:sz w:val="28"/>
          <w:szCs w:val="28"/>
        </w:rPr>
        <w:t>。</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4、</w:t>
      </w:r>
      <w:r>
        <w:rPr>
          <w:rFonts w:hint="eastAsia" w:ascii="宋体" w:hAnsi="宋体" w:eastAsia="宋体" w:cs="仿宋_GB2312"/>
          <w:sz w:val="28"/>
          <w:szCs w:val="28"/>
          <w:lang w:eastAsia="zh-CN"/>
        </w:rPr>
        <w:t>供应商需</w:t>
      </w:r>
      <w:r>
        <w:rPr>
          <w:rFonts w:hint="eastAsia" w:ascii="宋体" w:hAnsi="宋体" w:eastAsia="宋体" w:cs="仿宋_GB2312"/>
          <w:sz w:val="28"/>
          <w:szCs w:val="28"/>
        </w:rPr>
        <w:t>承接过国家数据要素领域相关任务。</w:t>
      </w:r>
    </w:p>
    <w:p>
      <w:pPr>
        <w:spacing w:after="0" w:line="240" w:lineRule="auto"/>
        <w:ind w:firstLine="560" w:firstLineChars="200"/>
        <w:jc w:val="both"/>
        <w:rPr>
          <w:rFonts w:hint="eastAsia" w:ascii="楷体_GB2312" w:hAnsi="宋体" w:eastAsia="楷体_GB2312" w:cs="仿宋_GB2312"/>
          <w:sz w:val="28"/>
          <w:szCs w:val="28"/>
        </w:rPr>
      </w:pPr>
      <w:r>
        <w:rPr>
          <w:rFonts w:hint="eastAsia" w:ascii="楷体_GB2312" w:hAnsi="宋体" w:eastAsia="楷体_GB2312" w:cs="仿宋_GB2312"/>
          <w:sz w:val="28"/>
          <w:szCs w:val="28"/>
        </w:rPr>
        <w:t>（三）人员要求</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本项目需供应商提供不少于20人的服务团队要求提供团队成员名单、现任职务和具体分工，其中团队负责人要求具备高级工程师资质以及项目管理相关资质证书，具备10年及以上行业从业经验，优先考虑有数据要素项目管理经验的人员；项目团队人员要求配置合理、人员素质、管理和技术能力强、相关经验丰富，团队中硕士及以上学历</w:t>
      </w:r>
      <w:r>
        <w:rPr>
          <w:rFonts w:hint="eastAsia" w:ascii="宋体" w:hAnsi="宋体" w:eastAsia="宋体" w:cs="仿宋_GB2312"/>
          <w:sz w:val="28"/>
          <w:szCs w:val="28"/>
          <w:lang w:val="en-US" w:eastAsia="zh-CN"/>
        </w:rPr>
        <w:t>10人</w:t>
      </w:r>
      <w:r>
        <w:rPr>
          <w:rFonts w:hint="eastAsia" w:ascii="宋体" w:hAnsi="宋体" w:eastAsia="宋体" w:cs="仿宋_GB2312"/>
          <w:sz w:val="28"/>
          <w:szCs w:val="28"/>
        </w:rPr>
        <w:t>以上，高级职称人数不少于5人，有数商</w:t>
      </w:r>
      <w:r>
        <w:rPr>
          <w:rFonts w:hint="eastAsia" w:ascii="宋体" w:hAnsi="宋体" w:eastAsia="宋体" w:cs="仿宋_GB2312"/>
          <w:sz w:val="28"/>
          <w:szCs w:val="28"/>
          <w:lang w:eastAsia="zh-CN"/>
        </w:rPr>
        <w:t>相关</w:t>
      </w:r>
      <w:r>
        <w:rPr>
          <w:rFonts w:hint="eastAsia" w:ascii="宋体" w:hAnsi="宋体" w:eastAsia="宋体" w:cs="仿宋_GB2312"/>
          <w:sz w:val="28"/>
          <w:szCs w:val="28"/>
        </w:rPr>
        <w:t>大会办会经验的人员。</w:t>
      </w:r>
    </w:p>
    <w:p>
      <w:pPr>
        <w:spacing w:after="0" w:line="240" w:lineRule="auto"/>
        <w:ind w:firstLine="560" w:firstLineChars="200"/>
        <w:jc w:val="both"/>
        <w:rPr>
          <w:rFonts w:hint="eastAsia" w:ascii="楷体_GB2312" w:hAnsi="宋体" w:eastAsia="楷体_GB2312" w:cs="仿宋_GB2312"/>
          <w:sz w:val="28"/>
          <w:szCs w:val="28"/>
        </w:rPr>
      </w:pPr>
      <w:r>
        <w:rPr>
          <w:rFonts w:hint="eastAsia" w:ascii="楷体_GB2312" w:hAnsi="宋体" w:eastAsia="楷体_GB2312" w:cs="仿宋_GB2312"/>
          <w:sz w:val="28"/>
          <w:szCs w:val="28"/>
        </w:rPr>
        <w:t>（四）场地要求</w:t>
      </w:r>
    </w:p>
    <w:p>
      <w:pPr>
        <w:spacing w:after="0" w:line="240" w:lineRule="auto"/>
        <w:ind w:firstLine="560" w:firstLineChars="200"/>
        <w:rPr>
          <w:rFonts w:hint="eastAsia" w:ascii="宋体" w:hAnsi="宋体" w:eastAsia="宋体"/>
          <w:sz w:val="28"/>
          <w:szCs w:val="28"/>
        </w:rPr>
      </w:pPr>
      <w:r>
        <w:rPr>
          <w:rFonts w:hint="eastAsia" w:ascii="宋体" w:hAnsi="宋体" w:eastAsia="宋体" w:cs="仿宋_GB2312"/>
          <w:sz w:val="28"/>
          <w:szCs w:val="28"/>
        </w:rPr>
        <w:t>地址：</w:t>
      </w:r>
      <w:r>
        <w:rPr>
          <w:rFonts w:hint="eastAsia" w:ascii="宋体" w:hAnsi="宋体" w:eastAsia="宋体"/>
          <w:sz w:val="28"/>
          <w:szCs w:val="28"/>
        </w:rPr>
        <w:t>上海市浦东新区滨江大道2727号上海国际会议中心</w:t>
      </w:r>
    </w:p>
    <w:p>
      <w:pPr>
        <w:spacing w:after="0" w:line="240" w:lineRule="auto"/>
        <w:ind w:firstLine="560" w:firstLineChars="200"/>
        <w:rPr>
          <w:rFonts w:hint="eastAsia" w:ascii="宋体" w:hAnsi="宋体" w:eastAsia="宋体"/>
          <w:sz w:val="28"/>
          <w:szCs w:val="28"/>
        </w:rPr>
      </w:pPr>
      <w:r>
        <w:rPr>
          <w:rFonts w:hint="eastAsia" w:ascii="宋体" w:hAnsi="宋体" w:eastAsia="宋体"/>
          <w:sz w:val="28"/>
          <w:szCs w:val="28"/>
        </w:rPr>
        <w:t>（*结合2025全球数商大会办会情况，以实际场地为准）</w:t>
      </w:r>
    </w:p>
    <w:p>
      <w:pPr>
        <w:spacing w:after="0" w:line="240" w:lineRule="auto"/>
        <w:ind w:firstLine="560" w:firstLineChars="200"/>
        <w:rPr>
          <w:rFonts w:hint="eastAsia" w:ascii="宋体" w:hAnsi="宋体" w:eastAsia="宋体" w:cs="仿宋_GB2312"/>
          <w:sz w:val="28"/>
          <w:szCs w:val="28"/>
        </w:rPr>
      </w:pPr>
      <w:r>
        <w:rPr>
          <w:rFonts w:hint="eastAsia" w:ascii="宋体" w:hAnsi="宋体" w:eastAsia="宋体"/>
          <w:sz w:val="28"/>
          <w:szCs w:val="28"/>
        </w:rPr>
        <w:t>场地布局图：</w:t>
      </w:r>
    </w:p>
    <w:p>
      <w:pPr>
        <w:spacing w:after="0" w:line="240" w:lineRule="auto"/>
        <w:ind w:firstLine="560" w:firstLineChars="200"/>
        <w:rPr>
          <w:rFonts w:hint="eastAsia" w:ascii="宋体" w:hAnsi="宋体" w:eastAsia="宋体" w:cs="仿宋_GB2312"/>
          <w:sz w:val="28"/>
          <w:szCs w:val="28"/>
        </w:rPr>
      </w:pPr>
      <w:r>
        <w:rPr>
          <w:rFonts w:ascii="宋体" w:hAnsi="宋体" w:eastAsia="宋体" w:cs="仿宋_GB2312"/>
          <w:sz w:val="28"/>
          <w:szCs w:val="28"/>
        </w:rPr>
        <w:drawing>
          <wp:inline distT="0" distB="0" distL="0" distR="0">
            <wp:extent cx="5274310" cy="3264535"/>
            <wp:effectExtent l="0" t="0" r="254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264535"/>
                    </a:xfrm>
                    <a:prstGeom prst="rect">
                      <a:avLst/>
                    </a:prstGeom>
                  </pic:spPr>
                </pic:pic>
              </a:graphicData>
            </a:graphic>
          </wp:inline>
        </w:drawing>
      </w:r>
    </w:p>
    <w:p>
      <w:pPr>
        <w:spacing w:after="0" w:line="240" w:lineRule="auto"/>
        <w:ind w:firstLine="560" w:firstLineChars="200"/>
        <w:rPr>
          <w:rFonts w:hint="eastAsia" w:ascii="宋体" w:hAnsi="宋体" w:eastAsia="宋体" w:cs="仿宋_GB2312"/>
          <w:sz w:val="28"/>
          <w:szCs w:val="28"/>
        </w:rPr>
      </w:pPr>
      <w:r>
        <w:rPr>
          <w:rFonts w:ascii="宋体" w:hAnsi="宋体" w:eastAsia="宋体" w:cs="仿宋_GB2312"/>
          <w:sz w:val="28"/>
          <w:szCs w:val="28"/>
        </w:rPr>
        <w:drawing>
          <wp:inline distT="0" distB="0" distL="0" distR="0">
            <wp:extent cx="5274310" cy="3135630"/>
            <wp:effectExtent l="0" t="0" r="2540" b="7620"/>
            <wp:docPr id="8847123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12321"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135630"/>
                    </a:xfrm>
                    <a:prstGeom prst="rect">
                      <a:avLst/>
                    </a:prstGeom>
                  </pic:spPr>
                </pic:pic>
              </a:graphicData>
            </a:graphic>
          </wp:inline>
        </w:drawing>
      </w:r>
    </w:p>
    <w:p>
      <w:pPr>
        <w:spacing w:after="0" w:line="240" w:lineRule="auto"/>
        <w:ind w:firstLine="560" w:firstLineChars="200"/>
        <w:rPr>
          <w:rFonts w:hint="eastAsia" w:ascii="宋体" w:hAnsi="宋体" w:eastAsia="宋体" w:cs="仿宋_GB2312"/>
          <w:sz w:val="28"/>
          <w:szCs w:val="28"/>
        </w:rPr>
      </w:pPr>
      <w:r>
        <w:rPr>
          <w:rFonts w:ascii="宋体" w:hAnsi="宋体" w:eastAsia="宋体" w:cs="仿宋_GB2312"/>
          <w:sz w:val="28"/>
          <w:szCs w:val="28"/>
        </w:rPr>
        <w:drawing>
          <wp:inline distT="0" distB="0" distL="0" distR="0">
            <wp:extent cx="5274310" cy="3090545"/>
            <wp:effectExtent l="0" t="0" r="2540" b="0"/>
            <wp:docPr id="50705925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59255"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090545"/>
                    </a:xfrm>
                    <a:prstGeom prst="rect">
                      <a:avLst/>
                    </a:prstGeom>
                  </pic:spPr>
                </pic:pic>
              </a:graphicData>
            </a:graphic>
          </wp:inline>
        </w:drawing>
      </w:r>
    </w:p>
    <w:p>
      <w:pPr>
        <w:spacing w:after="0" w:line="240" w:lineRule="auto"/>
        <w:ind w:firstLine="560" w:firstLineChars="200"/>
        <w:rPr>
          <w:rFonts w:hint="eastAsia" w:ascii="宋体" w:hAnsi="宋体" w:eastAsia="宋体" w:cs="仿宋_GB2312"/>
          <w:sz w:val="28"/>
          <w:szCs w:val="28"/>
        </w:rPr>
      </w:pPr>
      <w:r>
        <w:rPr>
          <w:rFonts w:ascii="宋体" w:hAnsi="宋体" w:eastAsia="宋体" w:cs="仿宋_GB2312"/>
          <w:sz w:val="28"/>
          <w:szCs w:val="28"/>
        </w:rPr>
        <w:drawing>
          <wp:inline distT="0" distB="0" distL="0" distR="0">
            <wp:extent cx="5274310" cy="3542030"/>
            <wp:effectExtent l="0" t="0" r="2540" b="1270"/>
            <wp:docPr id="84537678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76787"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542030"/>
                    </a:xfrm>
                    <a:prstGeom prst="rect">
                      <a:avLst/>
                    </a:prstGeom>
                  </pic:spPr>
                </pic:pic>
              </a:graphicData>
            </a:graphic>
          </wp:inline>
        </w:drawing>
      </w:r>
    </w:p>
    <w:p>
      <w:pPr>
        <w:spacing w:after="0" w:line="240" w:lineRule="auto"/>
        <w:ind w:firstLine="200"/>
        <w:rPr>
          <w:rFonts w:hint="eastAsia" w:ascii="黑体" w:hAnsi="黑体" w:eastAsia="黑体" w:cs="黑体"/>
          <w:color w:val="000000"/>
          <w:sz w:val="28"/>
          <w:szCs w:val="28"/>
        </w:rPr>
      </w:pPr>
      <w:r>
        <w:rPr>
          <w:rFonts w:hint="eastAsia" w:ascii="黑体" w:hAnsi="黑体" w:eastAsia="黑体" w:cs="黑体"/>
          <w:color w:val="000000"/>
          <w:sz w:val="28"/>
          <w:szCs w:val="28"/>
        </w:rPr>
        <w:t>七、验收</w:t>
      </w:r>
    </w:p>
    <w:p>
      <w:pPr>
        <w:spacing w:after="0" w:line="240" w:lineRule="auto"/>
        <w:ind w:firstLine="560" w:firstLineChars="200"/>
        <w:rPr>
          <w:rFonts w:hint="eastAsia" w:ascii="宋体" w:hAnsi="宋体" w:eastAsia="宋体" w:cs="仿宋_GB2312"/>
          <w:color w:val="000000"/>
          <w:sz w:val="28"/>
          <w:szCs w:val="28"/>
        </w:rPr>
      </w:pPr>
      <w:r>
        <w:rPr>
          <w:rFonts w:hint="eastAsia" w:ascii="宋体" w:hAnsi="宋体" w:eastAsia="宋体" w:cs="仿宋_GB2312"/>
          <w:color w:val="000000"/>
          <w:sz w:val="28"/>
          <w:szCs w:val="28"/>
        </w:rPr>
        <w:t>采购人自行验收。</w:t>
      </w:r>
    </w:p>
    <w:p>
      <w:pPr>
        <w:spacing w:after="0" w:line="240" w:lineRule="auto"/>
        <w:ind w:firstLine="200"/>
        <w:rPr>
          <w:rFonts w:hint="eastAsia" w:ascii="黑体" w:hAnsi="黑体" w:eastAsia="黑体" w:cs="黑体"/>
          <w:color w:val="000000"/>
          <w:sz w:val="28"/>
          <w:szCs w:val="28"/>
        </w:rPr>
      </w:pPr>
      <w:r>
        <w:rPr>
          <w:rFonts w:hint="eastAsia" w:ascii="黑体" w:hAnsi="黑体" w:eastAsia="黑体" w:cs="黑体"/>
          <w:color w:val="000000"/>
          <w:sz w:val="28"/>
          <w:szCs w:val="28"/>
        </w:rPr>
        <w:t>八、</w:t>
      </w:r>
      <w:r>
        <w:rPr>
          <w:rFonts w:hint="eastAsia" w:ascii="黑体" w:hAnsi="黑体" w:eastAsia="黑体" w:cs="黑体"/>
          <w:color w:val="000000"/>
          <w:sz w:val="28"/>
          <w:szCs w:val="28"/>
          <w:lang w:eastAsia="zh-CN"/>
        </w:rPr>
        <w:t>响应</w:t>
      </w:r>
      <w:r>
        <w:rPr>
          <w:rFonts w:hint="eastAsia" w:ascii="黑体" w:hAnsi="黑体" w:eastAsia="黑体" w:cs="黑体"/>
          <w:color w:val="000000"/>
          <w:sz w:val="28"/>
          <w:szCs w:val="28"/>
        </w:rPr>
        <w:t>报价</w:t>
      </w:r>
    </w:p>
    <w:p>
      <w:pPr>
        <w:spacing w:after="0" w:line="240" w:lineRule="auto"/>
        <w:ind w:firstLine="560" w:firstLineChars="200"/>
        <w:rPr>
          <w:rFonts w:hint="eastAsia" w:ascii="宋体" w:hAnsi="宋体" w:eastAsia="宋体" w:cs="仿宋_GB2312"/>
          <w:color w:val="000000"/>
          <w:sz w:val="28"/>
          <w:szCs w:val="28"/>
        </w:rPr>
      </w:pPr>
      <w:r>
        <w:rPr>
          <w:rFonts w:hint="eastAsia" w:ascii="宋体" w:hAnsi="宋体" w:eastAsia="宋体" w:cs="仿宋_GB2312"/>
          <w:color w:val="000000"/>
          <w:sz w:val="28"/>
          <w:szCs w:val="28"/>
        </w:rPr>
        <w:t>本项目响应报价包含人员、设计、搭建、执行、物料等完成所有相关服务的所有费用,采购人不再支付其他任何费用。</w:t>
      </w: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ind w:firstLine="560" w:firstLineChars="200"/>
        <w:rPr>
          <w:rFonts w:hint="eastAsia" w:ascii="宋体" w:hAnsi="宋体" w:eastAsia="宋体" w:cs="仿宋_GB2312"/>
          <w:color w:val="000000"/>
          <w:sz w:val="28"/>
          <w:szCs w:val="28"/>
        </w:rPr>
      </w:pPr>
    </w:p>
    <w:p>
      <w:pPr>
        <w:spacing w:after="0" w:line="240" w:lineRule="auto"/>
        <w:rPr>
          <w:rFonts w:hint="eastAsia" w:ascii="宋体" w:hAnsi="宋体" w:eastAsia="宋体" w:cs="仿宋_GB2312"/>
          <w:sz w:val="32"/>
          <w:szCs w:val="32"/>
        </w:rPr>
      </w:pPr>
      <w:r>
        <w:rPr>
          <w:rFonts w:hint="eastAsia" w:ascii="宋体" w:hAnsi="宋体" w:eastAsia="宋体" w:cs="仿宋_GB2312"/>
          <w:sz w:val="32"/>
          <w:szCs w:val="32"/>
        </w:rPr>
        <w:t>附件：需求指标表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1701"/>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spacing w:after="0" w:line="240" w:lineRule="auto"/>
              <w:jc w:val="center"/>
              <w:rPr>
                <w:rFonts w:hint="eastAsia" w:ascii="宋体" w:hAnsi="宋体" w:eastAsia="宋体" w:cs="仿宋_GB2312"/>
                <w:sz w:val="32"/>
                <w:szCs w:val="32"/>
              </w:rPr>
            </w:pPr>
            <w:r>
              <w:rPr>
                <w:rFonts w:hint="eastAsia" w:ascii="宋体" w:hAnsi="宋体" w:eastAsia="宋体" w:cs="仿宋_GB2312"/>
                <w:sz w:val="32"/>
                <w:szCs w:val="32"/>
              </w:rPr>
              <w:t>服务项目</w:t>
            </w:r>
          </w:p>
        </w:tc>
        <w:tc>
          <w:tcPr>
            <w:tcW w:w="1559" w:type="dxa"/>
            <w:vAlign w:val="center"/>
          </w:tcPr>
          <w:p>
            <w:pPr>
              <w:spacing w:after="0" w:line="240" w:lineRule="auto"/>
              <w:jc w:val="center"/>
              <w:rPr>
                <w:rFonts w:hint="eastAsia" w:ascii="宋体" w:hAnsi="宋体" w:eastAsia="宋体" w:cs="仿宋_GB2312"/>
                <w:sz w:val="32"/>
                <w:szCs w:val="32"/>
              </w:rPr>
            </w:pPr>
            <w:r>
              <w:rPr>
                <w:rFonts w:hint="eastAsia" w:ascii="宋体" w:hAnsi="宋体" w:eastAsia="宋体" w:cs="仿宋_GB2312"/>
                <w:sz w:val="32"/>
                <w:szCs w:val="32"/>
              </w:rPr>
              <w:t>服务内容</w:t>
            </w:r>
          </w:p>
        </w:tc>
        <w:tc>
          <w:tcPr>
            <w:tcW w:w="1701" w:type="dxa"/>
            <w:vAlign w:val="center"/>
          </w:tcPr>
          <w:p>
            <w:pPr>
              <w:spacing w:after="0" w:line="240" w:lineRule="auto"/>
              <w:jc w:val="center"/>
              <w:rPr>
                <w:rFonts w:hint="eastAsia" w:ascii="宋体" w:hAnsi="宋体" w:eastAsia="宋体" w:cs="仿宋_GB2312"/>
                <w:sz w:val="32"/>
                <w:szCs w:val="32"/>
              </w:rPr>
            </w:pPr>
            <w:r>
              <w:rPr>
                <w:rFonts w:hint="eastAsia" w:ascii="宋体" w:hAnsi="宋体" w:eastAsia="宋体" w:cs="仿宋_GB2312"/>
                <w:sz w:val="32"/>
                <w:szCs w:val="32"/>
              </w:rPr>
              <w:t>原则性要求</w:t>
            </w:r>
          </w:p>
        </w:tc>
        <w:tc>
          <w:tcPr>
            <w:tcW w:w="4048" w:type="dxa"/>
            <w:vAlign w:val="center"/>
          </w:tcPr>
          <w:p>
            <w:pPr>
              <w:spacing w:after="0" w:line="240" w:lineRule="auto"/>
              <w:jc w:val="center"/>
              <w:rPr>
                <w:rFonts w:hint="eastAsia" w:ascii="宋体" w:hAnsi="宋体" w:eastAsia="宋体" w:cs="仿宋_GB2312"/>
                <w:sz w:val="32"/>
                <w:szCs w:val="32"/>
              </w:rPr>
            </w:pPr>
            <w:r>
              <w:rPr>
                <w:rFonts w:hint="eastAsia" w:ascii="宋体" w:hAnsi="宋体" w:eastAsia="宋体" w:cs="仿宋_GB2312"/>
                <w:sz w:val="32"/>
                <w:szCs w:val="32"/>
              </w:rPr>
              <w:t>指标性要求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pPr>
              <w:spacing w:after="0" w:line="240" w:lineRule="auto"/>
              <w:jc w:val="center"/>
              <w:rPr>
                <w:rFonts w:hint="eastAsia" w:ascii="宋体" w:hAnsi="宋体" w:eastAsia="宋体" w:cs="仿宋_GB2312"/>
                <w:sz w:val="32"/>
                <w:szCs w:val="32"/>
              </w:rPr>
            </w:pPr>
            <w:r>
              <w:rPr>
                <w:rFonts w:hint="eastAsia" w:ascii="宋体" w:hAnsi="宋体" w:eastAsia="宋体" w:cs="仿宋_GB2312"/>
                <w:sz w:val="32"/>
                <w:szCs w:val="32"/>
              </w:rPr>
              <w:t>宣传推广</w:t>
            </w:r>
          </w:p>
          <w:p>
            <w:pPr>
              <w:spacing w:after="0" w:line="240" w:lineRule="auto"/>
              <w:jc w:val="center"/>
              <w:rPr>
                <w:rFonts w:hint="eastAsia" w:ascii="宋体" w:hAnsi="宋体" w:eastAsia="宋体" w:cs="仿宋_GB2312"/>
                <w:sz w:val="32"/>
                <w:szCs w:val="32"/>
              </w:rPr>
            </w:pPr>
          </w:p>
        </w:tc>
        <w:tc>
          <w:tcPr>
            <w:tcW w:w="1559" w:type="dxa"/>
          </w:tcPr>
          <w:p>
            <w:pPr>
              <w:spacing w:after="0" w:line="240" w:lineRule="auto"/>
              <w:rPr>
                <w:rFonts w:hint="eastAsia" w:ascii="宋体" w:hAnsi="宋体" w:eastAsia="宋体" w:cs="仿宋_GB2312"/>
                <w:sz w:val="32"/>
                <w:szCs w:val="32"/>
              </w:rPr>
            </w:pPr>
            <w:r>
              <w:rPr>
                <w:rFonts w:hint="eastAsia" w:ascii="宋体" w:hAnsi="宋体" w:eastAsia="宋体" w:cs="仿宋_GB2312"/>
                <w:sz w:val="28"/>
                <w:szCs w:val="28"/>
              </w:rPr>
              <w:t>数商生态发展宣传片</w:t>
            </w:r>
          </w:p>
        </w:tc>
        <w:tc>
          <w:tcPr>
            <w:tcW w:w="1701" w:type="dxa"/>
            <w:vMerge w:val="restart"/>
          </w:tcPr>
          <w:p>
            <w:pPr>
              <w:spacing w:after="0" w:line="240" w:lineRule="auto"/>
              <w:rPr>
                <w:rFonts w:hint="eastAsia" w:ascii="宋体" w:hAnsi="宋体" w:eastAsia="宋体" w:cs="仿宋_GB2312"/>
                <w:sz w:val="28"/>
                <w:szCs w:val="28"/>
              </w:rPr>
            </w:pPr>
            <w:r>
              <w:rPr>
                <w:rFonts w:hint="eastAsia" w:ascii="宋体" w:hAnsi="宋体" w:eastAsia="宋体" w:cs="仿宋_GB2312"/>
                <w:sz w:val="28"/>
                <w:szCs w:val="28"/>
              </w:rPr>
              <w:t>中选人承诺其拥有服务方案的合法权利和知识产权，并保证服务方案在中国境内或境外没有且不会侵犯任何其他人的知识产权（包括但不限于著作权、专利权）或专有技术或商业秘密。</w:t>
            </w:r>
          </w:p>
          <w:p>
            <w:pPr>
              <w:spacing w:after="0" w:line="240" w:lineRule="auto"/>
              <w:rPr>
                <w:rFonts w:hint="eastAsia" w:ascii="宋体" w:hAnsi="宋体" w:eastAsia="宋体" w:cs="仿宋_GB2312"/>
                <w:sz w:val="28"/>
                <w:szCs w:val="28"/>
              </w:rPr>
            </w:pPr>
            <w:r>
              <w:rPr>
                <w:rFonts w:hint="eastAsia" w:ascii="宋体" w:hAnsi="宋体" w:eastAsia="宋体" w:cs="仿宋_GB2312"/>
                <w:sz w:val="28"/>
                <w:szCs w:val="28"/>
              </w:rPr>
              <w:t>演讲嘉宾及演讲内容需经过资质性审核，不涉及危害国家公共安全的言论。</w:t>
            </w:r>
          </w:p>
        </w:tc>
        <w:tc>
          <w:tcPr>
            <w:tcW w:w="4048" w:type="dxa"/>
          </w:tcPr>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每则视频时长不少于2分钟；</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视频比率16:9</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视频格式MP4；</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分辨率不低于1920*1080；</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帧率不低于25帧/秒；</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需在2025全球数商大会上露出播放。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spacing w:after="0" w:line="240" w:lineRule="auto"/>
              <w:rPr>
                <w:rFonts w:hint="eastAsia" w:ascii="宋体" w:hAnsi="宋体" w:eastAsia="宋体" w:cs="仿宋_GB2312"/>
                <w:sz w:val="32"/>
                <w:szCs w:val="32"/>
              </w:rPr>
            </w:pPr>
          </w:p>
        </w:tc>
        <w:tc>
          <w:tcPr>
            <w:tcW w:w="1559" w:type="dxa"/>
          </w:tcPr>
          <w:p>
            <w:pPr>
              <w:spacing w:after="0" w:line="240" w:lineRule="auto"/>
              <w:rPr>
                <w:rFonts w:hint="eastAsia" w:ascii="宋体" w:hAnsi="宋体" w:eastAsia="宋体" w:cs="仿宋_GB2312"/>
                <w:sz w:val="32"/>
                <w:szCs w:val="32"/>
              </w:rPr>
            </w:pPr>
            <w:r>
              <w:rPr>
                <w:rFonts w:hint="eastAsia" w:ascii="宋体" w:hAnsi="宋体" w:eastAsia="宋体" w:cs="仿宋_GB2312"/>
                <w:sz w:val="28"/>
                <w:szCs w:val="28"/>
              </w:rPr>
              <w:t>数商领军人物访谈</w:t>
            </w:r>
          </w:p>
        </w:tc>
        <w:tc>
          <w:tcPr>
            <w:tcW w:w="1701" w:type="dxa"/>
            <w:vMerge w:val="continue"/>
          </w:tcPr>
          <w:p>
            <w:pPr>
              <w:spacing w:after="0" w:line="240" w:lineRule="auto"/>
              <w:rPr>
                <w:rFonts w:hint="eastAsia" w:ascii="宋体" w:hAnsi="宋体" w:eastAsia="宋体" w:cs="仿宋_GB2312"/>
                <w:sz w:val="32"/>
                <w:szCs w:val="32"/>
              </w:rPr>
            </w:pPr>
          </w:p>
        </w:tc>
        <w:tc>
          <w:tcPr>
            <w:tcW w:w="4048" w:type="dxa"/>
          </w:tcPr>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10条访谈视频每则时长不少于10分钟；</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提炼精编汇总视频时长不少于5分钟；</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访谈视频及汇总视频分辨率不低于1080p；</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通过不少于5个地方主流媒体及大会官方媒体平台对外进行发布和宣传。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spacing w:after="0" w:line="240" w:lineRule="auto"/>
              <w:rPr>
                <w:rFonts w:hint="eastAsia" w:ascii="宋体" w:hAnsi="宋体" w:eastAsia="宋体" w:cs="仿宋_GB2312"/>
                <w:sz w:val="32"/>
                <w:szCs w:val="32"/>
              </w:rPr>
            </w:pPr>
          </w:p>
        </w:tc>
        <w:tc>
          <w:tcPr>
            <w:tcW w:w="1559" w:type="dxa"/>
          </w:tcPr>
          <w:p>
            <w:pPr>
              <w:spacing w:after="0" w:line="240" w:lineRule="auto"/>
              <w:rPr>
                <w:rFonts w:hint="eastAsia" w:ascii="宋体" w:hAnsi="宋体" w:eastAsia="宋体" w:cs="仿宋_GB2312"/>
                <w:sz w:val="32"/>
                <w:szCs w:val="32"/>
              </w:rPr>
            </w:pPr>
            <w:r>
              <w:rPr>
                <w:rFonts w:hint="eastAsia" w:ascii="宋体" w:hAnsi="宋体" w:eastAsia="宋体" w:cs="仿宋_GB2312"/>
                <w:sz w:val="28"/>
                <w:szCs w:val="28"/>
              </w:rPr>
              <w:t>展览路演案例集</w:t>
            </w:r>
          </w:p>
        </w:tc>
        <w:tc>
          <w:tcPr>
            <w:tcW w:w="1701" w:type="dxa"/>
            <w:vMerge w:val="continue"/>
          </w:tcPr>
          <w:p>
            <w:pPr>
              <w:spacing w:after="0" w:line="240" w:lineRule="auto"/>
              <w:rPr>
                <w:rFonts w:hint="eastAsia" w:ascii="宋体" w:hAnsi="宋体" w:eastAsia="宋体" w:cs="仿宋_GB2312"/>
                <w:sz w:val="32"/>
                <w:szCs w:val="32"/>
              </w:rPr>
            </w:pPr>
          </w:p>
        </w:tc>
        <w:tc>
          <w:tcPr>
            <w:tcW w:w="4048" w:type="dxa"/>
          </w:tcPr>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案例集要求以图文形式呈现；</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收录不少于40个案例；</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通过不少于5个地方主流媒体及大会官方媒体平台对外进行发布和宣传；</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可在上海市数据局官网进行下载。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spacing w:after="0" w:line="240" w:lineRule="auto"/>
              <w:rPr>
                <w:rFonts w:hint="eastAsia" w:ascii="宋体" w:hAnsi="宋体" w:eastAsia="宋体" w:cs="仿宋_GB2312"/>
                <w:sz w:val="32"/>
                <w:szCs w:val="32"/>
              </w:rPr>
            </w:pPr>
          </w:p>
        </w:tc>
        <w:tc>
          <w:tcPr>
            <w:tcW w:w="1559" w:type="dxa"/>
          </w:tcPr>
          <w:p>
            <w:pPr>
              <w:spacing w:after="0" w:line="240" w:lineRule="auto"/>
              <w:rPr>
                <w:rFonts w:hint="eastAsia" w:ascii="宋体" w:hAnsi="宋体" w:eastAsia="宋体" w:cs="仿宋_GB2312"/>
                <w:sz w:val="32"/>
                <w:szCs w:val="32"/>
              </w:rPr>
            </w:pPr>
            <w:r>
              <w:rPr>
                <w:rFonts w:hint="eastAsia" w:ascii="宋体" w:hAnsi="宋体" w:eastAsia="宋体" w:cs="仿宋_GB2312"/>
                <w:sz w:val="28"/>
                <w:szCs w:val="28"/>
              </w:rPr>
              <w:t>数商大会观点汇编</w:t>
            </w:r>
          </w:p>
        </w:tc>
        <w:tc>
          <w:tcPr>
            <w:tcW w:w="1701" w:type="dxa"/>
            <w:vMerge w:val="continue"/>
          </w:tcPr>
          <w:p>
            <w:pPr>
              <w:spacing w:after="0" w:line="240" w:lineRule="auto"/>
              <w:jc w:val="both"/>
              <w:rPr>
                <w:rFonts w:hint="eastAsia" w:ascii="宋体" w:hAnsi="宋体" w:eastAsia="宋体" w:cs="仿宋_GB2312"/>
                <w:sz w:val="28"/>
                <w:szCs w:val="28"/>
              </w:rPr>
            </w:pPr>
          </w:p>
        </w:tc>
        <w:tc>
          <w:tcPr>
            <w:tcW w:w="4048" w:type="dxa"/>
          </w:tcPr>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以长图形式展现；</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每则长图含不少于5条嘉宾金句；</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提炼形成不少于20篇观点汇编；</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并在大会整体宣传期内通过不少于5个地方主流媒体及大会官方媒体平台对外进行发布和宣传。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gridSpan w:val="2"/>
            <w:vAlign w:val="center"/>
          </w:tcPr>
          <w:p>
            <w:pPr>
              <w:spacing w:after="0" w:line="240" w:lineRule="auto"/>
              <w:jc w:val="center"/>
              <w:rPr>
                <w:rFonts w:hint="eastAsia" w:ascii="宋体" w:hAnsi="宋体" w:eastAsia="宋体" w:cs="仿宋_GB2312"/>
                <w:sz w:val="32"/>
                <w:szCs w:val="32"/>
              </w:rPr>
            </w:pPr>
            <w:r>
              <w:rPr>
                <w:rFonts w:hint="eastAsia" w:ascii="宋体" w:hAnsi="宋体" w:eastAsia="宋体" w:cs="仿宋_GB2312"/>
                <w:sz w:val="28"/>
                <w:szCs w:val="28"/>
              </w:rPr>
              <w:t>行业研究</w:t>
            </w:r>
          </w:p>
        </w:tc>
        <w:tc>
          <w:tcPr>
            <w:tcW w:w="1701" w:type="dxa"/>
            <w:vMerge w:val="continue"/>
          </w:tcPr>
          <w:p>
            <w:pPr>
              <w:spacing w:after="0" w:line="240" w:lineRule="auto"/>
              <w:ind w:firstLine="560" w:firstLineChars="200"/>
              <w:jc w:val="both"/>
              <w:rPr>
                <w:rFonts w:hint="eastAsia" w:ascii="宋体" w:hAnsi="宋体" w:eastAsia="宋体" w:cs="仿宋_GB2312"/>
                <w:sz w:val="28"/>
                <w:szCs w:val="28"/>
              </w:rPr>
            </w:pPr>
          </w:p>
        </w:tc>
        <w:tc>
          <w:tcPr>
            <w:tcW w:w="4048" w:type="dxa"/>
          </w:tcPr>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围绕国资数据集团发展、可信数据空间发展、基于区块链的数据资产、数据确权等4个主题形成行业研究报告；</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每篇报告不少于1万字；</w:t>
            </w:r>
          </w:p>
          <w:p>
            <w:pPr>
              <w:spacing w:after="0" w:line="240" w:lineRule="auto"/>
              <w:ind w:firstLine="560" w:firstLineChars="200"/>
              <w:jc w:val="both"/>
              <w:rPr>
                <w:rFonts w:hint="eastAsia" w:ascii="宋体" w:hAnsi="宋体" w:eastAsia="宋体" w:cs="仿宋_GB2312"/>
                <w:sz w:val="28"/>
                <w:szCs w:val="28"/>
              </w:rPr>
            </w:pPr>
            <w:r>
              <w:rPr>
                <w:rFonts w:hint="eastAsia" w:ascii="宋体" w:hAnsi="宋体" w:eastAsia="宋体" w:cs="仿宋_GB2312"/>
                <w:sz w:val="28"/>
                <w:szCs w:val="28"/>
              </w:rPr>
              <w:t>确保至少有2篇报告需在2025全球数商大会主论坛或主题论坛上进行发布。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gridSpan w:val="2"/>
            <w:vAlign w:val="center"/>
          </w:tcPr>
          <w:p>
            <w:pPr>
              <w:spacing w:after="0" w:line="240" w:lineRule="auto"/>
              <w:jc w:val="center"/>
              <w:rPr>
                <w:rFonts w:hint="eastAsia" w:ascii="宋体" w:hAnsi="宋体" w:eastAsia="宋体" w:cs="仿宋_GB2312"/>
                <w:sz w:val="32"/>
                <w:szCs w:val="32"/>
              </w:rPr>
            </w:pPr>
            <w:r>
              <w:rPr>
                <w:rFonts w:hint="eastAsia" w:ascii="宋体" w:hAnsi="宋体" w:eastAsia="宋体" w:cs="仿宋_GB2312"/>
                <w:sz w:val="28"/>
                <w:szCs w:val="28"/>
              </w:rPr>
              <w:t>应用体验</w:t>
            </w:r>
          </w:p>
        </w:tc>
        <w:tc>
          <w:tcPr>
            <w:tcW w:w="1701" w:type="dxa"/>
            <w:vMerge w:val="continue"/>
          </w:tcPr>
          <w:p>
            <w:pPr>
              <w:spacing w:after="0" w:line="240" w:lineRule="auto"/>
              <w:jc w:val="both"/>
              <w:rPr>
                <w:rFonts w:hint="eastAsia" w:ascii="宋体" w:hAnsi="宋体" w:eastAsia="宋体" w:cs="仿宋_GB2312"/>
                <w:sz w:val="28"/>
                <w:szCs w:val="28"/>
              </w:rPr>
            </w:pPr>
          </w:p>
        </w:tc>
        <w:tc>
          <w:tcPr>
            <w:tcW w:w="4048" w:type="dxa"/>
          </w:tcPr>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要求数字体验活动面积不少于1000平方米；</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可同时容纳游客数量不少于200人，预计每日可接待游客数量1000人次；</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活动时长不少于2天；</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活动设不少于8个展位。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gridSpan w:val="2"/>
            <w:vAlign w:val="center"/>
          </w:tcPr>
          <w:p>
            <w:pPr>
              <w:spacing w:after="0" w:line="240" w:lineRule="auto"/>
              <w:jc w:val="center"/>
              <w:rPr>
                <w:rFonts w:hint="eastAsia" w:ascii="宋体" w:hAnsi="宋体" w:eastAsia="宋体" w:cs="仿宋_GB2312"/>
                <w:sz w:val="28"/>
                <w:szCs w:val="28"/>
              </w:rPr>
            </w:pPr>
            <w:r>
              <w:rPr>
                <w:rFonts w:hint="eastAsia" w:ascii="宋体" w:hAnsi="宋体" w:eastAsia="宋体" w:cs="仿宋_GB2312"/>
                <w:sz w:val="28"/>
                <w:szCs w:val="28"/>
              </w:rPr>
              <w:t>闭门研讨会</w:t>
            </w:r>
          </w:p>
          <w:p>
            <w:pPr>
              <w:spacing w:after="0" w:line="240" w:lineRule="auto"/>
              <w:jc w:val="center"/>
              <w:rPr>
                <w:rFonts w:hint="eastAsia" w:ascii="宋体" w:hAnsi="宋体" w:eastAsia="宋体" w:cs="仿宋_GB2312"/>
                <w:sz w:val="32"/>
                <w:szCs w:val="32"/>
              </w:rPr>
            </w:pPr>
          </w:p>
        </w:tc>
        <w:tc>
          <w:tcPr>
            <w:tcW w:w="1701" w:type="dxa"/>
            <w:vMerge w:val="continue"/>
          </w:tcPr>
          <w:p>
            <w:pPr>
              <w:spacing w:after="0" w:line="240" w:lineRule="auto"/>
              <w:ind w:firstLine="560" w:firstLineChars="200"/>
              <w:jc w:val="both"/>
              <w:rPr>
                <w:rFonts w:hint="eastAsia" w:ascii="宋体" w:hAnsi="宋体" w:eastAsia="宋体" w:cs="仿宋_GB2312"/>
                <w:sz w:val="28"/>
                <w:szCs w:val="28"/>
              </w:rPr>
            </w:pPr>
          </w:p>
        </w:tc>
        <w:tc>
          <w:tcPr>
            <w:tcW w:w="4048" w:type="dxa"/>
          </w:tcPr>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要求聚焦全国一体化数据要素市场、数据产权制度、可信数据空间、区块链赋能数字商业新生态、数据要素价值释放、公共数据融合开发前瞻等主题组织6场闭门研讨会；</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每场参会人数不少于30人，其中行业专家不少于5人；</w:t>
            </w:r>
          </w:p>
          <w:p>
            <w:pPr>
              <w:spacing w:after="0" w:line="240" w:lineRule="auto"/>
              <w:jc w:val="both"/>
              <w:rPr>
                <w:rFonts w:hint="eastAsia" w:ascii="宋体" w:hAnsi="宋体" w:eastAsia="宋体" w:cs="仿宋_GB2312"/>
                <w:sz w:val="28"/>
                <w:szCs w:val="28"/>
              </w:rPr>
            </w:pPr>
            <w:r>
              <w:rPr>
                <w:rFonts w:hint="eastAsia" w:ascii="宋体" w:hAnsi="宋体" w:eastAsia="宋体" w:cs="仿宋_GB2312"/>
                <w:sz w:val="28"/>
                <w:szCs w:val="28"/>
              </w:rPr>
              <w:t>每场闭门研讨会形成1篇闭门会主要观点总结。</w:t>
            </w:r>
          </w:p>
        </w:tc>
      </w:tr>
    </w:tbl>
    <w:p>
      <w:pPr>
        <w:spacing w:after="0" w:line="240" w:lineRule="auto"/>
        <w:ind w:firstLine="640" w:firstLineChars="200"/>
        <w:rPr>
          <w:rFonts w:hint="eastAsia" w:ascii="宋体" w:hAnsi="宋体" w:eastAsia="宋体" w:cs="仿宋_GB2312"/>
          <w:sz w:val="32"/>
          <w:szCs w:val="32"/>
        </w:rPr>
      </w:pPr>
    </w:p>
    <w:p>
      <w:pPr>
        <w:spacing w:after="0" w:line="240" w:lineRule="auto"/>
        <w:ind w:firstLine="640" w:firstLineChars="200"/>
        <w:rPr>
          <w:rFonts w:hint="eastAsia" w:ascii="宋体" w:hAnsi="宋体" w:eastAsia="宋体"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4A2"/>
    <w:rsid w:val="000326E4"/>
    <w:rsid w:val="00063321"/>
    <w:rsid w:val="000A7531"/>
    <w:rsid w:val="000E4EF1"/>
    <w:rsid w:val="00183004"/>
    <w:rsid w:val="001B1A9B"/>
    <w:rsid w:val="001E572E"/>
    <w:rsid w:val="002C1A7D"/>
    <w:rsid w:val="003339CB"/>
    <w:rsid w:val="003A0896"/>
    <w:rsid w:val="003E190F"/>
    <w:rsid w:val="003F733A"/>
    <w:rsid w:val="004322EE"/>
    <w:rsid w:val="004979B7"/>
    <w:rsid w:val="004A0E2E"/>
    <w:rsid w:val="004C36F5"/>
    <w:rsid w:val="004C4F25"/>
    <w:rsid w:val="004D2914"/>
    <w:rsid w:val="004D7F25"/>
    <w:rsid w:val="00525708"/>
    <w:rsid w:val="00532581"/>
    <w:rsid w:val="005A54BD"/>
    <w:rsid w:val="00626E8F"/>
    <w:rsid w:val="00646281"/>
    <w:rsid w:val="00686AE0"/>
    <w:rsid w:val="007A7D2D"/>
    <w:rsid w:val="007D6E5D"/>
    <w:rsid w:val="00816A14"/>
    <w:rsid w:val="00841EB4"/>
    <w:rsid w:val="008B52AF"/>
    <w:rsid w:val="00952F11"/>
    <w:rsid w:val="00965AF1"/>
    <w:rsid w:val="009A08F3"/>
    <w:rsid w:val="009D16DB"/>
    <w:rsid w:val="009E6FDE"/>
    <w:rsid w:val="009F7FFA"/>
    <w:rsid w:val="00AA240C"/>
    <w:rsid w:val="00AA707A"/>
    <w:rsid w:val="00AD2266"/>
    <w:rsid w:val="00B02692"/>
    <w:rsid w:val="00B1669C"/>
    <w:rsid w:val="00B86367"/>
    <w:rsid w:val="00BE2149"/>
    <w:rsid w:val="00BF3D17"/>
    <w:rsid w:val="00C16C8F"/>
    <w:rsid w:val="00C674A2"/>
    <w:rsid w:val="00CF1B1A"/>
    <w:rsid w:val="00D2665A"/>
    <w:rsid w:val="00D6326F"/>
    <w:rsid w:val="00D72863"/>
    <w:rsid w:val="00D847A4"/>
    <w:rsid w:val="00DA609B"/>
    <w:rsid w:val="00DB209E"/>
    <w:rsid w:val="00DD1656"/>
    <w:rsid w:val="00EE70D6"/>
    <w:rsid w:val="00F23320"/>
    <w:rsid w:val="00F35067"/>
    <w:rsid w:val="00F53C07"/>
    <w:rsid w:val="00FA0DAA"/>
    <w:rsid w:val="00FC750C"/>
    <w:rsid w:val="07CCF09E"/>
    <w:rsid w:val="17BF91FE"/>
    <w:rsid w:val="1E241D6D"/>
    <w:rsid w:val="2B356B59"/>
    <w:rsid w:val="373FB582"/>
    <w:rsid w:val="3B4FABB5"/>
    <w:rsid w:val="3F5F4AC4"/>
    <w:rsid w:val="69FF0766"/>
    <w:rsid w:val="6CBB07B3"/>
    <w:rsid w:val="7BFD68C9"/>
    <w:rsid w:val="7DCEEC52"/>
    <w:rsid w:val="7EFEC837"/>
    <w:rsid w:val="7F7CB8F8"/>
    <w:rsid w:val="7FAF1966"/>
    <w:rsid w:val="7FC16E1D"/>
    <w:rsid w:val="7FDE2FCA"/>
    <w:rsid w:val="7FF3991B"/>
    <w:rsid w:val="ABEFA82E"/>
    <w:rsid w:val="B7FFD9CF"/>
    <w:rsid w:val="DE6F2234"/>
    <w:rsid w:val="EBDB882F"/>
    <w:rsid w:val="EFEB779C"/>
    <w:rsid w:val="F1B78FF4"/>
    <w:rsid w:val="FE95DDD8"/>
    <w:rsid w:val="FF677906"/>
    <w:rsid w:val="FFD78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3"/>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批注文字 字符"/>
    <w:basedOn w:val="19"/>
    <w:link w:val="11"/>
    <w:qFormat/>
    <w:uiPriority w:val="99"/>
    <w:rPr>
      <w:kern w:val="2"/>
      <w:sz w:val="22"/>
      <w:szCs w:val="24"/>
      <w14:ligatures w14:val="standardContextual"/>
    </w:rPr>
  </w:style>
  <w:style w:type="character" w:customStyle="1" w:styleId="43">
    <w:name w:val="批注主题 字符"/>
    <w:basedOn w:val="42"/>
    <w:link w:val="16"/>
    <w:semiHidden/>
    <w:qFormat/>
    <w:uiPriority w:val="99"/>
    <w:rPr>
      <w:b/>
      <w:bCs/>
      <w:kern w:val="2"/>
      <w:sz w:val="22"/>
      <w:szCs w:val="24"/>
      <w14:ligatures w14:val="standardContextual"/>
    </w:rPr>
  </w:style>
  <w:style w:type="paragraph" w:customStyle="1" w:styleId="44">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35A5FEE-8B30-427A-94E2-C01B80D6570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2453</Words>
  <Characters>2558</Characters>
  <Lines>127</Lines>
  <Paragraphs>93</Paragraphs>
  <TotalTime>352</TotalTime>
  <ScaleCrop>false</ScaleCrop>
  <LinksUpToDate>false</LinksUpToDate>
  <CharactersWithSpaces>2562</CharactersWithSpaces>
  <Application>WPS Office_12.8.2.1113_F1E327BC-269C-435d-A152-05C5408002CA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2025-10-11T21:51:00Z</dcterms:created>
  <dc:creator>朱晓宇</dc:creator>
  <cp:lastModifiedBy>user</cp:lastModifiedBy>
  <dcterms:modified xsi:type="dcterms:W3CDTF">2025-10-13T16:28:39Z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C822BCF0E7F243869D0E5AF6415611FD_13</vt:lpwstr>
  </property>
  <property fmtid="{D5CDD505-2E9C-101B-9397-08002B2CF9AE}" pid="4" name="KSOTemplateDocerSaveRecord">
    <vt:lpwstr>eyJoZGlkIjoiNmVlNTZiYTZjNGM0NjlmMmExOGI4NWU2MjQzOTIxMTAiLCJ1c2VySWQiOiIzNTE1NjMyIn0=</vt:lpwstr>
  </property>
</Properties>
</file>