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AA3CF" w14:textId="77777777" w:rsidR="001E2A68" w:rsidRDefault="0025145E">
      <w:pPr>
        <w:adjustRightInd w:val="0"/>
        <w:snapToGrid w:val="0"/>
        <w:spacing w:line="520" w:lineRule="exact"/>
        <w:jc w:val="center"/>
        <w:rPr>
          <w:rFonts w:ascii="黑体" w:eastAsia="黑体" w:hAnsi="黑体"/>
          <w:sz w:val="32"/>
          <w:szCs w:val="32"/>
        </w:rPr>
      </w:pPr>
      <w:r>
        <w:rPr>
          <w:rFonts w:ascii="黑体" w:eastAsia="黑体" w:hAnsi="黑体" w:hint="eastAsia"/>
          <w:sz w:val="32"/>
          <w:szCs w:val="32"/>
        </w:rPr>
        <w:t>生态空间景观规划设计</w:t>
      </w:r>
    </w:p>
    <w:p w14:paraId="412AE3B0" w14:textId="77777777" w:rsidR="001E2A68" w:rsidRDefault="0025145E">
      <w:pPr>
        <w:adjustRightInd w:val="0"/>
        <w:snapToGrid w:val="0"/>
        <w:spacing w:line="520" w:lineRule="exact"/>
        <w:jc w:val="center"/>
        <w:rPr>
          <w:rFonts w:ascii="黑体" w:eastAsia="黑体" w:hAnsi="黑体"/>
          <w:sz w:val="32"/>
          <w:szCs w:val="32"/>
        </w:rPr>
      </w:pPr>
      <w:r>
        <w:rPr>
          <w:rFonts w:ascii="黑体" w:eastAsia="黑体" w:hAnsi="黑体"/>
          <w:sz w:val="32"/>
          <w:szCs w:val="32"/>
        </w:rPr>
        <w:t>采购需求</w:t>
      </w:r>
    </w:p>
    <w:p w14:paraId="256DA637" w14:textId="77777777" w:rsidR="001E2A68" w:rsidRDefault="001E2A68">
      <w:pPr>
        <w:adjustRightInd w:val="0"/>
        <w:snapToGrid w:val="0"/>
        <w:spacing w:line="520" w:lineRule="exact"/>
        <w:ind w:firstLineChars="200" w:firstLine="420"/>
        <w:rPr>
          <w:rFonts w:ascii="宋体" w:hAnsi="宋体"/>
        </w:rPr>
      </w:pPr>
    </w:p>
    <w:p w14:paraId="7A8E4632" w14:textId="77777777" w:rsidR="001E2A68" w:rsidRDefault="0025145E">
      <w:pPr>
        <w:adjustRightInd w:val="0"/>
        <w:snapToGrid w:val="0"/>
        <w:spacing w:line="520" w:lineRule="exact"/>
        <w:rPr>
          <w:rFonts w:ascii="黑体" w:eastAsia="黑体" w:hAnsi="黑体"/>
          <w:b/>
          <w:bCs/>
          <w:sz w:val="30"/>
          <w:szCs w:val="30"/>
        </w:rPr>
      </w:pPr>
      <w:r>
        <w:rPr>
          <w:rFonts w:ascii="黑体" w:eastAsia="黑体" w:hAnsi="黑体" w:hint="eastAsia"/>
          <w:b/>
          <w:bCs/>
          <w:sz w:val="30"/>
          <w:szCs w:val="30"/>
        </w:rPr>
        <w:t>工作背景</w:t>
      </w:r>
    </w:p>
    <w:p w14:paraId="3F27F189" w14:textId="77777777" w:rsidR="001E2A68" w:rsidRDefault="0025145E">
      <w:pPr>
        <w:adjustRightInd w:val="0"/>
        <w:snapToGrid w:val="0"/>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为落实党的二十大和习近平总书记考察上海重要讲话精神，贯彻新发展理念，构建新发展格局，着力推动高质量发展，积极</w:t>
      </w:r>
      <w:proofErr w:type="gramStart"/>
      <w:r>
        <w:rPr>
          <w:rFonts w:ascii="仿宋_GB2312" w:eastAsia="仿宋_GB2312" w:hAnsi="宋体" w:hint="eastAsia"/>
          <w:sz w:val="30"/>
          <w:szCs w:val="30"/>
        </w:rPr>
        <w:t>践行</w:t>
      </w:r>
      <w:proofErr w:type="gramEnd"/>
      <w:r>
        <w:rPr>
          <w:rFonts w:ascii="仿宋_GB2312" w:eastAsia="仿宋_GB2312" w:hAnsi="宋体" w:hint="eastAsia"/>
          <w:sz w:val="30"/>
          <w:szCs w:val="30"/>
        </w:rPr>
        <w:t>“人民城市”重要理念，按照上海“十四五”规划纲要明确的“中心辐射、两翼齐飞、新城发力、南北转型”市</w:t>
      </w:r>
      <w:proofErr w:type="gramStart"/>
      <w:r>
        <w:rPr>
          <w:rFonts w:ascii="仿宋_GB2312" w:eastAsia="仿宋_GB2312" w:hAnsi="宋体" w:hint="eastAsia"/>
          <w:sz w:val="30"/>
          <w:szCs w:val="30"/>
        </w:rPr>
        <w:t>域空间</w:t>
      </w:r>
      <w:proofErr w:type="gramEnd"/>
      <w:r>
        <w:rPr>
          <w:rFonts w:ascii="仿宋_GB2312" w:eastAsia="仿宋_GB2312" w:hAnsi="宋体" w:hint="eastAsia"/>
          <w:sz w:val="30"/>
          <w:szCs w:val="30"/>
        </w:rPr>
        <w:t>新格局，为进一步把规划蓝图细化为施工图、转化为实景画，依托市级重大基础设施项目对周边地区的综合带动效应，高效有序推进五个新城城乡融合的郊野地区、新城发展的重点地区以及区域转型发展的功能集聚区等三种空间类型的生态空间高质量规划建设，提升上海城市空间环境品质和人文内涵，开展本次“生态空间景观规划设计</w:t>
      </w:r>
      <w:r>
        <w:rPr>
          <w:rFonts w:ascii="仿宋_GB2312" w:eastAsia="仿宋_GB2312" w:hAnsi="宋体" w:hint="eastAsia"/>
          <w:sz w:val="30"/>
          <w:szCs w:val="30"/>
        </w:rPr>
        <w:t>”项目。</w:t>
      </w:r>
    </w:p>
    <w:p w14:paraId="7A69FAE5" w14:textId="77777777" w:rsidR="001E2A68" w:rsidRDefault="0025145E">
      <w:pPr>
        <w:adjustRightInd w:val="0"/>
        <w:snapToGrid w:val="0"/>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本次项目的规划设计范围包括：黄浦江中上游（松江段）沿线生态空间、吴淞江</w:t>
      </w:r>
      <w:r>
        <w:rPr>
          <w:rFonts w:ascii="仿宋_GB2312" w:eastAsia="仿宋_GB2312" w:hAnsi="宋体" w:hint="eastAsia"/>
          <w:sz w:val="30"/>
          <w:szCs w:val="30"/>
        </w:rPr>
        <w:t>-</w:t>
      </w:r>
      <w:r>
        <w:rPr>
          <w:rFonts w:ascii="仿宋_GB2312" w:hAnsi="宋体" w:hint="eastAsia"/>
          <w:sz w:val="30"/>
          <w:szCs w:val="30"/>
        </w:rPr>
        <w:t>蕰</w:t>
      </w:r>
      <w:r>
        <w:rPr>
          <w:rFonts w:ascii="仿宋_GB2312" w:eastAsia="仿宋_GB2312" w:hAnsi="宋体" w:hint="eastAsia"/>
          <w:sz w:val="30"/>
          <w:szCs w:val="30"/>
        </w:rPr>
        <w:t>藻</w:t>
      </w:r>
      <w:proofErr w:type="gramStart"/>
      <w:r>
        <w:rPr>
          <w:rFonts w:ascii="仿宋_GB2312" w:eastAsia="仿宋_GB2312" w:hAnsi="宋体" w:hint="eastAsia"/>
          <w:sz w:val="30"/>
          <w:szCs w:val="30"/>
        </w:rPr>
        <w:t>浜</w:t>
      </w:r>
      <w:proofErr w:type="gramEnd"/>
      <w:r>
        <w:rPr>
          <w:rFonts w:ascii="仿宋_GB2312" w:eastAsia="仿宋_GB2312" w:hAnsi="宋体" w:hint="eastAsia"/>
          <w:sz w:val="30"/>
          <w:szCs w:val="30"/>
        </w:rPr>
        <w:t>航道工程和沿线地区滨水生态空间、三水交汇湾区蓝绿空间、新城</w:t>
      </w:r>
      <w:proofErr w:type="gramStart"/>
      <w:r>
        <w:rPr>
          <w:rFonts w:ascii="仿宋_GB2312" w:eastAsia="仿宋_GB2312" w:hAnsi="宋体" w:hint="eastAsia"/>
          <w:sz w:val="30"/>
          <w:szCs w:val="30"/>
        </w:rPr>
        <w:t>绿环林水</w:t>
      </w:r>
      <w:proofErr w:type="gramEnd"/>
      <w:r>
        <w:rPr>
          <w:rFonts w:ascii="仿宋_GB2312" w:eastAsia="仿宋_GB2312" w:hAnsi="宋体" w:hint="eastAsia"/>
          <w:sz w:val="30"/>
          <w:szCs w:val="30"/>
        </w:rPr>
        <w:t>湿复合生态空间以及虹桥国际中央商务区及周边生态地区等。</w:t>
      </w:r>
    </w:p>
    <w:p w14:paraId="4ECB1322" w14:textId="77777777" w:rsidR="001E2A68" w:rsidRDefault="001E2A68">
      <w:pPr>
        <w:adjustRightInd w:val="0"/>
        <w:snapToGrid w:val="0"/>
        <w:spacing w:line="520" w:lineRule="exact"/>
        <w:ind w:firstLineChars="200" w:firstLine="600"/>
        <w:rPr>
          <w:rFonts w:ascii="仿宋_GB2312" w:eastAsia="仿宋_GB2312" w:hAnsi="宋体"/>
          <w:sz w:val="30"/>
          <w:szCs w:val="30"/>
        </w:rPr>
      </w:pPr>
    </w:p>
    <w:p w14:paraId="5FA9E793" w14:textId="77777777" w:rsidR="001E2A68" w:rsidRDefault="0025145E">
      <w:pPr>
        <w:adjustRightInd w:val="0"/>
        <w:snapToGrid w:val="0"/>
        <w:spacing w:line="520" w:lineRule="exact"/>
        <w:rPr>
          <w:rFonts w:ascii="黑体" w:eastAsia="黑体" w:hAnsi="黑体"/>
          <w:b/>
          <w:bCs/>
          <w:sz w:val="30"/>
          <w:szCs w:val="30"/>
        </w:rPr>
      </w:pPr>
      <w:r>
        <w:rPr>
          <w:rFonts w:ascii="黑体" w:eastAsia="黑体" w:hAnsi="黑体" w:hint="eastAsia"/>
          <w:b/>
          <w:bCs/>
          <w:sz w:val="30"/>
          <w:szCs w:val="30"/>
        </w:rPr>
        <w:t>工作内容</w:t>
      </w:r>
    </w:p>
    <w:p w14:paraId="1425E5A5" w14:textId="77777777" w:rsidR="001E2A68" w:rsidRDefault="0025145E">
      <w:pPr>
        <w:adjustRightInd w:val="0"/>
        <w:snapToGrid w:val="0"/>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本次项目是落实“全力抓好重大工程和实事项目建设，着力扩大有效投资、保障国家重大战略任务、保障民生福祉改善，努力实现更大作为”相关要求的重要环节工作，紧紧围绕黄浦江中上游（松江段）防洪提标工程、吴淞江</w:t>
      </w:r>
      <w:r>
        <w:rPr>
          <w:rFonts w:ascii="仿宋_GB2312" w:eastAsia="仿宋_GB2312" w:hAnsi="宋体" w:hint="eastAsia"/>
          <w:sz w:val="30"/>
          <w:szCs w:val="30"/>
        </w:rPr>
        <w:t>-</w:t>
      </w:r>
      <w:r>
        <w:rPr>
          <w:rFonts w:ascii="仿宋_GB2312" w:hAnsi="宋体" w:hint="eastAsia"/>
          <w:sz w:val="30"/>
          <w:szCs w:val="30"/>
        </w:rPr>
        <w:t>蕰</w:t>
      </w:r>
      <w:r>
        <w:rPr>
          <w:rFonts w:ascii="仿宋_GB2312" w:eastAsia="仿宋_GB2312" w:hAnsi="宋体" w:hint="eastAsia"/>
          <w:sz w:val="30"/>
          <w:szCs w:val="30"/>
        </w:rPr>
        <w:t>藻</w:t>
      </w:r>
      <w:proofErr w:type="gramStart"/>
      <w:r>
        <w:rPr>
          <w:rFonts w:ascii="仿宋_GB2312" w:eastAsia="仿宋_GB2312" w:hAnsi="宋体" w:hint="eastAsia"/>
          <w:sz w:val="30"/>
          <w:szCs w:val="30"/>
        </w:rPr>
        <w:t>浜</w:t>
      </w:r>
      <w:proofErr w:type="gramEnd"/>
      <w:r>
        <w:rPr>
          <w:rFonts w:ascii="仿宋_GB2312" w:eastAsia="仿宋_GB2312" w:hAnsi="宋体" w:hint="eastAsia"/>
          <w:sz w:val="30"/>
          <w:szCs w:val="30"/>
        </w:rPr>
        <w:t>航道工程、三水交汇湾区、新城绿</w:t>
      </w:r>
      <w:proofErr w:type="gramStart"/>
      <w:r>
        <w:rPr>
          <w:rFonts w:ascii="仿宋_GB2312" w:eastAsia="仿宋_GB2312" w:hAnsi="宋体" w:hint="eastAsia"/>
          <w:sz w:val="30"/>
          <w:szCs w:val="30"/>
        </w:rPr>
        <w:t>环建设</w:t>
      </w:r>
      <w:proofErr w:type="gramEnd"/>
      <w:r>
        <w:rPr>
          <w:rFonts w:ascii="仿宋_GB2312" w:eastAsia="仿宋_GB2312" w:hAnsi="宋体" w:hint="eastAsia"/>
          <w:sz w:val="30"/>
          <w:szCs w:val="30"/>
        </w:rPr>
        <w:t>以及虹桥国际中央商务区建设等开展生态空间景观规划</w:t>
      </w:r>
      <w:r>
        <w:rPr>
          <w:rFonts w:ascii="仿宋_GB2312" w:eastAsia="仿宋_GB2312" w:hAnsi="宋体" w:hint="eastAsia"/>
          <w:sz w:val="30"/>
          <w:szCs w:val="30"/>
        </w:rPr>
        <w:t>设计工作，坚持规划引领，强化战略谋划，发挥重</w:t>
      </w:r>
      <w:r>
        <w:rPr>
          <w:rFonts w:ascii="仿宋_GB2312" w:eastAsia="仿宋_GB2312" w:hAnsi="宋体" w:hint="eastAsia"/>
          <w:sz w:val="30"/>
          <w:szCs w:val="30"/>
        </w:rPr>
        <w:lastRenderedPageBreak/>
        <w:t>大工程辐射带动效应，持续提升城市空间品质。本次工作主要包括以下内容：</w:t>
      </w:r>
    </w:p>
    <w:p w14:paraId="0CE7AC5B" w14:textId="77777777" w:rsidR="001E2A68" w:rsidRDefault="0025145E">
      <w:pPr>
        <w:adjustRightInd w:val="0"/>
        <w:snapToGrid w:val="0"/>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hint="eastAsia"/>
          <w:sz w:val="30"/>
          <w:szCs w:val="30"/>
        </w:rPr>
        <w:t>、开展黄浦江中上游（松江）生态空间规划设计深化研究。聚焦堤防工程</w:t>
      </w:r>
      <w:r>
        <w:rPr>
          <w:rFonts w:ascii="仿宋_GB2312" w:eastAsia="仿宋_GB2312" w:hAnsi="宋体" w:hint="eastAsia"/>
          <w:sz w:val="30"/>
          <w:szCs w:val="30"/>
        </w:rPr>
        <w:t>15</w:t>
      </w:r>
      <w:r>
        <w:rPr>
          <w:rFonts w:ascii="仿宋_GB2312" w:eastAsia="仿宋_GB2312" w:hAnsi="宋体" w:hint="eastAsia"/>
          <w:sz w:val="30"/>
          <w:szCs w:val="30"/>
        </w:rPr>
        <w:t>米实施</w:t>
      </w:r>
      <w:proofErr w:type="gramStart"/>
      <w:r>
        <w:rPr>
          <w:rFonts w:ascii="仿宋_GB2312" w:eastAsia="仿宋_GB2312" w:hAnsi="宋体" w:hint="eastAsia"/>
          <w:sz w:val="30"/>
          <w:szCs w:val="30"/>
        </w:rPr>
        <w:t>范围及陆域外</w:t>
      </w:r>
      <w:proofErr w:type="gramEnd"/>
      <w:r>
        <w:rPr>
          <w:rFonts w:ascii="仿宋_GB2312" w:eastAsia="仿宋_GB2312" w:hAnsi="宋体" w:hint="eastAsia"/>
          <w:sz w:val="30"/>
          <w:szCs w:val="30"/>
        </w:rPr>
        <w:t>侧延伸范围，通过现场排摸调研，梳理明确每个街镇可实施范围，形成“</w:t>
      </w:r>
      <w:r>
        <w:rPr>
          <w:rFonts w:ascii="仿宋_GB2312" w:eastAsia="仿宋_GB2312" w:hAnsi="宋体" w:hint="eastAsia"/>
          <w:sz w:val="30"/>
          <w:szCs w:val="30"/>
        </w:rPr>
        <w:t>15+X</w:t>
      </w:r>
      <w:r>
        <w:rPr>
          <w:rFonts w:ascii="仿宋_GB2312" w:eastAsia="仿宋_GB2312" w:hAnsi="宋体" w:hint="eastAsia"/>
          <w:sz w:val="30"/>
          <w:szCs w:val="30"/>
        </w:rPr>
        <w:t>”的具体边界；在满足国土空间用途管制实施细则和尊重现状基地条件的前提下，统筹考虑岸线防洪安全和滨水空间的功能复合利用，开展深化设计研究，打造“三生融合”的多层水岸活力空间。</w:t>
      </w:r>
    </w:p>
    <w:p w14:paraId="2ECBE87D" w14:textId="77777777" w:rsidR="001E2A68" w:rsidRDefault="0025145E">
      <w:pPr>
        <w:adjustRightInd w:val="0"/>
        <w:snapToGrid w:val="0"/>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2</w:t>
      </w:r>
      <w:r>
        <w:rPr>
          <w:rFonts w:ascii="仿宋_GB2312" w:eastAsia="仿宋_GB2312" w:hAnsi="宋体" w:hint="eastAsia"/>
          <w:sz w:val="30"/>
          <w:szCs w:val="30"/>
        </w:rPr>
        <w:t>、开展吴淞江</w:t>
      </w:r>
      <w:r>
        <w:rPr>
          <w:rFonts w:ascii="仿宋_GB2312" w:eastAsia="仿宋_GB2312" w:hAnsi="宋体" w:hint="eastAsia"/>
          <w:sz w:val="30"/>
          <w:szCs w:val="30"/>
        </w:rPr>
        <w:t>-</w:t>
      </w:r>
      <w:r>
        <w:rPr>
          <w:rFonts w:ascii="仿宋_GB2312" w:hAnsi="宋体" w:hint="eastAsia"/>
          <w:sz w:val="30"/>
          <w:szCs w:val="30"/>
        </w:rPr>
        <w:t>蕰</w:t>
      </w:r>
      <w:r>
        <w:rPr>
          <w:rFonts w:ascii="仿宋_GB2312" w:eastAsia="仿宋_GB2312" w:hAnsi="宋体" w:hint="eastAsia"/>
          <w:sz w:val="30"/>
          <w:szCs w:val="30"/>
        </w:rPr>
        <w:t>藻</w:t>
      </w:r>
      <w:proofErr w:type="gramStart"/>
      <w:r>
        <w:rPr>
          <w:rFonts w:ascii="仿宋_GB2312" w:eastAsia="仿宋_GB2312" w:hAnsi="宋体" w:hint="eastAsia"/>
          <w:sz w:val="30"/>
          <w:szCs w:val="30"/>
        </w:rPr>
        <w:t>浜</w:t>
      </w:r>
      <w:proofErr w:type="gramEnd"/>
      <w:r>
        <w:rPr>
          <w:rFonts w:ascii="仿宋_GB2312" w:eastAsia="仿宋_GB2312" w:hAnsi="宋体" w:hint="eastAsia"/>
          <w:sz w:val="30"/>
          <w:szCs w:val="30"/>
        </w:rPr>
        <w:t>航道工程和沿线地区滨水绿色生态空间规划设计</w:t>
      </w:r>
      <w:r>
        <w:rPr>
          <w:rFonts w:ascii="仿宋_GB2312" w:eastAsia="仿宋_GB2312" w:hAnsi="宋体" w:hint="eastAsia"/>
          <w:sz w:val="30"/>
          <w:szCs w:val="30"/>
        </w:rPr>
        <w:t>研究。聚焦</w:t>
      </w:r>
      <w:r>
        <w:rPr>
          <w:rFonts w:ascii="仿宋_GB2312" w:hAnsi="宋体" w:hint="eastAsia"/>
          <w:sz w:val="30"/>
          <w:szCs w:val="30"/>
        </w:rPr>
        <w:t>蕰</w:t>
      </w:r>
      <w:r>
        <w:rPr>
          <w:rFonts w:ascii="仿宋_GB2312" w:eastAsia="仿宋_GB2312" w:hAnsi="宋体" w:hint="eastAsia"/>
          <w:sz w:val="30"/>
          <w:szCs w:val="30"/>
        </w:rPr>
        <w:t>藻</w:t>
      </w:r>
      <w:proofErr w:type="gramStart"/>
      <w:r>
        <w:rPr>
          <w:rFonts w:ascii="仿宋_GB2312" w:eastAsia="仿宋_GB2312" w:hAnsi="宋体" w:hint="eastAsia"/>
          <w:sz w:val="30"/>
          <w:szCs w:val="30"/>
        </w:rPr>
        <w:t>浜</w:t>
      </w:r>
      <w:proofErr w:type="gramEnd"/>
      <w:r>
        <w:rPr>
          <w:rFonts w:ascii="仿宋_GB2312" w:eastAsia="仿宋_GB2312" w:hAnsi="宋体" w:hint="eastAsia"/>
          <w:sz w:val="30"/>
          <w:szCs w:val="30"/>
        </w:rPr>
        <w:t>(</w:t>
      </w:r>
      <w:proofErr w:type="gramStart"/>
      <w:r>
        <w:rPr>
          <w:rFonts w:ascii="仿宋_GB2312" w:eastAsia="仿宋_GB2312" w:hAnsi="宋体" w:hint="eastAsia"/>
          <w:sz w:val="30"/>
          <w:szCs w:val="30"/>
        </w:rPr>
        <w:t>油墩港</w:t>
      </w:r>
      <w:proofErr w:type="gramEnd"/>
      <w:r>
        <w:rPr>
          <w:rFonts w:ascii="仿宋_GB2312" w:eastAsia="仿宋_GB2312" w:hAnsi="宋体" w:hint="eastAsia"/>
          <w:sz w:val="30"/>
          <w:szCs w:val="30"/>
        </w:rPr>
        <w:t>--</w:t>
      </w:r>
      <w:r>
        <w:rPr>
          <w:rFonts w:ascii="仿宋_GB2312" w:hAnsi="宋体" w:hint="eastAsia"/>
          <w:sz w:val="30"/>
          <w:szCs w:val="30"/>
        </w:rPr>
        <w:t>蕰</w:t>
      </w:r>
      <w:r>
        <w:rPr>
          <w:rFonts w:ascii="仿宋_GB2312" w:eastAsia="仿宋_GB2312" w:hAnsi="宋体" w:hint="eastAsia"/>
          <w:sz w:val="30"/>
          <w:szCs w:val="30"/>
        </w:rPr>
        <w:t>东枢纽</w:t>
      </w:r>
      <w:r>
        <w:rPr>
          <w:rFonts w:ascii="仿宋_GB2312" w:eastAsia="仿宋_GB2312" w:hAnsi="宋体" w:hint="eastAsia"/>
          <w:sz w:val="30"/>
          <w:szCs w:val="30"/>
        </w:rPr>
        <w:t>)</w:t>
      </w:r>
      <w:r>
        <w:rPr>
          <w:rFonts w:ascii="仿宋_GB2312" w:eastAsia="仿宋_GB2312" w:hAnsi="宋体" w:hint="eastAsia"/>
          <w:sz w:val="30"/>
          <w:szCs w:val="30"/>
        </w:rPr>
        <w:t>段，全长约</w:t>
      </w:r>
      <w:r>
        <w:rPr>
          <w:rFonts w:ascii="仿宋_GB2312" w:eastAsia="仿宋_GB2312" w:hAnsi="宋体" w:hint="eastAsia"/>
          <w:sz w:val="30"/>
          <w:szCs w:val="30"/>
        </w:rPr>
        <w:t>25.23</w:t>
      </w:r>
      <w:r>
        <w:rPr>
          <w:rFonts w:ascii="仿宋_GB2312" w:eastAsia="仿宋_GB2312" w:hAnsi="宋体" w:hint="eastAsia"/>
          <w:sz w:val="30"/>
          <w:szCs w:val="30"/>
        </w:rPr>
        <w:t>公里，两岸腹地各</w:t>
      </w:r>
      <w:r>
        <w:rPr>
          <w:rFonts w:ascii="仿宋_GB2312" w:eastAsia="仿宋_GB2312" w:hAnsi="宋体" w:hint="eastAsia"/>
          <w:sz w:val="30"/>
          <w:szCs w:val="30"/>
        </w:rPr>
        <w:t>50</w:t>
      </w:r>
      <w:r>
        <w:rPr>
          <w:rFonts w:ascii="仿宋_GB2312" w:eastAsia="仿宋_GB2312" w:hAnsi="宋体" w:hint="eastAsia"/>
          <w:sz w:val="30"/>
          <w:szCs w:val="30"/>
        </w:rPr>
        <w:t>米范围，总面积约</w:t>
      </w:r>
      <w:r>
        <w:rPr>
          <w:rFonts w:ascii="仿宋_GB2312" w:eastAsia="仿宋_GB2312" w:hAnsi="宋体" w:hint="eastAsia"/>
          <w:sz w:val="30"/>
          <w:szCs w:val="30"/>
        </w:rPr>
        <w:t>6.9</w:t>
      </w:r>
      <w:r>
        <w:rPr>
          <w:rFonts w:ascii="仿宋_GB2312" w:eastAsia="仿宋_GB2312" w:hAnsi="宋体" w:hint="eastAsia"/>
          <w:sz w:val="30"/>
          <w:szCs w:val="30"/>
        </w:rPr>
        <w:t>平方公里，进行沿线地区滨水生态空间规划设计，统筹航道工程与滨水空间的关系，增强水陆生态互动；突出生态绿色、开放共享，并聚焦河道、堤防、码头、桥梁、生态等要素，塑造可亲水、可漫步、可游憩的生态绿色堤岸，加强与周边生态景观资源互联互通，为市民提供更多样、更丰富、更生态的活动体验，为下一步工程实施提供规划引导。</w:t>
      </w:r>
    </w:p>
    <w:p w14:paraId="5FA2DD8C" w14:textId="77777777" w:rsidR="001E2A68" w:rsidRDefault="0025145E">
      <w:pPr>
        <w:adjustRightInd w:val="0"/>
        <w:snapToGrid w:val="0"/>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3</w:t>
      </w:r>
      <w:r>
        <w:rPr>
          <w:rFonts w:ascii="仿宋_GB2312" w:eastAsia="仿宋_GB2312" w:hAnsi="宋体" w:hint="eastAsia"/>
          <w:sz w:val="30"/>
          <w:szCs w:val="30"/>
        </w:rPr>
        <w:t>、开展三水交汇地区蓝绿空间规划设计研究。聚焦沿十字水系河道两侧各</w:t>
      </w:r>
      <w:r>
        <w:rPr>
          <w:rFonts w:ascii="仿宋_GB2312" w:eastAsia="仿宋_GB2312" w:hAnsi="宋体" w:hint="eastAsia"/>
          <w:sz w:val="30"/>
          <w:szCs w:val="30"/>
        </w:rPr>
        <w:t>500</w:t>
      </w:r>
      <w:r>
        <w:rPr>
          <w:rFonts w:ascii="仿宋_GB2312" w:eastAsia="仿宋_GB2312" w:hAnsi="宋体" w:hint="eastAsia"/>
          <w:sz w:val="30"/>
          <w:szCs w:val="30"/>
        </w:rPr>
        <w:t>米滨水空间，</w:t>
      </w:r>
      <w:proofErr w:type="gramStart"/>
      <w:r>
        <w:rPr>
          <w:rFonts w:ascii="仿宋_GB2312" w:eastAsia="仿宋_GB2312" w:hAnsi="宋体" w:hint="eastAsia"/>
          <w:sz w:val="30"/>
          <w:szCs w:val="30"/>
        </w:rPr>
        <w:t>东至浦星公路</w:t>
      </w:r>
      <w:proofErr w:type="gramEnd"/>
      <w:r>
        <w:rPr>
          <w:rFonts w:ascii="仿宋_GB2312" w:eastAsia="仿宋_GB2312" w:hAnsi="宋体" w:hint="eastAsia"/>
          <w:sz w:val="30"/>
          <w:szCs w:val="30"/>
        </w:rPr>
        <w:t>，南至金</w:t>
      </w:r>
      <w:r>
        <w:rPr>
          <w:rFonts w:ascii="仿宋_GB2312" w:eastAsia="仿宋_GB2312" w:hAnsi="宋体" w:hint="eastAsia"/>
          <w:sz w:val="30"/>
          <w:szCs w:val="30"/>
        </w:rPr>
        <w:t>庄公路</w:t>
      </w:r>
      <w:r>
        <w:rPr>
          <w:rFonts w:ascii="仿宋_GB2312" w:eastAsia="仿宋_GB2312" w:hAnsi="宋体" w:hint="eastAsia"/>
          <w:sz w:val="30"/>
          <w:szCs w:val="30"/>
        </w:rPr>
        <w:t>-</w:t>
      </w:r>
      <w:r>
        <w:rPr>
          <w:rFonts w:ascii="仿宋_GB2312" w:eastAsia="仿宋_GB2312" w:hAnsi="宋体" w:hint="eastAsia"/>
          <w:sz w:val="30"/>
          <w:szCs w:val="30"/>
        </w:rPr>
        <w:t>金</w:t>
      </w:r>
      <w:proofErr w:type="gramStart"/>
      <w:r>
        <w:rPr>
          <w:rFonts w:ascii="仿宋_GB2312" w:eastAsia="仿宋_GB2312" w:hAnsi="宋体" w:hint="eastAsia"/>
          <w:sz w:val="30"/>
          <w:szCs w:val="30"/>
        </w:rPr>
        <w:t>汇工业</w:t>
      </w:r>
      <w:proofErr w:type="gramEnd"/>
      <w:r>
        <w:rPr>
          <w:rFonts w:ascii="仿宋_GB2312" w:eastAsia="仿宋_GB2312" w:hAnsi="宋体" w:hint="eastAsia"/>
          <w:sz w:val="30"/>
          <w:szCs w:val="30"/>
        </w:rPr>
        <w:t>路，西至莲花南路</w:t>
      </w:r>
      <w:r>
        <w:rPr>
          <w:rFonts w:ascii="仿宋_GB2312" w:eastAsia="仿宋_GB2312" w:hAnsi="宋体" w:hint="eastAsia"/>
          <w:sz w:val="30"/>
          <w:szCs w:val="30"/>
        </w:rPr>
        <w:t>-</w:t>
      </w:r>
      <w:r>
        <w:rPr>
          <w:rFonts w:ascii="仿宋_GB2312" w:eastAsia="仿宋_GB2312" w:hAnsi="宋体" w:hint="eastAsia"/>
          <w:sz w:val="30"/>
          <w:szCs w:val="30"/>
        </w:rPr>
        <w:t>白庙港，北至东川路</w:t>
      </w:r>
      <w:r>
        <w:rPr>
          <w:rFonts w:ascii="仿宋_GB2312" w:eastAsia="仿宋_GB2312" w:hAnsi="宋体" w:hint="eastAsia"/>
          <w:sz w:val="30"/>
          <w:szCs w:val="30"/>
        </w:rPr>
        <w:t>-</w:t>
      </w:r>
      <w:r>
        <w:rPr>
          <w:rFonts w:ascii="仿宋_GB2312" w:eastAsia="仿宋_GB2312" w:hAnsi="宋体" w:hint="eastAsia"/>
          <w:sz w:val="30"/>
          <w:szCs w:val="30"/>
        </w:rPr>
        <w:t>盐铁路，总面积约</w:t>
      </w:r>
      <w:r>
        <w:rPr>
          <w:rFonts w:ascii="仿宋_GB2312" w:eastAsia="仿宋_GB2312" w:hAnsi="宋体" w:hint="eastAsia"/>
          <w:sz w:val="30"/>
          <w:szCs w:val="30"/>
        </w:rPr>
        <w:t>10</w:t>
      </w:r>
      <w:r>
        <w:rPr>
          <w:rFonts w:ascii="仿宋_GB2312" w:eastAsia="仿宋_GB2312" w:hAnsi="宋体" w:hint="eastAsia"/>
          <w:sz w:val="30"/>
          <w:szCs w:val="30"/>
        </w:rPr>
        <w:t>平方公里，开展蓝绿空间规划设计深化工作。建立公共开放空间体系，明确对外交通、慢行网络、公共服务设施布局和景观风貌设计，强化滨水空间的功能，以此作为支撑沿线地区详细规划编制的成果参考。同时，对河道蓝线外</w:t>
      </w:r>
      <w:r>
        <w:rPr>
          <w:rFonts w:ascii="仿宋_GB2312" w:eastAsia="仿宋_GB2312" w:hAnsi="宋体" w:hint="eastAsia"/>
          <w:sz w:val="30"/>
          <w:szCs w:val="30"/>
        </w:rPr>
        <w:t>50</w:t>
      </w:r>
      <w:r>
        <w:rPr>
          <w:rFonts w:ascii="仿宋_GB2312" w:eastAsia="仿宋_GB2312" w:hAnsi="宋体" w:hint="eastAsia"/>
          <w:sz w:val="30"/>
          <w:szCs w:val="30"/>
        </w:rPr>
        <w:t>米范围，结合防汛工程进行方案设计，作为堤防工程建设指引。</w:t>
      </w:r>
    </w:p>
    <w:p w14:paraId="061A3169" w14:textId="77777777" w:rsidR="001E2A68" w:rsidRDefault="0025145E" w:rsidP="0025145E">
      <w:pPr>
        <w:widowControl/>
        <w:ind w:firstLineChars="200" w:firstLine="600"/>
        <w:rPr>
          <w:rFonts w:ascii="仿宋_GB2312" w:eastAsia="仿宋_GB2312" w:hAnsi="宋体"/>
          <w:sz w:val="30"/>
          <w:szCs w:val="30"/>
        </w:rPr>
      </w:pPr>
      <w:bookmarkStart w:id="0" w:name="_GoBack"/>
      <w:bookmarkEnd w:id="0"/>
      <w:r>
        <w:rPr>
          <w:rFonts w:ascii="仿宋_GB2312" w:eastAsia="仿宋_GB2312" w:hAnsi="宋体" w:hint="eastAsia"/>
          <w:sz w:val="30"/>
          <w:szCs w:val="30"/>
        </w:rPr>
        <w:lastRenderedPageBreak/>
        <w:t>4</w:t>
      </w:r>
      <w:r>
        <w:rPr>
          <w:rFonts w:ascii="仿宋_GB2312" w:eastAsia="仿宋_GB2312" w:hAnsi="宋体" w:hint="eastAsia"/>
          <w:sz w:val="30"/>
          <w:szCs w:val="30"/>
        </w:rPr>
        <w:t>、开展新城</w:t>
      </w:r>
      <w:proofErr w:type="gramStart"/>
      <w:r>
        <w:rPr>
          <w:rFonts w:ascii="仿宋_GB2312" w:eastAsia="仿宋_GB2312" w:hAnsi="宋体" w:hint="eastAsia"/>
          <w:sz w:val="30"/>
          <w:szCs w:val="30"/>
        </w:rPr>
        <w:t>绿环林水</w:t>
      </w:r>
      <w:proofErr w:type="gramEnd"/>
      <w:r>
        <w:rPr>
          <w:rFonts w:ascii="仿宋_GB2312" w:eastAsia="仿宋_GB2312" w:hAnsi="宋体" w:hint="eastAsia"/>
          <w:sz w:val="30"/>
          <w:szCs w:val="30"/>
        </w:rPr>
        <w:t>湿复合生态空间规划指引和特色化营建研究。以松江绿环为例，开展本底调研和现状评估，科学梳理农、林、水等各要素，结合国内外先进案例做法，提出农林湿复合生态空间建</w:t>
      </w:r>
      <w:r>
        <w:rPr>
          <w:rFonts w:ascii="仿宋_GB2312" w:eastAsia="仿宋_GB2312" w:hAnsi="宋体" w:hint="eastAsia"/>
          <w:sz w:val="30"/>
          <w:szCs w:val="30"/>
        </w:rPr>
        <w:t>设的规划思路，构建以区域性水系为脉络，地域性森林植物群落为特色的营造模式，恢复乡村生态空间的自更新、自循环能力。结合近期建设的重点区域进行试点实践，总结提炼研究成果。</w:t>
      </w:r>
    </w:p>
    <w:p w14:paraId="35E62BB0" w14:textId="77777777" w:rsidR="001E2A68" w:rsidRDefault="0025145E">
      <w:pPr>
        <w:adjustRightInd w:val="0"/>
        <w:snapToGrid w:val="0"/>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5</w:t>
      </w:r>
      <w:r>
        <w:rPr>
          <w:rFonts w:ascii="仿宋_GB2312" w:eastAsia="仿宋_GB2312" w:hAnsi="宋体" w:hint="eastAsia"/>
          <w:sz w:val="30"/>
          <w:szCs w:val="30"/>
        </w:rPr>
        <w:t>、虹桥国际中央商务区及周边地区生态环境景观深化研究。规划研究范围为北至京沪铁路、南至泗</w:t>
      </w:r>
      <w:proofErr w:type="gramStart"/>
      <w:r>
        <w:rPr>
          <w:rFonts w:ascii="仿宋_GB2312" w:eastAsia="仿宋_GB2312" w:hAnsi="宋体" w:hint="eastAsia"/>
          <w:sz w:val="30"/>
          <w:szCs w:val="30"/>
        </w:rPr>
        <w:t>陈公路</w:t>
      </w:r>
      <w:r>
        <w:rPr>
          <w:rFonts w:ascii="仿宋_GB2312" w:eastAsia="仿宋_GB2312" w:hAnsi="宋体" w:hint="eastAsia"/>
          <w:sz w:val="30"/>
          <w:szCs w:val="30"/>
        </w:rPr>
        <w:t>-</w:t>
      </w:r>
      <w:r>
        <w:rPr>
          <w:rFonts w:ascii="仿宋_GB2312" w:eastAsia="仿宋_GB2312" w:hAnsi="宋体" w:hint="eastAsia"/>
          <w:sz w:val="30"/>
          <w:szCs w:val="30"/>
        </w:rPr>
        <w:t>沪松公路</w:t>
      </w:r>
      <w:r>
        <w:rPr>
          <w:rFonts w:ascii="仿宋_GB2312" w:eastAsia="仿宋_GB2312" w:hAnsi="宋体" w:hint="eastAsia"/>
          <w:sz w:val="30"/>
          <w:szCs w:val="30"/>
        </w:rPr>
        <w:t>-</w:t>
      </w:r>
      <w:r>
        <w:rPr>
          <w:rFonts w:ascii="仿宋_GB2312" w:eastAsia="仿宋_GB2312" w:hAnsi="宋体" w:hint="eastAsia"/>
          <w:sz w:val="30"/>
          <w:szCs w:val="30"/>
        </w:rPr>
        <w:t>漕</w:t>
      </w:r>
      <w:proofErr w:type="gramEnd"/>
      <w:r>
        <w:rPr>
          <w:rFonts w:ascii="仿宋_GB2312" w:eastAsia="仿宋_GB2312" w:hAnsi="宋体" w:hint="eastAsia"/>
          <w:sz w:val="30"/>
          <w:szCs w:val="30"/>
        </w:rPr>
        <w:t>宝路、西</w:t>
      </w:r>
      <w:proofErr w:type="gramStart"/>
      <w:r>
        <w:rPr>
          <w:rFonts w:ascii="仿宋_GB2312" w:eastAsia="仿宋_GB2312" w:hAnsi="宋体" w:hint="eastAsia"/>
          <w:sz w:val="30"/>
          <w:szCs w:val="30"/>
        </w:rPr>
        <w:t>至嘉松公路</w:t>
      </w:r>
      <w:proofErr w:type="gramEnd"/>
      <w:r>
        <w:rPr>
          <w:rFonts w:ascii="仿宋_GB2312" w:eastAsia="仿宋_GB2312" w:hAnsi="宋体" w:hint="eastAsia"/>
          <w:sz w:val="30"/>
          <w:szCs w:val="30"/>
        </w:rPr>
        <w:t>、东至中环路，总面积约</w:t>
      </w:r>
      <w:r>
        <w:rPr>
          <w:rFonts w:ascii="仿宋_GB2312" w:eastAsia="仿宋_GB2312" w:hAnsi="宋体" w:hint="eastAsia"/>
          <w:sz w:val="30"/>
          <w:szCs w:val="30"/>
        </w:rPr>
        <w:t>260</w:t>
      </w:r>
      <w:r>
        <w:rPr>
          <w:rFonts w:ascii="仿宋_GB2312" w:eastAsia="仿宋_GB2312" w:hAnsi="宋体" w:hint="eastAsia"/>
          <w:sz w:val="30"/>
          <w:szCs w:val="30"/>
        </w:rPr>
        <w:t>平方公里。聚焦“通江达海、环城拥湖”的区域生态结构，系统谋划虹桥商务区及周边地区生态空间格局，构建蓝网、绿网、慢行网络系统等，优化郊野功能布局，重点突出吴淞江生态廊道的生态空间特色，提升地区</w:t>
      </w:r>
      <w:r>
        <w:rPr>
          <w:rFonts w:ascii="仿宋_GB2312" w:eastAsia="仿宋_GB2312" w:hAnsi="宋体" w:hint="eastAsia"/>
          <w:sz w:val="30"/>
          <w:szCs w:val="30"/>
        </w:rPr>
        <w:t>整体资源价值与空间品质。</w:t>
      </w:r>
    </w:p>
    <w:p w14:paraId="5A26CEA9" w14:textId="77777777" w:rsidR="001E2A68" w:rsidRDefault="001E2A68">
      <w:pPr>
        <w:adjustRightInd w:val="0"/>
        <w:snapToGrid w:val="0"/>
        <w:spacing w:line="520" w:lineRule="exact"/>
        <w:ind w:firstLineChars="200" w:firstLine="600"/>
        <w:rPr>
          <w:rFonts w:ascii="仿宋_GB2312" w:eastAsia="仿宋_GB2312" w:hAnsi="宋体"/>
          <w:sz w:val="30"/>
          <w:szCs w:val="30"/>
        </w:rPr>
      </w:pPr>
    </w:p>
    <w:p w14:paraId="1DD30D6D" w14:textId="77777777" w:rsidR="001E2A68" w:rsidRDefault="0025145E">
      <w:pPr>
        <w:adjustRightInd w:val="0"/>
        <w:snapToGrid w:val="0"/>
        <w:spacing w:line="520" w:lineRule="exact"/>
        <w:rPr>
          <w:rFonts w:ascii="黑体" w:eastAsia="黑体" w:hAnsi="黑体"/>
          <w:b/>
          <w:bCs/>
          <w:sz w:val="30"/>
          <w:szCs w:val="30"/>
        </w:rPr>
      </w:pPr>
      <w:r>
        <w:rPr>
          <w:rFonts w:ascii="黑体" w:eastAsia="黑体" w:hAnsi="黑体" w:hint="eastAsia"/>
          <w:b/>
          <w:bCs/>
          <w:sz w:val="30"/>
          <w:szCs w:val="30"/>
        </w:rPr>
        <w:t>成果要求</w:t>
      </w:r>
    </w:p>
    <w:p w14:paraId="44B6D4E1" w14:textId="77777777" w:rsidR="001E2A68" w:rsidRDefault="0025145E">
      <w:pPr>
        <w:adjustRightInd w:val="0"/>
        <w:snapToGrid w:val="0"/>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形成《黄浦江中上游生态空间规划设计深化研究报告》、《吴淞江</w:t>
      </w:r>
      <w:r>
        <w:rPr>
          <w:rFonts w:ascii="仿宋_GB2312" w:eastAsia="仿宋_GB2312" w:hAnsi="宋体" w:hint="eastAsia"/>
          <w:sz w:val="30"/>
          <w:szCs w:val="30"/>
        </w:rPr>
        <w:t>-</w:t>
      </w:r>
      <w:r>
        <w:rPr>
          <w:rFonts w:ascii="仿宋_GB2312" w:hAnsi="宋体" w:hint="eastAsia"/>
          <w:sz w:val="30"/>
          <w:szCs w:val="30"/>
        </w:rPr>
        <w:t>蕰</w:t>
      </w:r>
      <w:r>
        <w:rPr>
          <w:rFonts w:ascii="仿宋_GB2312" w:eastAsia="仿宋_GB2312" w:hAnsi="宋体" w:hint="eastAsia"/>
          <w:sz w:val="30"/>
          <w:szCs w:val="30"/>
        </w:rPr>
        <w:t>藻浜航道工程和沿线地区滨水绿色生态空间规划设计》、《三水交汇地区蓝绿空间规划设计》、《新城绿环林水湿复合生态空间规划指引和特色化营建研究》、《虹桥国际中央商务区及周边地区生态环境景观深化专题报告》等研究和设计成果。</w:t>
      </w:r>
    </w:p>
    <w:p w14:paraId="3511A41D" w14:textId="71943912" w:rsidR="001E2A68" w:rsidRDefault="0025145E" w:rsidP="0025145E">
      <w:pPr>
        <w:adjustRightInd w:val="0"/>
        <w:snapToGrid w:val="0"/>
        <w:spacing w:line="52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成果形式包括打印的纸质文本和电子文件，电子文件应包括</w:t>
      </w:r>
      <w:r>
        <w:rPr>
          <w:rFonts w:ascii="仿宋_GB2312" w:eastAsia="仿宋_GB2312" w:hAnsi="宋体" w:hint="eastAsia"/>
          <w:sz w:val="30"/>
          <w:szCs w:val="30"/>
        </w:rPr>
        <w:t>PDF</w:t>
      </w:r>
      <w:r>
        <w:rPr>
          <w:rFonts w:ascii="仿宋_GB2312" w:eastAsia="仿宋_GB2312" w:hAnsi="宋体" w:hint="eastAsia"/>
          <w:sz w:val="30"/>
          <w:szCs w:val="30"/>
        </w:rPr>
        <w:t>文件和</w:t>
      </w:r>
      <w:proofErr w:type="gramStart"/>
      <w:r>
        <w:rPr>
          <w:rFonts w:ascii="仿宋_GB2312" w:eastAsia="仿宋_GB2312" w:hAnsi="宋体" w:hint="eastAsia"/>
          <w:sz w:val="30"/>
          <w:szCs w:val="30"/>
        </w:rPr>
        <w:t>可</w:t>
      </w:r>
      <w:proofErr w:type="gramEnd"/>
      <w:r>
        <w:rPr>
          <w:rFonts w:ascii="仿宋_GB2312" w:eastAsia="仿宋_GB2312" w:hAnsi="宋体" w:hint="eastAsia"/>
          <w:sz w:val="30"/>
          <w:szCs w:val="30"/>
        </w:rPr>
        <w:t>编辑</w:t>
      </w:r>
      <w:r>
        <w:rPr>
          <w:rFonts w:ascii="仿宋_GB2312" w:eastAsia="仿宋_GB2312" w:hAnsi="宋体" w:hint="eastAsia"/>
          <w:sz w:val="30"/>
          <w:szCs w:val="30"/>
        </w:rPr>
        <w:t>格式文件等。</w:t>
      </w:r>
    </w:p>
    <w:p w14:paraId="00D1C75A" w14:textId="77777777" w:rsidR="001E2A68" w:rsidRDefault="001E2A68">
      <w:pPr>
        <w:adjustRightInd w:val="0"/>
        <w:snapToGrid w:val="0"/>
        <w:spacing w:line="520" w:lineRule="exact"/>
        <w:ind w:firstLineChars="200" w:firstLine="600"/>
        <w:rPr>
          <w:rFonts w:ascii="仿宋_GB2312" w:eastAsia="仿宋_GB2312" w:hAnsi="宋体"/>
          <w:sz w:val="30"/>
          <w:szCs w:val="30"/>
        </w:rPr>
      </w:pPr>
    </w:p>
    <w:p w14:paraId="0AD980DF" w14:textId="77777777" w:rsidR="001E2A68" w:rsidRDefault="0025145E">
      <w:pPr>
        <w:adjustRightInd w:val="0"/>
        <w:snapToGrid w:val="0"/>
        <w:spacing w:line="520" w:lineRule="exact"/>
        <w:outlineLvl w:val="0"/>
        <w:rPr>
          <w:rFonts w:ascii="黑体" w:eastAsia="黑体" w:hAnsi="黑体"/>
          <w:b/>
          <w:bCs/>
          <w:sz w:val="30"/>
          <w:szCs w:val="30"/>
        </w:rPr>
      </w:pPr>
      <w:r>
        <w:rPr>
          <w:rFonts w:ascii="黑体" w:eastAsia="黑体" w:hAnsi="黑体" w:hint="eastAsia"/>
          <w:b/>
          <w:bCs/>
          <w:sz w:val="30"/>
          <w:szCs w:val="30"/>
        </w:rPr>
        <w:t>服务期限</w:t>
      </w:r>
    </w:p>
    <w:p w14:paraId="064C0F0F" w14:textId="31E6CE8B" w:rsidR="001E2A68" w:rsidRDefault="0025145E">
      <w:pPr>
        <w:adjustRightInd w:val="0"/>
        <w:snapToGrid w:val="0"/>
        <w:spacing w:line="520" w:lineRule="exact"/>
        <w:ind w:firstLineChars="200" w:firstLine="600"/>
        <w:outlineLvl w:val="0"/>
        <w:rPr>
          <w:rFonts w:ascii="仿宋_GB2312" w:eastAsia="仿宋_GB2312" w:hAnsi="宋体"/>
          <w:b/>
          <w:bCs/>
          <w:sz w:val="30"/>
          <w:szCs w:val="30"/>
        </w:rPr>
      </w:pPr>
      <w:r>
        <w:rPr>
          <w:rFonts w:ascii="仿宋_GB2312" w:eastAsia="仿宋_GB2312" w:hAnsi="宋体" w:hint="eastAsia"/>
          <w:sz w:val="30"/>
          <w:szCs w:val="30"/>
        </w:rPr>
        <w:lastRenderedPageBreak/>
        <w:t>自合同签订之日起至</w:t>
      </w:r>
      <w:r>
        <w:rPr>
          <w:rFonts w:ascii="仿宋_GB2312" w:eastAsia="仿宋_GB2312" w:hAnsi="宋体" w:hint="eastAsia"/>
          <w:sz w:val="30"/>
          <w:szCs w:val="30"/>
        </w:rPr>
        <w:t>2</w:t>
      </w:r>
      <w:r>
        <w:rPr>
          <w:rFonts w:ascii="仿宋_GB2312" w:eastAsia="仿宋_GB2312" w:hAnsi="宋体"/>
          <w:sz w:val="30"/>
          <w:szCs w:val="30"/>
        </w:rPr>
        <w:t>024</w:t>
      </w:r>
      <w:r>
        <w:rPr>
          <w:rFonts w:ascii="仿宋_GB2312" w:eastAsia="仿宋_GB2312" w:hAnsi="宋体" w:hint="eastAsia"/>
          <w:sz w:val="30"/>
          <w:szCs w:val="30"/>
        </w:rPr>
        <w:t>年</w:t>
      </w:r>
      <w:r>
        <w:rPr>
          <w:rFonts w:ascii="仿宋_GB2312" w:eastAsia="仿宋_GB2312" w:hAnsi="宋体" w:hint="eastAsia"/>
          <w:sz w:val="30"/>
          <w:szCs w:val="30"/>
        </w:rPr>
        <w:t>1</w:t>
      </w:r>
      <w:r>
        <w:rPr>
          <w:rFonts w:ascii="仿宋_GB2312" w:eastAsia="仿宋_GB2312" w:hAnsi="宋体" w:hint="eastAsia"/>
          <w:sz w:val="30"/>
          <w:szCs w:val="30"/>
        </w:rPr>
        <w:t>0</w:t>
      </w:r>
      <w:r>
        <w:rPr>
          <w:rFonts w:ascii="仿宋_GB2312" w:eastAsia="仿宋_GB2312" w:hAnsi="宋体" w:hint="eastAsia"/>
          <w:sz w:val="30"/>
          <w:szCs w:val="30"/>
        </w:rPr>
        <w:t>月</w:t>
      </w:r>
      <w:r>
        <w:rPr>
          <w:rFonts w:ascii="仿宋_GB2312" w:eastAsia="仿宋_GB2312" w:hAnsi="宋体" w:hint="eastAsia"/>
          <w:sz w:val="30"/>
          <w:szCs w:val="30"/>
        </w:rPr>
        <w:t>3</w:t>
      </w:r>
      <w:r>
        <w:rPr>
          <w:rFonts w:ascii="仿宋_GB2312" w:eastAsia="仿宋_GB2312" w:hAnsi="宋体"/>
          <w:sz w:val="30"/>
          <w:szCs w:val="30"/>
        </w:rPr>
        <w:t>1</w:t>
      </w:r>
      <w:r>
        <w:rPr>
          <w:rFonts w:ascii="仿宋_GB2312" w:eastAsia="仿宋_GB2312" w:hAnsi="宋体" w:hint="eastAsia"/>
          <w:sz w:val="30"/>
          <w:szCs w:val="30"/>
        </w:rPr>
        <w:t>日前完成规划工作。</w:t>
      </w:r>
    </w:p>
    <w:p w14:paraId="2EEA6FD1" w14:textId="77777777" w:rsidR="001E2A68" w:rsidRDefault="001E2A68">
      <w:pPr>
        <w:adjustRightInd w:val="0"/>
        <w:snapToGrid w:val="0"/>
        <w:spacing w:line="520" w:lineRule="exact"/>
        <w:rPr>
          <w:rFonts w:ascii="仿宋_GB2312" w:eastAsia="仿宋_GB2312" w:hAnsi="宋体"/>
          <w:b/>
          <w:bCs/>
          <w:sz w:val="30"/>
          <w:szCs w:val="30"/>
        </w:rPr>
      </w:pPr>
    </w:p>
    <w:p w14:paraId="72D075B2" w14:textId="77777777" w:rsidR="001E2A68" w:rsidRDefault="0025145E">
      <w:pPr>
        <w:adjustRightInd w:val="0"/>
        <w:snapToGrid w:val="0"/>
        <w:spacing w:line="520" w:lineRule="exact"/>
        <w:rPr>
          <w:rFonts w:ascii="黑体" w:eastAsia="黑体" w:hAnsi="黑体"/>
          <w:b/>
          <w:bCs/>
          <w:sz w:val="30"/>
          <w:szCs w:val="30"/>
        </w:rPr>
      </w:pPr>
      <w:r>
        <w:rPr>
          <w:rFonts w:ascii="黑体" w:eastAsia="黑体" w:hAnsi="黑体" w:hint="eastAsia"/>
          <w:b/>
          <w:bCs/>
          <w:sz w:val="30"/>
          <w:szCs w:val="30"/>
        </w:rPr>
        <w:t>工作进度安排</w:t>
      </w:r>
    </w:p>
    <w:p w14:paraId="42402686" w14:textId="77777777" w:rsidR="001E2A68" w:rsidRDefault="0025145E">
      <w:pPr>
        <w:adjustRightInd w:val="0"/>
        <w:snapToGrid w:val="0"/>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第一阶段：前期研究阶段</w:t>
      </w:r>
    </w:p>
    <w:p w14:paraId="3212BC12" w14:textId="7E8E7067" w:rsidR="001E2A68" w:rsidRDefault="0025145E">
      <w:pPr>
        <w:adjustRightInd w:val="0"/>
        <w:snapToGrid w:val="0"/>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5</w:t>
      </w:r>
      <w:r>
        <w:rPr>
          <w:rFonts w:ascii="仿宋_GB2312" w:eastAsia="仿宋_GB2312" w:hAnsi="宋体" w:hint="eastAsia"/>
          <w:sz w:val="30"/>
          <w:szCs w:val="30"/>
        </w:rPr>
        <w:t>-6</w:t>
      </w:r>
      <w:r>
        <w:rPr>
          <w:rFonts w:ascii="仿宋_GB2312" w:eastAsia="仿宋_GB2312" w:hAnsi="宋体" w:hint="eastAsia"/>
          <w:sz w:val="30"/>
          <w:szCs w:val="30"/>
        </w:rPr>
        <w:t>月，开展前期研究，研究现状问题和国内外案例，确定本次工作的技术路线。召集相关委办局收集指标数据和相关资料，赴委办局和各区开展座谈调研，对数据资料进行整理和统计分析。</w:t>
      </w:r>
    </w:p>
    <w:p w14:paraId="13C5CCC4" w14:textId="77777777" w:rsidR="001E2A68" w:rsidRDefault="0025145E">
      <w:pPr>
        <w:adjustRightInd w:val="0"/>
        <w:snapToGrid w:val="0"/>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第二阶段：成果编制阶段</w:t>
      </w:r>
    </w:p>
    <w:p w14:paraId="264D46F5" w14:textId="2C8D2AC2" w:rsidR="001E2A68" w:rsidRDefault="0025145E">
      <w:pPr>
        <w:adjustRightInd w:val="0"/>
        <w:snapToGrid w:val="0"/>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7</w:t>
      </w:r>
      <w:r>
        <w:rPr>
          <w:rFonts w:ascii="仿宋_GB2312" w:eastAsia="仿宋_GB2312" w:hAnsi="宋体" w:hint="eastAsia"/>
          <w:sz w:val="30"/>
          <w:szCs w:val="30"/>
        </w:rPr>
        <w:t>-8</w:t>
      </w:r>
      <w:r>
        <w:rPr>
          <w:rFonts w:ascii="仿宋_GB2312" w:eastAsia="仿宋_GB2312" w:hAnsi="宋体" w:hint="eastAsia"/>
          <w:sz w:val="30"/>
          <w:szCs w:val="30"/>
        </w:rPr>
        <w:t>月，开展规划研究和编制，形成</w:t>
      </w:r>
      <w:r>
        <w:rPr>
          <w:rFonts w:ascii="仿宋_GB2312" w:eastAsia="仿宋_GB2312" w:hAnsi="宋体" w:hint="eastAsia"/>
          <w:sz w:val="30"/>
          <w:szCs w:val="30"/>
        </w:rPr>
        <w:t>中期</w:t>
      </w:r>
      <w:r>
        <w:rPr>
          <w:rFonts w:ascii="仿宋_GB2312" w:eastAsia="仿宋_GB2312" w:hAnsi="宋体" w:hint="eastAsia"/>
          <w:sz w:val="30"/>
          <w:szCs w:val="30"/>
        </w:rPr>
        <w:t>成果。</w:t>
      </w:r>
    </w:p>
    <w:p w14:paraId="7DA7F0FA" w14:textId="77777777" w:rsidR="001E2A68" w:rsidRDefault="0025145E">
      <w:pPr>
        <w:adjustRightInd w:val="0"/>
        <w:snapToGrid w:val="0"/>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第三阶段：成果验收阶段</w:t>
      </w:r>
    </w:p>
    <w:p w14:paraId="2ED4AE11" w14:textId="3EAE1B82" w:rsidR="001E2A68" w:rsidRDefault="0025145E">
      <w:pPr>
        <w:adjustRightInd w:val="0"/>
        <w:snapToGrid w:val="0"/>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9-</w:t>
      </w:r>
      <w:r>
        <w:rPr>
          <w:rFonts w:ascii="仿宋_GB2312" w:eastAsia="仿宋_GB2312" w:hAnsi="宋体" w:hint="eastAsia"/>
          <w:sz w:val="30"/>
          <w:szCs w:val="30"/>
        </w:rPr>
        <w:t>1</w:t>
      </w:r>
      <w:r>
        <w:rPr>
          <w:rFonts w:ascii="仿宋_GB2312" w:eastAsia="仿宋_GB2312" w:hAnsi="宋体" w:hint="eastAsia"/>
          <w:sz w:val="30"/>
          <w:szCs w:val="30"/>
        </w:rPr>
        <w:t>0</w:t>
      </w:r>
      <w:r>
        <w:rPr>
          <w:rFonts w:ascii="仿宋_GB2312" w:eastAsia="仿宋_GB2312" w:hAnsi="宋体" w:hint="eastAsia"/>
          <w:sz w:val="30"/>
          <w:szCs w:val="30"/>
        </w:rPr>
        <w:t>月，形成最终成果，完成成果验收。</w:t>
      </w:r>
    </w:p>
    <w:p w14:paraId="302696C5" w14:textId="77777777" w:rsidR="001E2A68" w:rsidRDefault="001E2A68">
      <w:pPr>
        <w:adjustRightInd w:val="0"/>
        <w:snapToGrid w:val="0"/>
        <w:spacing w:line="520" w:lineRule="exact"/>
        <w:rPr>
          <w:rFonts w:ascii="仿宋_GB2312" w:eastAsia="仿宋_GB2312" w:hAnsi="宋体"/>
          <w:b/>
          <w:bCs/>
          <w:sz w:val="30"/>
          <w:szCs w:val="30"/>
        </w:rPr>
      </w:pPr>
    </w:p>
    <w:p w14:paraId="5372E02D" w14:textId="77777777" w:rsidR="001E2A68" w:rsidRDefault="0025145E">
      <w:pPr>
        <w:adjustRightInd w:val="0"/>
        <w:snapToGrid w:val="0"/>
        <w:spacing w:line="520" w:lineRule="exact"/>
        <w:rPr>
          <w:rFonts w:ascii="黑体" w:eastAsia="黑体" w:hAnsi="黑体"/>
          <w:b/>
          <w:bCs/>
          <w:sz w:val="30"/>
          <w:szCs w:val="30"/>
        </w:rPr>
      </w:pPr>
      <w:r>
        <w:rPr>
          <w:rFonts w:ascii="黑体" w:eastAsia="黑体" w:hAnsi="黑体" w:hint="eastAsia"/>
          <w:b/>
          <w:bCs/>
          <w:sz w:val="30"/>
          <w:szCs w:val="30"/>
        </w:rPr>
        <w:t>资质要求</w:t>
      </w:r>
    </w:p>
    <w:p w14:paraId="790F0BAA" w14:textId="292DE4EB" w:rsidR="001E2A68" w:rsidRDefault="0025145E">
      <w:pPr>
        <w:adjustRightInd w:val="0"/>
        <w:snapToGrid w:val="0"/>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获得</w:t>
      </w:r>
      <w:r>
        <w:rPr>
          <w:rFonts w:ascii="仿宋_GB2312" w:eastAsia="仿宋_GB2312" w:hAnsi="宋体" w:hint="eastAsia"/>
          <w:sz w:val="30"/>
          <w:szCs w:val="30"/>
        </w:rPr>
        <w:t>国家行政主管部门颁发的《</w:t>
      </w:r>
      <w:bookmarkStart w:id="1" w:name="_Hlk162619636"/>
      <w:r>
        <w:rPr>
          <w:rFonts w:ascii="仿宋_GB2312" w:eastAsia="仿宋_GB2312" w:hAnsi="宋体" w:hint="eastAsia"/>
          <w:sz w:val="30"/>
          <w:szCs w:val="30"/>
        </w:rPr>
        <w:t>城乡规划编制资质证书</w:t>
      </w:r>
      <w:bookmarkEnd w:id="1"/>
      <w:r>
        <w:rPr>
          <w:rFonts w:ascii="仿宋_GB2312" w:eastAsia="仿宋_GB2312" w:hAnsi="宋体" w:hint="eastAsia"/>
          <w:sz w:val="30"/>
          <w:szCs w:val="30"/>
        </w:rPr>
        <w:t>》乙级及以上资质</w:t>
      </w:r>
      <w:r>
        <w:rPr>
          <w:rFonts w:ascii="仿宋_GB2312" w:eastAsia="仿宋_GB2312" w:hAnsi="宋体" w:hint="eastAsia"/>
          <w:sz w:val="30"/>
          <w:szCs w:val="30"/>
        </w:rPr>
        <w:t>及</w:t>
      </w:r>
      <w:r>
        <w:rPr>
          <w:rFonts w:ascii="仿宋_GB2312" w:eastAsia="仿宋_GB2312" w:hAnsi="宋体" w:hint="eastAsia"/>
          <w:sz w:val="30"/>
          <w:szCs w:val="30"/>
        </w:rPr>
        <w:t>住房和城乡建设部门颁发的《风景园林工程设计专项》乙级及以上</w:t>
      </w:r>
      <w:r>
        <w:rPr>
          <w:rFonts w:ascii="仿宋_GB2312" w:eastAsia="仿宋_GB2312" w:hAnsi="宋体" w:hint="eastAsia"/>
          <w:sz w:val="30"/>
          <w:szCs w:val="30"/>
        </w:rPr>
        <w:t>资质。</w:t>
      </w:r>
    </w:p>
    <w:p w14:paraId="0B24664A" w14:textId="77777777" w:rsidR="001E2A68" w:rsidRDefault="001E2A68">
      <w:pPr>
        <w:adjustRightInd w:val="0"/>
        <w:snapToGrid w:val="0"/>
        <w:spacing w:line="520" w:lineRule="exact"/>
        <w:rPr>
          <w:rFonts w:ascii="仿宋_GB2312" w:eastAsia="仿宋_GB2312" w:hAnsi="宋体"/>
          <w:b/>
          <w:bCs/>
          <w:sz w:val="30"/>
          <w:szCs w:val="30"/>
        </w:rPr>
      </w:pPr>
    </w:p>
    <w:p w14:paraId="0E74C900" w14:textId="77777777" w:rsidR="001E2A68" w:rsidRDefault="0025145E">
      <w:pPr>
        <w:adjustRightInd w:val="0"/>
        <w:snapToGrid w:val="0"/>
        <w:spacing w:line="520" w:lineRule="exact"/>
        <w:rPr>
          <w:rFonts w:ascii="黑体" w:eastAsia="黑体" w:hAnsi="黑体"/>
          <w:b/>
          <w:bCs/>
          <w:sz w:val="30"/>
          <w:szCs w:val="30"/>
        </w:rPr>
      </w:pPr>
      <w:r>
        <w:rPr>
          <w:rFonts w:ascii="黑体" w:eastAsia="黑体" w:hAnsi="黑体" w:hint="eastAsia"/>
          <w:b/>
          <w:bCs/>
          <w:sz w:val="30"/>
          <w:szCs w:val="30"/>
        </w:rPr>
        <w:t>项目组人员要求</w:t>
      </w:r>
    </w:p>
    <w:p w14:paraId="314FCD9B" w14:textId="77777777" w:rsidR="001E2A68" w:rsidRDefault="0025145E">
      <w:pPr>
        <w:adjustRightInd w:val="0"/>
        <w:snapToGrid w:val="0"/>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hint="eastAsia"/>
          <w:sz w:val="30"/>
          <w:szCs w:val="30"/>
        </w:rPr>
        <w:t>、项目组人员数量和专业组成结构等方面应满足本项目服务需求，在服务期限内，项目组人员应保持相对稳定，以保证服务工作的正常进行。</w:t>
      </w:r>
    </w:p>
    <w:p w14:paraId="5D8F8D85" w14:textId="77777777" w:rsidR="001E2A68" w:rsidRDefault="0025145E">
      <w:pPr>
        <w:adjustRightInd w:val="0"/>
        <w:snapToGrid w:val="0"/>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2</w:t>
      </w:r>
      <w:r>
        <w:rPr>
          <w:rFonts w:ascii="仿宋_GB2312" w:eastAsia="仿宋_GB2312" w:hAnsi="宋体" w:hint="eastAsia"/>
          <w:sz w:val="30"/>
          <w:szCs w:val="30"/>
        </w:rPr>
        <w:t>、项目负责人需从事相关技术工作</w:t>
      </w:r>
      <w:r>
        <w:rPr>
          <w:rFonts w:ascii="仿宋_GB2312" w:eastAsia="仿宋_GB2312" w:hAnsi="宋体" w:hint="eastAsia"/>
          <w:sz w:val="30"/>
          <w:szCs w:val="30"/>
        </w:rPr>
        <w:t>5</w:t>
      </w:r>
      <w:r>
        <w:rPr>
          <w:rFonts w:ascii="仿宋_GB2312" w:eastAsia="仿宋_GB2312" w:hAnsi="宋体" w:hint="eastAsia"/>
          <w:sz w:val="30"/>
          <w:szCs w:val="30"/>
        </w:rPr>
        <w:t>年以上，具有高级工程师职称。</w:t>
      </w:r>
    </w:p>
    <w:p w14:paraId="67351BD4" w14:textId="77777777" w:rsidR="001E2A68" w:rsidRDefault="001E2A68">
      <w:pPr>
        <w:adjustRightInd w:val="0"/>
        <w:snapToGrid w:val="0"/>
        <w:spacing w:line="520" w:lineRule="exact"/>
        <w:ind w:firstLineChars="200" w:firstLine="600"/>
        <w:rPr>
          <w:rFonts w:ascii="仿宋_GB2312" w:eastAsia="仿宋_GB2312" w:hAnsi="宋体"/>
          <w:sz w:val="30"/>
          <w:szCs w:val="30"/>
        </w:rPr>
      </w:pPr>
    </w:p>
    <w:p w14:paraId="7B797F29" w14:textId="77777777" w:rsidR="001E2A68" w:rsidRDefault="0025145E">
      <w:pPr>
        <w:adjustRightInd w:val="0"/>
        <w:snapToGrid w:val="0"/>
        <w:spacing w:line="520" w:lineRule="exact"/>
        <w:rPr>
          <w:rFonts w:ascii="黑体" w:eastAsia="黑体" w:hAnsi="黑体"/>
          <w:b/>
          <w:bCs/>
          <w:sz w:val="30"/>
          <w:szCs w:val="30"/>
        </w:rPr>
      </w:pPr>
      <w:r>
        <w:rPr>
          <w:rFonts w:ascii="黑体" w:eastAsia="黑体" w:hAnsi="黑体" w:hint="eastAsia"/>
          <w:b/>
          <w:bCs/>
          <w:sz w:val="30"/>
          <w:szCs w:val="30"/>
        </w:rPr>
        <w:t>其他要求</w:t>
      </w:r>
    </w:p>
    <w:p w14:paraId="7F103E5A" w14:textId="77777777" w:rsidR="001E2A68" w:rsidRDefault="0025145E">
      <w:pPr>
        <w:adjustRightInd w:val="0"/>
        <w:snapToGrid w:val="0"/>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投标人应按照委托方要求，负责项目进行过程中阶段性成果</w:t>
      </w:r>
      <w:r>
        <w:rPr>
          <w:rFonts w:ascii="仿宋_GB2312" w:eastAsia="仿宋_GB2312" w:hAnsi="宋体" w:hint="eastAsia"/>
          <w:sz w:val="30"/>
          <w:szCs w:val="30"/>
        </w:rPr>
        <w:lastRenderedPageBreak/>
        <w:t>及最终成果的打印，承担打印费用，并承担专家评审等费用支出。</w:t>
      </w:r>
    </w:p>
    <w:p w14:paraId="2D3509A5" w14:textId="77777777" w:rsidR="001E2A68" w:rsidRDefault="001E2A68">
      <w:pPr>
        <w:adjustRightInd w:val="0"/>
        <w:snapToGrid w:val="0"/>
        <w:spacing w:line="520" w:lineRule="exact"/>
        <w:ind w:firstLineChars="200" w:firstLine="600"/>
        <w:rPr>
          <w:rFonts w:ascii="仿宋_GB2312" w:eastAsia="仿宋_GB2312" w:hAnsi="宋体"/>
          <w:sz w:val="30"/>
          <w:szCs w:val="30"/>
        </w:rPr>
      </w:pPr>
    </w:p>
    <w:p w14:paraId="63F5BB7D" w14:textId="3F33F776" w:rsidR="001E2A68" w:rsidRDefault="001E2A68">
      <w:pPr>
        <w:adjustRightInd w:val="0"/>
        <w:snapToGrid w:val="0"/>
        <w:spacing w:line="520" w:lineRule="exact"/>
        <w:ind w:firstLineChars="200" w:firstLine="600"/>
        <w:rPr>
          <w:rFonts w:ascii="仿宋_GB2312" w:eastAsia="仿宋_GB2312" w:hAnsi="宋体"/>
          <w:sz w:val="30"/>
          <w:szCs w:val="30"/>
        </w:rPr>
      </w:pPr>
    </w:p>
    <w:sectPr w:rsidR="001E2A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11C7A" w14:textId="77777777" w:rsidR="0025145E" w:rsidRDefault="0025145E" w:rsidP="0025145E">
      <w:r>
        <w:separator/>
      </w:r>
    </w:p>
  </w:endnote>
  <w:endnote w:type="continuationSeparator" w:id="0">
    <w:p w14:paraId="2F38A6B7" w14:textId="77777777" w:rsidR="0025145E" w:rsidRDefault="0025145E" w:rsidP="0025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altName w:val="DFPScHeiW4-B5"/>
    <w:panose1 w:val="020B0604020202020204"/>
    <w:charset w:val="86"/>
    <w:family w:val="swiss"/>
    <w:pitch w:val="default"/>
    <w:sig w:usb0="FFFFFFFF" w:usb1="E9FFFFFF"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0F76F" w14:textId="77777777" w:rsidR="0025145E" w:rsidRDefault="0025145E" w:rsidP="0025145E">
      <w:r>
        <w:separator/>
      </w:r>
    </w:p>
  </w:footnote>
  <w:footnote w:type="continuationSeparator" w:id="0">
    <w:p w14:paraId="25C8675C" w14:textId="77777777" w:rsidR="0025145E" w:rsidRDefault="0025145E" w:rsidP="00251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B9E"/>
    <w:rsid w:val="00056A1F"/>
    <w:rsid w:val="00081B43"/>
    <w:rsid w:val="000B63C1"/>
    <w:rsid w:val="000E17F1"/>
    <w:rsid w:val="001752AA"/>
    <w:rsid w:val="001A1741"/>
    <w:rsid w:val="001A67A2"/>
    <w:rsid w:val="001E2A68"/>
    <w:rsid w:val="00234485"/>
    <w:rsid w:val="002472CB"/>
    <w:rsid w:val="0025145E"/>
    <w:rsid w:val="002902F7"/>
    <w:rsid w:val="002969F6"/>
    <w:rsid w:val="002D1A6D"/>
    <w:rsid w:val="00302DCD"/>
    <w:rsid w:val="0039799B"/>
    <w:rsid w:val="003A3613"/>
    <w:rsid w:val="00421E61"/>
    <w:rsid w:val="004A5286"/>
    <w:rsid w:val="00501147"/>
    <w:rsid w:val="00527631"/>
    <w:rsid w:val="0053591F"/>
    <w:rsid w:val="00581E4C"/>
    <w:rsid w:val="005D0301"/>
    <w:rsid w:val="00610C4E"/>
    <w:rsid w:val="006124C6"/>
    <w:rsid w:val="00617A09"/>
    <w:rsid w:val="00664F5E"/>
    <w:rsid w:val="00677498"/>
    <w:rsid w:val="006E046C"/>
    <w:rsid w:val="006E7E27"/>
    <w:rsid w:val="00722C75"/>
    <w:rsid w:val="0076204E"/>
    <w:rsid w:val="007C7428"/>
    <w:rsid w:val="008131BD"/>
    <w:rsid w:val="00816CC7"/>
    <w:rsid w:val="008278B5"/>
    <w:rsid w:val="00834E89"/>
    <w:rsid w:val="008628A1"/>
    <w:rsid w:val="008848A7"/>
    <w:rsid w:val="008B23CE"/>
    <w:rsid w:val="008D189E"/>
    <w:rsid w:val="008E565F"/>
    <w:rsid w:val="009160AD"/>
    <w:rsid w:val="00951528"/>
    <w:rsid w:val="0099087A"/>
    <w:rsid w:val="00A065A1"/>
    <w:rsid w:val="00A0670F"/>
    <w:rsid w:val="00A37D45"/>
    <w:rsid w:val="00A9170E"/>
    <w:rsid w:val="00B0051B"/>
    <w:rsid w:val="00B5184F"/>
    <w:rsid w:val="00B938D9"/>
    <w:rsid w:val="00C01B9E"/>
    <w:rsid w:val="00C23222"/>
    <w:rsid w:val="00C710A1"/>
    <w:rsid w:val="00C97B85"/>
    <w:rsid w:val="00CA7616"/>
    <w:rsid w:val="00CB567B"/>
    <w:rsid w:val="00CE21F4"/>
    <w:rsid w:val="00CE6F92"/>
    <w:rsid w:val="00CF1973"/>
    <w:rsid w:val="00D31603"/>
    <w:rsid w:val="00E672FF"/>
    <w:rsid w:val="00EA0732"/>
    <w:rsid w:val="00F3725C"/>
    <w:rsid w:val="00F87F0A"/>
    <w:rsid w:val="00FF51AA"/>
    <w:rsid w:val="3BF09FC9"/>
    <w:rsid w:val="5361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A4C8B"/>
  <w15:docId w15:val="{FA19AE12-4514-4361-A135-A1214D86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keepNext/>
      <w:keepLines/>
      <w:spacing w:before="120" w:line="360" w:lineRule="auto"/>
      <w:ind w:firstLine="693"/>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uiPriority w:val="99"/>
    <w:qFormat/>
    <w:rPr>
      <w:rFonts w:ascii="宋体" w:hAnsi="Courier New" w:cs="Times New Roman"/>
      <w:szCs w:val="21"/>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Strong"/>
    <w:basedOn w:val="a0"/>
    <w:uiPriority w:val="22"/>
    <w:qFormat/>
    <w:rPr>
      <w:b/>
      <w:bCs/>
    </w:rPr>
  </w:style>
  <w:style w:type="character" w:styleId="af0">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纯文本 字符"/>
    <w:basedOn w:val="a0"/>
    <w:link w:val="a5"/>
    <w:uiPriority w:val="99"/>
    <w:qFormat/>
    <w:rPr>
      <w:rFonts w:ascii="宋体" w:eastAsia="宋体" w:hAnsi="Courier New" w:cs="Times New Roman"/>
      <w:szCs w:val="21"/>
    </w:rPr>
  </w:style>
  <w:style w:type="character" w:customStyle="1" w:styleId="20">
    <w:name w:val="标题 2 字符"/>
    <w:basedOn w:val="a0"/>
    <w:link w:val="2"/>
    <w:qFormat/>
    <w:rPr>
      <w:rFonts w:ascii="Calibri Light" w:eastAsia="宋体" w:hAnsi="Calibri Light" w:cs="宋体"/>
      <w:b/>
      <w:bCs/>
      <w:sz w:val="32"/>
      <w:szCs w:val="32"/>
    </w:rPr>
  </w:style>
  <w:style w:type="paragraph" w:customStyle="1" w:styleId="-">
    <w:name w:val="样式-正文"/>
    <w:qFormat/>
    <w:pPr>
      <w:keepNext/>
      <w:widowControl w:val="0"/>
      <w:spacing w:line="560" w:lineRule="exact"/>
      <w:ind w:firstLine="200"/>
      <w:jc w:val="both"/>
    </w:pPr>
    <w:rPr>
      <w:rFonts w:ascii="Arial Unicode MS" w:eastAsia="Arial Unicode MS" w:hAnsi="Times New Roman" w:cs="Arial Unicode MS"/>
      <w:color w:val="000000"/>
      <w:sz w:val="30"/>
      <w:szCs w:val="30"/>
      <w:u w:color="000000"/>
    </w:rPr>
  </w:style>
  <w:style w:type="character" w:customStyle="1" w:styleId="a8">
    <w:name w:val="批注框文本 字符"/>
    <w:basedOn w:val="a0"/>
    <w:link w:val="a7"/>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329</Words>
  <Characters>1879</Characters>
  <Application>Microsoft Office Word</Application>
  <DocSecurity>4</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张姝雅</cp:lastModifiedBy>
  <cp:revision>2</cp:revision>
  <cp:lastPrinted>2024-03-13T10:32:00Z</cp:lastPrinted>
  <dcterms:created xsi:type="dcterms:W3CDTF">2024-04-16T00:55:00Z</dcterms:created>
  <dcterms:modified xsi:type="dcterms:W3CDTF">2024-04-16T00:55:00Z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a30934b689a54801ade6e4e189c90054_23</vt:lpwstr>
  </property>
  <property fmtid="{D5CDD505-2E9C-101B-9397-08002B2CF9AE}" pid="3" name="KSOProductBuildVer">
    <vt:lpwstr>2052-11.8.2.8411</vt:lpwstr>
  </property>
</Properties>
</file>