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ind w:left="425"/>
        <w:rPr>
          <w:rFonts w:hint="eastAsia"/>
        </w:rPr>
      </w:pPr>
      <w:bookmarkStart w:id="0" w:name="_Toc63785461"/>
      <w:r>
        <w:rPr>
          <w:rFonts w:hint="eastAsia"/>
        </w:rPr>
        <w:t>上海市产品碳足迹管理服务子系统建设项目采购需求</w:t>
      </w:r>
    </w:p>
    <w:bookmarkEnd w:id="0"/>
    <w:p>
      <w:pPr>
        <w:pStyle w:val="2"/>
        <w:widowControl w:val="0"/>
        <w:spacing w:line="360" w:lineRule="auto"/>
        <w:ind w:firstLine="0"/>
        <w:jc w:val="both"/>
        <w:rPr>
          <w:rFonts w:hint="eastAsia"/>
        </w:rPr>
      </w:pPr>
      <w:r>
        <w:rPr>
          <w:rFonts w:hint="eastAsia"/>
        </w:rPr>
        <w:t>项目概况</w:t>
      </w:r>
    </w:p>
    <w:p>
      <w:pPr>
        <w:widowControl w:val="0"/>
        <w:spacing w:line="360" w:lineRule="auto"/>
        <w:ind w:firstLine="480" w:firstLineChars="200"/>
        <w:jc w:val="both"/>
        <w:rPr>
          <w:rFonts w:hint="eastAsia"/>
          <w:bCs/>
        </w:rPr>
      </w:pPr>
      <w:r>
        <w:rPr>
          <w:bCs/>
        </w:rPr>
        <w:t>当前，我国正在加快建立产品碳足迹管理体系。2024年6月，生态环境部等15部门联合发布《关于建立碳足迹管理体系的实施方案》。该方案提出，到2027年初步建立碳足迹管理体系，制定发布与国际接轨的国家产品碳足迹核算通则标准，制定出台100个左右重点产品碳足迹核算规则标准，产品碳足迹因子数据库初步构建等目标。同时强调行业主管部门、有条件的地区、行业协会和企业等可根据需要依法合规收集整理数据资源，研究细分领域产品碳足迹因子数据。2025年4月，上海市发展和改革委员会印发《2025年碳达峰碳中和及节能减排重点工作安排》（沪发改环资〔2025〕61号），将“推动绿色低碳供应链建设，建立完善产品碳足迹背景数据库”列为年度重点任务，明确提出持续推进重点行业产品碳足迹背景数据库的建立完善，不断完善碳达峰碳中和综合管理体系。</w:t>
      </w:r>
    </w:p>
    <w:p>
      <w:pPr>
        <w:widowControl w:val="0"/>
        <w:spacing w:line="360" w:lineRule="auto"/>
        <w:ind w:firstLine="480" w:firstLineChars="200"/>
        <w:jc w:val="both"/>
        <w:rPr>
          <w:rFonts w:hint="eastAsia"/>
          <w:bCs/>
        </w:rPr>
      </w:pPr>
      <w:r>
        <w:rPr>
          <w:bCs/>
        </w:rPr>
        <w:t>本项目旨在围绕国家政策导向和本市实际需求，建设一个高效、智能、安全的产品碳足迹数据库服务系统。系统将支持碳足迹数据的标准化管理、智能化清洗和质量控制，具备多源数据融合能力和复杂供应链碳流的透明可溯、高精度动态核算能力</w:t>
      </w:r>
      <w:r>
        <w:rPr>
          <w:rFonts w:hint="eastAsia"/>
          <w:bCs/>
        </w:rPr>
        <w:t>。</w:t>
      </w:r>
      <w:r>
        <w:rPr>
          <w:bCs/>
        </w:rPr>
        <w:t>同时</w:t>
      </w:r>
      <w:r>
        <w:rPr>
          <w:rFonts w:hint="eastAsia"/>
          <w:bCs/>
        </w:rPr>
        <w:t>，系统将支持方法学和标准发布、资讯动态推送，支持</w:t>
      </w:r>
      <w:r>
        <w:rPr>
          <w:bCs/>
        </w:rPr>
        <w:t>高并发数据</w:t>
      </w:r>
      <w:r>
        <w:rPr>
          <w:rFonts w:hint="eastAsia"/>
          <w:bCs/>
        </w:rPr>
        <w:t>查询</w:t>
      </w:r>
      <w:r>
        <w:rPr>
          <w:bCs/>
        </w:rPr>
        <w:t>服务</w:t>
      </w:r>
      <w:r>
        <w:rPr>
          <w:rFonts w:hint="eastAsia"/>
          <w:bCs/>
        </w:rPr>
        <w:t>和</w:t>
      </w:r>
      <w:r>
        <w:rPr>
          <w:bCs/>
        </w:rPr>
        <w:t>多场景应用，为碳足迹数据库的建设提供全面支撑。</w:t>
      </w:r>
    </w:p>
    <w:p>
      <w:pPr>
        <w:widowControl w:val="0"/>
        <w:spacing w:line="360" w:lineRule="auto"/>
        <w:ind w:firstLine="480" w:firstLineChars="200"/>
        <w:jc w:val="both"/>
        <w:rPr>
          <w:rFonts w:hint="eastAsia"/>
          <w:bCs/>
        </w:rPr>
      </w:pPr>
      <w:r>
        <w:rPr>
          <w:bCs/>
        </w:rPr>
        <w:t>是否按信</w:t>
      </w:r>
      <w:r>
        <w:rPr>
          <w:rFonts w:hint="eastAsia"/>
          <w:bCs/>
          <w:lang w:val="en-US" w:eastAsia="zh-CN"/>
        </w:rPr>
        <w:t xml:space="preserve"> </w:t>
      </w:r>
      <w:r>
        <w:rPr>
          <w:bCs/>
        </w:rPr>
        <w:t>创要求建设：是</w:t>
      </w:r>
    </w:p>
    <w:p>
      <w:pPr>
        <w:pStyle w:val="2"/>
        <w:widowControl w:val="0"/>
        <w:spacing w:line="360" w:lineRule="auto"/>
        <w:ind w:firstLine="0"/>
        <w:jc w:val="both"/>
        <w:rPr>
          <w:rFonts w:hint="eastAsia"/>
        </w:rPr>
      </w:pPr>
      <w:bookmarkStart w:id="1" w:name="_Toc47533256"/>
      <w:bookmarkEnd w:id="1"/>
      <w:bookmarkStart w:id="2" w:name="_Toc47532255"/>
      <w:bookmarkEnd w:id="2"/>
      <w:bookmarkStart w:id="3" w:name="_Toc47532891"/>
      <w:bookmarkEnd w:id="3"/>
      <w:bookmarkStart w:id="4" w:name="_Toc47537134"/>
      <w:bookmarkEnd w:id="4"/>
      <w:bookmarkStart w:id="5" w:name="_Toc47531634"/>
      <w:bookmarkEnd w:id="5"/>
      <w:bookmarkStart w:id="6" w:name="_Toc47536644"/>
      <w:bookmarkEnd w:id="6"/>
      <w:bookmarkStart w:id="7" w:name="_Toc47539070"/>
      <w:bookmarkEnd w:id="7"/>
      <w:bookmarkStart w:id="8" w:name="_Toc47536272"/>
      <w:bookmarkEnd w:id="8"/>
      <w:bookmarkStart w:id="9" w:name="_Toc48223882"/>
      <w:bookmarkStart w:id="10" w:name="_Toc63785463"/>
      <w:r>
        <w:rPr>
          <w:rFonts w:hint="eastAsia"/>
        </w:rPr>
        <w:t>建设目标</w:t>
      </w:r>
      <w:bookmarkEnd w:id="9"/>
      <w:bookmarkEnd w:id="10"/>
      <w:bookmarkStart w:id="36" w:name="_GoBack"/>
      <w:bookmarkEnd w:id="36"/>
    </w:p>
    <w:p>
      <w:pPr>
        <w:widowControl w:val="0"/>
        <w:spacing w:line="360" w:lineRule="auto"/>
        <w:ind w:firstLine="480" w:firstLineChars="200"/>
        <w:jc w:val="both"/>
        <w:rPr>
          <w:rFonts w:hint="eastAsia"/>
          <w:bCs/>
        </w:rPr>
      </w:pPr>
      <w:r>
        <w:rPr>
          <w:rFonts w:hint="eastAsia"/>
          <w:bCs/>
        </w:rPr>
        <w:t>从产品碳足迹数据库系统架构层面，通过高效、智能、安全的一体化建设，实现产品碳足迹标准化数据管理、隐私保护与多场景应用支持，起到保障数据共享、提升存储与处理能力、推动数据库智能化建设的作用。</w:t>
      </w:r>
    </w:p>
    <w:p>
      <w:pPr>
        <w:widowControl w:val="0"/>
        <w:spacing w:line="360" w:lineRule="auto"/>
        <w:ind w:firstLine="480" w:firstLineChars="200"/>
        <w:jc w:val="both"/>
        <w:rPr>
          <w:rFonts w:hint="eastAsia"/>
          <w:bCs/>
        </w:rPr>
      </w:pPr>
      <w:r>
        <w:rPr>
          <w:bCs/>
        </w:rPr>
        <w:t>项目拟实现的应用指标、技术指标与绩效目标如下</w:t>
      </w:r>
      <w:r>
        <w:rPr>
          <w:rFonts w:hint="eastAsia"/>
          <w:bCs/>
        </w:rPr>
        <w:t>：在应用层面，项目将实现多部门、跨行业的碳足迹数据集开发和检索服务应用，支撑复杂供应链的碳足迹核算与对外共享。</w:t>
      </w:r>
    </w:p>
    <w:p>
      <w:pPr>
        <w:widowControl w:val="0"/>
        <w:spacing w:line="360" w:lineRule="auto"/>
        <w:ind w:firstLine="480" w:firstLineChars="200"/>
        <w:jc w:val="both"/>
        <w:rPr>
          <w:rFonts w:hint="eastAsia"/>
          <w:bCs/>
        </w:rPr>
      </w:pPr>
      <w:r>
        <w:rPr>
          <w:rFonts w:hint="eastAsia"/>
          <w:bCs/>
        </w:rPr>
        <w:t>在技术层面，系统需具备国际生命周期数据库体系兼容的过程数据集高效生产与管理能力，建立智能化的数据清洗与质量控制机制，确保多源数据的可追溯性和代表性；在计算引擎侧，构建支持复杂供应链碳流透明化、可追溯与动态矩阵计算的核心模块与算法组件；在服务架构侧，提供高并发访问能力并适配多类型应用场景的接口与服务治理体系。</w:t>
      </w:r>
    </w:p>
    <w:p>
      <w:pPr>
        <w:widowControl w:val="0"/>
        <w:spacing w:line="360" w:lineRule="auto"/>
        <w:ind w:firstLine="480" w:firstLineChars="200"/>
        <w:jc w:val="both"/>
        <w:rPr>
          <w:rFonts w:hint="eastAsia"/>
          <w:bCs/>
        </w:rPr>
      </w:pPr>
      <w:r>
        <w:rPr>
          <w:rFonts w:hint="eastAsia"/>
          <w:bCs/>
        </w:rPr>
        <w:t>在绩效层面，项目需实现数据集生产的智能化与高频更新，具备小时级的</w:t>
      </w:r>
      <w:r>
        <w:rPr>
          <w:bCs/>
        </w:rPr>
        <w:t>数据</w:t>
      </w:r>
      <w:r>
        <w:rPr>
          <w:rFonts w:hint="eastAsia"/>
          <w:bCs/>
        </w:rPr>
        <w:t>刷新能力；所产出数据质量应符合国际</w:t>
      </w:r>
      <w:r>
        <w:rPr>
          <w:bCs/>
        </w:rPr>
        <w:t>参考生命周期数据系统（ILCD）</w:t>
      </w:r>
      <w:r>
        <w:rPr>
          <w:rFonts w:hint="eastAsia"/>
          <w:bCs/>
        </w:rPr>
        <w:t>标准要求</w:t>
      </w:r>
      <w:r>
        <w:rPr>
          <w:bCs/>
        </w:rPr>
        <w:t>，并具备对接国际数据体系（如联合国环境署UNEP支持的全球性数据网络GLAD）的能力，以推动数据库的兼容性、可访问性与国际接轨</w:t>
      </w:r>
      <w:r>
        <w:rPr>
          <w:rFonts w:hint="eastAsia"/>
          <w:bCs/>
        </w:rPr>
        <w:t>；系统服务稳定性达到99.9%以上，并能够在中长期具备不少于5万条产品碳足迹数据集的承载与运维能力，从而有效支撑本市及长三角地区绿色低碳供应链建设，以及涉碳壁垒相关应用场景的数据使用与对外引用。</w:t>
      </w:r>
    </w:p>
    <w:p>
      <w:pPr>
        <w:pStyle w:val="2"/>
        <w:widowControl w:val="0"/>
        <w:spacing w:line="360" w:lineRule="auto"/>
        <w:ind w:firstLine="0"/>
        <w:jc w:val="both"/>
        <w:rPr>
          <w:rFonts w:hint="eastAsia"/>
        </w:rPr>
      </w:pPr>
      <w:bookmarkStart w:id="11" w:name="_Toc47532923"/>
      <w:bookmarkEnd w:id="11"/>
      <w:bookmarkStart w:id="12" w:name="_Toc47533288"/>
      <w:bookmarkEnd w:id="12"/>
      <w:bookmarkStart w:id="13" w:name="_Toc47539102"/>
      <w:bookmarkEnd w:id="13"/>
      <w:bookmarkStart w:id="14" w:name="_Toc47536304"/>
      <w:bookmarkEnd w:id="14"/>
      <w:bookmarkStart w:id="15" w:name="_Toc47536676"/>
      <w:bookmarkEnd w:id="15"/>
      <w:bookmarkStart w:id="16" w:name="_Toc47537166"/>
      <w:bookmarkEnd w:id="16"/>
      <w:r>
        <w:rPr>
          <w:rFonts w:hint="eastAsia"/>
        </w:rPr>
        <w:t>项目建设内容</w:t>
      </w:r>
    </w:p>
    <w:p>
      <w:pPr>
        <w:pStyle w:val="3"/>
        <w:widowControl w:val="0"/>
        <w:spacing w:line="360" w:lineRule="auto"/>
        <w:ind w:firstLine="0"/>
        <w:jc w:val="both"/>
        <w:rPr>
          <w:rFonts w:hint="eastAsia"/>
        </w:rPr>
      </w:pPr>
      <w:bookmarkStart w:id="17" w:name="OLE_LINK2"/>
      <w:r>
        <w:t>产品碳足迹数据可视化应用</w:t>
      </w:r>
    </w:p>
    <w:p>
      <w:pPr>
        <w:widowControl w:val="0"/>
        <w:spacing w:line="360" w:lineRule="auto"/>
        <w:ind w:firstLine="480" w:firstLineChars="200"/>
        <w:jc w:val="both"/>
        <w:rPr>
          <w:rFonts w:hint="eastAsia"/>
          <w:bCs/>
        </w:rPr>
      </w:pPr>
      <w:bookmarkStart w:id="18" w:name="OLE_LINK41"/>
      <w:r>
        <w:rPr>
          <w:bCs/>
        </w:rPr>
        <w:t>本项目需设计开发产品碳足迹数据</w:t>
      </w:r>
      <w:bookmarkEnd w:id="18"/>
      <w:r>
        <w:rPr>
          <w:bCs/>
        </w:rPr>
        <w:t>可视化应用，满足政府网站通用功能与安全管理要求，打造面向多类型用户的统一服务入口，提升产品碳足迹数据库的公共服务能力与社会影响力。</w:t>
      </w:r>
    </w:p>
    <w:p>
      <w:pPr>
        <w:widowControl w:val="0"/>
        <w:spacing w:line="360" w:lineRule="auto"/>
        <w:ind w:firstLine="480" w:firstLineChars="200"/>
        <w:jc w:val="both"/>
        <w:rPr>
          <w:rFonts w:hint="eastAsia"/>
          <w:bCs/>
        </w:rPr>
      </w:pPr>
      <w:r>
        <w:rPr>
          <w:bCs/>
        </w:rPr>
        <w:t>应用应设置平台首页、数据库介绍、数据中心、技术文件、数据动态、帮助中心等核心栏目，支持用户在线注册、登录、身份识别与权限管理。</w:t>
      </w:r>
      <w:bookmarkStart w:id="19" w:name="OLE_LINK42"/>
      <w:r>
        <w:rPr>
          <w:bCs/>
        </w:rPr>
        <w:t>网站需集成产品碳足迹背景数据集多维可视化查询功能，支持按行业、产品、地理等维度的筛选和组合查询。应用应支持高并发、低延迟的数据发布服务底座，具备每秒不少于100次的并发调用能力，平均响应时间控制在200毫秒以内</w:t>
      </w:r>
      <w:bookmarkStart w:id="20" w:name="OLE_LINK45"/>
      <w:r>
        <w:rPr>
          <w:bCs/>
        </w:rPr>
        <w:t>。应用应具备数据版本追溯与差异对比能力，确保产品碳足迹因子“可查、可用、可溯”，</w:t>
      </w:r>
      <w:bookmarkEnd w:id="20"/>
      <w:r>
        <w:rPr>
          <w:bCs/>
        </w:rPr>
        <w:t>为政策制定、碳核算与科研工作提供快速、精准的数据支撑。同时，应用需提供标准化API接口，</w:t>
      </w:r>
      <w:bookmarkStart w:id="21" w:name="OLE_LINK39"/>
      <w:r>
        <w:rPr>
          <w:bCs/>
        </w:rPr>
        <w:t>实现与碳管理平台双向对接，并确保单个产品数据交互延迟</w:t>
      </w:r>
      <w:bookmarkEnd w:id="21"/>
      <w:r>
        <w:rPr>
          <w:bCs/>
        </w:rPr>
        <w:t>控制在3秒以内</w:t>
      </w:r>
      <w:bookmarkEnd w:id="19"/>
      <w:r>
        <w:rPr>
          <w:bCs/>
        </w:rPr>
        <w:t>。</w:t>
      </w:r>
    </w:p>
    <w:p>
      <w:pPr>
        <w:pStyle w:val="3"/>
        <w:widowControl w:val="0"/>
        <w:spacing w:line="360" w:lineRule="auto"/>
        <w:ind w:firstLine="0"/>
        <w:jc w:val="both"/>
        <w:rPr>
          <w:rFonts w:hint="eastAsia"/>
        </w:rPr>
      </w:pPr>
      <w:r>
        <w:t>产品碳足迹数据库编辑工具</w:t>
      </w:r>
    </w:p>
    <w:bookmarkEnd w:id="17"/>
    <w:p>
      <w:pPr>
        <w:widowControl w:val="0"/>
        <w:spacing w:line="360" w:lineRule="auto"/>
        <w:ind w:firstLine="480" w:firstLineChars="200"/>
        <w:jc w:val="both"/>
        <w:rPr>
          <w:rFonts w:hint="eastAsia"/>
          <w:bCs/>
        </w:rPr>
      </w:pPr>
      <w:r>
        <w:rPr>
          <w:bCs/>
        </w:rPr>
        <w:t>本项目需开发符合ILCD技术指南的产品碳足迹数据生产和管理工具，重点支持基于生命周期影响评价（LCA）单元过程与汇总过程数据集的标准化生产、支持基于生命周期清单（LCI）的碳足迹结果计算、具备多过程碳足迹结果的联动能力，以及具备基于符合ILCD标准要求的LCA数据管理体系。</w:t>
      </w:r>
    </w:p>
    <w:p>
      <w:pPr>
        <w:widowControl w:val="0"/>
        <w:spacing w:line="360" w:lineRule="auto"/>
        <w:ind w:firstLine="480" w:firstLineChars="200"/>
        <w:jc w:val="both"/>
        <w:rPr>
          <w:rFonts w:hint="eastAsia"/>
          <w:bCs/>
        </w:rPr>
      </w:pPr>
      <w:r>
        <w:rPr>
          <w:bCs/>
        </w:rPr>
        <w:t>在功能层面，工具需具备单元过程数据采集、编辑、分配、合并、计算、审核、更新的全链条数据流转能力，以</w:t>
      </w:r>
      <w:r>
        <w:rPr>
          <w:rFonts w:hint="eastAsia"/>
          <w:bCs/>
        </w:rPr>
        <w:t>支持</w:t>
      </w:r>
      <w:r>
        <w:rPr>
          <w:bCs/>
        </w:rPr>
        <w:t>透明可溯、清单可查的结构化单元过程数据和碳足迹结果的合规生成。具体而言，单元过程的数据采集应支持多种采集方式以满足多数据源（如产品碳足迹核算服务平台、其他LCI数据库等）接入的需求。</w:t>
      </w:r>
    </w:p>
    <w:p>
      <w:pPr>
        <w:widowControl w:val="0"/>
        <w:spacing w:line="360" w:lineRule="auto"/>
        <w:ind w:firstLine="480" w:firstLineChars="200"/>
        <w:jc w:val="both"/>
        <w:rPr>
          <w:rFonts w:hint="eastAsia"/>
          <w:bCs/>
        </w:rPr>
      </w:pPr>
      <w:r>
        <w:rPr>
          <w:bCs/>
        </w:rPr>
        <w:t>在数据分配方面，应支持基于产品属性开展清单级的自动分配程序,以适应不同产品种类规则（PCR）的标准要求。在数据合并方面，应支持多工序单元过程数据集的纵向汇总与批量支持不少于200个同类产品碳足迹清单层面的横向汇总，确保所生产的产品碳足迹数据集代表行业或区域的生产和消费情况、从而计算得到行业或区域的平均碳足迹结果。</w:t>
      </w:r>
    </w:p>
    <w:p>
      <w:pPr>
        <w:widowControl w:val="0"/>
        <w:spacing w:line="360" w:lineRule="auto"/>
        <w:ind w:firstLine="480" w:firstLineChars="200"/>
        <w:jc w:val="both"/>
        <w:rPr>
          <w:rFonts w:hint="eastAsia"/>
          <w:bCs/>
        </w:rPr>
      </w:pPr>
      <w:r>
        <w:rPr>
          <w:bCs/>
        </w:rPr>
        <w:t>在数据计算方面，应支持单元过程级与数据库全局两个层级的碳足迹计算。尤其针对数据库全局的碳足迹计算，应支持</w:t>
      </w:r>
      <w:r>
        <w:rPr>
          <w:rFonts w:hint="eastAsia"/>
          <w:bCs/>
        </w:rPr>
        <w:t>面向</w:t>
      </w:r>
      <w:r>
        <w:rPr>
          <w:bCs/>
        </w:rPr>
        <w:t>单次万级单元过程数据节点规模的LCI计算</w:t>
      </w:r>
      <w:r>
        <w:rPr>
          <w:rFonts w:hint="eastAsia"/>
          <w:bCs/>
        </w:rPr>
        <w:t>任务，</w:t>
      </w:r>
      <w:r>
        <w:rPr>
          <w:bCs/>
        </w:rPr>
        <w:t>计算时间控制在2小时以内；同时在保障计算性能的基础上，要求实现过程数据的全量保留，确保所有计算步骤可回溯、可验证。所有产品碳足迹数据集的计算结果应具备三层级以上供应链穿透能力。</w:t>
      </w:r>
    </w:p>
    <w:p>
      <w:pPr>
        <w:widowControl w:val="0"/>
        <w:spacing w:line="360" w:lineRule="auto"/>
        <w:ind w:firstLine="480" w:firstLineChars="200"/>
        <w:jc w:val="both"/>
        <w:rPr>
          <w:rFonts w:hint="eastAsia"/>
          <w:bCs/>
        </w:rPr>
      </w:pPr>
      <w:r>
        <w:rPr>
          <w:bCs/>
        </w:rPr>
        <w:t>在数据审核方面，要求集成产品碳足迹数据质量等级（DQR）评价方法和单元过程数据集质量量化评价模型，支持对清单实景数据和背景数据</w:t>
      </w:r>
      <w:r>
        <w:rPr>
          <w:rFonts w:hint="eastAsia"/>
          <w:bCs/>
        </w:rPr>
        <w:t>开展</w:t>
      </w:r>
      <w:r>
        <w:rPr>
          <w:bCs/>
        </w:rPr>
        <w:t>双重</w:t>
      </w:r>
      <w:r>
        <w:rPr>
          <w:rFonts w:hint="eastAsia"/>
          <w:bCs/>
        </w:rPr>
        <w:t>质量</w:t>
      </w:r>
      <w:r>
        <w:rPr>
          <w:bCs/>
        </w:rPr>
        <w:t>评价以及不确定性评估。工具应集成规则引擎和自动校验程序，自动识别常见逻辑错误（如单位不一致、参考流缺失等），同时</w:t>
      </w:r>
      <w:r>
        <w:rPr>
          <w:rFonts w:hint="eastAsia"/>
          <w:bCs/>
        </w:rPr>
        <w:t>支持多</w:t>
      </w:r>
      <w:r>
        <w:rPr>
          <w:bCs/>
        </w:rPr>
        <w:t>审核</w:t>
      </w:r>
      <w:r>
        <w:rPr>
          <w:rFonts w:hint="eastAsia"/>
          <w:bCs/>
        </w:rPr>
        <w:t>角色的并行评审流程，</w:t>
      </w:r>
      <w:r>
        <w:rPr>
          <w:bCs/>
        </w:rPr>
        <w:t>以形成闭环式LCA数据质量控制体系。</w:t>
      </w:r>
    </w:p>
    <w:p>
      <w:pPr>
        <w:widowControl w:val="0"/>
        <w:spacing w:line="360" w:lineRule="auto"/>
        <w:ind w:firstLine="480" w:firstLineChars="200"/>
        <w:jc w:val="both"/>
        <w:rPr>
          <w:rFonts w:hint="eastAsia"/>
          <w:bCs/>
        </w:rPr>
      </w:pPr>
      <w:r>
        <w:rPr>
          <w:bCs/>
        </w:rPr>
        <w:t>在数据更新方面，要求基于LCI进行碳足迹的矩阵运算，以支持多行业、跨部门的碳流循环与嵌套引用追踪。系统</w:t>
      </w:r>
      <w:r>
        <w:rPr>
          <w:rFonts w:hint="eastAsia"/>
          <w:bCs/>
        </w:rPr>
        <w:t>应</w:t>
      </w:r>
      <w:r>
        <w:rPr>
          <w:bCs/>
        </w:rPr>
        <w:t>具备在</w:t>
      </w:r>
      <w:r>
        <w:rPr>
          <w:rFonts w:hint="eastAsia"/>
          <w:bCs/>
        </w:rPr>
        <w:t>任一</w:t>
      </w:r>
      <w:r>
        <w:rPr>
          <w:bCs/>
        </w:rPr>
        <w:t>数据节点的任一清单数据</w:t>
      </w:r>
      <w:r>
        <w:rPr>
          <w:rFonts w:hint="eastAsia"/>
          <w:bCs/>
        </w:rPr>
        <w:t>变动</w:t>
      </w:r>
      <w:r>
        <w:rPr>
          <w:bCs/>
        </w:rPr>
        <w:t>后，支持全库级联动重计算与结果动态更新的能力</w:t>
      </w:r>
      <w:r>
        <w:rPr>
          <w:rFonts w:hint="eastAsia"/>
          <w:bCs/>
        </w:rPr>
        <w:t>，</w:t>
      </w:r>
      <w:r>
        <w:rPr>
          <w:bCs/>
        </w:rPr>
        <w:t>并</w:t>
      </w:r>
      <w:r>
        <w:rPr>
          <w:rFonts w:hint="eastAsia"/>
          <w:bCs/>
        </w:rPr>
        <w:t>可</w:t>
      </w:r>
      <w:r>
        <w:rPr>
          <w:bCs/>
        </w:rPr>
        <w:t>同步反馈至数据库管理端。</w:t>
      </w:r>
    </w:p>
    <w:p>
      <w:pPr>
        <w:widowControl w:val="0"/>
        <w:spacing w:line="360" w:lineRule="auto"/>
        <w:ind w:firstLine="480" w:firstLineChars="200"/>
        <w:jc w:val="both"/>
        <w:rPr>
          <w:rFonts w:hint="eastAsia"/>
          <w:bCs/>
        </w:rPr>
      </w:pPr>
      <w:r>
        <w:rPr>
          <w:bCs/>
        </w:rPr>
        <w:t>在底层架构层面，工具需适配ILCD技术指南的数据库架构要求。在数据管理方面，要求具备完整的产品碳足迹数据集元数据管理能力，覆盖不少于200项核心元数据字段；支持过程数据</w:t>
      </w:r>
      <w:bookmarkStart w:id="22" w:name="OLE_LINK4"/>
      <w:r>
        <w:rPr>
          <w:bCs/>
        </w:rPr>
        <w:t>、流数据、流属性、单位组、生命周期影响评价方法、来源、联系人以及生命周期模型</w:t>
      </w:r>
      <w:bookmarkEnd w:id="22"/>
      <w:r>
        <w:rPr>
          <w:bCs/>
        </w:rPr>
        <w:t>等八大核心数据结构的全生命周期管理。在结果计算方面，可实现符合ILCD体系的LCA计算框架，集成不少20类国际主流生命周期影响评价（LCIA）方法（如ReCiPe、IPCC、CML等），支持</w:t>
      </w:r>
      <w:r>
        <w:rPr>
          <w:rFonts w:hint="eastAsia"/>
          <w:bCs/>
        </w:rPr>
        <w:t>计算碳足迹、能源消耗、水足迹、酸化潜能、富营养化等环境影响指标。</w:t>
      </w:r>
      <w:r>
        <w:rPr>
          <w:bCs/>
        </w:rPr>
        <w:t>在数据交换与互操作方面，要求支持Ecoinvent、天工等LCI数据库的格式解析和映射；对于经由数据库编辑工具产生的产品碳足迹数据集和产品碳足迹数据库需实现ILCDXML格式文件包的导出，并</w:t>
      </w:r>
      <w:r>
        <w:rPr>
          <w:rFonts w:hint="eastAsia"/>
          <w:bCs/>
        </w:rPr>
        <w:t>通过欧盟ILCD格式</w:t>
      </w:r>
      <w:r>
        <w:rPr>
          <w:bCs/>
        </w:rPr>
        <w:t>验证工具</w:t>
      </w:r>
      <w:r>
        <w:rPr>
          <w:rFonts w:hint="eastAsia"/>
          <w:bCs/>
        </w:rPr>
        <w:t>（</w:t>
      </w:r>
      <w:r>
        <w:t>ILCDValidationTool.exe</w:t>
      </w:r>
      <w:r>
        <w:rPr>
          <w:rFonts w:hint="eastAsia"/>
          <w:bCs/>
        </w:rPr>
        <w:t>）</w:t>
      </w:r>
      <w:r>
        <w:rPr>
          <w:bCs/>
        </w:rPr>
        <w:t>的测试</w:t>
      </w:r>
      <w:r>
        <w:rPr>
          <w:rFonts w:hint="eastAsia"/>
          <w:bCs/>
        </w:rPr>
        <w:t>，</w:t>
      </w:r>
      <w:r>
        <w:rPr>
          <w:bCs/>
        </w:rPr>
        <w:t>从而确保与Ecoinvent、EF等国际主流数据体系的互通兼容。</w:t>
      </w:r>
    </w:p>
    <w:p>
      <w:pPr>
        <w:widowControl w:val="0"/>
        <w:spacing w:line="360" w:lineRule="auto"/>
        <w:ind w:firstLine="480" w:firstLineChars="200"/>
        <w:jc w:val="both"/>
        <w:rPr>
          <w:rFonts w:hint="eastAsia"/>
          <w:b/>
        </w:rPr>
      </w:pPr>
      <w:r>
        <w:rPr>
          <w:rFonts w:hint="eastAsia"/>
          <w:b/>
        </w:rPr>
        <w:t>1、软件开发清单：</w:t>
      </w:r>
    </w:p>
    <w:tbl>
      <w:tblPr>
        <w:tblStyle w:val="6"/>
        <w:tblW w:w="5000" w:type="pct"/>
        <w:jc w:val="center"/>
        <w:tblLayout w:type="autofit"/>
        <w:tblCellMar>
          <w:top w:w="0" w:type="dxa"/>
          <w:left w:w="108" w:type="dxa"/>
          <w:bottom w:w="0" w:type="dxa"/>
          <w:right w:w="108" w:type="dxa"/>
        </w:tblCellMar>
      </w:tblPr>
      <w:tblGrid>
        <w:gridCol w:w="716"/>
        <w:gridCol w:w="1700"/>
        <w:gridCol w:w="3056"/>
        <w:gridCol w:w="3056"/>
      </w:tblGrid>
      <w:tr>
        <w:tblPrEx>
          <w:tblCellMar>
            <w:top w:w="0" w:type="dxa"/>
            <w:left w:w="108" w:type="dxa"/>
            <w:bottom w:w="0" w:type="dxa"/>
            <w:right w:w="108" w:type="dxa"/>
          </w:tblCellMar>
        </w:tblPrEx>
        <w:trPr>
          <w:trHeight w:val="270" w:hRule="atLeast"/>
          <w:jc w:val="center"/>
        </w:trPr>
        <w:tc>
          <w:tcPr>
            <w:tcW w:w="420" w:type="pct"/>
            <w:tcBorders>
              <w:top w:val="single" w:color="auto" w:sz="4" w:space="0"/>
              <w:left w:val="single" w:color="auto" w:sz="4" w:space="0"/>
              <w:bottom w:val="single" w:color="auto" w:sz="4" w:space="0"/>
              <w:right w:val="single" w:color="auto" w:sz="4" w:space="0"/>
            </w:tcBorders>
            <w:shd w:val="clear" w:color="000000" w:fill="F3F8FC"/>
            <w:noWrap/>
            <w:vAlign w:val="center"/>
          </w:tcPr>
          <w:p>
            <w:pPr>
              <w:rPr>
                <w:rFonts w:hint="eastAsia"/>
              </w:rPr>
            </w:pPr>
            <w:r>
              <w:rPr>
                <w:rFonts w:hint="eastAsia"/>
              </w:rPr>
              <w:t>序号</w:t>
            </w:r>
          </w:p>
        </w:tc>
        <w:tc>
          <w:tcPr>
            <w:tcW w:w="997" w:type="pct"/>
            <w:tcBorders>
              <w:top w:val="single" w:color="auto" w:sz="4" w:space="0"/>
              <w:left w:val="nil"/>
              <w:bottom w:val="single" w:color="auto" w:sz="4" w:space="0"/>
              <w:right w:val="single" w:color="auto" w:sz="4" w:space="0"/>
            </w:tcBorders>
            <w:shd w:val="clear" w:color="000000" w:fill="F3F8FC"/>
            <w:noWrap/>
            <w:vAlign w:val="center"/>
          </w:tcPr>
          <w:p>
            <w:pPr>
              <w:rPr>
                <w:rFonts w:hint="eastAsia"/>
              </w:rPr>
            </w:pPr>
            <w:r>
              <w:rPr>
                <w:rFonts w:hint="eastAsia"/>
              </w:rPr>
              <w:t>应用系统名称</w:t>
            </w:r>
          </w:p>
        </w:tc>
        <w:tc>
          <w:tcPr>
            <w:tcW w:w="1792" w:type="pct"/>
            <w:tcBorders>
              <w:top w:val="single" w:color="auto" w:sz="4" w:space="0"/>
              <w:left w:val="nil"/>
              <w:bottom w:val="single" w:color="auto" w:sz="4" w:space="0"/>
              <w:right w:val="single" w:color="auto" w:sz="4" w:space="0"/>
            </w:tcBorders>
            <w:shd w:val="clear" w:color="000000" w:fill="F3F8FC"/>
            <w:noWrap/>
            <w:vAlign w:val="center"/>
          </w:tcPr>
          <w:p>
            <w:pPr>
              <w:rPr>
                <w:rFonts w:hint="eastAsia"/>
              </w:rPr>
            </w:pPr>
            <w:r>
              <w:rPr>
                <w:rFonts w:hint="eastAsia"/>
              </w:rPr>
              <w:t>模块名称</w:t>
            </w:r>
          </w:p>
        </w:tc>
        <w:tc>
          <w:tcPr>
            <w:tcW w:w="1791" w:type="pct"/>
            <w:tcBorders>
              <w:top w:val="single" w:color="auto" w:sz="4" w:space="0"/>
              <w:left w:val="nil"/>
              <w:bottom w:val="single" w:color="auto" w:sz="4" w:space="0"/>
              <w:right w:val="single" w:color="auto" w:sz="4" w:space="0"/>
            </w:tcBorders>
            <w:shd w:val="clear" w:color="000000" w:fill="F3F8FC"/>
            <w:vAlign w:val="center"/>
          </w:tcPr>
          <w:p>
            <w:pPr>
              <w:rPr>
                <w:rFonts w:hint="eastAsia"/>
              </w:rPr>
            </w:pPr>
            <w:r>
              <w:rPr>
                <w:rFonts w:hint="eastAsia"/>
              </w:rPr>
              <w:t>模块描述</w:t>
            </w:r>
          </w:p>
        </w:tc>
      </w:tr>
      <w:tr>
        <w:tblPrEx>
          <w:tblCellMar>
            <w:top w:w="0" w:type="dxa"/>
            <w:left w:w="108" w:type="dxa"/>
            <w:bottom w:w="0" w:type="dxa"/>
            <w:right w:w="108" w:type="dxa"/>
          </w:tblCellMar>
        </w:tblPrEx>
        <w:trPr>
          <w:trHeight w:val="45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rPr>
            </w:pPr>
            <w:r>
              <w:t>1</w:t>
            </w:r>
          </w:p>
        </w:tc>
        <w:tc>
          <w:tcPr>
            <w:tcW w:w="997"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上海市产品碳足迹</w:t>
            </w:r>
            <w:r>
              <w:t>管理</w:t>
            </w:r>
            <w:r>
              <w:rPr>
                <w:rFonts w:hint="eastAsia"/>
              </w:rPr>
              <w:t>服务</w:t>
            </w:r>
            <w:r>
              <w:t>子系统</w:t>
            </w:r>
          </w:p>
        </w:tc>
        <w:tc>
          <w:tcPr>
            <w:tcW w:w="1792"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bookmarkStart w:id="23" w:name="OLE_LINK23"/>
            <w:r>
              <w:t>产品碳足迹数据可视化应用-</w:t>
            </w:r>
            <w:r>
              <w:rPr>
                <w:rFonts w:hint="eastAsia"/>
              </w:rPr>
              <w:t>基础服务</w:t>
            </w:r>
            <w:bookmarkEnd w:id="23"/>
          </w:p>
        </w:tc>
        <w:tc>
          <w:tcPr>
            <w:tcW w:w="1791"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t>提供用户注册/登录、权限分级管理及系统导航；支持碳数据多维度检索、收藏与历史记录管理；集成标准文件库及实时行业动态；内置帮助中心，实现用户全流程操作支持</w:t>
            </w:r>
            <w:r>
              <w:rPr>
                <w:rFonts w:hint="eastAsia"/>
              </w:rPr>
              <w:t>。</w:t>
            </w:r>
          </w:p>
        </w:tc>
      </w:tr>
      <w:tr>
        <w:tblPrEx>
          <w:tblCellMar>
            <w:top w:w="0" w:type="dxa"/>
            <w:left w:w="108" w:type="dxa"/>
            <w:bottom w:w="0" w:type="dxa"/>
            <w:right w:w="108" w:type="dxa"/>
          </w:tblCellMar>
        </w:tblPrEx>
        <w:trPr>
          <w:trHeight w:val="45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rPr>
            </w:pPr>
            <w:r>
              <w:t>2</w:t>
            </w:r>
          </w:p>
        </w:tc>
        <w:tc>
          <w:tcPr>
            <w:tcW w:w="997"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上海市产品碳足迹</w:t>
            </w:r>
            <w:r>
              <w:t>管理</w:t>
            </w:r>
            <w:r>
              <w:rPr>
                <w:rFonts w:hint="eastAsia"/>
              </w:rPr>
              <w:t>服务</w:t>
            </w:r>
            <w:r>
              <w:t>子系统</w:t>
            </w:r>
          </w:p>
        </w:tc>
        <w:tc>
          <w:tcPr>
            <w:tcW w:w="1792"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t>产品碳足迹数据可视化应用-</w:t>
            </w:r>
            <w:r>
              <w:rPr>
                <w:rFonts w:hint="eastAsia"/>
              </w:rPr>
              <w:t>多场景数据分析服务</w:t>
            </w:r>
          </w:p>
        </w:tc>
        <w:tc>
          <w:tcPr>
            <w:tcW w:w="1791"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集中展示数据库运行态势与跨行业多维分析；输出专业核算软件兼容数据包，为政府、机构、企业、科研及金融用户提供定制化分析。</w:t>
            </w:r>
          </w:p>
        </w:tc>
      </w:tr>
      <w:tr>
        <w:tblPrEx>
          <w:tblCellMar>
            <w:top w:w="0" w:type="dxa"/>
            <w:left w:w="108" w:type="dxa"/>
            <w:bottom w:w="0" w:type="dxa"/>
            <w:right w:w="108" w:type="dxa"/>
          </w:tblCellMar>
        </w:tblPrEx>
        <w:trPr>
          <w:trHeight w:val="45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rPr>
            </w:pPr>
            <w:r>
              <w:rPr>
                <w:rFonts w:hint="eastAsia"/>
              </w:rPr>
              <w:t>3</w:t>
            </w:r>
          </w:p>
        </w:tc>
        <w:tc>
          <w:tcPr>
            <w:tcW w:w="997"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上海市产品碳足迹</w:t>
            </w:r>
            <w:r>
              <w:t>管理</w:t>
            </w:r>
            <w:r>
              <w:rPr>
                <w:rFonts w:hint="eastAsia"/>
              </w:rPr>
              <w:t>服务</w:t>
            </w:r>
            <w:r>
              <w:t>子系统</w:t>
            </w:r>
          </w:p>
        </w:tc>
        <w:tc>
          <w:tcPr>
            <w:tcW w:w="1792" w:type="pct"/>
            <w:tcBorders>
              <w:top w:val="single" w:color="auto" w:sz="4" w:space="0"/>
              <w:left w:val="nil"/>
              <w:bottom w:val="single" w:color="auto" w:sz="4" w:space="0"/>
              <w:right w:val="single" w:color="auto" w:sz="4" w:space="0"/>
            </w:tcBorders>
            <w:shd w:val="clear" w:color="auto" w:fill="FFFFFF"/>
            <w:vAlign w:val="center"/>
          </w:tcPr>
          <w:p>
            <w:pPr>
              <w:rPr>
                <w:rFonts w:ascii="Tahoma" w:hAnsi="Tahoma" w:cs="Tahoma"/>
                <w:color w:val="000000"/>
                <w:kern w:val="0"/>
                <w:sz w:val="22"/>
                <w:szCs w:val="22"/>
              </w:rPr>
            </w:pPr>
            <w:r>
              <w:t>产品碳足迹数据可视化应用</w:t>
            </w:r>
            <w:r>
              <w:rPr>
                <w:rFonts w:hint="eastAsia"/>
              </w:rPr>
              <w:t>-后台管理</w:t>
            </w:r>
          </w:p>
        </w:tc>
        <w:tc>
          <w:tcPr>
            <w:tcW w:w="1791"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ascii="Segoe UI" w:hAnsi="Segoe UI" w:cs="Segoe UI"/>
                <w:color w:val="000000"/>
                <w:spacing w:val="-2"/>
                <w:shd w:val="clear" w:color="auto" w:fill="FFFFFF"/>
              </w:rPr>
              <w:t>支持平台性能、数据质量及用户行为核心指标集中监控；</w:t>
            </w:r>
            <w:r>
              <w:t>实现用户账号精细化运维、多角色权限统一管控、企业信息管理、内容发布及用户分析需求响应</w:t>
            </w:r>
            <w:r>
              <w:rPr>
                <w:rFonts w:hint="eastAsia"/>
              </w:rPr>
              <w:t>。</w:t>
            </w:r>
          </w:p>
        </w:tc>
      </w:tr>
      <w:tr>
        <w:tblPrEx>
          <w:tblCellMar>
            <w:top w:w="0" w:type="dxa"/>
            <w:left w:w="108" w:type="dxa"/>
            <w:bottom w:w="0" w:type="dxa"/>
            <w:right w:w="108" w:type="dxa"/>
          </w:tblCellMar>
        </w:tblPrEx>
        <w:trPr>
          <w:trHeight w:val="45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rPr>
            </w:pPr>
            <w:r>
              <w:rPr>
                <w:rFonts w:hint="eastAsia"/>
              </w:rPr>
              <w:t>4</w:t>
            </w:r>
          </w:p>
        </w:tc>
        <w:tc>
          <w:tcPr>
            <w:tcW w:w="997"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上海市产品碳足迹</w:t>
            </w:r>
            <w:r>
              <w:t>管理</w:t>
            </w:r>
            <w:r>
              <w:rPr>
                <w:rFonts w:hint="eastAsia"/>
              </w:rPr>
              <w:t>服务</w:t>
            </w:r>
            <w:r>
              <w:t>子系统</w:t>
            </w:r>
          </w:p>
        </w:tc>
        <w:tc>
          <w:tcPr>
            <w:tcW w:w="1792" w:type="pct"/>
            <w:tcBorders>
              <w:top w:val="single" w:color="auto" w:sz="4" w:space="0"/>
              <w:left w:val="nil"/>
              <w:bottom w:val="single" w:color="auto" w:sz="4" w:space="0"/>
              <w:right w:val="single" w:color="auto" w:sz="4" w:space="0"/>
            </w:tcBorders>
            <w:shd w:val="clear" w:color="auto" w:fill="FFFFFF"/>
            <w:vAlign w:val="center"/>
          </w:tcPr>
          <w:p>
            <w:pPr>
              <w:rPr>
                <w:rFonts w:ascii="Tahoma" w:hAnsi="Tahoma" w:cs="Tahoma"/>
                <w:color w:val="000000"/>
                <w:kern w:val="0"/>
                <w:sz w:val="22"/>
                <w:szCs w:val="22"/>
              </w:rPr>
            </w:pPr>
            <w:r>
              <w:t>产品碳足迹</w:t>
            </w:r>
            <w:r>
              <w:rPr>
                <w:rFonts w:hint="eastAsia"/>
              </w:rPr>
              <w:t>数据库编辑工具-首页</w:t>
            </w:r>
          </w:p>
        </w:tc>
        <w:tc>
          <w:tcPr>
            <w:tcW w:w="1791"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通过可视化大屏集中监控供应链碳足迹核心指标。</w:t>
            </w:r>
          </w:p>
        </w:tc>
      </w:tr>
      <w:tr>
        <w:tblPrEx>
          <w:tblCellMar>
            <w:top w:w="0" w:type="dxa"/>
            <w:left w:w="108" w:type="dxa"/>
            <w:bottom w:w="0" w:type="dxa"/>
            <w:right w:w="108" w:type="dxa"/>
          </w:tblCellMar>
        </w:tblPrEx>
        <w:trPr>
          <w:trHeight w:val="45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rPr>
            </w:pPr>
            <w:r>
              <w:rPr>
                <w:rFonts w:hint="eastAsia"/>
              </w:rPr>
              <w:t>5</w:t>
            </w:r>
          </w:p>
        </w:tc>
        <w:tc>
          <w:tcPr>
            <w:tcW w:w="997"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上海市产品碳足迹</w:t>
            </w:r>
            <w:r>
              <w:t>管理</w:t>
            </w:r>
            <w:r>
              <w:rPr>
                <w:rFonts w:hint="eastAsia"/>
              </w:rPr>
              <w:t>服务</w:t>
            </w:r>
            <w:r>
              <w:t>子系统</w:t>
            </w:r>
          </w:p>
        </w:tc>
        <w:tc>
          <w:tcPr>
            <w:tcW w:w="1792" w:type="pct"/>
            <w:tcBorders>
              <w:top w:val="single" w:color="auto" w:sz="4" w:space="0"/>
              <w:left w:val="nil"/>
              <w:bottom w:val="single" w:color="auto" w:sz="4" w:space="0"/>
              <w:right w:val="single" w:color="auto" w:sz="4" w:space="0"/>
            </w:tcBorders>
            <w:shd w:val="clear" w:color="auto" w:fill="FFFFFF"/>
            <w:vAlign w:val="center"/>
          </w:tcPr>
          <w:p>
            <w:pPr>
              <w:rPr>
                <w:rFonts w:ascii="Tahoma" w:hAnsi="Tahoma" w:cs="Tahoma"/>
                <w:color w:val="000000"/>
                <w:kern w:val="0"/>
                <w:sz w:val="22"/>
                <w:szCs w:val="22"/>
              </w:rPr>
            </w:pPr>
            <w:r>
              <w:t>产品碳足迹</w:t>
            </w:r>
            <w:r>
              <w:rPr>
                <w:rFonts w:hint="eastAsia"/>
              </w:rPr>
              <w:t>数据库编辑工具-发版管理</w:t>
            </w:r>
          </w:p>
        </w:tc>
        <w:tc>
          <w:tcPr>
            <w:tcW w:w="1791"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t>支持多版本碳数据库的创建、发布与动态更新，基于ILCD标准实现版本快照与差异对比，确保历史数据回溯与合规风险预警</w:t>
            </w:r>
            <w:r>
              <w:rPr>
                <w:rFonts w:hint="eastAsia"/>
              </w:rPr>
              <w:t>。</w:t>
            </w:r>
          </w:p>
        </w:tc>
      </w:tr>
      <w:tr>
        <w:tblPrEx>
          <w:tblCellMar>
            <w:top w:w="0" w:type="dxa"/>
            <w:left w:w="108" w:type="dxa"/>
            <w:bottom w:w="0" w:type="dxa"/>
            <w:right w:w="108" w:type="dxa"/>
          </w:tblCellMar>
        </w:tblPrEx>
        <w:trPr>
          <w:trHeight w:val="45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rPr>
            </w:pPr>
            <w:r>
              <w:rPr>
                <w:rFonts w:hint="eastAsia"/>
              </w:rPr>
              <w:t>6</w:t>
            </w:r>
          </w:p>
        </w:tc>
        <w:tc>
          <w:tcPr>
            <w:tcW w:w="997"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上海市产品碳足迹</w:t>
            </w:r>
            <w:r>
              <w:t>管理</w:t>
            </w:r>
            <w:r>
              <w:rPr>
                <w:rFonts w:hint="eastAsia"/>
              </w:rPr>
              <w:t>服务</w:t>
            </w:r>
            <w:r>
              <w:t>子系统</w:t>
            </w:r>
          </w:p>
        </w:tc>
        <w:tc>
          <w:tcPr>
            <w:tcW w:w="1792" w:type="pct"/>
            <w:tcBorders>
              <w:top w:val="single" w:color="auto" w:sz="4" w:space="0"/>
              <w:left w:val="nil"/>
              <w:bottom w:val="single" w:color="auto" w:sz="4" w:space="0"/>
              <w:right w:val="single" w:color="auto" w:sz="4" w:space="0"/>
            </w:tcBorders>
            <w:shd w:val="clear" w:color="auto" w:fill="FFFFFF"/>
            <w:vAlign w:val="center"/>
          </w:tcPr>
          <w:p>
            <w:pPr>
              <w:rPr>
                <w:rFonts w:ascii="Tahoma" w:hAnsi="Tahoma" w:cs="Tahoma"/>
                <w:color w:val="000000"/>
                <w:kern w:val="0"/>
                <w:sz w:val="22"/>
                <w:szCs w:val="22"/>
              </w:rPr>
            </w:pPr>
            <w:r>
              <w:t>产品碳足迹</w:t>
            </w:r>
            <w:r>
              <w:rPr>
                <w:rFonts w:hint="eastAsia"/>
              </w:rPr>
              <w:t>数据库编辑工具-全量数仓</w:t>
            </w:r>
          </w:p>
        </w:tc>
        <w:tc>
          <w:tcPr>
            <w:tcW w:w="1791"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t>支持5万+碳足迹数据集的高并发多字段展示与联合排序，实时监控数据集状态并触发超时预警；提供</w:t>
            </w:r>
            <w:r>
              <w:rPr>
                <w:rFonts w:hint="eastAsia"/>
              </w:rPr>
              <w:t>多</w:t>
            </w:r>
            <w:r>
              <w:t>维度组合筛选与全链路</w:t>
            </w:r>
            <w:r>
              <w:rPr>
                <w:rFonts w:hint="eastAsia"/>
              </w:rPr>
              <w:t>数据处理</w:t>
            </w:r>
            <w:r>
              <w:t>溯源</w:t>
            </w:r>
            <w:r>
              <w:rPr>
                <w:rFonts w:hint="eastAsia"/>
              </w:rPr>
              <w:t>，</w:t>
            </w:r>
            <w:r>
              <w:t>保留数据血缘关系，记录协作贡献者信息，支持跨区共享</w:t>
            </w:r>
            <w:r>
              <w:rPr>
                <w:rFonts w:hint="eastAsia"/>
              </w:rPr>
              <w:t>。</w:t>
            </w:r>
          </w:p>
        </w:tc>
      </w:tr>
      <w:tr>
        <w:tblPrEx>
          <w:tblCellMar>
            <w:top w:w="0" w:type="dxa"/>
            <w:left w:w="108" w:type="dxa"/>
            <w:bottom w:w="0" w:type="dxa"/>
            <w:right w:w="108" w:type="dxa"/>
          </w:tblCellMar>
        </w:tblPrEx>
        <w:trPr>
          <w:trHeight w:val="45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rPr>
            </w:pPr>
            <w:r>
              <w:rPr>
                <w:rFonts w:hint="eastAsia"/>
              </w:rPr>
              <w:t>7</w:t>
            </w:r>
          </w:p>
        </w:tc>
        <w:tc>
          <w:tcPr>
            <w:tcW w:w="997"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上海市产品碳足迹</w:t>
            </w:r>
            <w:r>
              <w:t>管理</w:t>
            </w:r>
            <w:r>
              <w:rPr>
                <w:rFonts w:hint="eastAsia"/>
              </w:rPr>
              <w:t>服务</w:t>
            </w:r>
            <w:r>
              <w:t>子系统</w:t>
            </w:r>
          </w:p>
        </w:tc>
        <w:tc>
          <w:tcPr>
            <w:tcW w:w="1792" w:type="pct"/>
            <w:tcBorders>
              <w:top w:val="single" w:color="auto" w:sz="4" w:space="0"/>
              <w:left w:val="nil"/>
              <w:bottom w:val="single" w:color="auto" w:sz="4" w:space="0"/>
              <w:right w:val="single" w:color="auto" w:sz="4" w:space="0"/>
            </w:tcBorders>
            <w:shd w:val="clear" w:color="auto" w:fill="FFFFFF"/>
            <w:vAlign w:val="center"/>
          </w:tcPr>
          <w:p>
            <w:pPr>
              <w:rPr>
                <w:rFonts w:ascii="Tahoma" w:hAnsi="Tahoma" w:cs="Tahoma"/>
                <w:color w:val="000000"/>
                <w:kern w:val="0"/>
                <w:sz w:val="22"/>
                <w:szCs w:val="22"/>
              </w:rPr>
            </w:pPr>
            <w:r>
              <w:t>产品碳足迹</w:t>
            </w:r>
            <w:r>
              <w:rPr>
                <w:rFonts w:hint="eastAsia"/>
              </w:rPr>
              <w:t>数据库编辑工具-工作区</w:t>
            </w:r>
          </w:p>
        </w:tc>
        <w:tc>
          <w:tcPr>
            <w:tcW w:w="1791"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t>提供多方式数据导入、多维度筛选、同类数据集自定义权重合并、多产品数据</w:t>
            </w:r>
            <w:r>
              <w:rPr>
                <w:rFonts w:hint="eastAsia"/>
              </w:rPr>
              <w:t>集分类</w:t>
            </w:r>
            <w:r>
              <w:t>、</w:t>
            </w:r>
            <w:r>
              <w:rPr>
                <w:rFonts w:hint="eastAsia"/>
              </w:rPr>
              <w:t>背景数据</w:t>
            </w:r>
            <w:r>
              <w:t>批量替换与版本转换功能；支持ILCD结构化元数据编辑与实时合规校验，内置工序级清单建模、流属性管理及平衡校验</w:t>
            </w:r>
            <w:r>
              <w:rPr>
                <w:rFonts w:hint="eastAsia"/>
              </w:rPr>
              <w:t>。</w:t>
            </w:r>
          </w:p>
        </w:tc>
      </w:tr>
      <w:tr>
        <w:tblPrEx>
          <w:tblCellMar>
            <w:top w:w="0" w:type="dxa"/>
            <w:left w:w="108" w:type="dxa"/>
            <w:bottom w:w="0" w:type="dxa"/>
            <w:right w:w="108" w:type="dxa"/>
          </w:tblCellMar>
        </w:tblPrEx>
        <w:trPr>
          <w:trHeight w:val="45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rPr>
            </w:pPr>
            <w:r>
              <w:rPr>
                <w:rFonts w:hint="eastAsia"/>
              </w:rPr>
              <w:t>8</w:t>
            </w:r>
          </w:p>
        </w:tc>
        <w:tc>
          <w:tcPr>
            <w:tcW w:w="997"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上海市产品碳足迹</w:t>
            </w:r>
            <w:r>
              <w:t>管理</w:t>
            </w:r>
            <w:r>
              <w:rPr>
                <w:rFonts w:hint="eastAsia"/>
              </w:rPr>
              <w:t>服务</w:t>
            </w:r>
            <w:r>
              <w:t>子系统</w:t>
            </w:r>
          </w:p>
        </w:tc>
        <w:tc>
          <w:tcPr>
            <w:tcW w:w="1792" w:type="pct"/>
            <w:tcBorders>
              <w:top w:val="single" w:color="auto" w:sz="4" w:space="0"/>
              <w:left w:val="nil"/>
              <w:bottom w:val="single" w:color="auto" w:sz="4" w:space="0"/>
              <w:right w:val="single" w:color="auto" w:sz="4" w:space="0"/>
            </w:tcBorders>
            <w:shd w:val="clear" w:color="auto" w:fill="FFFFFF"/>
            <w:vAlign w:val="center"/>
          </w:tcPr>
          <w:p>
            <w:pPr>
              <w:rPr>
                <w:rFonts w:ascii="Tahoma" w:hAnsi="Tahoma" w:cs="Tahoma"/>
                <w:color w:val="000000"/>
                <w:kern w:val="0"/>
                <w:sz w:val="22"/>
                <w:szCs w:val="22"/>
              </w:rPr>
            </w:pPr>
            <w:r>
              <w:t>产品碳足迹</w:t>
            </w:r>
            <w:r>
              <w:rPr>
                <w:rFonts w:hint="eastAsia"/>
              </w:rPr>
              <w:t>数据库编辑工具-审核模块</w:t>
            </w:r>
          </w:p>
        </w:tc>
        <w:tc>
          <w:tcPr>
            <w:tcW w:w="1791"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t>提供分级裁决机制</w:t>
            </w:r>
            <w:r>
              <w:rPr>
                <w:rFonts w:hint="eastAsia"/>
              </w:rPr>
              <w:t>，支持数据集</w:t>
            </w:r>
            <w:r>
              <w:t>评审人员通过智能排序与多维度标签筛选待审数据</w:t>
            </w:r>
            <w:r>
              <w:rPr>
                <w:rFonts w:hint="eastAsia"/>
              </w:rPr>
              <w:t>集</w:t>
            </w:r>
            <w:r>
              <w:t>，全程记录审核操作日志保障流程可追溯</w:t>
            </w:r>
            <w:r>
              <w:rPr>
                <w:rFonts w:hint="eastAsia"/>
              </w:rPr>
              <w:t>。</w:t>
            </w:r>
          </w:p>
        </w:tc>
      </w:tr>
      <w:tr>
        <w:tblPrEx>
          <w:tblCellMar>
            <w:top w:w="0" w:type="dxa"/>
            <w:left w:w="108" w:type="dxa"/>
            <w:bottom w:w="0" w:type="dxa"/>
            <w:right w:w="108" w:type="dxa"/>
          </w:tblCellMar>
        </w:tblPrEx>
        <w:trPr>
          <w:trHeight w:val="45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rPr>
            </w:pPr>
            <w:r>
              <w:rPr>
                <w:rFonts w:hint="eastAsia"/>
              </w:rPr>
              <w:t>9</w:t>
            </w:r>
          </w:p>
        </w:tc>
        <w:tc>
          <w:tcPr>
            <w:tcW w:w="997"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上海市产品碳足迹</w:t>
            </w:r>
            <w:r>
              <w:t>管理</w:t>
            </w:r>
            <w:r>
              <w:rPr>
                <w:rFonts w:hint="eastAsia"/>
              </w:rPr>
              <w:t>服务</w:t>
            </w:r>
            <w:r>
              <w:t>子系统</w:t>
            </w:r>
          </w:p>
        </w:tc>
        <w:tc>
          <w:tcPr>
            <w:tcW w:w="1792" w:type="pct"/>
            <w:tcBorders>
              <w:top w:val="single" w:color="auto" w:sz="4" w:space="0"/>
              <w:left w:val="nil"/>
              <w:bottom w:val="single" w:color="auto" w:sz="4" w:space="0"/>
              <w:right w:val="single" w:color="auto" w:sz="4" w:space="0"/>
            </w:tcBorders>
            <w:shd w:val="clear" w:color="auto" w:fill="FFFFFF"/>
            <w:vAlign w:val="center"/>
          </w:tcPr>
          <w:p>
            <w:pPr>
              <w:rPr>
                <w:rFonts w:ascii="Tahoma" w:hAnsi="Tahoma" w:cs="Tahoma"/>
                <w:color w:val="000000"/>
                <w:kern w:val="0"/>
                <w:sz w:val="22"/>
                <w:szCs w:val="22"/>
              </w:rPr>
            </w:pPr>
            <w:r>
              <w:t>产品碳足迹</w:t>
            </w:r>
            <w:r>
              <w:rPr>
                <w:rFonts w:hint="eastAsia"/>
              </w:rPr>
              <w:t>数据库编辑工具-ILCD底层标准化信息管理</w:t>
            </w:r>
          </w:p>
        </w:tc>
        <w:tc>
          <w:tcPr>
            <w:tcW w:w="1791"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预置ILCD数据类型分类库并支持自定义扩展，管理流属性与数据来源关联（支持批量导入）；实现单位标准化转换，按角色分配数据集操作权限，确保所产生数据的合规性与国际互认基础。</w:t>
            </w:r>
          </w:p>
        </w:tc>
      </w:tr>
      <w:tr>
        <w:tblPrEx>
          <w:tblCellMar>
            <w:top w:w="0" w:type="dxa"/>
            <w:left w:w="108" w:type="dxa"/>
            <w:bottom w:w="0" w:type="dxa"/>
            <w:right w:w="108" w:type="dxa"/>
          </w:tblCellMar>
        </w:tblPrEx>
        <w:trPr>
          <w:trHeight w:val="45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rPr>
            </w:pPr>
            <w:r>
              <w:rPr>
                <w:rFonts w:hint="eastAsia"/>
              </w:rPr>
              <w:t>10</w:t>
            </w:r>
          </w:p>
        </w:tc>
        <w:tc>
          <w:tcPr>
            <w:tcW w:w="997"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上海市产品碳足迹</w:t>
            </w:r>
            <w:r>
              <w:t>管理</w:t>
            </w:r>
            <w:r>
              <w:rPr>
                <w:rFonts w:hint="eastAsia"/>
              </w:rPr>
              <w:t>服务</w:t>
            </w:r>
            <w:r>
              <w:t>子系统</w:t>
            </w:r>
          </w:p>
        </w:tc>
        <w:tc>
          <w:tcPr>
            <w:tcW w:w="1792" w:type="pct"/>
            <w:tcBorders>
              <w:top w:val="single" w:color="auto" w:sz="4" w:space="0"/>
              <w:left w:val="nil"/>
              <w:bottom w:val="single" w:color="auto" w:sz="4" w:space="0"/>
              <w:right w:val="single" w:color="auto" w:sz="4" w:space="0"/>
            </w:tcBorders>
            <w:shd w:val="clear" w:color="auto" w:fill="FFFFFF"/>
            <w:vAlign w:val="center"/>
          </w:tcPr>
          <w:p>
            <w:pPr>
              <w:rPr>
                <w:rFonts w:ascii="Tahoma" w:hAnsi="Tahoma" w:cs="Tahoma"/>
                <w:color w:val="000000"/>
                <w:kern w:val="0"/>
                <w:sz w:val="22"/>
                <w:szCs w:val="22"/>
              </w:rPr>
            </w:pPr>
            <w:r>
              <w:t>产品碳足迹</w:t>
            </w:r>
            <w:r>
              <w:rPr>
                <w:rFonts w:hint="eastAsia"/>
              </w:rPr>
              <w:t>数据库编辑工具-日志管理</w:t>
            </w:r>
          </w:p>
        </w:tc>
        <w:tc>
          <w:tcPr>
            <w:tcW w:w="1791"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记录用户操作日志、批量操作日志等。</w:t>
            </w:r>
          </w:p>
        </w:tc>
      </w:tr>
      <w:tr>
        <w:tblPrEx>
          <w:tblCellMar>
            <w:top w:w="0" w:type="dxa"/>
            <w:left w:w="108" w:type="dxa"/>
            <w:bottom w:w="0" w:type="dxa"/>
            <w:right w:w="108" w:type="dxa"/>
          </w:tblCellMar>
        </w:tblPrEx>
        <w:trPr>
          <w:trHeight w:val="45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rPr>
            </w:pPr>
            <w:r>
              <w:rPr>
                <w:rFonts w:hint="eastAsia"/>
              </w:rPr>
              <w:t>11</w:t>
            </w:r>
          </w:p>
        </w:tc>
        <w:tc>
          <w:tcPr>
            <w:tcW w:w="997"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上海市产品碳足迹</w:t>
            </w:r>
            <w:r>
              <w:t>管理</w:t>
            </w:r>
            <w:r>
              <w:rPr>
                <w:rFonts w:hint="eastAsia"/>
              </w:rPr>
              <w:t>服务</w:t>
            </w:r>
            <w:r>
              <w:t>子系统</w:t>
            </w:r>
          </w:p>
        </w:tc>
        <w:tc>
          <w:tcPr>
            <w:tcW w:w="1792" w:type="pct"/>
            <w:tcBorders>
              <w:top w:val="single" w:color="auto" w:sz="4" w:space="0"/>
              <w:left w:val="nil"/>
              <w:bottom w:val="single" w:color="auto" w:sz="4" w:space="0"/>
              <w:right w:val="single" w:color="auto" w:sz="4" w:space="0"/>
            </w:tcBorders>
            <w:shd w:val="clear" w:color="auto" w:fill="FFFFFF"/>
            <w:vAlign w:val="center"/>
          </w:tcPr>
          <w:p>
            <w:pPr>
              <w:rPr>
                <w:rFonts w:ascii="Tahoma" w:hAnsi="Tahoma" w:cs="Tahoma"/>
                <w:color w:val="000000"/>
                <w:kern w:val="0"/>
                <w:sz w:val="22"/>
                <w:szCs w:val="22"/>
              </w:rPr>
            </w:pPr>
            <w:r>
              <w:t>产品碳足迹</w:t>
            </w:r>
            <w:r>
              <w:rPr>
                <w:rFonts w:hint="eastAsia"/>
              </w:rPr>
              <w:t>数据库编辑工具-数据治理与质量控制</w:t>
            </w:r>
          </w:p>
        </w:tc>
        <w:tc>
          <w:tcPr>
            <w:tcW w:w="1791"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通过自动化校验、全流程溯源跟踪、实时质量监控及敏感数据脱敏加密，确保数据传输与存储安全；结合规则引擎执行清洗任务，实现数据全生命周期治理与审计透明。</w:t>
            </w:r>
          </w:p>
        </w:tc>
      </w:tr>
      <w:tr>
        <w:tblPrEx>
          <w:tblCellMar>
            <w:top w:w="0" w:type="dxa"/>
            <w:left w:w="108" w:type="dxa"/>
            <w:bottom w:w="0" w:type="dxa"/>
            <w:right w:w="108" w:type="dxa"/>
          </w:tblCellMar>
        </w:tblPrEx>
        <w:trPr>
          <w:trHeight w:val="45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rPr>
            </w:pPr>
            <w:r>
              <w:rPr>
                <w:rFonts w:hint="eastAsia"/>
              </w:rPr>
              <w:t>12</w:t>
            </w:r>
          </w:p>
        </w:tc>
        <w:tc>
          <w:tcPr>
            <w:tcW w:w="997"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上海市产品碳足迹</w:t>
            </w:r>
            <w:r>
              <w:t>管理</w:t>
            </w:r>
            <w:r>
              <w:rPr>
                <w:rFonts w:hint="eastAsia"/>
              </w:rPr>
              <w:t>服务</w:t>
            </w:r>
            <w:r>
              <w:t>子系统</w:t>
            </w:r>
          </w:p>
        </w:tc>
        <w:tc>
          <w:tcPr>
            <w:tcW w:w="1792" w:type="pct"/>
            <w:tcBorders>
              <w:top w:val="single" w:color="auto" w:sz="4" w:space="0"/>
              <w:left w:val="nil"/>
              <w:bottom w:val="single" w:color="auto" w:sz="4" w:space="0"/>
              <w:right w:val="single" w:color="auto" w:sz="4" w:space="0"/>
            </w:tcBorders>
            <w:shd w:val="clear" w:color="auto" w:fill="FFFFFF"/>
            <w:vAlign w:val="center"/>
          </w:tcPr>
          <w:p>
            <w:pPr>
              <w:rPr>
                <w:rFonts w:ascii="Tahoma" w:hAnsi="Tahoma" w:cs="Tahoma"/>
                <w:color w:val="000000"/>
                <w:kern w:val="0"/>
                <w:sz w:val="22"/>
                <w:szCs w:val="22"/>
              </w:rPr>
            </w:pPr>
            <w:r>
              <w:t>产品碳足迹</w:t>
            </w:r>
            <w:r>
              <w:rPr>
                <w:rFonts w:hint="eastAsia"/>
              </w:rPr>
              <w:t>数据库编辑工具-计算与算法</w:t>
            </w:r>
          </w:p>
        </w:tc>
        <w:tc>
          <w:tcPr>
            <w:tcW w:w="1791"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支撑</w:t>
            </w:r>
            <w:r>
              <w:t>全生命周期碳足迹计算</w:t>
            </w:r>
            <w:r>
              <w:rPr>
                <w:rFonts w:hint="eastAsia"/>
              </w:rPr>
              <w:t>，</w:t>
            </w:r>
            <w:r>
              <w:t>实现供应链循环依赖求解、多版本数据差异对比及工序级拆分聚合；提供GPU加速矩阵运算、LCIA多指标扩展及贡献度分析；支持批量计算导出与结果高效存储</w:t>
            </w:r>
            <w:r>
              <w:rPr>
                <w:rFonts w:hint="eastAsia"/>
              </w:rPr>
              <w:t>。</w:t>
            </w:r>
          </w:p>
        </w:tc>
      </w:tr>
      <w:tr>
        <w:tblPrEx>
          <w:tblCellMar>
            <w:top w:w="0" w:type="dxa"/>
            <w:left w:w="108" w:type="dxa"/>
            <w:bottom w:w="0" w:type="dxa"/>
            <w:right w:w="108" w:type="dxa"/>
          </w:tblCellMar>
        </w:tblPrEx>
        <w:trPr>
          <w:trHeight w:val="454" w:hRule="atLeast"/>
          <w:jc w:val="center"/>
        </w:trPr>
        <w:tc>
          <w:tcPr>
            <w:tcW w:w="420" w:type="pct"/>
            <w:tcBorders>
              <w:top w:val="single" w:color="auto" w:sz="4" w:space="0"/>
              <w:left w:val="single" w:color="auto" w:sz="4" w:space="0"/>
              <w:bottom w:val="single" w:color="auto" w:sz="4" w:space="0"/>
              <w:right w:val="single" w:color="auto" w:sz="4" w:space="0"/>
            </w:tcBorders>
            <w:shd w:val="clear" w:color="auto" w:fill="FFFFFF"/>
            <w:vAlign w:val="center"/>
          </w:tcPr>
          <w:p>
            <w:pPr>
              <w:rPr>
                <w:rFonts w:hint="eastAsia"/>
              </w:rPr>
            </w:pPr>
            <w:r>
              <w:rPr>
                <w:rFonts w:hint="eastAsia"/>
              </w:rPr>
              <w:t>13</w:t>
            </w:r>
          </w:p>
        </w:tc>
        <w:tc>
          <w:tcPr>
            <w:tcW w:w="997"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上海市产品碳足迹</w:t>
            </w:r>
            <w:r>
              <w:t>管理</w:t>
            </w:r>
            <w:r>
              <w:rPr>
                <w:rFonts w:hint="eastAsia"/>
              </w:rPr>
              <w:t>服务</w:t>
            </w:r>
            <w:r>
              <w:t>子系统</w:t>
            </w:r>
          </w:p>
        </w:tc>
        <w:tc>
          <w:tcPr>
            <w:tcW w:w="1792"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密码应用</w:t>
            </w:r>
          </w:p>
        </w:tc>
        <w:tc>
          <w:tcPr>
            <w:tcW w:w="1791" w:type="pct"/>
            <w:tcBorders>
              <w:top w:val="single" w:color="auto" w:sz="4" w:space="0"/>
              <w:left w:val="nil"/>
              <w:bottom w:val="single" w:color="auto" w:sz="4" w:space="0"/>
              <w:right w:val="single" w:color="auto" w:sz="4" w:space="0"/>
            </w:tcBorders>
            <w:shd w:val="clear" w:color="auto" w:fill="FFFFFF"/>
            <w:vAlign w:val="center"/>
          </w:tcPr>
          <w:p>
            <w:pPr>
              <w:rPr>
                <w:rFonts w:hint="eastAsia"/>
              </w:rPr>
            </w:pPr>
            <w:r>
              <w:rPr>
                <w:rFonts w:hint="eastAsia"/>
              </w:rPr>
              <w:t>提供密码应用。</w:t>
            </w:r>
          </w:p>
        </w:tc>
      </w:tr>
    </w:tbl>
    <w:p>
      <w:pPr>
        <w:pStyle w:val="2"/>
        <w:widowControl w:val="0"/>
        <w:spacing w:line="360" w:lineRule="auto"/>
        <w:ind w:firstLine="0"/>
        <w:jc w:val="both"/>
        <w:rPr>
          <w:rFonts w:hint="eastAsia"/>
        </w:rPr>
      </w:pPr>
      <w:bookmarkStart w:id="24" w:name="_Toc63785502"/>
      <w:r>
        <w:rPr>
          <w:rFonts w:hint="eastAsia"/>
        </w:rPr>
        <w:t>电子政务云资源需求</w:t>
      </w:r>
      <w:bookmarkEnd w:id="24"/>
      <w:r>
        <w:rPr>
          <w:rFonts w:hint="eastAsia"/>
          <w:color w:val="EE0000"/>
        </w:rPr>
        <w:t>（仅针对上云项目）</w:t>
      </w:r>
    </w:p>
    <w:p>
      <w:pPr>
        <w:widowControl w:val="0"/>
        <w:spacing w:line="360" w:lineRule="auto"/>
        <w:ind w:firstLine="480" w:firstLineChars="200"/>
        <w:jc w:val="both"/>
        <w:rPr>
          <w:rFonts w:hint="eastAsia"/>
          <w:bCs/>
        </w:rPr>
      </w:pPr>
      <w:r>
        <w:rPr>
          <w:rFonts w:hint="eastAsia"/>
          <w:bCs/>
        </w:rPr>
        <w:t>根据项目前期资源现状，本次建设根据估算拟向电子政务云申请虚拟服务器资源</w:t>
      </w:r>
      <w:r>
        <w:rPr>
          <w:bCs/>
        </w:rPr>
        <w:t>11</w:t>
      </w:r>
      <w:r>
        <w:rPr>
          <w:rFonts w:hint="eastAsia"/>
          <w:bCs/>
        </w:rPr>
        <w:t>台</w:t>
      </w:r>
      <w:r>
        <w:rPr>
          <w:bCs/>
        </w:rPr>
        <w:t>，</w:t>
      </w:r>
      <w:r>
        <w:rPr>
          <w:rFonts w:hint="eastAsia"/>
          <w:bCs/>
        </w:rPr>
        <w:t>其中</w:t>
      </w:r>
      <w:bookmarkStart w:id="25" w:name="OLE_LINK18"/>
      <w:r>
        <w:rPr>
          <w:bCs/>
        </w:rPr>
        <w:t>3</w:t>
      </w:r>
      <w:r>
        <w:rPr>
          <w:rFonts w:hint="eastAsia"/>
          <w:bCs/>
        </w:rPr>
        <w:t>台</w:t>
      </w:r>
      <w:bookmarkStart w:id="26" w:name="OLE_LINK19"/>
      <w:r>
        <w:rPr>
          <w:rFonts w:hint="eastAsia"/>
          <w:bCs/>
        </w:rPr>
        <w:t>CPU64核</w:t>
      </w:r>
      <w:bookmarkEnd w:id="26"/>
      <w:r>
        <w:rPr>
          <w:rFonts w:hint="eastAsia"/>
          <w:bCs/>
        </w:rPr>
        <w:t>、内存256 GB、存储500 GB</w:t>
      </w:r>
      <w:bookmarkEnd w:id="25"/>
      <w:r>
        <w:rPr>
          <w:rFonts w:hint="eastAsia"/>
          <w:bCs/>
        </w:rPr>
        <w:t>，</w:t>
      </w:r>
      <w:r>
        <w:rPr>
          <w:bCs/>
        </w:rPr>
        <w:t>4</w:t>
      </w:r>
      <w:r>
        <w:rPr>
          <w:rFonts w:hint="eastAsia"/>
          <w:bCs/>
        </w:rPr>
        <w:t>台</w:t>
      </w:r>
      <w:bookmarkStart w:id="27" w:name="OLE_LINK20"/>
      <w:r>
        <w:rPr>
          <w:rFonts w:hint="eastAsia"/>
          <w:bCs/>
        </w:rPr>
        <w:t>CPU</w:t>
      </w:r>
      <w:r>
        <w:rPr>
          <w:bCs/>
        </w:rPr>
        <w:t>32</w:t>
      </w:r>
      <w:r>
        <w:rPr>
          <w:rFonts w:hint="eastAsia"/>
          <w:bCs/>
        </w:rPr>
        <w:t>核、内存64 GB、存储1000 GB</w:t>
      </w:r>
      <w:bookmarkEnd w:id="27"/>
      <w:r>
        <w:rPr>
          <w:rFonts w:hint="eastAsia"/>
          <w:bCs/>
        </w:rPr>
        <w:t>，</w:t>
      </w:r>
      <w:r>
        <w:rPr>
          <w:bCs/>
        </w:rPr>
        <w:t>1</w:t>
      </w:r>
      <w:r>
        <w:rPr>
          <w:rFonts w:hint="eastAsia"/>
          <w:bCs/>
        </w:rPr>
        <w:t>台CPU</w:t>
      </w:r>
      <w:r>
        <w:rPr>
          <w:bCs/>
        </w:rPr>
        <w:t>16</w:t>
      </w:r>
      <w:r>
        <w:rPr>
          <w:rFonts w:hint="eastAsia"/>
          <w:bCs/>
        </w:rPr>
        <w:t xml:space="preserve"> 核、内存1</w:t>
      </w:r>
      <w:r>
        <w:rPr>
          <w:bCs/>
        </w:rPr>
        <w:t>28</w:t>
      </w:r>
      <w:r>
        <w:rPr>
          <w:rFonts w:hint="eastAsia"/>
          <w:bCs/>
        </w:rPr>
        <w:t xml:space="preserve"> GB、存储</w:t>
      </w:r>
      <w:r>
        <w:rPr>
          <w:bCs/>
        </w:rPr>
        <w:t>20</w:t>
      </w:r>
      <w:r>
        <w:rPr>
          <w:rFonts w:hint="eastAsia"/>
          <w:bCs/>
        </w:rPr>
        <w:t>00 GB</w:t>
      </w:r>
      <w:r>
        <w:rPr>
          <w:bCs/>
        </w:rPr>
        <w:t>，2</w:t>
      </w:r>
      <w:r>
        <w:rPr>
          <w:rFonts w:hint="eastAsia"/>
          <w:bCs/>
        </w:rPr>
        <w:t>台CPU</w:t>
      </w:r>
      <w:r>
        <w:rPr>
          <w:bCs/>
        </w:rPr>
        <w:t>16</w:t>
      </w:r>
      <w:r>
        <w:rPr>
          <w:rFonts w:hint="eastAsia"/>
          <w:bCs/>
        </w:rPr>
        <w:t xml:space="preserve"> 核、内存1</w:t>
      </w:r>
      <w:r>
        <w:rPr>
          <w:bCs/>
        </w:rPr>
        <w:t>28</w:t>
      </w:r>
      <w:r>
        <w:rPr>
          <w:rFonts w:hint="eastAsia"/>
          <w:bCs/>
        </w:rPr>
        <w:t xml:space="preserve"> GB、存储</w:t>
      </w:r>
      <w:r>
        <w:rPr>
          <w:bCs/>
        </w:rPr>
        <w:t>50</w:t>
      </w:r>
      <w:r>
        <w:rPr>
          <w:rFonts w:hint="eastAsia"/>
          <w:bCs/>
        </w:rPr>
        <w:t>0 GB</w:t>
      </w:r>
      <w:r>
        <w:rPr>
          <w:bCs/>
        </w:rPr>
        <w:t>，</w:t>
      </w:r>
      <w:r>
        <w:rPr>
          <w:rFonts w:hint="eastAsia"/>
          <w:bCs/>
        </w:rPr>
        <w:t>1台CPU8 核、内存16 GB、存储500 GB。</w:t>
      </w:r>
    </w:p>
    <w:p>
      <w:pPr>
        <w:widowControl w:val="0"/>
        <w:spacing w:line="360" w:lineRule="auto"/>
        <w:ind w:firstLine="480" w:firstLineChars="200"/>
        <w:jc w:val="both"/>
        <w:rPr>
          <w:rFonts w:hint="eastAsia"/>
          <w:bCs/>
        </w:rPr>
      </w:pPr>
      <w:r>
        <w:rPr>
          <w:bCs/>
        </w:rPr>
        <w:t>申请操作系统服务-统信UOS、麒麟11套*年，安全防病毒(服务器端)11套*年，安全认证网关服务2套*年，签名验签服务2套*年</w:t>
      </w:r>
      <w:r>
        <w:rPr>
          <w:rFonts w:hint="eastAsia"/>
          <w:bCs/>
        </w:rPr>
        <w:t>，</w:t>
      </w:r>
      <w:r>
        <w:rPr>
          <w:bCs/>
        </w:rPr>
        <w:t>数字证书服务-SSL证书-通配符2张*年，数据库服务-达梦、人大金仓4套*年，中间件-东方通、普元、金蝶2套*年，可信密码服务1应用*年，短信服务200000条。</w:t>
      </w:r>
    </w:p>
    <w:p>
      <w:pPr>
        <w:widowControl w:val="0"/>
        <w:spacing w:line="360" w:lineRule="auto"/>
        <w:ind w:firstLine="480" w:firstLineChars="200"/>
        <w:jc w:val="both"/>
        <w:rPr>
          <w:rFonts w:hint="eastAsia"/>
          <w:bCs/>
        </w:rPr>
      </w:pPr>
      <w:r>
        <w:rPr>
          <w:bCs/>
        </w:rPr>
        <w:t>申请推理GPU资源-Ollama大模型底座、计算框架。</w:t>
      </w:r>
    </w:p>
    <w:p>
      <w:pPr>
        <w:pStyle w:val="2"/>
        <w:widowControl w:val="0"/>
        <w:spacing w:line="360" w:lineRule="auto"/>
        <w:ind w:firstLine="0"/>
        <w:jc w:val="both"/>
        <w:rPr>
          <w:rFonts w:hint="eastAsia"/>
        </w:rPr>
      </w:pPr>
      <w:bookmarkStart w:id="28" w:name="_Toc63785503"/>
      <w:r>
        <w:rPr>
          <w:rFonts w:hint="eastAsia"/>
        </w:rPr>
        <w:t>其他工作要求</w:t>
      </w:r>
      <w:bookmarkEnd w:id="28"/>
    </w:p>
    <w:p>
      <w:pPr>
        <w:keepNext/>
        <w:keepLines/>
        <w:widowControl w:val="0"/>
        <w:numPr>
          <w:ilvl w:val="1"/>
          <w:numId w:val="1"/>
        </w:numPr>
        <w:spacing w:before="120" w:after="120" w:line="360" w:lineRule="auto"/>
        <w:ind w:firstLine="0"/>
        <w:jc w:val="both"/>
        <w:outlineLvl w:val="1"/>
        <w:rPr>
          <w:rFonts w:hint="eastAsia"/>
          <w:b/>
          <w:bCs/>
          <w:sz w:val="30"/>
          <w:szCs w:val="32"/>
        </w:rPr>
      </w:pPr>
      <w:bookmarkStart w:id="29" w:name="_Toc63785505"/>
      <w:r>
        <w:rPr>
          <w:rFonts w:hint="eastAsia"/>
          <w:b/>
          <w:bCs/>
          <w:sz w:val="30"/>
          <w:szCs w:val="32"/>
        </w:rPr>
        <w:t>售后服务要求</w:t>
      </w:r>
      <w:bookmarkEnd w:id="29"/>
    </w:p>
    <w:p>
      <w:pPr>
        <w:widowControl w:val="0"/>
        <w:snapToGrid w:val="0"/>
        <w:spacing w:line="360" w:lineRule="auto"/>
        <w:ind w:firstLine="480" w:firstLineChars="200"/>
        <w:jc w:val="both"/>
        <w:rPr>
          <w:rFonts w:hint="eastAsia"/>
        </w:rPr>
      </w:pPr>
      <w:r>
        <w:rPr>
          <w:rFonts w:hint="eastAsia"/>
        </w:rPr>
        <w:t>本项目从系统验收通过之日起1年内提供</w:t>
      </w:r>
      <w:r>
        <w:t>7*24小时免费技术支持</w:t>
      </w:r>
      <w:r>
        <w:rPr>
          <w:rFonts w:hint="eastAsia"/>
        </w:rPr>
        <w:t>和售后服务，1年后进入有偿维护期。</w:t>
      </w:r>
    </w:p>
    <w:p>
      <w:pPr>
        <w:widowControl w:val="0"/>
        <w:snapToGrid w:val="0"/>
        <w:spacing w:line="360" w:lineRule="auto"/>
        <w:ind w:firstLine="480" w:firstLineChars="200"/>
        <w:jc w:val="both"/>
        <w:rPr>
          <w:rFonts w:hint="eastAsia"/>
        </w:rPr>
      </w:pPr>
      <w:r>
        <w:rPr>
          <w:rFonts w:hint="eastAsia"/>
        </w:rPr>
        <w:t>在质量保证期内，供应商将按照售后服务的承诺提供保修和运行维护服务，如果厂商对信息系统中软、硬件设备等产品中的部分保修期超过上述期限的，则按照厂商的规定进行免费保修。</w:t>
      </w:r>
    </w:p>
    <w:p>
      <w:pPr>
        <w:widowControl w:val="0"/>
        <w:snapToGrid w:val="0"/>
        <w:spacing w:line="360" w:lineRule="auto"/>
        <w:ind w:firstLine="480" w:firstLineChars="200"/>
        <w:jc w:val="both"/>
        <w:rPr>
          <w:rFonts w:hint="eastAsia"/>
        </w:rPr>
      </w:pPr>
      <w:r>
        <w:rPr>
          <w:rFonts w:hint="eastAsia"/>
        </w:rPr>
        <w:t>在质量保证期内，供应商负责信息系统的运行维护工作，确保信息系统安全、稳定、可靠地运行。本项目涉及的运行维护工作范围为：上海市产品碳足迹管理服务子系统。</w:t>
      </w:r>
    </w:p>
    <w:p>
      <w:pPr>
        <w:pStyle w:val="8"/>
        <w:snapToGrid w:val="0"/>
        <w:spacing w:line="360" w:lineRule="auto"/>
        <w:ind w:firstLine="480"/>
        <w:rPr>
          <w:rFonts w:hint="eastAsia" w:ascii="宋体" w:hAnsi="宋体"/>
          <w:sz w:val="24"/>
          <w:szCs w:val="24"/>
        </w:rPr>
      </w:pPr>
    </w:p>
    <w:p>
      <w:pPr>
        <w:keepNext/>
        <w:keepLines/>
        <w:widowControl w:val="0"/>
        <w:numPr>
          <w:ilvl w:val="1"/>
          <w:numId w:val="1"/>
        </w:numPr>
        <w:spacing w:before="120" w:after="120" w:line="360" w:lineRule="auto"/>
        <w:ind w:firstLine="0"/>
        <w:jc w:val="both"/>
        <w:outlineLvl w:val="1"/>
        <w:rPr>
          <w:rFonts w:hint="eastAsia"/>
          <w:b/>
          <w:bCs/>
          <w:sz w:val="30"/>
          <w:szCs w:val="32"/>
        </w:rPr>
      </w:pPr>
      <w:bookmarkStart w:id="30" w:name="_Toc63785506"/>
      <w:r>
        <w:rPr>
          <w:rFonts w:hint="eastAsia"/>
          <w:b/>
          <w:bCs/>
          <w:sz w:val="30"/>
          <w:szCs w:val="32"/>
        </w:rPr>
        <w:t>应急响应要求</w:t>
      </w:r>
      <w:bookmarkEnd w:id="30"/>
    </w:p>
    <w:p>
      <w:pPr>
        <w:widowControl w:val="0"/>
        <w:snapToGrid w:val="0"/>
        <w:spacing w:line="360" w:lineRule="auto"/>
        <w:ind w:firstLine="480" w:firstLineChars="200"/>
        <w:jc w:val="both"/>
        <w:rPr>
          <w:rFonts w:hint="eastAsia"/>
        </w:rPr>
      </w:pPr>
      <w:bookmarkStart w:id="31" w:name="_Toc63785509"/>
      <w:r>
        <w:rPr>
          <w:rFonts w:hint="eastAsia"/>
        </w:rPr>
        <w:t>供应商对系统故障应能够实时响应，若系统发生故障，接到通知后</w:t>
      </w:r>
      <w:r>
        <w:t>30分钟之内响应，专业工程师2小时内到达现场</w:t>
      </w:r>
      <w:r>
        <w:rPr>
          <w:rFonts w:hint="eastAsia"/>
        </w:rPr>
        <w:t>。特殊故障与客户沟通协商后，按照协商的方式制定解决方案并进行处理。</w:t>
      </w:r>
    </w:p>
    <w:p>
      <w:pPr>
        <w:widowControl w:val="0"/>
        <w:snapToGrid w:val="0"/>
        <w:spacing w:line="360" w:lineRule="auto"/>
        <w:ind w:firstLine="480" w:firstLineChars="200"/>
        <w:jc w:val="both"/>
        <w:rPr>
          <w:rFonts w:hint="eastAsia"/>
        </w:rPr>
      </w:pPr>
      <w:r>
        <w:rPr>
          <w:rFonts w:hint="eastAsia"/>
        </w:rPr>
        <w:t>具体故障级别及对应的应急响应要求如下：</w:t>
      </w:r>
    </w:p>
    <w:p>
      <w:pPr>
        <w:widowControl w:val="0"/>
        <w:snapToGrid w:val="0"/>
        <w:spacing w:line="360" w:lineRule="auto"/>
        <w:ind w:firstLine="480" w:firstLineChars="200"/>
        <w:jc w:val="both"/>
        <w:rPr>
          <w:rFonts w:hint="eastAsia"/>
        </w:rPr>
      </w:pPr>
      <w:r>
        <w:rPr>
          <w:rFonts w:hint="eastAsia"/>
        </w:rPr>
        <w:t>一级故障：在</w:t>
      </w:r>
      <w:r>
        <w:t>1小时内确诊，总故障解决时间不超过4小时。</w:t>
      </w:r>
    </w:p>
    <w:p>
      <w:pPr>
        <w:widowControl w:val="0"/>
        <w:snapToGrid w:val="0"/>
        <w:spacing w:line="360" w:lineRule="auto"/>
        <w:ind w:firstLine="480" w:firstLineChars="200"/>
        <w:jc w:val="both"/>
        <w:rPr>
          <w:rFonts w:hint="eastAsia"/>
        </w:rPr>
      </w:pPr>
      <w:r>
        <w:rPr>
          <w:rFonts w:hint="eastAsia"/>
        </w:rPr>
        <w:t>二级故障：在</w:t>
      </w:r>
      <w:r>
        <w:t>2小时内确诊，并在4小时内由专家到达现场确诊并解决，总故障解决时间不超过8小时；</w:t>
      </w:r>
    </w:p>
    <w:p>
      <w:pPr>
        <w:widowControl w:val="0"/>
        <w:numPr>
          <w:ilvl w:val="0"/>
          <w:numId w:val="2"/>
        </w:numPr>
        <w:snapToGrid w:val="0"/>
        <w:spacing w:line="360" w:lineRule="auto"/>
        <w:ind w:firstLine="480" w:firstLineChars="200"/>
        <w:jc w:val="both"/>
        <w:rPr>
          <w:rFonts w:hint="eastAsia"/>
        </w:rPr>
      </w:pPr>
      <w:r>
        <w:rPr>
          <w:rFonts w:hint="eastAsia"/>
        </w:rPr>
        <w:t>四级故障：在</w:t>
      </w:r>
      <w:r>
        <w:t>4小时内确诊故障，总故障解决时间不超过16小时。</w:t>
      </w:r>
    </w:p>
    <w:p>
      <w:pPr>
        <w:keepNext/>
        <w:keepLines/>
        <w:widowControl w:val="0"/>
        <w:numPr>
          <w:ilvl w:val="1"/>
          <w:numId w:val="1"/>
        </w:numPr>
        <w:spacing w:before="120" w:after="120" w:line="360" w:lineRule="auto"/>
        <w:ind w:firstLine="0"/>
        <w:jc w:val="both"/>
        <w:outlineLvl w:val="1"/>
        <w:rPr>
          <w:rFonts w:hint="eastAsia"/>
          <w:b/>
          <w:bCs/>
          <w:sz w:val="30"/>
          <w:szCs w:val="32"/>
        </w:rPr>
      </w:pPr>
      <w:r>
        <w:rPr>
          <w:rFonts w:hint="eastAsia"/>
          <w:b/>
          <w:bCs/>
          <w:sz w:val="30"/>
          <w:szCs w:val="32"/>
        </w:rPr>
        <w:t>培训要求</w:t>
      </w:r>
    </w:p>
    <w:p>
      <w:pPr>
        <w:widowControl w:val="0"/>
        <w:spacing w:line="360" w:lineRule="auto"/>
        <w:ind w:firstLine="480" w:firstLineChars="200"/>
        <w:jc w:val="both"/>
        <w:rPr>
          <w:rFonts w:hint="eastAsia"/>
        </w:rPr>
      </w:pPr>
      <w:r>
        <w:rPr>
          <w:rFonts w:hint="eastAsia"/>
        </w:rPr>
        <w:t>对系统使用单位提供业务操作培训，应提供详细培训方案。</w:t>
      </w:r>
    </w:p>
    <w:p>
      <w:pPr>
        <w:widowControl w:val="0"/>
        <w:spacing w:line="360" w:lineRule="auto"/>
        <w:ind w:firstLine="480" w:firstLineChars="200"/>
        <w:jc w:val="both"/>
        <w:rPr>
          <w:rFonts w:hint="eastAsia"/>
        </w:rPr>
      </w:pPr>
      <w:r>
        <w:rPr>
          <w:rFonts w:hint="eastAsia"/>
        </w:rPr>
        <w:t>(1)在12个月的质量保证期内，提供2次与项目相关的必要培训。</w:t>
      </w:r>
    </w:p>
    <w:p>
      <w:pPr>
        <w:widowControl w:val="0"/>
        <w:spacing w:line="360" w:lineRule="auto"/>
        <w:ind w:firstLine="480" w:firstLineChars="200"/>
        <w:jc w:val="both"/>
        <w:rPr>
          <w:rFonts w:hint="eastAsia"/>
        </w:rPr>
      </w:pPr>
      <w:r>
        <w:rPr>
          <w:rFonts w:hint="eastAsia"/>
        </w:rPr>
        <w:t>(2)供应商需要开展分层次的人员培训工作，每次培训后应对参加培训人员进行测试，评估培训成果。培训应具有培训教材、培训环境和高水平的培训讲师。</w:t>
      </w:r>
    </w:p>
    <w:p>
      <w:pPr>
        <w:widowControl w:val="0"/>
        <w:spacing w:line="360" w:lineRule="auto"/>
        <w:ind w:firstLine="480" w:firstLineChars="200"/>
        <w:jc w:val="both"/>
        <w:rPr>
          <w:rFonts w:hint="eastAsia"/>
          <w:strike/>
          <w:szCs w:val="21"/>
        </w:rPr>
      </w:pPr>
      <w:r>
        <w:rPr>
          <w:rFonts w:hint="eastAsia"/>
        </w:rPr>
        <w:t>(3)供应商应提供一般用户的基础操作培训和部门信息管理员的日常应用维护的培训，确保用户对象能够掌握对应的操作技能。</w:t>
      </w:r>
    </w:p>
    <w:p>
      <w:pPr>
        <w:widowControl w:val="0"/>
        <w:snapToGrid w:val="0"/>
        <w:spacing w:line="360" w:lineRule="auto"/>
        <w:jc w:val="both"/>
        <w:rPr>
          <w:rFonts w:hint="eastAsia"/>
        </w:rPr>
      </w:pPr>
    </w:p>
    <w:p>
      <w:pPr>
        <w:pStyle w:val="3"/>
        <w:widowControl w:val="0"/>
        <w:spacing w:line="360" w:lineRule="auto"/>
        <w:ind w:firstLine="0"/>
        <w:jc w:val="both"/>
        <w:rPr>
          <w:rFonts w:hint="eastAsia"/>
        </w:rPr>
      </w:pPr>
      <w:r>
        <w:rPr>
          <w:rFonts w:hint="eastAsia"/>
        </w:rPr>
        <w:t>进度要求</w:t>
      </w:r>
      <w:bookmarkEnd w:id="31"/>
    </w:p>
    <w:p>
      <w:pPr>
        <w:widowControl w:val="0"/>
        <w:spacing w:line="360" w:lineRule="auto"/>
        <w:ind w:firstLine="480" w:firstLineChars="200"/>
        <w:jc w:val="both"/>
        <w:rPr>
          <w:rFonts w:hint="eastAsia"/>
          <w:bCs/>
        </w:rPr>
      </w:pPr>
      <w:r>
        <w:rPr>
          <w:rFonts w:hint="eastAsia"/>
          <w:bCs/>
        </w:rPr>
        <w:t>系统建设、各类测评及验收工作</w:t>
      </w:r>
      <w:r>
        <w:rPr>
          <w:bCs/>
        </w:rPr>
        <w:t>（包括向采购人提交正式项目成果）必须于202</w:t>
      </w:r>
      <w:r>
        <w:rPr>
          <w:rFonts w:hint="eastAsia"/>
          <w:bCs/>
        </w:rPr>
        <w:t>6</w:t>
      </w:r>
      <w:r>
        <w:rPr>
          <w:bCs/>
        </w:rPr>
        <w:t>年</w:t>
      </w:r>
      <w:r>
        <w:rPr>
          <w:rFonts w:hint="eastAsia"/>
          <w:bCs/>
        </w:rPr>
        <w:t>6</w:t>
      </w:r>
      <w:r>
        <w:rPr>
          <w:bCs/>
        </w:rPr>
        <w:t>月</w:t>
      </w:r>
      <w:r>
        <w:rPr>
          <w:rFonts w:hint="eastAsia"/>
          <w:bCs/>
        </w:rPr>
        <w:t>30</w:t>
      </w:r>
      <w:r>
        <w:rPr>
          <w:bCs/>
        </w:rPr>
        <w:t>日之前全部完成。</w:t>
      </w:r>
    </w:p>
    <w:p>
      <w:pPr>
        <w:widowControl w:val="0"/>
        <w:spacing w:line="360" w:lineRule="auto"/>
        <w:ind w:firstLine="480" w:firstLineChars="200"/>
        <w:jc w:val="both"/>
        <w:rPr>
          <w:rFonts w:hint="eastAsia"/>
          <w:bCs/>
        </w:rPr>
      </w:pPr>
      <w:r>
        <w:rPr>
          <w:rFonts w:hint="eastAsia"/>
          <w:bCs/>
        </w:rPr>
        <w:t>本项目工作分2个阶段进行</w:t>
      </w:r>
      <w:r>
        <w:rPr>
          <w:bCs/>
        </w:rPr>
        <w:t>，即：</w:t>
      </w:r>
    </w:p>
    <w:p>
      <w:pPr>
        <w:widowControl w:val="0"/>
        <w:spacing w:line="360" w:lineRule="auto"/>
        <w:ind w:firstLine="480" w:firstLineChars="200"/>
        <w:jc w:val="both"/>
        <w:rPr>
          <w:rFonts w:hint="eastAsia"/>
          <w:bCs/>
        </w:rPr>
      </w:pPr>
      <w:r>
        <w:rPr>
          <w:rFonts w:hint="eastAsia"/>
          <w:bCs/>
        </w:rPr>
        <w:t>阶段一</w:t>
      </w:r>
      <w:r>
        <w:rPr>
          <w:bCs/>
        </w:rPr>
        <w:t>（2025年1</w:t>
      </w:r>
      <w:r>
        <w:rPr>
          <w:rFonts w:hint="eastAsia"/>
          <w:bCs/>
        </w:rPr>
        <w:t>1</w:t>
      </w:r>
      <w:r>
        <w:rPr>
          <w:bCs/>
        </w:rPr>
        <w:t>月</w:t>
      </w:r>
      <w:r>
        <w:rPr>
          <w:rFonts w:hint="eastAsia"/>
          <w:bCs/>
        </w:rPr>
        <w:t>30</w:t>
      </w:r>
      <w:r>
        <w:rPr>
          <w:bCs/>
        </w:rPr>
        <w:t>日前）：完成项目有关业务、系统和需求的调研，形成总体设计方案，完成系统架构、基础资源、功能等详细设计，并提供主体建设内容的部分系统原型。</w:t>
      </w:r>
      <w:r>
        <w:rPr>
          <w:rFonts w:hint="eastAsia"/>
          <w:bCs/>
        </w:rPr>
        <w:t>进行数据归集整合、资源申请和各模块的开发与测试工作，完成系统联调与部署，发布beta测试版本。</w:t>
      </w:r>
    </w:p>
    <w:p>
      <w:pPr>
        <w:widowControl w:val="0"/>
        <w:spacing w:line="360" w:lineRule="auto"/>
        <w:ind w:firstLine="480" w:firstLineChars="200"/>
        <w:jc w:val="both"/>
        <w:rPr>
          <w:rFonts w:hint="eastAsia"/>
          <w:bCs/>
        </w:rPr>
      </w:pPr>
      <w:r>
        <w:rPr>
          <w:rFonts w:hint="eastAsia"/>
          <w:bCs/>
        </w:rPr>
        <w:t>阶段二（2026年6月30日前）：完成系统完善和功能迭代，直至发布正式运行版本。实施项目验收并启动项目的正式运行，根据项目运行情况和验收要求开展各类项目测评、功能优化和绩效评价等工作。</w:t>
      </w:r>
    </w:p>
    <w:p>
      <w:pPr>
        <w:keepNext/>
        <w:keepLines/>
        <w:widowControl w:val="0"/>
        <w:numPr>
          <w:ilvl w:val="1"/>
          <w:numId w:val="1"/>
        </w:numPr>
        <w:spacing w:before="120" w:after="120" w:line="360" w:lineRule="auto"/>
        <w:ind w:firstLine="0"/>
        <w:jc w:val="both"/>
        <w:outlineLvl w:val="1"/>
        <w:rPr>
          <w:rFonts w:hint="eastAsia"/>
          <w:b/>
          <w:bCs/>
          <w:sz w:val="30"/>
          <w:szCs w:val="32"/>
        </w:rPr>
      </w:pPr>
      <w:bookmarkStart w:id="32" w:name="_Toc63785510"/>
      <w:r>
        <w:rPr>
          <w:rFonts w:hint="eastAsia"/>
          <w:b/>
          <w:bCs/>
          <w:sz w:val="30"/>
          <w:szCs w:val="32"/>
        </w:rPr>
        <w:t>项目团队及驻场人员要求</w:t>
      </w:r>
      <w:bookmarkEnd w:id="32"/>
    </w:p>
    <w:p>
      <w:pPr>
        <w:widowControl w:val="0"/>
        <w:spacing w:line="360" w:lineRule="auto"/>
        <w:ind w:firstLine="480" w:firstLineChars="200"/>
        <w:jc w:val="both"/>
        <w:rPr>
          <w:rFonts w:hint="eastAsia"/>
          <w:bCs/>
        </w:rPr>
      </w:pPr>
      <w:bookmarkStart w:id="33" w:name="_Toc63785511"/>
      <w:r>
        <w:rPr>
          <w:rFonts w:hint="eastAsia"/>
          <w:bCs/>
        </w:rPr>
        <w:t>1）投标人须具有稳定的在职技术保障力量，能够提供及时的技术支援或服务，应针对本项目提供不少于</w:t>
      </w:r>
      <w:r>
        <w:rPr>
          <w:bCs/>
        </w:rPr>
        <w:t>15</w:t>
      </w:r>
      <w:r>
        <w:rPr>
          <w:rFonts w:hint="eastAsia"/>
          <w:bCs/>
        </w:rPr>
        <w:t>人的项目服务团队（包括</w:t>
      </w:r>
      <w:r>
        <w:rPr>
          <w:bCs/>
        </w:rPr>
        <w:t>项目负责人、技术负责人、</w:t>
      </w:r>
      <w:r>
        <w:rPr>
          <w:rFonts w:hint="eastAsia"/>
          <w:bCs/>
        </w:rPr>
        <w:t>项目经理、产品经理、</w:t>
      </w:r>
      <w:r>
        <w:rPr>
          <w:bCs/>
        </w:rPr>
        <w:t>开发工程师、LCA技术人员</w:t>
      </w:r>
      <w:r>
        <w:rPr>
          <w:rFonts w:hint="eastAsia"/>
          <w:bCs/>
        </w:rPr>
        <w:t>等），投标单位的相关服务人员需具备相应的服务能力，需提供相关证明。</w:t>
      </w:r>
    </w:p>
    <w:tbl>
      <w:tblPr>
        <w:tblStyle w:val="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2196"/>
        <w:gridCol w:w="1283"/>
        <w:gridCol w:w="2197"/>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2" w:type="pct"/>
            <w:noWrap/>
            <w:vAlign w:val="center"/>
          </w:tcPr>
          <w:p>
            <w:pPr>
              <w:rPr>
                <w:rFonts w:hint="eastAsia"/>
                <w:b/>
              </w:rPr>
            </w:pPr>
            <w:r>
              <w:rPr>
                <w:rFonts w:hint="eastAsia"/>
                <w:b/>
              </w:rPr>
              <w:t>角色</w:t>
            </w:r>
          </w:p>
        </w:tc>
        <w:tc>
          <w:tcPr>
            <w:tcW w:w="1287" w:type="pct"/>
            <w:noWrap/>
            <w:vAlign w:val="center"/>
          </w:tcPr>
          <w:p>
            <w:pPr>
              <w:rPr>
                <w:rFonts w:hint="eastAsia"/>
                <w:b/>
              </w:rPr>
            </w:pPr>
            <w:r>
              <w:rPr>
                <w:rFonts w:hint="eastAsia"/>
                <w:b/>
              </w:rPr>
              <w:t>主要职责</w:t>
            </w:r>
          </w:p>
        </w:tc>
        <w:tc>
          <w:tcPr>
            <w:tcW w:w="752" w:type="pct"/>
            <w:noWrap/>
            <w:vAlign w:val="center"/>
          </w:tcPr>
          <w:p>
            <w:pPr>
              <w:rPr>
                <w:rFonts w:hint="eastAsia"/>
                <w:b/>
              </w:rPr>
            </w:pPr>
            <w:r>
              <w:rPr>
                <w:rFonts w:hint="eastAsia"/>
                <w:b/>
              </w:rPr>
              <w:t>人员数量</w:t>
            </w:r>
          </w:p>
        </w:tc>
        <w:tc>
          <w:tcPr>
            <w:tcW w:w="1287" w:type="pct"/>
            <w:vAlign w:val="center"/>
          </w:tcPr>
          <w:p>
            <w:pPr>
              <w:rPr>
                <w:rFonts w:hint="eastAsia"/>
                <w:b/>
              </w:rPr>
            </w:pPr>
            <w:r>
              <w:rPr>
                <w:rFonts w:hint="eastAsia"/>
                <w:b/>
              </w:rPr>
              <w:t>人员要求</w:t>
            </w:r>
          </w:p>
        </w:tc>
        <w:tc>
          <w:tcPr>
            <w:tcW w:w="690" w:type="pct"/>
            <w:noWrap/>
            <w:vAlign w:val="center"/>
          </w:tcPr>
          <w:p>
            <w:pPr>
              <w:rPr>
                <w:rFonts w:hint="eastAsia"/>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0" w:hRule="atLeast"/>
          <w:jc w:val="center"/>
        </w:trPr>
        <w:tc>
          <w:tcPr>
            <w:tcW w:w="982" w:type="pct"/>
            <w:noWrap/>
            <w:vAlign w:val="center"/>
          </w:tcPr>
          <w:p>
            <w:pPr>
              <w:rPr>
                <w:rFonts w:hint="eastAsia"/>
              </w:rPr>
            </w:pPr>
            <w:r>
              <w:t>项目负责人</w:t>
            </w:r>
          </w:p>
        </w:tc>
        <w:tc>
          <w:tcPr>
            <w:tcW w:w="1287" w:type="pct"/>
            <w:vAlign w:val="center"/>
          </w:tcPr>
          <w:p>
            <w:pPr>
              <w:jc w:val="both"/>
              <w:rPr>
                <w:rFonts w:hint="eastAsia"/>
              </w:rPr>
            </w:pPr>
            <w:r>
              <w:rPr>
                <w:rFonts w:hint="eastAsia"/>
              </w:rPr>
              <w:t>全面负责项目质量、安全、进度及外部协调，主持重大决策与风险控制</w:t>
            </w:r>
          </w:p>
        </w:tc>
        <w:tc>
          <w:tcPr>
            <w:tcW w:w="752" w:type="pct"/>
            <w:noWrap/>
            <w:vAlign w:val="center"/>
          </w:tcPr>
          <w:p>
            <w:pPr>
              <w:rPr>
                <w:rFonts w:hint="eastAsia"/>
              </w:rPr>
            </w:pPr>
            <w:r>
              <w:rPr>
                <w:rFonts w:hint="eastAsia"/>
              </w:rPr>
              <w:t>1人</w:t>
            </w:r>
          </w:p>
        </w:tc>
        <w:tc>
          <w:tcPr>
            <w:tcW w:w="1287" w:type="pct"/>
            <w:vAlign w:val="center"/>
          </w:tcPr>
          <w:p>
            <w:pPr>
              <w:jc w:val="both"/>
              <w:rPr>
                <w:rFonts w:hint="eastAsia"/>
                <w:sz w:val="22"/>
                <w:szCs w:val="22"/>
              </w:rPr>
            </w:pPr>
            <w:r>
              <w:rPr>
                <w:sz w:val="22"/>
                <w:szCs w:val="22"/>
              </w:rPr>
              <w:t>具</w:t>
            </w:r>
            <w:r>
              <w:rPr>
                <w:rFonts w:hint="eastAsia"/>
                <w:sz w:val="22"/>
                <w:szCs w:val="22"/>
              </w:rPr>
              <w:t>有能源环境、生态环境、冶金工程、信息技术专业副高级及以上职称</w:t>
            </w:r>
            <w:r>
              <w:rPr>
                <w:sz w:val="22"/>
                <w:szCs w:val="22"/>
              </w:rPr>
              <w:t>、</w:t>
            </w:r>
            <w:r>
              <w:rPr>
                <w:rFonts w:hint="eastAsia"/>
                <w:sz w:val="22"/>
                <w:szCs w:val="22"/>
              </w:rPr>
              <w:t>参与过生命周期评价或碳足迹相关国家标准起草</w:t>
            </w:r>
            <w:r>
              <w:rPr>
                <w:sz w:val="22"/>
                <w:szCs w:val="22"/>
              </w:rPr>
              <w:t>或参与过生命周期评价或碳足迹相关省级地方标准起草并发布、主持过能源低碳领域课题</w:t>
            </w:r>
          </w:p>
        </w:tc>
        <w:tc>
          <w:tcPr>
            <w:tcW w:w="690" w:type="pct"/>
            <w:noWrap/>
            <w:vAlign w:val="center"/>
          </w:tcPr>
          <w:p>
            <w:pPr>
              <w:rPr>
                <w:rFonts w:hint="eastAsia"/>
              </w:rPr>
            </w:pPr>
            <w: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2" w:type="pct"/>
            <w:noWrap/>
            <w:vAlign w:val="center"/>
          </w:tcPr>
          <w:p>
            <w:pPr>
              <w:rPr>
                <w:rFonts w:hint="eastAsia"/>
              </w:rPr>
            </w:pPr>
            <w:r>
              <w:t>技术负责人</w:t>
            </w:r>
          </w:p>
        </w:tc>
        <w:tc>
          <w:tcPr>
            <w:tcW w:w="1287" w:type="pct"/>
            <w:vAlign w:val="center"/>
          </w:tcPr>
          <w:p>
            <w:pPr>
              <w:jc w:val="both"/>
              <w:rPr>
                <w:rFonts w:hint="eastAsia"/>
              </w:rPr>
            </w:pPr>
            <w:r>
              <w:rPr>
                <w:rFonts w:hint="eastAsia"/>
              </w:rPr>
              <w:t>主导技术方案设计、质量把控及标准落实，解决关键技术难题</w:t>
            </w:r>
          </w:p>
        </w:tc>
        <w:tc>
          <w:tcPr>
            <w:tcW w:w="752" w:type="pct"/>
            <w:noWrap/>
            <w:vAlign w:val="center"/>
          </w:tcPr>
          <w:p>
            <w:pPr>
              <w:rPr>
                <w:rFonts w:hint="eastAsia"/>
              </w:rPr>
            </w:pPr>
            <w:r>
              <w:rPr>
                <w:rFonts w:hint="eastAsia"/>
              </w:rPr>
              <w:t>1人</w:t>
            </w:r>
          </w:p>
        </w:tc>
        <w:tc>
          <w:tcPr>
            <w:tcW w:w="1287" w:type="pct"/>
            <w:vAlign w:val="center"/>
          </w:tcPr>
          <w:p>
            <w:pPr>
              <w:rPr>
                <w:rFonts w:hint="eastAsia"/>
                <w:sz w:val="22"/>
                <w:szCs w:val="22"/>
              </w:rPr>
            </w:pPr>
            <w:r>
              <w:rPr>
                <w:sz w:val="22"/>
                <w:szCs w:val="22"/>
              </w:rPr>
              <w:t>具有</w:t>
            </w:r>
            <w:r>
              <w:rPr>
                <w:rFonts w:hint="eastAsia"/>
                <w:sz w:val="22"/>
                <w:szCs w:val="22"/>
              </w:rPr>
              <w:t>环境</w:t>
            </w:r>
            <w:r>
              <w:rPr>
                <w:sz w:val="22"/>
                <w:szCs w:val="22"/>
              </w:rPr>
              <w:t>科学、环境工程或相关专业博士及</w:t>
            </w:r>
            <w:r>
              <w:rPr>
                <w:rFonts w:hint="eastAsia"/>
                <w:sz w:val="22"/>
                <w:szCs w:val="22"/>
              </w:rPr>
              <w:t>以上学历</w:t>
            </w:r>
            <w:r>
              <w:rPr>
                <w:sz w:val="22"/>
                <w:szCs w:val="22"/>
              </w:rPr>
              <w:t>、</w:t>
            </w:r>
            <w:r>
              <w:rPr>
                <w:rFonts w:hint="eastAsia"/>
                <w:sz w:val="22"/>
                <w:szCs w:val="22"/>
              </w:rPr>
              <w:t>参与过生命周期评价或碳足迹相关国家标准起草</w:t>
            </w:r>
            <w:r>
              <w:rPr>
                <w:sz w:val="22"/>
                <w:szCs w:val="22"/>
              </w:rPr>
              <w:t>或以第一起草人参与过生命周期评价或碳足迹相关省级地方标准起草并发布</w:t>
            </w:r>
          </w:p>
        </w:tc>
        <w:tc>
          <w:tcPr>
            <w:tcW w:w="690" w:type="pct"/>
            <w:noWrap/>
            <w:vAlign w:val="center"/>
          </w:tcPr>
          <w:p>
            <w:pPr>
              <w:rPr>
                <w:rFonts w:hint="eastAsia"/>
              </w:rPr>
            </w:pPr>
            <w: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2" w:type="pct"/>
            <w:noWrap/>
            <w:vAlign w:val="center"/>
          </w:tcPr>
          <w:p>
            <w:pPr>
              <w:rPr>
                <w:rFonts w:hint="eastAsia"/>
              </w:rPr>
            </w:pPr>
            <w:r>
              <w:t>开发负责人</w:t>
            </w:r>
          </w:p>
        </w:tc>
        <w:tc>
          <w:tcPr>
            <w:tcW w:w="1287" w:type="pct"/>
            <w:vAlign w:val="center"/>
          </w:tcPr>
          <w:p>
            <w:pPr>
              <w:jc w:val="both"/>
              <w:rPr>
                <w:rFonts w:hint="eastAsia"/>
              </w:rPr>
            </w:pPr>
            <w:r>
              <w:rPr>
                <w:rFonts w:hint="eastAsia"/>
              </w:rPr>
              <w:t>主导</w:t>
            </w:r>
            <w:r>
              <w:t>开发</w:t>
            </w:r>
            <w:r>
              <w:rPr>
                <w:rFonts w:hint="eastAsia"/>
              </w:rPr>
              <w:t>方案设计、质量把控及标准落实，解决关键技术难题</w:t>
            </w:r>
          </w:p>
        </w:tc>
        <w:tc>
          <w:tcPr>
            <w:tcW w:w="752" w:type="pct"/>
            <w:noWrap/>
            <w:vAlign w:val="center"/>
          </w:tcPr>
          <w:p>
            <w:pPr>
              <w:rPr>
                <w:rFonts w:hint="eastAsia"/>
              </w:rPr>
            </w:pPr>
            <w:r>
              <w:rPr>
                <w:rFonts w:hint="eastAsia"/>
              </w:rPr>
              <w:t>1人</w:t>
            </w:r>
          </w:p>
        </w:tc>
        <w:tc>
          <w:tcPr>
            <w:tcW w:w="1287" w:type="pct"/>
            <w:vAlign w:val="center"/>
          </w:tcPr>
          <w:p>
            <w:pPr>
              <w:jc w:val="both"/>
              <w:rPr>
                <w:rFonts w:hint="eastAsia"/>
                <w:sz w:val="22"/>
                <w:szCs w:val="22"/>
              </w:rPr>
            </w:pPr>
            <w:r>
              <w:rPr>
                <w:sz w:val="22"/>
                <w:szCs w:val="22"/>
              </w:rPr>
              <w:t>具有信息技术、管理科学、环境科学等相关专业背景，具备3年及以上数据库或平台开发经验，负责过生命周期数据库或环境信息系统的架构设计和上线运行，熟悉ILCD数据格式及LCA软件接口开发</w:t>
            </w:r>
          </w:p>
        </w:tc>
        <w:tc>
          <w:tcPr>
            <w:tcW w:w="690" w:type="pct"/>
            <w:noWrap/>
            <w:vAlign w:val="center"/>
          </w:tcPr>
          <w:p>
            <w:pPr>
              <w:rPr>
                <w:rFonts w:hint="eastAsia"/>
              </w:rPr>
            </w:pPr>
            <w: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2" w:type="pct"/>
            <w:noWrap/>
            <w:vAlign w:val="center"/>
          </w:tcPr>
          <w:p>
            <w:pPr>
              <w:rPr>
                <w:rFonts w:hint="eastAsia"/>
              </w:rPr>
            </w:pPr>
            <w:r>
              <w:rPr>
                <w:rFonts w:hint="eastAsia"/>
              </w:rPr>
              <w:t>项目经理</w:t>
            </w:r>
          </w:p>
        </w:tc>
        <w:tc>
          <w:tcPr>
            <w:tcW w:w="1287" w:type="pct"/>
            <w:vAlign w:val="center"/>
          </w:tcPr>
          <w:p>
            <w:pPr>
              <w:jc w:val="both"/>
              <w:rPr>
                <w:rFonts w:hint="eastAsia"/>
              </w:rPr>
            </w:pPr>
            <w:r>
              <w:rPr>
                <w:rFonts w:hint="eastAsia"/>
              </w:rPr>
              <w:t>制定执行项目计划，协调团队协作，确保按时交付</w:t>
            </w:r>
          </w:p>
        </w:tc>
        <w:tc>
          <w:tcPr>
            <w:tcW w:w="752" w:type="pct"/>
            <w:noWrap/>
            <w:vAlign w:val="center"/>
          </w:tcPr>
          <w:p>
            <w:pPr>
              <w:rPr>
                <w:rFonts w:hint="eastAsia"/>
              </w:rPr>
            </w:pPr>
            <w:r>
              <w:rPr>
                <w:rFonts w:hint="eastAsia"/>
              </w:rPr>
              <w:t>1人</w:t>
            </w:r>
          </w:p>
        </w:tc>
        <w:tc>
          <w:tcPr>
            <w:tcW w:w="1287" w:type="pct"/>
            <w:vAlign w:val="center"/>
          </w:tcPr>
          <w:p>
            <w:pPr>
              <w:rPr>
                <w:rFonts w:hint="eastAsia"/>
              </w:rPr>
            </w:pPr>
            <w:r>
              <w:rPr>
                <w:rFonts w:hint="eastAsia"/>
                <w:sz w:val="22"/>
                <w:szCs w:val="22"/>
              </w:rPr>
              <w:t>具有</w:t>
            </w:r>
            <w:r>
              <w:rPr>
                <w:sz w:val="22"/>
                <w:szCs w:val="22"/>
              </w:rPr>
              <w:t>工程管理、环境管理、信息管理等相关专业中级及以上职称，具备1~3年碳足迹或LCA信息化领域项目管理经验</w:t>
            </w:r>
          </w:p>
        </w:tc>
        <w:tc>
          <w:tcPr>
            <w:tcW w:w="690" w:type="pct"/>
            <w:noWrap/>
            <w:vAlign w:val="center"/>
          </w:tcPr>
          <w:p>
            <w:pPr>
              <w:rPr>
                <w:rFonts w:hint="eastAsia"/>
              </w:rP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82" w:type="pct"/>
            <w:noWrap/>
            <w:vAlign w:val="center"/>
          </w:tcPr>
          <w:p>
            <w:pPr>
              <w:rPr>
                <w:rFonts w:hint="eastAsia"/>
              </w:rPr>
            </w:pPr>
            <w:r>
              <w:rPr>
                <w:rFonts w:hint="eastAsia"/>
              </w:rPr>
              <w:t>产品经理</w:t>
            </w:r>
          </w:p>
        </w:tc>
        <w:tc>
          <w:tcPr>
            <w:tcW w:w="1287" w:type="pct"/>
            <w:vAlign w:val="center"/>
          </w:tcPr>
          <w:p>
            <w:pPr>
              <w:jc w:val="both"/>
              <w:rPr>
                <w:rFonts w:hint="eastAsia"/>
              </w:rPr>
            </w:pPr>
            <w:r>
              <w:rPr>
                <w:rFonts w:hint="eastAsia"/>
              </w:rPr>
              <w:t>负责项目需求评估与产品设计</w:t>
            </w:r>
          </w:p>
        </w:tc>
        <w:tc>
          <w:tcPr>
            <w:tcW w:w="752" w:type="pct"/>
            <w:noWrap/>
            <w:vAlign w:val="center"/>
          </w:tcPr>
          <w:p>
            <w:pPr>
              <w:rPr>
                <w:rFonts w:hint="eastAsia"/>
              </w:rPr>
            </w:pPr>
            <w:r>
              <w:rPr>
                <w:rFonts w:hint="eastAsia"/>
              </w:rPr>
              <w:t>1人</w:t>
            </w:r>
          </w:p>
        </w:tc>
        <w:tc>
          <w:tcPr>
            <w:tcW w:w="1287" w:type="pct"/>
            <w:vAlign w:val="center"/>
          </w:tcPr>
          <w:p>
            <w:pPr>
              <w:rPr>
                <w:rFonts w:hint="eastAsia"/>
              </w:rPr>
            </w:pPr>
            <w:r>
              <w:rPr>
                <w:sz w:val="22"/>
                <w:szCs w:val="22"/>
              </w:rPr>
              <w:t>具有信息技术、管理科学、环境科学等相关专业背景，独立负责过生命周期评价或碳足迹相关产品或平台的需求分析、设计与交付，至少有1项已投入使用的成果</w:t>
            </w:r>
          </w:p>
        </w:tc>
        <w:tc>
          <w:tcPr>
            <w:tcW w:w="690" w:type="pct"/>
            <w:noWrap/>
            <w:vAlign w:val="center"/>
          </w:tcPr>
          <w:p>
            <w:pPr>
              <w:rPr>
                <w:rFonts w:hint="eastAsia"/>
              </w:rP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pct"/>
            <w:noWrap/>
            <w:vAlign w:val="center"/>
          </w:tcPr>
          <w:p>
            <w:pPr>
              <w:rPr>
                <w:rFonts w:hint="eastAsia"/>
              </w:rPr>
            </w:pPr>
            <w:r>
              <w:t>开发工程师</w:t>
            </w:r>
          </w:p>
        </w:tc>
        <w:tc>
          <w:tcPr>
            <w:tcW w:w="1287" w:type="pct"/>
            <w:noWrap/>
            <w:vAlign w:val="center"/>
          </w:tcPr>
          <w:p>
            <w:pPr>
              <w:jc w:val="both"/>
              <w:rPr>
                <w:rFonts w:hint="eastAsia"/>
              </w:rPr>
            </w:pPr>
            <w:r>
              <w:rPr>
                <w:rFonts w:hint="eastAsia"/>
              </w:rPr>
              <w:t>负责项目具体开发与实施</w:t>
            </w:r>
          </w:p>
        </w:tc>
        <w:tc>
          <w:tcPr>
            <w:tcW w:w="752" w:type="pct"/>
            <w:noWrap/>
            <w:vAlign w:val="center"/>
          </w:tcPr>
          <w:p>
            <w:pPr>
              <w:rPr>
                <w:rFonts w:hint="eastAsia"/>
              </w:rPr>
            </w:pPr>
            <w:r>
              <w:t>8</w:t>
            </w:r>
            <w:r>
              <w:rPr>
                <w:rFonts w:hint="eastAsia"/>
              </w:rPr>
              <w:t>人</w:t>
            </w:r>
          </w:p>
        </w:tc>
        <w:tc>
          <w:tcPr>
            <w:tcW w:w="1287" w:type="pct"/>
            <w:vAlign w:val="center"/>
          </w:tcPr>
          <w:p>
            <w:pPr>
              <w:jc w:val="both"/>
              <w:rPr>
                <w:rFonts w:hint="eastAsia"/>
                <w:sz w:val="22"/>
                <w:szCs w:val="22"/>
              </w:rPr>
            </w:pPr>
            <w:r>
              <w:rPr>
                <w:sz w:val="22"/>
                <w:szCs w:val="22"/>
              </w:rPr>
              <w:t>具有计算机或软件工程相关专业本科及以上学历，具备1~3年数据库开发或平台开发相关经验，参与过生命周期数据库或环境信息系统的开发建设</w:t>
            </w:r>
          </w:p>
        </w:tc>
        <w:tc>
          <w:tcPr>
            <w:tcW w:w="690" w:type="pct"/>
            <w:noWrap/>
            <w:vAlign w:val="center"/>
          </w:tcPr>
          <w:p>
            <w:pPr>
              <w:rPr>
                <w:rFonts w:hint="eastAsia"/>
              </w:rPr>
            </w:pPr>
            <w:r>
              <w:rPr>
                <w:rFonts w:hint="eastAsia"/>
              </w:rPr>
              <w:t>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982" w:type="pct"/>
            <w:noWrap/>
            <w:vAlign w:val="center"/>
          </w:tcPr>
          <w:p>
            <w:pPr>
              <w:rPr>
                <w:rFonts w:hint="eastAsia"/>
              </w:rPr>
            </w:pPr>
            <w:r>
              <w:t>LCA技术人员</w:t>
            </w:r>
          </w:p>
        </w:tc>
        <w:tc>
          <w:tcPr>
            <w:tcW w:w="1287" w:type="pct"/>
            <w:noWrap/>
            <w:vAlign w:val="center"/>
          </w:tcPr>
          <w:p>
            <w:pPr>
              <w:jc w:val="both"/>
              <w:rPr>
                <w:rFonts w:hint="eastAsia"/>
              </w:rPr>
            </w:pPr>
            <w:r>
              <w:rPr>
                <w:rFonts w:hint="eastAsia"/>
              </w:rPr>
              <w:t>负责项目具体开发与实施</w:t>
            </w:r>
          </w:p>
        </w:tc>
        <w:tc>
          <w:tcPr>
            <w:tcW w:w="752" w:type="pct"/>
            <w:noWrap/>
            <w:vAlign w:val="center"/>
          </w:tcPr>
          <w:p>
            <w:pPr>
              <w:rPr>
                <w:rFonts w:hint="eastAsia"/>
              </w:rPr>
            </w:pPr>
            <w:r>
              <w:t>2人</w:t>
            </w:r>
          </w:p>
        </w:tc>
        <w:tc>
          <w:tcPr>
            <w:tcW w:w="1287" w:type="pct"/>
            <w:vAlign w:val="center"/>
          </w:tcPr>
          <w:p>
            <w:pPr>
              <w:jc w:val="both"/>
              <w:rPr>
                <w:rFonts w:hint="eastAsia"/>
                <w:sz w:val="22"/>
                <w:szCs w:val="22"/>
              </w:rPr>
            </w:pPr>
            <w:r>
              <w:rPr>
                <w:sz w:val="22"/>
                <w:szCs w:val="22"/>
              </w:rPr>
              <w:t>具有</w:t>
            </w:r>
            <w:r>
              <w:rPr>
                <w:rFonts w:hint="eastAsia"/>
                <w:sz w:val="22"/>
                <w:szCs w:val="22"/>
              </w:rPr>
              <w:t>环境</w:t>
            </w:r>
            <w:r>
              <w:rPr>
                <w:sz w:val="22"/>
                <w:szCs w:val="22"/>
              </w:rPr>
              <w:t>科学、环境工程或相关专业</w:t>
            </w:r>
            <w:r>
              <w:rPr>
                <w:rFonts w:hint="eastAsia"/>
                <w:sz w:val="22"/>
                <w:szCs w:val="22"/>
              </w:rPr>
              <w:t>硕士</w:t>
            </w:r>
            <w:r>
              <w:rPr>
                <w:sz w:val="22"/>
                <w:szCs w:val="22"/>
              </w:rPr>
              <w:t>及</w:t>
            </w:r>
            <w:r>
              <w:rPr>
                <w:rFonts w:hint="eastAsia"/>
                <w:sz w:val="22"/>
                <w:szCs w:val="22"/>
              </w:rPr>
              <w:t>以上学历，</w:t>
            </w:r>
            <w:r>
              <w:rPr>
                <w:sz w:val="22"/>
                <w:szCs w:val="22"/>
              </w:rPr>
              <w:t>具备1~3年生命周期评价或碳足迹核算项目经验</w:t>
            </w:r>
          </w:p>
        </w:tc>
        <w:tc>
          <w:tcPr>
            <w:tcW w:w="690" w:type="pct"/>
            <w:noWrap/>
            <w:vAlign w:val="center"/>
          </w:tcPr>
          <w:p>
            <w:pPr>
              <w:rPr>
                <w:rFonts w:hint="eastAsia"/>
              </w:rPr>
            </w:pPr>
            <w:r>
              <w:t>驻场</w:t>
            </w:r>
          </w:p>
        </w:tc>
      </w:tr>
    </w:tbl>
    <w:p>
      <w:pPr>
        <w:widowControl w:val="0"/>
        <w:spacing w:line="360" w:lineRule="auto"/>
        <w:ind w:firstLine="480" w:firstLineChars="200"/>
        <w:jc w:val="both"/>
        <w:rPr>
          <w:rFonts w:hint="eastAsia"/>
          <w:bCs/>
        </w:rPr>
      </w:pPr>
    </w:p>
    <w:p>
      <w:pPr>
        <w:widowControl w:val="0"/>
        <w:spacing w:line="360" w:lineRule="auto"/>
        <w:ind w:firstLine="480" w:firstLineChars="200"/>
        <w:jc w:val="both"/>
        <w:rPr>
          <w:rFonts w:hint="eastAsia"/>
          <w:bCs/>
        </w:rPr>
      </w:pPr>
      <w:r>
        <w:rPr>
          <w:rFonts w:hint="eastAsia"/>
          <w:bCs/>
        </w:rPr>
        <w:t>2）投标人应针对本项目提供不少于5人的质保期间支撑团队（其中技术经理1人，产品经理1人，</w:t>
      </w:r>
      <w:r>
        <w:rPr>
          <w:bCs/>
        </w:rPr>
        <w:t>开发</w:t>
      </w:r>
      <w:r>
        <w:rPr>
          <w:rFonts w:hint="eastAsia"/>
          <w:bCs/>
        </w:rPr>
        <w:t>工程师不少于2人）；投标人的相关服务人员需具备相应的服务能力，需提供相关证明（最近一个季度依法缴纳社保费的证明）。</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446"/>
        <w:gridCol w:w="1180"/>
        <w:gridCol w:w="2306"/>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rPr>
                <w:rFonts w:hint="eastAsia"/>
                <w:b/>
              </w:rPr>
            </w:pPr>
            <w:r>
              <w:rPr>
                <w:rFonts w:hint="eastAsia"/>
                <w:b/>
              </w:rPr>
              <w:t>角色</w:t>
            </w:r>
          </w:p>
        </w:tc>
        <w:tc>
          <w:tcPr>
            <w:tcW w:w="0" w:type="auto"/>
            <w:noWrap/>
            <w:vAlign w:val="center"/>
          </w:tcPr>
          <w:p>
            <w:pPr>
              <w:rPr>
                <w:rFonts w:hint="eastAsia"/>
                <w:b/>
              </w:rPr>
            </w:pPr>
            <w:r>
              <w:rPr>
                <w:rFonts w:hint="eastAsia"/>
                <w:b/>
              </w:rPr>
              <w:t>主要职责</w:t>
            </w:r>
          </w:p>
        </w:tc>
        <w:tc>
          <w:tcPr>
            <w:tcW w:w="0" w:type="auto"/>
            <w:noWrap/>
            <w:vAlign w:val="center"/>
          </w:tcPr>
          <w:p>
            <w:pPr>
              <w:rPr>
                <w:rFonts w:hint="eastAsia"/>
                <w:b/>
              </w:rPr>
            </w:pPr>
            <w:r>
              <w:rPr>
                <w:rFonts w:hint="eastAsia"/>
                <w:b/>
              </w:rPr>
              <w:t>人员数量</w:t>
            </w:r>
          </w:p>
        </w:tc>
        <w:tc>
          <w:tcPr>
            <w:tcW w:w="0" w:type="auto"/>
            <w:vAlign w:val="center"/>
          </w:tcPr>
          <w:p>
            <w:pPr>
              <w:rPr>
                <w:rFonts w:hint="eastAsia"/>
                <w:b/>
              </w:rPr>
            </w:pPr>
            <w:r>
              <w:rPr>
                <w:rFonts w:hint="eastAsia"/>
                <w:b/>
              </w:rPr>
              <w:t>人员要求</w:t>
            </w:r>
          </w:p>
        </w:tc>
        <w:tc>
          <w:tcPr>
            <w:tcW w:w="0" w:type="auto"/>
            <w:noWrap/>
            <w:vAlign w:val="center"/>
          </w:tcPr>
          <w:p>
            <w:pPr>
              <w:rPr>
                <w:rFonts w:hint="eastAsia"/>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rPr>
                <w:rFonts w:hint="eastAsia"/>
              </w:rPr>
            </w:pPr>
            <w:r>
              <w:rPr>
                <w:rFonts w:hint="eastAsia"/>
              </w:rPr>
              <w:t>项目经理</w:t>
            </w:r>
          </w:p>
        </w:tc>
        <w:tc>
          <w:tcPr>
            <w:tcW w:w="0" w:type="auto"/>
            <w:vAlign w:val="center"/>
          </w:tcPr>
          <w:p>
            <w:pPr>
              <w:rPr>
                <w:rFonts w:hint="eastAsia"/>
              </w:rPr>
            </w:pPr>
            <w:r>
              <w:rPr>
                <w:rFonts w:hint="eastAsia"/>
              </w:rPr>
              <w:t>负责项目质量和进度控制</w:t>
            </w:r>
          </w:p>
        </w:tc>
        <w:tc>
          <w:tcPr>
            <w:tcW w:w="0" w:type="auto"/>
            <w:noWrap/>
            <w:vAlign w:val="center"/>
          </w:tcPr>
          <w:p>
            <w:pPr>
              <w:rPr>
                <w:rFonts w:hint="eastAsia"/>
              </w:rPr>
            </w:pPr>
            <w:r>
              <w:rPr>
                <w:rFonts w:hint="eastAsia"/>
              </w:rPr>
              <w:t>1人</w:t>
            </w:r>
          </w:p>
        </w:tc>
        <w:tc>
          <w:tcPr>
            <w:tcW w:w="0" w:type="auto"/>
            <w:vAlign w:val="center"/>
          </w:tcPr>
          <w:p>
            <w:pPr>
              <w:rPr>
                <w:rFonts w:hint="eastAsia"/>
              </w:rPr>
            </w:pPr>
            <w:r>
              <w:rPr>
                <w:rFonts w:hint="eastAsia"/>
                <w:sz w:val="22"/>
                <w:szCs w:val="22"/>
              </w:rPr>
              <w:t>具有能源环境、生态环境、冶金工程、信息技术专业副高级及以上职称</w:t>
            </w:r>
          </w:p>
        </w:tc>
        <w:tc>
          <w:tcPr>
            <w:tcW w:w="0" w:type="auto"/>
            <w:noWrap/>
            <w:vAlign w:val="center"/>
          </w:tcPr>
          <w:p>
            <w:pPr>
              <w:rPr>
                <w:rFonts w:hint="eastAsia"/>
              </w:rP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rPr>
                <w:rFonts w:hint="eastAsia"/>
              </w:rPr>
            </w:pPr>
            <w:r>
              <w:rPr>
                <w:rFonts w:hint="eastAsia"/>
              </w:rPr>
              <w:t>产品经理</w:t>
            </w:r>
          </w:p>
        </w:tc>
        <w:tc>
          <w:tcPr>
            <w:tcW w:w="0" w:type="auto"/>
            <w:vAlign w:val="center"/>
          </w:tcPr>
          <w:p>
            <w:pPr>
              <w:rPr>
                <w:rFonts w:hint="eastAsia"/>
              </w:rPr>
            </w:pPr>
            <w:r>
              <w:rPr>
                <w:rFonts w:hint="eastAsia"/>
              </w:rPr>
              <w:t>负责项目需求评估与产品设计</w:t>
            </w:r>
          </w:p>
        </w:tc>
        <w:tc>
          <w:tcPr>
            <w:tcW w:w="0" w:type="auto"/>
            <w:noWrap/>
            <w:vAlign w:val="center"/>
          </w:tcPr>
          <w:p>
            <w:pPr>
              <w:rPr>
                <w:rFonts w:hint="eastAsia"/>
              </w:rPr>
            </w:pPr>
            <w:r>
              <w:rPr>
                <w:rFonts w:hint="eastAsia"/>
              </w:rPr>
              <w:t>1人</w:t>
            </w:r>
          </w:p>
        </w:tc>
        <w:tc>
          <w:tcPr>
            <w:tcW w:w="0" w:type="auto"/>
            <w:vAlign w:val="center"/>
          </w:tcPr>
          <w:p>
            <w:pPr>
              <w:rPr>
                <w:rFonts w:hint="eastAsia"/>
              </w:rPr>
            </w:pPr>
          </w:p>
        </w:tc>
        <w:tc>
          <w:tcPr>
            <w:tcW w:w="0" w:type="auto"/>
            <w:noWrap/>
            <w:vAlign w:val="center"/>
          </w:tcPr>
          <w:p>
            <w:pPr>
              <w:rPr>
                <w:rFonts w:hint="eastAsia"/>
              </w:rPr>
            </w:pPr>
            <w:r>
              <w:rPr>
                <w:rFonts w:hint="eastAsia"/>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rPr>
                <w:rFonts w:hint="eastAsia"/>
              </w:rPr>
            </w:pPr>
            <w:r>
              <w:t>开发</w:t>
            </w:r>
            <w:r>
              <w:rPr>
                <w:rFonts w:hint="eastAsia"/>
              </w:rPr>
              <w:t>工程师</w:t>
            </w:r>
          </w:p>
        </w:tc>
        <w:tc>
          <w:tcPr>
            <w:tcW w:w="0" w:type="auto"/>
            <w:noWrap/>
            <w:vAlign w:val="center"/>
          </w:tcPr>
          <w:p>
            <w:pPr>
              <w:rPr>
                <w:rFonts w:hint="eastAsia"/>
              </w:rPr>
            </w:pPr>
            <w:r>
              <w:rPr>
                <w:rFonts w:hint="eastAsia"/>
              </w:rPr>
              <w:t>负责项目运行维护</w:t>
            </w:r>
          </w:p>
        </w:tc>
        <w:tc>
          <w:tcPr>
            <w:tcW w:w="0" w:type="auto"/>
            <w:noWrap/>
            <w:vAlign w:val="center"/>
          </w:tcPr>
          <w:p>
            <w:pPr>
              <w:rPr>
                <w:rFonts w:hint="eastAsia"/>
              </w:rPr>
            </w:pPr>
            <w:r>
              <w:rPr>
                <w:rFonts w:hint="eastAsia"/>
              </w:rPr>
              <w:t>3人</w:t>
            </w:r>
          </w:p>
        </w:tc>
        <w:tc>
          <w:tcPr>
            <w:tcW w:w="0" w:type="auto"/>
            <w:vAlign w:val="center"/>
          </w:tcPr>
          <w:p>
            <w:pPr>
              <w:rPr>
                <w:rFonts w:hint="eastAsia"/>
              </w:rPr>
            </w:pPr>
          </w:p>
        </w:tc>
        <w:tc>
          <w:tcPr>
            <w:tcW w:w="0" w:type="auto"/>
            <w:noWrap/>
            <w:vAlign w:val="center"/>
          </w:tcPr>
          <w:p>
            <w:pPr>
              <w:rPr>
                <w:rFonts w:hint="eastAsia"/>
              </w:rPr>
            </w:pPr>
            <w:r>
              <w:rPr>
                <w:rFonts w:hint="eastAsia"/>
              </w:rPr>
              <w:t>不驻场</w:t>
            </w:r>
          </w:p>
        </w:tc>
      </w:tr>
      <w:bookmarkEnd w:id="33"/>
    </w:tbl>
    <w:p>
      <w:pPr>
        <w:keepNext/>
        <w:keepLines/>
        <w:widowControl w:val="0"/>
        <w:numPr>
          <w:ilvl w:val="1"/>
          <w:numId w:val="1"/>
        </w:numPr>
        <w:spacing w:before="120" w:after="120" w:line="360" w:lineRule="auto"/>
        <w:ind w:firstLine="0"/>
        <w:jc w:val="both"/>
        <w:outlineLvl w:val="1"/>
        <w:rPr>
          <w:rFonts w:hint="eastAsia"/>
          <w:b/>
          <w:bCs/>
          <w:sz w:val="30"/>
          <w:szCs w:val="32"/>
        </w:rPr>
      </w:pPr>
      <w:r>
        <w:rPr>
          <w:rFonts w:hint="eastAsia"/>
          <w:b/>
          <w:bCs/>
          <w:sz w:val="30"/>
          <w:szCs w:val="32"/>
        </w:rPr>
        <w:t>等级保护要求</w:t>
      </w:r>
    </w:p>
    <w:p>
      <w:pPr>
        <w:widowControl w:val="0"/>
        <w:spacing w:line="360" w:lineRule="auto"/>
        <w:jc w:val="both"/>
        <w:rPr>
          <w:rFonts w:hint="eastAsia"/>
        </w:rPr>
      </w:pPr>
      <w:bookmarkStart w:id="34" w:name="_Toc63785512"/>
      <w:r>
        <w:t>本项目等级保护要求：</w:t>
      </w:r>
      <w:r>
        <w:rPr>
          <w:rFonts w:hint="eastAsia"/>
        </w:rPr>
        <w:t>2级。</w:t>
      </w:r>
    </w:p>
    <w:p>
      <w:pPr>
        <w:keepNext/>
        <w:keepLines/>
        <w:widowControl w:val="0"/>
        <w:numPr>
          <w:ilvl w:val="1"/>
          <w:numId w:val="1"/>
        </w:numPr>
        <w:spacing w:before="120" w:after="120" w:line="360" w:lineRule="auto"/>
        <w:ind w:firstLine="0"/>
        <w:jc w:val="both"/>
        <w:outlineLvl w:val="1"/>
        <w:rPr>
          <w:rFonts w:hint="eastAsia"/>
          <w:b/>
          <w:bCs/>
          <w:sz w:val="30"/>
          <w:szCs w:val="32"/>
        </w:rPr>
      </w:pPr>
      <w:r>
        <w:rPr>
          <w:rFonts w:hint="eastAsia"/>
          <w:b/>
          <w:bCs/>
          <w:sz w:val="30"/>
          <w:szCs w:val="32"/>
        </w:rPr>
        <w:t>技术文件要求</w:t>
      </w:r>
    </w:p>
    <w:p>
      <w:pPr>
        <w:widowControl w:val="0"/>
        <w:spacing w:line="360" w:lineRule="auto"/>
        <w:ind w:firstLine="480" w:firstLineChars="200"/>
        <w:jc w:val="both"/>
        <w:rPr>
          <w:rFonts w:hint="eastAsia"/>
          <w:bCs/>
        </w:rPr>
      </w:pPr>
      <w:r>
        <w:rPr>
          <w:rFonts w:hint="eastAsia"/>
          <w:bCs/>
        </w:rPr>
        <w:t>投标人提供的书面技术资料应能确保系统正常运行所需的管理、运营及维护有关的全套文件。技术文件应该全面、完整、详细。投标人提供的技术文件至少应包括：</w:t>
      </w:r>
    </w:p>
    <w:p>
      <w:pPr>
        <w:widowControl w:val="0"/>
        <w:spacing w:line="360" w:lineRule="auto"/>
        <w:ind w:firstLine="480" w:firstLineChars="200"/>
        <w:jc w:val="both"/>
        <w:rPr>
          <w:rFonts w:hint="eastAsia"/>
          <w:bCs/>
        </w:rPr>
      </w:pPr>
      <w:r>
        <w:rPr>
          <w:rFonts w:hint="eastAsia"/>
          <w:bCs/>
        </w:rPr>
        <w:t xml:space="preserve">－ 系统说明文件； </w:t>
      </w:r>
    </w:p>
    <w:p>
      <w:pPr>
        <w:widowControl w:val="0"/>
        <w:spacing w:line="360" w:lineRule="auto"/>
        <w:ind w:firstLine="480" w:firstLineChars="200"/>
        <w:jc w:val="both"/>
        <w:rPr>
          <w:rFonts w:hint="eastAsia"/>
          <w:bCs/>
        </w:rPr>
      </w:pPr>
      <w:r>
        <w:rPr>
          <w:rFonts w:hint="eastAsia"/>
          <w:bCs/>
        </w:rPr>
        <w:t xml:space="preserve">－ 技术手册(安装、测试、操作、维护、故障排除等)； </w:t>
      </w:r>
    </w:p>
    <w:p>
      <w:pPr>
        <w:widowControl w:val="0"/>
        <w:spacing w:line="360" w:lineRule="auto"/>
        <w:ind w:firstLine="480" w:firstLineChars="200"/>
        <w:jc w:val="both"/>
        <w:rPr>
          <w:rFonts w:hint="eastAsia"/>
          <w:bCs/>
        </w:rPr>
      </w:pPr>
      <w:r>
        <w:rPr>
          <w:rFonts w:hint="eastAsia"/>
          <w:bCs/>
        </w:rPr>
        <w:t>－ 项目文档，应该包括：</w:t>
      </w:r>
    </w:p>
    <w:p>
      <w:pPr>
        <w:widowControl w:val="0"/>
        <w:spacing w:line="360" w:lineRule="auto"/>
        <w:ind w:firstLine="480" w:firstLineChars="200"/>
        <w:jc w:val="both"/>
        <w:rPr>
          <w:rFonts w:hint="eastAsia"/>
          <w:bCs/>
        </w:rPr>
      </w:pPr>
      <w:r>
        <w:rPr>
          <w:rFonts w:hint="eastAsia"/>
          <w:bCs/>
        </w:rPr>
        <w:t>(1)软件需求说明书</w:t>
      </w:r>
    </w:p>
    <w:p>
      <w:pPr>
        <w:widowControl w:val="0"/>
        <w:spacing w:line="360" w:lineRule="auto"/>
        <w:ind w:firstLine="480" w:firstLineChars="200"/>
        <w:jc w:val="both"/>
        <w:rPr>
          <w:rFonts w:hint="eastAsia"/>
          <w:bCs/>
        </w:rPr>
      </w:pPr>
      <w:r>
        <w:rPr>
          <w:rFonts w:hint="eastAsia"/>
          <w:bCs/>
        </w:rPr>
        <w:t>(2)</w:t>
      </w:r>
      <w:r>
        <w:rPr>
          <w:rFonts w:hint="eastAsia"/>
          <w:bCs/>
        </w:rPr>
        <w:tab/>
      </w:r>
      <w:r>
        <w:rPr>
          <w:rFonts w:hint="eastAsia"/>
          <w:bCs/>
        </w:rPr>
        <w:t>系统总体设计说明书</w:t>
      </w:r>
    </w:p>
    <w:p>
      <w:pPr>
        <w:widowControl w:val="0"/>
        <w:spacing w:line="360" w:lineRule="auto"/>
        <w:ind w:firstLine="480" w:firstLineChars="200"/>
        <w:jc w:val="both"/>
        <w:rPr>
          <w:rFonts w:hint="eastAsia"/>
          <w:bCs/>
        </w:rPr>
      </w:pPr>
      <w:r>
        <w:rPr>
          <w:rFonts w:hint="eastAsia"/>
          <w:bCs/>
        </w:rPr>
        <w:t>(3)</w:t>
      </w:r>
      <w:r>
        <w:rPr>
          <w:rFonts w:hint="eastAsia"/>
          <w:bCs/>
        </w:rPr>
        <w:tab/>
      </w:r>
      <w:r>
        <w:rPr>
          <w:rFonts w:hint="eastAsia"/>
          <w:bCs/>
        </w:rPr>
        <w:t>应用软件功能清单</w:t>
      </w:r>
    </w:p>
    <w:p>
      <w:pPr>
        <w:widowControl w:val="0"/>
        <w:spacing w:line="360" w:lineRule="auto"/>
        <w:ind w:firstLine="480" w:firstLineChars="200"/>
        <w:jc w:val="both"/>
        <w:rPr>
          <w:rFonts w:hint="eastAsia"/>
          <w:bCs/>
        </w:rPr>
      </w:pPr>
      <w:r>
        <w:rPr>
          <w:rFonts w:hint="eastAsia"/>
          <w:bCs/>
        </w:rPr>
        <w:t>提供全套技术文件纸介质3套以及电子文件1套。</w:t>
      </w:r>
    </w:p>
    <w:p>
      <w:pPr>
        <w:widowControl w:val="0"/>
        <w:spacing w:line="360" w:lineRule="auto"/>
        <w:ind w:firstLine="480" w:firstLineChars="200"/>
        <w:jc w:val="both"/>
        <w:rPr>
          <w:rFonts w:hint="eastAsia"/>
          <w:bCs/>
        </w:rPr>
      </w:pPr>
    </w:p>
    <w:p>
      <w:pPr>
        <w:widowControl w:val="0"/>
        <w:spacing w:line="360" w:lineRule="auto"/>
        <w:ind w:firstLine="480" w:firstLineChars="200"/>
        <w:jc w:val="both"/>
        <w:rPr>
          <w:rFonts w:hint="eastAsia"/>
        </w:rPr>
      </w:pPr>
    </w:p>
    <w:bookmarkEnd w:id="34"/>
    <w:p>
      <w:pPr>
        <w:pStyle w:val="2"/>
        <w:widowControl w:val="0"/>
        <w:spacing w:line="360" w:lineRule="auto"/>
        <w:ind w:firstLine="0"/>
        <w:jc w:val="both"/>
        <w:rPr>
          <w:rFonts w:hint="eastAsia"/>
        </w:rPr>
      </w:pPr>
      <w:bookmarkStart w:id="35" w:name="_Toc68798863"/>
      <w:r>
        <w:rPr>
          <w:rFonts w:hint="eastAsia"/>
        </w:rPr>
        <w:t>附录</w:t>
      </w:r>
      <w:bookmarkEnd w:id="35"/>
    </w:p>
    <w:p>
      <w:pPr>
        <w:ind w:firstLine="482"/>
        <w:rPr>
          <w:rFonts w:hint="eastAsia"/>
          <w:b/>
        </w:rPr>
      </w:pPr>
      <w:r>
        <w:rPr>
          <w:rFonts w:hint="eastAsia"/>
          <w:b/>
        </w:rPr>
        <w:t>若项目建设过程中需符合相关技术标准或规范文件的要求，请将相关文件作为附件列出。</w:t>
      </w:r>
    </w:p>
    <w:p>
      <w:pPr>
        <w:ind w:firstLine="482"/>
        <w:rPr>
          <w:rFonts w:hint="eastAsia"/>
        </w:rPr>
      </w:pPr>
      <w:r>
        <w:rPr>
          <w:rFonts w:hint="eastAsia"/>
          <w:b/>
        </w:rPr>
        <w:t>参考如下：</w:t>
      </w:r>
    </w:p>
    <w:p>
      <w:pPr>
        <w:jc w:val="left"/>
        <w:rPr>
          <w:rFonts w:hint="eastAsia"/>
        </w:rPr>
      </w:pPr>
      <w:r>
        <w:rPr>
          <w:rFonts w:hint="eastAsia"/>
        </w:rPr>
        <w:t>1、</w:t>
      </w:r>
      <w:r>
        <w:t>《政务网络安全监测平台总体技术要求》</w:t>
      </w:r>
    </w:p>
    <w:p>
      <w:pPr>
        <w:rPr>
          <w:rFonts w:hint="eastAsia"/>
        </w:rPr>
      </w:pPr>
      <w:r>
        <w:object>
          <v:shape id="_x0000_i1025" o:spt="75" type="#_x0000_t75" style="height:54.45pt;width:76.4pt;" o:ole="t" filled="f" o:preferrelative="t" stroked="f" coordsize="21600,21600">
            <v:path/>
            <v:fill on="f" focussize="0,0"/>
            <v:stroke on="f" joinstyle="miter"/>
            <v:imagedata r:id="rId6" o:title=""/>
            <o:lock v:ext="edit" aspectratio="t"/>
            <w10:wrap type="none"/>
            <w10:anchorlock/>
          </v:shape>
          <o:OLEObject Type="Embed" ProgID="Package" ShapeID="_x0000_i1025" DrawAspect="Icon" ObjectID="_1468075725" r:id="rId5">
            <o:LockedField>false</o:LockedField>
          </o:OLEObject>
        </w:object>
      </w:r>
    </w:p>
    <w:p>
      <w:pPr>
        <w:rPr>
          <w:rFonts w:hint="eastAsia"/>
        </w:rPr>
      </w:pPr>
    </w:p>
    <w:p>
      <w:pPr>
        <w:jc w:val="left"/>
        <w:rPr>
          <w:rFonts w:hint="eastAsia"/>
        </w:rPr>
      </w:pPr>
      <w:r>
        <w:rPr>
          <w:rFonts w:hint="eastAsia"/>
        </w:rPr>
        <w:t>2、《上海市电子政务外网建设和运行管理指南（试行）》</w:t>
      </w:r>
    </w:p>
    <w:p>
      <w:pPr>
        <w:jc w:val="left"/>
        <w:rPr>
          <w:rFonts w:hint="eastAsia"/>
        </w:rPr>
      </w:pPr>
      <w:r>
        <w:object>
          <v:shape id="_x0000_i1026" o:spt="75" type="#_x0000_t75" style="height:54.45pt;width:76.4pt;" o:ole="t" filled="f" o:preferrelative="t" stroked="f" coordsize="21600,21600">
            <v:path/>
            <v:fill on="f" focussize="0,0"/>
            <v:stroke on="f" joinstyle="miter"/>
            <v:imagedata r:id="rId8" o:title=""/>
            <o:lock v:ext="edit" aspectratio="t"/>
            <w10:wrap type="none"/>
            <w10:anchorlock/>
          </v:shape>
          <o:OLEObject Type="Embed" ProgID="Package" ShapeID="_x0000_i1026" DrawAspect="Icon" ObjectID="_1468075726" r:id="rId7">
            <o:LockedField>false</o:LockedField>
          </o:OLEObject>
        </w:object>
      </w:r>
    </w:p>
    <w:p>
      <w:pPr>
        <w:jc w:val="left"/>
        <w:rPr>
          <w:rFonts w:hint="eastAsia"/>
        </w:rPr>
      </w:pPr>
      <w:r>
        <w:rPr>
          <w:rFonts w:hint="eastAsia"/>
        </w:rPr>
        <w:t>3、GB/T 43620-2023 环境管理 生命周期评价 数据文件格式</w:t>
      </w:r>
    </w:p>
    <w:p>
      <w:pPr>
        <w:jc w:val="left"/>
        <w:rPr>
          <w:rFonts w:hint="eastAsia"/>
        </w:rPr>
      </w:pPr>
      <w:r>
        <w:rPr>
          <w:rFonts w:hint="eastAsia"/>
        </w:rPr>
        <w:t>4、GB/T 44905-2024 温室气体 产品碳足迹量化方法与要求 电解铝</w:t>
      </w:r>
    </w:p>
    <w:p>
      <w:pPr>
        <w:jc w:val="left"/>
        <w:rPr>
          <w:rFonts w:hint="eastAsia"/>
        </w:rPr>
      </w:pPr>
      <w:r>
        <w:rPr>
          <w:rFonts w:hint="eastAsia"/>
        </w:rPr>
        <w:t>5、GB/T 45540-2025 温室气体 产品碳足迹量化方法与要求 化学纤维</w:t>
      </w:r>
    </w:p>
    <w:p>
      <w:pPr>
        <w:widowControl w:val="0"/>
        <w:spacing w:line="360" w:lineRule="auto"/>
        <w:jc w:val="both"/>
        <w:rPr>
          <w:rFonts w:hint="eastAsia"/>
          <w:bCs/>
        </w:rPr>
      </w:pPr>
      <w:r>
        <w:rPr>
          <w:rFonts w:hint="eastAsia"/>
          <w:bCs/>
        </w:rPr>
        <w:t>6、European Commission - Joint Research Centre - Institute for Environment and Sustainability: International Reference Life Cycle Data System (ILCD) Data Network - Compliance rules and entry-level requirements. Version 1.1, 2012. EUR 24380 EN. Luxembourg. Publications Office of the European Union; 2012.</w:t>
      </w:r>
    </w:p>
    <w:p>
      <w:pPr>
        <w:rPr>
          <w:rFonts w:hint="eastAsia"/>
        </w:rPr>
      </w:pPr>
      <w:r>
        <w:rPr>
          <w:rFonts w:hint="eastAsia"/>
        </w:rPr>
        <w:object>
          <v:shape id="_x0000_i1027" o:spt="75" type="#_x0000_t75" style="height:174.05pt;width:123.35pt;" o:ole="t" filled="f" o:preferrelative="t" stroked="f" coordsize="21600,21600">
            <v:path/>
            <v:fill on="f" focussize="0,0"/>
            <v:stroke on="f"/>
            <v:imagedata r:id="rId10" o:title=""/>
            <o:lock v:ext="edit" aspectratio="t"/>
            <w10:wrap type="none"/>
            <w10:anchorlock/>
          </v:shape>
          <o:OLEObject Type="Embed" ProgID="KPDF.Document.9" ShapeID="_x0000_i1027" DrawAspect="Content" ObjectID="_1468075727" r:id="rId9">
            <o:LockedField>false</o:LockedField>
          </o:OLEObject>
        </w:object>
      </w:r>
    </w:p>
    <w:p>
      <w:pPr>
        <w:widowControl w:val="0"/>
        <w:spacing w:line="360" w:lineRule="auto"/>
        <w:jc w:val="both"/>
        <w:rPr>
          <w:rFonts w:hint="eastAsia"/>
          <w:bCs/>
        </w:rPr>
      </w:pPr>
      <w:r>
        <w:rPr>
          <w:rFonts w:hint="eastAsia"/>
          <w:bCs/>
        </w:rPr>
        <w:t>7、Simone Fazio, Luca Zampori, An De Schryver, Oliver Kusche, Lionel Thellier, Edward Diaconu. Guide for EF compliant data sets: Version 2.0, EUR 30175 EN, Publications Office of the European Union, Luxembourg, 2020, ISBN 978-92-76-17951-1, doi:10.2760/537292, JRC120340.</w:t>
      </w:r>
    </w:p>
    <w:p>
      <w:pPr>
        <w:rPr>
          <w:rFonts w:hint="eastAsia"/>
        </w:rPr>
      </w:pPr>
      <w:r>
        <w:rPr>
          <w:rFonts w:hint="eastAsia"/>
        </w:rPr>
        <w:object>
          <v:shape id="_x0000_i1028" o:spt="75" type="#_x0000_t75" style="height:160.3pt;width:112.7pt;" o:ole="t" filled="f" o:preferrelative="t" stroked="f" coordsize="21600,21600">
            <v:path/>
            <v:fill on="f" focussize="0,0"/>
            <v:stroke on="f"/>
            <v:imagedata r:id="rId12" o:title=""/>
            <o:lock v:ext="edit" aspectratio="t"/>
            <w10:wrap type="none"/>
            <w10:anchorlock/>
          </v:shape>
          <o:OLEObject Type="Embed" ProgID="KPDF.Document.9" ShapeID="_x0000_i1028" DrawAspect="Content" ObjectID="_1468075728" r:id="rId11">
            <o:LockedField>false</o:LockedField>
          </o:OLEObject>
        </w:object>
      </w:r>
    </w:p>
    <w:p>
      <w:pPr>
        <w:spacing w:line="360" w:lineRule="auto"/>
        <w:jc w:val="both"/>
        <w:rPr>
          <w:rFonts w:hint="eastAsia"/>
        </w:rPr>
      </w:pPr>
    </w:p>
    <w:p>
      <w:pPr>
        <w:widowControl w:val="0"/>
        <w:spacing w:line="360" w:lineRule="auto"/>
        <w:ind w:firstLine="480" w:firstLineChars="200"/>
        <w:jc w:val="both"/>
        <w:rPr>
          <w:rFonts w:hint="eastAsia"/>
        </w:rPr>
      </w:pPr>
    </w:p>
    <w:sectPr>
      <w:footerReference r:id="rId3" w:type="first"/>
      <w:pgSz w:w="11906" w:h="16838"/>
      <w:pgMar w:top="1134" w:right="1797" w:bottom="1135" w:left="1797" w:header="340" w:footer="7" w:gutter="0"/>
      <w:pgNumType w:start="1"/>
      <w:cols w:space="720" w:num="1"/>
      <w:titlePg/>
      <w:docGrid w:type="linesAndChar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10" w:usb3="00000000" w:csb0="00040000" w:csb1="00000000"/>
  </w:font>
  <w:font w:name="方正仿宋_GBK">
    <w:panose1 w:val="02000000000000000000"/>
    <w:charset w:val="86"/>
    <w:family w:val="auto"/>
    <w:pitch w:val="default"/>
    <w:sig w:usb0="00000001" w:usb1="08000000" w:usb2="00000000" w:usb3="00000000" w:csb0="00040000" w:csb1="00000000"/>
  </w:font>
  <w:font w:name="Tahoma">
    <w:altName w:val="DejaVu Sans"/>
    <w:panose1 w:val="020B0604030504040204"/>
    <w:charset w:val="00"/>
    <w:family w:val="swiss"/>
    <w:pitch w:val="default"/>
    <w:sig w:usb0="00000000" w:usb1="00000000" w:usb2="00000029" w:usb3="00000000" w:csb0="200101FF" w:csb1="20280000"/>
  </w:font>
  <w:font w:name="Segoe UI">
    <w:altName w:val="Noto Naskh Arabic"/>
    <w:panose1 w:val="020B0502040204020203"/>
    <w:charset w:val="00"/>
    <w:family w:val="swiss"/>
    <w:pitch w:val="default"/>
    <w:sig w:usb0="00000000" w:usb1="00000000" w:usb2="00000009" w:usb3="00000000" w:csb0="200001FF" w:csb1="00000000"/>
  </w:font>
  <w:font w:name="Noto Naskh Arabic">
    <w:panose1 w:val="020B0502040504020204"/>
    <w:charset w:val="00"/>
    <w:family w:val="auto"/>
    <w:pitch w:val="default"/>
    <w:sig w:usb0="80002003" w:usb1="80002000" w:usb2="00000008" w:usb3="00000000" w:csb0="00000041" w:csb1="00080000"/>
  </w:font>
  <w:font w:name="微软雅黑">
    <w:altName w:val="方正黑体_GBK"/>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pPr>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2D6405"/>
    <w:multiLevelType w:val="singleLevel"/>
    <w:tmpl w:val="E72D6405"/>
    <w:lvl w:ilvl="0" w:tentative="0">
      <w:start w:val="3"/>
      <w:numFmt w:val="chineseCounting"/>
      <w:suff w:val="nothing"/>
      <w:lvlText w:val="%1、"/>
      <w:lvlJc w:val="left"/>
      <w:rPr>
        <w:rFonts w:hint="eastAsia"/>
      </w:rPr>
    </w:lvl>
  </w:abstractNum>
  <w:abstractNum w:abstractNumId="1">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isLgl/>
      <w:suff w:val="nothing"/>
      <w:lvlText w:val="%1.%2.%3、"/>
      <w:lvlJc w:val="left"/>
      <w:pPr>
        <w:ind w:left="1069" w:hanging="1069"/>
      </w:pPr>
      <w:rPr>
        <w:rFonts w:hint="default" w:ascii="宋体" w:hAnsi="宋体" w:eastAsia="宋体" w:cs="Arial"/>
      </w:rPr>
    </w:lvl>
    <w:lvl w:ilvl="3" w:tentative="0">
      <w:start w:val="1"/>
      <w:numFmt w:val="decimal"/>
      <w:isLgl/>
      <w:suff w:val="nothing"/>
      <w:lvlText w:val="%1.%2.%3.%4、"/>
      <w:lvlJc w:val="left"/>
      <w:pPr>
        <w:ind w:left="3403" w:hanging="851"/>
      </w:pPr>
    </w:lvl>
    <w:lvl w:ilvl="4" w:tentative="0">
      <w:start w:val="1"/>
      <w:numFmt w:val="decimal"/>
      <w:isLgl/>
      <w:suff w:val="nothing"/>
      <w:lvlText w:val="%1.%2.%3.%4.%5、"/>
      <w:lvlJc w:val="left"/>
      <w:pPr>
        <w:ind w:left="3544"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trackRevisions w:val="1"/>
  <w:documentProtection w:enforcement="0"/>
  <w:defaultTabStop w:val="420"/>
  <w:drawingGridVerticalSpacing w:val="156"/>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M1OTMyYmVkNDBiZGZjOTJjNzg0ZTljMGM2NGM1NWEifQ=="/>
  </w:docVars>
  <w:rsids>
    <w:rsidRoot w:val="00E70D97"/>
    <w:rsid w:val="00020F53"/>
    <w:rsid w:val="00055271"/>
    <w:rsid w:val="00061335"/>
    <w:rsid w:val="000A18D9"/>
    <w:rsid w:val="000B0623"/>
    <w:rsid w:val="000C1E34"/>
    <w:rsid w:val="000C37B9"/>
    <w:rsid w:val="000D4824"/>
    <w:rsid w:val="000F1FE1"/>
    <w:rsid w:val="00120E7A"/>
    <w:rsid w:val="0015092D"/>
    <w:rsid w:val="001B4A67"/>
    <w:rsid w:val="001E7489"/>
    <w:rsid w:val="001F17C2"/>
    <w:rsid w:val="002312EF"/>
    <w:rsid w:val="00261B29"/>
    <w:rsid w:val="00263253"/>
    <w:rsid w:val="002C4D1E"/>
    <w:rsid w:val="002D37D7"/>
    <w:rsid w:val="002D6129"/>
    <w:rsid w:val="002E2964"/>
    <w:rsid w:val="002E2CF3"/>
    <w:rsid w:val="00322436"/>
    <w:rsid w:val="00342E61"/>
    <w:rsid w:val="0037211B"/>
    <w:rsid w:val="003B5089"/>
    <w:rsid w:val="003C1DF9"/>
    <w:rsid w:val="003C3CB2"/>
    <w:rsid w:val="003C6C70"/>
    <w:rsid w:val="003F39CE"/>
    <w:rsid w:val="003F700B"/>
    <w:rsid w:val="0041132C"/>
    <w:rsid w:val="00415213"/>
    <w:rsid w:val="004417B6"/>
    <w:rsid w:val="00442B86"/>
    <w:rsid w:val="004604EB"/>
    <w:rsid w:val="00463990"/>
    <w:rsid w:val="004A0C56"/>
    <w:rsid w:val="004A12F9"/>
    <w:rsid w:val="004A1E43"/>
    <w:rsid w:val="004C485E"/>
    <w:rsid w:val="004F70BA"/>
    <w:rsid w:val="0050314F"/>
    <w:rsid w:val="0052439F"/>
    <w:rsid w:val="005803E3"/>
    <w:rsid w:val="00587DB5"/>
    <w:rsid w:val="00596E0C"/>
    <w:rsid w:val="005A2EBE"/>
    <w:rsid w:val="005E3FF3"/>
    <w:rsid w:val="005E59A3"/>
    <w:rsid w:val="005E7C4F"/>
    <w:rsid w:val="00605965"/>
    <w:rsid w:val="0062090F"/>
    <w:rsid w:val="00641397"/>
    <w:rsid w:val="006478FF"/>
    <w:rsid w:val="00656E7F"/>
    <w:rsid w:val="00684A03"/>
    <w:rsid w:val="006A58E6"/>
    <w:rsid w:val="006A5D8F"/>
    <w:rsid w:val="006F7BBD"/>
    <w:rsid w:val="00700CFF"/>
    <w:rsid w:val="00736D7F"/>
    <w:rsid w:val="007706CF"/>
    <w:rsid w:val="00785E0E"/>
    <w:rsid w:val="007B67C4"/>
    <w:rsid w:val="007E0A0D"/>
    <w:rsid w:val="007E275C"/>
    <w:rsid w:val="007F0A9C"/>
    <w:rsid w:val="00804E6B"/>
    <w:rsid w:val="0081787F"/>
    <w:rsid w:val="00842E44"/>
    <w:rsid w:val="008678DF"/>
    <w:rsid w:val="008B1B2F"/>
    <w:rsid w:val="008B21F6"/>
    <w:rsid w:val="008D29EA"/>
    <w:rsid w:val="008E4BA4"/>
    <w:rsid w:val="008F0D40"/>
    <w:rsid w:val="00937ED8"/>
    <w:rsid w:val="009570FC"/>
    <w:rsid w:val="00986F78"/>
    <w:rsid w:val="009B3E04"/>
    <w:rsid w:val="009B52E2"/>
    <w:rsid w:val="009D6D20"/>
    <w:rsid w:val="009E62F0"/>
    <w:rsid w:val="009F7F71"/>
    <w:rsid w:val="00A36EE0"/>
    <w:rsid w:val="00A54051"/>
    <w:rsid w:val="00AA5B15"/>
    <w:rsid w:val="00B004EF"/>
    <w:rsid w:val="00B13313"/>
    <w:rsid w:val="00B2392D"/>
    <w:rsid w:val="00B534C5"/>
    <w:rsid w:val="00B55465"/>
    <w:rsid w:val="00B85C4B"/>
    <w:rsid w:val="00BA397B"/>
    <w:rsid w:val="00BA50A8"/>
    <w:rsid w:val="00BB27B6"/>
    <w:rsid w:val="00C07EA8"/>
    <w:rsid w:val="00C16DC0"/>
    <w:rsid w:val="00C23B7E"/>
    <w:rsid w:val="00C352BE"/>
    <w:rsid w:val="00C839F9"/>
    <w:rsid w:val="00C92778"/>
    <w:rsid w:val="00CB74E5"/>
    <w:rsid w:val="00D17CF6"/>
    <w:rsid w:val="00D56916"/>
    <w:rsid w:val="00D73FEC"/>
    <w:rsid w:val="00D77D03"/>
    <w:rsid w:val="00D80310"/>
    <w:rsid w:val="00DF2CE2"/>
    <w:rsid w:val="00E22EDA"/>
    <w:rsid w:val="00E475E8"/>
    <w:rsid w:val="00E70D97"/>
    <w:rsid w:val="00E83212"/>
    <w:rsid w:val="00E85E32"/>
    <w:rsid w:val="00EC0707"/>
    <w:rsid w:val="00F04AE3"/>
    <w:rsid w:val="00F075A4"/>
    <w:rsid w:val="00F171B8"/>
    <w:rsid w:val="00F206D5"/>
    <w:rsid w:val="00F34E7E"/>
    <w:rsid w:val="00F45CF4"/>
    <w:rsid w:val="00F72A5C"/>
    <w:rsid w:val="00F93BCC"/>
    <w:rsid w:val="00FB36BC"/>
    <w:rsid w:val="02551E54"/>
    <w:rsid w:val="07591A53"/>
    <w:rsid w:val="07F244E6"/>
    <w:rsid w:val="18332810"/>
    <w:rsid w:val="1DDDBCE6"/>
    <w:rsid w:val="1EE94671"/>
    <w:rsid w:val="1F5EE754"/>
    <w:rsid w:val="2AB4611E"/>
    <w:rsid w:val="2BFF27BF"/>
    <w:rsid w:val="2FFA9CB3"/>
    <w:rsid w:val="2FFB1E5E"/>
    <w:rsid w:val="37FF6EC2"/>
    <w:rsid w:val="3F4E26CA"/>
    <w:rsid w:val="3F7DA1FB"/>
    <w:rsid w:val="3FF956A2"/>
    <w:rsid w:val="411612C4"/>
    <w:rsid w:val="45A01973"/>
    <w:rsid w:val="497D4694"/>
    <w:rsid w:val="53196A38"/>
    <w:rsid w:val="5B2FEF1C"/>
    <w:rsid w:val="5D479727"/>
    <w:rsid w:val="5EBD313A"/>
    <w:rsid w:val="62FB483E"/>
    <w:rsid w:val="645D785C"/>
    <w:rsid w:val="65BC9221"/>
    <w:rsid w:val="661448C9"/>
    <w:rsid w:val="67FFDF0C"/>
    <w:rsid w:val="68FC447C"/>
    <w:rsid w:val="6B5B7B0B"/>
    <w:rsid w:val="6F9FECA6"/>
    <w:rsid w:val="710B26BE"/>
    <w:rsid w:val="74DF5188"/>
    <w:rsid w:val="74F79780"/>
    <w:rsid w:val="751C27B5"/>
    <w:rsid w:val="77BD64D6"/>
    <w:rsid w:val="7A7F0233"/>
    <w:rsid w:val="7E9FC9BC"/>
    <w:rsid w:val="7F1FCD2E"/>
    <w:rsid w:val="7F3DD174"/>
    <w:rsid w:val="7F5D13B1"/>
    <w:rsid w:val="7F5D6A58"/>
    <w:rsid w:val="7F9F7F0C"/>
    <w:rsid w:val="7FBAACFC"/>
    <w:rsid w:val="7FBE152A"/>
    <w:rsid w:val="7FEB65DE"/>
    <w:rsid w:val="7FF4DC15"/>
    <w:rsid w:val="7FFFE9CB"/>
    <w:rsid w:val="87772565"/>
    <w:rsid w:val="9337F963"/>
    <w:rsid w:val="AB3EAAC3"/>
    <w:rsid w:val="AD8FC1CC"/>
    <w:rsid w:val="BF770387"/>
    <w:rsid w:val="BFF4F14E"/>
    <w:rsid w:val="C7FF7011"/>
    <w:rsid w:val="CFBDC07E"/>
    <w:rsid w:val="CFF61CE3"/>
    <w:rsid w:val="D36F7588"/>
    <w:rsid w:val="D6DF5F78"/>
    <w:rsid w:val="DD1D32E3"/>
    <w:rsid w:val="E3FF7E15"/>
    <w:rsid w:val="E4BE121F"/>
    <w:rsid w:val="E63E28CC"/>
    <w:rsid w:val="E6DA2D64"/>
    <w:rsid w:val="E8DCFD12"/>
    <w:rsid w:val="EAFFAE69"/>
    <w:rsid w:val="ECBF7715"/>
    <w:rsid w:val="EF3FABD1"/>
    <w:rsid w:val="F53FC091"/>
    <w:rsid w:val="F5FDC688"/>
    <w:rsid w:val="F7F717DC"/>
    <w:rsid w:val="FD2F2AED"/>
    <w:rsid w:val="FD5F66F4"/>
    <w:rsid w:val="FDDE7968"/>
    <w:rsid w:val="FDF8610A"/>
    <w:rsid w:val="FDFFA56C"/>
    <w:rsid w:val="FEB7FC40"/>
    <w:rsid w:val="FF355F11"/>
    <w:rsid w:val="FF737752"/>
    <w:rsid w:val="FFD6C371"/>
    <w:rsid w:val="FFFACFB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center"/>
    </w:pPr>
    <w:rPr>
      <w:rFonts w:ascii="宋体" w:hAnsi="宋体"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spacing w:before="120" w:after="120"/>
      <w:outlineLvl w:val="0"/>
    </w:pPr>
    <w:rPr>
      <w:rFonts w:eastAsia="黑体"/>
      <w:b/>
      <w:bCs/>
      <w:kern w:val="44"/>
      <w:sz w:val="32"/>
      <w:szCs w:val="28"/>
    </w:rPr>
  </w:style>
  <w:style w:type="paragraph" w:styleId="3">
    <w:name w:val="heading 2"/>
    <w:basedOn w:val="1"/>
    <w:next w:val="1"/>
    <w:link w:val="12"/>
    <w:qFormat/>
    <w:uiPriority w:val="9"/>
    <w:pPr>
      <w:keepNext/>
      <w:keepLines/>
      <w:numPr>
        <w:ilvl w:val="1"/>
        <w:numId w:val="1"/>
      </w:numPr>
      <w:spacing w:before="120" w:after="120"/>
      <w:outlineLvl w:val="1"/>
    </w:pPr>
    <w:rPr>
      <w:b/>
      <w:bCs/>
      <w:sz w:val="30"/>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0"/>
    <w:qFormat/>
    <w:uiPriority w:val="0"/>
    <w:pPr>
      <w:tabs>
        <w:tab w:val="center" w:pos="4320"/>
        <w:tab w:val="right" w:pos="8640"/>
      </w:tabs>
    </w:pPr>
  </w:style>
  <w:style w:type="paragraph" w:styleId="5">
    <w:name w:val="header"/>
    <w:basedOn w:val="1"/>
    <w:qFormat/>
    <w:uiPriority w:val="99"/>
    <w:pPr>
      <w:pBdr>
        <w:bottom w:val="single" w:color="auto" w:sz="4" w:space="0"/>
      </w:pBdr>
      <w:tabs>
        <w:tab w:val="center" w:pos="4153"/>
        <w:tab w:val="right" w:pos="8306"/>
      </w:tabs>
      <w:snapToGrid w:val="0"/>
    </w:pPr>
    <w:rPr>
      <w:rFonts w:ascii="Times New Roman" w:hAnsi="Times New Roman"/>
      <w:sz w:val="18"/>
      <w:szCs w:val="18"/>
    </w:rPr>
  </w:style>
  <w:style w:type="paragraph" w:customStyle="1" w:styleId="8">
    <w:name w:val="正文缩进1"/>
    <w:basedOn w:val="1"/>
    <w:qFormat/>
    <w:uiPriority w:val="0"/>
    <w:pPr>
      <w:ind w:firstLine="420"/>
    </w:pPr>
    <w:rPr>
      <w:rFonts w:ascii="Times New Roman" w:hAnsi="Times New Roman"/>
      <w:sz w:val="21"/>
      <w:szCs w:val="20"/>
    </w:rPr>
  </w:style>
  <w:style w:type="paragraph" w:customStyle="1" w:styleId="9">
    <w:name w:val="正文正文2"/>
    <w:basedOn w:val="1"/>
    <w:qFormat/>
    <w:uiPriority w:val="0"/>
    <w:pPr>
      <w:ind w:firstLine="460"/>
    </w:pPr>
    <w:rPr>
      <w:sz w:val="21"/>
      <w:szCs w:val="21"/>
    </w:rPr>
  </w:style>
  <w:style w:type="character" w:customStyle="1" w:styleId="10">
    <w:name w:val="页脚 字符"/>
    <w:basedOn w:val="7"/>
    <w:link w:val="4"/>
    <w:qFormat/>
    <w:uiPriority w:val="0"/>
    <w:rPr>
      <w:rFonts w:ascii="宋体" w:hAnsi="宋体" w:eastAsia="宋体" w:cs="Times New Roman"/>
      <w:kern w:val="2"/>
      <w:sz w:val="24"/>
      <w:szCs w:val="24"/>
    </w:rPr>
  </w:style>
  <w:style w:type="paragraph" w:styleId="11">
    <w:name w:val="List Paragraph"/>
    <w:basedOn w:val="1"/>
    <w:unhideWhenUsed/>
    <w:qFormat/>
    <w:uiPriority w:val="99"/>
    <w:pPr>
      <w:ind w:left="720"/>
      <w:contextualSpacing/>
    </w:pPr>
  </w:style>
  <w:style w:type="character" w:customStyle="1" w:styleId="12">
    <w:name w:val="标题 2 字符"/>
    <w:basedOn w:val="7"/>
    <w:link w:val="3"/>
    <w:qFormat/>
    <w:uiPriority w:val="0"/>
    <w:rPr>
      <w:rFonts w:hint="eastAsia" w:ascii="仿宋_GB2312" w:eastAsia="仿宋_GB2312" w:cs="Times New Roman"/>
      <w:b/>
      <w:sz w:val="26"/>
      <w:szCs w:val="26"/>
      <w:lang w:eastAsia="en-US"/>
    </w:rPr>
  </w:style>
  <w:style w:type="paragraph" w:customStyle="1" w:styleId="13">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15</Pages>
  <Words>9615</Words>
  <Characters>10498</Characters>
  <Lines>100</Lines>
  <Paragraphs>299</Paragraphs>
  <TotalTime>343</TotalTime>
  <ScaleCrop>false</ScaleCrop>
  <LinksUpToDate>false</LinksUpToDate>
  <CharactersWithSpaces>10605</CharactersWithSpaces>
  <Application>WPS Office_12.8.2.1113_F1E327BC-269C-435d-A152-05C5408002CA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2025-08-23T00:27:00Z</dcterms:created>
  <dc:creator>user</dc:creator>
  <cp:lastModifiedBy>user</cp:lastModifiedBy>
  <dcterms:modified xsi:type="dcterms:W3CDTF">2025-08-29T17:02:10Z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39DDCE55CA9E49FF951F0F10293989DC_13</vt:lpwstr>
  </property>
  <property fmtid="{D5CDD505-2E9C-101B-9397-08002B2CF9AE}" pid="4" name="KSOTemplateDocerSaveRecord">
    <vt:lpwstr>eyJoZGlkIjoiNzI2ZGYzZGJhM2Q4YzdiY2QyMjZhOTQ5N2Y5NDhiMjUiLCJ1c2VySWQiOiIyOTM1Mjc3NzkifQ==</vt:lpwstr>
  </property>
</Properties>
</file>