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E2026">
      <w:pPr>
        <w:ind w:firstLine="0" w:firstLineChars="0"/>
        <w:jc w:val="center"/>
        <w:rPr>
          <w:rFonts w:hint="eastAsia" w:ascii="黑体" w:hAnsi="黑体" w:eastAsia="黑体"/>
          <w:sz w:val="48"/>
          <w:szCs w:val="48"/>
        </w:rPr>
      </w:pPr>
    </w:p>
    <w:p w14:paraId="13444ABE">
      <w:pPr>
        <w:ind w:firstLine="0" w:firstLineChars="0"/>
        <w:jc w:val="center"/>
        <w:rPr>
          <w:rFonts w:hint="eastAsia" w:ascii="黑体" w:hAnsi="黑体" w:eastAsia="黑体"/>
          <w:sz w:val="48"/>
          <w:szCs w:val="48"/>
        </w:rPr>
      </w:pPr>
    </w:p>
    <w:p w14:paraId="5109AD30">
      <w:pPr>
        <w:spacing w:line="720" w:lineRule="auto"/>
        <w:ind w:firstLine="0" w:firstLineChars="0"/>
        <w:jc w:val="center"/>
        <w:rPr>
          <w:rFonts w:hint="eastAsia" w:ascii="黑体" w:hAnsi="黑体" w:eastAsia="黑体"/>
          <w:sz w:val="48"/>
          <w:szCs w:val="48"/>
        </w:rPr>
      </w:pPr>
      <w:r>
        <w:rPr>
          <w:rFonts w:hint="eastAsia" w:ascii="黑体" w:hAnsi="黑体" w:eastAsia="黑体"/>
          <w:sz w:val="48"/>
          <w:szCs w:val="48"/>
        </w:rPr>
        <w:t>进博会数字赋能服务保障一体化平台</w:t>
      </w:r>
    </w:p>
    <w:p w14:paraId="3DF41518">
      <w:pPr>
        <w:spacing w:line="720" w:lineRule="auto"/>
        <w:ind w:firstLine="0" w:firstLineChars="0"/>
        <w:jc w:val="center"/>
        <w:rPr>
          <w:rFonts w:hint="eastAsia" w:ascii="黑体" w:hAnsi="黑体" w:eastAsia="黑体"/>
          <w:sz w:val="48"/>
          <w:szCs w:val="48"/>
        </w:rPr>
      </w:pPr>
      <w:r>
        <w:rPr>
          <w:rFonts w:hint="eastAsia" w:ascii="黑体" w:hAnsi="黑体" w:eastAsia="黑体"/>
          <w:sz w:val="48"/>
          <w:szCs w:val="48"/>
          <w:lang w:val="en-US" w:eastAsia="zh-CN"/>
        </w:rPr>
        <w:t>建设项目</w:t>
      </w:r>
      <w:r>
        <w:rPr>
          <w:rFonts w:hint="eastAsia" w:ascii="黑体" w:hAnsi="黑体" w:eastAsia="黑体"/>
          <w:sz w:val="48"/>
          <w:szCs w:val="48"/>
        </w:rPr>
        <w:t>（2025年升级改造）</w:t>
      </w:r>
    </w:p>
    <w:p w14:paraId="57DA0ACA">
      <w:pPr>
        <w:spacing w:line="720" w:lineRule="auto"/>
        <w:ind w:firstLine="0" w:firstLineChars="0"/>
        <w:jc w:val="center"/>
        <w:rPr>
          <w:rFonts w:hint="eastAsia" w:ascii="黑体" w:hAnsi="黑体" w:eastAsia="黑体"/>
          <w:sz w:val="48"/>
          <w:szCs w:val="48"/>
        </w:rPr>
      </w:pPr>
      <w:r>
        <w:rPr>
          <w:rFonts w:hint="eastAsia" w:ascii="黑体" w:hAnsi="黑体" w:eastAsia="黑体"/>
          <w:sz w:val="48"/>
          <w:szCs w:val="48"/>
        </w:rPr>
        <w:t>采购需求</w:t>
      </w:r>
    </w:p>
    <w:p w14:paraId="62DCD5C0">
      <w:pPr>
        <w:ind w:firstLine="0" w:firstLineChars="0"/>
        <w:jc w:val="center"/>
        <w:rPr>
          <w:rFonts w:hint="eastAsia" w:ascii="黑体" w:hAnsi="黑体" w:eastAsia="黑体"/>
          <w:sz w:val="72"/>
          <w:szCs w:val="72"/>
        </w:rPr>
      </w:pPr>
    </w:p>
    <w:p w14:paraId="4D0115F1">
      <w:pPr>
        <w:ind w:firstLine="0" w:firstLineChars="0"/>
        <w:jc w:val="center"/>
        <w:rPr>
          <w:rFonts w:hint="eastAsia" w:ascii="黑体" w:hAnsi="黑体" w:eastAsia="黑体"/>
          <w:sz w:val="48"/>
          <w:szCs w:val="48"/>
        </w:rPr>
      </w:pPr>
    </w:p>
    <w:p w14:paraId="3DB3ADAB">
      <w:pPr>
        <w:ind w:firstLine="0" w:firstLineChars="0"/>
        <w:jc w:val="center"/>
        <w:rPr>
          <w:rFonts w:hint="eastAsia" w:ascii="黑体" w:hAnsi="黑体" w:eastAsia="黑体"/>
          <w:sz w:val="52"/>
          <w:szCs w:val="52"/>
        </w:rPr>
      </w:pPr>
    </w:p>
    <w:p w14:paraId="311A6146">
      <w:pPr>
        <w:ind w:firstLine="1040"/>
        <w:rPr>
          <w:rFonts w:hint="eastAsia" w:ascii="黑体" w:hAnsi="黑体" w:eastAsia="黑体"/>
          <w:sz w:val="52"/>
          <w:szCs w:val="52"/>
        </w:rPr>
      </w:pPr>
    </w:p>
    <w:p w14:paraId="5C128056">
      <w:pPr>
        <w:rPr>
          <w:rFonts w:hint="eastAsia"/>
        </w:rPr>
      </w:pPr>
    </w:p>
    <w:p w14:paraId="4CD24F23">
      <w:pPr>
        <w:rPr>
          <w:rFonts w:hint="eastAsia"/>
        </w:rPr>
      </w:pPr>
    </w:p>
    <w:p w14:paraId="3B32E122">
      <w:pPr>
        <w:rPr>
          <w:rFonts w:hint="eastAsia"/>
        </w:rPr>
      </w:pPr>
    </w:p>
    <w:p w14:paraId="29F3B303">
      <w:pPr>
        <w:rPr>
          <w:rFonts w:hint="eastAsia"/>
        </w:rPr>
      </w:pPr>
    </w:p>
    <w:p w14:paraId="052755E2">
      <w:pPr>
        <w:rPr>
          <w:rFonts w:hint="eastAsia"/>
        </w:rPr>
      </w:pPr>
    </w:p>
    <w:p w14:paraId="51165FC5">
      <w:pPr>
        <w:ind w:firstLine="1040"/>
        <w:rPr>
          <w:rFonts w:hint="eastAsia" w:ascii="黑体" w:hAnsi="黑体" w:eastAsia="黑体"/>
          <w:sz w:val="52"/>
          <w:szCs w:val="52"/>
        </w:rPr>
      </w:pPr>
    </w:p>
    <w:p w14:paraId="6264E9E5">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546DF485">
      <w:pPr>
        <w:pStyle w:val="2"/>
        <w:rPr>
          <w:rFonts w:hint="eastAsia"/>
        </w:rPr>
      </w:pPr>
      <w:bookmarkStart w:id="0" w:name="_Toc63785461"/>
      <w:r>
        <w:rPr>
          <w:rFonts w:hint="eastAsia"/>
        </w:rPr>
        <w:t>项目概况</w:t>
      </w:r>
      <w:bookmarkEnd w:id="0"/>
    </w:p>
    <w:p w14:paraId="62D17A9E">
      <w:pPr>
        <w:spacing w:line="560" w:lineRule="exact"/>
        <w:rPr>
          <w:rFonts w:hint="eastAsia"/>
        </w:rPr>
      </w:pPr>
      <w:r>
        <w:rPr>
          <w:rFonts w:hint="eastAsia"/>
        </w:rPr>
        <w:t>第八届中国国际进口博览会有155个国家、地区和国际组织参与，4108家境外企业参展，整体展览面积超过43万平方米。</w:t>
      </w:r>
      <w:bookmarkStart w:id="38" w:name="_GoBack"/>
      <w:bookmarkEnd w:id="38"/>
      <w:r>
        <w:rPr>
          <w:rFonts w:hint="eastAsia"/>
        </w:rPr>
        <w:t>进博会已经成为中国构建新发展格局的窗口、推动高水平开放的平台、全球共享的国际公共产品，中国共产党第二十次全国代表大会强调，中国坚持对外开放的基本国策，坚定奉行互利共赢的开放战略，坚持经济全球化正确方向，增强国内国际两个市场两种资源联动效应，不断以中国新发展为世界提供新机遇，推动建设开放型世界经济，践行真正的多边主义，凝聚更多开放共识，共同克服全球经济发展面临的困难和挑战。</w:t>
      </w:r>
    </w:p>
    <w:p w14:paraId="639D1E80">
      <w:pPr>
        <w:spacing w:line="560" w:lineRule="exact"/>
        <w:rPr>
          <w:rFonts w:hint="eastAsia"/>
        </w:rPr>
      </w:pPr>
      <w:r>
        <w:rPr>
          <w:rFonts w:hint="eastAsia"/>
        </w:rPr>
        <w:t>为进一步贯彻落实总书记关于进博会要“办出水平、办出成效、越办越好”的重要指示精神，持续发挥进博会溢出带动效应，拟开展</w:t>
      </w:r>
      <w:r>
        <w:rPr>
          <w:rFonts w:hint="eastAsia"/>
          <w:highlight w:val="none"/>
        </w:rPr>
        <w:t>进博会数字赋能服务保障一体化平台建设项目（</w:t>
      </w:r>
      <w:r>
        <w:rPr>
          <w:rFonts w:hint="eastAsia"/>
          <w:highlight w:val="none"/>
          <w:lang w:val="en-US" w:eastAsia="zh-CN"/>
        </w:rPr>
        <w:t>2025年</w:t>
      </w:r>
      <w:r>
        <w:rPr>
          <w:rFonts w:hint="eastAsia"/>
          <w:highlight w:val="none"/>
        </w:rPr>
        <w:t>升级改造）建设</w:t>
      </w:r>
      <w:r>
        <w:rPr>
          <w:rFonts w:hint="eastAsia"/>
        </w:rPr>
        <w:t>，在现有进博会数字赋能服务保障一体化平台的基础上，进一步提升数字赋能能级，综合空间计算、数字孪生、大数据、物联网、5G通讯等新技术，探索数字化前沿技术与进博会关键数据的深度融合，保障进博会期间客流平稳有序，为用户提供高质量的精准馆内导航服务，打造线下、线上活动一体化体验，构建大客流监测预警升级及场馆可视化触摸屏系统，对实时客流分布进行分析展示，树立城市数字化转型典范标杆，发挥好进博会在商品服务展示交易、投资贸易洽谈、技术解决方案推广等方面的积极作用，确保今后每届进博会等相关国际展会的圆满成功！</w:t>
      </w:r>
    </w:p>
    <w:p w14:paraId="1DA811EF">
      <w:pPr>
        <w:spacing w:line="560" w:lineRule="exact"/>
        <w:rPr>
          <w:rFonts w:hint="eastAsia"/>
        </w:rPr>
      </w:pPr>
      <w:r>
        <w:rPr>
          <w:rFonts w:hint="eastAsia"/>
        </w:rPr>
        <w:t>建设期限：自合同签订后12个月内完成本项目的内容建设并通过专项验收，其中包括为期</w:t>
      </w:r>
      <w:r>
        <w:rPr>
          <w:rFonts w:hint="eastAsia"/>
          <w:lang w:val="en-US" w:eastAsia="zh-CN"/>
        </w:rPr>
        <w:t>30</w:t>
      </w:r>
      <w:r>
        <w:rPr>
          <w:rFonts w:hint="eastAsia"/>
        </w:rPr>
        <w:t>天的试运行。</w:t>
      </w:r>
    </w:p>
    <w:p w14:paraId="53C4B3D9">
      <w:pPr>
        <w:spacing w:line="560" w:lineRule="exact"/>
        <w:rPr>
          <w:rFonts w:hint="eastAsia"/>
        </w:rPr>
      </w:pPr>
      <w:r>
        <w:rPr>
          <w:rFonts w:hint="eastAsia"/>
        </w:rPr>
        <w:t>建设地点：上海市静安区寿阳路99弄15号</w:t>
      </w:r>
    </w:p>
    <w:p w14:paraId="3C34643F">
      <w:pPr>
        <w:spacing w:line="560" w:lineRule="exact"/>
        <w:rPr>
          <w:rFonts w:hint="eastAsia"/>
        </w:rPr>
      </w:pPr>
      <w:r>
        <w:rPr>
          <w:rFonts w:hint="eastAsia"/>
        </w:rPr>
        <w:t>预算金额：21,045,000元</w:t>
      </w:r>
    </w:p>
    <w:p w14:paraId="40F6AB9D">
      <w:pPr>
        <w:spacing w:line="560" w:lineRule="exact"/>
        <w:rPr>
          <w:rFonts w:hint="eastAsia"/>
        </w:rPr>
      </w:pPr>
      <w:r>
        <w:rPr>
          <w:rFonts w:hint="eastAsia"/>
        </w:rPr>
        <w:t>采购金额（最高限价）：21,045,000元</w:t>
      </w:r>
    </w:p>
    <w:p w14:paraId="522280FF">
      <w:pPr>
        <w:rPr>
          <w:rFonts w:hint="eastAsia"/>
        </w:rPr>
      </w:pPr>
      <w:r>
        <w:rPr>
          <w:rFonts w:hint="eastAsia"/>
        </w:rPr>
        <w:t>组织形式：集中采购</w:t>
      </w:r>
    </w:p>
    <w:p w14:paraId="10BBA41C">
      <w:pPr>
        <w:rPr>
          <w:rFonts w:hint="eastAsia"/>
        </w:rPr>
      </w:pPr>
      <w:r>
        <w:rPr>
          <w:rFonts w:hint="eastAsia"/>
        </w:rPr>
        <w:t>采购方式：公开招标</w:t>
      </w:r>
    </w:p>
    <w:p w14:paraId="0993881D">
      <w:pPr>
        <w:rPr>
          <w:rFonts w:hint="eastAsia"/>
        </w:rPr>
      </w:pPr>
      <w:r>
        <w:rPr>
          <w:rFonts w:hint="eastAsia"/>
        </w:rPr>
        <w:t>是否接受联合体投标：否</w:t>
      </w:r>
    </w:p>
    <w:p w14:paraId="7BD96E03">
      <w:pPr>
        <w:rPr>
          <w:rFonts w:hint="eastAsia"/>
        </w:rPr>
      </w:pPr>
      <w:r>
        <w:t>是否按</w:t>
      </w:r>
      <w:r>
        <w:rPr>
          <w:rFonts w:hint="eastAsia"/>
          <w:lang w:val="en-US" w:eastAsia="zh-CN"/>
        </w:rPr>
        <w:t>XC</w:t>
      </w:r>
      <w:r>
        <w:t>要求建设：是</w:t>
      </w:r>
    </w:p>
    <w:p w14:paraId="5F5E731B">
      <w:pPr>
        <w:rPr>
          <w:rFonts w:hint="eastAsia"/>
        </w:rPr>
      </w:pPr>
      <w:r>
        <w:rPr>
          <w:rFonts w:hint="eastAsia"/>
        </w:rPr>
        <w:t>运维后所属大系统：进博会数字赋能服务保障一体化平台</w:t>
      </w:r>
    </w:p>
    <w:p w14:paraId="4572C320">
      <w:pPr>
        <w:pStyle w:val="2"/>
        <w:rPr>
          <w:rFonts w:hint="eastAsia"/>
        </w:rPr>
      </w:pPr>
      <w:bookmarkStart w:id="1" w:name="_Toc47536272"/>
      <w:bookmarkEnd w:id="1"/>
      <w:bookmarkStart w:id="2" w:name="_Toc47533256"/>
      <w:bookmarkEnd w:id="2"/>
      <w:bookmarkStart w:id="3" w:name="_Toc47531634"/>
      <w:bookmarkEnd w:id="3"/>
      <w:bookmarkStart w:id="4" w:name="_Toc47536644"/>
      <w:bookmarkEnd w:id="4"/>
      <w:bookmarkStart w:id="5" w:name="_Toc47539070"/>
      <w:bookmarkEnd w:id="5"/>
      <w:bookmarkStart w:id="6" w:name="_Toc47532255"/>
      <w:bookmarkEnd w:id="6"/>
      <w:bookmarkStart w:id="7" w:name="_Toc47537134"/>
      <w:bookmarkEnd w:id="7"/>
      <w:bookmarkStart w:id="8" w:name="_Toc47532891"/>
      <w:bookmarkEnd w:id="8"/>
      <w:bookmarkStart w:id="9" w:name="_Toc63785463"/>
      <w:bookmarkStart w:id="10" w:name="_Toc48223882"/>
      <w:r>
        <w:rPr>
          <w:rFonts w:hint="eastAsia"/>
        </w:rPr>
        <w:t>建设目标</w:t>
      </w:r>
      <w:bookmarkEnd w:id="9"/>
      <w:bookmarkEnd w:id="10"/>
    </w:p>
    <w:p w14:paraId="339B6016">
      <w:pPr>
        <w:rPr>
          <w:rFonts w:hint="eastAsia"/>
        </w:rPr>
      </w:pPr>
      <w:r>
        <w:rPr>
          <w:rFonts w:hint="eastAsia"/>
        </w:rPr>
        <w:t>为贯彻总书记关于进博会要“越办越好”的重要指示精神，落实吉宁书记7月29日在进博会城市服务保障领导小组扩大会议上“强化科技赋能，聚焦服务和管理两端，强化人工智能、大数据等科技手段应用开发”的重要讲话，依据进博会城市服务保障领导小组办公室下发的《第八届中国国际进口博览会城市服务保障总任务书》的重点任务，运用大模型AI赋能进博，升级“进博士”AI数字服务管家；深化图商合作实现导航直达展馆，优化智慧导航引擎；强化进博大客流监测管理，提升大型展会综合管理服务效能；实现重点管控人员识别与预警，提高展会安全保障及突发事件应对能力；加强信息安全技术赋能，保障数据内容安全、数据载体安全，牢守信息系统安全底线。</w:t>
      </w:r>
    </w:p>
    <w:tbl>
      <w:tblPr>
        <w:tblStyle w:val="35"/>
        <w:tblW w:w="0" w:type="auto"/>
        <w:tblInd w:w="113" w:type="dxa"/>
        <w:tblLayout w:type="autofit"/>
        <w:tblCellMar>
          <w:top w:w="0" w:type="dxa"/>
          <w:left w:w="108" w:type="dxa"/>
          <w:bottom w:w="0" w:type="dxa"/>
          <w:right w:w="108" w:type="dxa"/>
        </w:tblCellMar>
      </w:tblPr>
      <w:tblGrid>
        <w:gridCol w:w="594"/>
        <w:gridCol w:w="1096"/>
        <w:gridCol w:w="1096"/>
        <w:gridCol w:w="1411"/>
        <w:gridCol w:w="2672"/>
        <w:gridCol w:w="1546"/>
      </w:tblGrid>
      <w:tr w14:paraId="5B2BABC1">
        <w:tblPrEx>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42744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3252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一级指标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60C5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二级指标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402C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三级指标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A72D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四级指标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48A5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目标值</w:t>
            </w:r>
          </w:p>
        </w:tc>
      </w:tr>
      <w:tr w14:paraId="497C149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568F2E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63ADE4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B6D641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EA69A1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871E0A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硬件设备购置完成率</w:t>
            </w:r>
          </w:p>
        </w:tc>
        <w:tc>
          <w:tcPr>
            <w:tcW w:w="0" w:type="auto"/>
            <w:tcBorders>
              <w:top w:val="single" w:color="000000" w:sz="4" w:space="0"/>
              <w:left w:val="single" w:color="000000" w:sz="4" w:space="0"/>
              <w:bottom w:val="single" w:color="000000" w:sz="4" w:space="0"/>
              <w:right w:val="single" w:color="000000" w:sz="4" w:space="0"/>
            </w:tcBorders>
            <w:vAlign w:val="center"/>
          </w:tcPr>
          <w:p w14:paraId="03C5773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=100%</w:t>
            </w:r>
          </w:p>
        </w:tc>
      </w:tr>
      <w:tr w14:paraId="3D8E3242">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82E858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BC5470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A42160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454FA8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6B1B753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软件开发完成率</w:t>
            </w:r>
          </w:p>
        </w:tc>
        <w:tc>
          <w:tcPr>
            <w:tcW w:w="0" w:type="auto"/>
            <w:tcBorders>
              <w:top w:val="single" w:color="000000" w:sz="4" w:space="0"/>
              <w:left w:val="single" w:color="000000" w:sz="4" w:space="0"/>
              <w:bottom w:val="single" w:color="000000" w:sz="4" w:space="0"/>
              <w:right w:val="single" w:color="000000" w:sz="4" w:space="0"/>
            </w:tcBorders>
            <w:vAlign w:val="center"/>
          </w:tcPr>
          <w:p w14:paraId="176CA1F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=100%</w:t>
            </w:r>
          </w:p>
        </w:tc>
      </w:tr>
      <w:tr w14:paraId="4737E129">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32AEA4B">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706AEA5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0AC835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538618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5F022A3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软件测试达标</w:t>
            </w:r>
          </w:p>
        </w:tc>
        <w:tc>
          <w:tcPr>
            <w:tcW w:w="0" w:type="auto"/>
            <w:tcBorders>
              <w:top w:val="single" w:color="000000" w:sz="4" w:space="0"/>
              <w:left w:val="single" w:color="000000" w:sz="4" w:space="0"/>
              <w:bottom w:val="single" w:color="000000" w:sz="4" w:space="0"/>
              <w:right w:val="single" w:color="000000" w:sz="4" w:space="0"/>
            </w:tcBorders>
            <w:vAlign w:val="center"/>
          </w:tcPr>
          <w:p w14:paraId="711B812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通过</w:t>
            </w:r>
          </w:p>
        </w:tc>
      </w:tr>
      <w:tr w14:paraId="19E2F88A">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5C5A9C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4B0E0C0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4EF79B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21D959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64014E9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安全事件发生次数</w:t>
            </w:r>
          </w:p>
        </w:tc>
        <w:tc>
          <w:tcPr>
            <w:tcW w:w="0" w:type="auto"/>
            <w:tcBorders>
              <w:top w:val="single" w:color="000000" w:sz="4" w:space="0"/>
              <w:left w:val="single" w:color="000000" w:sz="4" w:space="0"/>
              <w:bottom w:val="single" w:color="000000" w:sz="4" w:space="0"/>
              <w:right w:val="single" w:color="000000" w:sz="4" w:space="0"/>
            </w:tcBorders>
            <w:vAlign w:val="center"/>
          </w:tcPr>
          <w:p w14:paraId="2132188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0次</w:t>
            </w:r>
          </w:p>
        </w:tc>
      </w:tr>
      <w:tr w14:paraId="755169DE">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3657A4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5711062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326ED6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76D4D7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4741ED6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密码测试达标</w:t>
            </w:r>
          </w:p>
        </w:tc>
        <w:tc>
          <w:tcPr>
            <w:tcW w:w="0" w:type="auto"/>
            <w:tcBorders>
              <w:top w:val="single" w:color="000000" w:sz="4" w:space="0"/>
              <w:left w:val="single" w:color="000000" w:sz="4" w:space="0"/>
              <w:bottom w:val="single" w:color="000000" w:sz="4" w:space="0"/>
              <w:right w:val="single" w:color="000000" w:sz="4" w:space="0"/>
            </w:tcBorders>
            <w:vAlign w:val="center"/>
          </w:tcPr>
          <w:p w14:paraId="473C749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通过</w:t>
            </w:r>
          </w:p>
        </w:tc>
      </w:tr>
      <w:tr w14:paraId="051C960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F575F8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6</w:t>
            </w:r>
          </w:p>
        </w:tc>
        <w:tc>
          <w:tcPr>
            <w:tcW w:w="0" w:type="auto"/>
            <w:tcBorders>
              <w:top w:val="single" w:color="000000" w:sz="4" w:space="0"/>
              <w:left w:val="single" w:color="000000" w:sz="4" w:space="0"/>
              <w:bottom w:val="single" w:color="000000" w:sz="4" w:space="0"/>
              <w:right w:val="single" w:color="000000" w:sz="4" w:space="0"/>
            </w:tcBorders>
            <w:vAlign w:val="center"/>
          </w:tcPr>
          <w:p w14:paraId="65F7F3C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45065F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B65CAC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1B20A70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安全测试达标</w:t>
            </w:r>
          </w:p>
        </w:tc>
        <w:tc>
          <w:tcPr>
            <w:tcW w:w="0" w:type="auto"/>
            <w:tcBorders>
              <w:top w:val="single" w:color="000000" w:sz="4" w:space="0"/>
              <w:left w:val="single" w:color="000000" w:sz="4" w:space="0"/>
              <w:bottom w:val="single" w:color="000000" w:sz="4" w:space="0"/>
              <w:right w:val="single" w:color="000000" w:sz="4" w:space="0"/>
            </w:tcBorders>
            <w:vAlign w:val="center"/>
          </w:tcPr>
          <w:p w14:paraId="4EB4B1F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通过</w:t>
            </w:r>
          </w:p>
        </w:tc>
      </w:tr>
      <w:tr w14:paraId="1DC9FD8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4B3FB4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7</w:t>
            </w:r>
          </w:p>
        </w:tc>
        <w:tc>
          <w:tcPr>
            <w:tcW w:w="0" w:type="auto"/>
            <w:tcBorders>
              <w:top w:val="single" w:color="000000" w:sz="4" w:space="0"/>
              <w:left w:val="single" w:color="000000" w:sz="4" w:space="0"/>
              <w:bottom w:val="single" w:color="000000" w:sz="4" w:space="0"/>
              <w:right w:val="single" w:color="000000" w:sz="4" w:space="0"/>
            </w:tcBorders>
            <w:vAlign w:val="center"/>
          </w:tcPr>
          <w:p w14:paraId="77BAEAB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8CB6338">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DAA353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55C71DB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网络安全等级保护</w:t>
            </w:r>
          </w:p>
        </w:tc>
        <w:tc>
          <w:tcPr>
            <w:tcW w:w="0" w:type="auto"/>
            <w:tcBorders>
              <w:top w:val="single" w:color="000000" w:sz="4" w:space="0"/>
              <w:left w:val="single" w:color="000000" w:sz="4" w:space="0"/>
              <w:bottom w:val="single" w:color="000000" w:sz="4" w:space="0"/>
              <w:right w:val="single" w:color="000000" w:sz="4" w:space="0"/>
            </w:tcBorders>
            <w:vAlign w:val="center"/>
          </w:tcPr>
          <w:p w14:paraId="52CD01C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等保三级</w:t>
            </w:r>
          </w:p>
        </w:tc>
      </w:tr>
      <w:tr w14:paraId="34D6B81D">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90FA31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17EFB58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21369D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DD00B4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514CDEFB">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一次性验收合格率</w:t>
            </w:r>
          </w:p>
        </w:tc>
        <w:tc>
          <w:tcPr>
            <w:tcW w:w="0" w:type="auto"/>
            <w:tcBorders>
              <w:top w:val="single" w:color="000000" w:sz="4" w:space="0"/>
              <w:left w:val="single" w:color="000000" w:sz="4" w:space="0"/>
              <w:bottom w:val="single" w:color="000000" w:sz="4" w:space="0"/>
              <w:right w:val="single" w:color="000000" w:sz="4" w:space="0"/>
            </w:tcBorders>
            <w:vAlign w:val="center"/>
          </w:tcPr>
          <w:p w14:paraId="0D1334A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=100%</w:t>
            </w:r>
          </w:p>
        </w:tc>
      </w:tr>
      <w:tr w14:paraId="12F1D784">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C62102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9</w:t>
            </w:r>
          </w:p>
        </w:tc>
        <w:tc>
          <w:tcPr>
            <w:tcW w:w="0" w:type="auto"/>
            <w:tcBorders>
              <w:top w:val="single" w:color="000000" w:sz="4" w:space="0"/>
              <w:left w:val="single" w:color="000000" w:sz="4" w:space="0"/>
              <w:bottom w:val="single" w:color="000000" w:sz="4" w:space="0"/>
              <w:right w:val="single" w:color="000000" w:sz="4" w:space="0"/>
            </w:tcBorders>
            <w:vAlign w:val="center"/>
          </w:tcPr>
          <w:p w14:paraId="49122C9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9456BD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7468F1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48EC2E7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系统可靠性</w:t>
            </w:r>
          </w:p>
        </w:tc>
        <w:tc>
          <w:tcPr>
            <w:tcW w:w="0" w:type="auto"/>
            <w:tcBorders>
              <w:top w:val="single" w:color="000000" w:sz="4" w:space="0"/>
              <w:left w:val="single" w:color="000000" w:sz="4" w:space="0"/>
              <w:bottom w:val="single" w:color="000000" w:sz="4" w:space="0"/>
              <w:right w:val="single" w:color="000000" w:sz="4" w:space="0"/>
            </w:tcBorders>
            <w:vAlign w:val="center"/>
          </w:tcPr>
          <w:p w14:paraId="27C02FA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≥99%</w:t>
            </w:r>
          </w:p>
        </w:tc>
      </w:tr>
      <w:tr w14:paraId="6DBA9601">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62E5AA5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1FC5693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362E628">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42471A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产出时效</w:t>
            </w:r>
          </w:p>
        </w:tc>
        <w:tc>
          <w:tcPr>
            <w:tcW w:w="0" w:type="auto"/>
            <w:tcBorders>
              <w:top w:val="single" w:color="000000" w:sz="4" w:space="0"/>
              <w:left w:val="single" w:color="000000" w:sz="4" w:space="0"/>
              <w:bottom w:val="single" w:color="000000" w:sz="4" w:space="0"/>
              <w:right w:val="single" w:color="000000" w:sz="4" w:space="0"/>
            </w:tcBorders>
            <w:vAlign w:val="center"/>
          </w:tcPr>
          <w:p w14:paraId="752A28C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项目建设周期</w:t>
            </w:r>
          </w:p>
        </w:tc>
        <w:tc>
          <w:tcPr>
            <w:tcW w:w="0" w:type="auto"/>
            <w:tcBorders>
              <w:top w:val="single" w:color="000000" w:sz="4" w:space="0"/>
              <w:left w:val="single" w:color="000000" w:sz="4" w:space="0"/>
              <w:bottom w:val="single" w:color="000000" w:sz="4" w:space="0"/>
              <w:right w:val="single" w:color="000000" w:sz="4" w:space="0"/>
            </w:tcBorders>
            <w:vAlign w:val="center"/>
          </w:tcPr>
          <w:p w14:paraId="6D6C45B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=12月</w:t>
            </w:r>
          </w:p>
        </w:tc>
      </w:tr>
      <w:tr w14:paraId="3EC0EA96">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A19843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2FF1584B">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8D4FED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E40CCB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产出成本</w:t>
            </w:r>
          </w:p>
        </w:tc>
        <w:tc>
          <w:tcPr>
            <w:tcW w:w="0" w:type="auto"/>
            <w:tcBorders>
              <w:top w:val="single" w:color="000000" w:sz="4" w:space="0"/>
              <w:left w:val="single" w:color="000000" w:sz="4" w:space="0"/>
              <w:bottom w:val="single" w:color="000000" w:sz="4" w:space="0"/>
              <w:right w:val="single" w:color="000000" w:sz="4" w:space="0"/>
            </w:tcBorders>
            <w:vAlign w:val="center"/>
          </w:tcPr>
          <w:p w14:paraId="16FAE0E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标准化内容支出比例</w:t>
            </w:r>
          </w:p>
        </w:tc>
        <w:tc>
          <w:tcPr>
            <w:tcW w:w="0" w:type="auto"/>
            <w:tcBorders>
              <w:top w:val="single" w:color="000000" w:sz="4" w:space="0"/>
              <w:left w:val="single" w:color="000000" w:sz="4" w:space="0"/>
              <w:bottom w:val="single" w:color="000000" w:sz="4" w:space="0"/>
              <w:right w:val="single" w:color="000000" w:sz="4" w:space="0"/>
            </w:tcBorders>
            <w:vAlign w:val="center"/>
          </w:tcPr>
          <w:p w14:paraId="3191BB08">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≥85%</w:t>
            </w:r>
          </w:p>
        </w:tc>
      </w:tr>
      <w:tr w14:paraId="623B65E2">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9F45DA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7EBA7FE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3C89FE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应用系统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52AB073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监测监管系统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06404F2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监测对象月均风险预警数量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6C28546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≥100个/月</w:t>
            </w:r>
          </w:p>
        </w:tc>
      </w:tr>
      <w:tr w14:paraId="04D5562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BC0873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441002F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54EFAE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应用系统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31FD223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监测监管系统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5716D38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监测对象风险预警准确率</w:t>
            </w:r>
          </w:p>
        </w:tc>
        <w:tc>
          <w:tcPr>
            <w:tcW w:w="0" w:type="auto"/>
            <w:tcBorders>
              <w:top w:val="single" w:color="000000" w:sz="4" w:space="0"/>
              <w:left w:val="single" w:color="000000" w:sz="4" w:space="0"/>
              <w:bottom w:val="single" w:color="000000" w:sz="4" w:space="0"/>
              <w:right w:val="single" w:color="000000" w:sz="4" w:space="0"/>
            </w:tcBorders>
            <w:vAlign w:val="center"/>
          </w:tcPr>
          <w:p w14:paraId="21BDAE5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≥90%</w:t>
            </w:r>
          </w:p>
        </w:tc>
      </w:tr>
      <w:tr w14:paraId="210E8E0B">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7580D1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14</w:t>
            </w:r>
          </w:p>
        </w:tc>
        <w:tc>
          <w:tcPr>
            <w:tcW w:w="0" w:type="auto"/>
            <w:tcBorders>
              <w:top w:val="single" w:color="000000" w:sz="4" w:space="0"/>
              <w:left w:val="single" w:color="000000" w:sz="4" w:space="0"/>
              <w:bottom w:val="single" w:color="000000" w:sz="4" w:space="0"/>
              <w:right w:val="single" w:color="000000" w:sz="4" w:space="0"/>
            </w:tcBorders>
            <w:vAlign w:val="center"/>
          </w:tcPr>
          <w:p w14:paraId="57FBC25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05A5A6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应用系统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554B8F2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监测监管系统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4EC0256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监测指标数量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C68F1B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≥10个</w:t>
            </w:r>
          </w:p>
        </w:tc>
      </w:tr>
      <w:tr w14:paraId="4BE5DD3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66C002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384FC9C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7FD257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应用系统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75944E2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监测监管系统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55881AC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监测监管月均做出辅助决策数量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6177CC4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≥10个/月</w:t>
            </w:r>
          </w:p>
        </w:tc>
      </w:tr>
      <w:tr w14:paraId="42DC7CC8">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C659EF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16</w:t>
            </w:r>
          </w:p>
        </w:tc>
        <w:tc>
          <w:tcPr>
            <w:tcW w:w="0" w:type="auto"/>
            <w:tcBorders>
              <w:top w:val="single" w:color="000000" w:sz="4" w:space="0"/>
              <w:left w:val="single" w:color="000000" w:sz="4" w:space="0"/>
              <w:bottom w:val="single" w:color="000000" w:sz="4" w:space="0"/>
              <w:right w:val="single" w:color="000000" w:sz="4" w:space="0"/>
            </w:tcBorders>
            <w:vAlign w:val="center"/>
          </w:tcPr>
          <w:p w14:paraId="719044D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6ADE78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重点应用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18976CB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大模型应用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0432D0C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数据编目更新及时率</w:t>
            </w:r>
          </w:p>
        </w:tc>
        <w:tc>
          <w:tcPr>
            <w:tcW w:w="0" w:type="auto"/>
            <w:tcBorders>
              <w:top w:val="single" w:color="000000" w:sz="4" w:space="0"/>
              <w:left w:val="single" w:color="000000" w:sz="4" w:space="0"/>
              <w:bottom w:val="single" w:color="000000" w:sz="4" w:space="0"/>
              <w:right w:val="single" w:color="000000" w:sz="4" w:space="0"/>
            </w:tcBorders>
            <w:vAlign w:val="center"/>
          </w:tcPr>
          <w:p w14:paraId="2C7FEE0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≥95%</w:t>
            </w:r>
          </w:p>
        </w:tc>
      </w:tr>
      <w:tr w14:paraId="791FEC77">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FABDB8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17</w:t>
            </w:r>
          </w:p>
        </w:tc>
        <w:tc>
          <w:tcPr>
            <w:tcW w:w="0" w:type="auto"/>
            <w:tcBorders>
              <w:top w:val="single" w:color="000000" w:sz="4" w:space="0"/>
              <w:left w:val="single" w:color="000000" w:sz="4" w:space="0"/>
              <w:bottom w:val="single" w:color="000000" w:sz="4" w:space="0"/>
              <w:right w:val="single" w:color="000000" w:sz="4" w:space="0"/>
            </w:tcBorders>
            <w:vAlign w:val="center"/>
          </w:tcPr>
          <w:p w14:paraId="1F1084F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7CA75F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重点应用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0D1C43F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大模型应用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106866A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语料加工数据准确率</w:t>
            </w:r>
          </w:p>
        </w:tc>
        <w:tc>
          <w:tcPr>
            <w:tcW w:w="0" w:type="auto"/>
            <w:tcBorders>
              <w:top w:val="single" w:color="000000" w:sz="4" w:space="0"/>
              <w:left w:val="single" w:color="000000" w:sz="4" w:space="0"/>
              <w:bottom w:val="single" w:color="000000" w:sz="4" w:space="0"/>
              <w:right w:val="single" w:color="000000" w:sz="4" w:space="0"/>
            </w:tcBorders>
            <w:vAlign w:val="center"/>
          </w:tcPr>
          <w:p w14:paraId="1035C05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≥90%</w:t>
            </w:r>
          </w:p>
        </w:tc>
      </w:tr>
      <w:tr w14:paraId="53863D8A">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8BF99E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18</w:t>
            </w:r>
          </w:p>
        </w:tc>
        <w:tc>
          <w:tcPr>
            <w:tcW w:w="0" w:type="auto"/>
            <w:tcBorders>
              <w:top w:val="single" w:color="000000" w:sz="4" w:space="0"/>
              <w:left w:val="single" w:color="000000" w:sz="4" w:space="0"/>
              <w:bottom w:val="single" w:color="000000" w:sz="4" w:space="0"/>
              <w:right w:val="single" w:color="000000" w:sz="4" w:space="0"/>
            </w:tcBorders>
            <w:vAlign w:val="center"/>
          </w:tcPr>
          <w:p w14:paraId="497FF26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C826DA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重点应用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42B631A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大模型应用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629CC40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数据目录覆盖率</w:t>
            </w:r>
          </w:p>
        </w:tc>
        <w:tc>
          <w:tcPr>
            <w:tcW w:w="0" w:type="auto"/>
            <w:tcBorders>
              <w:top w:val="single" w:color="000000" w:sz="4" w:space="0"/>
              <w:left w:val="single" w:color="000000" w:sz="4" w:space="0"/>
              <w:bottom w:val="single" w:color="000000" w:sz="4" w:space="0"/>
              <w:right w:val="single" w:color="000000" w:sz="4" w:space="0"/>
            </w:tcBorders>
            <w:vAlign w:val="center"/>
          </w:tcPr>
          <w:p w14:paraId="3318A53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≥95%</w:t>
            </w:r>
          </w:p>
        </w:tc>
      </w:tr>
      <w:tr w14:paraId="719D2040">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FF3B0D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19</w:t>
            </w:r>
          </w:p>
        </w:tc>
        <w:tc>
          <w:tcPr>
            <w:tcW w:w="0" w:type="auto"/>
            <w:tcBorders>
              <w:top w:val="single" w:color="000000" w:sz="4" w:space="0"/>
              <w:left w:val="single" w:color="000000" w:sz="4" w:space="0"/>
              <w:bottom w:val="single" w:color="000000" w:sz="4" w:space="0"/>
              <w:right w:val="single" w:color="000000" w:sz="4" w:space="0"/>
            </w:tcBorders>
            <w:vAlign w:val="center"/>
          </w:tcPr>
          <w:p w14:paraId="22D3526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通用指标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00C819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重点应用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1AD4980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大模型应用</w:t>
            </w:r>
          </w:p>
        </w:tc>
        <w:tc>
          <w:tcPr>
            <w:tcW w:w="0" w:type="auto"/>
            <w:tcBorders>
              <w:top w:val="single" w:color="000000" w:sz="4" w:space="0"/>
              <w:left w:val="single" w:color="000000" w:sz="4" w:space="0"/>
              <w:bottom w:val="single" w:color="000000" w:sz="4" w:space="0"/>
              <w:right w:val="single" w:color="000000" w:sz="4" w:space="0"/>
            </w:tcBorders>
            <w:vAlign w:val="center"/>
          </w:tcPr>
          <w:p w14:paraId="68DA4A3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形成语料库条目数</w:t>
            </w:r>
          </w:p>
        </w:tc>
        <w:tc>
          <w:tcPr>
            <w:tcW w:w="0" w:type="auto"/>
            <w:tcBorders>
              <w:top w:val="single" w:color="000000" w:sz="4" w:space="0"/>
              <w:left w:val="single" w:color="000000" w:sz="4" w:space="0"/>
              <w:bottom w:val="single" w:color="000000" w:sz="4" w:space="0"/>
              <w:right w:val="single" w:color="000000" w:sz="4" w:space="0"/>
            </w:tcBorders>
            <w:vAlign w:val="center"/>
          </w:tcPr>
          <w:p w14:paraId="195F21B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≥10000条</w:t>
            </w:r>
          </w:p>
        </w:tc>
      </w:tr>
      <w:tr w14:paraId="56C166E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3EB2EF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60765D9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7F0BD0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9915DB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48C5D01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建设三维模型数量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67CDA1B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≥17个</w:t>
            </w:r>
          </w:p>
        </w:tc>
      </w:tr>
      <w:tr w14:paraId="079BA2F3">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496B1EB">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21</w:t>
            </w:r>
          </w:p>
        </w:tc>
        <w:tc>
          <w:tcPr>
            <w:tcW w:w="0" w:type="auto"/>
            <w:tcBorders>
              <w:top w:val="single" w:color="000000" w:sz="4" w:space="0"/>
              <w:left w:val="single" w:color="000000" w:sz="4" w:space="0"/>
              <w:bottom w:val="single" w:color="000000" w:sz="4" w:space="0"/>
              <w:right w:val="single" w:color="000000" w:sz="4" w:space="0"/>
            </w:tcBorders>
            <w:vAlign w:val="center"/>
          </w:tcPr>
          <w:p w14:paraId="34346F1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A95D23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0AD74A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5961C04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支持同时在线人数</w:t>
            </w:r>
          </w:p>
        </w:tc>
        <w:tc>
          <w:tcPr>
            <w:tcW w:w="0" w:type="auto"/>
            <w:tcBorders>
              <w:top w:val="single" w:color="000000" w:sz="4" w:space="0"/>
              <w:left w:val="single" w:color="000000" w:sz="4" w:space="0"/>
              <w:bottom w:val="single" w:color="000000" w:sz="4" w:space="0"/>
              <w:right w:val="single" w:color="000000" w:sz="4" w:space="0"/>
            </w:tcBorders>
            <w:vAlign w:val="center"/>
          </w:tcPr>
          <w:p w14:paraId="161A3CD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≥1000人</w:t>
            </w:r>
          </w:p>
        </w:tc>
      </w:tr>
      <w:tr w14:paraId="7E8145E6">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8C6FE4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22</w:t>
            </w:r>
          </w:p>
        </w:tc>
        <w:tc>
          <w:tcPr>
            <w:tcW w:w="0" w:type="auto"/>
            <w:tcBorders>
              <w:top w:val="single" w:color="000000" w:sz="4" w:space="0"/>
              <w:left w:val="single" w:color="000000" w:sz="4" w:space="0"/>
              <w:bottom w:val="single" w:color="000000" w:sz="4" w:space="0"/>
              <w:right w:val="single" w:color="000000" w:sz="4" w:space="0"/>
            </w:tcBorders>
            <w:vAlign w:val="center"/>
          </w:tcPr>
          <w:p w14:paraId="05158D8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6E38CF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2A3FBE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6802D54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支持并发用户数</w:t>
            </w:r>
          </w:p>
        </w:tc>
        <w:tc>
          <w:tcPr>
            <w:tcW w:w="0" w:type="auto"/>
            <w:tcBorders>
              <w:top w:val="single" w:color="000000" w:sz="4" w:space="0"/>
              <w:left w:val="single" w:color="000000" w:sz="4" w:space="0"/>
              <w:bottom w:val="single" w:color="000000" w:sz="4" w:space="0"/>
              <w:right w:val="single" w:color="000000" w:sz="4" w:space="0"/>
            </w:tcBorders>
            <w:vAlign w:val="center"/>
          </w:tcPr>
          <w:p w14:paraId="4FBC1BB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≥500人</w:t>
            </w:r>
          </w:p>
        </w:tc>
      </w:tr>
      <w:tr w14:paraId="38555288">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0638EC0">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23</w:t>
            </w:r>
          </w:p>
        </w:tc>
        <w:tc>
          <w:tcPr>
            <w:tcW w:w="0" w:type="auto"/>
            <w:tcBorders>
              <w:top w:val="single" w:color="000000" w:sz="4" w:space="0"/>
              <w:left w:val="single" w:color="000000" w:sz="4" w:space="0"/>
              <w:bottom w:val="single" w:color="000000" w:sz="4" w:space="0"/>
              <w:right w:val="single" w:color="000000" w:sz="4" w:space="0"/>
            </w:tcBorders>
            <w:vAlign w:val="center"/>
          </w:tcPr>
          <w:p w14:paraId="466841E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8B41E5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0FBF18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7C6CA0C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一般查询响应时间</w:t>
            </w:r>
          </w:p>
        </w:tc>
        <w:tc>
          <w:tcPr>
            <w:tcW w:w="0" w:type="auto"/>
            <w:tcBorders>
              <w:top w:val="single" w:color="000000" w:sz="4" w:space="0"/>
              <w:left w:val="single" w:color="000000" w:sz="4" w:space="0"/>
              <w:bottom w:val="single" w:color="000000" w:sz="4" w:space="0"/>
              <w:right w:val="single" w:color="000000" w:sz="4" w:space="0"/>
            </w:tcBorders>
            <w:vAlign w:val="center"/>
          </w:tcPr>
          <w:p w14:paraId="6E61C87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≤3秒</w:t>
            </w:r>
          </w:p>
        </w:tc>
      </w:tr>
      <w:tr w14:paraId="674D89F8">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C4BED4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24</w:t>
            </w:r>
          </w:p>
        </w:tc>
        <w:tc>
          <w:tcPr>
            <w:tcW w:w="0" w:type="auto"/>
            <w:tcBorders>
              <w:top w:val="single" w:color="000000" w:sz="4" w:space="0"/>
              <w:left w:val="single" w:color="000000" w:sz="4" w:space="0"/>
              <w:bottom w:val="single" w:color="000000" w:sz="4" w:space="0"/>
              <w:right w:val="single" w:color="000000" w:sz="4" w:space="0"/>
            </w:tcBorders>
            <w:vAlign w:val="center"/>
          </w:tcPr>
          <w:p w14:paraId="47DA3CF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A60D15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F4B4CF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产出质量</w:t>
            </w:r>
          </w:p>
        </w:tc>
        <w:tc>
          <w:tcPr>
            <w:tcW w:w="0" w:type="auto"/>
            <w:tcBorders>
              <w:top w:val="single" w:color="000000" w:sz="4" w:space="0"/>
              <w:left w:val="single" w:color="000000" w:sz="4" w:space="0"/>
              <w:bottom w:val="single" w:color="000000" w:sz="4" w:space="0"/>
              <w:right w:val="single" w:color="000000" w:sz="4" w:space="0"/>
            </w:tcBorders>
            <w:vAlign w:val="center"/>
          </w:tcPr>
          <w:p w14:paraId="56D3BA0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展虫库人脸数量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13957245">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≥500个</w:t>
            </w:r>
          </w:p>
        </w:tc>
      </w:tr>
      <w:tr w14:paraId="24DD7239">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4B2E52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25</w:t>
            </w:r>
          </w:p>
        </w:tc>
        <w:tc>
          <w:tcPr>
            <w:tcW w:w="0" w:type="auto"/>
            <w:tcBorders>
              <w:top w:val="single" w:color="000000" w:sz="4" w:space="0"/>
              <w:left w:val="single" w:color="000000" w:sz="4" w:space="0"/>
              <w:bottom w:val="single" w:color="000000" w:sz="4" w:space="0"/>
              <w:right w:val="single" w:color="000000" w:sz="4" w:space="0"/>
            </w:tcBorders>
            <w:vAlign w:val="center"/>
          </w:tcPr>
          <w:p w14:paraId="7E0EF9BD">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F8FB44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704FCD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社会效益</w:t>
            </w:r>
          </w:p>
        </w:tc>
        <w:tc>
          <w:tcPr>
            <w:tcW w:w="0" w:type="auto"/>
            <w:tcBorders>
              <w:top w:val="single" w:color="000000" w:sz="4" w:space="0"/>
              <w:left w:val="single" w:color="000000" w:sz="4" w:space="0"/>
              <w:bottom w:val="single" w:color="000000" w:sz="4" w:space="0"/>
              <w:right w:val="single" w:color="000000" w:sz="4" w:space="0"/>
            </w:tcBorders>
            <w:vAlign w:val="center"/>
          </w:tcPr>
          <w:p w14:paraId="45656CA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APP用户日均访问量</w:t>
            </w:r>
          </w:p>
        </w:tc>
        <w:tc>
          <w:tcPr>
            <w:tcW w:w="0" w:type="auto"/>
            <w:tcBorders>
              <w:top w:val="single" w:color="000000" w:sz="4" w:space="0"/>
              <w:left w:val="single" w:color="000000" w:sz="4" w:space="0"/>
              <w:bottom w:val="single" w:color="000000" w:sz="4" w:space="0"/>
              <w:right w:val="single" w:color="000000" w:sz="4" w:space="0"/>
            </w:tcBorders>
            <w:vAlign w:val="center"/>
          </w:tcPr>
          <w:p w14:paraId="5F06D9C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≥20000人次/日</w:t>
            </w:r>
          </w:p>
        </w:tc>
      </w:tr>
      <w:tr w14:paraId="64C5D77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E73C0C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26</w:t>
            </w:r>
          </w:p>
        </w:tc>
        <w:tc>
          <w:tcPr>
            <w:tcW w:w="0" w:type="auto"/>
            <w:tcBorders>
              <w:top w:val="single" w:color="000000" w:sz="4" w:space="0"/>
              <w:left w:val="single" w:color="000000" w:sz="4" w:space="0"/>
              <w:bottom w:val="single" w:color="000000" w:sz="4" w:space="0"/>
              <w:right w:val="single" w:color="000000" w:sz="4" w:space="0"/>
            </w:tcBorders>
            <w:vAlign w:val="center"/>
          </w:tcPr>
          <w:p w14:paraId="19B6BA5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216F8EB">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657FF07">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社会效益</w:t>
            </w:r>
          </w:p>
        </w:tc>
        <w:tc>
          <w:tcPr>
            <w:tcW w:w="0" w:type="auto"/>
            <w:tcBorders>
              <w:top w:val="single" w:color="000000" w:sz="4" w:space="0"/>
              <w:left w:val="single" w:color="000000" w:sz="4" w:space="0"/>
              <w:bottom w:val="single" w:color="000000" w:sz="4" w:space="0"/>
              <w:right w:val="single" w:color="000000" w:sz="4" w:space="0"/>
            </w:tcBorders>
            <w:vAlign w:val="center"/>
          </w:tcPr>
          <w:p w14:paraId="48DF771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智慧导航功能用户日均使用次数</w:t>
            </w:r>
          </w:p>
        </w:tc>
        <w:tc>
          <w:tcPr>
            <w:tcW w:w="0" w:type="auto"/>
            <w:tcBorders>
              <w:top w:val="single" w:color="000000" w:sz="4" w:space="0"/>
              <w:left w:val="single" w:color="000000" w:sz="4" w:space="0"/>
              <w:bottom w:val="single" w:color="000000" w:sz="4" w:space="0"/>
              <w:right w:val="single" w:color="000000" w:sz="4" w:space="0"/>
            </w:tcBorders>
            <w:vAlign w:val="center"/>
          </w:tcPr>
          <w:p w14:paraId="3FE8E5D4">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≥1000人次/日</w:t>
            </w:r>
          </w:p>
        </w:tc>
      </w:tr>
      <w:tr w14:paraId="120DB588">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14E9090B">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27</w:t>
            </w:r>
          </w:p>
        </w:tc>
        <w:tc>
          <w:tcPr>
            <w:tcW w:w="0" w:type="auto"/>
            <w:tcBorders>
              <w:top w:val="single" w:color="000000" w:sz="4" w:space="0"/>
              <w:left w:val="single" w:color="000000" w:sz="4" w:space="0"/>
              <w:bottom w:val="single" w:color="000000" w:sz="4" w:space="0"/>
              <w:right w:val="single" w:color="000000" w:sz="4" w:space="0"/>
            </w:tcBorders>
            <w:vAlign w:val="center"/>
          </w:tcPr>
          <w:p w14:paraId="4B0C9FAC">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3E56578F">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169ED22">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社会效益</w:t>
            </w:r>
          </w:p>
        </w:tc>
        <w:tc>
          <w:tcPr>
            <w:tcW w:w="0" w:type="auto"/>
            <w:tcBorders>
              <w:top w:val="single" w:color="000000" w:sz="4" w:space="0"/>
              <w:left w:val="single" w:color="000000" w:sz="4" w:space="0"/>
              <w:bottom w:val="single" w:color="000000" w:sz="4" w:space="0"/>
              <w:right w:val="single" w:color="000000" w:sz="4" w:space="0"/>
            </w:tcBorders>
            <w:vAlign w:val="center"/>
          </w:tcPr>
          <w:p w14:paraId="27BADF36">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客流监控覆盖面积</w:t>
            </w:r>
          </w:p>
        </w:tc>
        <w:tc>
          <w:tcPr>
            <w:tcW w:w="0" w:type="auto"/>
            <w:tcBorders>
              <w:top w:val="single" w:color="000000" w:sz="4" w:space="0"/>
              <w:left w:val="single" w:color="000000" w:sz="4" w:space="0"/>
              <w:bottom w:val="single" w:color="000000" w:sz="4" w:space="0"/>
              <w:right w:val="single" w:color="000000" w:sz="4" w:space="0"/>
            </w:tcBorders>
            <w:vAlign w:val="center"/>
          </w:tcPr>
          <w:p w14:paraId="4711D463">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≥40万平米</w:t>
            </w:r>
          </w:p>
        </w:tc>
      </w:tr>
      <w:tr w14:paraId="32F50889">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2F9D489">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28</w:t>
            </w:r>
          </w:p>
        </w:tc>
        <w:tc>
          <w:tcPr>
            <w:tcW w:w="0" w:type="auto"/>
            <w:tcBorders>
              <w:top w:val="single" w:color="000000" w:sz="4" w:space="0"/>
              <w:left w:val="single" w:color="000000" w:sz="4" w:space="0"/>
              <w:bottom w:val="single" w:color="000000" w:sz="4" w:space="0"/>
              <w:right w:val="single" w:color="000000" w:sz="4" w:space="0"/>
            </w:tcBorders>
            <w:vAlign w:val="center"/>
          </w:tcPr>
          <w:p w14:paraId="355B531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业务指标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B8FE34A">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A0F555E">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社会效益</w:t>
            </w:r>
          </w:p>
        </w:tc>
        <w:tc>
          <w:tcPr>
            <w:tcW w:w="0" w:type="auto"/>
            <w:tcBorders>
              <w:top w:val="single" w:color="000000" w:sz="4" w:space="0"/>
              <w:left w:val="single" w:color="000000" w:sz="4" w:space="0"/>
              <w:bottom w:val="single" w:color="000000" w:sz="4" w:space="0"/>
              <w:right w:val="single" w:color="000000" w:sz="4" w:space="0"/>
            </w:tcBorders>
            <w:vAlign w:val="center"/>
          </w:tcPr>
          <w:p w14:paraId="294AB591">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系统用户量</w:t>
            </w:r>
          </w:p>
        </w:tc>
        <w:tc>
          <w:tcPr>
            <w:tcW w:w="0" w:type="auto"/>
            <w:tcBorders>
              <w:top w:val="single" w:color="000000" w:sz="4" w:space="0"/>
              <w:left w:val="single" w:color="000000" w:sz="4" w:space="0"/>
              <w:bottom w:val="single" w:color="000000" w:sz="4" w:space="0"/>
              <w:right w:val="single" w:color="000000" w:sz="4" w:space="0"/>
            </w:tcBorders>
            <w:vAlign w:val="center"/>
          </w:tcPr>
          <w:p w14:paraId="32243AEB">
            <w:pPr>
              <w:keepNext w:val="0"/>
              <w:keepLines w:val="0"/>
              <w:widowControl/>
              <w:suppressLineNumbers w:val="0"/>
              <w:spacing w:before="0" w:beforeAutospacing="0" w:after="0" w:afterAutospacing="0" w:line="240" w:lineRule="auto"/>
              <w:ind w:left="0" w:right="0" w:firstLine="0" w:firstLineChars="0"/>
              <w:jc w:val="center"/>
              <w:rPr>
                <w:rFonts w:hint="eastAsia" w:cs="宋体"/>
                <w:kern w:val="0"/>
                <w:sz w:val="22"/>
                <w:szCs w:val="22"/>
              </w:rPr>
            </w:pPr>
            <w:r>
              <w:rPr>
                <w:rFonts w:hint="eastAsia" w:cs="宋体"/>
                <w:kern w:val="0"/>
                <w:sz w:val="22"/>
                <w:szCs w:val="22"/>
              </w:rPr>
              <w:t>≥15万人</w:t>
            </w:r>
          </w:p>
        </w:tc>
      </w:tr>
    </w:tbl>
    <w:p w14:paraId="48FF7127">
      <w:pPr>
        <w:ind w:firstLine="482"/>
        <w:rPr>
          <w:rFonts w:hint="eastAsia"/>
          <w:b/>
        </w:rPr>
      </w:pPr>
    </w:p>
    <w:p w14:paraId="4EB2C068">
      <w:pPr>
        <w:pStyle w:val="2"/>
        <w:rPr>
          <w:rFonts w:hint="eastAsia"/>
        </w:rPr>
      </w:pPr>
      <w:bookmarkStart w:id="11" w:name="_Toc47533288"/>
      <w:bookmarkEnd w:id="11"/>
      <w:bookmarkStart w:id="12" w:name="_Toc47536676"/>
      <w:bookmarkEnd w:id="12"/>
      <w:bookmarkStart w:id="13" w:name="_Toc47536304"/>
      <w:bookmarkEnd w:id="13"/>
      <w:bookmarkStart w:id="14" w:name="_Toc47539102"/>
      <w:bookmarkEnd w:id="14"/>
      <w:bookmarkStart w:id="15" w:name="_Toc47537166"/>
      <w:bookmarkEnd w:id="15"/>
      <w:bookmarkStart w:id="16" w:name="_Toc47532923"/>
      <w:bookmarkEnd w:id="16"/>
      <w:r>
        <w:rPr>
          <w:rFonts w:hint="eastAsia"/>
        </w:rPr>
        <w:t>项目建设内容</w:t>
      </w:r>
    </w:p>
    <w:p w14:paraId="35FA1A9E">
      <w:pPr>
        <w:pStyle w:val="3"/>
        <w:ind w:left="0" w:leftChars="0" w:firstLine="0" w:firstLineChars="0"/>
        <w:rPr>
          <w:rFonts w:hint="eastAsia"/>
        </w:rPr>
      </w:pPr>
      <w:r>
        <w:rPr>
          <w:rFonts w:hint="eastAsia"/>
        </w:rPr>
        <w:t>技术路线</w:t>
      </w:r>
    </w:p>
    <w:p w14:paraId="71359353">
      <w:pPr>
        <w:pStyle w:val="62"/>
        <w:numPr>
          <w:ilvl w:val="0"/>
          <w:numId w:val="3"/>
        </w:numPr>
        <w:ind w:firstLineChars="0"/>
        <w:rPr>
          <w:sz w:val="24"/>
        </w:rPr>
      </w:pPr>
      <w:r>
        <w:rPr>
          <w:rFonts w:hint="eastAsia"/>
          <w:sz w:val="24"/>
        </w:rPr>
        <w:t>需具备前后端分离，微服务独立部署松耦合，支持多语言及不同数据存储，低中央管理；</w:t>
      </w:r>
    </w:p>
    <w:p w14:paraId="2F61D2B6">
      <w:pPr>
        <w:pStyle w:val="62"/>
        <w:numPr>
          <w:ilvl w:val="0"/>
          <w:numId w:val="3"/>
        </w:numPr>
        <w:ind w:firstLineChars="0"/>
        <w:rPr>
          <w:sz w:val="24"/>
        </w:rPr>
      </w:pPr>
      <w:r>
        <w:rPr>
          <w:rFonts w:hint="eastAsia"/>
          <w:sz w:val="24"/>
        </w:rPr>
        <w:t>需具备异步消息架构降耦合减压，支持多消息类型，具备低延迟高并发、高可用、高可靠；</w:t>
      </w:r>
    </w:p>
    <w:p w14:paraId="56DD57D3">
      <w:pPr>
        <w:pStyle w:val="62"/>
        <w:numPr>
          <w:ilvl w:val="0"/>
          <w:numId w:val="3"/>
        </w:numPr>
        <w:ind w:firstLineChars="0"/>
        <w:rPr>
          <w:sz w:val="24"/>
        </w:rPr>
      </w:pPr>
      <w:r>
        <w:rPr>
          <w:rFonts w:hint="eastAsia"/>
          <w:sz w:val="24"/>
        </w:rPr>
        <w:t>需支持分类存储结构化</w:t>
      </w:r>
      <w:r>
        <w:rPr>
          <w:rFonts w:hint="eastAsia"/>
          <w:sz w:val="24"/>
          <w:lang w:val="en-US" w:eastAsia="zh-CN"/>
        </w:rPr>
        <w:t>/</w:t>
      </w:r>
      <w:r>
        <w:rPr>
          <w:rFonts w:hint="eastAsia"/>
          <w:sz w:val="24"/>
        </w:rPr>
        <w:t>非结构化数据，一体化存储易扩展</w:t>
      </w:r>
      <w:r>
        <w:rPr>
          <w:rFonts w:hint="eastAsia"/>
          <w:sz w:val="24"/>
          <w:lang w:eastAsia="zh-CN"/>
        </w:rPr>
        <w:t>，确</w:t>
      </w:r>
      <w:r>
        <w:rPr>
          <w:rFonts w:hint="eastAsia"/>
          <w:sz w:val="24"/>
        </w:rPr>
        <w:t>保数据强一致且简化处理提效；</w:t>
      </w:r>
    </w:p>
    <w:p w14:paraId="047F0CFA">
      <w:pPr>
        <w:pStyle w:val="62"/>
        <w:numPr>
          <w:ilvl w:val="0"/>
          <w:numId w:val="3"/>
        </w:numPr>
        <w:ind w:firstLineChars="0"/>
        <w:rPr>
          <w:sz w:val="24"/>
        </w:rPr>
      </w:pPr>
      <w:r>
        <w:rPr>
          <w:rFonts w:hint="eastAsia"/>
          <w:sz w:val="24"/>
        </w:rPr>
        <w:t>需基于 Transformer 构建大模型，动态微调适配场景，高准确率，国产化设备高效部署；</w:t>
      </w:r>
    </w:p>
    <w:p w14:paraId="4B5BD7AC">
      <w:pPr>
        <w:pStyle w:val="62"/>
        <w:numPr>
          <w:ilvl w:val="0"/>
          <w:numId w:val="3"/>
        </w:numPr>
        <w:ind w:firstLineChars="0"/>
        <w:rPr>
          <w:sz w:val="24"/>
        </w:rPr>
      </w:pPr>
      <w:r>
        <w:rPr>
          <w:rFonts w:hint="eastAsia"/>
          <w:sz w:val="24"/>
        </w:rPr>
        <w:t>需具备智能体编排引擎，低代码组合服务，集成多能力，构建闭环</w:t>
      </w:r>
      <w:r>
        <w:rPr>
          <w:rFonts w:hint="eastAsia"/>
          <w:sz w:val="24"/>
          <w:lang w:eastAsia="zh-CN"/>
        </w:rPr>
        <w:t>提升</w:t>
      </w:r>
      <w:r>
        <w:rPr>
          <w:rFonts w:hint="eastAsia"/>
          <w:sz w:val="24"/>
        </w:rPr>
        <w:t>应急决策效率。</w:t>
      </w:r>
    </w:p>
    <w:p w14:paraId="2E4AEA3D">
      <w:pPr>
        <w:pStyle w:val="3"/>
        <w:ind w:left="0" w:leftChars="0" w:firstLine="0" w:firstLineChars="0"/>
        <w:rPr>
          <w:rFonts w:hint="eastAsia"/>
        </w:rPr>
      </w:pPr>
      <w:r>
        <w:rPr>
          <w:rFonts w:hint="eastAsia"/>
        </w:rPr>
        <w:t>总体架构</w:t>
      </w:r>
    </w:p>
    <w:p w14:paraId="299E5CBC">
      <w:r>
        <w:drawing>
          <wp:inline distT="0" distB="0" distL="114300" distR="114300">
            <wp:extent cx="5272405" cy="3545205"/>
            <wp:effectExtent l="0" t="0" r="4445" b="7620"/>
            <wp:docPr id="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pic:cNvPicPr>
                      <a:picLocks noChangeAspect="1"/>
                    </pic:cNvPicPr>
                  </pic:nvPicPr>
                  <pic:blipFill>
                    <a:blip r:embed="rId13"/>
                    <a:stretch>
                      <a:fillRect/>
                    </a:stretch>
                  </pic:blipFill>
                  <pic:spPr>
                    <a:xfrm>
                      <a:off x="0" y="0"/>
                      <a:ext cx="5272405" cy="3545205"/>
                    </a:xfrm>
                    <a:prstGeom prst="rect">
                      <a:avLst/>
                    </a:prstGeom>
                    <a:noFill/>
                    <a:ln>
                      <a:noFill/>
                    </a:ln>
                  </pic:spPr>
                </pic:pic>
              </a:graphicData>
            </a:graphic>
          </wp:inline>
        </w:drawing>
      </w:r>
    </w:p>
    <w:p w14:paraId="1E0144E2">
      <w:pPr>
        <w:rPr>
          <w:rFonts w:hint="eastAsia"/>
          <w:b/>
          <w:bCs/>
        </w:rPr>
      </w:pPr>
    </w:p>
    <w:p w14:paraId="488227AC">
      <w:pPr>
        <w:pStyle w:val="3"/>
        <w:ind w:left="0" w:leftChars="0" w:firstLine="0" w:firstLineChars="0"/>
        <w:rPr>
          <w:rFonts w:hint="eastAsia"/>
        </w:rPr>
      </w:pPr>
      <w:r>
        <w:rPr>
          <w:rFonts w:hint="eastAsia"/>
        </w:rPr>
        <w:t>部署环境</w:t>
      </w:r>
    </w:p>
    <w:p w14:paraId="0DCDCB6C">
      <w:pPr>
        <w:rPr>
          <w:rFonts w:hint="eastAsia"/>
        </w:rPr>
      </w:pPr>
      <w:r>
        <w:rPr>
          <w:rFonts w:hint="eastAsia"/>
        </w:rPr>
        <w:t>本项目依托上海市电子政务云进行开发部署，投标人需提供相关资源的需求分析及依据。</w:t>
      </w:r>
    </w:p>
    <w:p w14:paraId="4219F87B">
      <w:pPr>
        <w:pStyle w:val="3"/>
        <w:ind w:left="0" w:leftChars="0" w:firstLine="0" w:firstLineChars="0"/>
        <w:rPr>
          <w:rFonts w:hint="eastAsia"/>
        </w:rPr>
      </w:pPr>
      <w:r>
        <w:rPr>
          <w:rFonts w:hint="eastAsia"/>
        </w:rPr>
        <w:t>技术指标</w:t>
      </w:r>
    </w:p>
    <w:p w14:paraId="76BEF39D">
      <w:pPr>
        <w:rPr>
          <w:rFonts w:hint="eastAsia"/>
        </w:rPr>
      </w:pPr>
      <w:bookmarkStart w:id="17" w:name="OLE_LINK82"/>
      <w:bookmarkStart w:id="18" w:name="OLE_LINK81"/>
      <w:r>
        <w:rPr>
          <w:rFonts w:hint="eastAsia"/>
        </w:rPr>
        <w:t>本项目系统技术指标需求如下：</w:t>
      </w:r>
    </w:p>
    <w:p w14:paraId="1694D74E">
      <w:pPr>
        <w:numPr>
          <w:ilvl w:val="0"/>
          <w:numId w:val="4"/>
        </w:numPr>
        <w:ind w:left="0" w:firstLine="480"/>
        <w:rPr>
          <w:rFonts w:hint="eastAsia"/>
        </w:rPr>
      </w:pPr>
      <w:r>
        <w:t>同时在线用户数≥1000；</w:t>
      </w:r>
    </w:p>
    <w:p w14:paraId="67149C2E">
      <w:pPr>
        <w:numPr>
          <w:ilvl w:val="0"/>
          <w:numId w:val="4"/>
        </w:numPr>
        <w:ind w:left="0" w:firstLine="480"/>
        <w:rPr>
          <w:rFonts w:hint="eastAsia"/>
        </w:rPr>
      </w:pPr>
      <w:r>
        <w:t>并发用户数≥500；</w:t>
      </w:r>
    </w:p>
    <w:p w14:paraId="1CB8908B">
      <w:pPr>
        <w:numPr>
          <w:ilvl w:val="0"/>
          <w:numId w:val="4"/>
        </w:numPr>
        <w:ind w:left="0" w:firstLine="480"/>
        <w:rPr>
          <w:rFonts w:hint="eastAsia"/>
        </w:rPr>
      </w:pPr>
      <w:r>
        <w:t>系统登录时间≤5秒；</w:t>
      </w:r>
    </w:p>
    <w:p w14:paraId="6F8DD353">
      <w:pPr>
        <w:numPr>
          <w:ilvl w:val="0"/>
          <w:numId w:val="4"/>
        </w:numPr>
        <w:ind w:left="0" w:firstLine="480"/>
        <w:rPr>
          <w:rFonts w:hint="eastAsia"/>
        </w:rPr>
      </w:pPr>
      <w:r>
        <w:t>一般查询和写入操作响应时间（90%的操作页面）≤5秒；</w:t>
      </w:r>
    </w:p>
    <w:p w14:paraId="2EF10526">
      <w:pPr>
        <w:numPr>
          <w:ilvl w:val="0"/>
          <w:numId w:val="4"/>
        </w:numPr>
        <w:ind w:left="0" w:firstLine="480"/>
        <w:rPr>
          <w:rFonts w:hint="eastAsia"/>
        </w:rPr>
      </w:pPr>
      <w:r>
        <w:t>搜索类操作响应时间≤10秒；</w:t>
      </w:r>
    </w:p>
    <w:p w14:paraId="6F5F4F27">
      <w:pPr>
        <w:numPr>
          <w:ilvl w:val="0"/>
          <w:numId w:val="4"/>
        </w:numPr>
        <w:ind w:left="0" w:firstLine="480"/>
        <w:rPr>
          <w:rFonts w:hint="eastAsia"/>
        </w:rPr>
      </w:pPr>
      <w:r>
        <w:t>报表统计类操作响应时间≤15秒；</w:t>
      </w:r>
    </w:p>
    <w:p w14:paraId="366C8EE5">
      <w:pPr>
        <w:numPr>
          <w:ilvl w:val="0"/>
          <w:numId w:val="4"/>
        </w:numPr>
        <w:ind w:left="0" w:firstLine="480"/>
        <w:rPr>
          <w:rFonts w:hint="eastAsia"/>
        </w:rPr>
      </w:pPr>
      <w:r>
        <w:t>响应时间较长的操作页面应显示进度条；</w:t>
      </w:r>
    </w:p>
    <w:p w14:paraId="7DB2A740">
      <w:pPr>
        <w:numPr>
          <w:ilvl w:val="0"/>
          <w:numId w:val="4"/>
        </w:numPr>
        <w:ind w:left="0" w:firstLine="480"/>
        <w:rPr>
          <w:rFonts w:hint="eastAsia"/>
          <w:highlight w:val="none"/>
        </w:rPr>
      </w:pPr>
      <w:r>
        <w:rPr>
          <w:highlight w:val="none"/>
        </w:rPr>
        <w:t>展虫库人脸数量不低于500个；</w:t>
      </w:r>
    </w:p>
    <w:p w14:paraId="49C74E11">
      <w:pPr>
        <w:numPr>
          <w:ilvl w:val="0"/>
          <w:numId w:val="4"/>
        </w:numPr>
        <w:ind w:left="0" w:firstLine="480"/>
        <w:rPr>
          <w:rFonts w:hint="eastAsia"/>
          <w:highlight w:val="none"/>
        </w:rPr>
      </w:pPr>
      <w:r>
        <w:rPr>
          <w:highlight w:val="none"/>
        </w:rPr>
        <w:t>访客人脸数量不低于60万个；</w:t>
      </w:r>
    </w:p>
    <w:p w14:paraId="7E0AB9EA">
      <w:pPr>
        <w:numPr>
          <w:ilvl w:val="0"/>
          <w:numId w:val="4"/>
        </w:numPr>
        <w:ind w:left="0" w:firstLine="480"/>
        <w:rPr>
          <w:rFonts w:hint="eastAsia"/>
          <w:highlight w:val="none"/>
        </w:rPr>
      </w:pPr>
      <w:r>
        <w:rPr>
          <w:highlight w:val="none"/>
        </w:rPr>
        <w:t>1：N比对时长不高于7天。</w:t>
      </w:r>
    </w:p>
    <w:bookmarkEnd w:id="17"/>
    <w:bookmarkEnd w:id="18"/>
    <w:p w14:paraId="4EFE35F4">
      <w:pPr>
        <w:pStyle w:val="3"/>
        <w:ind w:left="0" w:leftChars="0" w:firstLine="0" w:firstLineChars="0"/>
        <w:rPr>
          <w:rFonts w:hint="eastAsia"/>
        </w:rPr>
      </w:pPr>
      <w:r>
        <w:rPr>
          <w:rFonts w:hint="eastAsia"/>
        </w:rPr>
        <w:t>软件开发清单</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18"/>
        <w:gridCol w:w="1417"/>
        <w:gridCol w:w="5159"/>
      </w:tblGrid>
      <w:tr w14:paraId="7DCF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6" w:type="dxa"/>
            <w:shd w:val="clear" w:color="auto" w:fill="F3F8FC"/>
            <w:noWrap/>
            <w:vAlign w:val="center"/>
          </w:tcPr>
          <w:p w14:paraId="7A3BC2A1">
            <w:pPr>
              <w:keepNext w:val="0"/>
              <w:keepLines w:val="0"/>
              <w:widowControl/>
              <w:suppressLineNumbers w:val="0"/>
              <w:spacing w:before="0" w:beforeAutospacing="0" w:after="0" w:afterAutospacing="0" w:line="240" w:lineRule="auto"/>
              <w:ind w:left="0" w:right="0" w:firstLine="0" w:firstLineChars="0"/>
              <w:jc w:val="center"/>
              <w:rPr>
                <w:rFonts w:hint="eastAsia" w:cs="宋体"/>
                <w:b/>
                <w:bCs/>
                <w:color w:val="000000"/>
                <w:kern w:val="0"/>
              </w:rPr>
            </w:pPr>
            <w:r>
              <w:rPr>
                <w:rFonts w:hint="eastAsia" w:cs="宋体"/>
                <w:b/>
                <w:bCs/>
                <w:color w:val="000000"/>
                <w:kern w:val="0"/>
              </w:rPr>
              <w:t>序号</w:t>
            </w:r>
          </w:p>
        </w:tc>
        <w:tc>
          <w:tcPr>
            <w:tcW w:w="1418" w:type="dxa"/>
            <w:shd w:val="clear" w:color="auto" w:fill="F3F8FC"/>
            <w:noWrap/>
            <w:vAlign w:val="center"/>
          </w:tcPr>
          <w:p w14:paraId="61A6A302">
            <w:pPr>
              <w:keepNext w:val="0"/>
              <w:keepLines w:val="0"/>
              <w:widowControl/>
              <w:suppressLineNumbers w:val="0"/>
              <w:spacing w:before="0" w:beforeAutospacing="0" w:after="0" w:afterAutospacing="0" w:line="240" w:lineRule="auto"/>
              <w:ind w:left="0" w:right="0" w:firstLine="0" w:firstLineChars="0"/>
              <w:jc w:val="center"/>
              <w:rPr>
                <w:rFonts w:hint="eastAsia" w:cs="宋体"/>
                <w:b/>
                <w:bCs/>
                <w:color w:val="000000"/>
                <w:kern w:val="0"/>
              </w:rPr>
            </w:pPr>
            <w:r>
              <w:rPr>
                <w:rFonts w:hint="eastAsia" w:cs="宋体"/>
                <w:b/>
                <w:bCs/>
                <w:color w:val="000000"/>
                <w:kern w:val="0"/>
              </w:rPr>
              <w:t>应用系统名称</w:t>
            </w:r>
          </w:p>
        </w:tc>
        <w:tc>
          <w:tcPr>
            <w:tcW w:w="1417" w:type="dxa"/>
            <w:shd w:val="clear" w:color="auto" w:fill="F3F8FC"/>
            <w:noWrap/>
            <w:vAlign w:val="center"/>
          </w:tcPr>
          <w:p w14:paraId="50C85BC4">
            <w:pPr>
              <w:keepNext w:val="0"/>
              <w:keepLines w:val="0"/>
              <w:widowControl/>
              <w:suppressLineNumbers w:val="0"/>
              <w:spacing w:before="0" w:beforeAutospacing="0" w:after="0" w:afterAutospacing="0" w:line="240" w:lineRule="auto"/>
              <w:ind w:left="0" w:right="0" w:firstLine="0" w:firstLineChars="0"/>
              <w:jc w:val="center"/>
              <w:rPr>
                <w:rFonts w:hint="eastAsia" w:cs="宋体"/>
                <w:b/>
                <w:bCs/>
                <w:color w:val="000000"/>
                <w:kern w:val="0"/>
              </w:rPr>
            </w:pPr>
            <w:r>
              <w:rPr>
                <w:rFonts w:hint="eastAsia" w:cs="宋体"/>
                <w:b/>
                <w:bCs/>
                <w:color w:val="000000"/>
                <w:kern w:val="0"/>
              </w:rPr>
              <w:t>模块名称</w:t>
            </w:r>
          </w:p>
        </w:tc>
        <w:tc>
          <w:tcPr>
            <w:tcW w:w="5159" w:type="dxa"/>
            <w:shd w:val="clear" w:color="auto" w:fill="F3F8FC"/>
            <w:noWrap/>
            <w:vAlign w:val="center"/>
          </w:tcPr>
          <w:p w14:paraId="31755874">
            <w:pPr>
              <w:keepNext w:val="0"/>
              <w:keepLines w:val="0"/>
              <w:widowControl/>
              <w:suppressLineNumbers w:val="0"/>
              <w:spacing w:before="0" w:beforeAutospacing="0" w:after="0" w:afterAutospacing="0" w:line="240" w:lineRule="auto"/>
              <w:ind w:left="0" w:right="0" w:firstLine="0" w:firstLineChars="0"/>
              <w:jc w:val="center"/>
              <w:rPr>
                <w:rFonts w:hint="eastAsia" w:cs="宋体"/>
                <w:b/>
                <w:bCs/>
                <w:color w:val="000000"/>
                <w:kern w:val="0"/>
              </w:rPr>
            </w:pPr>
            <w:r>
              <w:rPr>
                <w:rFonts w:hint="eastAsia" w:cs="宋体"/>
                <w:b/>
                <w:bCs/>
                <w:color w:val="000000"/>
                <w:kern w:val="0"/>
              </w:rPr>
              <w:t>模块描述</w:t>
            </w:r>
          </w:p>
        </w:tc>
      </w:tr>
      <w:tr w14:paraId="4747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416" w:type="dxa"/>
            <w:shd w:val="clear" w:color="auto" w:fill="FFFFFF"/>
            <w:vAlign w:val="center"/>
          </w:tcPr>
          <w:p w14:paraId="0E8BD29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w:t>
            </w:r>
          </w:p>
        </w:tc>
        <w:tc>
          <w:tcPr>
            <w:tcW w:w="1418" w:type="dxa"/>
            <w:shd w:val="clear" w:color="auto" w:fill="FFFFFF"/>
            <w:noWrap/>
            <w:vAlign w:val="center"/>
          </w:tcPr>
          <w:p w14:paraId="2519D83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vAlign w:val="center"/>
          </w:tcPr>
          <w:p w14:paraId="6B88CA7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APP升级-活动管理-展商活动管理</w:t>
            </w:r>
          </w:p>
        </w:tc>
        <w:tc>
          <w:tcPr>
            <w:tcW w:w="5159" w:type="dxa"/>
            <w:shd w:val="clear" w:color="auto" w:fill="FFFFFF"/>
          </w:tcPr>
          <w:p w14:paraId="79CCF7B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模块需涵盖以下功能：展商活动报备、展商活动多媒体素材上传、展商活动提交及状态反馈、展商活动完整性审核、展商活动内容合规性审查、审查规则分类与标签</w:t>
            </w:r>
            <w:r>
              <w:rPr>
                <w:rFonts w:hint="eastAsia" w:cs="宋体"/>
                <w:color w:val="000000"/>
                <w:kern w:val="0"/>
                <w:sz w:val="22"/>
                <w:szCs w:val="22"/>
              </w:rPr>
              <w:br w:type="textWrapping"/>
            </w:r>
            <w:r>
              <w:rPr>
                <w:rFonts w:hint="eastAsia" w:cs="宋体"/>
                <w:color w:val="000000"/>
                <w:kern w:val="0"/>
                <w:sz w:val="22"/>
                <w:szCs w:val="22"/>
              </w:rPr>
              <w:t>审查规则版本控制、自动匹配审查内容、审查风险等级划分、展商活动审核结果反馈、展商活动信息修改与同步、展商活动官方平台展示、展商活动定向信息推送、展商活动位置标注、展商活动地理位置可视化展示、展商活动热门地图、展商活动导航指引、展商活动社交分享、展商活动智能筛选、展商活动多维度标签筛选、展商活动关注与收藏联动筛选、展商活动筛选条件记忆与推荐、展商活动筛选结果排序优化、展商活动智能提醒</w:t>
            </w:r>
          </w:p>
        </w:tc>
      </w:tr>
      <w:tr w14:paraId="3F7E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16" w:type="dxa"/>
            <w:shd w:val="clear" w:color="auto" w:fill="FFFFFF"/>
            <w:vAlign w:val="center"/>
          </w:tcPr>
          <w:p w14:paraId="18B6496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w:t>
            </w:r>
          </w:p>
        </w:tc>
        <w:tc>
          <w:tcPr>
            <w:tcW w:w="1418" w:type="dxa"/>
            <w:shd w:val="clear" w:color="auto" w:fill="FFFFFF"/>
            <w:noWrap/>
            <w:vAlign w:val="center"/>
          </w:tcPr>
          <w:p w14:paraId="242B3AD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vAlign w:val="center"/>
          </w:tcPr>
          <w:p w14:paraId="297CB04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APP升级-活动管理-试吃活动</w:t>
            </w:r>
          </w:p>
        </w:tc>
        <w:tc>
          <w:tcPr>
            <w:tcW w:w="5159" w:type="dxa"/>
            <w:shd w:val="clear" w:color="auto" w:fill="FFFFFF"/>
          </w:tcPr>
          <w:p w14:paraId="2F82944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试吃报名、试吃智能匹配、试吃打卡、试吃叫号提醒、试吃评价体系、评价数据分析、试吃裂变宣传分享、试吃时段智能调剂、试吃人流热力预警、试吃专属路线规划、特殊饮食需求标记、试吃预约权益升级、试吃剩余名额实时提醒、试吃电子券包管理、试吃展商联系方式留存、试吃活动满意度回访</w:t>
            </w:r>
          </w:p>
        </w:tc>
      </w:tr>
      <w:tr w14:paraId="5207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7DE6464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w:t>
            </w:r>
          </w:p>
        </w:tc>
        <w:tc>
          <w:tcPr>
            <w:tcW w:w="1418" w:type="dxa"/>
            <w:shd w:val="clear" w:color="auto" w:fill="FFFFFF"/>
            <w:noWrap/>
            <w:vAlign w:val="center"/>
          </w:tcPr>
          <w:p w14:paraId="0622138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vAlign w:val="center"/>
          </w:tcPr>
          <w:p w14:paraId="64546C9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APP升级-活动管理-新品活动</w:t>
            </w:r>
          </w:p>
        </w:tc>
        <w:tc>
          <w:tcPr>
            <w:tcW w:w="5159" w:type="dxa"/>
            <w:shd w:val="clear" w:color="auto" w:fill="FFFFFF"/>
          </w:tcPr>
          <w:p w14:paraId="15D61C4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模块需涵盖以下功能：新品预约展示、线上线下联动首发仪式、新品体验预约、首发成果数据看板</w:t>
            </w:r>
          </w:p>
        </w:tc>
      </w:tr>
      <w:tr w14:paraId="0CEC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C36E7F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w:t>
            </w:r>
          </w:p>
        </w:tc>
        <w:tc>
          <w:tcPr>
            <w:tcW w:w="1418" w:type="dxa"/>
            <w:shd w:val="clear" w:color="auto" w:fill="FFFFFF"/>
            <w:noWrap/>
            <w:vAlign w:val="center"/>
          </w:tcPr>
          <w:p w14:paraId="616E2B2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A7B309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APP升级-活动管理-行业领袖峰会活动</w:t>
            </w:r>
          </w:p>
        </w:tc>
        <w:tc>
          <w:tcPr>
            <w:tcW w:w="5159" w:type="dxa"/>
            <w:shd w:val="clear" w:color="auto" w:fill="FFFFFF"/>
          </w:tcPr>
          <w:p w14:paraId="4304097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峰会日程智能管理、沉浸式参会体验、观点互动与沉淀、行业社交对接</w:t>
            </w:r>
          </w:p>
        </w:tc>
      </w:tr>
      <w:tr w14:paraId="34F6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8073DB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w:t>
            </w:r>
          </w:p>
        </w:tc>
        <w:tc>
          <w:tcPr>
            <w:tcW w:w="1418" w:type="dxa"/>
            <w:shd w:val="clear" w:color="auto" w:fill="FFFFFF"/>
            <w:noWrap/>
            <w:vAlign w:val="center"/>
          </w:tcPr>
          <w:p w14:paraId="48D6A46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D6E4CB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APP升级-活动管理-中外人文展示活动</w:t>
            </w:r>
          </w:p>
        </w:tc>
        <w:tc>
          <w:tcPr>
            <w:tcW w:w="5159" w:type="dxa"/>
            <w:shd w:val="clear" w:color="auto" w:fill="FFFFFF"/>
          </w:tcPr>
          <w:p w14:paraId="3B833E3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模块需涵盖以下功能：入场管理、秩序维护、互动管理</w:t>
            </w:r>
          </w:p>
        </w:tc>
      </w:tr>
      <w:tr w14:paraId="386A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6F2C0B5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w:t>
            </w:r>
          </w:p>
        </w:tc>
        <w:tc>
          <w:tcPr>
            <w:tcW w:w="1418" w:type="dxa"/>
            <w:shd w:val="clear" w:color="auto" w:fill="FFFFFF"/>
            <w:noWrap/>
            <w:vAlign w:val="center"/>
          </w:tcPr>
          <w:p w14:paraId="07BC286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867C85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APP升级-活动管理-非物质文化遗产活动</w:t>
            </w:r>
          </w:p>
        </w:tc>
        <w:tc>
          <w:tcPr>
            <w:tcW w:w="5159" w:type="dxa"/>
            <w:shd w:val="clear" w:color="auto" w:fill="FFFFFF"/>
          </w:tcPr>
          <w:p w14:paraId="207EB82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模块需涵盖以下功能：活动信息发布、活动报名管理、活动现场管理</w:t>
            </w:r>
          </w:p>
        </w:tc>
      </w:tr>
      <w:tr w14:paraId="762A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2321E9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w:t>
            </w:r>
          </w:p>
        </w:tc>
        <w:tc>
          <w:tcPr>
            <w:tcW w:w="1418" w:type="dxa"/>
            <w:shd w:val="clear" w:color="auto" w:fill="FFFFFF"/>
            <w:noWrap/>
            <w:vAlign w:val="center"/>
          </w:tcPr>
          <w:p w14:paraId="07CD428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87E189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APP升级-活动管理-国家级步行街活动</w:t>
            </w:r>
          </w:p>
        </w:tc>
        <w:tc>
          <w:tcPr>
            <w:tcW w:w="5159" w:type="dxa"/>
            <w:shd w:val="clear" w:color="auto" w:fill="FFFFFF"/>
          </w:tcPr>
          <w:p w14:paraId="488374F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模块需涵盖以下功能：活动信息发布、活动报名管理、活动现场管理</w:t>
            </w:r>
          </w:p>
        </w:tc>
      </w:tr>
      <w:tr w14:paraId="1A6D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654AD05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w:t>
            </w:r>
          </w:p>
        </w:tc>
        <w:tc>
          <w:tcPr>
            <w:tcW w:w="1418" w:type="dxa"/>
            <w:shd w:val="clear" w:color="auto" w:fill="FFFFFF"/>
            <w:noWrap/>
            <w:vAlign w:val="center"/>
          </w:tcPr>
          <w:p w14:paraId="0228C15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08D6DC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APP升级-活动管理-中国旅游展区活动</w:t>
            </w:r>
          </w:p>
        </w:tc>
        <w:tc>
          <w:tcPr>
            <w:tcW w:w="5159" w:type="dxa"/>
            <w:shd w:val="clear" w:color="auto" w:fill="FFFFFF"/>
          </w:tcPr>
          <w:p w14:paraId="7CBA842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模块需涵盖以下功能：活动信息发布、活动报名管理、活动现场管理</w:t>
            </w:r>
          </w:p>
        </w:tc>
      </w:tr>
      <w:tr w14:paraId="49B4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C53A96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w:t>
            </w:r>
          </w:p>
        </w:tc>
        <w:tc>
          <w:tcPr>
            <w:tcW w:w="1418" w:type="dxa"/>
            <w:shd w:val="clear" w:color="auto" w:fill="FFFFFF"/>
            <w:noWrap/>
            <w:vAlign w:val="center"/>
          </w:tcPr>
          <w:p w14:paraId="309600F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5AF36E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APP升级-活动管理-城市会客厅展区活动</w:t>
            </w:r>
          </w:p>
        </w:tc>
        <w:tc>
          <w:tcPr>
            <w:tcW w:w="5159" w:type="dxa"/>
            <w:shd w:val="clear" w:color="auto" w:fill="FFFFFF"/>
          </w:tcPr>
          <w:p w14:paraId="2DDB1B5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模块需涵盖以下功能：活动信息发布、活动报名管理、活动现场管理</w:t>
            </w:r>
          </w:p>
        </w:tc>
      </w:tr>
      <w:tr w14:paraId="298F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2813DC8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w:t>
            </w:r>
          </w:p>
        </w:tc>
        <w:tc>
          <w:tcPr>
            <w:tcW w:w="1418" w:type="dxa"/>
            <w:shd w:val="clear" w:color="auto" w:fill="FFFFFF"/>
            <w:noWrap/>
            <w:vAlign w:val="center"/>
          </w:tcPr>
          <w:p w14:paraId="1CFEEC4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ABA0D3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APP升级-活动管理-活动后台管理</w:t>
            </w:r>
          </w:p>
        </w:tc>
        <w:tc>
          <w:tcPr>
            <w:tcW w:w="5159" w:type="dxa"/>
            <w:shd w:val="clear" w:color="auto" w:fill="FFFFFF"/>
          </w:tcPr>
          <w:p w14:paraId="4E9AF3F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模块需涵盖以下功能：活动状态管理、报名信息查看与导出、报名审核处理、入场数据实时同步、现场异常情况处理、实时数据监控、数据分析与报表生成</w:t>
            </w:r>
          </w:p>
        </w:tc>
      </w:tr>
      <w:tr w14:paraId="3349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6" w:type="dxa"/>
            <w:shd w:val="clear" w:color="auto" w:fill="FFFFFF"/>
            <w:vAlign w:val="center"/>
          </w:tcPr>
          <w:p w14:paraId="7350CEB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w:t>
            </w:r>
          </w:p>
        </w:tc>
        <w:tc>
          <w:tcPr>
            <w:tcW w:w="1418" w:type="dxa"/>
            <w:shd w:val="clear" w:color="auto" w:fill="FFFFFF"/>
            <w:noWrap/>
            <w:vAlign w:val="center"/>
          </w:tcPr>
          <w:p w14:paraId="7E183D8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2FDD45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APP升级-随</w:t>
            </w:r>
            <w:r>
              <w:rPr>
                <w:rFonts w:hint="eastAsia" w:cs="宋体"/>
                <w:color w:val="000000"/>
                <w:kern w:val="0"/>
                <w:sz w:val="22"/>
                <w:szCs w:val="22"/>
                <w:lang w:val="en-US" w:eastAsia="zh-CN"/>
              </w:rPr>
              <w:t>申</w:t>
            </w:r>
            <w:r>
              <w:rPr>
                <w:rFonts w:hint="eastAsia" w:cs="宋体"/>
                <w:color w:val="000000"/>
                <w:kern w:val="0"/>
                <w:sz w:val="22"/>
                <w:szCs w:val="22"/>
              </w:rPr>
              <w:t>行</w:t>
            </w:r>
          </w:p>
        </w:tc>
        <w:tc>
          <w:tcPr>
            <w:tcW w:w="5159" w:type="dxa"/>
            <w:shd w:val="clear" w:color="auto" w:fill="FFFFFF"/>
          </w:tcPr>
          <w:p w14:paraId="5EC7D52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随申码一码通行、实时公交地铁到站信息集成、一站式出行规划与导航、智慧停车信息查询与导航、新能源车充电桩地图服务、联程出行票务优惠展示、交通设施无障碍信息查询、交通拥堵与事件实时提醒、随申行服务聚合入口</w:t>
            </w:r>
          </w:p>
        </w:tc>
      </w:tr>
      <w:tr w14:paraId="12BA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2399991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12</w:t>
            </w:r>
          </w:p>
        </w:tc>
        <w:tc>
          <w:tcPr>
            <w:tcW w:w="1418" w:type="dxa"/>
            <w:shd w:val="clear" w:color="auto" w:fill="FFFFFF"/>
            <w:noWrap/>
            <w:vAlign w:val="center"/>
          </w:tcPr>
          <w:p w14:paraId="5691D7A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40AD72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APP升级-城市服务-智能检索</w:t>
            </w:r>
          </w:p>
        </w:tc>
        <w:tc>
          <w:tcPr>
            <w:tcW w:w="5159" w:type="dxa"/>
            <w:shd w:val="clear" w:color="auto" w:fill="FFFFFF"/>
          </w:tcPr>
          <w:p w14:paraId="1EED5AA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智能检索基于多源数据融合与大模型技术，构建了贯穿展前筹备、展中参与、展后延伸的全周期智能服务生态。</w:t>
            </w:r>
          </w:p>
        </w:tc>
      </w:tr>
      <w:tr w14:paraId="60C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1373C2C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13</w:t>
            </w:r>
          </w:p>
        </w:tc>
        <w:tc>
          <w:tcPr>
            <w:tcW w:w="1418" w:type="dxa"/>
            <w:shd w:val="clear" w:color="auto" w:fill="FFFFFF"/>
            <w:noWrap/>
            <w:vAlign w:val="center"/>
          </w:tcPr>
          <w:p w14:paraId="5B04EBD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6D982B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APP升级-城市服务-信息导览</w:t>
            </w:r>
          </w:p>
        </w:tc>
        <w:tc>
          <w:tcPr>
            <w:tcW w:w="5159" w:type="dxa"/>
            <w:shd w:val="clear" w:color="auto" w:fill="FFFFFF"/>
          </w:tcPr>
          <w:p w14:paraId="41792D0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信息导览模块构建 "证件管理 - 场馆导航 - 服务触达" 三位一体的智能导览体系。</w:t>
            </w:r>
          </w:p>
        </w:tc>
      </w:tr>
      <w:tr w14:paraId="1F90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35B453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14</w:t>
            </w:r>
          </w:p>
        </w:tc>
        <w:tc>
          <w:tcPr>
            <w:tcW w:w="1418" w:type="dxa"/>
            <w:shd w:val="clear" w:color="auto" w:fill="FFFFFF"/>
            <w:noWrap/>
            <w:vAlign w:val="center"/>
          </w:tcPr>
          <w:p w14:paraId="0F7BF09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20C9394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APP升级-城市服务-展会服务</w:t>
            </w:r>
          </w:p>
        </w:tc>
        <w:tc>
          <w:tcPr>
            <w:tcW w:w="5159" w:type="dxa"/>
            <w:shd w:val="clear" w:color="auto" w:fill="FFFFFF"/>
          </w:tcPr>
          <w:p w14:paraId="62A6442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模块需涵盖以下功能：海关服务、便利措施服务、出入境服务、外籍人员在沪服务、综合信息导览</w:t>
            </w:r>
          </w:p>
        </w:tc>
      </w:tr>
      <w:tr w14:paraId="3673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0EDC4E1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15</w:t>
            </w:r>
          </w:p>
        </w:tc>
        <w:tc>
          <w:tcPr>
            <w:tcW w:w="1418" w:type="dxa"/>
            <w:shd w:val="clear" w:color="auto" w:fill="FFFFFF"/>
            <w:noWrap/>
            <w:vAlign w:val="center"/>
          </w:tcPr>
          <w:p w14:paraId="34AC935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B9E037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APP升级-城市服务-营商环境与商旅服务</w:t>
            </w:r>
          </w:p>
        </w:tc>
        <w:tc>
          <w:tcPr>
            <w:tcW w:w="5159" w:type="dxa"/>
            <w:shd w:val="clear" w:color="auto" w:fill="FFFFFF"/>
          </w:tcPr>
          <w:p w14:paraId="57F6E9C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模块需涵盖以下功能：党群阵地服务、市场监管服务、法律服务、医疗服务、城市服务相关热线、营商环境服务、国际贸易问答、气象服务</w:t>
            </w:r>
          </w:p>
        </w:tc>
      </w:tr>
      <w:tr w14:paraId="50FF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0560447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16</w:t>
            </w:r>
          </w:p>
        </w:tc>
        <w:tc>
          <w:tcPr>
            <w:tcW w:w="1418" w:type="dxa"/>
            <w:shd w:val="clear" w:color="auto" w:fill="FFFFFF"/>
            <w:noWrap/>
            <w:vAlign w:val="center"/>
          </w:tcPr>
          <w:p w14:paraId="592F15D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E64E08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APP升级-城市服务-投资上海</w:t>
            </w:r>
          </w:p>
        </w:tc>
        <w:tc>
          <w:tcPr>
            <w:tcW w:w="5159" w:type="dxa"/>
            <w:shd w:val="clear" w:color="auto" w:fill="FFFFFF"/>
          </w:tcPr>
          <w:p w14:paraId="7F072AB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模块需涵盖以下功能：外商投资服务、虹桥招商服务、临港投资服务、浦东国际消费中心投资服务、杨浦区招商服务、青浦区招商服务、嘉定区招商服务</w:t>
            </w:r>
          </w:p>
        </w:tc>
      </w:tr>
      <w:tr w14:paraId="1900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6A62D0C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17</w:t>
            </w:r>
          </w:p>
        </w:tc>
        <w:tc>
          <w:tcPr>
            <w:tcW w:w="1418" w:type="dxa"/>
            <w:shd w:val="clear" w:color="auto" w:fill="FFFFFF"/>
            <w:noWrap/>
            <w:vAlign w:val="center"/>
          </w:tcPr>
          <w:p w14:paraId="6BF023C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699800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APP升级-吐槽与建议-我要吐槽</w:t>
            </w:r>
          </w:p>
        </w:tc>
        <w:tc>
          <w:tcPr>
            <w:tcW w:w="5159" w:type="dxa"/>
            <w:shd w:val="clear" w:color="auto" w:fill="FFFFFF"/>
          </w:tcPr>
          <w:p w14:paraId="79D26F2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模块需涵盖以下功能：吐槽多模态信息上报、吐槽提交与分类、吐槽进度跟踪、吐槽回复与互动</w:t>
            </w:r>
          </w:p>
        </w:tc>
      </w:tr>
      <w:tr w14:paraId="64DB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0FEF35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18</w:t>
            </w:r>
          </w:p>
        </w:tc>
        <w:tc>
          <w:tcPr>
            <w:tcW w:w="1418" w:type="dxa"/>
            <w:shd w:val="clear" w:color="auto" w:fill="FFFFFF"/>
            <w:noWrap/>
            <w:vAlign w:val="center"/>
          </w:tcPr>
          <w:p w14:paraId="3FCB41D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3AA26D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APP升级-吐槽与建议-我要建议</w:t>
            </w:r>
          </w:p>
        </w:tc>
        <w:tc>
          <w:tcPr>
            <w:tcW w:w="5159" w:type="dxa"/>
            <w:shd w:val="clear" w:color="auto" w:fill="FFFFFF"/>
          </w:tcPr>
          <w:p w14:paraId="61A07CA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模块需涵盖以下功能：多模态建议上报、建议提交与审核、建议状态查看、建议采纳与反馈</w:t>
            </w:r>
          </w:p>
        </w:tc>
      </w:tr>
      <w:tr w14:paraId="219D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0" w:hRule="atLeast"/>
        </w:trPr>
        <w:tc>
          <w:tcPr>
            <w:tcW w:w="416" w:type="dxa"/>
            <w:shd w:val="clear" w:color="auto" w:fill="FFFFFF"/>
            <w:vAlign w:val="center"/>
          </w:tcPr>
          <w:p w14:paraId="4F9BBA7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19</w:t>
            </w:r>
          </w:p>
        </w:tc>
        <w:tc>
          <w:tcPr>
            <w:tcW w:w="1418" w:type="dxa"/>
            <w:shd w:val="clear" w:color="auto" w:fill="FFFFFF"/>
            <w:noWrap/>
            <w:vAlign w:val="center"/>
          </w:tcPr>
          <w:p w14:paraId="244E627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E236DC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智慧导航升级-展商展位建模-展位全景建模</w:t>
            </w:r>
          </w:p>
        </w:tc>
        <w:tc>
          <w:tcPr>
            <w:tcW w:w="5159" w:type="dxa"/>
            <w:shd w:val="clear" w:color="auto" w:fill="FFFFFF"/>
          </w:tcPr>
          <w:p w14:paraId="603663B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模块需涵盖以下功能：技术装备展区建模</w:t>
            </w:r>
            <w:r>
              <w:rPr>
                <w:rFonts w:hint="default" w:ascii="Segoe UI" w:hAnsi="Segoe UI" w:cs="Segoe UI"/>
                <w:color w:val="000000"/>
                <w:kern w:val="0"/>
                <w:sz w:val="22"/>
                <w:szCs w:val="22"/>
              </w:rPr>
              <w:t xml:space="preserve"> - </w:t>
            </w:r>
            <w:r>
              <w:rPr>
                <w:rFonts w:hint="default" w:cs="宋体"/>
                <w:color w:val="000000"/>
                <w:kern w:val="0"/>
                <w:sz w:val="22"/>
                <w:szCs w:val="22"/>
              </w:rPr>
              <w:t>大型设备展位建模、技术装备展区建模</w:t>
            </w:r>
            <w:r>
              <w:rPr>
                <w:rFonts w:hint="default" w:ascii="Segoe UI" w:hAnsi="Segoe UI" w:cs="Segoe UI"/>
                <w:color w:val="000000"/>
                <w:kern w:val="0"/>
                <w:sz w:val="22"/>
                <w:szCs w:val="22"/>
              </w:rPr>
              <w:t xml:space="preserve"> - </w:t>
            </w:r>
            <w:r>
              <w:rPr>
                <w:rFonts w:hint="default" w:cs="宋体"/>
                <w:color w:val="000000"/>
                <w:kern w:val="0"/>
                <w:sz w:val="22"/>
                <w:szCs w:val="22"/>
              </w:rPr>
              <w:t>精密仪器展位建模、技术装备展区建模</w:t>
            </w:r>
            <w:r>
              <w:rPr>
                <w:rFonts w:hint="default" w:ascii="Segoe UI" w:hAnsi="Segoe UI" w:cs="Segoe UI"/>
                <w:color w:val="000000"/>
                <w:kern w:val="0"/>
                <w:sz w:val="22"/>
                <w:szCs w:val="22"/>
              </w:rPr>
              <w:t xml:space="preserve"> - </w:t>
            </w:r>
            <w:r>
              <w:rPr>
                <w:rFonts w:hint="default" w:cs="宋体"/>
                <w:color w:val="000000"/>
                <w:kern w:val="0"/>
                <w:sz w:val="22"/>
                <w:szCs w:val="22"/>
              </w:rPr>
              <w:t>工业机器人建模、技术装备展区建模</w:t>
            </w:r>
            <w:r>
              <w:rPr>
                <w:rFonts w:hint="default" w:ascii="Segoe UI" w:hAnsi="Segoe UI" w:cs="Segoe UI"/>
                <w:color w:val="000000"/>
                <w:kern w:val="0"/>
                <w:sz w:val="22"/>
                <w:szCs w:val="22"/>
              </w:rPr>
              <w:t xml:space="preserve"> - </w:t>
            </w:r>
            <w:r>
              <w:rPr>
                <w:rFonts w:hint="default" w:cs="宋体"/>
                <w:color w:val="000000"/>
                <w:kern w:val="0"/>
                <w:sz w:val="22"/>
                <w:szCs w:val="22"/>
              </w:rPr>
              <w:t>数控机床建模、技术装备展区建模</w:t>
            </w:r>
            <w:r>
              <w:rPr>
                <w:rFonts w:hint="default" w:ascii="Segoe UI" w:hAnsi="Segoe UI" w:cs="Segoe UI"/>
                <w:color w:val="000000"/>
                <w:kern w:val="0"/>
                <w:sz w:val="22"/>
                <w:szCs w:val="22"/>
              </w:rPr>
              <w:t xml:space="preserve"> - </w:t>
            </w:r>
            <w:r>
              <w:rPr>
                <w:rFonts w:hint="default" w:cs="宋体"/>
                <w:color w:val="000000"/>
                <w:kern w:val="0"/>
                <w:sz w:val="22"/>
                <w:szCs w:val="22"/>
              </w:rPr>
              <w:t>智能生产线建模、消费品展区建模</w:t>
            </w:r>
            <w:r>
              <w:rPr>
                <w:rFonts w:hint="default" w:ascii="Segoe UI" w:hAnsi="Segoe UI" w:cs="Segoe UI"/>
                <w:color w:val="000000"/>
                <w:kern w:val="0"/>
                <w:sz w:val="22"/>
                <w:szCs w:val="22"/>
              </w:rPr>
              <w:t xml:space="preserve"> - </w:t>
            </w:r>
            <w:r>
              <w:rPr>
                <w:rFonts w:hint="default" w:cs="宋体"/>
                <w:color w:val="000000"/>
                <w:kern w:val="0"/>
                <w:sz w:val="22"/>
                <w:szCs w:val="22"/>
              </w:rPr>
              <w:t>美妆展位建模、消费品展区建模</w:t>
            </w:r>
            <w:r>
              <w:rPr>
                <w:rFonts w:hint="default" w:ascii="Segoe UI" w:hAnsi="Segoe UI" w:cs="Segoe UI"/>
                <w:color w:val="000000"/>
                <w:kern w:val="0"/>
                <w:sz w:val="22"/>
                <w:szCs w:val="22"/>
              </w:rPr>
              <w:t xml:space="preserve"> - </w:t>
            </w:r>
            <w:r>
              <w:rPr>
                <w:rFonts w:hint="default" w:cs="宋体"/>
                <w:color w:val="000000"/>
                <w:kern w:val="0"/>
                <w:sz w:val="22"/>
                <w:szCs w:val="22"/>
              </w:rPr>
              <w:t>家居用品展位建模、消费品展区建模</w:t>
            </w:r>
            <w:r>
              <w:rPr>
                <w:rFonts w:hint="default" w:ascii="Segoe UI" w:hAnsi="Segoe UI" w:cs="Segoe UI"/>
                <w:color w:val="000000"/>
                <w:kern w:val="0"/>
                <w:sz w:val="22"/>
                <w:szCs w:val="22"/>
              </w:rPr>
              <w:t xml:space="preserve"> - </w:t>
            </w:r>
            <w:r>
              <w:rPr>
                <w:rFonts w:hint="default" w:cs="宋体"/>
                <w:color w:val="000000"/>
                <w:kern w:val="0"/>
                <w:sz w:val="22"/>
                <w:szCs w:val="22"/>
              </w:rPr>
              <w:t>电子产品展位建模、消费品展区建模</w:t>
            </w:r>
            <w:r>
              <w:rPr>
                <w:rFonts w:hint="default" w:ascii="Segoe UI" w:hAnsi="Segoe UI" w:cs="Segoe UI"/>
                <w:color w:val="000000"/>
                <w:kern w:val="0"/>
                <w:sz w:val="22"/>
                <w:szCs w:val="22"/>
              </w:rPr>
              <w:t xml:space="preserve"> - </w:t>
            </w:r>
            <w:r>
              <w:rPr>
                <w:rFonts w:hint="default" w:cs="宋体"/>
                <w:color w:val="000000"/>
                <w:kern w:val="0"/>
                <w:sz w:val="22"/>
                <w:szCs w:val="22"/>
              </w:rPr>
              <w:t>美妆产品建模、消费品展区建模</w:t>
            </w:r>
            <w:r>
              <w:rPr>
                <w:rFonts w:hint="default" w:ascii="Segoe UI" w:hAnsi="Segoe UI" w:cs="Segoe UI"/>
                <w:color w:val="000000"/>
                <w:kern w:val="0"/>
                <w:sz w:val="22"/>
                <w:szCs w:val="22"/>
              </w:rPr>
              <w:t xml:space="preserve"> - </w:t>
            </w:r>
            <w:r>
              <w:rPr>
                <w:rFonts w:hint="default" w:cs="宋体"/>
                <w:color w:val="000000"/>
                <w:kern w:val="0"/>
                <w:sz w:val="22"/>
                <w:szCs w:val="22"/>
              </w:rPr>
              <w:t>家居用品建模、消费品展区建模</w:t>
            </w:r>
            <w:r>
              <w:rPr>
                <w:rFonts w:hint="default" w:ascii="Segoe UI" w:hAnsi="Segoe UI" w:cs="Segoe UI"/>
                <w:color w:val="000000"/>
                <w:kern w:val="0"/>
                <w:sz w:val="22"/>
                <w:szCs w:val="22"/>
              </w:rPr>
              <w:t xml:space="preserve"> - </w:t>
            </w:r>
            <w:r>
              <w:rPr>
                <w:rFonts w:hint="default" w:cs="宋体"/>
                <w:color w:val="000000"/>
                <w:kern w:val="0"/>
                <w:sz w:val="22"/>
                <w:szCs w:val="22"/>
              </w:rPr>
              <w:t>电子产品建模、医疗器械及医药保健展区建模</w:t>
            </w:r>
            <w:r>
              <w:rPr>
                <w:rFonts w:hint="default" w:ascii="Segoe UI" w:hAnsi="Segoe UI" w:cs="Segoe UI"/>
                <w:color w:val="000000"/>
                <w:kern w:val="0"/>
                <w:sz w:val="22"/>
                <w:szCs w:val="22"/>
              </w:rPr>
              <w:t xml:space="preserve"> - </w:t>
            </w:r>
            <w:r>
              <w:rPr>
                <w:rFonts w:hint="default" w:cs="宋体"/>
                <w:color w:val="000000"/>
                <w:kern w:val="0"/>
                <w:sz w:val="22"/>
                <w:szCs w:val="22"/>
              </w:rPr>
              <w:t>医疗器械展位建模、医疗器械及医药保健展区建模</w:t>
            </w:r>
            <w:r>
              <w:rPr>
                <w:rFonts w:hint="default" w:ascii="Segoe UI" w:hAnsi="Segoe UI" w:cs="Segoe UI"/>
                <w:color w:val="000000"/>
                <w:kern w:val="0"/>
                <w:sz w:val="22"/>
                <w:szCs w:val="22"/>
              </w:rPr>
              <w:t xml:space="preserve"> - </w:t>
            </w:r>
            <w:r>
              <w:rPr>
                <w:rFonts w:hint="default" w:cs="宋体"/>
                <w:color w:val="000000"/>
                <w:kern w:val="0"/>
                <w:sz w:val="22"/>
                <w:szCs w:val="22"/>
              </w:rPr>
              <w:t>药品展位建模、医疗器械及医药保健展区建模</w:t>
            </w:r>
            <w:r>
              <w:rPr>
                <w:rFonts w:hint="default" w:ascii="Segoe UI" w:hAnsi="Segoe UI" w:cs="Segoe UI"/>
                <w:color w:val="000000"/>
                <w:kern w:val="0"/>
                <w:sz w:val="22"/>
                <w:szCs w:val="22"/>
              </w:rPr>
              <w:t xml:space="preserve"> - </w:t>
            </w:r>
            <w:r>
              <w:rPr>
                <w:rFonts w:hint="default" w:cs="宋体"/>
                <w:color w:val="000000"/>
                <w:kern w:val="0"/>
                <w:sz w:val="22"/>
                <w:szCs w:val="22"/>
              </w:rPr>
              <w:t>医疗器械建模、医疗器械及医药保健展区建模</w:t>
            </w:r>
            <w:r>
              <w:rPr>
                <w:rFonts w:hint="default" w:ascii="Segoe UI" w:hAnsi="Segoe UI" w:cs="Segoe UI"/>
                <w:color w:val="000000"/>
                <w:kern w:val="0"/>
                <w:sz w:val="22"/>
                <w:szCs w:val="22"/>
              </w:rPr>
              <w:t xml:space="preserve"> - </w:t>
            </w:r>
            <w:r>
              <w:rPr>
                <w:rFonts w:hint="default" w:cs="宋体"/>
                <w:color w:val="000000"/>
                <w:kern w:val="0"/>
                <w:sz w:val="22"/>
                <w:szCs w:val="22"/>
              </w:rPr>
              <w:t>药品建模、医疗器械及医药保健展区建模</w:t>
            </w:r>
            <w:r>
              <w:rPr>
                <w:rFonts w:hint="default" w:ascii="Segoe UI" w:hAnsi="Segoe UI" w:cs="Segoe UI"/>
                <w:color w:val="000000"/>
                <w:kern w:val="0"/>
                <w:sz w:val="22"/>
                <w:szCs w:val="22"/>
              </w:rPr>
              <w:t xml:space="preserve"> - </w:t>
            </w:r>
            <w:r>
              <w:rPr>
                <w:rFonts w:hint="default" w:cs="宋体"/>
                <w:color w:val="000000"/>
                <w:kern w:val="0"/>
                <w:sz w:val="22"/>
                <w:szCs w:val="22"/>
              </w:rPr>
              <w:t>保健用品建模、服务贸易展区建模</w:t>
            </w:r>
            <w:r>
              <w:rPr>
                <w:rFonts w:hint="default" w:ascii="Segoe UI" w:hAnsi="Segoe UI" w:cs="Segoe UI"/>
                <w:color w:val="000000"/>
                <w:kern w:val="0"/>
                <w:sz w:val="22"/>
                <w:szCs w:val="22"/>
              </w:rPr>
              <w:t xml:space="preserve"> - </w:t>
            </w:r>
            <w:r>
              <w:rPr>
                <w:rFonts w:hint="default" w:cs="宋体"/>
                <w:color w:val="000000"/>
                <w:kern w:val="0"/>
                <w:sz w:val="22"/>
                <w:szCs w:val="22"/>
              </w:rPr>
              <w:t>金融服务展位建模、服务贸易展区建模</w:t>
            </w:r>
            <w:r>
              <w:rPr>
                <w:rFonts w:hint="default" w:ascii="Segoe UI" w:hAnsi="Segoe UI" w:cs="Segoe UI"/>
                <w:color w:val="000000"/>
                <w:kern w:val="0"/>
                <w:sz w:val="22"/>
                <w:szCs w:val="22"/>
              </w:rPr>
              <w:t xml:space="preserve"> - </w:t>
            </w:r>
            <w:r>
              <w:rPr>
                <w:rFonts w:hint="default" w:cs="宋体"/>
                <w:color w:val="000000"/>
                <w:kern w:val="0"/>
                <w:sz w:val="22"/>
                <w:szCs w:val="22"/>
              </w:rPr>
              <w:t>旅游服务展位建模、服务贸易展区建模</w:t>
            </w:r>
            <w:r>
              <w:rPr>
                <w:rFonts w:hint="default" w:ascii="Segoe UI" w:hAnsi="Segoe UI" w:cs="Segoe UI"/>
                <w:color w:val="000000"/>
                <w:kern w:val="0"/>
                <w:sz w:val="22"/>
                <w:szCs w:val="22"/>
              </w:rPr>
              <w:t xml:space="preserve"> - </w:t>
            </w:r>
            <w:r>
              <w:rPr>
                <w:rFonts w:hint="default" w:cs="宋体"/>
                <w:color w:val="000000"/>
                <w:kern w:val="0"/>
                <w:sz w:val="22"/>
                <w:szCs w:val="22"/>
              </w:rPr>
              <w:t>文化服务展位建模、服务贸易展区建模</w:t>
            </w:r>
            <w:r>
              <w:rPr>
                <w:rFonts w:hint="default" w:ascii="Segoe UI" w:hAnsi="Segoe UI" w:cs="Segoe UI"/>
                <w:color w:val="000000"/>
                <w:kern w:val="0"/>
                <w:sz w:val="22"/>
                <w:szCs w:val="22"/>
              </w:rPr>
              <w:t xml:space="preserve"> - </w:t>
            </w:r>
            <w:r>
              <w:rPr>
                <w:rFonts w:hint="default" w:cs="宋体"/>
                <w:color w:val="000000"/>
                <w:kern w:val="0"/>
                <w:sz w:val="22"/>
                <w:szCs w:val="22"/>
              </w:rPr>
              <w:t>金融产品建模、服务贸易展区建模</w:t>
            </w:r>
            <w:r>
              <w:rPr>
                <w:rFonts w:hint="default" w:ascii="Segoe UI" w:hAnsi="Segoe UI" w:cs="Segoe UI"/>
                <w:color w:val="000000"/>
                <w:kern w:val="0"/>
                <w:sz w:val="22"/>
                <w:szCs w:val="22"/>
              </w:rPr>
              <w:t xml:space="preserve"> - </w:t>
            </w:r>
            <w:r>
              <w:rPr>
                <w:rFonts w:hint="default" w:cs="宋体"/>
                <w:color w:val="000000"/>
                <w:kern w:val="0"/>
                <w:sz w:val="22"/>
                <w:szCs w:val="22"/>
              </w:rPr>
              <w:t>旅游产品建模、服务贸易展区建模</w:t>
            </w:r>
            <w:r>
              <w:rPr>
                <w:rFonts w:hint="default" w:ascii="Segoe UI" w:hAnsi="Segoe UI" w:cs="Segoe UI"/>
                <w:color w:val="000000"/>
                <w:kern w:val="0"/>
                <w:sz w:val="22"/>
                <w:szCs w:val="22"/>
              </w:rPr>
              <w:t xml:space="preserve"> - </w:t>
            </w:r>
            <w:r>
              <w:rPr>
                <w:rFonts w:hint="default" w:cs="宋体"/>
                <w:color w:val="000000"/>
                <w:kern w:val="0"/>
                <w:sz w:val="22"/>
                <w:szCs w:val="22"/>
              </w:rPr>
              <w:t>文化产品建模、创新孵化专区建模</w:t>
            </w:r>
            <w:r>
              <w:rPr>
                <w:rFonts w:hint="default" w:ascii="Segoe UI" w:hAnsi="Segoe UI" w:cs="Segoe UI"/>
                <w:color w:val="000000"/>
                <w:kern w:val="0"/>
                <w:sz w:val="22"/>
                <w:szCs w:val="22"/>
              </w:rPr>
              <w:t xml:space="preserve"> - </w:t>
            </w:r>
            <w:r>
              <w:rPr>
                <w:rFonts w:hint="default" w:cs="宋体"/>
                <w:color w:val="000000"/>
                <w:kern w:val="0"/>
                <w:sz w:val="22"/>
                <w:szCs w:val="22"/>
              </w:rPr>
              <w:t>开放式展位建模、创新孵化专区建模</w:t>
            </w:r>
            <w:r>
              <w:rPr>
                <w:rFonts w:hint="default" w:ascii="Segoe UI" w:hAnsi="Segoe UI" w:cs="Segoe UI"/>
                <w:color w:val="000000"/>
                <w:kern w:val="0"/>
                <w:sz w:val="22"/>
                <w:szCs w:val="22"/>
              </w:rPr>
              <w:t xml:space="preserve"> - </w:t>
            </w:r>
            <w:r>
              <w:rPr>
                <w:rFonts w:hint="default" w:cs="宋体"/>
                <w:color w:val="000000"/>
                <w:kern w:val="0"/>
                <w:sz w:val="22"/>
                <w:szCs w:val="22"/>
              </w:rPr>
              <w:t>演示区域建模、创新孵化专区建模</w:t>
            </w:r>
            <w:r>
              <w:rPr>
                <w:rFonts w:hint="default" w:ascii="Segoe UI" w:hAnsi="Segoe UI" w:cs="Segoe UI"/>
                <w:color w:val="000000"/>
                <w:kern w:val="0"/>
                <w:sz w:val="22"/>
                <w:szCs w:val="22"/>
              </w:rPr>
              <w:t xml:space="preserve"> - </w:t>
            </w:r>
            <w:r>
              <w:rPr>
                <w:rFonts w:hint="default" w:cs="宋体"/>
                <w:color w:val="000000"/>
                <w:kern w:val="0"/>
                <w:sz w:val="22"/>
                <w:szCs w:val="22"/>
              </w:rPr>
              <w:t>交流区域建模、创新孵化专区建模</w:t>
            </w:r>
            <w:r>
              <w:rPr>
                <w:rFonts w:hint="default" w:ascii="Segoe UI" w:hAnsi="Segoe UI" w:cs="Segoe UI"/>
                <w:color w:val="000000"/>
                <w:kern w:val="0"/>
                <w:sz w:val="22"/>
                <w:szCs w:val="22"/>
              </w:rPr>
              <w:t xml:space="preserve"> - </w:t>
            </w:r>
            <w:r>
              <w:rPr>
                <w:rFonts w:hint="default" w:cs="宋体"/>
                <w:color w:val="000000"/>
                <w:kern w:val="0"/>
                <w:sz w:val="22"/>
                <w:szCs w:val="22"/>
              </w:rPr>
              <w:t>创新科技产品建模、创新孵化专区建模</w:t>
            </w:r>
            <w:r>
              <w:rPr>
                <w:rFonts w:hint="default" w:ascii="Segoe UI" w:hAnsi="Segoe UI" w:cs="Segoe UI"/>
                <w:color w:val="000000"/>
                <w:kern w:val="0"/>
                <w:sz w:val="22"/>
                <w:szCs w:val="22"/>
              </w:rPr>
              <w:t xml:space="preserve"> - </w:t>
            </w:r>
            <w:r>
              <w:rPr>
                <w:rFonts w:hint="default" w:cs="宋体"/>
                <w:color w:val="000000"/>
                <w:kern w:val="0"/>
                <w:sz w:val="22"/>
                <w:szCs w:val="22"/>
              </w:rPr>
              <w:t>创业项目展示板、食品及农产品展区建模</w:t>
            </w:r>
            <w:r>
              <w:rPr>
                <w:rFonts w:hint="default" w:ascii="Segoe UI" w:hAnsi="Segoe UI" w:cs="Segoe UI"/>
                <w:color w:val="000000"/>
                <w:kern w:val="0"/>
                <w:sz w:val="22"/>
                <w:szCs w:val="22"/>
              </w:rPr>
              <w:t xml:space="preserve"> - </w:t>
            </w:r>
            <w:r>
              <w:rPr>
                <w:rFonts w:hint="default" w:cs="宋体"/>
                <w:color w:val="000000"/>
                <w:kern w:val="0"/>
                <w:sz w:val="22"/>
                <w:szCs w:val="22"/>
              </w:rPr>
              <w:t>通用展位建模、食品及农产品展区建模</w:t>
            </w:r>
            <w:r>
              <w:rPr>
                <w:rFonts w:hint="default" w:ascii="Segoe UI" w:hAnsi="Segoe UI" w:cs="Segoe UI"/>
                <w:color w:val="000000"/>
                <w:kern w:val="0"/>
                <w:sz w:val="22"/>
                <w:szCs w:val="22"/>
              </w:rPr>
              <w:t xml:space="preserve"> - </w:t>
            </w:r>
            <w:r>
              <w:rPr>
                <w:rFonts w:hint="default" w:cs="宋体"/>
                <w:color w:val="000000"/>
                <w:kern w:val="0"/>
                <w:sz w:val="22"/>
                <w:szCs w:val="22"/>
              </w:rPr>
              <w:t>国家主题展位族建模、食品及农产品展区建模</w:t>
            </w:r>
            <w:r>
              <w:rPr>
                <w:rFonts w:hint="default" w:ascii="Segoe UI" w:hAnsi="Segoe UI" w:cs="Segoe UI"/>
                <w:color w:val="000000"/>
                <w:kern w:val="0"/>
                <w:sz w:val="22"/>
                <w:szCs w:val="22"/>
              </w:rPr>
              <w:t xml:space="preserve"> - </w:t>
            </w:r>
            <w:r>
              <w:rPr>
                <w:rFonts w:hint="default" w:cs="宋体"/>
                <w:color w:val="000000"/>
                <w:kern w:val="0"/>
                <w:sz w:val="22"/>
                <w:szCs w:val="22"/>
              </w:rPr>
              <w:t>生鲜类建模、食品及农产品展区建模</w:t>
            </w:r>
            <w:r>
              <w:rPr>
                <w:rFonts w:hint="default" w:ascii="Segoe UI" w:hAnsi="Segoe UI" w:cs="Segoe UI"/>
                <w:color w:val="000000"/>
                <w:kern w:val="0"/>
                <w:sz w:val="22"/>
                <w:szCs w:val="22"/>
              </w:rPr>
              <w:t xml:space="preserve"> - </w:t>
            </w:r>
            <w:r>
              <w:rPr>
                <w:rFonts w:hint="default" w:cs="宋体"/>
                <w:color w:val="000000"/>
                <w:kern w:val="0"/>
                <w:sz w:val="22"/>
                <w:szCs w:val="22"/>
              </w:rPr>
              <w:t>展示道具族建模、食品及农产品展区建模</w:t>
            </w:r>
            <w:r>
              <w:rPr>
                <w:rFonts w:hint="default" w:ascii="Segoe UI" w:hAnsi="Segoe UI" w:cs="Segoe UI"/>
                <w:color w:val="000000"/>
                <w:kern w:val="0"/>
                <w:sz w:val="22"/>
                <w:szCs w:val="22"/>
              </w:rPr>
              <w:t xml:space="preserve"> - </w:t>
            </w:r>
            <w:r>
              <w:rPr>
                <w:rFonts w:hint="default" w:cs="宋体"/>
                <w:color w:val="000000"/>
                <w:kern w:val="0"/>
                <w:sz w:val="22"/>
                <w:szCs w:val="22"/>
              </w:rPr>
              <w:t>加工食品类建模、食品及农产品展区建模</w:t>
            </w:r>
            <w:r>
              <w:rPr>
                <w:rFonts w:hint="default" w:ascii="Segoe UI" w:hAnsi="Segoe UI" w:cs="Segoe UI"/>
                <w:color w:val="000000"/>
                <w:kern w:val="0"/>
                <w:sz w:val="22"/>
                <w:szCs w:val="22"/>
              </w:rPr>
              <w:t xml:space="preserve"> - </w:t>
            </w:r>
            <w:r>
              <w:rPr>
                <w:rFonts w:hint="default" w:cs="宋体"/>
                <w:color w:val="000000"/>
                <w:kern w:val="0"/>
                <w:sz w:val="22"/>
                <w:szCs w:val="22"/>
              </w:rPr>
              <w:t>饮品类建模、汽车展区建模</w:t>
            </w:r>
            <w:r>
              <w:rPr>
                <w:rFonts w:hint="default" w:ascii="Segoe UI" w:hAnsi="Segoe UI" w:cs="Segoe UI"/>
                <w:color w:val="000000"/>
                <w:kern w:val="0"/>
                <w:sz w:val="22"/>
                <w:szCs w:val="22"/>
              </w:rPr>
              <w:t xml:space="preserve"> - </w:t>
            </w:r>
            <w:r>
              <w:rPr>
                <w:rFonts w:hint="default" w:cs="宋体"/>
                <w:color w:val="000000"/>
                <w:kern w:val="0"/>
                <w:sz w:val="22"/>
                <w:szCs w:val="22"/>
              </w:rPr>
              <w:t>豪华展位建模、汽车展区建模</w:t>
            </w:r>
            <w:r>
              <w:rPr>
                <w:rFonts w:hint="default" w:ascii="Segoe UI" w:hAnsi="Segoe UI" w:cs="Segoe UI"/>
                <w:color w:val="000000"/>
                <w:kern w:val="0"/>
                <w:sz w:val="22"/>
                <w:szCs w:val="22"/>
              </w:rPr>
              <w:t xml:space="preserve"> - </w:t>
            </w:r>
            <w:r>
              <w:rPr>
                <w:rFonts w:hint="default" w:cs="宋体"/>
                <w:color w:val="000000"/>
                <w:kern w:val="0"/>
                <w:sz w:val="22"/>
                <w:szCs w:val="22"/>
              </w:rPr>
              <w:t>功能区域族建模、汽车展区建模</w:t>
            </w:r>
            <w:r>
              <w:rPr>
                <w:rFonts w:hint="default" w:ascii="Segoe UI" w:hAnsi="Segoe UI" w:cs="Segoe UI"/>
                <w:color w:val="000000"/>
                <w:kern w:val="0"/>
                <w:sz w:val="22"/>
                <w:szCs w:val="22"/>
              </w:rPr>
              <w:t xml:space="preserve"> - </w:t>
            </w:r>
            <w:r>
              <w:rPr>
                <w:rFonts w:hint="default" w:cs="宋体"/>
                <w:color w:val="000000"/>
                <w:kern w:val="0"/>
                <w:sz w:val="22"/>
                <w:szCs w:val="22"/>
              </w:rPr>
              <w:t>品牌展位建模、汽车展区建模</w:t>
            </w:r>
            <w:r>
              <w:rPr>
                <w:rFonts w:hint="default" w:ascii="Segoe UI" w:hAnsi="Segoe UI" w:cs="Segoe UI"/>
                <w:color w:val="000000"/>
                <w:kern w:val="0"/>
                <w:sz w:val="22"/>
                <w:szCs w:val="22"/>
              </w:rPr>
              <w:t xml:space="preserve"> - </w:t>
            </w:r>
            <w:r>
              <w:rPr>
                <w:rFonts w:hint="default" w:cs="宋体"/>
                <w:color w:val="000000"/>
                <w:kern w:val="0"/>
                <w:sz w:val="22"/>
                <w:szCs w:val="22"/>
              </w:rPr>
              <w:t>新能源汽车构件建模、汽车展区建模</w:t>
            </w:r>
            <w:r>
              <w:rPr>
                <w:rFonts w:hint="default" w:ascii="Segoe UI" w:hAnsi="Segoe UI" w:cs="Segoe UI"/>
                <w:color w:val="000000"/>
                <w:kern w:val="0"/>
                <w:sz w:val="22"/>
                <w:szCs w:val="22"/>
              </w:rPr>
              <w:t xml:space="preserve"> - </w:t>
            </w:r>
            <w:r>
              <w:rPr>
                <w:rFonts w:hint="default" w:cs="宋体"/>
                <w:color w:val="000000"/>
                <w:kern w:val="0"/>
                <w:sz w:val="22"/>
                <w:szCs w:val="22"/>
              </w:rPr>
              <w:t>豪华轿车构件建模、汽车展区建模</w:t>
            </w:r>
            <w:r>
              <w:rPr>
                <w:rFonts w:hint="default" w:ascii="Segoe UI" w:hAnsi="Segoe UI" w:cs="Segoe UI"/>
                <w:color w:val="000000"/>
                <w:kern w:val="0"/>
                <w:sz w:val="22"/>
                <w:szCs w:val="22"/>
              </w:rPr>
              <w:t xml:space="preserve"> - </w:t>
            </w:r>
            <w:r>
              <w:rPr>
                <w:rFonts w:hint="default" w:cs="宋体"/>
                <w:color w:val="000000"/>
                <w:kern w:val="0"/>
                <w:sz w:val="22"/>
                <w:szCs w:val="22"/>
              </w:rPr>
              <w:t>越野车构件建模</w:t>
            </w:r>
          </w:p>
        </w:tc>
      </w:tr>
      <w:tr w14:paraId="10A2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248975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20</w:t>
            </w:r>
          </w:p>
        </w:tc>
        <w:tc>
          <w:tcPr>
            <w:tcW w:w="1418" w:type="dxa"/>
            <w:shd w:val="clear" w:color="auto" w:fill="FFFFFF"/>
            <w:noWrap/>
            <w:vAlign w:val="center"/>
          </w:tcPr>
          <w:p w14:paraId="25E22D3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0EE27B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智慧导航升级-展商展位建模-展商信息关联嵌入</w:t>
            </w:r>
          </w:p>
        </w:tc>
        <w:tc>
          <w:tcPr>
            <w:tcW w:w="5159" w:type="dxa"/>
            <w:shd w:val="clear" w:color="auto" w:fill="FFFFFF"/>
          </w:tcPr>
          <w:p w14:paraId="7B769E4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在展位模型中点击任意展位，自动弹出展商核心信息卡片。</w:t>
            </w:r>
          </w:p>
        </w:tc>
      </w:tr>
      <w:tr w14:paraId="75BA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2B61E9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21</w:t>
            </w:r>
          </w:p>
        </w:tc>
        <w:tc>
          <w:tcPr>
            <w:tcW w:w="1418" w:type="dxa"/>
            <w:shd w:val="clear" w:color="auto" w:fill="FFFFFF"/>
            <w:noWrap/>
            <w:vAlign w:val="center"/>
          </w:tcPr>
          <w:p w14:paraId="2FC0C5A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16A502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智慧导航升级-展商展位建模-实时展位人流热力叠加</w:t>
            </w:r>
          </w:p>
        </w:tc>
        <w:tc>
          <w:tcPr>
            <w:tcW w:w="5159" w:type="dxa"/>
            <w:shd w:val="clear" w:color="auto" w:fill="FFFFFF"/>
          </w:tcPr>
          <w:p w14:paraId="36910D5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不同颜色（红、黄、绿）动态显示各展位周边的人流密度</w:t>
            </w:r>
          </w:p>
        </w:tc>
      </w:tr>
      <w:tr w14:paraId="2E57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2D8140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22</w:t>
            </w:r>
          </w:p>
        </w:tc>
        <w:tc>
          <w:tcPr>
            <w:tcW w:w="1418" w:type="dxa"/>
            <w:shd w:val="clear" w:color="auto" w:fill="FFFFFF"/>
            <w:noWrap/>
            <w:vAlign w:val="center"/>
          </w:tcPr>
          <w:p w14:paraId="36863CE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6DBE96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智慧导航升级-展商展位建模-展商活动日程联动</w:t>
            </w:r>
          </w:p>
        </w:tc>
        <w:tc>
          <w:tcPr>
            <w:tcW w:w="5159" w:type="dxa"/>
            <w:shd w:val="clear" w:color="auto" w:fill="FFFFFF"/>
          </w:tcPr>
          <w:p w14:paraId="4D96D43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活动信息与展位模型时间轴关联展示</w:t>
            </w:r>
          </w:p>
        </w:tc>
      </w:tr>
      <w:tr w14:paraId="7AD5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0D4CB2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23</w:t>
            </w:r>
          </w:p>
        </w:tc>
        <w:tc>
          <w:tcPr>
            <w:tcW w:w="1418" w:type="dxa"/>
            <w:shd w:val="clear" w:color="auto" w:fill="FFFFFF"/>
            <w:noWrap/>
            <w:vAlign w:val="center"/>
          </w:tcPr>
          <w:p w14:paraId="7E81F12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A0E480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智慧导航升级-展商展位建模-个性化展位标记</w:t>
            </w:r>
          </w:p>
        </w:tc>
        <w:tc>
          <w:tcPr>
            <w:tcW w:w="5159" w:type="dxa"/>
            <w:shd w:val="clear" w:color="auto" w:fill="FFFFFF"/>
          </w:tcPr>
          <w:p w14:paraId="70EE238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用户可对感兴趣的展位进行自定义标记</w:t>
            </w:r>
          </w:p>
        </w:tc>
      </w:tr>
      <w:tr w14:paraId="47D4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600AD6F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24</w:t>
            </w:r>
          </w:p>
        </w:tc>
        <w:tc>
          <w:tcPr>
            <w:tcW w:w="1418" w:type="dxa"/>
            <w:shd w:val="clear" w:color="auto" w:fill="FFFFFF"/>
            <w:noWrap/>
            <w:vAlign w:val="center"/>
          </w:tcPr>
          <w:p w14:paraId="1AE66CC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4E798A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智慧导航升级-展商展位建模-展商关联企业推荐</w:t>
            </w:r>
          </w:p>
        </w:tc>
        <w:tc>
          <w:tcPr>
            <w:tcW w:w="5159" w:type="dxa"/>
            <w:shd w:val="clear" w:color="auto" w:fill="FFFFFF"/>
          </w:tcPr>
          <w:p w14:paraId="13D75B3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基于当前查看的展位所属展商推荐相关展商企业</w:t>
            </w:r>
          </w:p>
        </w:tc>
      </w:tr>
      <w:tr w14:paraId="0CA1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2CCCED2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25</w:t>
            </w:r>
          </w:p>
        </w:tc>
        <w:tc>
          <w:tcPr>
            <w:tcW w:w="1418" w:type="dxa"/>
            <w:shd w:val="clear" w:color="auto" w:fill="FFFFFF"/>
            <w:noWrap/>
            <w:vAlign w:val="center"/>
          </w:tcPr>
          <w:p w14:paraId="4CB1E5F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FCF88B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智慧导航升级-展商展位建模-多语言展位信息切换</w:t>
            </w:r>
          </w:p>
        </w:tc>
        <w:tc>
          <w:tcPr>
            <w:tcW w:w="5159" w:type="dxa"/>
            <w:shd w:val="clear" w:color="auto" w:fill="FFFFFF"/>
          </w:tcPr>
          <w:p w14:paraId="37BDEFB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支持中、英、日等多国语言切换</w:t>
            </w:r>
          </w:p>
        </w:tc>
      </w:tr>
      <w:tr w14:paraId="6A24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188E0A5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26</w:t>
            </w:r>
          </w:p>
        </w:tc>
        <w:tc>
          <w:tcPr>
            <w:tcW w:w="1418" w:type="dxa"/>
            <w:shd w:val="clear" w:color="auto" w:fill="FFFFFF"/>
            <w:noWrap/>
            <w:vAlign w:val="center"/>
          </w:tcPr>
          <w:p w14:paraId="1C2E68D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B79E34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智慧导航升级-行业模型建模-服务贸易行业模型</w:t>
            </w:r>
          </w:p>
        </w:tc>
        <w:tc>
          <w:tcPr>
            <w:tcW w:w="5159" w:type="dxa"/>
            <w:shd w:val="clear" w:color="auto" w:fill="FFFFFF"/>
          </w:tcPr>
          <w:p w14:paraId="4E1080A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建立核心领域的行业分类模型</w:t>
            </w:r>
          </w:p>
        </w:tc>
      </w:tr>
      <w:tr w14:paraId="0461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2D5EB5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27</w:t>
            </w:r>
          </w:p>
        </w:tc>
        <w:tc>
          <w:tcPr>
            <w:tcW w:w="1418" w:type="dxa"/>
            <w:shd w:val="clear" w:color="auto" w:fill="FFFFFF"/>
            <w:noWrap/>
            <w:vAlign w:val="center"/>
          </w:tcPr>
          <w:p w14:paraId="63B198E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2F42E5C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智慧导航升级-语义地图-领域自适应语义分割</w:t>
            </w:r>
          </w:p>
        </w:tc>
        <w:tc>
          <w:tcPr>
            <w:tcW w:w="5159" w:type="dxa"/>
            <w:shd w:val="clear" w:color="auto" w:fill="FFFFFF"/>
          </w:tcPr>
          <w:p w14:paraId="3474EAD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在模型基础上增加领域适配模块，通过少量进博会专属样本进行微调</w:t>
            </w:r>
          </w:p>
        </w:tc>
      </w:tr>
      <w:tr w14:paraId="2D87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1B79942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28</w:t>
            </w:r>
          </w:p>
        </w:tc>
        <w:tc>
          <w:tcPr>
            <w:tcW w:w="1418" w:type="dxa"/>
            <w:shd w:val="clear" w:color="auto" w:fill="FFFFFF"/>
            <w:noWrap/>
            <w:vAlign w:val="center"/>
          </w:tcPr>
          <w:p w14:paraId="2235ED8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9E5CE2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智慧导航升级-语义地图-语义融合</w:t>
            </w:r>
          </w:p>
        </w:tc>
        <w:tc>
          <w:tcPr>
            <w:tcW w:w="5159" w:type="dxa"/>
            <w:shd w:val="clear" w:color="auto" w:fill="FFFFFF"/>
          </w:tcPr>
          <w:p w14:paraId="50216E0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模块需涵盖以下功能：三维点多视图语义评分赋值、观测数据冲突检测、贝叶斯推理后验概率计算、低置信度标签存储与验证</w:t>
            </w:r>
          </w:p>
        </w:tc>
      </w:tr>
      <w:tr w14:paraId="1CB9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DD24DE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29</w:t>
            </w:r>
          </w:p>
        </w:tc>
        <w:tc>
          <w:tcPr>
            <w:tcW w:w="1418" w:type="dxa"/>
            <w:shd w:val="clear" w:color="auto" w:fill="FFFFFF"/>
            <w:noWrap/>
            <w:vAlign w:val="center"/>
          </w:tcPr>
          <w:p w14:paraId="180288A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44064C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智慧导航升级-语义地图-闭环检测与地图优化</w:t>
            </w:r>
          </w:p>
        </w:tc>
        <w:tc>
          <w:tcPr>
            <w:tcW w:w="5159" w:type="dxa"/>
            <w:shd w:val="clear" w:color="auto" w:fill="FFFFFF"/>
          </w:tcPr>
          <w:p w14:paraId="2567DDE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模块需涵盖以下功能：语义特征提取与匹配、闭环约束识别、因子图联合优化、跨区域地图拼接精度校验</w:t>
            </w:r>
          </w:p>
        </w:tc>
      </w:tr>
      <w:tr w14:paraId="4C95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10531DE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30</w:t>
            </w:r>
          </w:p>
        </w:tc>
        <w:tc>
          <w:tcPr>
            <w:tcW w:w="1418" w:type="dxa"/>
            <w:shd w:val="clear" w:color="auto" w:fill="FFFFFF"/>
            <w:noWrap/>
            <w:vAlign w:val="center"/>
          </w:tcPr>
          <w:p w14:paraId="5FB0247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3734CB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智慧导航升级-语义地图-自然语言指令解析</w:t>
            </w:r>
          </w:p>
        </w:tc>
        <w:tc>
          <w:tcPr>
            <w:tcW w:w="5159" w:type="dxa"/>
            <w:shd w:val="clear" w:color="auto" w:fill="FFFFFF"/>
          </w:tcPr>
          <w:p w14:paraId="7951A78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模块需涵盖以下功能：口语化导航意图识别、模糊指令结构化转化、多语种混合输入处理、方言语义适配</w:t>
            </w:r>
          </w:p>
        </w:tc>
      </w:tr>
      <w:tr w14:paraId="0883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1CAD1AA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31</w:t>
            </w:r>
          </w:p>
        </w:tc>
        <w:tc>
          <w:tcPr>
            <w:tcW w:w="1418" w:type="dxa"/>
            <w:shd w:val="clear" w:color="auto" w:fill="FFFFFF"/>
            <w:noWrap/>
            <w:vAlign w:val="center"/>
          </w:tcPr>
          <w:p w14:paraId="37E4734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2263E6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智慧导航升级-语义地图-动态语义标签生成</w:t>
            </w:r>
          </w:p>
        </w:tc>
        <w:tc>
          <w:tcPr>
            <w:tcW w:w="5159" w:type="dxa"/>
            <w:shd w:val="clear" w:color="auto" w:fill="FFFFFF"/>
          </w:tcPr>
          <w:p w14:paraId="2034112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模块需涵盖以下功能：动态标签规则引擎、标签地图嵌入与更新、标签时效性管理</w:t>
            </w:r>
          </w:p>
        </w:tc>
      </w:tr>
      <w:tr w14:paraId="3E0C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0BD9D1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32</w:t>
            </w:r>
          </w:p>
        </w:tc>
        <w:tc>
          <w:tcPr>
            <w:tcW w:w="1418" w:type="dxa"/>
            <w:shd w:val="clear" w:color="auto" w:fill="FFFFFF"/>
            <w:noWrap/>
            <w:vAlign w:val="center"/>
          </w:tcPr>
          <w:p w14:paraId="7540057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41EBA7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智慧导航升级-语义地图-场景化路径推荐</w:t>
            </w:r>
          </w:p>
        </w:tc>
        <w:tc>
          <w:tcPr>
            <w:tcW w:w="5159" w:type="dxa"/>
            <w:shd w:val="clear" w:color="auto" w:fill="FFFFFF"/>
          </w:tcPr>
          <w:p w14:paraId="19E33F9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模块需涵盖以下功能：用户身份属性识别、行为场景判断、个性化路径参数配置、实时拥堵数据融合</w:t>
            </w:r>
          </w:p>
        </w:tc>
      </w:tr>
      <w:tr w14:paraId="53D2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B6EADA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33</w:t>
            </w:r>
          </w:p>
        </w:tc>
        <w:tc>
          <w:tcPr>
            <w:tcW w:w="1418" w:type="dxa"/>
            <w:shd w:val="clear" w:color="auto" w:fill="FFFFFF"/>
            <w:noWrap/>
            <w:vAlign w:val="center"/>
          </w:tcPr>
          <w:p w14:paraId="600A183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E51048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智慧导航升级-语义地图-语义化障碍物规避</w:t>
            </w:r>
          </w:p>
        </w:tc>
        <w:tc>
          <w:tcPr>
            <w:tcW w:w="5159" w:type="dxa"/>
            <w:shd w:val="clear" w:color="auto" w:fill="FFFFFF"/>
          </w:tcPr>
          <w:p w14:paraId="0527682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模块需涵盖以下功能：空间数据语义化转化、障碍物语义分类、替代路径自动规划、规避原因解释生成</w:t>
            </w:r>
          </w:p>
        </w:tc>
      </w:tr>
      <w:tr w14:paraId="77B1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6" w:type="dxa"/>
            <w:shd w:val="clear" w:color="auto" w:fill="FFFFFF"/>
            <w:vAlign w:val="center"/>
          </w:tcPr>
          <w:p w14:paraId="5E5EDDD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34</w:t>
            </w:r>
          </w:p>
        </w:tc>
        <w:tc>
          <w:tcPr>
            <w:tcW w:w="1418" w:type="dxa"/>
            <w:shd w:val="clear" w:color="auto" w:fill="FFFFFF"/>
            <w:noWrap/>
            <w:vAlign w:val="center"/>
          </w:tcPr>
          <w:p w14:paraId="7871632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0F6F95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智慧导航升级-语义地图-多模态导航指引</w:t>
            </w:r>
          </w:p>
        </w:tc>
        <w:tc>
          <w:tcPr>
            <w:tcW w:w="5159" w:type="dxa"/>
            <w:shd w:val="clear" w:color="auto" w:fill="FFFFFF"/>
          </w:tcPr>
          <w:p w14:paraId="0DC91ED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模块需涵盖以下功能：多模态信息融合、复杂区域</w:t>
            </w:r>
            <w:r>
              <w:rPr>
                <w:rFonts w:hint="default" w:ascii="Segoe UI" w:hAnsi="Segoe UI" w:cs="Segoe UI"/>
                <w:color w:val="000000"/>
                <w:kern w:val="0"/>
                <w:sz w:val="22"/>
                <w:szCs w:val="22"/>
              </w:rPr>
              <w:t xml:space="preserve"> AR </w:t>
            </w:r>
            <w:r>
              <w:rPr>
                <w:rFonts w:hint="default" w:cs="宋体"/>
                <w:color w:val="000000"/>
                <w:kern w:val="0"/>
                <w:sz w:val="22"/>
                <w:szCs w:val="22"/>
              </w:rPr>
              <w:t>语义触发、拟人化语音交互设计、文字提示精准定位</w:t>
            </w:r>
          </w:p>
        </w:tc>
      </w:tr>
      <w:tr w14:paraId="27B3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0D376D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35</w:t>
            </w:r>
          </w:p>
        </w:tc>
        <w:tc>
          <w:tcPr>
            <w:tcW w:w="1418" w:type="dxa"/>
            <w:shd w:val="clear" w:color="auto" w:fill="FFFFFF"/>
            <w:noWrap/>
            <w:vAlign w:val="center"/>
          </w:tcPr>
          <w:p w14:paraId="7B839ED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370FAD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智慧导航升级-语义地图-兴趣点语义关联</w:t>
            </w:r>
          </w:p>
        </w:tc>
        <w:tc>
          <w:tcPr>
            <w:tcW w:w="5159" w:type="dxa"/>
            <w:shd w:val="clear" w:color="auto" w:fill="FFFFFF"/>
          </w:tcPr>
          <w:p w14:paraId="2052E8A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模块需涵盖以下功能：语义关联网络构建、关联兴趣点实时检索、一键切换导航</w:t>
            </w:r>
          </w:p>
        </w:tc>
      </w:tr>
      <w:tr w14:paraId="3415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2C02DA9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36</w:t>
            </w:r>
          </w:p>
        </w:tc>
        <w:tc>
          <w:tcPr>
            <w:tcW w:w="1418" w:type="dxa"/>
            <w:shd w:val="clear" w:color="auto" w:fill="FFFFFF"/>
            <w:noWrap/>
            <w:vAlign w:val="center"/>
          </w:tcPr>
          <w:p w14:paraId="0488F74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58219A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智慧导航升级-语义地图-群</w:t>
            </w:r>
            <w:r>
              <w:rPr>
                <w:rFonts w:hint="eastAsia" w:cs="宋体"/>
                <w:color w:val="000000"/>
                <w:kern w:val="0"/>
                <w:sz w:val="22"/>
                <w:szCs w:val="22"/>
                <w:lang w:val="en-US" w:eastAsia="zh-CN"/>
              </w:rPr>
              <w:t xml:space="preserve"> </w:t>
            </w:r>
            <w:r>
              <w:rPr>
                <w:rFonts w:hint="eastAsia" w:cs="宋体"/>
                <w:color w:val="000000"/>
                <w:kern w:val="0"/>
                <w:sz w:val="22"/>
                <w:szCs w:val="22"/>
              </w:rPr>
              <w:t>体协同导航</w:t>
            </w:r>
          </w:p>
        </w:tc>
        <w:tc>
          <w:tcPr>
            <w:tcW w:w="5159" w:type="dxa"/>
            <w:shd w:val="clear" w:color="auto" w:fill="FFFFFF"/>
          </w:tcPr>
          <w:p w14:paraId="3B1F1FD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模块需涵盖以下功能：群</w:t>
            </w:r>
            <w:r>
              <w:rPr>
                <w:rFonts w:hint="eastAsia" w:cs="宋体"/>
                <w:color w:val="000000"/>
                <w:kern w:val="0"/>
                <w:sz w:val="22"/>
                <w:szCs w:val="22"/>
                <w:lang w:val="en-US" w:eastAsia="zh-CN"/>
              </w:rPr>
              <w:t xml:space="preserve"> </w:t>
            </w:r>
            <w:r>
              <w:rPr>
                <w:rFonts w:hint="eastAsia" w:cs="宋体"/>
                <w:color w:val="000000"/>
                <w:kern w:val="0"/>
                <w:sz w:val="22"/>
                <w:szCs w:val="22"/>
              </w:rPr>
              <w:t>体指令语义解析、成员个性化路径生成、实时进度反馈机制、群</w:t>
            </w:r>
            <w:r>
              <w:rPr>
                <w:rFonts w:hint="eastAsia" w:cs="宋体"/>
                <w:color w:val="000000"/>
                <w:kern w:val="0"/>
                <w:sz w:val="22"/>
                <w:szCs w:val="22"/>
                <w:lang w:val="en-US" w:eastAsia="zh-CN"/>
              </w:rPr>
              <w:t xml:space="preserve"> </w:t>
            </w:r>
            <w:r>
              <w:rPr>
                <w:rFonts w:hint="eastAsia" w:cs="宋体"/>
                <w:color w:val="000000"/>
                <w:kern w:val="0"/>
                <w:sz w:val="22"/>
                <w:szCs w:val="22"/>
              </w:rPr>
              <w:t>体协同提醒</w:t>
            </w:r>
          </w:p>
        </w:tc>
      </w:tr>
      <w:tr w14:paraId="62A8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3C9FE2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37</w:t>
            </w:r>
          </w:p>
        </w:tc>
        <w:tc>
          <w:tcPr>
            <w:tcW w:w="1418" w:type="dxa"/>
            <w:shd w:val="clear" w:color="auto" w:fill="FFFFFF"/>
            <w:noWrap/>
            <w:vAlign w:val="center"/>
          </w:tcPr>
          <w:p w14:paraId="672899B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B9D5F5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智慧导航升级-语义地图-语义化位置分享</w:t>
            </w:r>
          </w:p>
        </w:tc>
        <w:tc>
          <w:tcPr>
            <w:tcW w:w="5159" w:type="dxa"/>
            <w:shd w:val="clear" w:color="auto" w:fill="FFFFFF"/>
          </w:tcPr>
          <w:p w14:paraId="7F5E607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模块需涵盖以下功能：语义位置描述解析、分享位置可视化、一键导航至分享位置、位置分享权限管理</w:t>
            </w:r>
          </w:p>
        </w:tc>
      </w:tr>
      <w:tr w14:paraId="4709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DD614C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38</w:t>
            </w:r>
          </w:p>
        </w:tc>
        <w:tc>
          <w:tcPr>
            <w:tcW w:w="1418" w:type="dxa"/>
            <w:shd w:val="clear" w:color="auto" w:fill="FFFFFF"/>
            <w:noWrap/>
            <w:vAlign w:val="center"/>
          </w:tcPr>
          <w:p w14:paraId="18E7C6B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EBE81B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智慧导航升级-语义地图-紧急情况语义响应</w:t>
            </w:r>
          </w:p>
        </w:tc>
        <w:tc>
          <w:tcPr>
            <w:tcW w:w="5159" w:type="dxa"/>
            <w:shd w:val="clear" w:color="auto" w:fill="FFFFFF"/>
          </w:tcPr>
          <w:p w14:paraId="3D8233C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模块需涵盖以下功能：紧急指令快速识别、最优疏散路径计算、紧急指引强化</w:t>
            </w:r>
          </w:p>
        </w:tc>
      </w:tr>
      <w:tr w14:paraId="59CA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1B46DC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39</w:t>
            </w:r>
          </w:p>
        </w:tc>
        <w:tc>
          <w:tcPr>
            <w:tcW w:w="1418" w:type="dxa"/>
            <w:shd w:val="clear" w:color="auto" w:fill="FFFFFF"/>
            <w:noWrap/>
            <w:vAlign w:val="center"/>
          </w:tcPr>
          <w:p w14:paraId="41E563F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8388BF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智慧导航升级-语义地图-时间语义路径规划</w:t>
            </w:r>
          </w:p>
        </w:tc>
        <w:tc>
          <w:tcPr>
            <w:tcW w:w="5159" w:type="dxa"/>
            <w:shd w:val="clear" w:color="auto" w:fill="FFFFFF"/>
          </w:tcPr>
          <w:p w14:paraId="4C5E540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模块需涵盖以下功能：时间约束语义解析、动态时间因素融合、到达时间误差控制、时间预警建议生成</w:t>
            </w:r>
          </w:p>
        </w:tc>
      </w:tr>
      <w:tr w14:paraId="6CDD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5D5DDF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40</w:t>
            </w:r>
          </w:p>
        </w:tc>
        <w:tc>
          <w:tcPr>
            <w:tcW w:w="1418" w:type="dxa"/>
            <w:shd w:val="clear" w:color="auto" w:fill="FFFFFF"/>
            <w:noWrap/>
            <w:vAlign w:val="center"/>
          </w:tcPr>
          <w:p w14:paraId="38B1635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83CB7D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智慧导航升级-语义地图-展品类别语义导航</w:t>
            </w:r>
          </w:p>
        </w:tc>
        <w:tc>
          <w:tcPr>
            <w:tcW w:w="5159" w:type="dxa"/>
            <w:shd w:val="clear" w:color="auto" w:fill="FFFFFF"/>
          </w:tcPr>
          <w:p w14:paraId="1C6514D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模块需涵盖以下功能：展品语义分类、品类展台定位、串联参观路线规划、品类信息关联推送</w:t>
            </w:r>
          </w:p>
        </w:tc>
      </w:tr>
      <w:tr w14:paraId="47EC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A43D22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41</w:t>
            </w:r>
          </w:p>
        </w:tc>
        <w:tc>
          <w:tcPr>
            <w:tcW w:w="1418" w:type="dxa"/>
            <w:shd w:val="clear" w:color="auto" w:fill="FFFFFF"/>
            <w:noWrap/>
            <w:vAlign w:val="center"/>
          </w:tcPr>
          <w:p w14:paraId="16E1D77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112E99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智慧导航升级-语义地图-语义化地图缩放与切换</w:t>
            </w:r>
          </w:p>
        </w:tc>
        <w:tc>
          <w:tcPr>
            <w:tcW w:w="5159" w:type="dxa"/>
            <w:shd w:val="clear" w:color="auto" w:fill="FFFFFF"/>
          </w:tcPr>
          <w:p w14:paraId="7D97E9A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模块需涵盖以下功能：缩放指令语义解析、导航阶段自动层级切换、区域布局快速切换、缩放精度控制</w:t>
            </w:r>
          </w:p>
        </w:tc>
      </w:tr>
      <w:tr w14:paraId="4AE4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D2F5E4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42</w:t>
            </w:r>
          </w:p>
        </w:tc>
        <w:tc>
          <w:tcPr>
            <w:tcW w:w="1418" w:type="dxa"/>
            <w:shd w:val="clear" w:color="auto" w:fill="FFFFFF"/>
            <w:noWrap/>
            <w:vAlign w:val="center"/>
          </w:tcPr>
          <w:p w14:paraId="2D40BB8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2767464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智慧导航升级-语义地图-多楼层语义衔接</w:t>
            </w:r>
          </w:p>
        </w:tc>
        <w:tc>
          <w:tcPr>
            <w:tcW w:w="5159" w:type="dxa"/>
            <w:shd w:val="clear" w:color="auto" w:fill="FFFFFF"/>
          </w:tcPr>
          <w:p w14:paraId="3FFF943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模块需涵盖以下功能：跨楼层路径语义化、垂直交通节点语义标记、交通节点状态实时更新、楼层转换视觉强化</w:t>
            </w:r>
          </w:p>
        </w:tc>
      </w:tr>
      <w:tr w14:paraId="4AD6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B9C72A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43</w:t>
            </w:r>
          </w:p>
        </w:tc>
        <w:tc>
          <w:tcPr>
            <w:tcW w:w="1418" w:type="dxa"/>
            <w:shd w:val="clear" w:color="auto" w:fill="FFFFFF"/>
            <w:noWrap/>
            <w:vAlign w:val="center"/>
          </w:tcPr>
          <w:p w14:paraId="4BE7C92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61C145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智慧导航升级-语义地图-用户行为语义学习</w:t>
            </w:r>
          </w:p>
        </w:tc>
        <w:tc>
          <w:tcPr>
            <w:tcW w:w="5159" w:type="dxa"/>
            <w:shd w:val="clear" w:color="auto" w:fill="FFFFFF"/>
          </w:tcPr>
          <w:p w14:paraId="4E45122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模块需涵盖以下功能：历史导航数据解析、个性化推荐</w:t>
            </w:r>
          </w:p>
        </w:tc>
      </w:tr>
      <w:tr w14:paraId="4BD5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2A30366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44</w:t>
            </w:r>
          </w:p>
        </w:tc>
        <w:tc>
          <w:tcPr>
            <w:tcW w:w="1418" w:type="dxa"/>
            <w:shd w:val="clear" w:color="auto" w:fill="FFFFFF"/>
            <w:noWrap/>
            <w:vAlign w:val="center"/>
          </w:tcPr>
          <w:p w14:paraId="16A5173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67973F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智慧导航升级-语义地图-临时活动语义嵌入</w:t>
            </w:r>
          </w:p>
        </w:tc>
        <w:tc>
          <w:tcPr>
            <w:tcW w:w="5159" w:type="dxa"/>
            <w:shd w:val="clear" w:color="auto" w:fill="FFFFFF"/>
          </w:tcPr>
          <w:p w14:paraId="0C62F81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模块需涵盖以下功能：活动语义标签生成、活动地图动态嵌入、顺路参与路线规划</w:t>
            </w:r>
          </w:p>
        </w:tc>
      </w:tr>
      <w:tr w14:paraId="726C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5264C19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45</w:t>
            </w:r>
          </w:p>
        </w:tc>
        <w:tc>
          <w:tcPr>
            <w:tcW w:w="1418" w:type="dxa"/>
            <w:shd w:val="clear" w:color="auto" w:fill="FFFFFF"/>
            <w:noWrap/>
            <w:vAlign w:val="center"/>
          </w:tcPr>
          <w:p w14:paraId="7E63D48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6DD705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智慧导航升级-关怀模式</w:t>
            </w:r>
          </w:p>
        </w:tc>
        <w:tc>
          <w:tcPr>
            <w:tcW w:w="5159" w:type="dxa"/>
            <w:shd w:val="clear" w:color="auto" w:fill="FFFFFF"/>
          </w:tcPr>
          <w:p w14:paraId="082AF10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模块需涵盖以下功能：大字体显示、语音引导增强、无障碍路线规划、紧急联络一键通、增强型语音导航播报、触觉反馈（震动）提示、亲友位置共享与远程协助</w:t>
            </w:r>
          </w:p>
        </w:tc>
      </w:tr>
      <w:tr w14:paraId="7DAC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16" w:type="dxa"/>
            <w:shd w:val="clear" w:color="auto" w:fill="FFFFFF"/>
            <w:vAlign w:val="center"/>
          </w:tcPr>
          <w:p w14:paraId="43A3B86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46</w:t>
            </w:r>
          </w:p>
        </w:tc>
        <w:tc>
          <w:tcPr>
            <w:tcW w:w="1418" w:type="dxa"/>
            <w:shd w:val="clear" w:color="auto" w:fill="FFFFFF"/>
            <w:noWrap/>
            <w:vAlign w:val="center"/>
          </w:tcPr>
          <w:p w14:paraId="7AE6F54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95D84A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智慧导航升级-进宝数字人导航</w:t>
            </w:r>
          </w:p>
        </w:tc>
        <w:tc>
          <w:tcPr>
            <w:tcW w:w="5159" w:type="dxa"/>
            <w:shd w:val="clear" w:color="auto" w:fill="FFFFFF"/>
          </w:tcPr>
          <w:p w14:paraId="63B6FA4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w:t>
            </w:r>
            <w:r>
              <w:rPr>
                <w:rFonts w:hint="default" w:ascii="Segoe UI" w:hAnsi="Segoe UI" w:cs="Segoe UI"/>
                <w:color w:val="000000"/>
                <w:kern w:val="0"/>
                <w:sz w:val="22"/>
                <w:szCs w:val="22"/>
              </w:rPr>
              <w:t xml:space="preserve">AR </w:t>
            </w:r>
            <w:r>
              <w:rPr>
                <w:rFonts w:hint="default" w:cs="宋体"/>
                <w:color w:val="000000"/>
                <w:kern w:val="0"/>
                <w:sz w:val="22"/>
                <w:szCs w:val="22"/>
              </w:rPr>
              <w:t>实景动态引路、路径清晰标记、目标接近提示、路线同步讲解、节奏智能调整、信息多维展示、重点展位主动推介、全方位导航服务提供、实时信息一键感知</w:t>
            </w:r>
          </w:p>
        </w:tc>
      </w:tr>
      <w:tr w14:paraId="4908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CE3D9D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47</w:t>
            </w:r>
          </w:p>
        </w:tc>
        <w:tc>
          <w:tcPr>
            <w:tcW w:w="1418" w:type="dxa"/>
            <w:shd w:val="clear" w:color="auto" w:fill="FFFFFF"/>
            <w:noWrap/>
            <w:vAlign w:val="center"/>
          </w:tcPr>
          <w:p w14:paraId="5C28D86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2602FCA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智慧导航升级-导航算法升级-TODA算法</w:t>
            </w:r>
          </w:p>
        </w:tc>
        <w:tc>
          <w:tcPr>
            <w:tcW w:w="5159" w:type="dxa"/>
            <w:shd w:val="clear" w:color="auto" w:fill="FFFFFF"/>
          </w:tcPr>
          <w:p w14:paraId="5BA44C1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通过测量信号到达监测站的时间，确定信号源的距离。</w:t>
            </w:r>
          </w:p>
        </w:tc>
      </w:tr>
      <w:tr w14:paraId="085C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40102A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48</w:t>
            </w:r>
          </w:p>
        </w:tc>
        <w:tc>
          <w:tcPr>
            <w:tcW w:w="1418" w:type="dxa"/>
            <w:shd w:val="clear" w:color="auto" w:fill="FFFFFF"/>
            <w:noWrap/>
            <w:vAlign w:val="center"/>
          </w:tcPr>
          <w:p w14:paraId="45D0C73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57697E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智慧导航升级-导航算法升级-行人航位推算算法</w:t>
            </w:r>
          </w:p>
        </w:tc>
        <w:tc>
          <w:tcPr>
            <w:tcW w:w="5159" w:type="dxa"/>
            <w:shd w:val="clear" w:color="auto" w:fill="FFFFFF"/>
          </w:tcPr>
          <w:p w14:paraId="61AEC22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通过整合行走步数、步态分析以及方向感知来实现对行人位置的连续追踪。</w:t>
            </w:r>
          </w:p>
        </w:tc>
      </w:tr>
      <w:tr w14:paraId="6E35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E91945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49</w:t>
            </w:r>
          </w:p>
        </w:tc>
        <w:tc>
          <w:tcPr>
            <w:tcW w:w="1418" w:type="dxa"/>
            <w:shd w:val="clear" w:color="auto" w:fill="FFFFFF"/>
            <w:noWrap/>
            <w:vAlign w:val="center"/>
          </w:tcPr>
          <w:p w14:paraId="41F51AA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30D8B2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智慧导航升级-导航算法升级-MPGA-SVM算法</w:t>
            </w:r>
          </w:p>
        </w:tc>
        <w:tc>
          <w:tcPr>
            <w:tcW w:w="5159" w:type="dxa"/>
            <w:shd w:val="clear" w:color="auto" w:fill="FFFFFF"/>
          </w:tcPr>
          <w:p w14:paraId="69A15B3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基于磁场强度的测量值，可以实现室内定位功能。</w:t>
            </w:r>
          </w:p>
        </w:tc>
      </w:tr>
      <w:tr w14:paraId="07ED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1200A62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50</w:t>
            </w:r>
          </w:p>
        </w:tc>
        <w:tc>
          <w:tcPr>
            <w:tcW w:w="1418" w:type="dxa"/>
            <w:shd w:val="clear" w:color="auto" w:fill="FFFFFF"/>
            <w:noWrap/>
            <w:vAlign w:val="center"/>
          </w:tcPr>
          <w:p w14:paraId="3DF311B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0FA7FE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智慧导航升级-导航算法升级-时间规整算法</w:t>
            </w:r>
          </w:p>
        </w:tc>
        <w:tc>
          <w:tcPr>
            <w:tcW w:w="5159" w:type="dxa"/>
            <w:shd w:val="clear" w:color="auto" w:fill="FFFFFF"/>
          </w:tcPr>
          <w:p w14:paraId="1508A6A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用于计算不同时间序列之间的距离</w:t>
            </w:r>
          </w:p>
        </w:tc>
      </w:tr>
      <w:tr w14:paraId="2038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63EA96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51</w:t>
            </w:r>
          </w:p>
        </w:tc>
        <w:tc>
          <w:tcPr>
            <w:tcW w:w="1418" w:type="dxa"/>
            <w:shd w:val="clear" w:color="auto" w:fill="FFFFFF"/>
            <w:noWrap/>
            <w:vAlign w:val="center"/>
          </w:tcPr>
          <w:p w14:paraId="6CF61CC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8BACCE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智慧导航升级-导航算法升级-视觉导航算法</w:t>
            </w:r>
          </w:p>
        </w:tc>
        <w:tc>
          <w:tcPr>
            <w:tcW w:w="5159" w:type="dxa"/>
            <w:shd w:val="clear" w:color="auto" w:fill="FFFFFF"/>
          </w:tcPr>
          <w:p w14:paraId="7153357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结合 SLAM（同步定位与地图构建）技术，实时估计自身位置并构建环境地图。</w:t>
            </w:r>
          </w:p>
        </w:tc>
      </w:tr>
      <w:tr w14:paraId="2CDB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26436FB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52</w:t>
            </w:r>
          </w:p>
        </w:tc>
        <w:tc>
          <w:tcPr>
            <w:tcW w:w="1418" w:type="dxa"/>
            <w:shd w:val="clear" w:color="auto" w:fill="FFFFFF"/>
            <w:noWrap/>
            <w:vAlign w:val="center"/>
          </w:tcPr>
          <w:p w14:paraId="04228F5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CE0A7E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智慧导航升级-导航算法升级-融合定位算法</w:t>
            </w:r>
          </w:p>
        </w:tc>
        <w:tc>
          <w:tcPr>
            <w:tcW w:w="5159" w:type="dxa"/>
            <w:shd w:val="clear" w:color="auto" w:fill="FFFFFF"/>
          </w:tcPr>
          <w:p w14:paraId="11956F4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实现卡尔曼滤波和粒子滤波算法。</w:t>
            </w:r>
          </w:p>
        </w:tc>
      </w:tr>
      <w:tr w14:paraId="0B62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85C690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53</w:t>
            </w:r>
          </w:p>
        </w:tc>
        <w:tc>
          <w:tcPr>
            <w:tcW w:w="1418" w:type="dxa"/>
            <w:shd w:val="clear" w:color="auto" w:fill="FFFFFF"/>
            <w:noWrap/>
            <w:vAlign w:val="center"/>
          </w:tcPr>
          <w:p w14:paraId="5C3723C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A63DC5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智慧导航升级-导航算法升级-指纹库</w:t>
            </w:r>
          </w:p>
        </w:tc>
        <w:tc>
          <w:tcPr>
            <w:tcW w:w="5159" w:type="dxa"/>
            <w:shd w:val="clear" w:color="auto" w:fill="FFFFFF"/>
          </w:tcPr>
          <w:p w14:paraId="7408A9A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模块需涵盖以下功能：指纹库采集、实时定位匹配、源信号冲突仲裁、动态更新</w:t>
            </w:r>
          </w:p>
        </w:tc>
      </w:tr>
      <w:tr w14:paraId="03D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7541EA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54</w:t>
            </w:r>
          </w:p>
        </w:tc>
        <w:tc>
          <w:tcPr>
            <w:tcW w:w="1418" w:type="dxa"/>
            <w:shd w:val="clear" w:color="auto" w:fill="FFFFFF"/>
            <w:noWrap/>
            <w:vAlign w:val="center"/>
          </w:tcPr>
          <w:p w14:paraId="5128326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E215A9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智慧导航升级-导航算法升级-ANN 算法</w:t>
            </w:r>
          </w:p>
        </w:tc>
        <w:tc>
          <w:tcPr>
            <w:tcW w:w="5159" w:type="dxa"/>
            <w:shd w:val="clear" w:color="auto" w:fill="FFFFFF"/>
          </w:tcPr>
          <w:p w14:paraId="309CA11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通过多层神经元模拟信号特征到物理坐标的转换。</w:t>
            </w:r>
          </w:p>
        </w:tc>
      </w:tr>
      <w:tr w14:paraId="7BF4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B9D745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55</w:t>
            </w:r>
          </w:p>
        </w:tc>
        <w:tc>
          <w:tcPr>
            <w:tcW w:w="1418" w:type="dxa"/>
            <w:shd w:val="clear" w:color="auto" w:fill="FFFFFF"/>
            <w:noWrap/>
            <w:vAlign w:val="center"/>
          </w:tcPr>
          <w:p w14:paraId="4284815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062199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智慧导航升级-导航算法升级-BPNN 算法</w:t>
            </w:r>
          </w:p>
        </w:tc>
        <w:tc>
          <w:tcPr>
            <w:tcW w:w="5159" w:type="dxa"/>
            <w:shd w:val="clear" w:color="auto" w:fill="FFFFFF"/>
          </w:tcPr>
          <w:p w14:paraId="7E7C271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通过优化反向传播过程（如调整学习率、改进激活函数），更高效地修正网络参数</w:t>
            </w:r>
          </w:p>
        </w:tc>
      </w:tr>
      <w:tr w14:paraId="4DA9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38F3A3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56</w:t>
            </w:r>
          </w:p>
        </w:tc>
        <w:tc>
          <w:tcPr>
            <w:tcW w:w="1418" w:type="dxa"/>
            <w:shd w:val="clear" w:color="auto" w:fill="FFFFFF"/>
            <w:noWrap/>
            <w:vAlign w:val="center"/>
          </w:tcPr>
          <w:p w14:paraId="58B908D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D9567F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智慧导航升级-导航算法升级-OS-ELM 算法</w:t>
            </w:r>
          </w:p>
        </w:tc>
        <w:tc>
          <w:tcPr>
            <w:tcW w:w="5159" w:type="dxa"/>
            <w:shd w:val="clear" w:color="auto" w:fill="FFFFFF"/>
          </w:tcPr>
          <w:p w14:paraId="77C14CB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可实时接收新的信号样本（如人员移动产生的动态信号）并更新模型</w:t>
            </w:r>
          </w:p>
        </w:tc>
      </w:tr>
      <w:tr w14:paraId="6186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16D171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57</w:t>
            </w:r>
          </w:p>
        </w:tc>
        <w:tc>
          <w:tcPr>
            <w:tcW w:w="1418" w:type="dxa"/>
            <w:shd w:val="clear" w:color="auto" w:fill="FFFFFF"/>
            <w:noWrap/>
            <w:vAlign w:val="center"/>
          </w:tcPr>
          <w:p w14:paraId="511A9CD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4FF269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智慧导航升级-导航算法升级-ELM-AE 与 CNN 结合算法</w:t>
            </w:r>
          </w:p>
        </w:tc>
        <w:tc>
          <w:tcPr>
            <w:tcW w:w="5159" w:type="dxa"/>
            <w:shd w:val="clear" w:color="auto" w:fill="FFFFFF"/>
          </w:tcPr>
          <w:p w14:paraId="4B784F4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对原始多维度信号（如多设备 RSSI 数据）进行降维和去噪，剔除环境噪声与冗余特征</w:t>
            </w:r>
          </w:p>
        </w:tc>
      </w:tr>
      <w:tr w14:paraId="313E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3F3710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58</w:t>
            </w:r>
          </w:p>
        </w:tc>
        <w:tc>
          <w:tcPr>
            <w:tcW w:w="1418" w:type="dxa"/>
            <w:shd w:val="clear" w:color="auto" w:fill="FFFFFF"/>
            <w:noWrap/>
            <w:vAlign w:val="center"/>
          </w:tcPr>
          <w:p w14:paraId="2D4348E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9514E7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智慧导航升级-导航算法升级-MLP 改进算法</w:t>
            </w:r>
          </w:p>
        </w:tc>
        <w:tc>
          <w:tcPr>
            <w:tcW w:w="5159" w:type="dxa"/>
            <w:shd w:val="clear" w:color="auto" w:fill="FFFFFF"/>
          </w:tcPr>
          <w:p w14:paraId="0F3CF99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处理更复杂的信号特征（如多频段信号的耦合关系）</w:t>
            </w:r>
          </w:p>
        </w:tc>
      </w:tr>
      <w:tr w14:paraId="34A5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1A0833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59</w:t>
            </w:r>
          </w:p>
        </w:tc>
        <w:tc>
          <w:tcPr>
            <w:tcW w:w="1418" w:type="dxa"/>
            <w:shd w:val="clear" w:color="auto" w:fill="FFFFFF"/>
            <w:noWrap/>
            <w:vAlign w:val="center"/>
          </w:tcPr>
          <w:p w14:paraId="15D7AA9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DB7CD6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智慧导航升级-导航算法升级-DNL算法</w:t>
            </w:r>
          </w:p>
        </w:tc>
        <w:tc>
          <w:tcPr>
            <w:tcW w:w="5159" w:type="dxa"/>
            <w:shd w:val="clear" w:color="auto" w:fill="FFFFFF"/>
          </w:tcPr>
          <w:p w14:paraId="5F50AA6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优化定位模型对 “位置邻域” 的判断</w:t>
            </w:r>
          </w:p>
        </w:tc>
      </w:tr>
      <w:tr w14:paraId="45D9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473A3DF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60</w:t>
            </w:r>
          </w:p>
        </w:tc>
        <w:tc>
          <w:tcPr>
            <w:tcW w:w="1418" w:type="dxa"/>
            <w:shd w:val="clear" w:color="auto" w:fill="FFFFFF"/>
            <w:noWrap/>
            <w:vAlign w:val="center"/>
          </w:tcPr>
          <w:p w14:paraId="20682B1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748C1B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智慧导航升级-导航算法升级-时间卷积网络 TCN 算法</w:t>
            </w:r>
          </w:p>
        </w:tc>
        <w:tc>
          <w:tcPr>
            <w:tcW w:w="5159" w:type="dxa"/>
            <w:shd w:val="clear" w:color="auto" w:fill="FFFFFF"/>
          </w:tcPr>
          <w:p w14:paraId="1D3CF04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用卷积层捕捉信号的时间序列特征（如信号强度随时间的波动规律），拟合动态场景下信号与三维坐标的非线性映射</w:t>
            </w:r>
          </w:p>
        </w:tc>
      </w:tr>
      <w:tr w14:paraId="647D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7201E9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61</w:t>
            </w:r>
          </w:p>
        </w:tc>
        <w:tc>
          <w:tcPr>
            <w:tcW w:w="1418" w:type="dxa"/>
            <w:shd w:val="clear" w:color="auto" w:fill="FFFFFF"/>
            <w:noWrap/>
            <w:vAlign w:val="center"/>
          </w:tcPr>
          <w:p w14:paraId="0642899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1A5D7B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智慧导航升级-导航算法升级-权重优化 WBO 算法</w:t>
            </w:r>
          </w:p>
        </w:tc>
        <w:tc>
          <w:tcPr>
            <w:tcW w:w="5159" w:type="dxa"/>
            <w:shd w:val="clear" w:color="auto" w:fill="FFFFFF"/>
          </w:tcPr>
          <w:p w14:paraId="1251BAF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优化指纹匹配的特征重要性，减少无关信号的干扰，提升定位精度</w:t>
            </w:r>
          </w:p>
        </w:tc>
      </w:tr>
      <w:tr w14:paraId="016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3B8357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62</w:t>
            </w:r>
          </w:p>
        </w:tc>
        <w:tc>
          <w:tcPr>
            <w:tcW w:w="1418" w:type="dxa"/>
            <w:shd w:val="clear" w:color="auto" w:fill="FFFFFF"/>
            <w:noWrap/>
            <w:vAlign w:val="center"/>
          </w:tcPr>
          <w:p w14:paraId="3CE8E4B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D9AEDF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智慧导航升级-导航算法升级-遗传算法</w:t>
            </w:r>
          </w:p>
        </w:tc>
        <w:tc>
          <w:tcPr>
            <w:tcW w:w="5159" w:type="dxa"/>
            <w:shd w:val="clear" w:color="auto" w:fill="FFFFFF"/>
          </w:tcPr>
          <w:p w14:paraId="4BA7DA0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优化定位模型参数（如指纹匹配的阈值、信号衰减系数）</w:t>
            </w:r>
          </w:p>
        </w:tc>
      </w:tr>
      <w:tr w14:paraId="102A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6FE1572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63</w:t>
            </w:r>
          </w:p>
        </w:tc>
        <w:tc>
          <w:tcPr>
            <w:tcW w:w="1418" w:type="dxa"/>
            <w:shd w:val="clear" w:color="auto" w:fill="FFFFFF"/>
            <w:noWrap/>
            <w:vAlign w:val="center"/>
          </w:tcPr>
          <w:p w14:paraId="32D9BF3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688DDE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智慧导航升级-导航算法升级-烟花算法</w:t>
            </w:r>
          </w:p>
        </w:tc>
        <w:tc>
          <w:tcPr>
            <w:tcW w:w="5159" w:type="dxa"/>
            <w:shd w:val="clear" w:color="auto" w:fill="FFFFFF"/>
          </w:tcPr>
          <w:p w14:paraId="2BB66AC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对信号特征空间进行大范围勘探，快速找到潜在的最优定位参数</w:t>
            </w:r>
          </w:p>
        </w:tc>
      </w:tr>
      <w:tr w14:paraId="40E5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7AEA91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64</w:t>
            </w:r>
          </w:p>
        </w:tc>
        <w:tc>
          <w:tcPr>
            <w:tcW w:w="1418" w:type="dxa"/>
            <w:shd w:val="clear" w:color="auto" w:fill="FFFFFF"/>
            <w:noWrap/>
            <w:vAlign w:val="center"/>
          </w:tcPr>
          <w:p w14:paraId="629A6B7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9199B5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智慧导航升级-导航算法升级-萤火虫算法</w:t>
            </w:r>
          </w:p>
        </w:tc>
        <w:tc>
          <w:tcPr>
            <w:tcW w:w="5159" w:type="dxa"/>
            <w:shd w:val="clear" w:color="auto" w:fill="FFFFFF"/>
          </w:tcPr>
          <w:p w14:paraId="2ACD1B35">
            <w:pPr>
              <w:keepNext w:val="0"/>
              <w:keepLines w:val="0"/>
              <w:widowControl/>
              <w:suppressLineNumbers w:val="0"/>
              <w:spacing w:before="0" w:beforeAutospacing="0" w:after="0" w:afterAutospacing="0" w:line="240" w:lineRule="auto"/>
              <w:ind w:left="220" w:right="0" w:hanging="220" w:hangingChars="100"/>
              <w:jc w:val="left"/>
              <w:rPr>
                <w:rFonts w:hint="eastAsia" w:cs="宋体"/>
                <w:color w:val="000000"/>
                <w:kern w:val="0"/>
                <w:sz w:val="22"/>
                <w:szCs w:val="22"/>
              </w:rPr>
            </w:pPr>
            <w:r>
              <w:rPr>
                <w:rFonts w:hint="eastAsia" w:cs="宋体"/>
                <w:color w:val="000000"/>
                <w:kern w:val="0"/>
                <w:sz w:val="22"/>
                <w:szCs w:val="22"/>
              </w:rPr>
              <w:t>通过个体（候选定位参数）间的信息交互，引导群</w:t>
            </w:r>
            <w:r>
              <w:rPr>
                <w:rFonts w:hint="eastAsia" w:cs="宋体"/>
                <w:color w:val="000000"/>
                <w:kern w:val="0"/>
                <w:sz w:val="22"/>
                <w:szCs w:val="22"/>
                <w:lang w:val="en-US" w:eastAsia="zh-CN"/>
              </w:rPr>
              <w:t xml:space="preserve"> </w:t>
            </w:r>
            <w:r>
              <w:rPr>
                <w:rFonts w:hint="eastAsia" w:cs="宋体"/>
                <w:color w:val="000000"/>
                <w:kern w:val="0"/>
                <w:sz w:val="22"/>
                <w:szCs w:val="22"/>
              </w:rPr>
              <w:t>体向更优参数聚集</w:t>
            </w:r>
          </w:p>
        </w:tc>
      </w:tr>
      <w:tr w14:paraId="5CB6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34485D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65</w:t>
            </w:r>
          </w:p>
        </w:tc>
        <w:tc>
          <w:tcPr>
            <w:tcW w:w="1418" w:type="dxa"/>
            <w:shd w:val="clear" w:color="auto" w:fill="FFFFFF"/>
            <w:noWrap/>
            <w:vAlign w:val="center"/>
          </w:tcPr>
          <w:p w14:paraId="36CF71B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F49F61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智慧导航升级-导航算法升级-粒子群优化算法</w:t>
            </w:r>
          </w:p>
        </w:tc>
        <w:tc>
          <w:tcPr>
            <w:tcW w:w="5159" w:type="dxa"/>
            <w:shd w:val="clear" w:color="auto" w:fill="FFFFFF"/>
          </w:tcPr>
          <w:p w14:paraId="6373635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增强对动态干扰的抑制能力，提升定位结果的稳定性和可靠性。</w:t>
            </w:r>
          </w:p>
        </w:tc>
      </w:tr>
      <w:tr w14:paraId="43D9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1792FF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66</w:t>
            </w:r>
          </w:p>
        </w:tc>
        <w:tc>
          <w:tcPr>
            <w:tcW w:w="1418" w:type="dxa"/>
            <w:shd w:val="clear" w:color="auto" w:fill="FFFFFF"/>
            <w:noWrap/>
            <w:vAlign w:val="center"/>
          </w:tcPr>
          <w:p w14:paraId="5131C39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D2A306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智慧导航升级-导航算法升级-FWA-PSO 算法</w:t>
            </w:r>
          </w:p>
        </w:tc>
        <w:tc>
          <w:tcPr>
            <w:tcW w:w="5159" w:type="dxa"/>
            <w:shd w:val="clear" w:color="auto" w:fill="FFFFFF"/>
          </w:tcPr>
          <w:p w14:paraId="568EEAF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负责大范围搜索潜在最优参数</w:t>
            </w:r>
          </w:p>
        </w:tc>
      </w:tr>
      <w:tr w14:paraId="3451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77DBE7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67</w:t>
            </w:r>
          </w:p>
        </w:tc>
        <w:tc>
          <w:tcPr>
            <w:tcW w:w="1418" w:type="dxa"/>
            <w:shd w:val="clear" w:color="auto" w:fill="FFFFFF"/>
            <w:noWrap/>
            <w:vAlign w:val="center"/>
          </w:tcPr>
          <w:p w14:paraId="7DFFBF7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760AD2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智慧导航升级-导航算法升级-FA 支持向量机算法</w:t>
            </w:r>
          </w:p>
        </w:tc>
        <w:tc>
          <w:tcPr>
            <w:tcW w:w="5159" w:type="dxa"/>
            <w:shd w:val="clear" w:color="auto" w:fill="FFFFFF"/>
          </w:tcPr>
          <w:p w14:paraId="32DF1C6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拟合信号特征与位置的非线性分类边界</w:t>
            </w:r>
          </w:p>
        </w:tc>
      </w:tr>
      <w:tr w14:paraId="70FF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37CA4D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68</w:t>
            </w:r>
          </w:p>
        </w:tc>
        <w:tc>
          <w:tcPr>
            <w:tcW w:w="1418" w:type="dxa"/>
            <w:shd w:val="clear" w:color="auto" w:fill="FFFFFF"/>
            <w:noWrap/>
            <w:vAlign w:val="center"/>
          </w:tcPr>
          <w:p w14:paraId="1FCC175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3A8DCB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智慧导航升级-导航算法升级-PSO-SVM 算法</w:t>
            </w:r>
          </w:p>
        </w:tc>
        <w:tc>
          <w:tcPr>
            <w:tcW w:w="5159" w:type="dxa"/>
            <w:shd w:val="clear" w:color="auto" w:fill="FFFFFF"/>
          </w:tcPr>
          <w:p w14:paraId="30275BF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高效优化 SVM 的关键参数</w:t>
            </w:r>
          </w:p>
        </w:tc>
      </w:tr>
      <w:tr w14:paraId="15BA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ED0EFD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69</w:t>
            </w:r>
          </w:p>
        </w:tc>
        <w:tc>
          <w:tcPr>
            <w:tcW w:w="1418" w:type="dxa"/>
            <w:shd w:val="clear" w:color="auto" w:fill="FFFFFF"/>
            <w:noWrap/>
            <w:vAlign w:val="center"/>
          </w:tcPr>
          <w:p w14:paraId="008CC70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3BBD71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智慧导航升级-导航算法升级-PSOSVRPos 方法</w:t>
            </w:r>
          </w:p>
        </w:tc>
        <w:tc>
          <w:tcPr>
            <w:tcW w:w="5159" w:type="dxa"/>
            <w:shd w:val="clear" w:color="auto" w:fill="FFFFFF"/>
          </w:tcPr>
          <w:p w14:paraId="48378A1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精准建立信号特征到位置坐标的回归关系</w:t>
            </w:r>
          </w:p>
        </w:tc>
      </w:tr>
      <w:tr w14:paraId="23D5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26B87A4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70</w:t>
            </w:r>
          </w:p>
        </w:tc>
        <w:tc>
          <w:tcPr>
            <w:tcW w:w="1418" w:type="dxa"/>
            <w:shd w:val="clear" w:color="auto" w:fill="FFFFFF"/>
            <w:noWrap/>
            <w:vAlign w:val="center"/>
          </w:tcPr>
          <w:p w14:paraId="0E385C5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233B98A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智能决策管理-导航决策管理-导航需求决策</w:t>
            </w:r>
          </w:p>
        </w:tc>
        <w:tc>
          <w:tcPr>
            <w:tcW w:w="5159" w:type="dxa"/>
            <w:shd w:val="clear" w:color="auto" w:fill="FFFFFF"/>
          </w:tcPr>
          <w:p w14:paraId="405BFBBC">
            <w:pPr>
              <w:keepNext w:val="0"/>
              <w:keepLines w:val="0"/>
              <w:widowControl/>
              <w:suppressLineNumbers w:val="0"/>
              <w:spacing w:before="0" w:beforeAutospacing="0" w:after="0" w:afterAutospacing="0" w:line="240" w:lineRule="auto"/>
              <w:ind w:left="0" w:right="0" w:firstLine="0" w:firstLineChars="0"/>
              <w:jc w:val="left"/>
              <w:rPr>
                <w:rFonts w:hint="eastAsia" w:eastAsia="宋体" w:cs="宋体"/>
                <w:color w:val="000000"/>
                <w:kern w:val="0"/>
                <w:sz w:val="22"/>
                <w:szCs w:val="22"/>
                <w:lang w:eastAsia="zh-CN"/>
              </w:rPr>
            </w:pPr>
            <w:r>
              <w:rPr>
                <w:rFonts w:hint="eastAsia" w:cs="宋体"/>
                <w:color w:val="000000"/>
                <w:kern w:val="0"/>
                <w:sz w:val="22"/>
                <w:szCs w:val="22"/>
              </w:rPr>
              <w:t>模块需涵盖以下功能：馆内目的地决策分类模块、馆外通勤需求决策解析模块、多目标需求决策排序模块、紧急需求决策优先触发模块</w:t>
            </w:r>
            <w:r>
              <w:rPr>
                <w:rFonts w:hint="eastAsia" w:cs="宋体"/>
                <w:color w:val="000000"/>
                <w:kern w:val="0"/>
                <w:sz w:val="22"/>
                <w:szCs w:val="22"/>
                <w:lang w:eastAsia="zh-CN"/>
              </w:rPr>
              <w:t>、角色化需求决策识别模块</w:t>
            </w:r>
          </w:p>
        </w:tc>
      </w:tr>
      <w:tr w14:paraId="7D24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459AEEE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71</w:t>
            </w:r>
          </w:p>
        </w:tc>
        <w:tc>
          <w:tcPr>
            <w:tcW w:w="1418" w:type="dxa"/>
            <w:shd w:val="clear" w:color="auto" w:fill="FFFFFF"/>
            <w:noWrap/>
            <w:vAlign w:val="center"/>
          </w:tcPr>
          <w:p w14:paraId="63CCF84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95D912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智能决策管理-导航决策管理-路径规划决策</w:t>
            </w:r>
          </w:p>
        </w:tc>
        <w:tc>
          <w:tcPr>
            <w:tcW w:w="5159" w:type="dxa"/>
            <w:shd w:val="clear" w:color="auto" w:fill="FFFFFF"/>
          </w:tcPr>
          <w:p w14:paraId="2595C14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模块需涵盖以下功能：实时人流路径决策优化模块、角色化路径决策适配模块、临时变更路径决策调整模块、多交通方式路径决策融合模块、路径耗时决策预估模块、服务设施关联路径决策模块</w:t>
            </w:r>
          </w:p>
        </w:tc>
      </w:tr>
      <w:tr w14:paraId="6B1D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088AEB9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72</w:t>
            </w:r>
          </w:p>
        </w:tc>
        <w:tc>
          <w:tcPr>
            <w:tcW w:w="1418" w:type="dxa"/>
            <w:shd w:val="clear" w:color="auto" w:fill="FFFFFF"/>
            <w:noWrap/>
            <w:vAlign w:val="center"/>
          </w:tcPr>
          <w:p w14:paraId="547D2BD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106C59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智能决策管理-导航决策管理-多轮交互决策</w:t>
            </w:r>
          </w:p>
        </w:tc>
        <w:tc>
          <w:tcPr>
            <w:tcW w:w="5159" w:type="dxa"/>
            <w:shd w:val="clear" w:color="auto" w:fill="FFFFFF"/>
          </w:tcPr>
          <w:p w14:paraId="5BD73BC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模块需涵盖以下功能：角色化话术决策生成模块、多轮对话决策衔接模块、超时交互决策处理模块、异常交互决策修正模块、多模态交互决策适配</w:t>
            </w:r>
          </w:p>
        </w:tc>
      </w:tr>
      <w:tr w14:paraId="646A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75B2B36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73</w:t>
            </w:r>
          </w:p>
        </w:tc>
        <w:tc>
          <w:tcPr>
            <w:tcW w:w="1418" w:type="dxa"/>
            <w:shd w:val="clear" w:color="auto" w:fill="FFFFFF"/>
            <w:noWrap/>
            <w:vAlign w:val="center"/>
          </w:tcPr>
          <w:p w14:paraId="639AA85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F3873D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智能决策管理-导航决策管理-资源协同决策</w:t>
            </w:r>
          </w:p>
        </w:tc>
        <w:tc>
          <w:tcPr>
            <w:tcW w:w="5159" w:type="dxa"/>
            <w:shd w:val="clear" w:color="auto" w:fill="FFFFFF"/>
          </w:tcPr>
          <w:p w14:paraId="73C1947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模块需涵盖以下功能：数据源调用决策管理模块、工具组合决策应用模块、协同决策联动模块、权限资源决策控制模块、个性化资源决策推荐模块</w:t>
            </w:r>
          </w:p>
        </w:tc>
      </w:tr>
      <w:tr w14:paraId="262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616CE14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74</w:t>
            </w:r>
          </w:p>
        </w:tc>
        <w:tc>
          <w:tcPr>
            <w:tcW w:w="1418" w:type="dxa"/>
            <w:shd w:val="clear" w:color="auto" w:fill="FFFFFF"/>
            <w:noWrap/>
            <w:vAlign w:val="center"/>
          </w:tcPr>
          <w:p w14:paraId="290B93B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C2EF0C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智能决策管理-观展决策管理-观展需求决策模块</w:t>
            </w:r>
          </w:p>
        </w:tc>
        <w:tc>
          <w:tcPr>
            <w:tcW w:w="5159" w:type="dxa"/>
            <w:shd w:val="clear" w:color="auto" w:fill="FFFFFF"/>
          </w:tcPr>
          <w:p w14:paraId="6FD7001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模块需涵盖以下功能：角色化观展需求识别模块、观展意图分类决策模块、个性化观展偏好匹配模块</w:t>
            </w:r>
          </w:p>
        </w:tc>
      </w:tr>
      <w:tr w14:paraId="65FD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455EA4C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75</w:t>
            </w:r>
          </w:p>
        </w:tc>
        <w:tc>
          <w:tcPr>
            <w:tcW w:w="1418" w:type="dxa"/>
            <w:shd w:val="clear" w:color="auto" w:fill="FFFFFF"/>
            <w:noWrap/>
            <w:vAlign w:val="center"/>
          </w:tcPr>
          <w:p w14:paraId="5AE3D49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160439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智能决策管理-观展决策管理-观展内容推荐模块</w:t>
            </w:r>
          </w:p>
        </w:tc>
        <w:tc>
          <w:tcPr>
            <w:tcW w:w="5159" w:type="dxa"/>
            <w:shd w:val="clear" w:color="auto" w:fill="FFFFFF"/>
          </w:tcPr>
          <w:p w14:paraId="150E707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模块需涵盖以下功能：个性化观展路线推荐模块、展品信息整合推荐模块、论坛讲座精准推荐模块、热门活动实时推荐模块</w:t>
            </w:r>
          </w:p>
        </w:tc>
      </w:tr>
      <w:tr w14:paraId="1796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4828D9B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76</w:t>
            </w:r>
          </w:p>
        </w:tc>
        <w:tc>
          <w:tcPr>
            <w:tcW w:w="1418" w:type="dxa"/>
            <w:shd w:val="clear" w:color="auto" w:fill="FFFFFF"/>
            <w:noWrap/>
            <w:vAlign w:val="center"/>
          </w:tcPr>
          <w:p w14:paraId="6234158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32A6E5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智能决策管理-观展决策管理-观展交互管理模块</w:t>
            </w:r>
          </w:p>
        </w:tc>
        <w:tc>
          <w:tcPr>
            <w:tcW w:w="5159" w:type="dxa"/>
            <w:shd w:val="clear" w:color="auto" w:fill="FFFFFF"/>
          </w:tcPr>
          <w:p w14:paraId="0DD74C4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模块需涵盖以下功能：角色化话术交互模块、多轮对话衔接模块、对话超时处理模块、对话异常修正模块、智能卡片交互模块</w:t>
            </w:r>
          </w:p>
        </w:tc>
      </w:tr>
      <w:tr w14:paraId="4B40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6" w:type="dxa"/>
            <w:shd w:val="clear" w:color="auto" w:fill="FFFFFF"/>
            <w:vAlign w:val="center"/>
          </w:tcPr>
          <w:p w14:paraId="77B23E5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77</w:t>
            </w:r>
          </w:p>
        </w:tc>
        <w:tc>
          <w:tcPr>
            <w:tcW w:w="1418" w:type="dxa"/>
            <w:shd w:val="clear" w:color="auto" w:fill="FFFFFF"/>
            <w:noWrap/>
            <w:vAlign w:val="center"/>
          </w:tcPr>
          <w:p w14:paraId="0C0FC51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409B41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智能决策管理-观展决策管理-观展协同决策模块</w:t>
            </w:r>
          </w:p>
        </w:tc>
        <w:tc>
          <w:tcPr>
            <w:tcW w:w="5159" w:type="dxa"/>
            <w:shd w:val="clear" w:color="auto" w:fill="FFFFFF"/>
          </w:tcPr>
          <w:p w14:paraId="134EA5E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观展数据安全管理模块、会话历史归档模块、会话中断与恢复模块、个性化偏好记录与应用模块、复杂提示词管理模块、复杂知识工程模块、协同联动模块、数据源与工具集成模块、步骤控制与异常恢复模块、规则流程设计模块</w:t>
            </w:r>
          </w:p>
        </w:tc>
      </w:tr>
      <w:tr w14:paraId="04F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251231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78</w:t>
            </w:r>
          </w:p>
        </w:tc>
        <w:tc>
          <w:tcPr>
            <w:tcW w:w="1418" w:type="dxa"/>
            <w:shd w:val="clear" w:color="auto" w:fill="FFFFFF"/>
            <w:noWrap/>
            <w:vAlign w:val="center"/>
          </w:tcPr>
          <w:p w14:paraId="7DBCD0C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FA303F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智能决策管理-交流决策管理-交流需求决策</w:t>
            </w:r>
          </w:p>
        </w:tc>
        <w:tc>
          <w:tcPr>
            <w:tcW w:w="5159" w:type="dxa"/>
            <w:shd w:val="clear" w:color="auto" w:fill="FFFFFF"/>
          </w:tcPr>
          <w:p w14:paraId="3BDC143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模块需涵盖以下功能：多语言交流需求识别模块、跨国交流意图分类决策模块、个性化交流偏好匹配模块</w:t>
            </w:r>
          </w:p>
        </w:tc>
      </w:tr>
      <w:tr w14:paraId="0713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16" w:type="dxa"/>
            <w:shd w:val="clear" w:color="auto" w:fill="FFFFFF"/>
            <w:vAlign w:val="center"/>
          </w:tcPr>
          <w:p w14:paraId="5417EB5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79</w:t>
            </w:r>
          </w:p>
        </w:tc>
        <w:tc>
          <w:tcPr>
            <w:tcW w:w="1418" w:type="dxa"/>
            <w:shd w:val="clear" w:color="auto" w:fill="FFFFFF"/>
            <w:noWrap/>
            <w:vAlign w:val="center"/>
          </w:tcPr>
          <w:p w14:paraId="34AD480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6B0BD9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智能决策管理-交流决策管理-跨国交流内容决策模块</w:t>
            </w:r>
          </w:p>
        </w:tc>
        <w:tc>
          <w:tcPr>
            <w:tcW w:w="5159" w:type="dxa"/>
            <w:shd w:val="clear" w:color="auto" w:fill="FFFFFF"/>
          </w:tcPr>
          <w:p w14:paraId="7566E2A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模块需涵盖以下功能：实时多语言翻译决策模块、商务礼仪决策模块、跨国商务信息匹配决策模块</w:t>
            </w:r>
          </w:p>
        </w:tc>
      </w:tr>
      <w:tr w14:paraId="0F85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0A4B590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80</w:t>
            </w:r>
          </w:p>
        </w:tc>
        <w:tc>
          <w:tcPr>
            <w:tcW w:w="1418" w:type="dxa"/>
            <w:shd w:val="clear" w:color="auto" w:fill="FFFFFF"/>
            <w:noWrap/>
            <w:vAlign w:val="center"/>
          </w:tcPr>
          <w:p w14:paraId="07A272C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E1AEA7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智能决策管理-交流决策管理-跨国交流交互决策模块</w:t>
            </w:r>
          </w:p>
        </w:tc>
        <w:tc>
          <w:tcPr>
            <w:tcW w:w="5159" w:type="dxa"/>
            <w:shd w:val="clear" w:color="auto" w:fill="FFFFFF"/>
          </w:tcPr>
          <w:p w14:paraId="69A2398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模块需涵盖以下功能：多语言交互话术决策模块、多轮对话衔接决策模块、对话超时与异常决策模块、翻译卡片决策模块</w:t>
            </w:r>
          </w:p>
        </w:tc>
      </w:tr>
      <w:tr w14:paraId="3570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06D018E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81</w:t>
            </w:r>
          </w:p>
        </w:tc>
        <w:tc>
          <w:tcPr>
            <w:tcW w:w="1418" w:type="dxa"/>
            <w:shd w:val="clear" w:color="auto" w:fill="FFFFFF"/>
            <w:noWrap/>
            <w:vAlign w:val="center"/>
          </w:tcPr>
          <w:p w14:paraId="7858423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CF0175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智能决策管理-交流决策管理-跨国交流数据决策模块</w:t>
            </w:r>
          </w:p>
        </w:tc>
        <w:tc>
          <w:tcPr>
            <w:tcW w:w="5159" w:type="dxa"/>
            <w:shd w:val="clear" w:color="auto" w:fill="FFFFFF"/>
          </w:tcPr>
          <w:p w14:paraId="51BC074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模块需涵盖以下功能：跨国交流数据安全决策模块、会话历史分析决策模块、个性化偏好应用决策模块、多线程会话调度决策模块、交流协同决策模块、数据源与工具集成决策模块</w:t>
            </w:r>
          </w:p>
        </w:tc>
      </w:tr>
      <w:tr w14:paraId="4FE9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435C2EB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82</w:t>
            </w:r>
          </w:p>
        </w:tc>
        <w:tc>
          <w:tcPr>
            <w:tcW w:w="1418" w:type="dxa"/>
            <w:shd w:val="clear" w:color="auto" w:fill="FFFFFF"/>
            <w:noWrap/>
            <w:vAlign w:val="center"/>
          </w:tcPr>
          <w:p w14:paraId="4279587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444486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智能决策管理-问数决策管理-数据查询决策模块</w:t>
            </w:r>
          </w:p>
        </w:tc>
        <w:tc>
          <w:tcPr>
            <w:tcW w:w="5159" w:type="dxa"/>
            <w:shd w:val="clear" w:color="auto" w:fill="FFFFFF"/>
          </w:tcPr>
          <w:p w14:paraId="0A99F8C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模块需涵盖以下功能：角色化数据需求决策识别模块、数据查询意图分类决策模块、场景化对话模板决策模块、歧义处理决策模块</w:t>
            </w:r>
          </w:p>
        </w:tc>
      </w:tr>
      <w:tr w14:paraId="05E3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EAA138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83</w:t>
            </w:r>
          </w:p>
        </w:tc>
        <w:tc>
          <w:tcPr>
            <w:tcW w:w="1418" w:type="dxa"/>
            <w:shd w:val="clear" w:color="auto" w:fill="FFFFFF"/>
            <w:noWrap/>
            <w:vAlign w:val="center"/>
          </w:tcPr>
          <w:p w14:paraId="6DBB3BD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2F38A3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智能决策管理-问数决策管理-数据分析决策模块</w:t>
            </w:r>
          </w:p>
        </w:tc>
        <w:tc>
          <w:tcPr>
            <w:tcW w:w="5159" w:type="dxa"/>
            <w:shd w:val="clear" w:color="auto" w:fill="FFFFFF"/>
          </w:tcPr>
          <w:p w14:paraId="140B05A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模块需涵盖以下功能：多维度数据分析决策模块、数据卡片决策模块、异常数据预警决策模块、报告生成决策模块</w:t>
            </w:r>
          </w:p>
        </w:tc>
      </w:tr>
      <w:tr w14:paraId="0E60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6" w:type="dxa"/>
            <w:shd w:val="clear" w:color="auto" w:fill="FFFFFF"/>
            <w:vAlign w:val="center"/>
          </w:tcPr>
          <w:p w14:paraId="085F135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84</w:t>
            </w:r>
          </w:p>
        </w:tc>
        <w:tc>
          <w:tcPr>
            <w:tcW w:w="1418" w:type="dxa"/>
            <w:shd w:val="clear" w:color="auto" w:fill="FFFFFF"/>
            <w:noWrap/>
            <w:vAlign w:val="center"/>
          </w:tcPr>
          <w:p w14:paraId="4276943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5A214CC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智能决策管理-问数决策管理-交互与协同决策模块</w:t>
            </w:r>
          </w:p>
        </w:tc>
        <w:tc>
          <w:tcPr>
            <w:tcW w:w="5159" w:type="dxa"/>
            <w:shd w:val="clear" w:color="auto" w:fill="FFFFFF"/>
          </w:tcPr>
          <w:p w14:paraId="4A8C95F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多轮对话决策衔接模块、会话中断与恢复决策模块、个性化偏好记录决策模块、问数协同决策模块、数据源与工具集成决策模块、数据安全与权限决策模块、标准化工具调用决策模块、会话历史归档决策模块、上下文压缩与提取决策模块</w:t>
            </w:r>
          </w:p>
        </w:tc>
      </w:tr>
      <w:tr w14:paraId="15CE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16" w:type="dxa"/>
            <w:shd w:val="clear" w:color="auto" w:fill="FFFFFF"/>
            <w:vAlign w:val="center"/>
          </w:tcPr>
          <w:p w14:paraId="382C087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85</w:t>
            </w:r>
          </w:p>
        </w:tc>
        <w:tc>
          <w:tcPr>
            <w:tcW w:w="1418" w:type="dxa"/>
            <w:shd w:val="clear" w:color="auto" w:fill="FFFFFF"/>
            <w:noWrap/>
            <w:vAlign w:val="center"/>
          </w:tcPr>
          <w:p w14:paraId="0C4DEB9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2453CD5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智能决策管理-智能决策资源整合库开发-展会咨询资源整合功能</w:t>
            </w:r>
          </w:p>
        </w:tc>
        <w:tc>
          <w:tcPr>
            <w:tcW w:w="5159" w:type="dxa"/>
            <w:shd w:val="clear" w:color="auto" w:fill="FFFFFF"/>
          </w:tcPr>
          <w:p w14:paraId="3DF908A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会咨询资源采集与更新功能、展会咨询资源数据治理功能、展会咨询资源语义切片功能、展会咨询资源基本元信息标注功能、展会咨询资源展会咨询场景标注功能、展会咨询资源多版本快照与回溯功能、展会咨询资源定期巡检与更新功能、展会咨询资源热度分析及知识重排序功能、展会咨询资源文本对比变更识别功能、展会咨询资源人类增强反馈功能</w:t>
            </w:r>
          </w:p>
        </w:tc>
      </w:tr>
      <w:tr w14:paraId="2EE7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16" w:type="dxa"/>
            <w:shd w:val="clear" w:color="auto" w:fill="FFFFFF"/>
            <w:vAlign w:val="center"/>
          </w:tcPr>
          <w:p w14:paraId="3369DA9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86</w:t>
            </w:r>
          </w:p>
        </w:tc>
        <w:tc>
          <w:tcPr>
            <w:tcW w:w="1418" w:type="dxa"/>
            <w:shd w:val="clear" w:color="auto" w:fill="FFFFFF"/>
            <w:noWrap/>
            <w:vAlign w:val="center"/>
          </w:tcPr>
          <w:p w14:paraId="7EF4D72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1EE173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智能决策管理-智能决策资源整合库开发-预约报名资源整合功能</w:t>
            </w:r>
          </w:p>
        </w:tc>
        <w:tc>
          <w:tcPr>
            <w:tcW w:w="5159" w:type="dxa"/>
            <w:shd w:val="clear" w:color="auto" w:fill="FFFFFF"/>
          </w:tcPr>
          <w:p w14:paraId="75FE113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预约报名资源采集与更新功能、预约报名资源数据治理功能、预约报名资源语义切片功能、预约报名资源基本元信息标注功能、预约报名资源状态标识标注功能、预约报名资源文本对比变更识别功能、预约报名资源多版本快照与回溯功能、预约报名资源定期巡检与更新功能、预约报名资源热度分析及知识重排序功能、预约报名资源人类增强反馈功能</w:t>
            </w:r>
          </w:p>
        </w:tc>
      </w:tr>
      <w:tr w14:paraId="5BDF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16" w:type="dxa"/>
            <w:shd w:val="clear" w:color="auto" w:fill="FFFFFF"/>
            <w:vAlign w:val="center"/>
          </w:tcPr>
          <w:p w14:paraId="7DBD2A9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87</w:t>
            </w:r>
          </w:p>
        </w:tc>
        <w:tc>
          <w:tcPr>
            <w:tcW w:w="1418" w:type="dxa"/>
            <w:shd w:val="clear" w:color="auto" w:fill="FFFFFF"/>
            <w:noWrap/>
            <w:vAlign w:val="center"/>
          </w:tcPr>
          <w:p w14:paraId="5D18D65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1CE4045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智能决策管理-智能决策资源整合库开发-展区展位讲解资源整合功能</w:t>
            </w:r>
          </w:p>
        </w:tc>
        <w:tc>
          <w:tcPr>
            <w:tcW w:w="5159" w:type="dxa"/>
            <w:shd w:val="clear" w:color="auto" w:fill="FFFFFF"/>
          </w:tcPr>
          <w:p w14:paraId="7287B95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区展位讲解资源采集与更新功能、展区展位讲解资源数据治理功能、展区展位讲解资源语义切片功能、展区展位讲解资源基本元信息标注功能、展区展位讲解资源场景标注功能、展区展位讲解资源文本对比变更识别功能、展区展位讲解资源多版本快照与回溯功能、展区展位讲解资源定期巡检与更新功能、展区展位讲解资源热度分析及知识重排序功能、展区展位讲解资源人类增强反馈功能</w:t>
            </w:r>
          </w:p>
        </w:tc>
      </w:tr>
      <w:tr w14:paraId="01E3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16" w:type="dxa"/>
            <w:shd w:val="clear" w:color="auto" w:fill="FFFFFF"/>
            <w:vAlign w:val="center"/>
          </w:tcPr>
          <w:p w14:paraId="2733FE8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88</w:t>
            </w:r>
          </w:p>
        </w:tc>
        <w:tc>
          <w:tcPr>
            <w:tcW w:w="1418" w:type="dxa"/>
            <w:shd w:val="clear" w:color="auto" w:fill="FFFFFF"/>
            <w:noWrap/>
            <w:vAlign w:val="center"/>
          </w:tcPr>
          <w:p w14:paraId="10B959B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1B389F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智能决策管理-智能决策资源整合库开发-酒店咨询资源整合功能</w:t>
            </w:r>
          </w:p>
        </w:tc>
        <w:tc>
          <w:tcPr>
            <w:tcW w:w="5159" w:type="dxa"/>
            <w:shd w:val="clear" w:color="auto" w:fill="FFFFFF"/>
          </w:tcPr>
          <w:p w14:paraId="4FBF887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酒店咨询资源采集与更新功能、酒店咨询资源数据治理功能、酒店咨询资源语义切片功能、酒店咨询资源基本元信息标注功能、酒店咨询资源标注功能、酒店咨询资源文本对比变更识别功能、酒店咨询资源多版本快照与回溯功能、酒店咨询资源热度分析及知识重排序功能、酒店咨询资源定期巡检与更新功能、酒店咨询资源人类增强反馈功能</w:t>
            </w:r>
          </w:p>
        </w:tc>
      </w:tr>
      <w:tr w14:paraId="5DD6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16" w:type="dxa"/>
            <w:shd w:val="clear" w:color="auto" w:fill="FFFFFF"/>
            <w:vAlign w:val="center"/>
          </w:tcPr>
          <w:p w14:paraId="7F74A52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89</w:t>
            </w:r>
          </w:p>
        </w:tc>
        <w:tc>
          <w:tcPr>
            <w:tcW w:w="1418" w:type="dxa"/>
            <w:shd w:val="clear" w:color="auto" w:fill="FFFFFF"/>
            <w:noWrap/>
            <w:vAlign w:val="center"/>
          </w:tcPr>
          <w:p w14:paraId="38F0ED0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0DC26CA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智能决策管理-智能决策资源整合库开发-场馆设施资源整合功能</w:t>
            </w:r>
          </w:p>
        </w:tc>
        <w:tc>
          <w:tcPr>
            <w:tcW w:w="5159" w:type="dxa"/>
            <w:shd w:val="clear" w:color="auto" w:fill="FFFFFF"/>
          </w:tcPr>
          <w:p w14:paraId="76CE27B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场馆设施资源采集与更新功能、场馆设施资源数据治理功能、场馆设施资源语义切片功能、场馆设施资源基本元信息标注功能、场馆设施资源功能区域标注功能、场馆设施资源文本对比变更识别功能、场馆设施资源多版本快照与回溯功能、场馆设施资源定期巡检与更新功能、场馆设施资源热度分析及知识重排序功能、场馆设施资源人类增强反馈功能</w:t>
            </w:r>
          </w:p>
        </w:tc>
      </w:tr>
      <w:tr w14:paraId="4193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6" w:type="dxa"/>
            <w:shd w:val="clear" w:color="auto" w:fill="FFFFFF"/>
            <w:vAlign w:val="center"/>
          </w:tcPr>
          <w:p w14:paraId="08E2903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90</w:t>
            </w:r>
          </w:p>
        </w:tc>
        <w:tc>
          <w:tcPr>
            <w:tcW w:w="1418" w:type="dxa"/>
            <w:shd w:val="clear" w:color="auto" w:fill="FFFFFF"/>
            <w:noWrap/>
            <w:vAlign w:val="center"/>
          </w:tcPr>
          <w:p w14:paraId="76C3B39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4CCCD23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智能决策管理-智能决策资源整合库开发-语言翻译资源整合功能</w:t>
            </w:r>
          </w:p>
        </w:tc>
        <w:tc>
          <w:tcPr>
            <w:tcW w:w="5159" w:type="dxa"/>
            <w:shd w:val="clear" w:color="auto" w:fill="FFFFFF"/>
          </w:tcPr>
          <w:p w14:paraId="68A94A4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语言翻译资源采集与更新功能、语言翻译资源数据治理功能、语言翻译资源语义切片功能、语言翻译资源基本元信息标注功能、语言翻译资源文本对比变更识别功能、语言翻译资源多版本快照与回溯功能、语言翻译资源定期巡检与更新功能、语言翻译资源热度分析及知识重排序功能、语言翻译资源人类增强反馈功能</w:t>
            </w:r>
          </w:p>
        </w:tc>
      </w:tr>
      <w:tr w14:paraId="367E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6" w:type="dxa"/>
            <w:shd w:val="clear" w:color="auto" w:fill="FFFFFF"/>
            <w:vAlign w:val="center"/>
          </w:tcPr>
          <w:p w14:paraId="635A831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91</w:t>
            </w:r>
          </w:p>
        </w:tc>
        <w:tc>
          <w:tcPr>
            <w:tcW w:w="1418" w:type="dxa"/>
            <w:shd w:val="clear" w:color="auto" w:fill="FFFFFF"/>
            <w:noWrap/>
            <w:vAlign w:val="center"/>
          </w:tcPr>
          <w:p w14:paraId="2263D50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6AF07F4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智能决策管理-智能决策资源整合库开发-展品资源整合功能</w:t>
            </w:r>
          </w:p>
        </w:tc>
        <w:tc>
          <w:tcPr>
            <w:tcW w:w="5159" w:type="dxa"/>
            <w:shd w:val="clear" w:color="auto" w:fill="FFFFFF"/>
          </w:tcPr>
          <w:p w14:paraId="274FABC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品资源采集与更新功能、展品资源数据治理功能、展品资源语义切片功能、展品资源基本元信息标注功能、展品资源文本对比变更识别功能、展品资源多版本快照与回溯功能、展品资源定期巡检与更新功能、展品资源热度分析及知识重排序功能、展品资源人类增强反馈功能</w:t>
            </w:r>
          </w:p>
        </w:tc>
      </w:tr>
      <w:tr w14:paraId="645B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6" w:type="dxa"/>
            <w:shd w:val="clear" w:color="auto" w:fill="FFFFFF"/>
            <w:vAlign w:val="center"/>
          </w:tcPr>
          <w:p w14:paraId="2ECAE7C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92</w:t>
            </w:r>
          </w:p>
        </w:tc>
        <w:tc>
          <w:tcPr>
            <w:tcW w:w="1418" w:type="dxa"/>
            <w:shd w:val="clear" w:color="auto" w:fill="FFFFFF"/>
            <w:noWrap/>
            <w:vAlign w:val="center"/>
          </w:tcPr>
          <w:p w14:paraId="392A9CF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2D4FAF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智能决策管理-智能决策资源整合库开发-活动日程资源整合功能</w:t>
            </w:r>
          </w:p>
        </w:tc>
        <w:tc>
          <w:tcPr>
            <w:tcW w:w="5159" w:type="dxa"/>
            <w:shd w:val="clear" w:color="auto" w:fill="FFFFFF"/>
          </w:tcPr>
          <w:p w14:paraId="2FAB940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活动日程资源采集与更新功能、活动日程资源数据治理功能、活动日程资源语义切片功能、活动日程资源基本元信息标注功能、活动日程资源文本对比变更识别功能、活动日程资源多版本快照与回溯功能、活动日程资源定期巡检与更新功能、活动日程资源热度分析及知识重排序功能、活动日程资源人类增强反馈功能</w:t>
            </w:r>
          </w:p>
        </w:tc>
      </w:tr>
      <w:tr w14:paraId="667B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16" w:type="dxa"/>
            <w:shd w:val="clear" w:color="auto" w:fill="FFFFFF"/>
            <w:vAlign w:val="center"/>
          </w:tcPr>
          <w:p w14:paraId="1929FE3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93</w:t>
            </w:r>
          </w:p>
        </w:tc>
        <w:tc>
          <w:tcPr>
            <w:tcW w:w="1418" w:type="dxa"/>
            <w:shd w:val="clear" w:color="auto" w:fill="FFFFFF"/>
            <w:noWrap/>
            <w:vAlign w:val="center"/>
          </w:tcPr>
          <w:p w14:paraId="7B0B3A2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78C3F69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智能决策管理-智能决策资源整合库开发-时政要闻资源整合功能</w:t>
            </w:r>
          </w:p>
        </w:tc>
        <w:tc>
          <w:tcPr>
            <w:tcW w:w="5159" w:type="dxa"/>
            <w:shd w:val="clear" w:color="auto" w:fill="FFFFFF"/>
          </w:tcPr>
          <w:p w14:paraId="10D8C14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时政要闻资源采集与更新功能、时政要闻资源数据治理功能、时政要闻资源语义切片功能、时政要闻资源基本元信息标注功能、时政要闻资源文本对比变更识别功能、时政要闻资源多版本快照与回溯功能、时政要闻资源定期巡检与更新功能、时政要闻资源热度分析及知识重排序功能、时政要闻资源人类增强反馈功能</w:t>
            </w:r>
          </w:p>
        </w:tc>
      </w:tr>
      <w:tr w14:paraId="4171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26DDE71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94</w:t>
            </w:r>
          </w:p>
        </w:tc>
        <w:tc>
          <w:tcPr>
            <w:tcW w:w="1418" w:type="dxa"/>
            <w:shd w:val="clear" w:color="auto" w:fill="FFFFFF"/>
            <w:noWrap/>
            <w:vAlign w:val="center"/>
          </w:tcPr>
          <w:p w14:paraId="29F8665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“进博士”数字服务管家大模型AI升级及进博会馆内导航系统</w:t>
            </w:r>
          </w:p>
        </w:tc>
        <w:tc>
          <w:tcPr>
            <w:tcW w:w="1417" w:type="dxa"/>
            <w:shd w:val="clear" w:color="auto" w:fill="FFFFFF"/>
            <w:noWrap/>
            <w:vAlign w:val="center"/>
          </w:tcPr>
          <w:p w14:paraId="397B7F9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重大活动保障</w:t>
            </w:r>
          </w:p>
        </w:tc>
        <w:tc>
          <w:tcPr>
            <w:tcW w:w="5159" w:type="dxa"/>
            <w:shd w:val="clear" w:color="auto" w:fill="FFFFFF"/>
          </w:tcPr>
          <w:p w14:paraId="51DA5EC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模块需涵盖以下功能：前期评估、全景视频、动态监管、实时监控、食品巡查、食品追溯、医药展商、数据分析、制度保障</w:t>
            </w:r>
          </w:p>
        </w:tc>
      </w:tr>
      <w:tr w14:paraId="33B0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BA9537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95</w:t>
            </w:r>
          </w:p>
        </w:tc>
        <w:tc>
          <w:tcPr>
            <w:tcW w:w="1418" w:type="dxa"/>
            <w:shd w:val="clear" w:color="auto" w:fill="FFFFFF"/>
            <w:noWrap/>
            <w:vAlign w:val="center"/>
          </w:tcPr>
          <w:p w14:paraId="39F435C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高德百度导航生态拓展</w:t>
            </w:r>
          </w:p>
        </w:tc>
        <w:tc>
          <w:tcPr>
            <w:tcW w:w="1417" w:type="dxa"/>
            <w:shd w:val="clear" w:color="auto" w:fill="FFFFFF"/>
            <w:noWrap/>
            <w:vAlign w:val="center"/>
          </w:tcPr>
          <w:p w14:paraId="68BEFD0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百度导航-百度地图建模</w:t>
            </w:r>
          </w:p>
        </w:tc>
        <w:tc>
          <w:tcPr>
            <w:tcW w:w="5159" w:type="dxa"/>
            <w:shd w:val="clear" w:color="auto" w:fill="FFFFFF"/>
          </w:tcPr>
          <w:p w14:paraId="01FF216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模块需涵盖以下功能：道路、室内地图、地图交互、展馆内高精度定位、停车场内高精度定位</w:t>
            </w:r>
          </w:p>
        </w:tc>
      </w:tr>
      <w:tr w14:paraId="3330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1719A39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96</w:t>
            </w:r>
          </w:p>
        </w:tc>
        <w:tc>
          <w:tcPr>
            <w:tcW w:w="1418" w:type="dxa"/>
            <w:shd w:val="clear" w:color="auto" w:fill="FFFFFF"/>
            <w:noWrap/>
            <w:vAlign w:val="center"/>
          </w:tcPr>
          <w:p w14:paraId="4DA6323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高德百度导航生态拓展</w:t>
            </w:r>
          </w:p>
        </w:tc>
        <w:tc>
          <w:tcPr>
            <w:tcW w:w="1417" w:type="dxa"/>
            <w:shd w:val="clear" w:color="auto" w:fill="FFFFFF"/>
            <w:noWrap/>
            <w:vAlign w:val="center"/>
          </w:tcPr>
          <w:p w14:paraId="7BE08D8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百度导航-百度导航服务</w:t>
            </w:r>
          </w:p>
        </w:tc>
        <w:tc>
          <w:tcPr>
            <w:tcW w:w="5159" w:type="dxa"/>
            <w:shd w:val="clear" w:color="auto" w:fill="FFFFFF"/>
          </w:tcPr>
          <w:p w14:paraId="70A2DE1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模块需涵盖以下功能：路线规划、步行导航</w:t>
            </w:r>
          </w:p>
        </w:tc>
      </w:tr>
      <w:tr w14:paraId="230A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55DBCCE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97</w:t>
            </w:r>
          </w:p>
        </w:tc>
        <w:tc>
          <w:tcPr>
            <w:tcW w:w="1418" w:type="dxa"/>
            <w:shd w:val="clear" w:color="auto" w:fill="FFFFFF"/>
            <w:noWrap/>
            <w:vAlign w:val="center"/>
          </w:tcPr>
          <w:p w14:paraId="6C51473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高德百度导航生态拓展</w:t>
            </w:r>
          </w:p>
        </w:tc>
        <w:tc>
          <w:tcPr>
            <w:tcW w:w="1417" w:type="dxa"/>
            <w:shd w:val="clear" w:color="auto" w:fill="FFFFFF"/>
            <w:noWrap/>
            <w:vAlign w:val="center"/>
          </w:tcPr>
          <w:p w14:paraId="0525B56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高德导航-高德地图建模</w:t>
            </w:r>
          </w:p>
        </w:tc>
        <w:tc>
          <w:tcPr>
            <w:tcW w:w="5159" w:type="dxa"/>
            <w:shd w:val="clear" w:color="auto" w:fill="FFFFFF"/>
          </w:tcPr>
          <w:p w14:paraId="12AD726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模块需涵盖以下功能：道路数据采集和制作、重点区域数据采集和制作、展厅数据采集和制作、设施数据采集和制作、定位数据采集和制作</w:t>
            </w:r>
          </w:p>
        </w:tc>
      </w:tr>
      <w:tr w14:paraId="2A90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3D548B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98</w:t>
            </w:r>
          </w:p>
        </w:tc>
        <w:tc>
          <w:tcPr>
            <w:tcW w:w="1418" w:type="dxa"/>
            <w:shd w:val="clear" w:color="auto" w:fill="FFFFFF"/>
            <w:noWrap/>
            <w:vAlign w:val="center"/>
          </w:tcPr>
          <w:p w14:paraId="585378B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高德百度导航生态拓展</w:t>
            </w:r>
          </w:p>
        </w:tc>
        <w:tc>
          <w:tcPr>
            <w:tcW w:w="1417" w:type="dxa"/>
            <w:shd w:val="clear" w:color="auto" w:fill="FFFFFF"/>
            <w:noWrap/>
            <w:vAlign w:val="center"/>
          </w:tcPr>
          <w:p w14:paraId="154B9FA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高德导航-高德室内步行导航服务</w:t>
            </w:r>
          </w:p>
        </w:tc>
        <w:tc>
          <w:tcPr>
            <w:tcW w:w="5159" w:type="dxa"/>
            <w:shd w:val="clear" w:color="auto" w:fill="FFFFFF"/>
          </w:tcPr>
          <w:p w14:paraId="1137F3C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模块需涵盖以下功能：路线规划、步行路径导航</w:t>
            </w:r>
          </w:p>
        </w:tc>
      </w:tr>
      <w:tr w14:paraId="78AA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1101EE5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99</w:t>
            </w:r>
          </w:p>
        </w:tc>
        <w:tc>
          <w:tcPr>
            <w:tcW w:w="1418" w:type="dxa"/>
            <w:shd w:val="clear" w:color="auto" w:fill="FFFFFF"/>
            <w:vAlign w:val="center"/>
          </w:tcPr>
          <w:p w14:paraId="122151A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2346498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大客流监测预警升级-区域客流动态监测-全域实时客流热力分析展示</w:t>
            </w:r>
          </w:p>
        </w:tc>
        <w:tc>
          <w:tcPr>
            <w:tcW w:w="5159" w:type="dxa"/>
            <w:shd w:val="clear" w:color="auto" w:fill="FFFFFF"/>
          </w:tcPr>
          <w:p w14:paraId="5A7FECC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构建会展中心全域客流动态监测体系，实现全维度、高精度的客流态势感知与可视化呈现。</w:t>
            </w:r>
          </w:p>
        </w:tc>
      </w:tr>
      <w:tr w14:paraId="7CB2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E73B46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100</w:t>
            </w:r>
          </w:p>
        </w:tc>
        <w:tc>
          <w:tcPr>
            <w:tcW w:w="1418" w:type="dxa"/>
            <w:shd w:val="clear" w:color="auto" w:fill="FFFFFF"/>
            <w:vAlign w:val="center"/>
          </w:tcPr>
          <w:p w14:paraId="77DC4D5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5990342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大客流监测预警升级-区域客流动态监测-全域实时客流人数统计展示</w:t>
            </w:r>
          </w:p>
        </w:tc>
        <w:tc>
          <w:tcPr>
            <w:tcW w:w="5159" w:type="dxa"/>
            <w:shd w:val="clear" w:color="auto" w:fill="FFFFFF"/>
          </w:tcPr>
          <w:p w14:paraId="0C2EDBC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基于信令数据的时空轨迹，实时计算各展馆、通道等区域的实时客流人数，进行统计展示。</w:t>
            </w:r>
          </w:p>
        </w:tc>
      </w:tr>
      <w:tr w14:paraId="533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6CB4B0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101</w:t>
            </w:r>
          </w:p>
        </w:tc>
        <w:tc>
          <w:tcPr>
            <w:tcW w:w="1418" w:type="dxa"/>
            <w:shd w:val="clear" w:color="auto" w:fill="FFFFFF"/>
            <w:vAlign w:val="center"/>
          </w:tcPr>
          <w:p w14:paraId="700AEB5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6DF35CA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大客流监测预警升级-区域客流动态监测-区域短临客流预测及预测结果展示</w:t>
            </w:r>
          </w:p>
        </w:tc>
        <w:tc>
          <w:tcPr>
            <w:tcW w:w="5159" w:type="dxa"/>
            <w:shd w:val="clear" w:color="auto" w:fill="FFFFFF"/>
          </w:tcPr>
          <w:p w14:paraId="2C36F3E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利用机器学习、时空序列分析等算法，构建多尺度客流预测模型。</w:t>
            </w:r>
          </w:p>
        </w:tc>
      </w:tr>
      <w:tr w14:paraId="4E54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146B888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102</w:t>
            </w:r>
          </w:p>
        </w:tc>
        <w:tc>
          <w:tcPr>
            <w:tcW w:w="1418" w:type="dxa"/>
            <w:shd w:val="clear" w:color="auto" w:fill="FFFFFF"/>
            <w:vAlign w:val="center"/>
          </w:tcPr>
          <w:p w14:paraId="7C62990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6D94D15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大客流监测预警升级-区域客流动态监测-大客流分级预警分析</w:t>
            </w:r>
          </w:p>
        </w:tc>
        <w:tc>
          <w:tcPr>
            <w:tcW w:w="5159" w:type="dxa"/>
            <w:shd w:val="clear" w:color="auto" w:fill="FFFFFF"/>
          </w:tcPr>
          <w:p w14:paraId="0130F5D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模块需涵盖以下功能：大客流风险告警模型、大客流风险预警模型、大客流风险综合诊断、大客流风险预警阈值管理</w:t>
            </w:r>
          </w:p>
        </w:tc>
      </w:tr>
      <w:tr w14:paraId="4882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6" w:type="dxa"/>
            <w:shd w:val="clear" w:color="auto" w:fill="FFFFFF"/>
            <w:vAlign w:val="center"/>
          </w:tcPr>
          <w:p w14:paraId="2D700C1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103</w:t>
            </w:r>
          </w:p>
        </w:tc>
        <w:tc>
          <w:tcPr>
            <w:tcW w:w="1418" w:type="dxa"/>
            <w:shd w:val="clear" w:color="auto" w:fill="FFFFFF"/>
            <w:vAlign w:val="center"/>
          </w:tcPr>
          <w:p w14:paraId="3E8CAD3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35DDEF2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大客流监测预警升级-区域客流动态监测-大客流预警诊断状态可视化展示</w:t>
            </w:r>
          </w:p>
        </w:tc>
        <w:tc>
          <w:tcPr>
            <w:tcW w:w="5159" w:type="dxa"/>
            <w:shd w:val="clear" w:color="auto" w:fill="FFFFFF"/>
          </w:tcPr>
          <w:p w14:paraId="1E2D3CC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模块需涵盖以下功能：大客流告警</w:t>
            </w:r>
            <w:r>
              <w:rPr>
                <w:rFonts w:hint="default" w:ascii="Segoe UI" w:hAnsi="Segoe UI" w:cs="Segoe UI"/>
                <w:color w:val="000000"/>
                <w:kern w:val="0"/>
                <w:sz w:val="22"/>
                <w:szCs w:val="22"/>
              </w:rPr>
              <w:t xml:space="preserve"> (</w:t>
            </w:r>
            <w:r>
              <w:rPr>
                <w:rFonts w:hint="default" w:cs="宋体"/>
                <w:color w:val="000000"/>
                <w:kern w:val="0"/>
                <w:sz w:val="22"/>
                <w:szCs w:val="22"/>
              </w:rPr>
              <w:t>地图打点</w:t>
            </w:r>
            <w:r>
              <w:rPr>
                <w:rFonts w:hint="default" w:ascii="Segoe UI" w:hAnsi="Segoe UI" w:cs="Segoe UI"/>
                <w:color w:val="000000"/>
                <w:kern w:val="0"/>
                <w:sz w:val="22"/>
                <w:szCs w:val="22"/>
              </w:rPr>
              <w:t>)</w:t>
            </w:r>
            <w:r>
              <w:rPr>
                <w:rFonts w:hint="default" w:cs="宋体"/>
                <w:color w:val="000000"/>
                <w:kern w:val="0"/>
                <w:sz w:val="22"/>
                <w:szCs w:val="22"/>
              </w:rPr>
              <w:t>、大客流预警</w:t>
            </w:r>
            <w:r>
              <w:rPr>
                <w:rFonts w:hint="default" w:ascii="Segoe UI" w:hAnsi="Segoe UI" w:cs="Segoe UI"/>
                <w:color w:val="000000"/>
                <w:kern w:val="0"/>
                <w:sz w:val="22"/>
                <w:szCs w:val="22"/>
              </w:rPr>
              <w:t xml:space="preserve"> (</w:t>
            </w:r>
            <w:r>
              <w:rPr>
                <w:rFonts w:hint="default" w:cs="宋体"/>
                <w:color w:val="000000"/>
                <w:kern w:val="0"/>
                <w:sz w:val="22"/>
                <w:szCs w:val="22"/>
              </w:rPr>
              <w:t>地图打点</w:t>
            </w:r>
            <w:r>
              <w:rPr>
                <w:rFonts w:hint="default" w:ascii="Segoe UI" w:hAnsi="Segoe UI" w:cs="Segoe UI"/>
                <w:color w:val="000000"/>
                <w:kern w:val="0"/>
                <w:sz w:val="22"/>
                <w:szCs w:val="22"/>
              </w:rPr>
              <w:t>)</w:t>
            </w:r>
          </w:p>
        </w:tc>
      </w:tr>
      <w:tr w14:paraId="5A1C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42E1B3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104</w:t>
            </w:r>
          </w:p>
        </w:tc>
        <w:tc>
          <w:tcPr>
            <w:tcW w:w="1418" w:type="dxa"/>
            <w:shd w:val="clear" w:color="auto" w:fill="FFFFFF"/>
            <w:vAlign w:val="center"/>
          </w:tcPr>
          <w:p w14:paraId="07D7E60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00A05F7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场馆可视化触摸屏系统-综合导览平台</w:t>
            </w:r>
          </w:p>
        </w:tc>
        <w:tc>
          <w:tcPr>
            <w:tcW w:w="5159" w:type="dxa"/>
            <w:shd w:val="clear" w:color="auto" w:fill="FFFFFF"/>
          </w:tcPr>
          <w:p w14:paraId="237BA95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模块需涵盖以下功能：导引应用系统（中文版）、导引应用系统（英文版）</w:t>
            </w:r>
          </w:p>
        </w:tc>
      </w:tr>
      <w:tr w14:paraId="3B05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20D6B47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105</w:t>
            </w:r>
          </w:p>
        </w:tc>
        <w:tc>
          <w:tcPr>
            <w:tcW w:w="1418" w:type="dxa"/>
            <w:shd w:val="clear" w:color="auto" w:fill="FFFFFF"/>
            <w:vAlign w:val="center"/>
          </w:tcPr>
          <w:p w14:paraId="67D544F1">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7BC2AEF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场馆可视化触摸屏系统-通用功能软件</w:t>
            </w:r>
          </w:p>
        </w:tc>
        <w:tc>
          <w:tcPr>
            <w:tcW w:w="5159" w:type="dxa"/>
            <w:shd w:val="clear" w:color="auto" w:fill="FFFFFF"/>
          </w:tcPr>
          <w:p w14:paraId="76BFE6C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模块需涵盖以下功能：一键搜综合搜索模块、路径展示、模拟导航展示</w:t>
            </w:r>
          </w:p>
        </w:tc>
      </w:tr>
      <w:tr w14:paraId="7429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68A17E1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106</w:t>
            </w:r>
          </w:p>
        </w:tc>
        <w:tc>
          <w:tcPr>
            <w:tcW w:w="1418" w:type="dxa"/>
            <w:shd w:val="clear" w:color="auto" w:fill="FFFFFF"/>
            <w:vAlign w:val="center"/>
          </w:tcPr>
          <w:p w14:paraId="166F8CB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5075A66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场馆可视化触摸屏系统-服务展示模块-交通、设施、餐饮等会议服务信息导览</w:t>
            </w:r>
          </w:p>
        </w:tc>
        <w:tc>
          <w:tcPr>
            <w:tcW w:w="5159" w:type="dxa"/>
            <w:shd w:val="clear" w:color="auto" w:fill="FFFFFF"/>
          </w:tcPr>
          <w:p w14:paraId="4C7D0B5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整合公共服务设施数据，实现精准坐标采集与可视化导引</w:t>
            </w:r>
          </w:p>
        </w:tc>
      </w:tr>
      <w:tr w14:paraId="4289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05D3C7D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107</w:t>
            </w:r>
          </w:p>
        </w:tc>
        <w:tc>
          <w:tcPr>
            <w:tcW w:w="1418" w:type="dxa"/>
            <w:shd w:val="clear" w:color="auto" w:fill="FFFFFF"/>
            <w:vAlign w:val="center"/>
          </w:tcPr>
          <w:p w14:paraId="28A5D57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7CFB6B6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场馆可视化触摸屏系统-服务展示模块-主题路线参观导引服务</w:t>
            </w:r>
          </w:p>
        </w:tc>
        <w:tc>
          <w:tcPr>
            <w:tcW w:w="5159" w:type="dxa"/>
            <w:shd w:val="clear" w:color="auto" w:fill="FFFFFF"/>
          </w:tcPr>
          <w:p w14:paraId="5454569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模块需涵盖以下功能：分级推荐、主题线路</w:t>
            </w:r>
          </w:p>
        </w:tc>
      </w:tr>
      <w:tr w14:paraId="3388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416" w:type="dxa"/>
            <w:shd w:val="clear" w:color="auto" w:fill="FFFFFF"/>
            <w:vAlign w:val="center"/>
          </w:tcPr>
          <w:p w14:paraId="36DD62F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108</w:t>
            </w:r>
          </w:p>
        </w:tc>
        <w:tc>
          <w:tcPr>
            <w:tcW w:w="1418" w:type="dxa"/>
            <w:shd w:val="clear" w:color="auto" w:fill="FFFFFF"/>
            <w:vAlign w:val="center"/>
          </w:tcPr>
          <w:p w14:paraId="662B9C1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大客流监测预警升级及场馆可视化触摸屏系统</w:t>
            </w:r>
          </w:p>
        </w:tc>
        <w:tc>
          <w:tcPr>
            <w:tcW w:w="1417" w:type="dxa"/>
            <w:shd w:val="clear" w:color="auto" w:fill="FFFFFF"/>
            <w:noWrap/>
            <w:vAlign w:val="center"/>
          </w:tcPr>
          <w:p w14:paraId="320FF4D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场馆可视化触摸屏系统-基于导引屏应用特点的空间地理数据生产（单机版）</w:t>
            </w:r>
          </w:p>
        </w:tc>
        <w:tc>
          <w:tcPr>
            <w:tcW w:w="5159" w:type="dxa"/>
            <w:shd w:val="clear" w:color="auto" w:fill="FFFFFF"/>
          </w:tcPr>
          <w:p w14:paraId="29300DA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w:t>
            </w:r>
            <w:r>
              <w:rPr>
                <w:rFonts w:hint="default" w:ascii="Segoe UI" w:hAnsi="Segoe UI" w:cs="Segoe UI"/>
                <w:color w:val="000000"/>
                <w:kern w:val="0"/>
                <w:sz w:val="22"/>
                <w:szCs w:val="22"/>
              </w:rPr>
              <w:t xml:space="preserve">1.1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1.2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2.1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2.2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3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4.1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5.1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6.1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6.2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7.1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7.2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8.1 </w:t>
            </w:r>
            <w:r>
              <w:rPr>
                <w:rFonts w:hint="default" w:cs="宋体"/>
                <w:color w:val="000000"/>
                <w:kern w:val="0"/>
                <w:sz w:val="22"/>
                <w:szCs w:val="22"/>
              </w:rPr>
              <w:t>馆导引屏二三维一体化地图的制作及各类信元标注、</w:t>
            </w:r>
            <w:r>
              <w:rPr>
                <w:rFonts w:hint="default" w:ascii="Segoe UI" w:hAnsi="Segoe UI" w:cs="Segoe UI"/>
                <w:color w:val="000000"/>
                <w:kern w:val="0"/>
                <w:sz w:val="22"/>
                <w:szCs w:val="22"/>
              </w:rPr>
              <w:t xml:space="preserve">8.2 </w:t>
            </w:r>
            <w:r>
              <w:rPr>
                <w:rFonts w:hint="default" w:cs="宋体"/>
                <w:color w:val="000000"/>
                <w:kern w:val="0"/>
                <w:sz w:val="22"/>
                <w:szCs w:val="22"/>
              </w:rPr>
              <w:t>馆导引屏二三维一体化地图的制作及各类信元标注</w:t>
            </w:r>
          </w:p>
        </w:tc>
      </w:tr>
      <w:tr w14:paraId="4C15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16" w:type="dxa"/>
            <w:shd w:val="clear" w:color="auto" w:fill="FFFFFF"/>
            <w:vAlign w:val="center"/>
          </w:tcPr>
          <w:p w14:paraId="1F300B7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109</w:t>
            </w:r>
          </w:p>
        </w:tc>
        <w:tc>
          <w:tcPr>
            <w:tcW w:w="1418" w:type="dxa"/>
            <w:shd w:val="clear" w:color="auto" w:fill="FFFFFF"/>
            <w:noWrap/>
            <w:vAlign w:val="center"/>
          </w:tcPr>
          <w:p w14:paraId="113431E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1A6BB08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展虫比对与AI识别-展虫算法模型管理</w:t>
            </w:r>
          </w:p>
        </w:tc>
        <w:tc>
          <w:tcPr>
            <w:tcW w:w="5159" w:type="dxa"/>
            <w:shd w:val="clear" w:color="auto" w:fill="FFFFFF"/>
          </w:tcPr>
          <w:p w14:paraId="305F1E2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模块需涵盖以下功能：引擎管理、任务管理、规则配置、算法管理、算法详情、算法授权管理、算法参数配置、事件下发配置、事件新增与查询、算法事件配置、算法预案展示与配置、算法预案检索</w:t>
            </w:r>
          </w:p>
        </w:tc>
      </w:tr>
      <w:tr w14:paraId="2248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28DA6F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110</w:t>
            </w:r>
          </w:p>
        </w:tc>
        <w:tc>
          <w:tcPr>
            <w:tcW w:w="1418" w:type="dxa"/>
            <w:shd w:val="clear" w:color="auto" w:fill="FFFFFF"/>
            <w:noWrap/>
            <w:vAlign w:val="center"/>
          </w:tcPr>
          <w:p w14:paraId="3F4B43B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4570E82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展虫比对与AI识别-展虫智能监控配置</w:t>
            </w:r>
          </w:p>
        </w:tc>
        <w:tc>
          <w:tcPr>
            <w:tcW w:w="5159" w:type="dxa"/>
            <w:shd w:val="clear" w:color="auto" w:fill="FFFFFF"/>
          </w:tcPr>
          <w:p w14:paraId="17869D2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模块需涵盖以下功能：展虫分组管理、识别计划配置、智能分析规则配置、智能监控参数配置</w:t>
            </w:r>
          </w:p>
        </w:tc>
      </w:tr>
      <w:tr w14:paraId="6CBF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015D3E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111</w:t>
            </w:r>
          </w:p>
        </w:tc>
        <w:tc>
          <w:tcPr>
            <w:tcW w:w="1418" w:type="dxa"/>
            <w:shd w:val="clear" w:color="auto" w:fill="FFFFFF"/>
            <w:noWrap/>
            <w:vAlign w:val="center"/>
          </w:tcPr>
          <w:p w14:paraId="706F826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00EADE2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展虫比对与AI识别-展虫智能监控应用</w:t>
            </w:r>
          </w:p>
        </w:tc>
        <w:tc>
          <w:tcPr>
            <w:tcW w:w="5159" w:type="dxa"/>
            <w:shd w:val="clear" w:color="auto" w:fill="FFFFFF"/>
          </w:tcPr>
          <w:p w14:paraId="4D590FC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模块需涵盖以下功能：展虫等重点目标识别、展虫等重点目标识别结果导出、高频目标识别、陌生人识别</w:t>
            </w:r>
          </w:p>
        </w:tc>
      </w:tr>
      <w:tr w14:paraId="12F4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794B6D4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112</w:t>
            </w:r>
          </w:p>
        </w:tc>
        <w:tc>
          <w:tcPr>
            <w:tcW w:w="1418" w:type="dxa"/>
            <w:shd w:val="clear" w:color="auto" w:fill="FFFFFF"/>
            <w:noWrap/>
            <w:vAlign w:val="center"/>
          </w:tcPr>
          <w:p w14:paraId="5DAD4C8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5C5DFFB5">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展虫比对与AI识别-展虫搜索</w:t>
            </w:r>
          </w:p>
        </w:tc>
        <w:tc>
          <w:tcPr>
            <w:tcW w:w="5159" w:type="dxa"/>
            <w:shd w:val="clear" w:color="auto" w:fill="FFFFFF"/>
          </w:tcPr>
          <w:p w14:paraId="1D2797B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模块需涵盖以下功能：人员智能搜索、智搜功能、智能文搜、以图搜图、展虫人员档案</w:t>
            </w:r>
          </w:p>
        </w:tc>
      </w:tr>
      <w:tr w14:paraId="6EA0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611D55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113</w:t>
            </w:r>
          </w:p>
        </w:tc>
        <w:tc>
          <w:tcPr>
            <w:tcW w:w="1418" w:type="dxa"/>
            <w:shd w:val="clear" w:color="auto" w:fill="FFFFFF"/>
            <w:noWrap/>
            <w:vAlign w:val="center"/>
          </w:tcPr>
          <w:p w14:paraId="3531AD6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4DD59FC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展虫比对与AI识别-事件中心</w:t>
            </w:r>
          </w:p>
        </w:tc>
        <w:tc>
          <w:tcPr>
            <w:tcW w:w="5159" w:type="dxa"/>
            <w:shd w:val="clear" w:color="auto" w:fill="FFFFFF"/>
          </w:tcPr>
          <w:p w14:paraId="176090C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模块需涵盖以下功能：事件模板配置、事件检索、事件联动、事件推送</w:t>
            </w:r>
          </w:p>
        </w:tc>
      </w:tr>
      <w:tr w14:paraId="0DC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16" w:type="dxa"/>
            <w:shd w:val="clear" w:color="auto" w:fill="FFFFFF"/>
            <w:vAlign w:val="center"/>
          </w:tcPr>
          <w:p w14:paraId="0C8805E0">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114</w:t>
            </w:r>
          </w:p>
        </w:tc>
        <w:tc>
          <w:tcPr>
            <w:tcW w:w="1418" w:type="dxa"/>
            <w:shd w:val="clear" w:color="auto" w:fill="FFFFFF"/>
            <w:noWrap/>
            <w:vAlign w:val="center"/>
          </w:tcPr>
          <w:p w14:paraId="5956273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592BFFD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展虫比对与AI识别-设备管理</w:t>
            </w:r>
          </w:p>
        </w:tc>
        <w:tc>
          <w:tcPr>
            <w:tcW w:w="5159" w:type="dxa"/>
            <w:shd w:val="clear" w:color="auto" w:fill="FFFFFF"/>
          </w:tcPr>
          <w:p w14:paraId="08039DA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支持监控点的增删改查、排列次序、监控点名称、参数</w:t>
            </w:r>
          </w:p>
        </w:tc>
      </w:tr>
      <w:tr w14:paraId="5298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C6A094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115</w:t>
            </w:r>
          </w:p>
        </w:tc>
        <w:tc>
          <w:tcPr>
            <w:tcW w:w="1418" w:type="dxa"/>
            <w:shd w:val="clear" w:color="auto" w:fill="FFFFFF"/>
            <w:noWrap/>
            <w:vAlign w:val="center"/>
          </w:tcPr>
          <w:p w14:paraId="1AF2EA1F">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740C6E5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展虫比对与AI识别-系统管理</w:t>
            </w:r>
          </w:p>
        </w:tc>
        <w:tc>
          <w:tcPr>
            <w:tcW w:w="5159" w:type="dxa"/>
            <w:shd w:val="clear" w:color="auto" w:fill="FFFFFF"/>
          </w:tcPr>
          <w:p w14:paraId="1BF2F47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模块需涵盖以下功能：角色管理、用户管理、用户安全管理</w:t>
            </w:r>
          </w:p>
        </w:tc>
      </w:tr>
      <w:tr w14:paraId="247E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472FBE6B">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116</w:t>
            </w:r>
          </w:p>
        </w:tc>
        <w:tc>
          <w:tcPr>
            <w:tcW w:w="1418" w:type="dxa"/>
            <w:shd w:val="clear" w:color="auto" w:fill="FFFFFF"/>
            <w:noWrap/>
            <w:vAlign w:val="center"/>
          </w:tcPr>
          <w:p w14:paraId="0DA8D8A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218D3B78">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展虫比对与AI识别-界面配置</w:t>
            </w:r>
          </w:p>
        </w:tc>
        <w:tc>
          <w:tcPr>
            <w:tcW w:w="5159" w:type="dxa"/>
            <w:shd w:val="clear" w:color="auto" w:fill="FFFFFF"/>
          </w:tcPr>
          <w:p w14:paraId="422F1D2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模块需涵盖以下功能：应用菜单、系统管理菜单、导航工具栏菜单</w:t>
            </w:r>
          </w:p>
        </w:tc>
      </w:tr>
      <w:tr w14:paraId="1D3C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4277C52">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117</w:t>
            </w:r>
          </w:p>
        </w:tc>
        <w:tc>
          <w:tcPr>
            <w:tcW w:w="1418" w:type="dxa"/>
            <w:shd w:val="clear" w:color="auto" w:fill="FFFFFF"/>
            <w:noWrap/>
            <w:vAlign w:val="center"/>
          </w:tcPr>
          <w:p w14:paraId="69D91F84">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499B00F7">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展虫比对与AI识别-运行管理中心</w:t>
            </w:r>
          </w:p>
        </w:tc>
        <w:tc>
          <w:tcPr>
            <w:tcW w:w="5159" w:type="dxa"/>
            <w:shd w:val="clear" w:color="auto" w:fill="FFFFFF"/>
          </w:tcPr>
          <w:p w14:paraId="5A80E0CA">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模块需涵盖以下功能：中心首页概览、状态监控、服务启停、日志分析</w:t>
            </w:r>
          </w:p>
        </w:tc>
      </w:tr>
      <w:tr w14:paraId="57C5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385917CE">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118</w:t>
            </w:r>
          </w:p>
        </w:tc>
        <w:tc>
          <w:tcPr>
            <w:tcW w:w="1418" w:type="dxa"/>
            <w:shd w:val="clear" w:color="auto" w:fill="FFFFFF"/>
            <w:noWrap/>
            <w:vAlign w:val="center"/>
          </w:tcPr>
          <w:p w14:paraId="4CF3182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24F31DC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展虫比对与AI识别-系统对接</w:t>
            </w:r>
          </w:p>
        </w:tc>
        <w:tc>
          <w:tcPr>
            <w:tcW w:w="5159" w:type="dxa"/>
            <w:shd w:val="clear" w:color="auto" w:fill="FFFFFF"/>
          </w:tcPr>
          <w:p w14:paraId="1DC98A26">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模块需涵盖以下功能：展虫等重点目标名单库对接、预约人员信息对接</w:t>
            </w:r>
          </w:p>
        </w:tc>
      </w:tr>
      <w:tr w14:paraId="6B6E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6" w:type="dxa"/>
            <w:shd w:val="clear" w:color="auto" w:fill="FFFFFF"/>
            <w:vAlign w:val="center"/>
          </w:tcPr>
          <w:p w14:paraId="51847413">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119</w:t>
            </w:r>
          </w:p>
        </w:tc>
        <w:tc>
          <w:tcPr>
            <w:tcW w:w="1418" w:type="dxa"/>
            <w:shd w:val="clear" w:color="auto" w:fill="FFFFFF"/>
            <w:noWrap/>
            <w:vAlign w:val="center"/>
          </w:tcPr>
          <w:p w14:paraId="6165E68D">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进博会参展人员身份识别及展虫AI预警系统</w:t>
            </w:r>
          </w:p>
        </w:tc>
        <w:tc>
          <w:tcPr>
            <w:tcW w:w="1417" w:type="dxa"/>
            <w:shd w:val="clear" w:color="auto" w:fill="FFFFFF"/>
            <w:noWrap/>
            <w:vAlign w:val="center"/>
          </w:tcPr>
          <w:p w14:paraId="1D4A8D69">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人脸身份证头像比对-人脸身份证头像比对</w:t>
            </w:r>
          </w:p>
        </w:tc>
        <w:tc>
          <w:tcPr>
            <w:tcW w:w="5159" w:type="dxa"/>
            <w:shd w:val="clear" w:color="auto" w:fill="FFFFFF"/>
          </w:tcPr>
          <w:p w14:paraId="501FB4FC">
            <w:pPr>
              <w:keepNext w:val="0"/>
              <w:keepLines w:val="0"/>
              <w:widowControl/>
              <w:suppressLineNumbers w:val="0"/>
              <w:spacing w:before="0" w:beforeAutospacing="0" w:after="0" w:afterAutospacing="0" w:line="240" w:lineRule="auto"/>
              <w:ind w:left="0" w:right="0" w:firstLine="0" w:firstLineChars="0"/>
              <w:jc w:val="left"/>
              <w:rPr>
                <w:rFonts w:hint="eastAsia" w:cs="宋体"/>
                <w:color w:val="000000"/>
                <w:kern w:val="0"/>
                <w:sz w:val="22"/>
                <w:szCs w:val="22"/>
              </w:rPr>
            </w:pPr>
            <w:r>
              <w:rPr>
                <w:rFonts w:hint="eastAsia" w:cs="宋体"/>
                <w:color w:val="000000"/>
                <w:kern w:val="0"/>
                <w:sz w:val="22"/>
                <w:szCs w:val="22"/>
              </w:rPr>
              <w:t>模块需涵盖以下功能：算法管理、接口开发、系统管理与辅助功能</w:t>
            </w:r>
          </w:p>
        </w:tc>
      </w:tr>
    </w:tbl>
    <w:p w14:paraId="22C88475">
      <w:pPr>
        <w:pStyle w:val="3"/>
        <w:ind w:left="0" w:leftChars="0" w:firstLine="0" w:firstLineChars="0"/>
        <w:rPr>
          <w:rFonts w:hint="eastAsia"/>
        </w:rPr>
      </w:pPr>
      <w:r>
        <w:rPr>
          <w:rFonts w:hint="eastAsia"/>
        </w:rPr>
        <w:t>硬件购置清单</w:t>
      </w:r>
    </w:p>
    <w:tbl>
      <w:tblPr>
        <w:tblStyle w:val="35"/>
        <w:tblW w:w="0" w:type="auto"/>
        <w:jc w:val="center"/>
        <w:tblLayout w:type="autofit"/>
        <w:tblCellMar>
          <w:top w:w="0" w:type="dxa"/>
          <w:left w:w="108" w:type="dxa"/>
          <w:bottom w:w="0" w:type="dxa"/>
          <w:right w:w="108" w:type="dxa"/>
        </w:tblCellMar>
      </w:tblPr>
      <w:tblGrid>
        <w:gridCol w:w="658"/>
        <w:gridCol w:w="936"/>
        <w:gridCol w:w="936"/>
        <w:gridCol w:w="4687"/>
        <w:gridCol w:w="748"/>
        <w:gridCol w:w="563"/>
      </w:tblGrid>
      <w:tr w14:paraId="48D9BE9A">
        <w:tblPrEx>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3F8FC"/>
            <w:noWrap/>
            <w:vAlign w:val="center"/>
          </w:tcPr>
          <w:p w14:paraId="018E33CE">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47661B42">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名称</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3330A060">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default" w:cs="宋体"/>
                <w:b/>
                <w:color w:val="000000"/>
                <w:kern w:val="0"/>
                <w:sz w:val="22"/>
                <w:szCs w:val="22"/>
              </w:rPr>
              <w:t>类别</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6B85494E">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default" w:cs="宋体"/>
                <w:b/>
                <w:color w:val="000000"/>
                <w:kern w:val="0"/>
                <w:sz w:val="22"/>
                <w:szCs w:val="22"/>
              </w:rPr>
              <w:t>配置要求</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735A2BA5">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default" w:cs="宋体"/>
                <w:b/>
                <w:color w:val="000000"/>
                <w:kern w:val="0"/>
                <w:sz w:val="22"/>
                <w:szCs w:val="22"/>
              </w:rPr>
              <w:t>数量</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654951F3">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default" w:cs="宋体"/>
                <w:b/>
                <w:color w:val="000000"/>
                <w:kern w:val="0"/>
                <w:sz w:val="22"/>
                <w:szCs w:val="22"/>
              </w:rPr>
              <w:t>单位</w:t>
            </w:r>
          </w:p>
        </w:tc>
      </w:tr>
      <w:tr w14:paraId="25798D07">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472064A">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default" w:ascii="Tahoma" w:hAnsi="Tahoma" w:cs="Tahoma"/>
                <w:color w:val="000000"/>
                <w:kern w:val="0"/>
                <w:sz w:val="22"/>
                <w:szCs w:val="22"/>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056837C0">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cs="宋体"/>
                <w:color w:val="000000"/>
                <w:kern w:val="0"/>
                <w:sz w:val="22"/>
                <w:szCs w:val="22"/>
              </w:rPr>
              <w:t>RFID设备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0A2F85B0">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cs="宋体"/>
                <w:color w:val="000000"/>
                <w:kern w:val="0"/>
                <w:sz w:val="22"/>
                <w:szCs w:val="22"/>
              </w:rPr>
              <w:t>RFID配件</w:t>
            </w:r>
          </w:p>
        </w:tc>
        <w:tc>
          <w:tcPr>
            <w:tcW w:w="0" w:type="auto"/>
            <w:tcBorders>
              <w:top w:val="single" w:color="auto" w:sz="4" w:space="0"/>
              <w:left w:val="nil"/>
              <w:bottom w:val="single" w:color="auto" w:sz="4" w:space="0"/>
              <w:right w:val="single" w:color="auto" w:sz="4" w:space="0"/>
            </w:tcBorders>
            <w:shd w:val="clear" w:color="auto" w:fill="FFFFFF"/>
            <w:vAlign w:val="center"/>
          </w:tcPr>
          <w:p w14:paraId="5FDB4870">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外观尺寸：Φ50mm×25mm</w:t>
            </w:r>
          </w:p>
          <w:p w14:paraId="7A76D65D">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蓝牙技术：5.0低功耗技术</w:t>
            </w:r>
          </w:p>
          <w:p w14:paraId="3C0A9A48">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工作频率：2.4G</w:t>
            </w:r>
          </w:p>
          <w:p w14:paraId="7DCD9697">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发射功率：（默认）</w:t>
            </w:r>
          </w:p>
          <w:p w14:paraId="53172846">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通信距离：100m @4dBm（空旷无遮挡）</w:t>
            </w:r>
          </w:p>
          <w:p w14:paraId="5C28689C">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电池容量：内置1200mAh锂亚电池两节，默认发射频率500ms，续航</w:t>
            </w:r>
            <w:r>
              <w:rPr>
                <w:rFonts w:hint="eastAsia" w:ascii="Tahoma" w:hAnsi="Tahoma" w:cs="Tahoma"/>
                <w:color w:val="000000"/>
                <w:kern w:val="0"/>
                <w:sz w:val="22"/>
                <w:szCs w:val="22"/>
                <w:lang w:val="en-US" w:eastAsia="zh-CN"/>
              </w:rPr>
              <w:t>5</w:t>
            </w:r>
            <w:r>
              <w:rPr>
                <w:rFonts w:hint="eastAsia" w:ascii="Tahoma" w:hAnsi="Tahoma" w:cs="Tahoma"/>
                <w:color w:val="000000"/>
                <w:kern w:val="0"/>
                <w:sz w:val="22"/>
                <w:szCs w:val="22"/>
              </w:rPr>
              <w:t>年</w:t>
            </w:r>
          </w:p>
        </w:tc>
        <w:tc>
          <w:tcPr>
            <w:tcW w:w="0" w:type="auto"/>
            <w:tcBorders>
              <w:top w:val="single" w:color="auto" w:sz="4" w:space="0"/>
              <w:left w:val="nil"/>
              <w:bottom w:val="single" w:color="auto" w:sz="4" w:space="0"/>
              <w:right w:val="single" w:color="auto" w:sz="4" w:space="0"/>
            </w:tcBorders>
            <w:shd w:val="clear" w:color="auto" w:fill="FFFFFF"/>
            <w:vAlign w:val="center"/>
          </w:tcPr>
          <w:p w14:paraId="154200F1">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15000</w:t>
            </w:r>
          </w:p>
        </w:tc>
        <w:tc>
          <w:tcPr>
            <w:tcW w:w="0" w:type="auto"/>
            <w:tcBorders>
              <w:top w:val="single" w:color="auto" w:sz="4" w:space="0"/>
              <w:left w:val="nil"/>
              <w:bottom w:val="single" w:color="auto" w:sz="4" w:space="0"/>
              <w:right w:val="single" w:color="auto" w:sz="4" w:space="0"/>
            </w:tcBorders>
            <w:shd w:val="clear" w:color="auto" w:fill="FFFFFF"/>
            <w:vAlign w:val="center"/>
          </w:tcPr>
          <w:p w14:paraId="202ACFFB">
            <w:pPr>
              <w:keepNext w:val="0"/>
              <w:keepLines w:val="0"/>
              <w:widowControl/>
              <w:suppressLineNumbers w:val="0"/>
              <w:spacing w:before="0" w:beforeAutospacing="0" w:after="0" w:afterAutospacing="0" w:line="240" w:lineRule="auto"/>
              <w:ind w:left="0" w:right="0" w:firstLine="0" w:firstLineChars="0"/>
              <w:jc w:val="center"/>
              <w:rPr>
                <w:rFonts w:hint="default" w:ascii="Tahoma" w:hAnsi="Tahoma" w:cs="Tahoma"/>
                <w:color w:val="000000"/>
                <w:kern w:val="0"/>
                <w:sz w:val="22"/>
                <w:szCs w:val="22"/>
              </w:rPr>
            </w:pPr>
            <w:r>
              <w:rPr>
                <w:rFonts w:hint="eastAsia" w:ascii="Tahoma" w:hAnsi="Tahoma" w:cs="Tahoma"/>
                <w:color w:val="000000"/>
                <w:kern w:val="0"/>
                <w:sz w:val="22"/>
                <w:szCs w:val="22"/>
              </w:rPr>
              <w:t>个</w:t>
            </w:r>
          </w:p>
        </w:tc>
      </w:tr>
    </w:tbl>
    <w:p w14:paraId="43240BE7">
      <w:pPr>
        <w:pStyle w:val="3"/>
        <w:ind w:left="0" w:leftChars="0" w:firstLine="0" w:firstLineChars="0"/>
        <w:rPr>
          <w:rFonts w:hint="eastAsia"/>
        </w:rPr>
      </w:pPr>
      <w:r>
        <w:rPr>
          <w:rFonts w:hint="eastAsia"/>
        </w:rPr>
        <w:t>服务清单</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1217"/>
        <w:gridCol w:w="6871"/>
      </w:tblGrid>
      <w:tr w14:paraId="2A5E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44" w:type="pct"/>
            <w:shd w:val="clear" w:color="auto" w:fill="F3F8FC"/>
            <w:noWrap/>
            <w:vAlign w:val="center"/>
          </w:tcPr>
          <w:p w14:paraId="494AD9E7">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序号</w:t>
            </w:r>
          </w:p>
        </w:tc>
        <w:tc>
          <w:tcPr>
            <w:tcW w:w="1122" w:type="pct"/>
            <w:shd w:val="clear" w:color="auto" w:fill="F3F8FC"/>
            <w:noWrap/>
            <w:vAlign w:val="center"/>
          </w:tcPr>
          <w:p w14:paraId="579641E4">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服务名称</w:t>
            </w:r>
          </w:p>
        </w:tc>
        <w:tc>
          <w:tcPr>
            <w:tcW w:w="3632" w:type="pct"/>
            <w:shd w:val="clear" w:color="auto" w:fill="F3F8FC"/>
            <w:noWrap/>
            <w:vAlign w:val="center"/>
          </w:tcPr>
          <w:p w14:paraId="3A6AB2E7">
            <w:pPr>
              <w:keepNext w:val="0"/>
              <w:keepLines w:val="0"/>
              <w:widowControl/>
              <w:suppressLineNumbers w:val="0"/>
              <w:spacing w:before="0" w:beforeAutospacing="0" w:after="0" w:afterAutospacing="0" w:line="240" w:lineRule="auto"/>
              <w:ind w:left="0" w:right="0" w:firstLine="0" w:firstLineChars="0"/>
              <w:jc w:val="center"/>
              <w:rPr>
                <w:rFonts w:hint="eastAsia" w:cs="宋体"/>
                <w:b/>
                <w:color w:val="000000"/>
                <w:kern w:val="0"/>
                <w:sz w:val="22"/>
                <w:szCs w:val="22"/>
              </w:rPr>
            </w:pPr>
            <w:r>
              <w:rPr>
                <w:rFonts w:hint="eastAsia" w:cs="宋体"/>
                <w:b/>
                <w:color w:val="000000"/>
                <w:kern w:val="0"/>
                <w:sz w:val="22"/>
                <w:szCs w:val="22"/>
              </w:rPr>
              <w:t>服务描述</w:t>
            </w:r>
          </w:p>
        </w:tc>
      </w:tr>
      <w:tr w14:paraId="620E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4" w:type="pct"/>
            <w:noWrap/>
            <w:vAlign w:val="center"/>
          </w:tcPr>
          <w:p w14:paraId="69A1901A">
            <w:pPr>
              <w:keepNext w:val="0"/>
              <w:keepLines w:val="0"/>
              <w:widowControl/>
              <w:suppressLineNumbers w:val="0"/>
              <w:spacing w:before="0" w:beforeAutospacing="0" w:after="0" w:afterAutospacing="0" w:line="240" w:lineRule="auto"/>
              <w:ind w:left="0" w:right="0" w:firstLine="0" w:firstLineChars="0"/>
              <w:jc w:val="center"/>
              <w:rPr>
                <w:rFonts w:hint="eastAsia" w:eastAsia="宋体" w:cs="宋体"/>
                <w:bCs/>
                <w:kern w:val="0"/>
                <w:sz w:val="22"/>
                <w:szCs w:val="22"/>
                <w:lang w:eastAsia="zh-CN"/>
              </w:rPr>
            </w:pPr>
            <w:r>
              <w:rPr>
                <w:rFonts w:hint="eastAsia" w:cs="宋体"/>
                <w:bCs/>
                <w:kern w:val="0"/>
                <w:sz w:val="22"/>
                <w:szCs w:val="22"/>
                <w:lang w:val="en-US" w:eastAsia="zh-CN"/>
              </w:rPr>
              <w:t>1</w:t>
            </w:r>
          </w:p>
        </w:tc>
        <w:tc>
          <w:tcPr>
            <w:tcW w:w="1122" w:type="pct"/>
            <w:noWrap/>
            <w:vAlign w:val="center"/>
          </w:tcPr>
          <w:p w14:paraId="7622272F">
            <w:pPr>
              <w:keepNext w:val="0"/>
              <w:keepLines w:val="0"/>
              <w:widowControl/>
              <w:suppressLineNumbers w:val="0"/>
              <w:spacing w:before="0" w:beforeAutospacing="0" w:after="0" w:afterAutospacing="0" w:line="240" w:lineRule="auto"/>
              <w:ind w:left="0" w:right="0" w:firstLine="0" w:firstLineChars="0"/>
              <w:jc w:val="left"/>
              <w:rPr>
                <w:rFonts w:hint="eastAsia" w:cs="宋体"/>
                <w:bCs/>
                <w:kern w:val="0"/>
                <w:sz w:val="22"/>
                <w:szCs w:val="22"/>
              </w:rPr>
            </w:pPr>
            <w:r>
              <w:rPr>
                <w:rFonts w:hint="eastAsia" w:cs="宋体"/>
                <w:bCs/>
                <w:kern w:val="0"/>
                <w:sz w:val="22"/>
                <w:szCs w:val="22"/>
              </w:rPr>
              <w:t>运营商客流数据服务</w:t>
            </w:r>
          </w:p>
        </w:tc>
        <w:tc>
          <w:tcPr>
            <w:tcW w:w="3632" w:type="pct"/>
            <w:noWrap/>
            <w:vAlign w:val="center"/>
          </w:tcPr>
          <w:p w14:paraId="17462BF0">
            <w:pPr>
              <w:keepNext w:val="0"/>
              <w:keepLines w:val="0"/>
              <w:widowControl/>
              <w:suppressLineNumbers w:val="0"/>
              <w:spacing w:before="0" w:beforeAutospacing="0" w:after="0" w:afterAutospacing="0" w:line="240" w:lineRule="auto"/>
              <w:ind w:left="0" w:right="0" w:firstLine="0" w:firstLineChars="0"/>
              <w:jc w:val="left"/>
              <w:rPr>
                <w:rFonts w:hint="eastAsia" w:cs="宋体"/>
                <w:bCs/>
                <w:kern w:val="0"/>
                <w:sz w:val="22"/>
                <w:szCs w:val="22"/>
              </w:rPr>
            </w:pPr>
            <w:r>
              <w:rPr>
                <w:rFonts w:hint="eastAsia" w:cs="宋体"/>
                <w:bCs/>
                <w:kern w:val="0"/>
                <w:sz w:val="22"/>
                <w:szCs w:val="22"/>
              </w:rPr>
              <w:t>对象：运营商客流感知数据</w:t>
            </w:r>
          </w:p>
          <w:p w14:paraId="7A106562">
            <w:pPr>
              <w:keepNext w:val="0"/>
              <w:keepLines w:val="0"/>
              <w:widowControl/>
              <w:suppressLineNumbers w:val="0"/>
              <w:spacing w:before="0" w:beforeAutospacing="0" w:after="0" w:afterAutospacing="0" w:line="240" w:lineRule="auto"/>
              <w:ind w:left="0" w:right="0" w:firstLine="0" w:firstLineChars="0"/>
              <w:jc w:val="left"/>
              <w:rPr>
                <w:rFonts w:hint="eastAsia" w:cs="宋体"/>
                <w:bCs/>
                <w:kern w:val="0"/>
                <w:sz w:val="22"/>
                <w:szCs w:val="22"/>
              </w:rPr>
            </w:pPr>
            <w:r>
              <w:rPr>
                <w:rFonts w:hint="eastAsia" w:cs="宋体"/>
                <w:bCs/>
                <w:kern w:val="0"/>
                <w:sz w:val="22"/>
                <w:szCs w:val="22"/>
              </w:rPr>
              <w:t>范围：会展中心核心区及管控区、虹桥机场和火车站</w:t>
            </w:r>
            <w:r>
              <w:rPr>
                <w:rFonts w:hint="eastAsia" w:cs="宋体"/>
                <w:bCs/>
                <w:kern w:val="0"/>
                <w:sz w:val="22"/>
                <w:szCs w:val="22"/>
              </w:rPr>
              <w:tab/>
            </w:r>
            <w:r>
              <w:rPr>
                <w:rFonts w:hint="eastAsia" w:cs="宋体"/>
                <w:bCs/>
                <w:kern w:val="0"/>
                <w:sz w:val="22"/>
                <w:szCs w:val="22"/>
              </w:rPr>
              <w:t>提供区域客流动态监测数据、区域短临客流预测数据及历史客流统计分析数据。</w:t>
            </w:r>
          </w:p>
        </w:tc>
      </w:tr>
    </w:tbl>
    <w:p w14:paraId="1C864E63">
      <w:pPr>
        <w:pStyle w:val="3"/>
        <w:ind w:left="0" w:leftChars="0" w:firstLine="0" w:firstLineChars="0"/>
        <w:rPr>
          <w:rFonts w:hint="eastAsia"/>
        </w:rPr>
      </w:pPr>
      <w:bookmarkStart w:id="19" w:name="_Toc63785502"/>
      <w:r>
        <w:rPr>
          <w:rFonts w:hint="eastAsia"/>
          <w:lang w:val="en-US" w:eastAsia="zh-CN"/>
        </w:rPr>
        <w:t>系统集成</w:t>
      </w:r>
    </w:p>
    <w:p w14:paraId="0CB383D4">
      <w:pPr>
        <w:numPr>
          <w:ilvl w:val="0"/>
          <w:numId w:val="0"/>
        </w:numPr>
        <w:ind w:firstLine="480" w:firstLineChars="200"/>
        <w:rPr>
          <w:rFonts w:hint="eastAsia"/>
        </w:rPr>
      </w:pPr>
      <w:r>
        <w:rPr>
          <w:rFonts w:hint="eastAsia"/>
          <w:highlight w:val="none"/>
          <w:lang w:val="en-US" w:eastAsia="zh-CN"/>
        </w:rPr>
        <w:t>系统集成需完成RFID设备的安装</w:t>
      </w:r>
      <w:r>
        <w:rPr>
          <w:rFonts w:hint="eastAsia"/>
          <w:highlight w:val="none"/>
        </w:rPr>
        <w:t>和调试，包括但不限于物理连接、电源</w:t>
      </w:r>
      <w:r>
        <w:rPr>
          <w:rFonts w:hint="eastAsia"/>
          <w:highlight w:val="none"/>
          <w:lang w:val="en-US" w:eastAsia="zh-CN"/>
        </w:rPr>
        <w:t>适配</w:t>
      </w:r>
      <w:r>
        <w:rPr>
          <w:rFonts w:hint="eastAsia"/>
          <w:highlight w:val="none"/>
        </w:rPr>
        <w:t>、系统软件</w:t>
      </w:r>
      <w:r>
        <w:rPr>
          <w:rFonts w:hint="eastAsia"/>
          <w:highlight w:val="none"/>
          <w:lang w:val="en-US" w:eastAsia="zh-CN"/>
        </w:rPr>
        <w:t>调试</w:t>
      </w:r>
      <w:r>
        <w:rPr>
          <w:rFonts w:hint="eastAsia"/>
          <w:highlight w:val="none"/>
        </w:rPr>
        <w:t>等；确保项目中所有产品能够正常工作，无缝接入采购人</w:t>
      </w:r>
      <w:r>
        <w:rPr>
          <w:rFonts w:hint="eastAsia"/>
          <w:highlight w:val="none"/>
          <w:lang w:val="en-US" w:eastAsia="zh-CN"/>
        </w:rPr>
        <w:t>建设的</w:t>
      </w:r>
      <w:r>
        <w:rPr>
          <w:rFonts w:hint="eastAsia"/>
          <w:highlight w:val="none"/>
        </w:rPr>
        <w:t>系统；进行测试以确保系统的稳定性和可靠性</w:t>
      </w:r>
      <w:r>
        <w:rPr>
          <w:rFonts w:hint="eastAsia"/>
          <w:highlight w:val="none"/>
          <w:lang w:eastAsia="zh-CN"/>
        </w:rPr>
        <w:t>。</w:t>
      </w:r>
    </w:p>
    <w:bookmarkEnd w:id="19"/>
    <w:p w14:paraId="3FD03031">
      <w:pPr>
        <w:pStyle w:val="2"/>
        <w:rPr>
          <w:rFonts w:hint="eastAsia"/>
        </w:rPr>
      </w:pPr>
      <w:bookmarkStart w:id="20" w:name="_Toc63785503"/>
      <w:r>
        <w:rPr>
          <w:rFonts w:hint="eastAsia"/>
        </w:rPr>
        <w:t>其他工作要求</w:t>
      </w:r>
      <w:bookmarkEnd w:id="20"/>
    </w:p>
    <w:p w14:paraId="0A08FF8C">
      <w:pPr>
        <w:pStyle w:val="3"/>
        <w:bidi w:val="0"/>
        <w:ind w:left="0" w:leftChars="0" w:firstLine="0" w:firstLineChars="0"/>
        <w:rPr>
          <w:rFonts w:hint="eastAsia"/>
        </w:rPr>
      </w:pPr>
      <w:bookmarkStart w:id="21" w:name="_Toc61968111"/>
      <w:bookmarkEnd w:id="21"/>
      <w:bookmarkStart w:id="22" w:name="_Toc63151871"/>
      <w:bookmarkEnd w:id="22"/>
      <w:bookmarkStart w:id="23" w:name="_Toc63762370"/>
      <w:bookmarkEnd w:id="23"/>
      <w:bookmarkStart w:id="24" w:name="_Toc62209488"/>
      <w:bookmarkEnd w:id="24"/>
      <w:bookmarkStart w:id="25" w:name="_Toc63585480"/>
      <w:bookmarkEnd w:id="25"/>
      <w:bookmarkStart w:id="26" w:name="_Toc63785504"/>
      <w:bookmarkEnd w:id="26"/>
      <w:bookmarkStart w:id="27" w:name="_Toc63785439"/>
      <w:bookmarkEnd w:id="27"/>
      <w:bookmarkStart w:id="28" w:name="_Toc62219358"/>
      <w:bookmarkEnd w:id="28"/>
      <w:bookmarkStart w:id="29" w:name="_Toc63785505"/>
      <w:r>
        <w:rPr>
          <w:rFonts w:hint="eastAsia"/>
        </w:rPr>
        <w:t>售后服务要求</w:t>
      </w:r>
      <w:bookmarkEnd w:id="29"/>
    </w:p>
    <w:p w14:paraId="16404D71">
      <w:pPr>
        <w:pStyle w:val="107"/>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3BE7A8A4">
      <w:pPr>
        <w:pStyle w:val="107"/>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413D6515">
      <w:pPr>
        <w:pStyle w:val="107"/>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软件维护、系统功能完善、数据更新备份维护、数据库安全维护、系统硬件维护、系统巡检维护等。</w:t>
      </w:r>
    </w:p>
    <w:p w14:paraId="6B5BB7BC">
      <w:pPr>
        <w:pStyle w:val="3"/>
        <w:bidi w:val="0"/>
        <w:ind w:left="0" w:leftChars="0" w:firstLine="0" w:firstLineChars="0"/>
        <w:rPr>
          <w:rFonts w:hint="eastAsia"/>
        </w:rPr>
      </w:pPr>
      <w:bookmarkStart w:id="30" w:name="_Toc63785506"/>
      <w:r>
        <w:rPr>
          <w:rFonts w:hint="eastAsia"/>
        </w:rPr>
        <w:t>应急响应要求</w:t>
      </w:r>
      <w:bookmarkEnd w:id="30"/>
    </w:p>
    <w:p w14:paraId="38A490B9">
      <w:pPr>
        <w:pStyle w:val="107"/>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1C50D290">
      <w:pPr>
        <w:pStyle w:val="107"/>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63AAB17B">
      <w:pPr>
        <w:pStyle w:val="107"/>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2667AD5A">
      <w:pPr>
        <w:pStyle w:val="107"/>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72721E39">
      <w:pPr>
        <w:pStyle w:val="107"/>
        <w:snapToGrid w:val="0"/>
        <w:spacing w:line="360" w:lineRule="auto"/>
        <w:ind w:firstLine="480"/>
        <w:rPr>
          <w:rFonts w:hint="eastAsia"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EFE6A51">
      <w:pPr>
        <w:pStyle w:val="3"/>
        <w:bidi w:val="0"/>
        <w:ind w:left="0" w:leftChars="0" w:firstLine="0" w:firstLineChars="0"/>
        <w:rPr>
          <w:rFonts w:hint="eastAsia"/>
        </w:rPr>
      </w:pPr>
      <w:bookmarkStart w:id="31" w:name="_Toc63785507"/>
      <w:r>
        <w:rPr>
          <w:rFonts w:hint="eastAsia"/>
        </w:rPr>
        <w:t>培训要求</w:t>
      </w:r>
      <w:bookmarkEnd w:id="31"/>
    </w:p>
    <w:p w14:paraId="214177C6">
      <w:pPr>
        <w:rPr>
          <w:rFonts w:hint="eastAsia"/>
        </w:rPr>
      </w:pPr>
      <w:r>
        <w:rPr>
          <w:rFonts w:hint="eastAsia"/>
        </w:rPr>
        <w:t>对系统使用单位提供业务操作培训，应提供详细培训方案。</w:t>
      </w:r>
    </w:p>
    <w:p w14:paraId="679CB24E">
      <w:pPr>
        <w:rPr>
          <w:rFonts w:hint="eastAsia"/>
        </w:rPr>
      </w:pPr>
      <w:r>
        <w:rPr>
          <w:rFonts w:hint="eastAsia"/>
        </w:rPr>
        <w:t>(1)在12个月的质量保证期内，提供2次与项目相关的必要培训。</w:t>
      </w:r>
    </w:p>
    <w:p w14:paraId="01715034">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731E83A6">
      <w:pPr>
        <w:rPr>
          <w:rFonts w:hint="eastAsia"/>
        </w:rPr>
      </w:pPr>
      <w:r>
        <w:rPr>
          <w:rFonts w:hint="eastAsia"/>
        </w:rPr>
        <w:t>(3)供应商应提供一般用户的基础操作培训和部门信息管理员的日常应用维护的培训，确保用户对象能够掌握对应的操作技能。</w:t>
      </w:r>
    </w:p>
    <w:p w14:paraId="74AD7050">
      <w:pPr>
        <w:pStyle w:val="3"/>
        <w:bidi w:val="0"/>
        <w:ind w:left="0" w:leftChars="0" w:firstLine="0" w:firstLineChars="0"/>
        <w:rPr>
          <w:rFonts w:hint="eastAsia"/>
        </w:rPr>
      </w:pPr>
      <w:bookmarkStart w:id="32" w:name="_Toc63785508"/>
      <w:r>
        <w:rPr>
          <w:rFonts w:hint="eastAsia"/>
        </w:rPr>
        <w:t>验收要求</w:t>
      </w:r>
      <w:bookmarkEnd w:id="32"/>
    </w:p>
    <w:p w14:paraId="00FC9177">
      <w:pPr>
        <w:rPr>
          <w:rFonts w:hint="eastAsia"/>
          <w:szCs w:val="21"/>
        </w:rPr>
      </w:pPr>
      <w:r>
        <w:rPr>
          <w:rFonts w:hint="eastAsia"/>
          <w:szCs w:val="21"/>
        </w:rPr>
        <w:t>本项目按下述方式开展验收。</w:t>
      </w:r>
    </w:p>
    <w:p w14:paraId="74653734">
      <w:pPr>
        <w:rPr>
          <w:rFonts w:hint="eastAsia"/>
          <w:szCs w:val="21"/>
        </w:rPr>
      </w:pPr>
      <w:r>
        <w:rPr>
          <w:rFonts w:hint="eastAsia"/>
          <w:szCs w:val="21"/>
        </w:rPr>
        <w:t>（1）验收分初验和终验。</w:t>
      </w:r>
    </w:p>
    <w:p w14:paraId="6A03AFD7">
      <w:pPr>
        <w:rPr>
          <w:rFonts w:hint="eastAsia"/>
          <w:szCs w:val="21"/>
        </w:rPr>
      </w:pPr>
      <w:r>
        <w:rPr>
          <w:rFonts w:hint="eastAsia"/>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2A7DAA57">
      <w:pPr>
        <w:rPr>
          <w:rFonts w:hint="eastAsia"/>
          <w:szCs w:val="21"/>
        </w:rPr>
      </w:pPr>
      <w:r>
        <w:rPr>
          <w:rFonts w:hint="eastAsia"/>
          <w:szCs w:val="21"/>
        </w:rPr>
        <w:t>（3）初验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31FCA047">
      <w:pPr>
        <w:rPr>
          <w:rFonts w:hint="eastAsia"/>
          <w:szCs w:val="21"/>
        </w:rPr>
      </w:pPr>
      <w:r>
        <w:rPr>
          <w:rFonts w:hint="eastAsia"/>
          <w:szCs w:val="21"/>
        </w:rPr>
        <w:t>（4）自初验通过之日起，招标方享有供应商免费提供的</w:t>
      </w:r>
      <w:r>
        <w:rPr>
          <w:rFonts w:hint="eastAsia"/>
          <w:szCs w:val="21"/>
          <w:lang w:val="en-US" w:eastAsia="zh-CN"/>
        </w:rPr>
        <w:t>30</w:t>
      </w:r>
      <w:r>
        <w:rPr>
          <w:rFonts w:hint="eastAsia"/>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439D8102">
      <w:pPr>
        <w:rPr>
          <w:rFonts w:hint="eastAsia"/>
          <w:szCs w:val="21"/>
        </w:rPr>
      </w:pPr>
      <w:r>
        <w:rPr>
          <w:rFonts w:hint="eastAsia"/>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w:t>
      </w:r>
      <w:r>
        <w:rPr>
          <w:rFonts w:hint="eastAsia"/>
          <w:szCs w:val="21"/>
          <w:lang w:val="en-US" w:eastAsia="zh-CN"/>
        </w:rPr>
        <w:t>申请</w:t>
      </w:r>
      <w:r>
        <w:rPr>
          <w:rFonts w:hint="eastAsia"/>
          <w:szCs w:val="21"/>
        </w:rPr>
        <w:t>后的15个工作日内</w:t>
      </w:r>
      <w:r>
        <w:rPr>
          <w:rFonts w:hint="eastAsia"/>
          <w:szCs w:val="21"/>
          <w:lang w:val="en-US" w:eastAsia="zh-CN"/>
        </w:rPr>
        <w:t>由上级单位</w:t>
      </w:r>
      <w:r>
        <w:rPr>
          <w:rFonts w:hint="eastAsia"/>
          <w:szCs w:val="21"/>
        </w:rPr>
        <w:t>组织专家验收会。</w:t>
      </w:r>
    </w:p>
    <w:p w14:paraId="0C6B12EE">
      <w:pPr>
        <w:rPr>
          <w:rFonts w:hint="eastAsia"/>
          <w:szCs w:val="21"/>
        </w:rPr>
      </w:pPr>
      <w:r>
        <w:rPr>
          <w:rFonts w:hint="eastAsia"/>
          <w:szCs w:val="21"/>
        </w:rPr>
        <w:t>（6）如果属于供应商原因致使本项目未能通过终验，供应商应当排除缺陷，直至本项目完全符合验收标准，由上述情形而产生的相关费用应由供应商自行承担。</w:t>
      </w:r>
    </w:p>
    <w:p w14:paraId="02C1E8D7">
      <w:pPr>
        <w:rPr>
          <w:rFonts w:hint="eastAsia"/>
          <w:szCs w:val="21"/>
        </w:rPr>
      </w:pPr>
      <w:r>
        <w:rPr>
          <w:rFonts w:hint="eastAsia"/>
          <w:szCs w:val="21"/>
        </w:rPr>
        <w:t>（7）如果由于招标方原因导致本项目在终验通过前出现故障或问题，供应商应及时配合排除该方面的故障或问题。</w:t>
      </w:r>
    </w:p>
    <w:p w14:paraId="7B57A180">
      <w:pPr>
        <w:rPr>
          <w:rFonts w:hint="eastAsia"/>
          <w:szCs w:val="21"/>
        </w:rPr>
      </w:pPr>
      <w:r>
        <w:rPr>
          <w:rFonts w:hint="eastAsia"/>
          <w:szCs w:val="21"/>
        </w:rPr>
        <w:t>（8）如本项目验收未通过（含初验未通过或终验未通过），招标方有权依照本项目约定的违约条款追究供应商的违约责任。</w:t>
      </w:r>
    </w:p>
    <w:p w14:paraId="6BDBB6CA">
      <w:pPr>
        <w:pStyle w:val="3"/>
        <w:bidi w:val="0"/>
        <w:ind w:left="0" w:leftChars="0" w:firstLine="0" w:firstLineChars="0"/>
        <w:rPr>
          <w:rFonts w:hint="eastAsia"/>
        </w:rPr>
      </w:pPr>
      <w:bookmarkStart w:id="33" w:name="_Toc63785509"/>
      <w:r>
        <w:rPr>
          <w:rFonts w:hint="eastAsia"/>
        </w:rPr>
        <w:t>进度要求</w:t>
      </w:r>
      <w:bookmarkEnd w:id="33"/>
    </w:p>
    <w:p w14:paraId="670056FF">
      <w:pPr>
        <w:rPr>
          <w:rFonts w:hint="eastAsia"/>
        </w:rPr>
      </w:pPr>
      <w:r>
        <w:rPr>
          <w:rFonts w:hint="eastAsia"/>
        </w:rPr>
        <w:t>投标人应根据建设内容，分阶段制定合理的时间进度，并且应根据招标方要求进行调整和细化。</w:t>
      </w:r>
    </w:p>
    <w:p w14:paraId="04188526">
      <w:pPr>
        <w:rPr>
          <w:rFonts w:hint="eastAsia"/>
        </w:rPr>
      </w:pPr>
      <w:r>
        <w:rPr>
          <w:rFonts w:hint="eastAsia"/>
        </w:rPr>
        <w:t>总建设周期为12个月，分为6个阶段；</w:t>
      </w:r>
    </w:p>
    <w:p w14:paraId="3BB8B47C">
      <w:pPr>
        <w:rPr>
          <w:rFonts w:hint="eastAsia"/>
        </w:rPr>
      </w:pPr>
      <w:r>
        <w:rPr>
          <w:rFonts w:hint="eastAsia"/>
        </w:rPr>
        <w:t>第一阶段为1个月，完成设备选型及合同签订；</w:t>
      </w:r>
    </w:p>
    <w:p w14:paraId="37F0BCEF">
      <w:pPr>
        <w:rPr>
          <w:rFonts w:hint="eastAsia"/>
        </w:rPr>
      </w:pPr>
      <w:r>
        <w:rPr>
          <w:rFonts w:hint="eastAsia"/>
        </w:rPr>
        <w:t>第二阶段为1个月，完成系统设计；</w:t>
      </w:r>
    </w:p>
    <w:p w14:paraId="298CE608">
      <w:pPr>
        <w:rPr>
          <w:rFonts w:hint="eastAsia"/>
        </w:rPr>
      </w:pPr>
      <w:r>
        <w:rPr>
          <w:rFonts w:hint="eastAsia"/>
        </w:rPr>
        <w:t>第三阶段为</w:t>
      </w:r>
      <w:r>
        <w:rPr>
          <w:rFonts w:hint="eastAsia"/>
          <w:lang w:val="en-US" w:eastAsia="zh-CN"/>
        </w:rPr>
        <w:t>7</w:t>
      </w:r>
      <w:r>
        <w:rPr>
          <w:rFonts w:hint="eastAsia"/>
        </w:rPr>
        <w:t>个月，完成系统开发；</w:t>
      </w:r>
    </w:p>
    <w:p w14:paraId="1D618624">
      <w:pPr>
        <w:rPr>
          <w:rFonts w:hint="eastAsia"/>
        </w:rPr>
      </w:pPr>
      <w:r>
        <w:rPr>
          <w:rFonts w:hint="eastAsia"/>
        </w:rPr>
        <w:t>第四阶段为1个月，完成系统测试；</w:t>
      </w:r>
    </w:p>
    <w:p w14:paraId="4163E6A0">
      <w:pPr>
        <w:rPr>
          <w:rFonts w:hint="eastAsia"/>
        </w:rPr>
      </w:pPr>
      <w:r>
        <w:rPr>
          <w:rFonts w:hint="eastAsia"/>
        </w:rPr>
        <w:t>第五阶段为</w:t>
      </w:r>
      <w:r>
        <w:rPr>
          <w:rFonts w:hint="eastAsia"/>
          <w:lang w:val="en-US" w:eastAsia="zh-CN"/>
        </w:rPr>
        <w:t>1</w:t>
      </w:r>
      <w:r>
        <w:rPr>
          <w:rFonts w:hint="eastAsia"/>
        </w:rPr>
        <w:t>个月，完成系统试运行；</w:t>
      </w:r>
    </w:p>
    <w:p w14:paraId="07D0255C">
      <w:pPr>
        <w:rPr>
          <w:rFonts w:hint="eastAsia"/>
        </w:rPr>
      </w:pPr>
      <w:r>
        <w:rPr>
          <w:rFonts w:hint="eastAsia"/>
        </w:rPr>
        <w:t>第六阶段为1个月，完成项目验收。</w:t>
      </w:r>
    </w:p>
    <w:p w14:paraId="5735F05F">
      <w:pPr>
        <w:pStyle w:val="3"/>
        <w:rPr>
          <w:rFonts w:hint="eastAsia"/>
        </w:rPr>
      </w:pPr>
      <w:bookmarkStart w:id="34" w:name="_Toc63785510"/>
      <w:r>
        <w:rPr>
          <w:rFonts w:hint="eastAsia"/>
        </w:rPr>
        <w:t>项目团队及驻场人员要求</w:t>
      </w:r>
      <w:bookmarkEnd w:id="34"/>
    </w:p>
    <w:p w14:paraId="2C0466DF">
      <w:pPr>
        <w:rPr>
          <w:rFonts w:hint="eastAsia"/>
        </w:rPr>
      </w:pPr>
      <w:r>
        <w:rPr>
          <w:rFonts w:hint="eastAsia"/>
          <w:lang w:val="en-US" w:eastAsia="zh-CN"/>
        </w:rPr>
        <w:t>1）</w:t>
      </w:r>
      <w:r>
        <w:t>投标人</w:t>
      </w:r>
      <w:r>
        <w:rPr>
          <w:rFonts w:hint="eastAsia"/>
        </w:rPr>
        <w:t>需</w:t>
      </w:r>
      <w:r>
        <w:t>具有稳定的在职技术保障力量，能够提供及时的技术支援或服务，应针对本项目提供</w:t>
      </w:r>
      <w:r>
        <w:rPr>
          <w:rFonts w:hint="eastAsia"/>
          <w:b/>
          <w:bCs/>
        </w:rPr>
        <w:t>至少</w:t>
      </w:r>
      <w:r>
        <w:rPr>
          <w:rFonts w:hint="eastAsia"/>
          <w:b/>
          <w:bCs/>
          <w:lang w:val="en-US" w:eastAsia="zh-CN"/>
        </w:rPr>
        <w:t>50</w:t>
      </w:r>
      <w:r>
        <w:rPr>
          <w:b/>
          <w:bCs/>
        </w:rPr>
        <w:t>人</w:t>
      </w:r>
      <w:r>
        <w:t>的项目服务团队</w:t>
      </w:r>
      <w:r>
        <w:rPr>
          <w:rFonts w:hint="eastAsia"/>
        </w:rPr>
        <w:t>，</w:t>
      </w:r>
      <w:r>
        <w:rPr>
          <w:rFonts w:hint="eastAsia" w:ascii="Calibri" w:hAnsi="等线"/>
          <w:szCs w:val="22"/>
        </w:rPr>
        <w:t>并保证投标文件中所提供的项目团队人员名单，与后续项目执行中所投入的人员保持一致，如不一致，采购人有权终止项目合作</w:t>
      </w:r>
      <w:r>
        <w:t>。</w:t>
      </w:r>
    </w:p>
    <w:tbl>
      <w:tblPr>
        <w:tblStyle w:val="3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86"/>
        <w:gridCol w:w="1363"/>
        <w:gridCol w:w="1226"/>
        <w:gridCol w:w="2526"/>
        <w:gridCol w:w="2190"/>
        <w:gridCol w:w="1175"/>
      </w:tblGrid>
      <w:tr w14:paraId="201C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atLeast"/>
          <w:jc w:val="center"/>
        </w:trPr>
        <w:tc>
          <w:tcPr>
            <w:tcW w:w="1286" w:type="dxa"/>
            <w:noWrap/>
            <w:vAlign w:val="center"/>
          </w:tcPr>
          <w:p w14:paraId="3FEB4DFB">
            <w:pPr>
              <w:keepNext w:val="0"/>
              <w:keepLines w:val="0"/>
              <w:widowControl/>
              <w:suppressLineNumbers w:val="0"/>
              <w:spacing w:before="0" w:beforeAutospacing="0" w:after="0" w:afterAutospacing="0" w:line="240" w:lineRule="auto"/>
              <w:ind w:left="0" w:right="0" w:firstLine="0" w:firstLineChars="0"/>
              <w:jc w:val="center"/>
              <w:rPr>
                <w:rFonts w:hint="eastAsia"/>
                <w:b/>
                <w:sz w:val="21"/>
                <w:szCs w:val="21"/>
              </w:rPr>
            </w:pPr>
            <w:r>
              <w:rPr>
                <w:rFonts w:hint="eastAsia"/>
                <w:b/>
                <w:sz w:val="21"/>
                <w:szCs w:val="21"/>
              </w:rPr>
              <w:t>角色</w:t>
            </w:r>
          </w:p>
        </w:tc>
        <w:tc>
          <w:tcPr>
            <w:tcW w:w="1363" w:type="dxa"/>
            <w:noWrap/>
            <w:vAlign w:val="center"/>
          </w:tcPr>
          <w:p w14:paraId="411B6F46">
            <w:pPr>
              <w:keepNext w:val="0"/>
              <w:keepLines w:val="0"/>
              <w:widowControl/>
              <w:suppressLineNumbers w:val="0"/>
              <w:spacing w:before="0" w:beforeAutospacing="0" w:after="0" w:afterAutospacing="0" w:line="240" w:lineRule="auto"/>
              <w:ind w:left="0" w:right="0" w:firstLine="0" w:firstLineChars="0"/>
              <w:jc w:val="center"/>
              <w:rPr>
                <w:rFonts w:hint="eastAsia"/>
                <w:b/>
                <w:sz w:val="21"/>
                <w:szCs w:val="21"/>
              </w:rPr>
            </w:pPr>
            <w:r>
              <w:rPr>
                <w:rFonts w:hint="eastAsia"/>
                <w:b/>
                <w:sz w:val="21"/>
                <w:szCs w:val="21"/>
              </w:rPr>
              <w:t>主要职责</w:t>
            </w:r>
          </w:p>
        </w:tc>
        <w:tc>
          <w:tcPr>
            <w:tcW w:w="1226" w:type="dxa"/>
            <w:noWrap/>
            <w:vAlign w:val="center"/>
          </w:tcPr>
          <w:p w14:paraId="5488A925">
            <w:pPr>
              <w:keepNext w:val="0"/>
              <w:keepLines w:val="0"/>
              <w:widowControl/>
              <w:suppressLineNumbers w:val="0"/>
              <w:spacing w:before="0" w:beforeAutospacing="0" w:after="0" w:afterAutospacing="0" w:line="240" w:lineRule="auto"/>
              <w:ind w:left="0" w:right="0" w:firstLine="0" w:firstLineChars="0"/>
              <w:jc w:val="center"/>
              <w:rPr>
                <w:rFonts w:hint="eastAsia"/>
                <w:b/>
                <w:sz w:val="21"/>
                <w:szCs w:val="21"/>
              </w:rPr>
            </w:pPr>
            <w:r>
              <w:rPr>
                <w:rFonts w:hint="eastAsia"/>
                <w:b/>
                <w:sz w:val="21"/>
                <w:szCs w:val="21"/>
              </w:rPr>
              <w:t>人员数量</w:t>
            </w:r>
          </w:p>
        </w:tc>
        <w:tc>
          <w:tcPr>
            <w:tcW w:w="2526" w:type="dxa"/>
            <w:vAlign w:val="center"/>
          </w:tcPr>
          <w:p w14:paraId="19CDCCAE">
            <w:pPr>
              <w:keepNext w:val="0"/>
              <w:keepLines w:val="0"/>
              <w:widowControl/>
              <w:suppressLineNumbers w:val="0"/>
              <w:spacing w:before="0" w:beforeAutospacing="0" w:after="0" w:afterAutospacing="0" w:line="240" w:lineRule="auto"/>
              <w:ind w:left="0" w:right="0" w:firstLine="0" w:firstLineChars="0"/>
              <w:jc w:val="center"/>
              <w:rPr>
                <w:rFonts w:hint="eastAsia"/>
                <w:b/>
                <w:sz w:val="21"/>
                <w:szCs w:val="21"/>
              </w:rPr>
            </w:pPr>
            <w:r>
              <w:rPr>
                <w:rFonts w:hint="eastAsia"/>
                <w:b/>
                <w:sz w:val="21"/>
                <w:szCs w:val="21"/>
              </w:rPr>
              <w:t>人员资质要求</w:t>
            </w:r>
          </w:p>
        </w:tc>
        <w:tc>
          <w:tcPr>
            <w:tcW w:w="2190" w:type="dxa"/>
            <w:noWrap/>
            <w:vAlign w:val="center"/>
          </w:tcPr>
          <w:p w14:paraId="0731F9B2">
            <w:pPr>
              <w:keepNext w:val="0"/>
              <w:keepLines w:val="0"/>
              <w:widowControl/>
              <w:suppressLineNumbers w:val="0"/>
              <w:spacing w:before="0" w:beforeAutospacing="0" w:after="0" w:afterAutospacing="0" w:line="240" w:lineRule="auto"/>
              <w:ind w:left="0" w:right="0" w:firstLine="0" w:firstLineChars="0"/>
              <w:jc w:val="center"/>
              <w:rPr>
                <w:rFonts w:hint="eastAsia"/>
                <w:b/>
                <w:sz w:val="21"/>
                <w:szCs w:val="21"/>
              </w:rPr>
            </w:pPr>
            <w:r>
              <w:rPr>
                <w:rFonts w:hint="eastAsia"/>
                <w:b/>
                <w:sz w:val="21"/>
                <w:szCs w:val="21"/>
              </w:rPr>
              <w:t>其他要求</w:t>
            </w:r>
          </w:p>
        </w:tc>
        <w:tc>
          <w:tcPr>
            <w:tcW w:w="1175" w:type="dxa"/>
            <w:noWrap/>
            <w:vAlign w:val="center"/>
          </w:tcPr>
          <w:p w14:paraId="2344C3E9">
            <w:pPr>
              <w:keepNext w:val="0"/>
              <w:keepLines w:val="0"/>
              <w:widowControl/>
              <w:suppressLineNumbers w:val="0"/>
              <w:spacing w:before="0" w:beforeAutospacing="0" w:after="0" w:afterAutospacing="0" w:line="240" w:lineRule="auto"/>
              <w:ind w:left="0" w:right="0" w:firstLine="0" w:firstLineChars="0"/>
              <w:jc w:val="center"/>
              <w:rPr>
                <w:rFonts w:hint="eastAsia"/>
                <w:b/>
                <w:sz w:val="21"/>
                <w:szCs w:val="21"/>
              </w:rPr>
            </w:pPr>
            <w:r>
              <w:rPr>
                <w:rFonts w:hint="eastAsia"/>
                <w:b/>
                <w:sz w:val="21"/>
                <w:szCs w:val="21"/>
              </w:rPr>
              <w:t>驻场要求</w:t>
            </w:r>
          </w:p>
        </w:tc>
      </w:tr>
      <w:tr w14:paraId="4F7A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9" w:hRule="atLeast"/>
          <w:jc w:val="center"/>
        </w:trPr>
        <w:tc>
          <w:tcPr>
            <w:tcW w:w="1286" w:type="dxa"/>
            <w:noWrap/>
            <w:vAlign w:val="center"/>
          </w:tcPr>
          <w:p w14:paraId="7ED45749">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项目经理</w:t>
            </w:r>
          </w:p>
        </w:tc>
        <w:tc>
          <w:tcPr>
            <w:tcW w:w="1363" w:type="dxa"/>
            <w:vAlign w:val="center"/>
          </w:tcPr>
          <w:p w14:paraId="332576AB">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负责项目质量和进度控制</w:t>
            </w:r>
          </w:p>
        </w:tc>
        <w:tc>
          <w:tcPr>
            <w:tcW w:w="1226" w:type="dxa"/>
            <w:noWrap/>
            <w:vAlign w:val="center"/>
          </w:tcPr>
          <w:p w14:paraId="3F464E5F">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2人</w:t>
            </w:r>
          </w:p>
        </w:tc>
        <w:tc>
          <w:tcPr>
            <w:tcW w:w="2526" w:type="dxa"/>
            <w:vAlign w:val="center"/>
          </w:tcPr>
          <w:p w14:paraId="07395A99">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本科及以上学历，具备信息系统项目管理师证书</w:t>
            </w:r>
          </w:p>
        </w:tc>
        <w:tc>
          <w:tcPr>
            <w:tcW w:w="2190" w:type="dxa"/>
            <w:noWrap/>
            <w:vAlign w:val="center"/>
          </w:tcPr>
          <w:p w14:paraId="3E554905">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需提供相关人员</w:t>
            </w:r>
            <w:r>
              <w:rPr>
                <w:rFonts w:hint="eastAsia"/>
                <w:sz w:val="21"/>
                <w:szCs w:val="21"/>
                <w:lang w:val="en-US" w:eastAsia="zh-CN"/>
              </w:rPr>
              <w:t>开标前3个月任意一个月依法缴纳社保费的证明</w:t>
            </w:r>
          </w:p>
        </w:tc>
        <w:tc>
          <w:tcPr>
            <w:tcW w:w="1175" w:type="dxa"/>
            <w:noWrap/>
            <w:vAlign w:val="center"/>
          </w:tcPr>
          <w:p w14:paraId="68DF0973">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驻场</w:t>
            </w:r>
          </w:p>
        </w:tc>
      </w:tr>
      <w:tr w14:paraId="35F0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6" w:hRule="atLeast"/>
          <w:jc w:val="center"/>
        </w:trPr>
        <w:tc>
          <w:tcPr>
            <w:tcW w:w="1286" w:type="dxa"/>
            <w:noWrap/>
            <w:vAlign w:val="center"/>
          </w:tcPr>
          <w:p w14:paraId="262697B9">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系统架构师</w:t>
            </w:r>
          </w:p>
        </w:tc>
        <w:tc>
          <w:tcPr>
            <w:tcW w:w="1363" w:type="dxa"/>
            <w:vAlign w:val="center"/>
          </w:tcPr>
          <w:p w14:paraId="31976B80">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架构设计</w:t>
            </w:r>
          </w:p>
        </w:tc>
        <w:tc>
          <w:tcPr>
            <w:tcW w:w="1226" w:type="dxa"/>
            <w:noWrap/>
            <w:vAlign w:val="center"/>
          </w:tcPr>
          <w:p w14:paraId="1903D86E">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1人</w:t>
            </w:r>
          </w:p>
        </w:tc>
        <w:tc>
          <w:tcPr>
            <w:tcW w:w="2526" w:type="dxa"/>
            <w:vAlign w:val="center"/>
          </w:tcPr>
          <w:p w14:paraId="4392C003">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本科及以上学历，具备</w:t>
            </w:r>
            <w:r>
              <w:rPr>
                <w:rFonts w:hint="default"/>
                <w:color w:val="000000" w:themeColor="text1"/>
                <w:kern w:val="0"/>
                <w:sz w:val="21"/>
                <w:szCs w:val="21"/>
                <w14:textFill>
                  <w14:solidFill>
                    <w14:schemeClr w14:val="tx1"/>
                  </w14:solidFill>
                </w14:textFill>
              </w:rPr>
              <w:t>计算机技术相关的</w:t>
            </w:r>
            <w:r>
              <w:rPr>
                <w:rFonts w:hint="eastAsia"/>
                <w:sz w:val="21"/>
                <w:szCs w:val="21"/>
              </w:rPr>
              <w:t>正高级工程师证书</w:t>
            </w:r>
          </w:p>
        </w:tc>
        <w:tc>
          <w:tcPr>
            <w:tcW w:w="2190" w:type="dxa"/>
            <w:noWrap/>
            <w:vAlign w:val="center"/>
          </w:tcPr>
          <w:p w14:paraId="6FDD1AF0">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需提供相关人员</w:t>
            </w:r>
            <w:r>
              <w:rPr>
                <w:rFonts w:hint="eastAsia"/>
                <w:sz w:val="21"/>
                <w:szCs w:val="21"/>
                <w:lang w:val="en-US" w:eastAsia="zh-CN"/>
              </w:rPr>
              <w:t>开标前3个月任意一个月依法缴纳社保费的证明</w:t>
            </w:r>
          </w:p>
        </w:tc>
        <w:tc>
          <w:tcPr>
            <w:tcW w:w="1175" w:type="dxa"/>
            <w:noWrap/>
            <w:vAlign w:val="center"/>
          </w:tcPr>
          <w:p w14:paraId="105F5FF4">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驻场</w:t>
            </w:r>
          </w:p>
        </w:tc>
      </w:tr>
      <w:tr w14:paraId="4EB3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86" w:type="dxa"/>
            <w:noWrap/>
            <w:vAlign w:val="center"/>
          </w:tcPr>
          <w:p w14:paraId="7083E209">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产品经理</w:t>
            </w:r>
          </w:p>
        </w:tc>
        <w:tc>
          <w:tcPr>
            <w:tcW w:w="1363" w:type="dxa"/>
            <w:vAlign w:val="center"/>
          </w:tcPr>
          <w:p w14:paraId="0E835AE6">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负责项目需求评估与产品设计</w:t>
            </w:r>
          </w:p>
        </w:tc>
        <w:tc>
          <w:tcPr>
            <w:tcW w:w="1226" w:type="dxa"/>
            <w:noWrap/>
            <w:vAlign w:val="center"/>
          </w:tcPr>
          <w:p w14:paraId="6042E51F">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2人</w:t>
            </w:r>
          </w:p>
        </w:tc>
        <w:tc>
          <w:tcPr>
            <w:tcW w:w="2526" w:type="dxa"/>
            <w:vAlign w:val="center"/>
          </w:tcPr>
          <w:p w14:paraId="015CBF9D">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本科及以上学历，具备</w:t>
            </w:r>
            <w:r>
              <w:rPr>
                <w:rFonts w:hint="eastAsia" w:ascii="Calibri" w:hAnsi="等线"/>
                <w:sz w:val="21"/>
                <w:szCs w:val="21"/>
              </w:rPr>
              <w:t>系统分析师</w:t>
            </w:r>
            <w:r>
              <w:rPr>
                <w:rFonts w:hint="eastAsia"/>
                <w:sz w:val="21"/>
                <w:szCs w:val="21"/>
              </w:rPr>
              <w:t>证书</w:t>
            </w:r>
          </w:p>
        </w:tc>
        <w:tc>
          <w:tcPr>
            <w:tcW w:w="2190" w:type="dxa"/>
            <w:noWrap/>
            <w:vAlign w:val="center"/>
          </w:tcPr>
          <w:p w14:paraId="5E2FAC58">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需提供相关人员</w:t>
            </w:r>
            <w:r>
              <w:rPr>
                <w:rFonts w:hint="eastAsia"/>
                <w:sz w:val="21"/>
                <w:szCs w:val="21"/>
                <w:lang w:val="en-US" w:eastAsia="zh-CN"/>
              </w:rPr>
              <w:t>开标前3个月任意一个月依法缴纳社保费的证明</w:t>
            </w:r>
          </w:p>
        </w:tc>
        <w:tc>
          <w:tcPr>
            <w:tcW w:w="1175" w:type="dxa"/>
            <w:noWrap/>
            <w:vAlign w:val="center"/>
          </w:tcPr>
          <w:p w14:paraId="65F3A2A8">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驻场</w:t>
            </w:r>
          </w:p>
        </w:tc>
      </w:tr>
      <w:tr w14:paraId="1E6F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0" w:hRule="atLeast"/>
          <w:jc w:val="center"/>
        </w:trPr>
        <w:tc>
          <w:tcPr>
            <w:tcW w:w="1286" w:type="dxa"/>
            <w:noWrap/>
            <w:vAlign w:val="center"/>
          </w:tcPr>
          <w:p w14:paraId="65E07B85">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研发、实施和测试</w:t>
            </w:r>
          </w:p>
        </w:tc>
        <w:tc>
          <w:tcPr>
            <w:tcW w:w="1363" w:type="dxa"/>
            <w:noWrap/>
            <w:vAlign w:val="center"/>
          </w:tcPr>
          <w:p w14:paraId="6FEF77FA">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rPr>
              <w:t>负责项目具体研发、实施和测试</w:t>
            </w:r>
          </w:p>
        </w:tc>
        <w:tc>
          <w:tcPr>
            <w:tcW w:w="1226" w:type="dxa"/>
            <w:noWrap/>
            <w:vAlign w:val="center"/>
          </w:tcPr>
          <w:p w14:paraId="50DAA9C8">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lang w:val="en-US" w:eastAsia="zh-CN"/>
              </w:rPr>
              <w:t>45</w:t>
            </w:r>
            <w:r>
              <w:rPr>
                <w:rFonts w:hint="eastAsia"/>
                <w:sz w:val="21"/>
                <w:szCs w:val="21"/>
              </w:rPr>
              <w:t>人</w:t>
            </w:r>
          </w:p>
        </w:tc>
        <w:tc>
          <w:tcPr>
            <w:tcW w:w="2526" w:type="dxa"/>
            <w:vAlign w:val="center"/>
          </w:tcPr>
          <w:p w14:paraId="6FB03026">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项目团队中具备软件设计师、系统集成项目管理工程师、数据库系统工程师、信息系统项目管理师</w:t>
            </w:r>
          </w:p>
        </w:tc>
        <w:tc>
          <w:tcPr>
            <w:tcW w:w="2190" w:type="dxa"/>
            <w:noWrap/>
            <w:vAlign w:val="center"/>
          </w:tcPr>
          <w:p w14:paraId="5534217B">
            <w:pPr>
              <w:keepNext w:val="0"/>
              <w:keepLines w:val="0"/>
              <w:widowControl/>
              <w:suppressLineNumbers w:val="0"/>
              <w:spacing w:before="0" w:beforeAutospacing="0" w:after="0" w:afterAutospacing="0" w:line="240" w:lineRule="auto"/>
              <w:ind w:left="0" w:right="0" w:firstLine="0" w:firstLineChars="0"/>
              <w:jc w:val="left"/>
              <w:rPr>
                <w:rFonts w:hint="eastAsia"/>
                <w:sz w:val="21"/>
                <w:szCs w:val="21"/>
              </w:rPr>
            </w:pPr>
            <w:r>
              <w:rPr>
                <w:rFonts w:hint="eastAsia"/>
                <w:sz w:val="21"/>
                <w:szCs w:val="21"/>
              </w:rPr>
              <w:t>具有5年及以上相关工作经验，需</w:t>
            </w:r>
            <w:r>
              <w:rPr>
                <w:rFonts w:hint="eastAsia"/>
                <w:sz w:val="21"/>
                <w:szCs w:val="21"/>
                <w:lang w:val="en-US" w:eastAsia="zh-CN"/>
              </w:rPr>
              <w:t>开标前3个月任意一个月依法缴纳社保费的证明</w:t>
            </w:r>
          </w:p>
        </w:tc>
        <w:tc>
          <w:tcPr>
            <w:tcW w:w="1175" w:type="dxa"/>
            <w:noWrap/>
            <w:vAlign w:val="center"/>
          </w:tcPr>
          <w:p w14:paraId="4BF5594E">
            <w:pPr>
              <w:keepNext w:val="0"/>
              <w:keepLines w:val="0"/>
              <w:widowControl/>
              <w:suppressLineNumbers w:val="0"/>
              <w:spacing w:before="0" w:beforeAutospacing="0" w:after="0" w:afterAutospacing="0" w:line="240" w:lineRule="auto"/>
              <w:ind w:left="0" w:right="0" w:firstLine="0" w:firstLineChars="0"/>
              <w:jc w:val="center"/>
              <w:rPr>
                <w:rFonts w:hint="eastAsia"/>
                <w:sz w:val="21"/>
                <w:szCs w:val="21"/>
              </w:rPr>
            </w:pPr>
            <w:r>
              <w:rPr>
                <w:rFonts w:hint="eastAsia"/>
                <w:sz w:val="21"/>
                <w:szCs w:val="21"/>
                <w:lang w:val="en-US" w:eastAsia="zh-CN"/>
              </w:rPr>
              <w:t>不</w:t>
            </w:r>
            <w:r>
              <w:rPr>
                <w:rFonts w:hint="eastAsia"/>
                <w:sz w:val="21"/>
                <w:szCs w:val="21"/>
              </w:rPr>
              <w:t>驻场</w:t>
            </w:r>
          </w:p>
        </w:tc>
      </w:tr>
    </w:tbl>
    <w:p w14:paraId="46C55DF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bookmarkStart w:id="35" w:name="_Toc63785511"/>
      <w:r>
        <w:rPr>
          <w:rFonts w:hint="eastAsia" w:ascii="宋体" w:hAnsi="宋体" w:eastAsia="宋体" w:cs="Times New Roman"/>
          <w:kern w:val="2"/>
          <w:sz w:val="24"/>
          <w:szCs w:val="24"/>
          <w:lang w:val="en-US" w:eastAsia="zh-CN" w:bidi="ar"/>
        </w:rPr>
        <w:t>2）投标人应针对本项目提供不少于</w:t>
      </w:r>
      <w:r>
        <w:rPr>
          <w:rFonts w:hint="eastAsia" w:cs="Times New Roman"/>
          <w:kern w:val="2"/>
          <w:sz w:val="24"/>
          <w:szCs w:val="24"/>
          <w:lang w:val="en-US" w:eastAsia="zh-CN" w:bidi="ar"/>
        </w:rPr>
        <w:t>5</w:t>
      </w:r>
      <w:r>
        <w:rPr>
          <w:rFonts w:hint="eastAsia" w:ascii="宋体" w:hAnsi="宋体" w:eastAsia="宋体" w:cs="Times New Roman"/>
          <w:kern w:val="2"/>
          <w:sz w:val="24"/>
          <w:szCs w:val="24"/>
          <w:lang w:val="en-US" w:eastAsia="zh-CN" w:bidi="ar"/>
        </w:rPr>
        <w:t>人的质保期间支撑团队（其中</w:t>
      </w:r>
      <w:r>
        <w:rPr>
          <w:rFonts w:hint="eastAsia" w:cs="Times New Roman"/>
          <w:kern w:val="2"/>
          <w:sz w:val="24"/>
          <w:szCs w:val="24"/>
          <w:lang w:val="en-US" w:eastAsia="zh-CN" w:bidi="ar"/>
        </w:rPr>
        <w:t>运维</w:t>
      </w:r>
      <w:r>
        <w:rPr>
          <w:rFonts w:hint="eastAsia" w:ascii="宋体" w:hAnsi="宋体" w:eastAsia="宋体" w:cs="Times New Roman"/>
          <w:kern w:val="2"/>
          <w:sz w:val="24"/>
          <w:szCs w:val="24"/>
          <w:lang w:val="en-US" w:eastAsia="zh-CN" w:bidi="ar"/>
        </w:rPr>
        <w:t>经理</w:t>
      </w:r>
      <w:r>
        <w:rPr>
          <w:rFonts w:hint="eastAsia" w:cs="Times New Roman"/>
          <w:kern w:val="2"/>
          <w:sz w:val="24"/>
          <w:szCs w:val="24"/>
          <w:lang w:val="en-US" w:eastAsia="zh-CN" w:bidi="ar"/>
        </w:rPr>
        <w:t>1</w:t>
      </w:r>
      <w:r>
        <w:rPr>
          <w:rFonts w:hint="eastAsia" w:ascii="宋体" w:hAnsi="宋体" w:eastAsia="宋体" w:cs="宋体"/>
          <w:kern w:val="2"/>
          <w:sz w:val="24"/>
          <w:szCs w:val="24"/>
          <w:lang w:val="en-US" w:eastAsia="zh-CN" w:bidi="ar"/>
        </w:rPr>
        <w:t>人</w:t>
      </w:r>
      <w:r>
        <w:rPr>
          <w:rFonts w:hint="eastAsia" w:ascii="宋体" w:hAnsi="宋体" w:eastAsia="宋体" w:cs="Times New Roman"/>
          <w:kern w:val="2"/>
          <w:sz w:val="24"/>
          <w:szCs w:val="24"/>
          <w:lang w:val="en-US" w:eastAsia="zh-CN" w:bidi="ar"/>
        </w:rPr>
        <w:t>，</w:t>
      </w:r>
      <w:r>
        <w:rPr>
          <w:rFonts w:hint="eastAsia" w:cs="Times New Roman"/>
          <w:kern w:val="2"/>
          <w:sz w:val="24"/>
          <w:szCs w:val="24"/>
          <w:lang w:val="en-US" w:eastAsia="zh-CN" w:bidi="ar"/>
        </w:rPr>
        <w:t>运维</w:t>
      </w:r>
      <w:r>
        <w:rPr>
          <w:rFonts w:hint="eastAsia" w:ascii="宋体" w:hAnsi="宋体" w:eastAsia="宋体" w:cs="Times New Roman"/>
          <w:kern w:val="2"/>
          <w:sz w:val="24"/>
          <w:szCs w:val="24"/>
          <w:lang w:val="en-US" w:eastAsia="zh-CN" w:bidi="ar"/>
        </w:rPr>
        <w:t>工程师不少于</w:t>
      </w:r>
      <w:r>
        <w:rPr>
          <w:rFonts w:hint="eastAsia" w:cs="Times New Roman"/>
          <w:kern w:val="2"/>
          <w:sz w:val="24"/>
          <w:szCs w:val="24"/>
          <w:lang w:val="en-US" w:eastAsia="zh-CN" w:bidi="ar"/>
        </w:rPr>
        <w:t>4</w:t>
      </w:r>
      <w:r>
        <w:rPr>
          <w:rFonts w:hint="eastAsia" w:ascii="宋体" w:hAnsi="宋体" w:eastAsia="宋体" w:cs="宋体"/>
          <w:kern w:val="2"/>
          <w:sz w:val="24"/>
          <w:szCs w:val="24"/>
          <w:lang w:val="en-US" w:eastAsia="zh-CN" w:bidi="ar"/>
        </w:rPr>
        <w:t>人）；投标人的相关服务人员需具备相应的服务能力，需提供相关证明（</w:t>
      </w:r>
      <w:r>
        <w:rPr>
          <w:rFonts w:hint="eastAsia" w:cs="宋体"/>
          <w:kern w:val="2"/>
          <w:sz w:val="24"/>
          <w:szCs w:val="24"/>
          <w:lang w:val="en-US" w:eastAsia="zh-CN" w:bidi="ar"/>
        </w:rPr>
        <w:t>开标前3个月任意一个月</w:t>
      </w:r>
      <w:r>
        <w:rPr>
          <w:rFonts w:hint="eastAsia" w:ascii="宋体" w:hAnsi="宋体" w:eastAsia="宋体" w:cs="宋体"/>
          <w:kern w:val="2"/>
          <w:sz w:val="24"/>
          <w:szCs w:val="24"/>
          <w:lang w:val="en-US" w:eastAsia="zh-CN" w:bidi="ar"/>
        </w:rPr>
        <w:t>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16"/>
        <w:gridCol w:w="2856"/>
        <w:gridCol w:w="1180"/>
        <w:gridCol w:w="1728"/>
        <w:gridCol w:w="1180"/>
      </w:tblGrid>
      <w:tr w14:paraId="23EA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0899C2">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角色</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2560E6">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主要职责</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2501E">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人员数量</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01C1B0C1">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人员要求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251FF0">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驻场要求</w:t>
            </w:r>
          </w:p>
        </w:tc>
      </w:tr>
      <w:tr w14:paraId="41F2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4A5B8C">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cs="宋体"/>
                <w:kern w:val="2"/>
                <w:sz w:val="24"/>
                <w:szCs w:val="24"/>
                <w:lang w:val="en-US" w:eastAsia="zh-CN" w:bidi="ar"/>
              </w:rPr>
              <w:t>运维</w:t>
            </w:r>
            <w:r>
              <w:rPr>
                <w:rFonts w:hint="eastAsia" w:ascii="宋体" w:hAnsi="宋体" w:eastAsia="宋体" w:cs="宋体"/>
                <w:kern w:val="2"/>
                <w:sz w:val="24"/>
                <w:szCs w:val="24"/>
                <w:lang w:val="en-US" w:eastAsia="zh-CN" w:bidi="ar"/>
              </w:rPr>
              <w:t>经理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CC8FAB">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负责项目质量和进度控制</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AC417">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人</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5CCDB29A">
            <w:pPr>
              <w:keepNext w:val="0"/>
              <w:keepLines w:val="0"/>
              <w:widowControl/>
              <w:suppressLineNumbers w:val="0"/>
              <w:spacing w:before="0" w:beforeAutospacing="0" w:after="0" w:afterAutospacing="0" w:line="240" w:lineRule="auto"/>
              <w:ind w:left="0" w:right="0" w:firstLine="0" w:firstLineChars="0"/>
              <w:jc w:val="left"/>
              <w:rPr>
                <w:rFonts w:hint="eastAsia" w:ascii="宋体" w:hAnsi="宋体" w:eastAsia="宋体" w:cs="Times New Roman"/>
                <w:kern w:val="2"/>
                <w:sz w:val="24"/>
                <w:szCs w:val="24"/>
              </w:rPr>
            </w:pPr>
            <w:r>
              <w:rPr>
                <w:rFonts w:hint="eastAsia"/>
                <w:sz w:val="21"/>
                <w:szCs w:val="21"/>
              </w:rPr>
              <w:t>本科及以上学历，具备信息系统项目管理师证书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B102DF">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不驻场</w:t>
            </w:r>
          </w:p>
        </w:tc>
      </w:tr>
      <w:tr w14:paraId="7521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1DCEB6">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cs="宋体"/>
                <w:kern w:val="2"/>
                <w:sz w:val="24"/>
                <w:szCs w:val="24"/>
                <w:lang w:val="en-US" w:eastAsia="zh-CN" w:bidi="ar"/>
              </w:rPr>
              <w:t>运维</w:t>
            </w:r>
            <w:r>
              <w:rPr>
                <w:rFonts w:hint="eastAsia" w:ascii="宋体" w:hAnsi="宋体" w:eastAsia="宋体" w:cs="宋体"/>
                <w:kern w:val="2"/>
                <w:sz w:val="24"/>
                <w:szCs w:val="24"/>
                <w:lang w:val="en-US" w:eastAsia="zh-CN" w:bidi="ar"/>
              </w:rPr>
              <w:t>工程师</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8BB139">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负责项目运行维护</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2B516">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人</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64E012A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Times New Roman"/>
                <w:kern w:val="2"/>
                <w:sz w:val="24"/>
                <w:szCs w:val="24"/>
              </w:rPr>
            </w:pPr>
            <w:r>
              <w:rPr>
                <w:rFonts w:hint="eastAsia"/>
                <w:sz w:val="21"/>
                <w:szCs w:val="21"/>
                <w:highlight w:val="none"/>
              </w:rPr>
              <w:t>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079FBF">
            <w:pPr>
              <w:keepNext w:val="0"/>
              <w:keepLines w:val="0"/>
              <w:widowControl/>
              <w:suppressLineNumbers w:val="0"/>
              <w:spacing w:before="0" w:beforeAutospacing="0" w:after="0" w:afterAutospacing="0" w:line="360" w:lineRule="auto"/>
              <w:ind w:left="0" w:right="0" w:firstLine="0" w:firstLineChars="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不驻场</w:t>
            </w:r>
          </w:p>
        </w:tc>
      </w:tr>
    </w:tbl>
    <w:p w14:paraId="14E820BE">
      <w:pPr>
        <w:rPr>
          <w:rFonts w:hint="eastAsia"/>
        </w:rPr>
      </w:pPr>
    </w:p>
    <w:p w14:paraId="1DC6A8E1">
      <w:pPr>
        <w:rPr>
          <w:rFonts w:hint="eastAsia"/>
        </w:rPr>
      </w:pPr>
    </w:p>
    <w:p w14:paraId="21B1B6F4">
      <w:pPr>
        <w:pStyle w:val="3"/>
        <w:bidi w:val="0"/>
        <w:ind w:left="0" w:leftChars="0" w:firstLine="0" w:firstLineChars="0"/>
        <w:rPr>
          <w:rFonts w:hint="eastAsia"/>
        </w:rPr>
      </w:pPr>
      <w:r>
        <w:t>等级保护要求</w:t>
      </w:r>
      <w:bookmarkEnd w:id="35"/>
    </w:p>
    <w:p w14:paraId="39C474ED">
      <w:pPr>
        <w:rPr>
          <w:rFonts w:hint="eastAsia"/>
        </w:rPr>
      </w:pPr>
      <w:r>
        <w:t>本项目等级保护要求：</w:t>
      </w:r>
      <w:r>
        <w:rPr>
          <w:rFonts w:hint="eastAsia"/>
        </w:rPr>
        <w:t>三级。</w:t>
      </w:r>
    </w:p>
    <w:p w14:paraId="16E18EFD">
      <w:pPr>
        <w:pStyle w:val="3"/>
        <w:bidi w:val="0"/>
        <w:ind w:left="0" w:leftChars="0" w:firstLine="0" w:firstLineChars="0"/>
        <w:rPr>
          <w:rFonts w:hint="eastAsia"/>
        </w:rPr>
      </w:pPr>
      <w:r>
        <w:rPr>
          <w:rFonts w:hint="eastAsia"/>
        </w:rPr>
        <w:t>商业密码应用需求</w:t>
      </w:r>
    </w:p>
    <w:p w14:paraId="66373914">
      <w:pPr>
        <w:rPr>
          <w:rFonts w:hint="eastAsia"/>
        </w:rPr>
      </w:pPr>
      <w:r>
        <w:rPr>
          <w:rFonts w:hint="eastAsia"/>
        </w:rPr>
        <w:t>围绕《国家政务信息化项目建设管理办法》中关于政务信息系统在系统规划阶段的密码应用要求，综合考虑物理和环境、网络和通信、设备和计算、应用和数据、安全管理等层面的密码应用需求，设计合规、正确、有效的系统密码应用方案，复用原有设施设备，满足GB/T 39786—2021《信息安全技术信息系统密码应用基本要求》中三级指标要求，并为通过密码应用安全性评估奠定基础。</w:t>
      </w:r>
    </w:p>
    <w:p w14:paraId="6F95A4CE">
      <w:pPr>
        <w:pStyle w:val="3"/>
        <w:bidi w:val="0"/>
        <w:ind w:left="0" w:leftChars="0" w:firstLine="0" w:firstLineChars="0"/>
        <w:rPr>
          <w:rFonts w:hint="eastAsia"/>
        </w:rPr>
      </w:pPr>
      <w:bookmarkStart w:id="36" w:name="_Toc63785512"/>
      <w:r>
        <w:rPr>
          <w:rFonts w:hint="eastAsia"/>
        </w:rPr>
        <w:t>技术文件要求</w:t>
      </w:r>
    </w:p>
    <w:p w14:paraId="5AE06C4B">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6EA76404">
      <w:pPr>
        <w:rPr>
          <w:rFonts w:hint="eastAsia"/>
        </w:rPr>
      </w:pPr>
      <w:r>
        <w:rPr>
          <w:rFonts w:hint="eastAsia"/>
        </w:rPr>
        <w:t>－</w:t>
      </w:r>
      <w:r>
        <w:t xml:space="preserve"> 系统说明文件； </w:t>
      </w:r>
    </w:p>
    <w:p w14:paraId="26B4E770">
      <w:pPr>
        <w:rPr>
          <w:rFonts w:hint="eastAsia"/>
        </w:rPr>
      </w:pPr>
      <w:r>
        <w:rPr>
          <w:rFonts w:hint="eastAsia"/>
        </w:rPr>
        <w:t>－</w:t>
      </w:r>
      <w:r>
        <w:t xml:space="preserve"> 技术手册(安装、测试、操作、维护、故障排除等)； </w:t>
      </w:r>
    </w:p>
    <w:p w14:paraId="051F8271">
      <w:pPr>
        <w:rPr>
          <w:rFonts w:hint="eastAsia"/>
        </w:rPr>
      </w:pPr>
      <w:r>
        <w:rPr>
          <w:rFonts w:hint="eastAsia"/>
        </w:rPr>
        <w:t>－</w:t>
      </w:r>
      <w:r>
        <w:t xml:space="preserve"> 项目文档，应该包括：</w:t>
      </w:r>
    </w:p>
    <w:p w14:paraId="24DBD8DB">
      <w:pPr>
        <w:ind w:left="360"/>
        <w:rPr>
          <w:rFonts w:hint="eastAsia"/>
        </w:rPr>
      </w:pPr>
      <w:r>
        <w:t>(1)软件需求说明书</w:t>
      </w:r>
    </w:p>
    <w:p w14:paraId="211B1F0E">
      <w:pPr>
        <w:ind w:left="360"/>
        <w:rPr>
          <w:rFonts w:hint="eastAsia"/>
        </w:rPr>
      </w:pPr>
      <w:r>
        <w:t>(2)</w:t>
      </w:r>
      <w:r>
        <w:tab/>
      </w:r>
      <w:r>
        <w:t>系统总体设计说明书</w:t>
      </w:r>
    </w:p>
    <w:p w14:paraId="2883193B">
      <w:pPr>
        <w:ind w:left="360"/>
        <w:rPr>
          <w:rFonts w:hint="eastAsia"/>
        </w:rPr>
      </w:pPr>
      <w:r>
        <w:t>(3)</w:t>
      </w:r>
      <w:r>
        <w:tab/>
      </w:r>
      <w:r>
        <w:t>应用软件功能清单</w:t>
      </w:r>
    </w:p>
    <w:p w14:paraId="486BA84D">
      <w:pPr>
        <w:rPr>
          <w:rFonts w:hint="eastAsia"/>
        </w:rPr>
      </w:pPr>
      <w:r>
        <w:rPr>
          <w:rFonts w:hint="eastAsia"/>
        </w:rPr>
        <w:t>提供全套技术文件纸介质</w:t>
      </w:r>
      <w:r>
        <w:t>3套以及电子文件1套。</w:t>
      </w:r>
    </w:p>
    <w:p w14:paraId="33B7E1D8">
      <w:pPr>
        <w:pStyle w:val="2"/>
        <w:rPr>
          <w:rFonts w:hint="eastAsia"/>
        </w:rPr>
      </w:pPr>
      <w:r>
        <w:rPr>
          <w:rFonts w:hint="eastAsia"/>
        </w:rPr>
        <w:t>供应商管理要求</w:t>
      </w:r>
      <w:bookmarkEnd w:id="36"/>
    </w:p>
    <w:p w14:paraId="0B7B1369">
      <w:pPr>
        <w:pStyle w:val="81"/>
        <w:ind w:firstLine="480"/>
        <w:rPr>
          <w:rFonts w:hint="eastAsia"/>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0BA45593">
      <w:pPr>
        <w:pStyle w:val="81"/>
        <w:ind w:firstLine="480"/>
        <w:rPr>
          <w:rFonts w:hint="eastAsia"/>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14:paraId="3A73A53F">
      <w:pPr>
        <w:pStyle w:val="81"/>
        <w:ind w:firstLine="480"/>
        <w:rPr>
          <w:rFonts w:hint="eastAsia"/>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01972840">
      <w:pPr>
        <w:pStyle w:val="81"/>
        <w:ind w:firstLine="480"/>
        <w:rPr>
          <w:rFonts w:hint="eastAsia"/>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1EEFC1DF">
      <w:pPr>
        <w:pStyle w:val="81"/>
        <w:ind w:firstLine="480"/>
        <w:rPr>
          <w:rFonts w:hint="eastAsia"/>
          <w:sz w:val="24"/>
          <w:szCs w:val="24"/>
        </w:rPr>
      </w:pPr>
      <w:r>
        <w:rPr>
          <w:rFonts w:hint="eastAsia"/>
          <w:sz w:val="24"/>
          <w:szCs w:val="24"/>
        </w:rPr>
        <w:t>5、中标人在项目实施期间必须遵守采购人的规章制度并提供实施人员名单。</w:t>
      </w:r>
    </w:p>
    <w:p w14:paraId="6EED3857">
      <w:pPr>
        <w:pStyle w:val="81"/>
        <w:ind w:firstLine="480"/>
        <w:rPr>
          <w:rFonts w:hint="eastAsia"/>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1D974D05">
      <w:pPr>
        <w:pStyle w:val="81"/>
        <w:ind w:firstLine="480"/>
        <w:rPr>
          <w:rFonts w:hint="eastAsia"/>
        </w:rPr>
      </w:pPr>
      <w:r>
        <w:rPr>
          <w:rFonts w:hint="eastAsia"/>
          <w:sz w:val="24"/>
          <w:szCs w:val="24"/>
        </w:rPr>
        <w:t>7、本项目软件开发及调试将纳入采购人的管理范围，中标人在此过程中须服从上述单位的管理协调。</w:t>
      </w:r>
    </w:p>
    <w:p w14:paraId="5004D2AD">
      <w:pPr>
        <w:pStyle w:val="2"/>
        <w:rPr>
          <w:rFonts w:hint="eastAsia"/>
        </w:rPr>
      </w:pPr>
      <w:bookmarkStart w:id="37" w:name="_Toc63785513"/>
      <w:r>
        <w:rPr>
          <w:rFonts w:hint="eastAsia"/>
        </w:rPr>
        <w:t>关于转让和分包的规定</w:t>
      </w:r>
    </w:p>
    <w:p w14:paraId="007E6ACB">
      <w:pPr>
        <w:rPr>
          <w:rFonts w:hint="eastAsia"/>
        </w:rPr>
      </w:pPr>
      <w:r>
        <w:rPr>
          <w:rFonts w:hint="eastAsia"/>
        </w:rPr>
        <w:t>本项目不得转让、不得分包。</w:t>
      </w:r>
    </w:p>
    <w:bookmarkEnd w:id="37"/>
    <w:p w14:paraId="73A9324D">
      <w:pPr>
        <w:pStyle w:val="2"/>
        <w:rPr>
          <w:rFonts w:hint="eastAsia"/>
        </w:rPr>
      </w:pPr>
      <w:r>
        <w:rPr>
          <w:rFonts w:hint="eastAsia"/>
          <w:lang w:eastAsia="zh-CN"/>
        </w:rPr>
        <w:t>其他要求</w:t>
      </w:r>
    </w:p>
    <w:p w14:paraId="695D8DCC">
      <w:pPr>
        <w:pStyle w:val="135"/>
        <w:numPr>
          <w:ilvl w:val="0"/>
          <w:numId w:val="5"/>
        </w:numPr>
        <w:spacing w:line="600" w:lineRule="exact"/>
        <w:ind w:firstLine="480"/>
        <w:rPr>
          <w:rFonts w:hint="eastAsia" w:ascii="宋体" w:hAnsi="宋体"/>
          <w:sz w:val="24"/>
          <w:szCs w:val="24"/>
          <w:lang w:val="en-US" w:eastAsia="zh-CN"/>
        </w:rPr>
      </w:pPr>
      <w:r>
        <w:rPr>
          <w:rFonts w:hint="eastAsia" w:ascii="宋体" w:hAnsi="宋体"/>
          <w:sz w:val="24"/>
          <w:szCs w:val="24"/>
          <w:lang w:val="en-US" w:eastAsia="zh-CN"/>
        </w:rPr>
        <w:t>投标人具有近三年类似数字化展会类项目业绩的优先考虑；</w:t>
      </w:r>
    </w:p>
    <w:p w14:paraId="7ED522B1">
      <w:pPr>
        <w:pStyle w:val="135"/>
        <w:numPr>
          <w:ilvl w:val="0"/>
          <w:numId w:val="5"/>
        </w:numPr>
        <w:spacing w:line="600" w:lineRule="exact"/>
        <w:ind w:firstLine="480"/>
        <w:rPr>
          <w:rFonts w:hint="eastAsia" w:ascii="宋体" w:hAnsi="宋体"/>
          <w:sz w:val="24"/>
          <w:szCs w:val="24"/>
        </w:rPr>
      </w:pPr>
      <w:r>
        <w:rPr>
          <w:rFonts w:hint="eastAsia" w:ascii="宋体" w:hAnsi="宋体"/>
          <w:sz w:val="24"/>
          <w:szCs w:val="24"/>
          <w:lang w:val="en-US" w:eastAsia="zh-CN"/>
        </w:rPr>
        <w:t>投标人具有ITSS 信息技术服务运行维护标准符合性证书、ISO20000信息技术服务管理体系认证证书、ISO27001信息安全管理体系认证证书、信息系统建设和服务能力等级CS证书的优先考虑；</w:t>
      </w:r>
    </w:p>
    <w:p w14:paraId="7741CA5A">
      <w:pPr>
        <w:pStyle w:val="135"/>
        <w:numPr>
          <w:ilvl w:val="0"/>
          <w:numId w:val="5"/>
        </w:numPr>
        <w:spacing w:line="600" w:lineRule="exact"/>
        <w:ind w:firstLine="480"/>
        <w:rPr>
          <w:rFonts w:hint="eastAsia" w:ascii="宋体" w:hAnsi="宋体"/>
          <w:sz w:val="24"/>
          <w:szCs w:val="24"/>
        </w:rPr>
      </w:pPr>
      <w:r>
        <w:rPr>
          <w:rFonts w:hint="eastAsia" w:ascii="宋体" w:hAnsi="宋体"/>
          <w:sz w:val="24"/>
          <w:szCs w:val="24"/>
          <w:lang w:val="en-US" w:eastAsia="zh-CN"/>
        </w:rPr>
        <w:t>投标人具有</w:t>
      </w:r>
      <w:r>
        <w:rPr>
          <w:rFonts w:hint="eastAsia" w:ascii="宋体" w:hAnsi="宋体" w:cs="Times New Roman"/>
          <w:color w:val="auto"/>
          <w:kern w:val="2"/>
          <w:sz w:val="24"/>
          <w:szCs w:val="24"/>
        </w:rPr>
        <w:t>自主开发的</w:t>
      </w:r>
      <w:r>
        <w:rPr>
          <w:rFonts w:hint="eastAsia" w:ascii="宋体" w:hAnsi="宋体" w:cs="Times New Roman"/>
          <w:color w:val="auto"/>
          <w:kern w:val="2"/>
          <w:sz w:val="24"/>
          <w:szCs w:val="24"/>
          <w:highlight w:val="none"/>
        </w:rPr>
        <w:t>国产化数据采集类、国产化微服务支撑管理类、国产化智能搜索类、</w:t>
      </w:r>
      <w:r>
        <w:rPr>
          <w:rFonts w:hint="eastAsia" w:ascii="宋体" w:hAnsi="宋体" w:cs="Times New Roman"/>
          <w:color w:val="auto"/>
          <w:kern w:val="2"/>
          <w:sz w:val="24"/>
          <w:szCs w:val="24"/>
          <w:highlight w:val="none"/>
          <w:lang w:val="en-US" w:eastAsia="zh-CN"/>
        </w:rPr>
        <w:t>智能问数</w:t>
      </w:r>
      <w:r>
        <w:rPr>
          <w:rFonts w:hint="eastAsia" w:ascii="宋体" w:hAnsi="宋体" w:cs="Times New Roman"/>
          <w:color w:val="auto"/>
          <w:kern w:val="2"/>
          <w:sz w:val="24"/>
          <w:szCs w:val="24"/>
          <w:highlight w:val="none"/>
        </w:rPr>
        <w:t>类、</w:t>
      </w:r>
      <w:r>
        <w:rPr>
          <w:rFonts w:hint="eastAsia" w:ascii="宋体" w:hAnsi="宋体" w:cs="Times New Roman"/>
          <w:color w:val="auto"/>
          <w:kern w:val="2"/>
          <w:sz w:val="24"/>
          <w:szCs w:val="24"/>
          <w:highlight w:val="none"/>
          <w:lang w:val="en-US" w:eastAsia="zh-CN"/>
        </w:rPr>
        <w:t>多模态数据融合治理</w:t>
      </w:r>
      <w:r>
        <w:rPr>
          <w:rFonts w:hint="eastAsia" w:ascii="宋体" w:hAnsi="宋体" w:cs="Times New Roman"/>
          <w:color w:val="auto"/>
          <w:kern w:val="2"/>
          <w:sz w:val="24"/>
          <w:szCs w:val="24"/>
          <w:highlight w:val="none"/>
        </w:rPr>
        <w:t>类</w:t>
      </w:r>
      <w:r>
        <w:rPr>
          <w:rFonts w:hint="eastAsia" w:ascii="宋体" w:hAnsi="宋体" w:cs="Times New Roman"/>
          <w:color w:val="auto"/>
          <w:kern w:val="2"/>
          <w:sz w:val="24"/>
          <w:szCs w:val="24"/>
          <w:highlight w:val="none"/>
          <w:lang w:eastAsia="zh-CN"/>
        </w:rPr>
        <w:t>、</w:t>
      </w:r>
      <w:r>
        <w:rPr>
          <w:rFonts w:hint="eastAsia" w:ascii="宋体" w:hAnsi="宋体" w:cs="Times New Roman"/>
          <w:color w:val="auto"/>
          <w:kern w:val="2"/>
          <w:sz w:val="24"/>
          <w:szCs w:val="24"/>
          <w:highlight w:val="none"/>
          <w:lang w:val="en-US" w:eastAsia="zh-CN"/>
        </w:rPr>
        <w:t>AI智能体类、垂类大模型、低代码快速搭建类</w:t>
      </w:r>
      <w:r>
        <w:rPr>
          <w:rFonts w:hint="eastAsia" w:ascii="宋体" w:hAnsi="宋体" w:cs="Times New Roman"/>
          <w:color w:val="auto"/>
          <w:kern w:val="2"/>
          <w:sz w:val="24"/>
          <w:szCs w:val="24"/>
          <w:highlight w:val="none"/>
        </w:rPr>
        <w:t>及相关类</w:t>
      </w:r>
      <w:r>
        <w:rPr>
          <w:rFonts w:hint="eastAsia" w:ascii="宋体" w:hAnsi="宋体" w:cs="Times New Roman"/>
          <w:color w:val="auto"/>
          <w:kern w:val="2"/>
          <w:sz w:val="24"/>
          <w:szCs w:val="24"/>
        </w:rPr>
        <w:t>型或类似功能的软件著作权证书的</w:t>
      </w:r>
      <w:r>
        <w:rPr>
          <w:rFonts w:hint="eastAsia" w:ascii="宋体" w:hAnsi="宋体" w:eastAsia="宋体" w:cs="Times New Roman"/>
          <w:kern w:val="2"/>
          <w:sz w:val="24"/>
          <w:szCs w:val="24"/>
          <w:lang w:eastAsia="zh-CN"/>
        </w:rPr>
        <w:t>优先考虑。</w:t>
      </w:r>
    </w:p>
    <w:p w14:paraId="066B9D08">
      <w:pPr>
        <w:jc w:val="left"/>
        <w:rPr>
          <w:rFonts w:hint="eastAsia"/>
          <w:bCs/>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3EB8">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054EED38">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3CBA">
    <w:pPr>
      <w:rPr>
        <w:rFonts w:hint="eastAsia"/>
      </w:rPr>
    </w:pPr>
  </w:p>
  <w:p w14:paraId="7E997EF6">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6EA1">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2023">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1D58A753">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36E9">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0467">
    <w:pPr>
      <w:rPr>
        <w:rFonts w:hint="eastAsia"/>
      </w:rPr>
    </w:pPr>
  </w:p>
  <w:p w14:paraId="3517CF9E">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1942">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CAD08"/>
    <w:multiLevelType w:val="singleLevel"/>
    <w:tmpl w:val="DDECAD08"/>
    <w:lvl w:ilvl="0" w:tentative="0">
      <w:start w:val="1"/>
      <w:numFmt w:val="decimal"/>
      <w:lvlText w:val="%1."/>
      <w:lvlJc w:val="left"/>
      <w:pPr>
        <w:tabs>
          <w:tab w:val="left" w:pos="312"/>
        </w:tabs>
      </w:pPr>
    </w:lvl>
  </w:abstractNum>
  <w:abstractNum w:abstractNumId="1">
    <w:nsid w:val="31292B7C"/>
    <w:multiLevelType w:val="multilevel"/>
    <w:tmpl w:val="31292B7C"/>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6CD16A7B"/>
    <w:multiLevelType w:val="multilevel"/>
    <w:tmpl w:val="6CD16A7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2DBA"/>
    <w:rsid w:val="00003516"/>
    <w:rsid w:val="0000380E"/>
    <w:rsid w:val="00005AFD"/>
    <w:rsid w:val="00006563"/>
    <w:rsid w:val="000074F1"/>
    <w:rsid w:val="00007A41"/>
    <w:rsid w:val="00007DA7"/>
    <w:rsid w:val="00012EF0"/>
    <w:rsid w:val="000156DE"/>
    <w:rsid w:val="00015A2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6294"/>
    <w:rsid w:val="0006794B"/>
    <w:rsid w:val="00067DCA"/>
    <w:rsid w:val="00070063"/>
    <w:rsid w:val="0007087A"/>
    <w:rsid w:val="000710EC"/>
    <w:rsid w:val="00072237"/>
    <w:rsid w:val="00072ABE"/>
    <w:rsid w:val="00080B39"/>
    <w:rsid w:val="00083950"/>
    <w:rsid w:val="00083CBA"/>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2F15"/>
    <w:rsid w:val="000C3F3C"/>
    <w:rsid w:val="000C5A75"/>
    <w:rsid w:val="000C75E9"/>
    <w:rsid w:val="000C75F7"/>
    <w:rsid w:val="000D0AB2"/>
    <w:rsid w:val="000D225C"/>
    <w:rsid w:val="000D36F2"/>
    <w:rsid w:val="000D4B26"/>
    <w:rsid w:val="000D74DB"/>
    <w:rsid w:val="000D751F"/>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2AF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307"/>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1BE"/>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D15"/>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86686"/>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3C30"/>
    <w:rsid w:val="002C674D"/>
    <w:rsid w:val="002C7648"/>
    <w:rsid w:val="002C7DC4"/>
    <w:rsid w:val="002D0821"/>
    <w:rsid w:val="002D1929"/>
    <w:rsid w:val="002D1B73"/>
    <w:rsid w:val="002D3CB0"/>
    <w:rsid w:val="002D4800"/>
    <w:rsid w:val="002D5B21"/>
    <w:rsid w:val="002D6F6D"/>
    <w:rsid w:val="002E1FE6"/>
    <w:rsid w:val="002E2EA7"/>
    <w:rsid w:val="002E36D2"/>
    <w:rsid w:val="002E376D"/>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578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5753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08A"/>
    <w:rsid w:val="00420CDF"/>
    <w:rsid w:val="0042285D"/>
    <w:rsid w:val="0042413E"/>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1D5"/>
    <w:rsid w:val="00484395"/>
    <w:rsid w:val="004865FB"/>
    <w:rsid w:val="00486943"/>
    <w:rsid w:val="00486C03"/>
    <w:rsid w:val="00491AB3"/>
    <w:rsid w:val="00497A33"/>
    <w:rsid w:val="004A1112"/>
    <w:rsid w:val="004A1DA0"/>
    <w:rsid w:val="004A1F20"/>
    <w:rsid w:val="004A2393"/>
    <w:rsid w:val="004A3569"/>
    <w:rsid w:val="004A452A"/>
    <w:rsid w:val="004A5F2C"/>
    <w:rsid w:val="004A6E4F"/>
    <w:rsid w:val="004A720D"/>
    <w:rsid w:val="004B00D0"/>
    <w:rsid w:val="004B198F"/>
    <w:rsid w:val="004B6084"/>
    <w:rsid w:val="004B7AE0"/>
    <w:rsid w:val="004C0BC4"/>
    <w:rsid w:val="004C260D"/>
    <w:rsid w:val="004C2D47"/>
    <w:rsid w:val="004C4357"/>
    <w:rsid w:val="004C4477"/>
    <w:rsid w:val="004C5730"/>
    <w:rsid w:val="004C6397"/>
    <w:rsid w:val="004C668F"/>
    <w:rsid w:val="004C682B"/>
    <w:rsid w:val="004C734E"/>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7DD"/>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0D91"/>
    <w:rsid w:val="0053487C"/>
    <w:rsid w:val="005356E1"/>
    <w:rsid w:val="00536A8B"/>
    <w:rsid w:val="005370E1"/>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22E9"/>
    <w:rsid w:val="00583671"/>
    <w:rsid w:val="00584221"/>
    <w:rsid w:val="00584EB6"/>
    <w:rsid w:val="00586B68"/>
    <w:rsid w:val="0058774E"/>
    <w:rsid w:val="005878CF"/>
    <w:rsid w:val="00590CA0"/>
    <w:rsid w:val="00595B01"/>
    <w:rsid w:val="00596D98"/>
    <w:rsid w:val="005979A5"/>
    <w:rsid w:val="005A0021"/>
    <w:rsid w:val="005A017B"/>
    <w:rsid w:val="005A0EF9"/>
    <w:rsid w:val="005A2AEC"/>
    <w:rsid w:val="005A3E78"/>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E785F"/>
    <w:rsid w:val="005E7EA6"/>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6DAB"/>
    <w:rsid w:val="00627912"/>
    <w:rsid w:val="0063195F"/>
    <w:rsid w:val="00635FC7"/>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1961"/>
    <w:rsid w:val="00682B9D"/>
    <w:rsid w:val="00683806"/>
    <w:rsid w:val="00686AF9"/>
    <w:rsid w:val="006910C0"/>
    <w:rsid w:val="00691954"/>
    <w:rsid w:val="00692A23"/>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5739"/>
    <w:rsid w:val="006B62B2"/>
    <w:rsid w:val="006C1C57"/>
    <w:rsid w:val="006C5760"/>
    <w:rsid w:val="006C6D6F"/>
    <w:rsid w:val="006D0D78"/>
    <w:rsid w:val="006D1128"/>
    <w:rsid w:val="006D2848"/>
    <w:rsid w:val="006D30E0"/>
    <w:rsid w:val="006D5521"/>
    <w:rsid w:val="006D5FE9"/>
    <w:rsid w:val="006D6CBB"/>
    <w:rsid w:val="006D7279"/>
    <w:rsid w:val="006D76A9"/>
    <w:rsid w:val="006D77F4"/>
    <w:rsid w:val="006E0898"/>
    <w:rsid w:val="006E41CD"/>
    <w:rsid w:val="006E75D4"/>
    <w:rsid w:val="006F3BEC"/>
    <w:rsid w:val="006F3C29"/>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4C2D"/>
    <w:rsid w:val="00736633"/>
    <w:rsid w:val="00741EE7"/>
    <w:rsid w:val="00743A79"/>
    <w:rsid w:val="007444D4"/>
    <w:rsid w:val="0074594D"/>
    <w:rsid w:val="007459F3"/>
    <w:rsid w:val="00746E35"/>
    <w:rsid w:val="007470E2"/>
    <w:rsid w:val="0075232F"/>
    <w:rsid w:val="00752F6D"/>
    <w:rsid w:val="00753132"/>
    <w:rsid w:val="007550B3"/>
    <w:rsid w:val="00760451"/>
    <w:rsid w:val="0077182A"/>
    <w:rsid w:val="00771913"/>
    <w:rsid w:val="00772718"/>
    <w:rsid w:val="00775BCF"/>
    <w:rsid w:val="007818AA"/>
    <w:rsid w:val="00783140"/>
    <w:rsid w:val="007838B6"/>
    <w:rsid w:val="00783E77"/>
    <w:rsid w:val="007856BD"/>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584C"/>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1802"/>
    <w:rsid w:val="008C3912"/>
    <w:rsid w:val="008C5598"/>
    <w:rsid w:val="008C69EA"/>
    <w:rsid w:val="008C6F8B"/>
    <w:rsid w:val="008C7AB7"/>
    <w:rsid w:val="008C7FB4"/>
    <w:rsid w:val="008D2C8C"/>
    <w:rsid w:val="008D3040"/>
    <w:rsid w:val="008D3784"/>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15B66"/>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12E4"/>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4449"/>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5F0C"/>
    <w:rsid w:val="00A974CB"/>
    <w:rsid w:val="00A9789F"/>
    <w:rsid w:val="00AA1EAC"/>
    <w:rsid w:val="00AA45E2"/>
    <w:rsid w:val="00AA4779"/>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D74A1"/>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2D25"/>
    <w:rsid w:val="00B43065"/>
    <w:rsid w:val="00B44784"/>
    <w:rsid w:val="00B449D0"/>
    <w:rsid w:val="00B456AB"/>
    <w:rsid w:val="00B45E30"/>
    <w:rsid w:val="00B46C2A"/>
    <w:rsid w:val="00B47E8B"/>
    <w:rsid w:val="00B51C67"/>
    <w:rsid w:val="00B5300C"/>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29A"/>
    <w:rsid w:val="00B7648F"/>
    <w:rsid w:val="00B76E13"/>
    <w:rsid w:val="00B771EE"/>
    <w:rsid w:val="00B7765B"/>
    <w:rsid w:val="00B77B4B"/>
    <w:rsid w:val="00B80ABC"/>
    <w:rsid w:val="00B814C2"/>
    <w:rsid w:val="00B866E7"/>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0447"/>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D79B8"/>
    <w:rsid w:val="00BE0666"/>
    <w:rsid w:val="00BE0E7B"/>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16D65"/>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5F26"/>
    <w:rsid w:val="00C5611B"/>
    <w:rsid w:val="00C5695E"/>
    <w:rsid w:val="00C61528"/>
    <w:rsid w:val="00C63457"/>
    <w:rsid w:val="00C640C6"/>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076F"/>
    <w:rsid w:val="00CA15DA"/>
    <w:rsid w:val="00CA224E"/>
    <w:rsid w:val="00CA41C5"/>
    <w:rsid w:val="00CA42B7"/>
    <w:rsid w:val="00CA4A53"/>
    <w:rsid w:val="00CA51F5"/>
    <w:rsid w:val="00CB218A"/>
    <w:rsid w:val="00CB225A"/>
    <w:rsid w:val="00CB4D57"/>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4ABE"/>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31ED"/>
    <w:rsid w:val="00D74171"/>
    <w:rsid w:val="00D7474C"/>
    <w:rsid w:val="00D8032C"/>
    <w:rsid w:val="00D80CE2"/>
    <w:rsid w:val="00D83080"/>
    <w:rsid w:val="00D83E66"/>
    <w:rsid w:val="00D84D5F"/>
    <w:rsid w:val="00D851E2"/>
    <w:rsid w:val="00D87FFA"/>
    <w:rsid w:val="00D90D3B"/>
    <w:rsid w:val="00D91419"/>
    <w:rsid w:val="00D92A09"/>
    <w:rsid w:val="00D92D2A"/>
    <w:rsid w:val="00D92EEC"/>
    <w:rsid w:val="00D93470"/>
    <w:rsid w:val="00D9395F"/>
    <w:rsid w:val="00D93D55"/>
    <w:rsid w:val="00D941FA"/>
    <w:rsid w:val="00D94B59"/>
    <w:rsid w:val="00D951CC"/>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492D"/>
    <w:rsid w:val="00DC6F54"/>
    <w:rsid w:val="00DD0C00"/>
    <w:rsid w:val="00DD0F8C"/>
    <w:rsid w:val="00DD116C"/>
    <w:rsid w:val="00DD23D5"/>
    <w:rsid w:val="00DD2AF1"/>
    <w:rsid w:val="00DD46DA"/>
    <w:rsid w:val="00DD6072"/>
    <w:rsid w:val="00DD62BE"/>
    <w:rsid w:val="00DD6C17"/>
    <w:rsid w:val="00DD77D9"/>
    <w:rsid w:val="00DD7CA4"/>
    <w:rsid w:val="00DE167C"/>
    <w:rsid w:val="00DE3B70"/>
    <w:rsid w:val="00DE3BA7"/>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965"/>
    <w:rsid w:val="00E65CCC"/>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0385"/>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644"/>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85"/>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3A24"/>
    <w:rsid w:val="00FE42DD"/>
    <w:rsid w:val="00FE5469"/>
    <w:rsid w:val="00FE66C2"/>
    <w:rsid w:val="00FE684A"/>
    <w:rsid w:val="00FE6F23"/>
    <w:rsid w:val="00FF0F8C"/>
    <w:rsid w:val="00FF408B"/>
    <w:rsid w:val="00FF43E1"/>
    <w:rsid w:val="02A429BD"/>
    <w:rsid w:val="030E7E36"/>
    <w:rsid w:val="03430854"/>
    <w:rsid w:val="039F5FA6"/>
    <w:rsid w:val="059D379D"/>
    <w:rsid w:val="0878647D"/>
    <w:rsid w:val="08AD7905"/>
    <w:rsid w:val="09305ADA"/>
    <w:rsid w:val="09764C9E"/>
    <w:rsid w:val="0A804D7A"/>
    <w:rsid w:val="0B6D15EC"/>
    <w:rsid w:val="0C0B3E50"/>
    <w:rsid w:val="0C395F24"/>
    <w:rsid w:val="0E8013B7"/>
    <w:rsid w:val="10D604C6"/>
    <w:rsid w:val="11B515E0"/>
    <w:rsid w:val="13A53267"/>
    <w:rsid w:val="13F970D2"/>
    <w:rsid w:val="14AA4136"/>
    <w:rsid w:val="163A420B"/>
    <w:rsid w:val="19413B26"/>
    <w:rsid w:val="1C6D3688"/>
    <w:rsid w:val="1C974DF7"/>
    <w:rsid w:val="1CC63D0A"/>
    <w:rsid w:val="1DC2081A"/>
    <w:rsid w:val="1DD94266"/>
    <w:rsid w:val="1EC37BCD"/>
    <w:rsid w:val="1EFB60E4"/>
    <w:rsid w:val="1F9D0947"/>
    <w:rsid w:val="1FFB29C6"/>
    <w:rsid w:val="22AF3620"/>
    <w:rsid w:val="22E70AD4"/>
    <w:rsid w:val="23881ACC"/>
    <w:rsid w:val="24F1508D"/>
    <w:rsid w:val="266F634F"/>
    <w:rsid w:val="27AE5E26"/>
    <w:rsid w:val="27FA6A57"/>
    <w:rsid w:val="291059EA"/>
    <w:rsid w:val="2BBB3CBD"/>
    <w:rsid w:val="2BBF12EC"/>
    <w:rsid w:val="2BC649D9"/>
    <w:rsid w:val="336A5BF6"/>
    <w:rsid w:val="34A7727D"/>
    <w:rsid w:val="3515160D"/>
    <w:rsid w:val="389425B0"/>
    <w:rsid w:val="3A2C76CE"/>
    <w:rsid w:val="3C7D00D8"/>
    <w:rsid w:val="3CA06C0C"/>
    <w:rsid w:val="3EA25851"/>
    <w:rsid w:val="3F6C3757"/>
    <w:rsid w:val="405D6A10"/>
    <w:rsid w:val="41DA6594"/>
    <w:rsid w:val="444C1A75"/>
    <w:rsid w:val="44A3526F"/>
    <w:rsid w:val="44B032F4"/>
    <w:rsid w:val="452C3B7D"/>
    <w:rsid w:val="457D25F7"/>
    <w:rsid w:val="45E62F8B"/>
    <w:rsid w:val="468341CD"/>
    <w:rsid w:val="472C2589"/>
    <w:rsid w:val="4A760AEB"/>
    <w:rsid w:val="4F3162CA"/>
    <w:rsid w:val="4FFBAD10"/>
    <w:rsid w:val="50620A11"/>
    <w:rsid w:val="50D95873"/>
    <w:rsid w:val="51D51549"/>
    <w:rsid w:val="52302EF2"/>
    <w:rsid w:val="526102AF"/>
    <w:rsid w:val="528444DA"/>
    <w:rsid w:val="537745D5"/>
    <w:rsid w:val="552306F6"/>
    <w:rsid w:val="559E0F27"/>
    <w:rsid w:val="56E352D5"/>
    <w:rsid w:val="57E435FE"/>
    <w:rsid w:val="582D0655"/>
    <w:rsid w:val="58373C9C"/>
    <w:rsid w:val="5951205C"/>
    <w:rsid w:val="59D079E8"/>
    <w:rsid w:val="59D40847"/>
    <w:rsid w:val="5AE37F25"/>
    <w:rsid w:val="5CB23D47"/>
    <w:rsid w:val="5E5C0CE5"/>
    <w:rsid w:val="5F875EC9"/>
    <w:rsid w:val="5FAF09C4"/>
    <w:rsid w:val="601054C9"/>
    <w:rsid w:val="608A7C71"/>
    <w:rsid w:val="608C4642"/>
    <w:rsid w:val="62795572"/>
    <w:rsid w:val="64DD6417"/>
    <w:rsid w:val="66004745"/>
    <w:rsid w:val="66082630"/>
    <w:rsid w:val="6A567F20"/>
    <w:rsid w:val="6CD97953"/>
    <w:rsid w:val="6CE522C8"/>
    <w:rsid w:val="6CE93A6D"/>
    <w:rsid w:val="6ED30FD7"/>
    <w:rsid w:val="727D78FD"/>
    <w:rsid w:val="73CC655F"/>
    <w:rsid w:val="74A0760B"/>
    <w:rsid w:val="75957445"/>
    <w:rsid w:val="75D01AE1"/>
    <w:rsid w:val="7659578D"/>
    <w:rsid w:val="76662A94"/>
    <w:rsid w:val="77524363"/>
    <w:rsid w:val="77B917B5"/>
    <w:rsid w:val="78703975"/>
    <w:rsid w:val="79AB2208"/>
    <w:rsid w:val="7A0E3FE7"/>
    <w:rsid w:val="7BE420FD"/>
    <w:rsid w:val="7D0D296B"/>
    <w:rsid w:val="7D4E0B54"/>
    <w:rsid w:val="7D503E78"/>
    <w:rsid w:val="7E0160D4"/>
    <w:rsid w:val="DFBF2B60"/>
    <w:rsid w:val="E1C791B5"/>
    <w:rsid w:val="FDFD9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9"/>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2"/>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9"/>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7"/>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100"/>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3"/>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9"/>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9"/>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5"/>
    <w:qFormat/>
    <w:uiPriority w:val="0"/>
    <w:pPr>
      <w:spacing w:afterLines="50"/>
      <w:ind w:firstLine="200"/>
    </w:pPr>
    <w:rPr>
      <w:rFonts w:ascii="Arial" w:hAnsi="Arial" w:eastAsia="黑体"/>
      <w:sz w:val="20"/>
      <w:szCs w:val="20"/>
    </w:rPr>
  </w:style>
  <w:style w:type="paragraph" w:styleId="14">
    <w:name w:val="Document Map"/>
    <w:basedOn w:val="1"/>
    <w:link w:val="92"/>
    <w:qFormat/>
    <w:uiPriority w:val="0"/>
    <w:rPr>
      <w:rFonts w:hAnsi="Times New Roman"/>
      <w:sz w:val="18"/>
      <w:szCs w:val="18"/>
    </w:rPr>
  </w:style>
  <w:style w:type="paragraph" w:styleId="15">
    <w:name w:val="annotation text"/>
    <w:basedOn w:val="1"/>
    <w:link w:val="46"/>
    <w:qFormat/>
    <w:uiPriority w:val="99"/>
    <w:pPr>
      <w:jc w:val="left"/>
    </w:pPr>
    <w:rPr>
      <w:rFonts w:ascii="Times New Roman" w:hAnsi="Times New Roman" w:eastAsia="仿宋"/>
      <w:sz w:val="28"/>
    </w:rPr>
  </w:style>
  <w:style w:type="paragraph" w:styleId="16">
    <w:name w:val="Body Text"/>
    <w:basedOn w:val="1"/>
    <w:link w:val="60"/>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6"/>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7"/>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8"/>
    <w:qFormat/>
    <w:uiPriority w:val="0"/>
    <w:pPr>
      <w:ind w:left="100" w:leftChars="2500"/>
    </w:pPr>
    <w:rPr>
      <w:rFonts w:ascii="Times New Roman" w:hAnsi="Times New Roman"/>
      <w:sz w:val="21"/>
    </w:rPr>
  </w:style>
  <w:style w:type="paragraph" w:styleId="23">
    <w:name w:val="Balloon Text"/>
    <w:basedOn w:val="1"/>
    <w:link w:val="97"/>
    <w:qFormat/>
    <w:uiPriority w:val="0"/>
    <w:rPr>
      <w:rFonts w:ascii="Times New Roman" w:hAnsi="Times New Roman"/>
      <w:sz w:val="18"/>
      <w:szCs w:val="18"/>
    </w:rPr>
  </w:style>
  <w:style w:type="paragraph" w:styleId="24">
    <w:name w:val="footer"/>
    <w:basedOn w:val="1"/>
    <w:link w:val="90"/>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8"/>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8"/>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6"/>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4"/>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FollowedHyperlink"/>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character" w:customStyle="1" w:styleId="43">
    <w:name w:val="标题 3 字符1"/>
    <w:qFormat/>
    <w:uiPriority w:val="0"/>
    <w:rPr>
      <w:rFonts w:ascii="宋体" w:hAnsi="宋体"/>
      <w:b/>
      <w:bCs/>
      <w:kern w:val="2"/>
      <w:sz w:val="28"/>
      <w:szCs w:val="28"/>
    </w:rPr>
  </w:style>
  <w:style w:type="character" w:customStyle="1" w:styleId="44">
    <w:name w:val="首行缩进正文 Char"/>
    <w:link w:val="45"/>
    <w:qFormat/>
    <w:uiPriority w:val="0"/>
    <w:rPr>
      <w:kern w:val="2"/>
      <w:sz w:val="24"/>
    </w:rPr>
  </w:style>
  <w:style w:type="paragraph" w:customStyle="1" w:styleId="45">
    <w:name w:val="首行缩进正文"/>
    <w:basedOn w:val="1"/>
    <w:link w:val="44"/>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6">
    <w:name w:val="批注文字 字符1"/>
    <w:link w:val="15"/>
    <w:qFormat/>
    <w:uiPriority w:val="99"/>
    <w:rPr>
      <w:rFonts w:eastAsia="仿宋"/>
      <w:kern w:val="2"/>
      <w:sz w:val="28"/>
      <w:szCs w:val="24"/>
    </w:rPr>
  </w:style>
  <w:style w:type="character" w:customStyle="1" w:styleId="47">
    <w:name w:val="日期 字符"/>
    <w:semiHidden/>
    <w:qFormat/>
    <w:uiPriority w:val="99"/>
    <w:rPr>
      <w:rFonts w:ascii="宋体" w:hAnsi="宋体"/>
      <w:kern w:val="2"/>
      <w:sz w:val="24"/>
      <w:szCs w:val="24"/>
    </w:rPr>
  </w:style>
  <w:style w:type="character" w:customStyle="1" w:styleId="48">
    <w:name w:val="日期 字符1"/>
    <w:link w:val="22"/>
    <w:qFormat/>
    <w:uiPriority w:val="0"/>
    <w:rPr>
      <w:kern w:val="2"/>
      <w:sz w:val="21"/>
      <w:szCs w:val="24"/>
    </w:rPr>
  </w:style>
  <w:style w:type="character" w:customStyle="1" w:styleId="49">
    <w:name w:val="标题 9 字符"/>
    <w:link w:val="10"/>
    <w:qFormat/>
    <w:uiPriority w:val="9"/>
    <w:rPr>
      <w:rFonts w:ascii="Cambria" w:hAnsi="Cambria"/>
      <w:kern w:val="2"/>
      <w:sz w:val="21"/>
      <w:szCs w:val="21"/>
    </w:rPr>
  </w:style>
  <w:style w:type="character" w:customStyle="1" w:styleId="50">
    <w:name w:val="未处理的提及1"/>
    <w:unhideWhenUsed/>
    <w:qFormat/>
    <w:uiPriority w:val="99"/>
    <w:rPr>
      <w:color w:val="605E5C"/>
      <w:shd w:val="clear" w:color="auto" w:fill="E1DFDD"/>
    </w:rPr>
  </w:style>
  <w:style w:type="character" w:customStyle="1" w:styleId="51">
    <w:name w:val="标题 1 字符"/>
    <w:qFormat/>
    <w:uiPriority w:val="9"/>
    <w:rPr>
      <w:rFonts w:ascii="宋体" w:hAnsi="宋体"/>
      <w:b/>
      <w:bCs/>
      <w:kern w:val="44"/>
      <w:sz w:val="44"/>
      <w:szCs w:val="44"/>
    </w:rPr>
  </w:style>
  <w:style w:type="character" w:customStyle="1" w:styleId="52">
    <w:name w:val="标题 3 字符"/>
    <w:semiHidden/>
    <w:qFormat/>
    <w:uiPriority w:val="9"/>
    <w:rPr>
      <w:rFonts w:ascii="宋体" w:hAnsi="宋体"/>
      <w:b/>
      <w:bCs/>
      <w:kern w:val="2"/>
      <w:sz w:val="32"/>
      <w:szCs w:val="32"/>
    </w:rPr>
  </w:style>
  <w:style w:type="character" w:customStyle="1" w:styleId="53">
    <w:name w:val="页脚 字符"/>
    <w:qFormat/>
    <w:uiPriority w:val="99"/>
  </w:style>
  <w:style w:type="character" w:customStyle="1" w:styleId="54">
    <w:name w:val="标题 5 字符"/>
    <w:semiHidden/>
    <w:qFormat/>
    <w:uiPriority w:val="9"/>
    <w:rPr>
      <w:rFonts w:ascii="宋体" w:hAnsi="宋体"/>
      <w:b/>
      <w:bCs/>
      <w:kern w:val="2"/>
      <w:sz w:val="28"/>
      <w:szCs w:val="28"/>
    </w:rPr>
  </w:style>
  <w:style w:type="character" w:customStyle="1" w:styleId="55">
    <w:name w:val="题注 字符"/>
    <w:link w:val="13"/>
    <w:qFormat/>
    <w:locked/>
    <w:uiPriority w:val="0"/>
    <w:rPr>
      <w:rFonts w:ascii="Arial" w:hAnsi="Arial" w:eastAsia="黑体"/>
      <w:kern w:val="2"/>
    </w:rPr>
  </w:style>
  <w:style w:type="character" w:customStyle="1" w:styleId="56">
    <w:name w:val="标题 2 字符"/>
    <w:semiHidden/>
    <w:qFormat/>
    <w:uiPriority w:val="9"/>
    <w:rPr>
      <w:rFonts w:ascii="等线 Light" w:hAnsi="等线 Light" w:eastAsia="等线 Light" w:cs="Times New Roman"/>
      <w:b/>
      <w:bCs/>
      <w:kern w:val="2"/>
      <w:sz w:val="32"/>
      <w:szCs w:val="32"/>
    </w:rPr>
  </w:style>
  <w:style w:type="character" w:customStyle="1" w:styleId="57">
    <w:name w:val="纯文本 字符"/>
    <w:qFormat/>
    <w:uiPriority w:val="0"/>
    <w:rPr>
      <w:rFonts w:ascii="宋体" w:hAnsi="Courier New" w:cs="Courier New"/>
      <w:kern w:val="2"/>
      <w:sz w:val="21"/>
      <w:szCs w:val="21"/>
    </w:rPr>
  </w:style>
  <w:style w:type="character" w:customStyle="1" w:styleId="58">
    <w:name w:val="列表段落 字符"/>
    <w:qFormat/>
    <w:uiPriority w:val="34"/>
    <w:rPr>
      <w:kern w:val="2"/>
      <w:sz w:val="21"/>
      <w:szCs w:val="22"/>
    </w:rPr>
  </w:style>
  <w:style w:type="character" w:customStyle="1" w:styleId="59">
    <w:name w:val="标题 4 字符1"/>
    <w:link w:val="5"/>
    <w:qFormat/>
    <w:uiPriority w:val="0"/>
    <w:rPr>
      <w:rFonts w:ascii="宋体" w:hAnsi="宋体"/>
      <w:b/>
      <w:bCs/>
      <w:kern w:val="2"/>
      <w:sz w:val="30"/>
      <w:szCs w:val="30"/>
    </w:rPr>
  </w:style>
  <w:style w:type="character" w:customStyle="1" w:styleId="60">
    <w:name w:val="正文文本 字符"/>
    <w:link w:val="16"/>
    <w:qFormat/>
    <w:uiPriority w:val="0"/>
    <w:rPr>
      <w:kern w:val="2"/>
      <w:sz w:val="21"/>
      <w:szCs w:val="24"/>
    </w:rPr>
  </w:style>
  <w:style w:type="character" w:customStyle="1" w:styleId="61">
    <w:name w:val="列表段落 字符1"/>
    <w:link w:val="62"/>
    <w:qFormat/>
    <w:uiPriority w:val="34"/>
    <w:rPr>
      <w:kern w:val="2"/>
      <w:sz w:val="21"/>
      <w:szCs w:val="24"/>
    </w:rPr>
  </w:style>
  <w:style w:type="paragraph" w:styleId="62">
    <w:name w:val="List Paragraph"/>
    <w:basedOn w:val="1"/>
    <w:link w:val="61"/>
    <w:qFormat/>
    <w:uiPriority w:val="34"/>
    <w:pPr>
      <w:ind w:firstLine="420"/>
    </w:pPr>
    <w:rPr>
      <w:rFonts w:ascii="Times New Roman" w:hAnsi="Times New Roman"/>
      <w:sz w:val="21"/>
    </w:rPr>
  </w:style>
  <w:style w:type="character" w:customStyle="1" w:styleId="63">
    <w:name w:val="font21"/>
    <w:qFormat/>
    <w:uiPriority w:val="0"/>
    <w:rPr>
      <w:rFonts w:ascii="Calibri" w:hAnsi="Calibri" w:cs="Calibri"/>
      <w:color w:val="000000"/>
      <w:sz w:val="21"/>
      <w:szCs w:val="21"/>
      <w:u w:val="none"/>
    </w:rPr>
  </w:style>
  <w:style w:type="character" w:customStyle="1" w:styleId="64">
    <w:name w:val="*正文 Char"/>
    <w:link w:val="65"/>
    <w:qFormat/>
    <w:uiPriority w:val="0"/>
    <w:rPr>
      <w:rFonts w:ascii="time" w:hAnsi="time"/>
      <w:sz w:val="24"/>
      <w:szCs w:val="24"/>
      <w:lang w:bidi="en-US"/>
    </w:rPr>
  </w:style>
  <w:style w:type="paragraph" w:customStyle="1" w:styleId="65">
    <w:name w:val="*正文"/>
    <w:basedOn w:val="1"/>
    <w:link w:val="64"/>
    <w:qFormat/>
    <w:uiPriority w:val="0"/>
    <w:pPr>
      <w:widowControl/>
      <w:ind w:firstLine="200"/>
      <w:contextualSpacing/>
    </w:pPr>
    <w:rPr>
      <w:rFonts w:ascii="time" w:hAnsi="time"/>
      <w:kern w:val="0"/>
      <w:lang w:bidi="en-US"/>
    </w:rPr>
  </w:style>
  <w:style w:type="character" w:customStyle="1" w:styleId="66">
    <w:name w:val="正文文本缩进 字符"/>
    <w:semiHidden/>
    <w:qFormat/>
    <w:uiPriority w:val="99"/>
    <w:rPr>
      <w:rFonts w:ascii="宋体" w:hAnsi="宋体"/>
      <w:kern w:val="2"/>
      <w:sz w:val="24"/>
      <w:szCs w:val="24"/>
    </w:rPr>
  </w:style>
  <w:style w:type="character" w:customStyle="1" w:styleId="67">
    <w:name w:val="纯文本 字符1"/>
    <w:link w:val="20"/>
    <w:qFormat/>
    <w:locked/>
    <w:uiPriority w:val="0"/>
    <w:rPr>
      <w:rFonts w:ascii="宋体" w:hAnsi="Courier New"/>
      <w:kern w:val="2"/>
      <w:sz w:val="21"/>
    </w:rPr>
  </w:style>
  <w:style w:type="character" w:customStyle="1" w:styleId="68">
    <w:name w:val="my正文 Char"/>
    <w:link w:val="69"/>
    <w:qFormat/>
    <w:uiPriority w:val="0"/>
    <w:rPr>
      <w:kern w:val="2"/>
      <w:sz w:val="21"/>
      <w:szCs w:val="24"/>
    </w:rPr>
  </w:style>
  <w:style w:type="paragraph" w:customStyle="1" w:styleId="69">
    <w:name w:val="my正文"/>
    <w:basedOn w:val="1"/>
    <w:link w:val="68"/>
    <w:qFormat/>
    <w:uiPriority w:val="0"/>
    <w:pPr>
      <w:spacing w:line="240" w:lineRule="auto"/>
      <w:ind w:firstLine="0" w:firstLineChars="0"/>
    </w:pPr>
    <w:rPr>
      <w:rFonts w:ascii="Times New Roman" w:hAnsi="Times New Roman"/>
      <w:sz w:val="21"/>
    </w:rPr>
  </w:style>
  <w:style w:type="character" w:customStyle="1" w:styleId="70">
    <w:name w:val="正文2 字符"/>
    <w:link w:val="71"/>
    <w:qFormat/>
    <w:uiPriority w:val="0"/>
    <w:rPr>
      <w:kern w:val="2"/>
      <w:sz w:val="21"/>
      <w:szCs w:val="24"/>
    </w:rPr>
  </w:style>
  <w:style w:type="paragraph" w:customStyle="1" w:styleId="71">
    <w:name w:val="正文2"/>
    <w:basedOn w:val="1"/>
    <w:link w:val="70"/>
    <w:qFormat/>
    <w:uiPriority w:val="0"/>
    <w:pPr>
      <w:ind w:firstLine="420"/>
    </w:pPr>
    <w:rPr>
      <w:rFonts w:ascii="Times New Roman" w:hAnsi="Times New Roman"/>
      <w:sz w:val="21"/>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标题 7 字符"/>
    <w:link w:val="8"/>
    <w:qFormat/>
    <w:uiPriority w:val="9"/>
    <w:rPr>
      <w:b/>
      <w:bCs/>
      <w:kern w:val="2"/>
      <w:sz w:val="21"/>
      <w:szCs w:val="24"/>
    </w:rPr>
  </w:style>
  <w:style w:type="character" w:customStyle="1" w:styleId="74">
    <w:name w:val="批注框文本 字符"/>
    <w:semiHidden/>
    <w:qFormat/>
    <w:uiPriority w:val="99"/>
    <w:rPr>
      <w:rFonts w:ascii="宋体" w:hAnsi="宋体"/>
      <w:kern w:val="2"/>
      <w:sz w:val="18"/>
      <w:szCs w:val="18"/>
    </w:rPr>
  </w:style>
  <w:style w:type="character" w:customStyle="1" w:styleId="75">
    <w:name w:val="副标题 Char1"/>
    <w:qFormat/>
    <w:uiPriority w:val="0"/>
    <w:rPr>
      <w:rFonts w:ascii="Calibri Light" w:hAnsi="Calibri Light" w:cs="Times New Roman"/>
      <w:b/>
      <w:bCs/>
      <w:kern w:val="28"/>
      <w:sz w:val="32"/>
      <w:szCs w:val="32"/>
    </w:rPr>
  </w:style>
  <w:style w:type="character" w:customStyle="1" w:styleId="76">
    <w:name w:val="标题 1 字符1"/>
    <w:link w:val="2"/>
    <w:qFormat/>
    <w:uiPriority w:val="0"/>
    <w:rPr>
      <w:rFonts w:ascii="宋体" w:hAnsi="宋体" w:eastAsia="黑体"/>
      <w:b/>
      <w:bCs/>
      <w:kern w:val="44"/>
      <w:sz w:val="32"/>
      <w:szCs w:val="28"/>
    </w:rPr>
  </w:style>
  <w:style w:type="character" w:customStyle="1" w:styleId="77">
    <w:name w:val="批注文字 字符"/>
    <w:qFormat/>
    <w:uiPriority w:val="99"/>
    <w:rPr>
      <w:rFonts w:ascii="宋体" w:hAnsi="宋体"/>
      <w:kern w:val="2"/>
      <w:sz w:val="24"/>
      <w:szCs w:val="24"/>
    </w:rPr>
  </w:style>
  <w:style w:type="character" w:customStyle="1" w:styleId="78">
    <w:name w:val="文档结构图 字符"/>
    <w:semiHidden/>
    <w:qFormat/>
    <w:uiPriority w:val="99"/>
    <w:rPr>
      <w:rFonts w:ascii="Microsoft YaHei UI" w:hAnsi="宋体" w:eastAsia="Microsoft YaHei UI"/>
      <w:kern w:val="2"/>
      <w:sz w:val="18"/>
      <w:szCs w:val="18"/>
    </w:rPr>
  </w:style>
  <w:style w:type="character" w:customStyle="1" w:styleId="79">
    <w:name w:val="标题 6 字符"/>
    <w:semiHidden/>
    <w:qFormat/>
    <w:uiPriority w:val="9"/>
    <w:rPr>
      <w:rFonts w:ascii="等线 Light" w:hAnsi="等线 Light" w:eastAsia="等线 Light" w:cs="Times New Roman"/>
      <w:b/>
      <w:bCs/>
      <w:kern w:val="2"/>
      <w:sz w:val="24"/>
      <w:szCs w:val="24"/>
    </w:rPr>
  </w:style>
  <w:style w:type="character" w:customStyle="1" w:styleId="80">
    <w:name w:val="正文正文2 Char"/>
    <w:link w:val="81"/>
    <w:qFormat/>
    <w:uiPriority w:val="0"/>
    <w:rPr>
      <w:rFonts w:ascii="宋体" w:hAnsi="宋体"/>
      <w:kern w:val="2"/>
      <w:sz w:val="21"/>
      <w:szCs w:val="21"/>
    </w:rPr>
  </w:style>
  <w:style w:type="paragraph" w:customStyle="1" w:styleId="81">
    <w:name w:val="正文正文2"/>
    <w:basedOn w:val="1"/>
    <w:link w:val="80"/>
    <w:qFormat/>
    <w:uiPriority w:val="0"/>
    <w:pPr>
      <w:ind w:firstLine="460"/>
    </w:pPr>
    <w:rPr>
      <w:sz w:val="21"/>
      <w:szCs w:val="21"/>
    </w:rPr>
  </w:style>
  <w:style w:type="character" w:customStyle="1" w:styleId="82">
    <w:name w:val="标题 3 字符2"/>
    <w:link w:val="4"/>
    <w:qFormat/>
    <w:uiPriority w:val="0"/>
    <w:rPr>
      <w:rFonts w:ascii="宋体" w:hAnsi="宋体"/>
      <w:b/>
      <w:bCs/>
      <w:kern w:val="2"/>
      <w:sz w:val="28"/>
      <w:szCs w:val="28"/>
    </w:rPr>
  </w:style>
  <w:style w:type="character" w:customStyle="1" w:styleId="83">
    <w:name w:val="标题 4 字符"/>
    <w:semiHidden/>
    <w:qFormat/>
    <w:uiPriority w:val="9"/>
    <w:rPr>
      <w:rFonts w:ascii="等线 Light" w:hAnsi="等线 Light" w:eastAsia="等线 Light" w:cs="Times New Roman"/>
      <w:b/>
      <w:bCs/>
      <w:kern w:val="2"/>
      <w:sz w:val="28"/>
      <w:szCs w:val="28"/>
    </w:rPr>
  </w:style>
  <w:style w:type="character" w:customStyle="1" w:styleId="84">
    <w:name w:val="批注主题 字符1"/>
    <w:link w:val="34"/>
    <w:qFormat/>
    <w:uiPriority w:val="0"/>
    <w:rPr>
      <w:rFonts w:eastAsia="仿宋"/>
      <w:b/>
      <w:bCs/>
      <w:kern w:val="2"/>
      <w:sz w:val="21"/>
      <w:szCs w:val="24"/>
    </w:rPr>
  </w:style>
  <w:style w:type="character" w:customStyle="1" w:styleId="85">
    <w:name w:val="页眉 字符"/>
    <w:semiHidden/>
    <w:qFormat/>
    <w:uiPriority w:val="99"/>
    <w:rPr>
      <w:rFonts w:ascii="宋体" w:hAnsi="宋体"/>
      <w:kern w:val="2"/>
      <w:sz w:val="18"/>
      <w:szCs w:val="18"/>
    </w:rPr>
  </w:style>
  <w:style w:type="character" w:customStyle="1" w:styleId="86">
    <w:name w:val="正文文本缩进 字符1"/>
    <w:link w:val="17"/>
    <w:qFormat/>
    <w:uiPriority w:val="0"/>
    <w:rPr>
      <w:kern w:val="2"/>
      <w:sz w:val="21"/>
    </w:rPr>
  </w:style>
  <w:style w:type="character" w:customStyle="1" w:styleId="87">
    <w:name w:val="标题 5 字符1"/>
    <w:link w:val="6"/>
    <w:qFormat/>
    <w:uiPriority w:val="0"/>
    <w:rPr>
      <w:rFonts w:ascii="宋体" w:hAnsi="宋体"/>
      <w:b/>
      <w:bCs/>
      <w:kern w:val="2"/>
      <w:sz w:val="24"/>
      <w:szCs w:val="28"/>
    </w:rPr>
  </w:style>
  <w:style w:type="character" w:customStyle="1" w:styleId="88">
    <w:name w:val="副标题 字符1"/>
    <w:link w:val="28"/>
    <w:qFormat/>
    <w:uiPriority w:val="0"/>
    <w:rPr>
      <w:rFonts w:ascii="Calibri Light" w:hAnsi="Calibri Light"/>
      <w:b/>
      <w:bCs/>
      <w:kern w:val="28"/>
      <w:sz w:val="32"/>
      <w:szCs w:val="32"/>
    </w:rPr>
  </w:style>
  <w:style w:type="character" w:customStyle="1" w:styleId="89">
    <w:name w:val="标题 2 字符1"/>
    <w:link w:val="3"/>
    <w:qFormat/>
    <w:uiPriority w:val="9"/>
    <w:rPr>
      <w:rFonts w:ascii="宋体" w:hAnsi="宋体" w:eastAsia="宋体" w:cs="Times New Roman"/>
      <w:b/>
      <w:bCs/>
      <w:kern w:val="2"/>
      <w:sz w:val="30"/>
      <w:szCs w:val="32"/>
      <w:lang w:val="en-US" w:eastAsia="zh-CN" w:bidi="ar-SA"/>
    </w:rPr>
  </w:style>
  <w:style w:type="character" w:customStyle="1" w:styleId="90">
    <w:name w:val="页脚 字符1"/>
    <w:link w:val="24"/>
    <w:qFormat/>
    <w:uiPriority w:val="99"/>
    <w:rPr>
      <w:kern w:val="2"/>
      <w:sz w:val="18"/>
      <w:szCs w:val="18"/>
    </w:rPr>
  </w:style>
  <w:style w:type="character" w:customStyle="1" w:styleId="91">
    <w:name w:val="批注主题 字符"/>
    <w:semiHidden/>
    <w:qFormat/>
    <w:uiPriority w:val="99"/>
    <w:rPr>
      <w:rFonts w:ascii="宋体" w:hAnsi="宋体"/>
      <w:b/>
      <w:bCs/>
      <w:kern w:val="2"/>
      <w:sz w:val="24"/>
      <w:szCs w:val="24"/>
    </w:rPr>
  </w:style>
  <w:style w:type="character" w:customStyle="1" w:styleId="92">
    <w:name w:val="文档结构图 字符1"/>
    <w:link w:val="14"/>
    <w:qFormat/>
    <w:uiPriority w:val="0"/>
    <w:rPr>
      <w:rFonts w:ascii="宋体"/>
      <w:kern w:val="2"/>
      <w:sz w:val="18"/>
      <w:szCs w:val="18"/>
    </w:rPr>
  </w:style>
  <w:style w:type="character" w:customStyle="1" w:styleId="93">
    <w:name w:val="font31"/>
    <w:qFormat/>
    <w:uiPriority w:val="0"/>
    <w:rPr>
      <w:rFonts w:hint="eastAsia" w:ascii="宋体" w:hAnsi="宋体" w:eastAsia="宋体" w:cs="宋体"/>
      <w:color w:val="000000"/>
      <w:sz w:val="21"/>
      <w:szCs w:val="21"/>
      <w:u w:val="none"/>
    </w:rPr>
  </w:style>
  <w:style w:type="character" w:customStyle="1" w:styleId="94">
    <w:name w:val="标准正文 Char"/>
    <w:link w:val="95"/>
    <w:qFormat/>
    <w:uiPriority w:val="0"/>
    <w:rPr>
      <w:rFonts w:ascii="Arial" w:hAnsi="Arial"/>
      <w:kern w:val="2"/>
      <w:sz w:val="24"/>
    </w:rPr>
  </w:style>
  <w:style w:type="paragraph" w:customStyle="1" w:styleId="95">
    <w:name w:val="标准正文"/>
    <w:basedOn w:val="17"/>
    <w:link w:val="94"/>
    <w:qFormat/>
    <w:uiPriority w:val="0"/>
    <w:pPr>
      <w:spacing w:before="60" w:after="60"/>
      <w:ind w:firstLine="482" w:firstLineChars="0"/>
    </w:pPr>
    <w:rPr>
      <w:rFonts w:ascii="Arial" w:hAnsi="Arial"/>
      <w:sz w:val="24"/>
    </w:rPr>
  </w:style>
  <w:style w:type="character" w:customStyle="1" w:styleId="96">
    <w:name w:val="标题 字符1"/>
    <w:link w:val="33"/>
    <w:qFormat/>
    <w:uiPriority w:val="0"/>
    <w:rPr>
      <w:rFonts w:ascii="Cambria" w:hAnsi="Cambria" w:eastAsia="黑体"/>
      <w:b/>
      <w:bCs/>
      <w:kern w:val="2"/>
      <w:sz w:val="52"/>
      <w:szCs w:val="32"/>
    </w:rPr>
  </w:style>
  <w:style w:type="character" w:customStyle="1" w:styleId="97">
    <w:name w:val="批注框文本 字符1"/>
    <w:link w:val="23"/>
    <w:qFormat/>
    <w:uiPriority w:val="0"/>
    <w:rPr>
      <w:kern w:val="2"/>
      <w:sz w:val="18"/>
      <w:szCs w:val="18"/>
    </w:rPr>
  </w:style>
  <w:style w:type="character" w:customStyle="1" w:styleId="98">
    <w:name w:val="页眉 字符1"/>
    <w:link w:val="25"/>
    <w:qFormat/>
    <w:uiPriority w:val="99"/>
    <w:rPr>
      <w:kern w:val="2"/>
      <w:sz w:val="18"/>
      <w:szCs w:val="18"/>
    </w:rPr>
  </w:style>
  <w:style w:type="character" w:customStyle="1" w:styleId="99">
    <w:name w:val="标题 8 字符"/>
    <w:link w:val="9"/>
    <w:qFormat/>
    <w:uiPriority w:val="9"/>
    <w:rPr>
      <w:rFonts w:ascii="Cambria" w:hAnsi="Cambria"/>
      <w:kern w:val="2"/>
      <w:sz w:val="21"/>
      <w:szCs w:val="24"/>
    </w:rPr>
  </w:style>
  <w:style w:type="character" w:customStyle="1" w:styleId="100">
    <w:name w:val="标题 6 字符1"/>
    <w:link w:val="7"/>
    <w:qFormat/>
    <w:uiPriority w:val="0"/>
    <w:rPr>
      <w:rFonts w:ascii="Cambria" w:hAnsi="Cambria"/>
      <w:b/>
      <w:bCs/>
      <w:kern w:val="2"/>
      <w:sz w:val="24"/>
      <w:szCs w:val="24"/>
    </w:rPr>
  </w:style>
  <w:style w:type="character" w:customStyle="1" w:styleId="101">
    <w:name w:val="标题 字符"/>
    <w:qFormat/>
    <w:uiPriority w:val="10"/>
    <w:rPr>
      <w:rFonts w:ascii="等线 Light" w:hAnsi="等线 Light" w:eastAsia="等线 Light" w:cs="Times New Roman"/>
      <w:b/>
      <w:bCs/>
      <w:kern w:val="2"/>
      <w:sz w:val="32"/>
      <w:szCs w:val="32"/>
    </w:rPr>
  </w:style>
  <w:style w:type="character" w:customStyle="1" w:styleId="102">
    <w:name w:val="副标题 字符"/>
    <w:qFormat/>
    <w:uiPriority w:val="11"/>
    <w:rPr>
      <w:rFonts w:ascii="等线" w:hAnsi="等线" w:eastAsia="等线" w:cs="Times New Roman"/>
      <w:b/>
      <w:bCs/>
      <w:kern w:val="28"/>
      <w:sz w:val="32"/>
      <w:szCs w:val="32"/>
    </w:rPr>
  </w:style>
  <w:style w:type="paragraph" w:customStyle="1" w:styleId="103">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qFormat/>
    <w:uiPriority w:val="0"/>
    <w:pPr>
      <w:spacing w:line="240" w:lineRule="auto"/>
      <w:ind w:firstLine="420"/>
    </w:pPr>
    <w:rPr>
      <w:rFonts w:ascii="Times New Roman" w:hAnsi="Times New Roman"/>
      <w:sz w:val="21"/>
      <w:szCs w:val="20"/>
    </w:rPr>
  </w:style>
  <w:style w:type="paragraph" w:customStyle="1" w:styleId="108">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qFormat/>
    <w:uiPriority w:val="0"/>
    <w:pPr>
      <w:ind w:firstLine="150" w:firstLineChars="150"/>
    </w:pPr>
  </w:style>
  <w:style w:type="paragraph" w:customStyle="1" w:styleId="111">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qFormat/>
    <w:uiPriority w:val="0"/>
    <w:pPr>
      <w:widowControl/>
      <w:spacing w:after="160" w:line="240" w:lineRule="exact"/>
      <w:jc w:val="left"/>
    </w:pPr>
  </w:style>
  <w:style w:type="paragraph" w:customStyle="1" w:styleId="119">
    <w:name w:val="PM_Body"/>
    <w:basedOn w:val="1"/>
    <w:qFormat/>
    <w:locked/>
    <w:uiPriority w:val="0"/>
    <w:rPr>
      <w:szCs w:val="21"/>
    </w:rPr>
  </w:style>
  <w:style w:type="paragraph" w:customStyle="1" w:styleId="120">
    <w:name w:val="Char Char1"/>
    <w:basedOn w:val="1"/>
    <w:qFormat/>
    <w:uiPriority w:val="0"/>
    <w:pPr>
      <w:widowControl/>
      <w:spacing w:before="120" w:after="120"/>
    </w:pPr>
    <w:rPr>
      <w:rFonts w:ascii="Times New Roman" w:hAnsi="Times New Roman" w:cs="宋体"/>
    </w:rPr>
  </w:style>
  <w:style w:type="paragraph" w:customStyle="1" w:styleId="121">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修订1"/>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qFormat/>
    <w:uiPriority w:val="0"/>
    <w:pPr>
      <w:spacing w:line="240" w:lineRule="auto"/>
      <w:ind w:firstLine="420"/>
    </w:pPr>
    <w:rPr>
      <w:rFonts w:ascii="等线" w:hAnsi="等线" w:eastAsia="等线" w:cs="等线"/>
      <w:sz w:val="21"/>
      <w:szCs w:val="21"/>
    </w:rPr>
  </w:style>
  <w:style w:type="paragraph" w:customStyle="1" w:styleId="124">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7">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0">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标题 1 Char"/>
    <w:qFormat/>
    <w:uiPriority w:val="0"/>
    <w:rPr>
      <w:rFonts w:ascii="宋体" w:hAnsi="宋体" w:eastAsia="黑体"/>
      <w:b/>
      <w:bCs/>
      <w:kern w:val="44"/>
      <w:sz w:val="32"/>
      <w:szCs w:val="28"/>
    </w:rPr>
  </w:style>
  <w:style w:type="character" w:customStyle="1" w:styleId="134">
    <w:name w:val="纯文本 Char2"/>
    <w:qFormat/>
    <w:uiPriority w:val="0"/>
    <w:rPr>
      <w:rFonts w:ascii="宋体" w:hAnsi="宋体" w:eastAsia="宋体" w:cs="Times New Roman"/>
      <w:color w:val="000000"/>
      <w:kern w:val="0"/>
      <w:sz w:val="24"/>
      <w:szCs w:val="24"/>
    </w:rPr>
  </w:style>
  <w:style w:type="paragraph" w:customStyle="1" w:styleId="135">
    <w:name w:val="列出段落1"/>
    <w:basedOn w:val="1"/>
    <w:autoRedefine/>
    <w:qFormat/>
    <w:uiPriority w:val="34"/>
    <w:pPr>
      <w:spacing w:line="240" w:lineRule="auto"/>
      <w:ind w:firstLine="420"/>
    </w:pPr>
    <w:rPr>
      <w:rFonts w:ascii="Calibri" w:hAnsi="Calibri"/>
      <w:sz w:val="21"/>
      <w:szCs w:val="22"/>
    </w:rPr>
  </w:style>
  <w:style w:type="character" w:customStyle="1" w:styleId="136">
    <w:name w:val="font11"/>
    <w:basedOn w:val="37"/>
    <w:qFormat/>
    <w:uiPriority w:val="0"/>
    <w:rPr>
      <w:rFonts w:hint="eastAsia" w:ascii="宋体" w:hAnsi="宋体" w:eastAsia="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4962</Words>
  <Characters>5175</Characters>
  <Lines>174</Lines>
  <Paragraphs>49</Paragraphs>
  <TotalTime>0</TotalTime>
  <ScaleCrop>false</ScaleCrop>
  <LinksUpToDate>false</LinksUpToDate>
  <CharactersWithSpaces>5261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2025-10-16T03:11:00Z</dcterms:created>
  <dc:creator>gtig_tzb</dc:creator>
  <cp:lastModifiedBy>张姝雅</cp:lastModifiedBy>
  <cp:lastPrinted>2020-08-07T12:08:00Z</cp:lastPrinted>
  <dcterms:modified xsi:type="dcterms:W3CDTF">2025-11-05T16:11:09Z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8AA127595F4A8CE588050B6932E790C2_43</vt:lpwstr>
  </property>
  <property fmtid="{D5CDD505-2E9C-101B-9397-08002B2CF9AE}" pid="4" name="KSOTemplateDocerSaveRecord">
    <vt:lpwstr>eyJoZGlkIjoiNzE2MWM5YThhOGIyZTI2N2U4YmQ3MjMyNzcyMmRlOTciLCJ1c2VySWQiOiIxMTY1OTk3NTA3In0=</vt:lpwstr>
  </property>
</Properties>
</file>