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6"/>
        <w:ind w:firstLine="420"/>
        <w:rPr>
          <w:rStyle w:val="64"/>
          <w:color w:val="auto"/>
          <w:highlight w:val="none"/>
        </w:rPr>
      </w:pPr>
    </w:p>
    <w:p>
      <w:pPr>
        <w:ind w:firstLine="0" w:firstLineChars="0"/>
        <w:jc w:val="center"/>
        <w:rPr>
          <w:rFonts w:ascii="黑体" w:hAnsi="黑体" w:eastAsia="黑体"/>
          <w:color w:val="auto"/>
          <w:sz w:val="48"/>
          <w:szCs w:val="48"/>
          <w:highlight w:val="none"/>
        </w:rPr>
      </w:pPr>
    </w:p>
    <w:p>
      <w:pPr>
        <w:ind w:firstLine="0" w:firstLineChars="0"/>
        <w:jc w:val="center"/>
        <w:rPr>
          <w:rFonts w:ascii="黑体" w:hAnsi="黑体" w:eastAsia="黑体"/>
          <w:color w:val="auto"/>
          <w:sz w:val="52"/>
          <w:szCs w:val="52"/>
          <w:highlight w:val="none"/>
        </w:rPr>
      </w:pPr>
    </w:p>
    <w:p>
      <w:pPr>
        <w:ind w:firstLine="0" w:firstLineChars="0"/>
        <w:jc w:val="center"/>
        <w:rPr>
          <w:rFonts w:ascii="黑体" w:hAnsi="黑体" w:eastAsia="黑体"/>
          <w:color w:val="auto"/>
          <w:sz w:val="52"/>
          <w:szCs w:val="52"/>
          <w:highlight w:val="none"/>
        </w:rPr>
      </w:pPr>
      <w:r>
        <w:rPr>
          <w:rFonts w:hint="eastAsia" w:ascii="黑体" w:hAnsi="黑体" w:eastAsia="黑体"/>
          <w:color w:val="auto"/>
          <w:sz w:val="52"/>
          <w:szCs w:val="52"/>
          <w:highlight w:val="none"/>
        </w:rPr>
        <w:t>市文旅局数智文旅大系统</w:t>
      </w:r>
    </w:p>
    <w:p>
      <w:pPr>
        <w:ind w:firstLine="0" w:firstLineChars="0"/>
        <w:jc w:val="center"/>
        <w:rPr>
          <w:rFonts w:ascii="黑体" w:hAnsi="黑体" w:eastAsia="黑体"/>
          <w:color w:val="auto"/>
          <w:sz w:val="52"/>
          <w:szCs w:val="52"/>
          <w:highlight w:val="none"/>
        </w:rPr>
      </w:pPr>
      <w:r>
        <w:rPr>
          <w:rFonts w:hint="eastAsia" w:ascii="黑体" w:hAnsi="黑体" w:eastAsia="黑体"/>
          <w:color w:val="auto"/>
          <w:sz w:val="52"/>
          <w:szCs w:val="52"/>
          <w:highlight w:val="none"/>
        </w:rPr>
        <w:t>（2025年升级改造）</w:t>
      </w:r>
    </w:p>
    <w:p>
      <w:pPr>
        <w:ind w:firstLine="0" w:firstLineChars="0"/>
        <w:jc w:val="center"/>
        <w:rPr>
          <w:rFonts w:ascii="黑体" w:hAnsi="黑体" w:eastAsia="黑体"/>
          <w:color w:val="auto"/>
          <w:sz w:val="52"/>
          <w:szCs w:val="52"/>
          <w:highlight w:val="none"/>
        </w:rPr>
      </w:pPr>
      <w:r>
        <w:rPr>
          <w:rFonts w:hint="eastAsia" w:ascii="黑体" w:hAnsi="黑体" w:eastAsia="黑体"/>
          <w:color w:val="auto"/>
          <w:sz w:val="52"/>
          <w:szCs w:val="52"/>
          <w:highlight w:val="none"/>
        </w:rPr>
        <w:t>采购需求</w:t>
      </w:r>
    </w:p>
    <w:p>
      <w:pPr>
        <w:ind w:firstLine="0" w:firstLineChars="0"/>
        <w:jc w:val="center"/>
        <w:rPr>
          <w:rFonts w:ascii="黑体" w:hAnsi="黑体" w:eastAsia="黑体"/>
          <w:color w:val="auto"/>
          <w:sz w:val="48"/>
          <w:szCs w:val="48"/>
          <w:highlight w:val="none"/>
        </w:rPr>
      </w:pPr>
    </w:p>
    <w:p>
      <w:pPr>
        <w:ind w:firstLine="0" w:firstLineChars="0"/>
        <w:jc w:val="center"/>
        <w:rPr>
          <w:rFonts w:ascii="黑体" w:hAnsi="黑体" w:eastAsia="黑体"/>
          <w:color w:val="auto"/>
          <w:sz w:val="52"/>
          <w:szCs w:val="52"/>
          <w:highlight w:val="none"/>
        </w:rPr>
      </w:pPr>
    </w:p>
    <w:p>
      <w:pPr>
        <w:ind w:firstLine="1040"/>
        <w:rPr>
          <w:rFonts w:ascii="黑体" w:hAnsi="黑体" w:eastAsia="黑体"/>
          <w:color w:val="auto"/>
          <w:sz w:val="52"/>
          <w:szCs w:val="52"/>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ind w:firstLine="1040"/>
        <w:rPr>
          <w:rFonts w:ascii="黑体" w:hAnsi="黑体" w:eastAsia="黑体"/>
          <w:color w:val="auto"/>
          <w:sz w:val="52"/>
          <w:szCs w:val="52"/>
          <w:highlight w:val="none"/>
        </w:rPr>
      </w:pPr>
    </w:p>
    <w:p>
      <w:pPr>
        <w:jc w:val="center"/>
        <w:rPr>
          <w:color w:val="auto"/>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134" w:right="1797" w:bottom="1135" w:left="1797" w:header="340" w:footer="7" w:gutter="0"/>
          <w:pgNumType w:start="1"/>
          <w:cols w:space="720" w:num="1"/>
          <w:titlePg/>
          <w:docGrid w:type="linesAndChars" w:linePitch="326" w:charSpace="0"/>
        </w:sectPr>
      </w:pPr>
    </w:p>
    <w:p>
      <w:pPr>
        <w:pStyle w:val="4"/>
        <w:ind w:hanging="425"/>
        <w:rPr>
          <w:color w:val="auto"/>
          <w:highlight w:val="none"/>
        </w:rPr>
      </w:pPr>
      <w:bookmarkStart w:id="0" w:name="_Toc63785461"/>
      <w:r>
        <w:rPr>
          <w:rFonts w:hint="eastAsia"/>
          <w:color w:val="auto"/>
          <w:highlight w:val="none"/>
        </w:rPr>
        <w:t>项目概况</w:t>
      </w:r>
      <w:bookmarkEnd w:id="0"/>
    </w:p>
    <w:p>
      <w:pPr>
        <w:rPr>
          <w:color w:val="auto"/>
          <w:highlight w:val="none"/>
        </w:rPr>
      </w:pPr>
      <w:r>
        <w:rPr>
          <w:rFonts w:hint="eastAsia"/>
          <w:color w:val="auto"/>
          <w:highlight w:val="none"/>
        </w:rPr>
        <w:t>《“十四五”旅游业发展规划》强调创新驱动发展，加快推进以数字化、网络化、智能化为特征的智慧旅游，深化“互联网+旅游”，扩大新技术场景应用。通过大数据、云计算等技术整合旅游、交通、气象等信息，提供实时气象预警、道路通行、游客接待量等服务，加强旅游预约平台建设，推进分时段预约游览、流量监测和科学引导分流。同时，建设旅游监测设施和大数据平台，推进“互联网+监管”，实现大数据精准监管。</w:t>
      </w:r>
    </w:p>
    <w:p>
      <w:pPr>
        <w:rPr>
          <w:color w:val="auto"/>
          <w:highlight w:val="none"/>
        </w:rPr>
      </w:pPr>
      <w:r>
        <w:rPr>
          <w:rFonts w:hint="eastAsia"/>
          <w:color w:val="auto"/>
          <w:highlight w:val="none"/>
        </w:rPr>
        <w:t>《上海市“十四五”时期深化世界著名旅游城市建设规划》指出进一步完善旅游公共服务体系。以文旅政务服务中心、城市运行中心、公共服务中心、展示交易中心为重点，建设上海国际文旅中心，打造上海政务服务和公共服务新窗口。优化旅游景区（点）交通服务保障，构建便利的旅游交通网络。优化“综合服务中心—服务站—服务点”三级旅游咨询服务网络。</w:t>
      </w:r>
    </w:p>
    <w:p>
      <w:pPr>
        <w:rPr>
          <w:color w:val="auto"/>
          <w:highlight w:val="none"/>
        </w:rPr>
      </w:pPr>
      <w:r>
        <w:rPr>
          <w:rFonts w:hint="eastAsia"/>
          <w:color w:val="auto"/>
          <w:highlight w:val="none"/>
        </w:rPr>
        <w:t>上海长期注重建设便捷高效的旅游公共服务体系，随着信息技术发展和自助式旅游的比例提升，需加强旅游基础设施建设，创新信息化管理服务模式，增强旅游公共服务机构能力，构建智慧型旅游公共服务体系。</w:t>
      </w:r>
    </w:p>
    <w:p>
      <w:pPr>
        <w:rPr>
          <w:rFonts w:hint="eastAsia"/>
          <w:color w:val="auto"/>
          <w:highlight w:val="none"/>
        </w:rPr>
      </w:pPr>
      <w:r>
        <w:rPr>
          <w:rFonts w:hint="eastAsia"/>
          <w:color w:val="auto"/>
          <w:highlight w:val="none"/>
        </w:rPr>
        <w:t>旅游多媒体触摸屏是旅游公共服务体系的重要环节，目前上海已在全市三星级以上酒店、旅游咨询服务中心、社区文化中心和部分A级景区部署旅游多媒体触摸屏，为游客提供旅游信息查询服务，涵盖吃、住、行、游、购、娱、新闻数据录入、审核和触摸屏前端展示。具体包括新闻和活动信息、上海旅游资源信息、旅游实用信息查询，以及点位周边景点、旅游公厕、服务站点、公交设施的查询等。</w:t>
      </w:r>
    </w:p>
    <w:p>
      <w:pPr>
        <w:ind w:firstLine="480" w:firstLineChars="200"/>
        <w:rPr>
          <w:rFonts w:hint="eastAsia" w:ascii="宋体" w:hAnsi="宋体" w:eastAsia="宋体"/>
          <w:color w:val="auto"/>
          <w:sz w:val="24"/>
          <w:highlight w:val="none"/>
          <w:lang w:eastAsia="zh-CN"/>
        </w:rPr>
      </w:pPr>
      <w:r>
        <w:rPr>
          <w:rFonts w:hint="eastAsia" w:ascii="宋体" w:hAnsi="宋体" w:eastAsia="宋体"/>
          <w:color w:val="auto"/>
          <w:sz w:val="24"/>
          <w:highlight w:val="none"/>
          <w:lang w:eastAsia="zh-CN"/>
        </w:rPr>
        <w:t>现状描述：</w:t>
      </w:r>
    </w:p>
    <w:p>
      <w:pPr>
        <w:rPr>
          <w:color w:val="auto"/>
          <w:highlight w:val="none"/>
        </w:rPr>
      </w:pPr>
      <w:r>
        <w:rPr>
          <w:color w:val="auto"/>
          <w:highlight w:val="none"/>
        </w:rPr>
        <w:t>旅游多媒体触摸屏系统经多年运行，界面排版老旧，触摸屏终端部署了数据库，存在数据暴露的安全风险。旅游多媒体触摸屏技术框架为Spring+struts2，后台管理系统使用jsp作为页面层展示数据给用户，相对显得较为老旧。旅游多媒体触摸屏目前对数据无法充分利用，软件层面未对用户数据使用数据做采集，使得这部分数据要素被浪费。</w:t>
      </w:r>
    </w:p>
    <w:p>
      <w:pPr>
        <w:pStyle w:val="2"/>
        <w:ind w:firstLine="210"/>
        <w:rPr>
          <w:color w:val="auto"/>
          <w:highlight w:val="none"/>
        </w:rPr>
      </w:pPr>
    </w:p>
    <w:p>
      <w:pPr>
        <w:pStyle w:val="2"/>
        <w:ind w:firstLine="210"/>
        <w:rPr>
          <w:color w:val="auto"/>
          <w:highlight w:val="none"/>
        </w:rPr>
      </w:pPr>
      <w:r>
        <w:rPr>
          <w:color w:val="auto"/>
          <w:highlight w:val="none"/>
        </w:rPr>
        <w:drawing>
          <wp:inline distT="0" distB="0" distL="0" distR="0">
            <wp:extent cx="5278120" cy="5025390"/>
            <wp:effectExtent l="0" t="0" r="5080" b="381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5278120" cy="5025390"/>
                    </a:xfrm>
                    <a:prstGeom prst="rect">
                      <a:avLst/>
                    </a:prstGeom>
                    <a:noFill/>
                    <a:ln>
                      <a:noFill/>
                    </a:ln>
                  </pic:spPr>
                </pic:pic>
              </a:graphicData>
            </a:graphic>
          </wp:inline>
        </w:drawing>
      </w:r>
    </w:p>
    <w:p>
      <w:pPr>
        <w:spacing w:line="560" w:lineRule="exact"/>
        <w:rPr>
          <w:color w:val="auto"/>
          <w:highlight w:val="none"/>
        </w:rPr>
      </w:pPr>
      <w:r>
        <w:rPr>
          <w:rFonts w:hint="eastAsia"/>
          <w:color w:val="auto"/>
          <w:highlight w:val="none"/>
        </w:rPr>
        <w:t>建设期限：自合同签订之日起至2025年</w:t>
      </w:r>
      <w:r>
        <w:rPr>
          <w:color w:val="auto"/>
          <w:highlight w:val="none"/>
        </w:rPr>
        <w:t>10</w:t>
      </w:r>
      <w:r>
        <w:rPr>
          <w:rFonts w:hint="eastAsia"/>
          <w:color w:val="auto"/>
          <w:highlight w:val="none"/>
        </w:rPr>
        <w:t>月31日</w:t>
      </w:r>
    </w:p>
    <w:p>
      <w:pPr>
        <w:spacing w:line="560" w:lineRule="exact"/>
        <w:rPr>
          <w:color w:val="auto"/>
          <w:highlight w:val="none"/>
        </w:rPr>
      </w:pPr>
      <w:r>
        <w:rPr>
          <w:rFonts w:hint="eastAsia"/>
          <w:color w:val="auto"/>
          <w:highlight w:val="none"/>
        </w:rPr>
        <w:t>建设地点：上海市</w:t>
      </w:r>
    </w:p>
    <w:p>
      <w:pPr>
        <w:spacing w:line="560" w:lineRule="exact"/>
        <w:rPr>
          <w:color w:val="auto"/>
          <w:highlight w:val="none"/>
        </w:rPr>
      </w:pPr>
      <w:r>
        <w:rPr>
          <w:rFonts w:hint="eastAsia"/>
          <w:color w:val="auto"/>
          <w:highlight w:val="none"/>
        </w:rPr>
        <w:t>预算金额：</w:t>
      </w:r>
      <w:r>
        <w:rPr>
          <w:color w:val="auto"/>
          <w:highlight w:val="none"/>
        </w:rPr>
        <w:t>1279100</w:t>
      </w:r>
      <w:r>
        <w:rPr>
          <w:rFonts w:hint="eastAsia"/>
          <w:color w:val="auto"/>
          <w:highlight w:val="none"/>
        </w:rPr>
        <w:t>元</w:t>
      </w:r>
    </w:p>
    <w:p>
      <w:pPr>
        <w:spacing w:line="560" w:lineRule="exact"/>
        <w:rPr>
          <w:color w:val="auto"/>
          <w:highlight w:val="none"/>
        </w:rPr>
      </w:pPr>
      <w:r>
        <w:rPr>
          <w:rFonts w:hint="eastAsia"/>
          <w:color w:val="auto"/>
          <w:highlight w:val="none"/>
        </w:rPr>
        <w:t>采购金额（最高限价）：</w:t>
      </w:r>
      <w:r>
        <w:rPr>
          <w:color w:val="auto"/>
          <w:highlight w:val="none"/>
        </w:rPr>
        <w:t>1279100</w:t>
      </w:r>
      <w:r>
        <w:rPr>
          <w:rFonts w:hint="eastAsia"/>
          <w:color w:val="auto"/>
          <w:highlight w:val="none"/>
        </w:rPr>
        <w:t>元</w:t>
      </w:r>
    </w:p>
    <w:p>
      <w:pPr>
        <w:rPr>
          <w:color w:val="auto"/>
          <w:highlight w:val="none"/>
        </w:rPr>
      </w:pPr>
      <w:r>
        <w:rPr>
          <w:rFonts w:hint="eastAsia"/>
          <w:color w:val="auto"/>
          <w:highlight w:val="none"/>
        </w:rPr>
        <w:t>组织形式：集中采购</w:t>
      </w:r>
    </w:p>
    <w:p>
      <w:pPr>
        <w:rPr>
          <w:color w:val="auto"/>
          <w:highlight w:val="none"/>
        </w:rPr>
      </w:pPr>
      <w:r>
        <w:rPr>
          <w:rFonts w:hint="eastAsia"/>
          <w:color w:val="auto"/>
          <w:highlight w:val="none"/>
        </w:rPr>
        <w:t>采购方式：竞争性磋商</w:t>
      </w:r>
    </w:p>
    <w:p>
      <w:pPr>
        <w:rPr>
          <w:color w:val="auto"/>
          <w:highlight w:val="none"/>
        </w:rPr>
      </w:pPr>
      <w:r>
        <w:rPr>
          <w:rFonts w:hint="eastAsia"/>
          <w:color w:val="auto"/>
          <w:highlight w:val="none"/>
        </w:rPr>
        <w:t>是否接受联合体投标：否</w:t>
      </w:r>
    </w:p>
    <w:p>
      <w:pPr>
        <w:rPr>
          <w:color w:val="auto"/>
          <w:highlight w:val="none"/>
        </w:rPr>
      </w:pPr>
      <w:r>
        <w:rPr>
          <w:color w:val="auto"/>
          <w:highlight w:val="none"/>
        </w:rPr>
        <w:t>是否按信创要求建设：是</w:t>
      </w:r>
    </w:p>
    <w:p>
      <w:pPr>
        <w:rPr>
          <w:color w:val="auto"/>
          <w:highlight w:val="none"/>
        </w:rPr>
      </w:pPr>
      <w:r>
        <w:rPr>
          <w:rFonts w:hint="eastAsia"/>
          <w:color w:val="auto"/>
          <w:highlight w:val="none"/>
        </w:rPr>
        <w:t>运维后所属大系统：市文旅局数智文旅大系统</w:t>
      </w:r>
    </w:p>
    <w:p>
      <w:pPr>
        <w:pStyle w:val="4"/>
        <w:rPr>
          <w:color w:val="auto"/>
          <w:highlight w:val="none"/>
        </w:rPr>
      </w:pPr>
      <w:bookmarkStart w:id="1" w:name="_Toc47539070"/>
      <w:bookmarkEnd w:id="1"/>
      <w:bookmarkStart w:id="2" w:name="_Toc47531634"/>
      <w:bookmarkEnd w:id="2"/>
      <w:bookmarkStart w:id="3" w:name="_Toc47536272"/>
      <w:bookmarkEnd w:id="3"/>
      <w:bookmarkStart w:id="4" w:name="_Toc47533256"/>
      <w:bookmarkEnd w:id="4"/>
      <w:bookmarkStart w:id="5" w:name="_Toc47537134"/>
      <w:bookmarkEnd w:id="5"/>
      <w:bookmarkStart w:id="6" w:name="_Toc47532255"/>
      <w:bookmarkEnd w:id="6"/>
      <w:bookmarkStart w:id="7" w:name="_Toc47532891"/>
      <w:bookmarkEnd w:id="7"/>
      <w:bookmarkStart w:id="8" w:name="_Toc47536644"/>
      <w:bookmarkEnd w:id="8"/>
      <w:bookmarkStart w:id="9" w:name="_Toc63785463"/>
      <w:bookmarkStart w:id="10" w:name="_Toc48223882"/>
      <w:r>
        <w:rPr>
          <w:rFonts w:hint="eastAsia"/>
          <w:color w:val="auto"/>
          <w:highlight w:val="none"/>
        </w:rPr>
        <w:t>建设目标</w:t>
      </w:r>
      <w:bookmarkEnd w:id="9"/>
      <w:bookmarkEnd w:id="10"/>
    </w:p>
    <w:p>
      <w:pPr>
        <w:rPr>
          <w:color w:val="auto"/>
          <w:highlight w:val="none"/>
        </w:rPr>
      </w:pPr>
      <w:r>
        <w:rPr>
          <w:rFonts w:hint="eastAsia"/>
          <w:color w:val="auto"/>
          <w:highlight w:val="none"/>
        </w:rPr>
        <w:t>通过本项目建设，在旅游多媒体触摸屏实现以下目标：</w:t>
      </w:r>
    </w:p>
    <w:p>
      <w:pPr>
        <w:rPr>
          <w:color w:val="auto"/>
          <w:highlight w:val="none"/>
        </w:rPr>
      </w:pPr>
      <w:r>
        <w:rPr>
          <w:rFonts w:hint="eastAsia"/>
          <w:color w:val="auto"/>
          <w:highlight w:val="none"/>
        </w:rPr>
        <w:t>1、满足游客对功能及界面审美要求</w:t>
      </w:r>
    </w:p>
    <w:p>
      <w:pPr>
        <w:rPr>
          <w:color w:val="auto"/>
          <w:highlight w:val="none"/>
        </w:rPr>
      </w:pPr>
      <w:r>
        <w:rPr>
          <w:rFonts w:hint="eastAsia"/>
          <w:color w:val="auto"/>
          <w:highlight w:val="none"/>
        </w:rPr>
        <w:t>现有旅游多媒体触摸屏界面老旧，不支持按景区个性化更换屏保。需在现有中文版触摸屏终端功能基础上进行首页改版及丰富功能区域，从而满足《2024年上海市文化和旅游局政务公开工作要点》指出的“围绕文旅投资消费做好信息公开。聚焦文旅产业投资、国际旅游形象推广”要求。</w:t>
      </w:r>
    </w:p>
    <w:p>
      <w:pPr>
        <w:rPr>
          <w:color w:val="auto"/>
          <w:highlight w:val="none"/>
        </w:rPr>
      </w:pPr>
      <w:r>
        <w:rPr>
          <w:rFonts w:hint="eastAsia"/>
          <w:color w:val="auto"/>
          <w:highlight w:val="none"/>
        </w:rPr>
        <w:t>2、满足充分利用数据要素的需求</w:t>
      </w:r>
    </w:p>
    <w:p>
      <w:pPr>
        <w:rPr>
          <w:rFonts w:hint="eastAsia"/>
          <w:color w:val="auto"/>
          <w:highlight w:val="none"/>
          <w:lang w:eastAsia="zh-CN"/>
        </w:rPr>
      </w:pPr>
      <w:r>
        <w:rPr>
          <w:rFonts w:hint="eastAsia"/>
          <w:color w:val="auto"/>
          <w:highlight w:val="none"/>
        </w:rPr>
        <w:t>对接“一张图”、一网协同和文旅通，</w:t>
      </w:r>
      <w:r>
        <w:rPr>
          <w:rFonts w:hint="eastAsia"/>
          <w:color w:val="auto"/>
          <w:highlight w:val="none"/>
          <w:lang w:eastAsia="zh-CN"/>
        </w:rPr>
        <w:t>。</w:t>
      </w:r>
    </w:p>
    <w:p>
      <w:pPr>
        <w:rPr>
          <w:color w:val="auto"/>
          <w:highlight w:val="none"/>
        </w:rPr>
      </w:pPr>
      <w:r>
        <w:rPr>
          <w:color w:val="auto"/>
          <w:highlight w:val="none"/>
        </w:rPr>
        <w:t>“一张图”对接</w:t>
      </w:r>
      <w:r>
        <w:rPr>
          <w:rFonts w:hint="eastAsia"/>
          <w:color w:val="auto"/>
          <w:highlight w:val="none"/>
        </w:rPr>
        <w:t>：对接</w:t>
      </w:r>
      <w:r>
        <w:rPr>
          <w:color w:val="auto"/>
          <w:highlight w:val="none"/>
        </w:rPr>
        <w:t>轻量化底图服务能力、坐标转换服务</w:t>
      </w:r>
      <w:r>
        <w:rPr>
          <w:rFonts w:hint="eastAsia"/>
          <w:color w:val="auto"/>
          <w:highlight w:val="none"/>
        </w:rPr>
        <w:t>和撒点</w:t>
      </w:r>
      <w:r>
        <w:rPr>
          <w:color w:val="auto"/>
          <w:highlight w:val="none"/>
        </w:rPr>
        <w:t>。</w:t>
      </w:r>
      <w:r>
        <w:rPr>
          <w:rFonts w:hint="eastAsia"/>
          <w:color w:val="auto"/>
          <w:highlight w:val="none"/>
        </w:rPr>
        <w:t>底图接口能够助力我们获取最为基础的地图信息，坐标转换接口能够辅助我们将经纬度转换为一张图专用坐标，撒点接口可将转换后的一张图坐标呈现在底图之上</w:t>
      </w:r>
      <w:r>
        <w:rPr>
          <w:color w:val="auto"/>
          <w:highlight w:val="none"/>
        </w:rPr>
        <w:t>。</w:t>
      </w:r>
    </w:p>
    <w:p>
      <w:pPr>
        <w:rPr>
          <w:color w:val="auto"/>
          <w:highlight w:val="none"/>
        </w:rPr>
      </w:pPr>
      <w:r>
        <w:rPr>
          <w:color w:val="auto"/>
          <w:highlight w:val="none"/>
        </w:rPr>
        <w:t>一网协同</w:t>
      </w:r>
      <w:r>
        <w:rPr>
          <w:rFonts w:hint="eastAsia"/>
          <w:color w:val="auto"/>
          <w:highlight w:val="none"/>
        </w:rPr>
        <w:t>对接：</w:t>
      </w:r>
      <w:r>
        <w:rPr>
          <w:color w:val="auto"/>
          <w:highlight w:val="none"/>
        </w:rPr>
        <w:t>对接一网协同企业微信，对一网协同发送的请求进行认证处理，认证通过将提供小屏展示的“埋点”信息页面，可以使用一网协同查看触摸屏终端采集的相关数据。</w:t>
      </w:r>
      <w:r>
        <w:rPr>
          <w:rFonts w:hint="eastAsia"/>
          <w:color w:val="auto"/>
          <w:highlight w:val="none"/>
        </w:rPr>
        <w:t>文旅通对接：</w:t>
      </w:r>
      <w:r>
        <w:rPr>
          <w:color w:val="auto"/>
          <w:highlight w:val="none"/>
        </w:rPr>
        <w:t>借由数据上链的形式同步相关“埋点”的数据</w:t>
      </w:r>
      <w:r>
        <w:rPr>
          <w:rFonts w:hint="eastAsia"/>
          <w:color w:val="auto"/>
          <w:highlight w:val="none"/>
        </w:rPr>
        <w:t>至共享交换平台</w:t>
      </w:r>
      <w:r>
        <w:rPr>
          <w:color w:val="auto"/>
          <w:highlight w:val="none"/>
        </w:rPr>
        <w:t>，</w:t>
      </w:r>
      <w:r>
        <w:rPr>
          <w:rFonts w:hint="eastAsia"/>
          <w:color w:val="auto"/>
          <w:highlight w:val="none"/>
        </w:rPr>
        <w:t>而后将数据同步至文旅通予以显示。其中一网协同和文旅通将项目关键业务指标以可视化的方式集中展示在一处界面中展示，协助高层管理者进行快速、精准的战略决策，管理层能够在第一时间发现潜在问题、把握发展机会，从而做出及时有效的调整。“一张图”可以实时查看触摸屏终端状态，并且显示触摸屏终端的基本信息，例如CPU、内存等情况，便于观察和定位触摸屏终端出现的问题。</w:t>
      </w:r>
    </w:p>
    <w:p>
      <w:pPr>
        <w:rPr>
          <w:color w:val="auto"/>
          <w:highlight w:val="none"/>
          <w:lang w:val="zh-CN"/>
        </w:rPr>
      </w:pPr>
      <w:r>
        <w:rPr>
          <w:rFonts w:hint="eastAsia"/>
          <w:color w:val="auto"/>
          <w:highlight w:val="none"/>
          <w:lang w:val="zh-CN"/>
        </w:rPr>
        <w:t>3、</w:t>
      </w:r>
      <w:r>
        <w:rPr>
          <w:rFonts w:hint="eastAsia"/>
          <w:color w:val="auto"/>
          <w:highlight w:val="none"/>
        </w:rPr>
        <w:t>加强</w:t>
      </w:r>
      <w:r>
        <w:rPr>
          <w:rFonts w:hint="eastAsia"/>
          <w:color w:val="auto"/>
          <w:highlight w:val="none"/>
          <w:lang w:val="zh-CN"/>
        </w:rPr>
        <w:t>前端设备数据安全问题</w:t>
      </w:r>
    </w:p>
    <w:p>
      <w:pPr>
        <w:rPr>
          <w:color w:val="auto"/>
          <w:highlight w:val="none"/>
        </w:rPr>
      </w:pPr>
      <w:r>
        <w:rPr>
          <w:rFonts w:hint="eastAsia"/>
          <w:color w:val="auto"/>
          <w:highlight w:val="none"/>
        </w:rPr>
        <w:t>由于目前触摸屏存在数据暴露的安全风险，需对系统部署架构进行改造。从而降低安全风险，提高触摸屏终端信息展示的时效性。</w:t>
      </w:r>
    </w:p>
    <w:p>
      <w:pPr>
        <w:rPr>
          <w:color w:val="auto"/>
          <w:highlight w:val="none"/>
        </w:rPr>
      </w:pPr>
      <w:r>
        <w:rPr>
          <w:rFonts w:hint="eastAsia"/>
          <w:color w:val="auto"/>
          <w:highlight w:val="none"/>
        </w:rPr>
        <w:t>4、满足上海市文旅局战略发展需求</w:t>
      </w:r>
    </w:p>
    <w:p>
      <w:pPr>
        <w:rPr>
          <w:color w:val="auto"/>
          <w:highlight w:val="none"/>
        </w:rPr>
      </w:pPr>
      <w:r>
        <w:rPr>
          <w:rFonts w:hint="eastAsia"/>
          <w:color w:val="auto"/>
          <w:highlight w:val="none"/>
        </w:rPr>
        <w:t>根据上海市文旅局《2024年上海市文化和旅游局政务公开工作要点》中“3.围绕文旅投资消费做好信息公开。聚焦文旅产业投资、国际旅游形象推广、邮轮旅游、国家级文化产业示范园区建设等，发布各项投资政策、推介指南等信息，提升政策落实的科学性、精准性。围绕打响“一江一河游览”“建筑可阅读”“演艺大世界”“海派城市考古”等都市文旅IP开展集中宣传，围绕重大节展赛会、文旅产品、促进入境游发展以及优化文旅营商环境等发布相关政策，适时召开新闻发布会，做好政策解读，助推文旅投资和消费供给做强做优。”</w:t>
      </w:r>
    </w:p>
    <w:p>
      <w:pPr>
        <w:rPr>
          <w:color w:val="auto"/>
          <w:highlight w:val="none"/>
        </w:rPr>
      </w:pPr>
      <w:r>
        <w:rPr>
          <w:rFonts w:hint="eastAsia"/>
          <w:color w:val="auto"/>
          <w:highlight w:val="none"/>
        </w:rPr>
        <w:t>当前文旅触摸屏，尚不具备这些上海文旅局提及的工作要点，亟需在充分发挥电子触摸屏线下宣推窗口的作用，新增长三角旅游、黄浦江游览、建筑可阅读、一江一河、红色旅游、工业旅游、海派城市考古、咨询-乐游上海等工作。</w:t>
      </w:r>
    </w:p>
    <w:p>
      <w:pPr>
        <w:rPr>
          <w:color w:val="auto"/>
          <w:highlight w:val="none"/>
          <w:lang w:val="zh-CN"/>
        </w:rPr>
      </w:pPr>
      <w:r>
        <w:rPr>
          <w:rFonts w:hint="eastAsia"/>
          <w:color w:val="auto"/>
          <w:highlight w:val="none"/>
          <w:lang w:val="zh-CN"/>
        </w:rPr>
        <w:t>5、系统技术架构升级</w:t>
      </w:r>
    </w:p>
    <w:p>
      <w:pPr>
        <w:rPr>
          <w:color w:val="auto"/>
          <w:highlight w:val="none"/>
        </w:rPr>
      </w:pPr>
      <w:r>
        <w:rPr>
          <w:rFonts w:hint="eastAsia"/>
          <w:color w:val="auto"/>
          <w:highlight w:val="none"/>
        </w:rPr>
        <w:t>本项目历经了多年的持续运行，其技术框架相较于当前的先进水平而言，相对显得较为老旧。鉴于此，需由此项目对于原技术框架进行升级，更好地适应时代的发展需求，保障项目的稳定、高效、安全运行，为项目的长远发展奠定坚实的基础。</w:t>
      </w:r>
    </w:p>
    <w:p>
      <w:pPr>
        <w:spacing w:line="560" w:lineRule="exact"/>
        <w:rPr>
          <w:color w:val="auto"/>
          <w:highlight w:val="none"/>
        </w:rPr>
      </w:pPr>
      <w:r>
        <w:rPr>
          <w:rFonts w:hint="eastAsia"/>
          <w:color w:val="auto"/>
          <w:highlight w:val="none"/>
        </w:rPr>
        <w:t>本项目需实现以下指标：</w:t>
      </w:r>
    </w:p>
    <w:p>
      <w:pPr>
        <w:pStyle w:val="5"/>
        <w:ind w:left="480"/>
        <w:rPr>
          <w:color w:val="auto"/>
          <w:highlight w:val="none"/>
        </w:rPr>
      </w:pPr>
      <w:r>
        <w:rPr>
          <w:rFonts w:hint="eastAsia"/>
          <w:color w:val="auto"/>
          <w:highlight w:val="none"/>
        </w:rPr>
        <w:t>绩效目标</w:t>
      </w:r>
    </w:p>
    <w:p>
      <w:pPr>
        <w:pStyle w:val="63"/>
        <w:numPr>
          <w:ilvl w:val="0"/>
          <w:numId w:val="3"/>
        </w:numPr>
        <w:ind w:left="482" w:firstLine="0" w:firstLineChars="0"/>
        <w:rPr>
          <w:color w:val="auto"/>
          <w:sz w:val="24"/>
          <w:highlight w:val="none"/>
        </w:rPr>
      </w:pPr>
      <w:r>
        <w:rPr>
          <w:rFonts w:hint="eastAsia"/>
          <w:color w:val="auto"/>
          <w:sz w:val="24"/>
          <w:highlight w:val="none"/>
        </w:rPr>
        <w:t>完成</w:t>
      </w:r>
      <w:r>
        <w:rPr>
          <w:color w:val="auto"/>
          <w:sz w:val="24"/>
          <w:highlight w:val="none"/>
        </w:rPr>
        <w:t>满足游客对功能及界面审美要求</w:t>
      </w:r>
      <w:r>
        <w:rPr>
          <w:rFonts w:hint="eastAsia"/>
          <w:color w:val="auto"/>
          <w:sz w:val="24"/>
          <w:highlight w:val="none"/>
        </w:rPr>
        <w:t>；</w:t>
      </w:r>
    </w:p>
    <w:p>
      <w:pPr>
        <w:pStyle w:val="63"/>
        <w:numPr>
          <w:ilvl w:val="0"/>
          <w:numId w:val="3"/>
        </w:numPr>
        <w:ind w:left="482" w:firstLine="0" w:firstLineChars="0"/>
        <w:rPr>
          <w:color w:val="auto"/>
          <w:sz w:val="24"/>
          <w:highlight w:val="none"/>
        </w:rPr>
      </w:pPr>
      <w:r>
        <w:rPr>
          <w:color w:val="auto"/>
          <w:sz w:val="24"/>
          <w:highlight w:val="none"/>
        </w:rPr>
        <w:t>满足充分利用数据要素的需求</w:t>
      </w:r>
      <w:r>
        <w:rPr>
          <w:rFonts w:hint="eastAsia"/>
          <w:color w:val="auto"/>
          <w:sz w:val="24"/>
          <w:highlight w:val="none"/>
        </w:rPr>
        <w:t>；</w:t>
      </w:r>
    </w:p>
    <w:p>
      <w:pPr>
        <w:pStyle w:val="63"/>
        <w:numPr>
          <w:ilvl w:val="0"/>
          <w:numId w:val="3"/>
        </w:numPr>
        <w:ind w:left="482" w:firstLine="0" w:firstLineChars="0"/>
        <w:rPr>
          <w:color w:val="auto"/>
          <w:sz w:val="24"/>
          <w:highlight w:val="none"/>
        </w:rPr>
      </w:pPr>
      <w:r>
        <w:rPr>
          <w:rFonts w:hint="eastAsia"/>
          <w:color w:val="auto"/>
          <w:sz w:val="24"/>
          <w:highlight w:val="none"/>
        </w:rPr>
        <w:t>加强</w:t>
      </w:r>
      <w:r>
        <w:rPr>
          <w:color w:val="auto"/>
          <w:sz w:val="24"/>
          <w:highlight w:val="none"/>
        </w:rPr>
        <w:t>设备数据安全</w:t>
      </w:r>
      <w:r>
        <w:rPr>
          <w:rFonts w:hint="eastAsia"/>
          <w:color w:val="auto"/>
          <w:sz w:val="24"/>
          <w:highlight w:val="none"/>
        </w:rPr>
        <w:t>；</w:t>
      </w:r>
    </w:p>
    <w:p>
      <w:pPr>
        <w:pStyle w:val="63"/>
        <w:numPr>
          <w:ilvl w:val="0"/>
          <w:numId w:val="3"/>
        </w:numPr>
        <w:ind w:left="482" w:firstLine="0" w:firstLineChars="0"/>
        <w:rPr>
          <w:color w:val="auto"/>
          <w:sz w:val="24"/>
          <w:highlight w:val="none"/>
        </w:rPr>
      </w:pPr>
      <w:r>
        <w:rPr>
          <w:color w:val="auto"/>
          <w:sz w:val="24"/>
          <w:highlight w:val="none"/>
        </w:rPr>
        <w:t>满足上海市文旅局战略发展需求</w:t>
      </w:r>
      <w:r>
        <w:rPr>
          <w:rFonts w:hint="eastAsia"/>
          <w:color w:val="auto"/>
          <w:sz w:val="24"/>
          <w:highlight w:val="none"/>
        </w:rPr>
        <w:t>；</w:t>
      </w:r>
    </w:p>
    <w:p>
      <w:pPr>
        <w:pStyle w:val="63"/>
        <w:numPr>
          <w:ilvl w:val="0"/>
          <w:numId w:val="3"/>
        </w:numPr>
        <w:ind w:left="482" w:firstLine="0" w:firstLineChars="0"/>
        <w:rPr>
          <w:color w:val="auto"/>
          <w:sz w:val="24"/>
          <w:highlight w:val="none"/>
        </w:rPr>
      </w:pPr>
      <w:r>
        <w:rPr>
          <w:rFonts w:hint="eastAsia"/>
          <w:color w:val="auto"/>
          <w:sz w:val="24"/>
          <w:highlight w:val="none"/>
        </w:rPr>
        <w:t>系统技术架构升级</w:t>
      </w:r>
      <w:r>
        <w:rPr>
          <w:color w:val="auto"/>
          <w:sz w:val="24"/>
          <w:highlight w:val="none"/>
        </w:rPr>
        <w:t>;</w:t>
      </w:r>
    </w:p>
    <w:p>
      <w:pPr>
        <w:pStyle w:val="63"/>
        <w:numPr>
          <w:ilvl w:val="0"/>
          <w:numId w:val="3"/>
        </w:numPr>
        <w:ind w:left="482" w:firstLine="0" w:firstLineChars="0"/>
        <w:rPr>
          <w:color w:val="auto"/>
          <w:sz w:val="24"/>
          <w:highlight w:val="none"/>
        </w:rPr>
      </w:pPr>
      <w:r>
        <w:rPr>
          <w:rFonts w:hint="eastAsia"/>
          <w:color w:val="auto"/>
          <w:sz w:val="24"/>
          <w:highlight w:val="none"/>
        </w:rPr>
        <w:t>完成密码应用功能模块开发；</w:t>
      </w:r>
    </w:p>
    <w:p>
      <w:pPr>
        <w:pStyle w:val="63"/>
        <w:numPr>
          <w:ilvl w:val="0"/>
          <w:numId w:val="3"/>
        </w:numPr>
        <w:ind w:left="482" w:firstLine="0" w:firstLineChars="0"/>
        <w:rPr>
          <w:color w:val="auto"/>
          <w:sz w:val="24"/>
          <w:highlight w:val="none"/>
        </w:rPr>
      </w:pPr>
      <w:r>
        <w:rPr>
          <w:rFonts w:hint="eastAsia"/>
          <w:color w:val="auto"/>
          <w:sz w:val="24"/>
          <w:highlight w:val="none"/>
        </w:rPr>
        <w:t>完成数据加工、数据迁移等服务；</w:t>
      </w:r>
    </w:p>
    <w:p>
      <w:pPr>
        <w:pStyle w:val="5"/>
        <w:ind w:left="480"/>
        <w:rPr>
          <w:color w:val="auto"/>
          <w:highlight w:val="none"/>
        </w:rPr>
      </w:pPr>
      <w:r>
        <w:rPr>
          <w:rFonts w:hint="eastAsia"/>
          <w:color w:val="auto"/>
          <w:highlight w:val="none"/>
        </w:rPr>
        <w:t>技术指标</w:t>
      </w:r>
    </w:p>
    <w:tbl>
      <w:tblPr>
        <w:tblStyle w:val="36"/>
        <w:tblW w:w="499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autofit"/>
        <w:tblCellMar>
          <w:top w:w="0" w:type="dxa"/>
          <w:left w:w="108" w:type="dxa"/>
          <w:bottom w:w="0" w:type="dxa"/>
          <w:right w:w="108" w:type="dxa"/>
        </w:tblCellMar>
      </w:tblPr>
      <w:tblGrid>
        <w:gridCol w:w="4067"/>
        <w:gridCol w:w="445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指标</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指标值</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软件开发完成率</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100%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软件测试达标</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达标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密码测试达标</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达标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系统可靠性</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≥99.5%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安全测试达标</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达标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并发用户数</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一般查询和写入操作响应时间（90%的操作页面</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≤3秒</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jc w:val="center"/>
        </w:trPr>
        <w:tc>
          <w:tcPr>
            <w:tcW w:w="2385"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搜索类操作响应时间</w:t>
            </w:r>
          </w:p>
        </w:tc>
        <w:tc>
          <w:tcPr>
            <w:tcW w:w="2614" w:type="pct"/>
            <w:tcBorders>
              <w:top w:val="single" w:color="auto" w:sz="2" w:space="0"/>
              <w:left w:val="single" w:color="auto" w:sz="2" w:space="0"/>
              <w:bottom w:val="single" w:color="auto" w:sz="2" w:space="0"/>
              <w:right w:val="single" w:color="auto" w:sz="2" w:space="0"/>
            </w:tcBorders>
            <w:shd w:val="clear" w:color="auto" w:fill="auto"/>
            <w:vAlign w:val="center"/>
          </w:tcPr>
          <w:p>
            <w:pPr>
              <w:pStyle w:val="142"/>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≤5秒</w:t>
            </w:r>
          </w:p>
        </w:tc>
      </w:tr>
    </w:tbl>
    <w:p>
      <w:pPr>
        <w:rPr>
          <w:color w:val="auto"/>
          <w:highlight w:val="none"/>
        </w:rPr>
      </w:pPr>
    </w:p>
    <w:p>
      <w:pPr>
        <w:pStyle w:val="5"/>
        <w:ind w:left="480"/>
        <w:rPr>
          <w:color w:val="auto"/>
          <w:highlight w:val="none"/>
        </w:rPr>
      </w:pPr>
      <w:r>
        <w:rPr>
          <w:rFonts w:hint="eastAsia"/>
          <w:color w:val="auto"/>
          <w:highlight w:val="none"/>
        </w:rPr>
        <w:t>应用指标</w:t>
      </w:r>
    </w:p>
    <w:tbl>
      <w:tblPr>
        <w:tblStyle w:val="3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38"/>
        <w:gridCol w:w="44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8" w:type="pct"/>
            <w:shd w:val="clear" w:color="auto" w:fill="auto"/>
            <w:vAlign w:val="center"/>
          </w:tcPr>
          <w:p>
            <w:pPr>
              <w:pStyle w:val="143"/>
              <w:widowControl/>
              <w:rPr>
                <w:color w:val="auto"/>
                <w:highlight w:val="none"/>
              </w:rPr>
            </w:pPr>
            <w:r>
              <w:rPr>
                <w:rFonts w:hint="eastAsia"/>
                <w:color w:val="auto"/>
                <w:highlight w:val="none"/>
              </w:rPr>
              <w:t>指标</w:t>
            </w:r>
          </w:p>
        </w:tc>
        <w:tc>
          <w:tcPr>
            <w:tcW w:w="2631" w:type="pct"/>
            <w:shd w:val="clear" w:color="auto" w:fill="auto"/>
            <w:vAlign w:val="center"/>
          </w:tcPr>
          <w:p>
            <w:pPr>
              <w:pStyle w:val="143"/>
              <w:widowControl/>
              <w:rPr>
                <w:color w:val="auto"/>
                <w:highlight w:val="none"/>
              </w:rPr>
            </w:pPr>
            <w:r>
              <w:rPr>
                <w:rFonts w:hint="eastAsia"/>
                <w:color w:val="auto"/>
                <w:highlight w:val="none"/>
              </w:rPr>
              <w:t>指标值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8" w:type="pct"/>
            <w:shd w:val="clear" w:color="auto" w:fill="auto"/>
            <w:vAlign w:val="center"/>
          </w:tcPr>
          <w:p>
            <w:pPr>
              <w:pStyle w:val="143"/>
              <w:widowControl/>
              <w:rPr>
                <w:color w:val="auto"/>
                <w:highlight w:val="none"/>
              </w:rPr>
            </w:pPr>
            <w:r>
              <w:rPr>
                <w:rFonts w:hint="eastAsia"/>
                <w:color w:val="auto"/>
                <w:highlight w:val="none"/>
              </w:rPr>
              <w:t>边缘数据库移除率</w:t>
            </w:r>
          </w:p>
        </w:tc>
        <w:tc>
          <w:tcPr>
            <w:tcW w:w="2631" w:type="pct"/>
            <w:shd w:val="clear" w:color="auto" w:fill="auto"/>
            <w:vAlign w:val="center"/>
          </w:tcPr>
          <w:p>
            <w:pPr>
              <w:pStyle w:val="143"/>
              <w:widowControl/>
              <w:rPr>
                <w:color w:val="auto"/>
                <w:highlight w:val="none"/>
              </w:rPr>
            </w:pPr>
            <w:r>
              <w:rPr>
                <w:color w:val="auto"/>
                <w:highlight w:val="none"/>
              </w:rPr>
              <w: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68" w:type="pct"/>
            <w:shd w:val="clear" w:color="auto" w:fill="auto"/>
            <w:vAlign w:val="center"/>
          </w:tcPr>
          <w:p>
            <w:pPr>
              <w:pStyle w:val="143"/>
              <w:widowControl/>
              <w:rPr>
                <w:color w:val="auto"/>
                <w:highlight w:val="none"/>
              </w:rPr>
            </w:pPr>
            <w:r>
              <w:rPr>
                <w:rFonts w:hint="eastAsia"/>
                <w:color w:val="auto"/>
                <w:highlight w:val="none"/>
              </w:rPr>
              <w:t>页面改版覆盖度</w:t>
            </w:r>
          </w:p>
        </w:tc>
        <w:tc>
          <w:tcPr>
            <w:tcW w:w="2631" w:type="pct"/>
            <w:shd w:val="clear" w:color="auto" w:fill="auto"/>
            <w:vAlign w:val="center"/>
          </w:tcPr>
          <w:p>
            <w:pPr>
              <w:pStyle w:val="143"/>
              <w:widowControl/>
              <w:rPr>
                <w:color w:val="auto"/>
                <w:highlight w:val="none"/>
              </w:rPr>
            </w:pPr>
            <w:r>
              <w:rPr>
                <w:rFonts w:hint="eastAsia"/>
                <w:color w:val="auto"/>
                <w:highlight w:val="none"/>
              </w:rPr>
              <w:t>中文界面、英文界面</w:t>
            </w:r>
          </w:p>
        </w:tc>
      </w:tr>
    </w:tbl>
    <w:p>
      <w:pPr>
        <w:rPr>
          <w:color w:val="auto"/>
          <w:highlight w:val="none"/>
        </w:rPr>
      </w:pPr>
    </w:p>
    <w:p>
      <w:pPr>
        <w:pStyle w:val="4"/>
        <w:rPr>
          <w:color w:val="auto"/>
          <w:highlight w:val="none"/>
        </w:rPr>
      </w:pPr>
      <w:bookmarkStart w:id="11" w:name="_Toc47532923"/>
      <w:bookmarkEnd w:id="11"/>
      <w:bookmarkStart w:id="12" w:name="_Toc47536304"/>
      <w:bookmarkEnd w:id="12"/>
      <w:bookmarkStart w:id="13" w:name="_Toc47539102"/>
      <w:bookmarkEnd w:id="13"/>
      <w:bookmarkStart w:id="14" w:name="_Toc47537166"/>
      <w:bookmarkEnd w:id="14"/>
      <w:bookmarkStart w:id="15" w:name="_Toc47536676"/>
      <w:bookmarkEnd w:id="15"/>
      <w:bookmarkStart w:id="16" w:name="_Toc47533288"/>
      <w:bookmarkEnd w:id="16"/>
      <w:r>
        <w:rPr>
          <w:rFonts w:hint="eastAsia"/>
          <w:color w:val="auto"/>
          <w:highlight w:val="none"/>
        </w:rPr>
        <w:t>项目建设内容</w:t>
      </w:r>
    </w:p>
    <w:p>
      <w:pPr>
        <w:rPr>
          <w:rFonts w:cs="宋体"/>
          <w:color w:val="auto"/>
          <w:highlight w:val="none"/>
        </w:rPr>
      </w:pPr>
      <w:r>
        <w:rPr>
          <w:rFonts w:hint="eastAsia" w:cs="宋体"/>
          <w:color w:val="auto"/>
          <w:highlight w:val="none"/>
        </w:rPr>
        <w:t>本次项目建设在原有系统上进行升级改造，本项目建设内容主要包括：</w:t>
      </w:r>
    </w:p>
    <w:p>
      <w:pPr>
        <w:rPr>
          <w:rFonts w:cs="宋体"/>
          <w:color w:val="auto"/>
          <w:highlight w:val="none"/>
        </w:rPr>
      </w:pPr>
      <w:bookmarkStart w:id="17" w:name="_Toc170763811"/>
      <w:r>
        <w:rPr>
          <w:rFonts w:hint="eastAsia" w:cs="宋体"/>
          <w:color w:val="auto"/>
          <w:highlight w:val="none"/>
        </w:rPr>
        <w:t>1.触摸屏系统中文版升级改造</w:t>
      </w:r>
      <w:bookmarkEnd w:id="17"/>
    </w:p>
    <w:p>
      <w:pPr>
        <w:rPr>
          <w:rFonts w:cs="宋体"/>
          <w:color w:val="auto"/>
          <w:highlight w:val="none"/>
        </w:rPr>
      </w:pPr>
      <w:r>
        <w:rPr>
          <w:rFonts w:hint="eastAsia" w:cs="宋体"/>
          <w:color w:val="auto"/>
          <w:highlight w:val="none"/>
        </w:rPr>
        <w:t>本项目经多年运行，界面排版老旧，不熟悉触摸屏操作的游客在使用各菜单模块时存在较大困难。需要调整页面布局和页面样式，用以更为清晰直观的展示信息。升级改版之后，其功能主要涵盖如下五大类别：自助信息新阵地、城市文旅宣推新平台、精品线路新链接、激发文旅消费新引擎、文旅惠民服务新载体。</w:t>
      </w:r>
    </w:p>
    <w:p>
      <w:pPr>
        <w:rPr>
          <w:rFonts w:cs="宋体"/>
          <w:color w:val="auto"/>
          <w:highlight w:val="none"/>
        </w:rPr>
      </w:pPr>
      <w:r>
        <w:rPr>
          <w:rFonts w:hint="eastAsia" w:cs="宋体"/>
          <w:color w:val="auto"/>
          <w:highlight w:val="none"/>
        </w:rPr>
        <w:t>同时根据市文化旅游局要求，新增特色信息展示，低代码网页工具配置、政企合作、界面埋点、一张图对接、一网协同对接、多国语言模块、触摸屏远程访问改造、旅游厕所及行李寄存点、智能检索、帮"您"指路等功能。</w:t>
      </w:r>
    </w:p>
    <w:p>
      <w:pPr>
        <w:rPr>
          <w:rFonts w:cs="宋体"/>
          <w:color w:val="auto"/>
          <w:highlight w:val="none"/>
        </w:rPr>
      </w:pPr>
      <w:bookmarkStart w:id="18" w:name="_Toc170763812"/>
      <w:r>
        <w:rPr>
          <w:rFonts w:hint="eastAsia" w:cs="宋体"/>
          <w:color w:val="auto"/>
          <w:highlight w:val="none"/>
        </w:rPr>
        <w:t>2.触摸屏系统英文版升级改造</w:t>
      </w:r>
      <w:bookmarkEnd w:id="18"/>
    </w:p>
    <w:p>
      <w:pPr>
        <w:rPr>
          <w:rFonts w:cs="宋体"/>
          <w:color w:val="auto"/>
          <w:highlight w:val="none"/>
        </w:rPr>
      </w:pPr>
      <w:r>
        <w:rPr>
          <w:rFonts w:hint="eastAsia" w:cs="宋体"/>
          <w:color w:val="auto"/>
          <w:highlight w:val="none"/>
        </w:rPr>
        <w:t>随着用户对界面美观性和易用性的要求不断提高，老旧的界面已不能满足海外游客对触摸屏的需求，本项目将对英文版页面进行页面布局和页面样式升级，满足游客对舒适和便捷的追求，同时新增界面埋点等功能，从而提升用户满意度和忠诚度。</w:t>
      </w:r>
    </w:p>
    <w:p>
      <w:pPr>
        <w:rPr>
          <w:rFonts w:cs="宋体"/>
          <w:color w:val="auto"/>
          <w:highlight w:val="none"/>
        </w:rPr>
      </w:pPr>
      <w:bookmarkStart w:id="19" w:name="_Toc170763813"/>
      <w:r>
        <w:rPr>
          <w:rFonts w:hint="eastAsia" w:cs="宋体"/>
          <w:color w:val="auto"/>
          <w:highlight w:val="none"/>
        </w:rPr>
        <w:t>3.数据分析汇总</w:t>
      </w:r>
      <w:bookmarkEnd w:id="19"/>
    </w:p>
    <w:p>
      <w:pPr>
        <w:rPr>
          <w:rFonts w:cs="宋体"/>
          <w:color w:val="auto"/>
          <w:highlight w:val="none"/>
        </w:rPr>
      </w:pPr>
      <w:r>
        <w:rPr>
          <w:rFonts w:hint="eastAsia" w:cs="宋体"/>
          <w:color w:val="auto"/>
          <w:highlight w:val="none"/>
        </w:rPr>
        <w:t>本项目需要对于埋点采集的数据做日活跃用户分析、栏目点击率分析、用户峰值分析、网页访问深度分析、页面跳出分析、用户留存分析、区域访问人数分析。同时需要数据分析内容、数据分析结果在领导驾驶舱中呈现，开发包括漏斗分析、yuqing热词、点位热力图、板块排行、其他图表、文旅大屏呈现等功能。</w:t>
      </w:r>
    </w:p>
    <w:p>
      <w:pPr>
        <w:rPr>
          <w:rFonts w:cs="宋体"/>
          <w:color w:val="auto"/>
          <w:highlight w:val="none"/>
        </w:rPr>
      </w:pPr>
      <w:bookmarkStart w:id="20" w:name="_Toc170763814"/>
      <w:r>
        <w:rPr>
          <w:rFonts w:hint="eastAsia" w:cs="宋体"/>
          <w:color w:val="auto"/>
          <w:highlight w:val="none"/>
        </w:rPr>
        <w:t>4.监控平台</w:t>
      </w:r>
      <w:bookmarkEnd w:id="20"/>
    </w:p>
    <w:p>
      <w:pPr>
        <w:rPr>
          <w:rFonts w:cs="宋体"/>
          <w:color w:val="auto"/>
          <w:highlight w:val="none"/>
        </w:rPr>
      </w:pPr>
      <w:r>
        <w:rPr>
          <w:rFonts w:hint="eastAsia" w:cs="宋体"/>
          <w:color w:val="auto"/>
          <w:highlight w:val="none"/>
        </w:rPr>
        <w:t>本项目需构建开发一套监控平台，其主要功能是保证播控安全，同时收集触摸屏终端的中央处理器（CPU）、内存等相关信息，并将这些信息上传至服务器进行存储。该平台能够实时、准确地获取触摸屏终端的各类关键硬件信息，包括但不限于 CPU 的使用情况、内存的占用状态等。</w:t>
      </w:r>
    </w:p>
    <w:p>
      <w:pPr>
        <w:rPr>
          <w:rFonts w:cs="宋体"/>
          <w:color w:val="auto"/>
          <w:highlight w:val="none"/>
        </w:rPr>
      </w:pPr>
      <w:bookmarkStart w:id="21" w:name="_Toc170763816"/>
      <w:r>
        <w:rPr>
          <w:rFonts w:hint="eastAsia" w:cs="宋体"/>
          <w:color w:val="auto"/>
          <w:highlight w:val="none"/>
        </w:rPr>
        <w:t>5.后台管理系统技术框架升级改造</w:t>
      </w:r>
      <w:bookmarkEnd w:id="21"/>
    </w:p>
    <w:p>
      <w:pPr>
        <w:rPr>
          <w:rFonts w:cs="宋体"/>
          <w:color w:val="auto"/>
          <w:highlight w:val="none"/>
        </w:rPr>
      </w:pPr>
      <w:r>
        <w:rPr>
          <w:rFonts w:hint="eastAsia" w:cs="宋体"/>
          <w:color w:val="auto"/>
          <w:highlight w:val="none"/>
        </w:rPr>
        <w:t>本项目经多年运行，原开发框架为Spring+struts2，后台管理系统使用jsp作为页面层展示数据给用户。由于原框架相对较为老旧，已不能满足需求。通过本项目将原系统包括触摸屏系统中文版、触摸屏系统英文版等进行架构升级为Springboot架构，用以更好地支撑本项目系统的运行。</w:t>
      </w:r>
    </w:p>
    <w:p>
      <w:pPr>
        <w:rPr>
          <w:rFonts w:hint="eastAsia" w:ascii="宋体" w:hAnsi="宋体" w:eastAsia="宋体" w:cs="宋体"/>
          <w:color w:val="auto"/>
          <w:highlight w:val="none"/>
        </w:rPr>
      </w:pPr>
      <w:r>
        <w:rPr>
          <w:rFonts w:hint="eastAsia" w:ascii="宋体" w:hAnsi="宋体" w:eastAsia="宋体" w:cs="宋体"/>
          <w:color w:val="auto"/>
          <w:highlight w:val="none"/>
        </w:rPr>
        <w:t>触摸屏前端目前使用jsp作为页面层展示数据给用户。随着技术的不断进步和发展，原有框架已不能满足需求。需将框架升级前后端分离的架构，满足</w:t>
      </w:r>
      <w:r>
        <w:rPr>
          <w:rFonts w:hint="eastAsia" w:ascii="宋体" w:hAnsi="宋体" w:eastAsia="宋体" w:cs="宋体"/>
          <w:color w:val="auto"/>
          <w:highlight w:val="none"/>
          <w:shd w:val="clear"/>
        </w:rPr>
        <w:t>前端和后端的开发可以更加独立和灵活的开发与管理需求。前端</w:t>
      </w:r>
      <w:r>
        <w:rPr>
          <w:rFonts w:hint="eastAsia" w:ascii="宋体" w:hAnsi="宋体" w:eastAsia="宋体" w:cs="宋体"/>
          <w:color w:val="auto"/>
          <w:highlight w:val="none"/>
        </w:rPr>
        <w:t>框架升级为Vue。</w:t>
      </w:r>
      <w:bookmarkStart w:id="41" w:name="_GoBack"/>
      <w:bookmarkEnd w:id="41"/>
    </w:p>
    <w:p>
      <w:pPr>
        <w:rPr>
          <w:rFonts w:cs="宋体"/>
          <w:color w:val="auto"/>
          <w:highlight w:val="none"/>
        </w:rPr>
      </w:pPr>
      <w:r>
        <w:rPr>
          <w:rFonts w:cs="宋体"/>
          <w:color w:val="auto"/>
          <w:highlight w:val="none"/>
        </w:rPr>
        <w:t>6</w:t>
      </w:r>
      <w:r>
        <w:rPr>
          <w:rFonts w:hint="eastAsia" w:cs="宋体"/>
          <w:color w:val="auto"/>
          <w:highlight w:val="none"/>
        </w:rPr>
        <w:t>.密码应用改造</w:t>
      </w:r>
    </w:p>
    <w:p>
      <w:pPr>
        <w:rPr>
          <w:rFonts w:cs="宋体"/>
          <w:color w:val="auto"/>
          <w:highlight w:val="none"/>
        </w:rPr>
      </w:pPr>
      <w:r>
        <w:rPr>
          <w:rFonts w:hint="eastAsia" w:cs="宋体"/>
          <w:color w:val="auto"/>
          <w:highlight w:val="none"/>
        </w:rPr>
        <w:t>建设用户身份认证机制模块、业务重要数据安全传输模块、服务器虚拟机设备日志/访问控制信息完整性模块、重要可执行程序签名验签模块、用户访问控制信息签名验签模块、应用系统重要数据加解密模块、应用系统重要数据签名验签模块。</w:t>
      </w:r>
    </w:p>
    <w:p>
      <w:pPr>
        <w:rPr>
          <w:rFonts w:cs="宋体"/>
          <w:color w:val="auto"/>
          <w:highlight w:val="none"/>
        </w:rPr>
      </w:pPr>
      <w:r>
        <w:rPr>
          <w:rFonts w:hint="eastAsia" w:cs="宋体"/>
          <w:color w:val="auto"/>
          <w:highlight w:val="none"/>
        </w:rPr>
        <w:t>完整性保护工具建设要求：可无缝对接签名验签服务器，完整性保护工具可减少用户系统对接签名验签服务器时的开发工作量，同时解决操作系统、中间件以及无法改动的第三方软件的密码改造问题。</w:t>
      </w:r>
    </w:p>
    <w:p>
      <w:pPr>
        <w:ind w:left="480" w:firstLine="0" w:firstLineChars="0"/>
        <w:rPr>
          <w:rFonts w:cs="宋体"/>
          <w:color w:val="auto"/>
          <w:highlight w:val="none"/>
        </w:rPr>
      </w:pPr>
      <w:r>
        <w:rPr>
          <w:rFonts w:cs="宋体"/>
          <w:color w:val="auto"/>
          <w:highlight w:val="none"/>
        </w:rPr>
        <w:t>7</w:t>
      </w:r>
      <w:r>
        <w:rPr>
          <w:rFonts w:hint="eastAsia" w:cs="宋体"/>
          <w:color w:val="auto"/>
          <w:highlight w:val="none"/>
        </w:rPr>
        <w:t>.数据服务</w:t>
      </w:r>
    </w:p>
    <w:p>
      <w:pPr>
        <w:rPr>
          <w:rFonts w:cs="宋体"/>
          <w:color w:val="auto"/>
          <w:highlight w:val="none"/>
        </w:rPr>
      </w:pPr>
      <w:r>
        <w:rPr>
          <w:rFonts w:hint="eastAsia" w:cs="宋体"/>
          <w:color w:val="auto"/>
          <w:highlight w:val="none"/>
        </w:rPr>
        <w:t>对于架构升级后需对相应业务数据无损迁移，并完成新增功能配套数据库表建设、历史数据维护等多项数据处理服务。</w:t>
      </w:r>
    </w:p>
    <w:p>
      <w:pPr>
        <w:pStyle w:val="5"/>
        <w:ind w:left="480"/>
        <w:rPr>
          <w:color w:val="auto"/>
          <w:highlight w:val="none"/>
        </w:rPr>
      </w:pPr>
      <w:r>
        <w:rPr>
          <w:rFonts w:hint="eastAsia"/>
          <w:color w:val="auto"/>
          <w:highlight w:val="none"/>
        </w:rPr>
        <w:t>部署拓扑图</w:t>
      </w:r>
    </w:p>
    <w:p>
      <w:pPr>
        <w:rPr>
          <w:color w:val="auto"/>
          <w:highlight w:val="none"/>
        </w:rPr>
      </w:pPr>
      <w:r>
        <w:rPr>
          <w:color w:val="auto"/>
          <w:highlight w:val="none"/>
        </w:rPr>
        <w:drawing>
          <wp:inline distT="0" distB="0" distL="0" distR="0">
            <wp:extent cx="5278120" cy="2831465"/>
            <wp:effectExtent l="0" t="0" r="1016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4"/>
                    <a:stretch>
                      <a:fillRect/>
                    </a:stretch>
                  </pic:blipFill>
                  <pic:spPr>
                    <a:xfrm>
                      <a:off x="0" y="0"/>
                      <a:ext cx="5278120" cy="2831465"/>
                    </a:xfrm>
                    <a:prstGeom prst="rect">
                      <a:avLst/>
                    </a:prstGeom>
                  </pic:spPr>
                </pic:pic>
              </a:graphicData>
            </a:graphic>
          </wp:inline>
        </w:drawing>
      </w:r>
    </w:p>
    <w:p>
      <w:pPr>
        <w:pStyle w:val="2"/>
        <w:ind w:firstLine="210"/>
        <w:rPr>
          <w:color w:val="auto"/>
          <w:highlight w:val="none"/>
        </w:rPr>
      </w:pPr>
    </w:p>
    <w:p>
      <w:pPr>
        <w:pStyle w:val="5"/>
        <w:ind w:left="480"/>
        <w:rPr>
          <w:color w:val="auto"/>
          <w:highlight w:val="none"/>
        </w:rPr>
      </w:pPr>
      <w:r>
        <w:rPr>
          <w:rFonts w:hint="eastAsia"/>
          <w:color w:val="auto"/>
          <w:highlight w:val="none"/>
        </w:rPr>
        <w:t>软件开发清单</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1702"/>
        <w:gridCol w:w="6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Header/>
          <w:jc w:val="center"/>
        </w:trPr>
        <w:tc>
          <w:tcPr>
            <w:tcW w:w="0" w:type="auto"/>
            <w:shd w:val="clear" w:color="auto" w:fill="auto"/>
            <w:noWrap/>
          </w:tcPr>
          <w:p>
            <w:pPr>
              <w:pStyle w:val="143"/>
              <w:widowControl/>
              <w:jc w:val="center"/>
              <w:textAlignment w:val="center"/>
              <w:rPr>
                <w:color w:val="auto"/>
                <w:highlight w:val="none"/>
              </w:rPr>
            </w:pPr>
            <w:r>
              <w:rPr>
                <w:rFonts w:hint="eastAsia"/>
                <w:color w:val="auto"/>
                <w:highlight w:val="none"/>
              </w:rPr>
              <w:t>序号</w:t>
            </w:r>
          </w:p>
        </w:tc>
        <w:tc>
          <w:tcPr>
            <w:tcW w:w="0" w:type="auto"/>
            <w:shd w:val="clear" w:color="auto" w:fill="auto"/>
            <w:noWrap/>
          </w:tcPr>
          <w:p>
            <w:pPr>
              <w:pStyle w:val="143"/>
              <w:widowControl/>
              <w:jc w:val="center"/>
              <w:textAlignment w:val="center"/>
              <w:rPr>
                <w:color w:val="auto"/>
                <w:highlight w:val="none"/>
              </w:rPr>
            </w:pPr>
            <w:r>
              <w:rPr>
                <w:rFonts w:hint="eastAsia"/>
                <w:color w:val="auto"/>
                <w:highlight w:val="none"/>
              </w:rPr>
              <w:t>模块名称</w:t>
            </w:r>
          </w:p>
        </w:tc>
        <w:tc>
          <w:tcPr>
            <w:tcW w:w="0" w:type="auto"/>
            <w:shd w:val="clear" w:color="auto" w:fill="auto"/>
          </w:tcPr>
          <w:p>
            <w:pPr>
              <w:pStyle w:val="143"/>
              <w:widowControl/>
              <w:jc w:val="center"/>
              <w:textAlignment w:val="center"/>
              <w:rPr>
                <w:color w:val="auto"/>
                <w:highlight w:val="none"/>
              </w:rPr>
            </w:pPr>
            <w:r>
              <w:rPr>
                <w:rFonts w:hint="eastAsia"/>
                <w:color w:val="auto"/>
                <w:highlight w:val="none"/>
              </w:rPr>
              <w:t>功能名称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color w:val="auto"/>
                <w:highlight w:val="none"/>
              </w:rPr>
              <w:t>1</w:t>
            </w:r>
          </w:p>
        </w:tc>
        <w:tc>
          <w:tcPr>
            <w:tcW w:w="0" w:type="auto"/>
            <w:vMerge w:val="restart"/>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w:t>
            </w: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w:t>
            </w:r>
            <w:r>
              <w:rPr>
                <w:color w:val="auto"/>
                <w:highlight w:val="none"/>
              </w:rPr>
              <w:t>-界面风格升级改造-栏目重构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color w:val="auto"/>
                <w:highlight w:val="none"/>
              </w:rPr>
              <w:t>2</w:t>
            </w:r>
          </w:p>
        </w:tc>
        <w:tc>
          <w:tcPr>
            <w:tcW w:w="0" w:type="auto"/>
            <w:vMerge w:val="continue"/>
            <w:shd w:val="clear" w:color="auto" w:fill="auto"/>
            <w:vAlign w:val="center"/>
          </w:tcPr>
          <w:p>
            <w:pPr>
              <w:pStyle w:val="143"/>
              <w:widowControl/>
              <w:jc w:val="center"/>
              <w:textAlignment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w:t>
            </w:r>
            <w:r>
              <w:rPr>
                <w:color w:val="auto"/>
                <w:highlight w:val="none"/>
              </w:rPr>
              <w:t>-界面风格升级改造-界面风格与交互升级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0" w:type="auto"/>
            <w:shd w:val="clear" w:color="auto" w:fill="auto"/>
            <w:vAlign w:val="center"/>
          </w:tcPr>
          <w:p>
            <w:pPr>
              <w:pStyle w:val="143"/>
              <w:widowControl/>
              <w:jc w:val="center"/>
              <w:textAlignment w:val="center"/>
              <w:rPr>
                <w:color w:val="auto"/>
                <w:highlight w:val="none"/>
              </w:rPr>
            </w:pPr>
            <w:r>
              <w:rPr>
                <w:color w:val="auto"/>
                <w:highlight w:val="none"/>
              </w:rPr>
              <w:t>3</w:t>
            </w:r>
          </w:p>
        </w:tc>
        <w:tc>
          <w:tcPr>
            <w:tcW w:w="0" w:type="auto"/>
            <w:vMerge w:val="continue"/>
            <w:shd w:val="clear" w:color="auto" w:fill="auto"/>
            <w:vAlign w:val="center"/>
          </w:tcPr>
          <w:p>
            <w:pPr>
              <w:pStyle w:val="143"/>
              <w:widowControl/>
              <w:jc w:val="center"/>
              <w:textAlignment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w:t>
            </w:r>
            <w:r>
              <w:rPr>
                <w:color w:val="auto"/>
                <w:highlight w:val="none"/>
              </w:rPr>
              <w:t>-特色信息展示-红色旅游、建筑可阅读、一江一河、工业旅游、海派城市考古、浦江游览、长三角旅游等主题模块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color w:val="auto"/>
                <w:highlight w:val="none"/>
              </w:rPr>
              <w:t>4</w:t>
            </w:r>
          </w:p>
        </w:tc>
        <w:tc>
          <w:tcPr>
            <w:tcW w:w="0" w:type="auto"/>
            <w:vMerge w:val="continue"/>
            <w:shd w:val="clear" w:color="auto" w:fill="auto"/>
            <w:vAlign w:val="center"/>
          </w:tcPr>
          <w:p>
            <w:pPr>
              <w:pStyle w:val="143"/>
              <w:widowControl/>
              <w:jc w:val="center"/>
              <w:textAlignment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w:t>
            </w:r>
            <w:r>
              <w:rPr>
                <w:color w:val="auto"/>
                <w:highlight w:val="none"/>
              </w:rPr>
              <w:t>-低代码网页工具配置-特色信息模块可视化页面布局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color w:val="auto"/>
                <w:highlight w:val="none"/>
              </w:rPr>
              <w:t>5</w:t>
            </w:r>
          </w:p>
        </w:tc>
        <w:tc>
          <w:tcPr>
            <w:tcW w:w="0" w:type="auto"/>
            <w:vMerge w:val="continue"/>
            <w:shd w:val="clear" w:color="auto" w:fill="auto"/>
            <w:vAlign w:val="center"/>
          </w:tcPr>
          <w:p>
            <w:pPr>
              <w:pStyle w:val="143"/>
              <w:widowControl/>
              <w:jc w:val="center"/>
              <w:textAlignment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w:t>
            </w:r>
            <w:r>
              <w:rPr>
                <w:color w:val="auto"/>
                <w:highlight w:val="none"/>
              </w:rPr>
              <w:t>-低代码网页工具配置-组件库（文本框、按钮、图片）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6</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宾馆多媒体触摸屏模块中文版升级改造-低代码网页工具配置-预设主题风格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7</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宾馆多媒体触摸屏模块中文版升级改造-低代码网页工具配置-生成发布页面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8</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宾馆多媒体触摸屏模块中文版升级改造-低代码网页工具配置-一键式配置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9</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宾馆多媒体触摸屏模块中文版升级改造-低代码网页工具配置-个性化屏保策略设定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10</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宾馆多媒体触摸屏模块中文版升级改造-低代码网页工具配置-终端屏保改造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11</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宾馆多媒体触摸屏模块中文版升级改造-政企合作-资讯管理、轮播策略、轮播展示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12</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宾馆多媒体触摸屏模块中文版升级改造-界面埋点-中文版、适老化版页面浏览关键事件用户行为采集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13</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宾馆多媒体触摸屏模块中文版升级改造-界面埋点-中文版、适老化版栏目点击关键事件用户行为采集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14</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宾馆多媒体触摸屏模块中文版升级改造-界面埋点-中文版、适老化版页面离开关键事件用户行为采集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15</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宾馆多媒体触摸屏模块中文版升级改造-界面埋点-中文版、适老化版输入框搜索关键事件用户行为采集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16</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宾馆多媒体触摸屏模块中文版升级改造-界面埋点-中文版、适老化版特定区域关键事件用户行为采集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17</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宾馆多媒体触摸屏模块中文版升级改造-一张图对接-调用一张图服务（互联网底图）对接设备端运维监控数据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18</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宾馆多媒体触摸屏模块中文版升级改造-一张图对接-对接设备端运维监控数据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19</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宾馆多媒体触摸屏模块中文版升级改造-文旅通对接-分析数据上传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20</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宾馆多媒体触摸屏模块中文版升级改造-一网协同对接-认证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21</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宾馆多媒体触摸屏模块中文版升级改造-一网协同对接-小程序端领导驾驶舱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22</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宾馆多媒体触摸屏模块中文版升级改造-多国语言模块-网站接入后台配置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23</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宾馆多媒体触摸屏模块中文版升级改造-多国语言模块-前台展示功能模块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24</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宾馆多媒体触摸屏模块中文版升级改造-触摸屏远程访问改造-周边地图、个性化展示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25</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宾馆多媒体触摸屏模块中文版升级改造-旅游厕所及行李寄存点-后台维护数据，并且集成到周边管理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26</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宾馆多媒体触摸屏模块中文版升级改造-智能检索-可选择栏目输入关键字进行搜索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27</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宾馆多媒体触摸屏模块中文版升级改造-帮"您"指路-可地图展示当前位置到目的地的路线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28</w:t>
            </w:r>
          </w:p>
        </w:tc>
        <w:tc>
          <w:tcPr>
            <w:tcW w:w="0" w:type="auto"/>
            <w:vMerge w:val="restart"/>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w:t>
            </w: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宾馆多媒体触摸屏模块英文版升级改造-界面风格进行升级改造-栏目重构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29</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宾馆多媒体触摸屏模块英文版升级改造-界面风格进行升级改造-界面风格与交互升级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30</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宾馆多媒体触摸屏模块英文版升级改造-界面埋点-英文版、适老化版页面浏览关键事件用户行为采集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31</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宾馆多媒体触摸屏模块英文版升级改造-界面埋点-英文版、适老化版栏目点击关键事件用户行为采集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32</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宾馆多媒体触摸屏模块英文版升级改造-界面埋点-英文版、适老化版页面离开关键事件用户行为采集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33</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宾馆多媒体触摸屏模块英文版升级改造-界面埋点-英文版、适老化版输入框搜索关键事件用户行为采集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34</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宾馆多媒体触摸屏模块英文版升级改造-界面埋点-英文版、适老化版特定区域关键事件用户行为采集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35</w:t>
            </w:r>
          </w:p>
        </w:tc>
        <w:tc>
          <w:tcPr>
            <w:tcW w:w="0" w:type="auto"/>
            <w:vMerge w:val="restart"/>
            <w:shd w:val="clear" w:color="auto" w:fill="auto"/>
            <w:vAlign w:val="center"/>
          </w:tcPr>
          <w:p>
            <w:pPr>
              <w:pStyle w:val="143"/>
              <w:widowControl/>
              <w:jc w:val="center"/>
              <w:textAlignment w:val="center"/>
              <w:rPr>
                <w:color w:val="auto"/>
                <w:highlight w:val="none"/>
              </w:rPr>
            </w:pPr>
            <w:r>
              <w:rPr>
                <w:rFonts w:hint="eastAsia"/>
                <w:color w:val="auto"/>
                <w:highlight w:val="none"/>
              </w:rPr>
              <w:t>数据分析汇总</w:t>
            </w: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日活跃用户分析、栏目点击率分析、用户峰值分析、网站访问深度分析、页面跳出分析、用户留存分析、区域访问人数分析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36</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数据分析汇总-领导驾驶舱应用-权限模块管理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37</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数据分析汇总-领导驾驶舱应用-领导驾驶舱-流失漏斗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38</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数据分析汇总-领导驾驶舱应用-领导驾驶舱-点位热力图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39</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数据分析汇总-领导驾驶舱应用-领导驾驶舱-yuqing热词云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40</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数据分析汇总-领导驾驶舱应用-领导驾驶舱-板块排行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41</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数据分析汇总-领导驾驶舱应用-领导驾驶舱-其他图表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42</w:t>
            </w:r>
          </w:p>
        </w:tc>
        <w:tc>
          <w:tcPr>
            <w:tcW w:w="0" w:type="auto"/>
            <w:vMerge w:val="restart"/>
            <w:shd w:val="clear" w:color="auto" w:fill="auto"/>
            <w:vAlign w:val="center"/>
          </w:tcPr>
          <w:p>
            <w:pPr>
              <w:pStyle w:val="143"/>
              <w:widowControl/>
              <w:jc w:val="center"/>
              <w:textAlignment w:val="center"/>
              <w:rPr>
                <w:color w:val="auto"/>
                <w:highlight w:val="none"/>
              </w:rPr>
            </w:pPr>
            <w:r>
              <w:rPr>
                <w:rFonts w:hint="eastAsia"/>
                <w:color w:val="auto"/>
                <w:highlight w:val="none"/>
              </w:rPr>
              <w:t>运维监控模块</w:t>
            </w: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运维监控模块-设备监控-权限模块管理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43</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运维监控模块-设备监控-终端设备资源监控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44</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运维监控模块-设备监控-设备可视化运维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45</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运维监控模块-设备监控-触摸屏后台运维监控模块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46</w:t>
            </w:r>
          </w:p>
        </w:tc>
        <w:tc>
          <w:tcPr>
            <w:tcW w:w="0" w:type="auto"/>
            <w:vMerge w:val="restart"/>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w:t>
            </w: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后台管理系统原有功能升级改造-菜单管理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47</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后台管理系统原有功能升级改造-日志管理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48</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后台管理系统原有功能升级改造-公共数据-行政区划管理（省份、城市、区县）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49</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公共数据-商圈管理、类别管理（菜肴类型、景点类型、景点级别、商家类型、娱乐场所类型、旅行社类型、旅行社评定等级、住宿场所类型、住宿场所星级、客房类型、新闻内容类型）、描述管理、二维码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50</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后台管理系统原有功能升级改造-触摸屏管理，周边管理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51</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后台管理系统原有功能升级改造-个性化配置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52</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后台管理系统原有功能升级改造-审核管理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53</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后台管理系统原有功能升级改造-上海好吃好玩资讯-餐饮美食配置、上海景点、上海周边景点、时尚购物配置、行程管理、子行程管理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54</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后台管理系统原有功能升级改造-上海好吃好玩资讯-酒店概述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55</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后台管理系统原有功能升级改造-上海好吃好玩资讯-中心介绍、管理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56</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后台管理系统原有功能升级改造-上海好吃好玩资讯-上报统计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57</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后台管理系统原有功能升级改造-上海好吃好玩资讯-视频点播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58</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后台管理系统原有功能升级改造-上海好吃好玩资讯-文旅热点、温馨提示、专题活动、文化演出资讯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59</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后台管理系统原有功能升级改造-公共服务-交通指南、都市旅游卡、公众平台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60</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后台管理系统原有功能升级改造-公共服务-离境退税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61</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后台管理系统原有功能升级改造-上海概况-上海概述、地理位置、历史文化、上海方言、上海美食、上海商业街、节庆活动、旅游贴士、城市相册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62</w:t>
            </w:r>
          </w:p>
        </w:tc>
        <w:tc>
          <w:tcPr>
            <w:tcW w:w="0" w:type="auto"/>
            <w:vMerge w:val="continue"/>
            <w:shd w:val="clear" w:color="auto" w:fill="auto"/>
            <w:vAlign w:val="center"/>
          </w:tcPr>
          <w:p>
            <w:pPr>
              <w:pStyle w:val="143"/>
              <w:jc w:val="center"/>
              <w:rPr>
                <w:color w:val="auto"/>
                <w:highlight w:val="none"/>
              </w:rPr>
            </w:pP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后台管理系统原有功能升级改造-英文版后台改造-Know Shanghai（了解上海）、Shanghai Highlights（感知上海）、Explore Shanghai（探索上海）、Travel Tips（旅行贴士）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63</w:t>
            </w:r>
          </w:p>
        </w:tc>
        <w:tc>
          <w:tcPr>
            <w:tcW w:w="0" w:type="auto"/>
            <w:shd w:val="clear" w:color="auto" w:fill="FFFFFF"/>
            <w:vAlign w:val="center"/>
          </w:tcPr>
          <w:p>
            <w:pPr>
              <w:pStyle w:val="143"/>
              <w:widowControl/>
              <w:jc w:val="center"/>
              <w:textAlignment w:val="center"/>
              <w:rPr>
                <w:color w:val="auto"/>
                <w:highlight w:val="none"/>
              </w:rPr>
            </w:pPr>
            <w:r>
              <w:rPr>
                <w:rFonts w:hint="eastAsia"/>
                <w:color w:val="auto"/>
                <w:highlight w:val="none"/>
              </w:rPr>
              <w:t>密码应用改造</w:t>
            </w:r>
          </w:p>
        </w:tc>
        <w:tc>
          <w:tcPr>
            <w:tcW w:w="0" w:type="auto"/>
            <w:shd w:val="clear" w:color="auto" w:fill="auto"/>
            <w:vAlign w:val="center"/>
          </w:tcPr>
          <w:p>
            <w:pPr>
              <w:pStyle w:val="143"/>
              <w:widowControl/>
              <w:jc w:val="center"/>
              <w:textAlignment w:val="center"/>
              <w:rPr>
                <w:color w:val="auto"/>
                <w:highlight w:val="none"/>
              </w:rPr>
            </w:pPr>
            <w:r>
              <w:rPr>
                <w:rFonts w:hint="eastAsia"/>
                <w:color w:val="auto"/>
                <w:highlight w:val="none"/>
              </w:rPr>
              <w:t>密码应用改造</w:t>
            </w:r>
          </w:p>
        </w:tc>
      </w:tr>
    </w:tbl>
    <w:p>
      <w:pPr>
        <w:widowControl/>
        <w:spacing w:line="240" w:lineRule="auto"/>
        <w:ind w:firstLine="0" w:firstLineChars="0"/>
        <w:rPr>
          <w:rFonts w:ascii="仿宋" w:hAnsi="仿宋" w:eastAsia="仿宋" w:cs="宋体"/>
          <w:color w:val="auto"/>
          <w:kern w:val="0"/>
          <w:sz w:val="21"/>
          <w:szCs w:val="21"/>
          <w:highlight w:val="none"/>
        </w:rPr>
      </w:pPr>
    </w:p>
    <w:p>
      <w:pPr>
        <w:pStyle w:val="5"/>
        <w:ind w:left="480"/>
        <w:rPr>
          <w:color w:val="auto"/>
          <w:highlight w:val="none"/>
        </w:rPr>
      </w:pPr>
      <w:r>
        <w:rPr>
          <w:rFonts w:hint="eastAsia"/>
          <w:color w:val="auto"/>
          <w:highlight w:val="none"/>
        </w:rPr>
        <w:t>安全产品购置清单</w:t>
      </w:r>
    </w:p>
    <w:tbl>
      <w:tblPr>
        <w:tblStyle w:val="36"/>
        <w:tblW w:w="4961" w:type="pct"/>
        <w:tblInd w:w="0" w:type="dxa"/>
        <w:tblLayout w:type="fixed"/>
        <w:tblCellMar>
          <w:top w:w="0" w:type="dxa"/>
          <w:left w:w="0" w:type="dxa"/>
          <w:bottom w:w="0" w:type="dxa"/>
          <w:right w:w="0" w:type="dxa"/>
        </w:tblCellMar>
      </w:tblPr>
      <w:tblGrid>
        <w:gridCol w:w="448"/>
        <w:gridCol w:w="1756"/>
        <w:gridCol w:w="1658"/>
        <w:gridCol w:w="2136"/>
        <w:gridCol w:w="1090"/>
        <w:gridCol w:w="564"/>
        <w:gridCol w:w="615"/>
      </w:tblGrid>
      <w:tr>
        <w:tblPrEx>
          <w:tblCellMar>
            <w:top w:w="0" w:type="dxa"/>
            <w:left w:w="0" w:type="dxa"/>
            <w:bottom w:w="0" w:type="dxa"/>
            <w:right w:w="0" w:type="dxa"/>
          </w:tblCellMar>
        </w:tblPrEx>
        <w:trPr>
          <w:trHeight w:val="270" w:hRule="atLeast"/>
        </w:trPr>
        <w:tc>
          <w:tcPr>
            <w:tcW w:w="271" w:type="pct"/>
            <w:tcBorders>
              <w:top w:val="single" w:color="auto" w:sz="4" w:space="0"/>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序号</w:t>
            </w:r>
          </w:p>
        </w:tc>
        <w:tc>
          <w:tcPr>
            <w:tcW w:w="1061" w:type="pct"/>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名称</w:t>
            </w:r>
          </w:p>
        </w:tc>
        <w:tc>
          <w:tcPr>
            <w:tcW w:w="1002" w:type="pct"/>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类别</w:t>
            </w:r>
          </w:p>
        </w:tc>
        <w:tc>
          <w:tcPr>
            <w:tcW w:w="1291" w:type="pct"/>
            <w:tcBorders>
              <w:top w:val="single" w:color="auto"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功能说明/配置要求</w:t>
            </w:r>
          </w:p>
        </w:tc>
        <w:tc>
          <w:tcPr>
            <w:tcW w:w="659" w:type="pct"/>
            <w:tcBorders>
              <w:top w:val="single" w:color="auto"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保修年限</w:t>
            </w:r>
          </w:p>
        </w:tc>
        <w:tc>
          <w:tcPr>
            <w:tcW w:w="341" w:type="pct"/>
            <w:tcBorders>
              <w:top w:val="single" w:color="auto" w:sz="4" w:space="0"/>
              <w:left w:val="single" w:color="000000" w:sz="4" w:space="0"/>
              <w:bottom w:val="single" w:color="000000" w:sz="4" w:space="0"/>
              <w:right w:val="single" w:color="auto" w:sz="4" w:space="0"/>
            </w:tcBorders>
            <w:shd w:val="clear" w:color="auto" w:fill="auto"/>
            <w:noWrap/>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数量</w:t>
            </w:r>
          </w:p>
        </w:tc>
        <w:tc>
          <w:tcPr>
            <w:tcW w:w="372" w:type="pct"/>
            <w:tcBorders>
              <w:top w:val="single" w:color="auto" w:sz="4" w:space="0"/>
              <w:left w:val="single" w:color="000000" w:sz="4" w:space="0"/>
              <w:bottom w:val="single" w:color="000000" w:sz="4" w:space="0"/>
              <w:right w:val="single" w:color="auto" w:sz="4" w:space="0"/>
            </w:tcBorders>
            <w:vAlign w:val="center"/>
          </w:tcPr>
          <w:p>
            <w:pPr>
              <w:pStyle w:val="143"/>
              <w:widowControl/>
              <w:jc w:val="center"/>
              <w:textAlignment w:val="center"/>
              <w:rPr>
                <w:color w:val="auto"/>
                <w:highlight w:val="none"/>
              </w:rPr>
            </w:pPr>
            <w:r>
              <w:rPr>
                <w:rFonts w:hint="eastAsia"/>
                <w:color w:val="auto"/>
                <w:highlight w:val="none"/>
              </w:rPr>
              <w:t>单位</w:t>
            </w:r>
          </w:p>
        </w:tc>
      </w:tr>
      <w:tr>
        <w:tblPrEx>
          <w:tblCellMar>
            <w:top w:w="0" w:type="dxa"/>
            <w:left w:w="0" w:type="dxa"/>
            <w:bottom w:w="0" w:type="dxa"/>
            <w:right w:w="0" w:type="dxa"/>
          </w:tblCellMar>
        </w:tblPrEx>
        <w:trPr>
          <w:trHeight w:val="825" w:hRule="atLeast"/>
        </w:trPr>
        <w:tc>
          <w:tcPr>
            <w:tcW w:w="271"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1</w:t>
            </w:r>
          </w:p>
        </w:tc>
        <w:tc>
          <w:tcPr>
            <w:tcW w:w="106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安全播控软件</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其他</w:t>
            </w:r>
            <w:r>
              <w:rPr>
                <w:color w:val="auto"/>
                <w:highlight w:val="none"/>
              </w:rPr>
              <w:t>安全产品</w:t>
            </w:r>
          </w:p>
        </w:tc>
        <w:tc>
          <w:tcPr>
            <w:tcW w:w="129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电子联网屏服务端</w:t>
            </w:r>
          </w:p>
        </w:tc>
        <w:tc>
          <w:tcPr>
            <w:tcW w:w="659"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1年</w:t>
            </w:r>
          </w:p>
        </w:tc>
        <w:tc>
          <w:tcPr>
            <w:tcW w:w="341"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pStyle w:val="143"/>
              <w:widowControl/>
              <w:jc w:val="center"/>
              <w:textAlignment w:val="center"/>
              <w:rPr>
                <w:color w:val="auto"/>
                <w:highlight w:val="none"/>
              </w:rPr>
            </w:pPr>
            <w:r>
              <w:rPr>
                <w:rFonts w:hint="eastAsia"/>
                <w:color w:val="auto"/>
                <w:highlight w:val="none"/>
              </w:rPr>
              <w:t>1</w:t>
            </w:r>
          </w:p>
        </w:tc>
        <w:tc>
          <w:tcPr>
            <w:tcW w:w="372" w:type="pct"/>
            <w:tcBorders>
              <w:top w:val="single" w:color="000000" w:sz="4" w:space="0"/>
              <w:left w:val="single" w:color="000000" w:sz="4" w:space="0"/>
              <w:bottom w:val="single" w:color="000000" w:sz="4" w:space="0"/>
              <w:right w:val="single" w:color="auto" w:sz="4" w:space="0"/>
            </w:tcBorders>
            <w:vAlign w:val="center"/>
          </w:tcPr>
          <w:p>
            <w:pPr>
              <w:pStyle w:val="143"/>
              <w:widowControl/>
              <w:jc w:val="center"/>
              <w:textAlignment w:val="center"/>
              <w:rPr>
                <w:color w:val="auto"/>
                <w:highlight w:val="none"/>
              </w:rPr>
            </w:pPr>
            <w:r>
              <w:rPr>
                <w:rFonts w:hint="eastAsia"/>
                <w:color w:val="auto"/>
                <w:highlight w:val="none"/>
              </w:rPr>
              <w:t>套</w:t>
            </w:r>
          </w:p>
        </w:tc>
      </w:tr>
      <w:tr>
        <w:tblPrEx>
          <w:tblCellMar>
            <w:top w:w="0" w:type="dxa"/>
            <w:left w:w="0" w:type="dxa"/>
            <w:bottom w:w="0" w:type="dxa"/>
            <w:right w:w="0" w:type="dxa"/>
          </w:tblCellMar>
        </w:tblPrEx>
        <w:trPr>
          <w:trHeight w:val="825" w:hRule="atLeast"/>
        </w:trPr>
        <w:tc>
          <w:tcPr>
            <w:tcW w:w="271" w:type="pct"/>
            <w:tcBorders>
              <w:top w:val="single" w:color="000000"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pStyle w:val="143"/>
              <w:widowControl/>
              <w:jc w:val="center"/>
              <w:textAlignment w:val="center"/>
              <w:rPr>
                <w:color w:val="auto"/>
                <w:highlight w:val="none"/>
              </w:rPr>
            </w:pPr>
            <w:r>
              <w:rPr>
                <w:color w:val="auto"/>
                <w:highlight w:val="none"/>
              </w:rPr>
              <w:t>2</w:t>
            </w:r>
          </w:p>
        </w:tc>
        <w:tc>
          <w:tcPr>
            <w:tcW w:w="106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安全播控软件</w:t>
            </w:r>
          </w:p>
        </w:tc>
        <w:tc>
          <w:tcPr>
            <w:tcW w:w="1002"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其他</w:t>
            </w:r>
            <w:r>
              <w:rPr>
                <w:color w:val="auto"/>
                <w:highlight w:val="none"/>
              </w:rPr>
              <w:t>安全产品</w:t>
            </w:r>
          </w:p>
        </w:tc>
        <w:tc>
          <w:tcPr>
            <w:tcW w:w="1291" w:type="pc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电子联网屏客户端</w:t>
            </w:r>
          </w:p>
        </w:tc>
        <w:tc>
          <w:tcPr>
            <w:tcW w:w="659"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pStyle w:val="143"/>
              <w:jc w:val="center"/>
              <w:rPr>
                <w:color w:val="auto"/>
                <w:highlight w:val="none"/>
              </w:rPr>
            </w:pPr>
            <w:r>
              <w:rPr>
                <w:rFonts w:hint="eastAsia"/>
                <w:color w:val="auto"/>
                <w:highlight w:val="none"/>
              </w:rPr>
              <w:t>1年</w:t>
            </w:r>
          </w:p>
        </w:tc>
        <w:tc>
          <w:tcPr>
            <w:tcW w:w="341" w:type="pct"/>
            <w:tcBorders>
              <w:top w:val="single" w:color="000000" w:sz="4" w:space="0"/>
              <w:left w:val="single" w:color="000000" w:sz="4" w:space="0"/>
              <w:bottom w:val="single" w:color="000000" w:sz="4" w:space="0"/>
              <w:right w:val="single" w:color="auto" w:sz="4" w:space="0"/>
            </w:tcBorders>
            <w:shd w:val="clear" w:color="auto" w:fill="auto"/>
            <w:tcMar>
              <w:top w:w="15" w:type="dxa"/>
              <w:left w:w="15" w:type="dxa"/>
              <w:right w:w="15" w:type="dxa"/>
            </w:tcMar>
            <w:vAlign w:val="center"/>
          </w:tcPr>
          <w:p>
            <w:pPr>
              <w:pStyle w:val="143"/>
              <w:widowControl/>
              <w:jc w:val="center"/>
              <w:textAlignment w:val="center"/>
              <w:rPr>
                <w:color w:val="auto"/>
                <w:highlight w:val="none"/>
              </w:rPr>
            </w:pPr>
            <w:r>
              <w:rPr>
                <w:color w:val="auto"/>
                <w:highlight w:val="none"/>
              </w:rPr>
              <w:t>276</w:t>
            </w:r>
          </w:p>
        </w:tc>
        <w:tc>
          <w:tcPr>
            <w:tcW w:w="372" w:type="pct"/>
            <w:tcBorders>
              <w:top w:val="single" w:color="000000" w:sz="4" w:space="0"/>
              <w:left w:val="single" w:color="000000" w:sz="4" w:space="0"/>
              <w:bottom w:val="single" w:color="000000" w:sz="4" w:space="0"/>
              <w:right w:val="single" w:color="auto" w:sz="4" w:space="0"/>
            </w:tcBorders>
            <w:vAlign w:val="center"/>
          </w:tcPr>
          <w:p>
            <w:pPr>
              <w:pStyle w:val="143"/>
              <w:widowControl/>
              <w:jc w:val="center"/>
              <w:textAlignment w:val="center"/>
              <w:rPr>
                <w:color w:val="auto"/>
                <w:highlight w:val="none"/>
              </w:rPr>
            </w:pPr>
            <w:r>
              <w:rPr>
                <w:rFonts w:hint="eastAsia"/>
                <w:color w:val="auto"/>
                <w:highlight w:val="none"/>
              </w:rPr>
              <w:t>套</w:t>
            </w:r>
          </w:p>
        </w:tc>
      </w:tr>
    </w:tbl>
    <w:p>
      <w:pPr>
        <w:pStyle w:val="5"/>
        <w:ind w:left="480"/>
        <w:rPr>
          <w:color w:val="auto"/>
          <w:highlight w:val="none"/>
        </w:rPr>
      </w:pPr>
      <w:r>
        <w:rPr>
          <w:rFonts w:hint="eastAsia"/>
          <w:color w:val="auto"/>
          <w:highlight w:val="none"/>
        </w:rPr>
        <w:t>数据服务清单</w:t>
      </w:r>
    </w:p>
    <w:tbl>
      <w:tblPr>
        <w:tblStyle w:val="36"/>
        <w:tblW w:w="5000" w:type="pct"/>
        <w:tblInd w:w="0" w:type="dxa"/>
        <w:tblLayout w:type="autofit"/>
        <w:tblCellMar>
          <w:top w:w="0" w:type="dxa"/>
          <w:left w:w="108" w:type="dxa"/>
          <w:bottom w:w="0" w:type="dxa"/>
          <w:right w:w="108" w:type="dxa"/>
        </w:tblCellMar>
      </w:tblPr>
      <w:tblGrid>
        <w:gridCol w:w="2081"/>
        <w:gridCol w:w="3440"/>
        <w:gridCol w:w="3007"/>
      </w:tblGrid>
      <w:tr>
        <w:tblPrEx>
          <w:tblCellMar>
            <w:top w:w="0" w:type="dxa"/>
            <w:left w:w="108" w:type="dxa"/>
            <w:bottom w:w="0" w:type="dxa"/>
            <w:right w:w="108" w:type="dxa"/>
          </w:tblCellMar>
        </w:tblPrEx>
        <w:trPr>
          <w:trHeight w:val="408" w:hRule="atLeast"/>
        </w:trPr>
        <w:tc>
          <w:tcPr>
            <w:tcW w:w="1220"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cs="宋体" w:asciiTheme="minorEastAsia" w:hAnsiTheme="minorEastAsia" w:eastAsiaTheme="minorEastAsia"/>
                <w:b/>
                <w:bCs/>
                <w:color w:val="auto"/>
                <w:kern w:val="0"/>
                <w:sz w:val="22"/>
                <w:szCs w:val="22"/>
                <w:highlight w:val="none"/>
              </w:rPr>
            </w:pPr>
            <w:r>
              <w:rPr>
                <w:rFonts w:hint="eastAsia" w:cs="宋体" w:asciiTheme="minorEastAsia" w:hAnsiTheme="minorEastAsia" w:eastAsiaTheme="minorEastAsia"/>
                <w:b/>
                <w:bCs/>
                <w:color w:val="auto"/>
                <w:kern w:val="0"/>
                <w:sz w:val="22"/>
                <w:szCs w:val="22"/>
                <w:highlight w:val="none"/>
              </w:rPr>
              <w:t>科目名称</w:t>
            </w:r>
          </w:p>
        </w:tc>
        <w:tc>
          <w:tcPr>
            <w:tcW w:w="2017" w:type="pct"/>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cs="宋体" w:asciiTheme="minorEastAsia" w:hAnsiTheme="minorEastAsia" w:eastAsiaTheme="minorEastAsia"/>
                <w:b/>
                <w:bCs/>
                <w:color w:val="auto"/>
                <w:kern w:val="0"/>
                <w:sz w:val="22"/>
                <w:szCs w:val="22"/>
                <w:highlight w:val="none"/>
              </w:rPr>
            </w:pPr>
            <w:r>
              <w:rPr>
                <w:rFonts w:hint="eastAsia" w:cs="宋体" w:asciiTheme="minorEastAsia" w:hAnsiTheme="minorEastAsia" w:eastAsiaTheme="minorEastAsia"/>
                <w:b/>
                <w:bCs/>
                <w:color w:val="auto"/>
                <w:kern w:val="0"/>
                <w:sz w:val="22"/>
                <w:szCs w:val="22"/>
                <w:highlight w:val="none"/>
              </w:rPr>
              <w:t>服务内容</w:t>
            </w:r>
          </w:p>
        </w:tc>
        <w:tc>
          <w:tcPr>
            <w:tcW w:w="1763" w:type="pct"/>
            <w:tcBorders>
              <w:top w:val="single" w:color="auto" w:sz="4" w:space="0"/>
              <w:left w:val="nil"/>
              <w:bottom w:val="single" w:color="auto" w:sz="4" w:space="0"/>
              <w:right w:val="single" w:color="auto" w:sz="4" w:space="0"/>
            </w:tcBorders>
          </w:tcPr>
          <w:p>
            <w:pPr>
              <w:widowControl/>
              <w:spacing w:line="240" w:lineRule="auto"/>
              <w:ind w:firstLine="0" w:firstLineChars="0"/>
              <w:jc w:val="center"/>
              <w:rPr>
                <w:rFonts w:cs="宋体" w:asciiTheme="minorEastAsia" w:hAnsiTheme="minorEastAsia" w:eastAsiaTheme="minorEastAsia"/>
                <w:b/>
                <w:bCs/>
                <w:color w:val="auto"/>
                <w:kern w:val="0"/>
                <w:sz w:val="22"/>
                <w:szCs w:val="22"/>
                <w:highlight w:val="none"/>
              </w:rPr>
            </w:pPr>
            <w:r>
              <w:rPr>
                <w:rFonts w:hint="eastAsia" w:cs="宋体" w:asciiTheme="minorEastAsia" w:hAnsiTheme="minorEastAsia" w:eastAsiaTheme="minorEastAsia"/>
                <w:b/>
                <w:bCs/>
                <w:color w:val="auto"/>
                <w:kern w:val="0"/>
                <w:sz w:val="22"/>
                <w:szCs w:val="22"/>
                <w:highlight w:val="none"/>
              </w:rPr>
              <w:t>备注</w:t>
            </w:r>
          </w:p>
        </w:tc>
      </w:tr>
      <w:tr>
        <w:tblPrEx>
          <w:tblCellMar>
            <w:top w:w="0" w:type="dxa"/>
            <w:left w:w="108" w:type="dxa"/>
            <w:bottom w:w="0" w:type="dxa"/>
            <w:right w:w="108" w:type="dxa"/>
          </w:tblCellMar>
        </w:tblPrEx>
        <w:trPr>
          <w:trHeight w:val="329"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使用统信2.0操作系统、插件安装、应用部署、日志文件迁移</w:t>
            </w:r>
          </w:p>
        </w:tc>
        <w:tc>
          <w:tcPr>
            <w:tcW w:w="1763" w:type="pct"/>
            <w:tcBorders>
              <w:top w:val="single" w:color="000000" w:sz="4" w:space="0"/>
              <w:left w:val="nil"/>
              <w:bottom w:val="single" w:color="000000" w:sz="4" w:space="0"/>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国产操作系统、中间件改造对应的迁移设计、搭建</w:t>
            </w:r>
            <w:r>
              <w:rPr>
                <w:rFonts w:cs="宋体" w:asciiTheme="minorEastAsia" w:hAnsiTheme="minorEastAsia" w:eastAsiaTheme="minorEastAsia"/>
                <w:bCs/>
                <w:color w:val="auto"/>
                <w:kern w:val="0"/>
                <w:sz w:val="22"/>
                <w:szCs w:val="22"/>
                <w:highlight w:val="none"/>
              </w:rPr>
              <w:t xml:space="preserve"> </w:t>
            </w:r>
          </w:p>
        </w:tc>
      </w:tr>
      <w:tr>
        <w:tblPrEx>
          <w:tblCellMar>
            <w:top w:w="0" w:type="dxa"/>
            <w:left w:w="108" w:type="dxa"/>
            <w:bottom w:w="0" w:type="dxa"/>
            <w:right w:w="108" w:type="dxa"/>
          </w:tblCellMar>
        </w:tblPrEx>
        <w:trPr>
          <w:trHeight w:val="276"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迁移方案规划和设计</w:t>
            </w:r>
          </w:p>
        </w:tc>
        <w:tc>
          <w:tcPr>
            <w:tcW w:w="1763" w:type="pct"/>
            <w:vMerge w:val="restart"/>
            <w:tcBorders>
              <w:top w:val="single" w:color="000000" w:sz="4" w:space="0"/>
              <w:left w:val="nil"/>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国产数据库改造对应数据库迁移设计、搭建</w:t>
            </w:r>
            <w:r>
              <w:rPr>
                <w:rFonts w:cs="宋体" w:asciiTheme="minorEastAsia" w:hAnsiTheme="minorEastAsia" w:eastAsiaTheme="minorEastAsia"/>
                <w:bCs/>
                <w:color w:val="auto"/>
                <w:kern w:val="0"/>
                <w:sz w:val="22"/>
                <w:szCs w:val="22"/>
                <w:highlight w:val="none"/>
              </w:rPr>
              <w:t xml:space="preserve"> </w:t>
            </w:r>
          </w:p>
        </w:tc>
      </w:tr>
      <w:tr>
        <w:tblPrEx>
          <w:tblCellMar>
            <w:top w:w="0" w:type="dxa"/>
            <w:left w:w="108" w:type="dxa"/>
            <w:bottom w:w="0" w:type="dxa"/>
            <w:right w:w="108" w:type="dxa"/>
          </w:tblCellMar>
        </w:tblPrEx>
        <w:trPr>
          <w:trHeight w:val="276"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数据库搭建</w:t>
            </w:r>
          </w:p>
        </w:tc>
        <w:tc>
          <w:tcPr>
            <w:tcW w:w="1763" w:type="pct"/>
            <w:vMerge w:val="continue"/>
            <w:tcBorders>
              <w:left w:val="nil"/>
              <w:bottom w:val="single" w:color="000000" w:sz="4" w:space="0"/>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p>
        </w:tc>
      </w:tr>
      <w:tr>
        <w:tblPrEx>
          <w:tblCellMar>
            <w:top w:w="0" w:type="dxa"/>
            <w:left w:w="108" w:type="dxa"/>
            <w:bottom w:w="0" w:type="dxa"/>
            <w:right w:w="108" w:type="dxa"/>
          </w:tblCellMar>
        </w:tblPrEx>
        <w:trPr>
          <w:trHeight w:val="276"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数据库数据迁移实施</w:t>
            </w:r>
          </w:p>
        </w:tc>
        <w:tc>
          <w:tcPr>
            <w:tcW w:w="1763" w:type="pct"/>
            <w:tcBorders>
              <w:top w:val="single" w:color="000000" w:sz="4" w:space="0"/>
              <w:left w:val="nil"/>
              <w:bottom w:val="single" w:color="000000" w:sz="4" w:space="0"/>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业务数据和历史数据迁移</w:t>
            </w:r>
          </w:p>
        </w:tc>
      </w:tr>
      <w:tr>
        <w:tblPrEx>
          <w:tblCellMar>
            <w:top w:w="0" w:type="dxa"/>
            <w:left w:w="108" w:type="dxa"/>
            <w:bottom w:w="0" w:type="dxa"/>
            <w:right w:w="108" w:type="dxa"/>
          </w:tblCellMar>
        </w:tblPrEx>
        <w:trPr>
          <w:trHeight w:val="337"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文件数据迁移</w:t>
            </w:r>
          </w:p>
        </w:tc>
        <w:tc>
          <w:tcPr>
            <w:tcW w:w="1763" w:type="pct"/>
            <w:tcBorders>
              <w:top w:val="single" w:color="000000" w:sz="4" w:space="0"/>
              <w:left w:val="nil"/>
              <w:bottom w:val="single" w:color="000000" w:sz="4" w:space="0"/>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历史数据迁移</w:t>
            </w:r>
          </w:p>
        </w:tc>
      </w:tr>
      <w:tr>
        <w:tblPrEx>
          <w:tblCellMar>
            <w:top w:w="0" w:type="dxa"/>
            <w:left w:w="108" w:type="dxa"/>
            <w:bottom w:w="0" w:type="dxa"/>
            <w:right w:w="108" w:type="dxa"/>
          </w:tblCellMar>
        </w:tblPrEx>
        <w:trPr>
          <w:trHeight w:val="276"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迁移功能验证</w:t>
            </w:r>
          </w:p>
        </w:tc>
        <w:tc>
          <w:tcPr>
            <w:tcW w:w="1763" w:type="pct"/>
            <w:tcBorders>
              <w:top w:val="single" w:color="000000" w:sz="4" w:space="0"/>
              <w:left w:val="nil"/>
              <w:bottom w:val="single" w:color="000000" w:sz="4" w:space="0"/>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p>
        </w:tc>
      </w:tr>
      <w:tr>
        <w:tblPrEx>
          <w:tblCellMar>
            <w:top w:w="0" w:type="dxa"/>
            <w:left w:w="108" w:type="dxa"/>
            <w:bottom w:w="0" w:type="dxa"/>
            <w:right w:w="108" w:type="dxa"/>
          </w:tblCellMar>
        </w:tblPrEx>
        <w:trPr>
          <w:trHeight w:val="276"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部署东方通、验证</w:t>
            </w:r>
          </w:p>
        </w:tc>
        <w:tc>
          <w:tcPr>
            <w:tcW w:w="1763" w:type="pct"/>
            <w:tcBorders>
              <w:top w:val="single" w:color="000000" w:sz="4" w:space="0"/>
              <w:left w:val="nil"/>
              <w:bottom w:val="single" w:color="000000" w:sz="4" w:space="0"/>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p>
        </w:tc>
      </w:tr>
      <w:tr>
        <w:tblPrEx>
          <w:tblCellMar>
            <w:top w:w="0" w:type="dxa"/>
            <w:left w:w="108" w:type="dxa"/>
            <w:bottom w:w="0" w:type="dxa"/>
            <w:right w:w="108" w:type="dxa"/>
          </w:tblCellMar>
        </w:tblPrEx>
        <w:trPr>
          <w:trHeight w:val="276" w:hRule="atLeast"/>
        </w:trPr>
        <w:tc>
          <w:tcPr>
            <w:tcW w:w="12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hint="eastAsia" w:cs="宋体" w:asciiTheme="minorEastAsia" w:hAnsiTheme="minorEastAsia" w:eastAsiaTheme="minorEastAsia"/>
                <w:bCs/>
                <w:color w:val="auto"/>
                <w:kern w:val="0"/>
                <w:sz w:val="22"/>
                <w:szCs w:val="22"/>
                <w:highlight w:val="none"/>
              </w:rPr>
              <w:t>数据加工</w:t>
            </w:r>
          </w:p>
        </w:tc>
        <w:tc>
          <w:tcPr>
            <w:tcW w:w="2017" w:type="pct"/>
            <w:tcBorders>
              <w:top w:val="single" w:color="000000" w:sz="4" w:space="0"/>
              <w:left w:val="nil"/>
              <w:bottom w:val="single" w:color="000000" w:sz="4" w:space="0"/>
              <w:right w:val="single" w:color="000000" w:sz="4" w:space="0"/>
            </w:tcBorders>
            <w:shd w:val="clear" w:color="auto" w:fill="auto"/>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r>
              <w:rPr>
                <w:rFonts w:cs="宋体" w:asciiTheme="minorEastAsia" w:hAnsiTheme="minorEastAsia" w:eastAsiaTheme="minorEastAsia"/>
                <w:bCs/>
                <w:color w:val="auto"/>
                <w:kern w:val="0"/>
                <w:sz w:val="22"/>
                <w:szCs w:val="22"/>
                <w:highlight w:val="none"/>
              </w:rPr>
              <w:t>其他插件调试</w:t>
            </w:r>
          </w:p>
        </w:tc>
        <w:tc>
          <w:tcPr>
            <w:tcW w:w="1763" w:type="pct"/>
            <w:tcBorders>
              <w:top w:val="single" w:color="000000" w:sz="4" w:space="0"/>
              <w:left w:val="nil"/>
              <w:bottom w:val="single" w:color="000000" w:sz="4" w:space="0"/>
              <w:right w:val="single" w:color="000000" w:sz="4" w:space="0"/>
            </w:tcBorders>
          </w:tcPr>
          <w:p>
            <w:pPr>
              <w:widowControl/>
              <w:spacing w:line="240" w:lineRule="auto"/>
              <w:ind w:firstLine="0" w:firstLineChars="0"/>
              <w:jc w:val="center"/>
              <w:rPr>
                <w:rFonts w:cs="宋体" w:asciiTheme="minorEastAsia" w:hAnsiTheme="minorEastAsia" w:eastAsiaTheme="minorEastAsia"/>
                <w:bCs/>
                <w:color w:val="auto"/>
                <w:kern w:val="0"/>
                <w:sz w:val="22"/>
                <w:szCs w:val="22"/>
                <w:highlight w:val="none"/>
              </w:rPr>
            </w:pPr>
          </w:p>
        </w:tc>
      </w:tr>
    </w:tbl>
    <w:p>
      <w:pPr>
        <w:ind w:firstLine="0" w:firstLineChars="0"/>
        <w:rPr>
          <w:color w:val="auto"/>
          <w:highlight w:val="none"/>
        </w:rPr>
      </w:pPr>
    </w:p>
    <w:p>
      <w:pPr>
        <w:pStyle w:val="5"/>
        <w:ind w:left="480"/>
        <w:rPr>
          <w:color w:val="auto"/>
          <w:highlight w:val="none"/>
        </w:rPr>
      </w:pPr>
      <w:bookmarkStart w:id="22" w:name="_Toc63785502"/>
      <w:r>
        <w:rPr>
          <w:rFonts w:hint="eastAsia"/>
          <w:color w:val="auto"/>
          <w:highlight w:val="none"/>
        </w:rPr>
        <w:t>技术要求</w:t>
      </w:r>
    </w:p>
    <w:p>
      <w:pPr>
        <w:spacing w:line="600" w:lineRule="exact"/>
        <w:rPr>
          <w:rFonts w:hAnsi="仿宋"/>
          <w:bCs/>
          <w:color w:val="auto"/>
          <w:szCs w:val="28"/>
          <w:highlight w:val="none"/>
        </w:rPr>
      </w:pPr>
      <w:r>
        <w:rPr>
          <w:rFonts w:hint="eastAsia" w:hAnsi="仿宋"/>
          <w:b/>
          <w:color w:val="auto"/>
          <w:szCs w:val="28"/>
          <w:highlight w:val="none"/>
        </w:rPr>
        <w:t>技术路线：</w:t>
      </w:r>
      <w:r>
        <w:rPr>
          <w:rFonts w:hint="eastAsia" w:hAnsi="仿宋"/>
          <w:bCs/>
          <w:color w:val="auto"/>
          <w:szCs w:val="28"/>
          <w:highlight w:val="none"/>
        </w:rPr>
        <w:t>系统入口要求使用国产化中间件做为web服务器网站发布，前端使用Vue3框架。底层服务开发语言要求使用java语言开发，使用spring boot基础框架，数据库要求使用国产化数据库。业务数据接口要求采用http restful技术结构。</w:t>
      </w:r>
    </w:p>
    <w:p>
      <w:pPr>
        <w:spacing w:line="600" w:lineRule="exact"/>
        <w:rPr>
          <w:rFonts w:hAnsi="仿宋"/>
          <w:bCs/>
          <w:color w:val="auto"/>
          <w:szCs w:val="28"/>
          <w:highlight w:val="none"/>
        </w:rPr>
      </w:pPr>
      <w:r>
        <w:rPr>
          <w:rFonts w:hint="eastAsia" w:hAnsi="仿宋"/>
          <w:b/>
          <w:color w:val="auto"/>
          <w:szCs w:val="28"/>
          <w:highlight w:val="none"/>
        </w:rPr>
        <w:t>软件架构：</w:t>
      </w:r>
      <w:r>
        <w:rPr>
          <w:rFonts w:hint="eastAsia" w:hAnsi="仿宋"/>
          <w:bCs/>
          <w:color w:val="auto"/>
          <w:szCs w:val="28"/>
          <w:highlight w:val="none"/>
        </w:rPr>
        <w:t>软件架构充分考虑系统兼容性和开放性。在系统设计时，要充分考虑不同技术架构的兼容性和开放性、与已建信息系统及其他关联部门信息系统之间的业务协同和信息交互，要建立相关技术标准和规范，为未来信息化建设留有余地。系统设计时，要考虑到未来业务和服务需求的变化，满足灵活性要求。如，相关流程定义设置应提供可调整、可自定义的方式，数据库设计时应充分预留扩展空间，各项计算公式和参数应可配置可管理，以适应未来业务调整及变化。</w:t>
      </w:r>
    </w:p>
    <w:p>
      <w:pPr>
        <w:pStyle w:val="5"/>
        <w:ind w:left="480"/>
        <w:rPr>
          <w:color w:val="auto"/>
          <w:highlight w:val="none"/>
        </w:rPr>
      </w:pPr>
      <w:r>
        <w:rPr>
          <w:rFonts w:hint="eastAsia"/>
          <w:color w:val="auto"/>
          <w:highlight w:val="none"/>
        </w:rPr>
        <w:t>软件架构图</w:t>
      </w:r>
    </w:p>
    <w:p>
      <w:pPr>
        <w:jc w:val="center"/>
        <w:rPr>
          <w:color w:val="auto"/>
          <w:highlight w:val="none"/>
        </w:rPr>
      </w:pPr>
      <w:r>
        <w:rPr>
          <w:color w:val="auto"/>
          <w:highlight w:val="none"/>
        </w:rPr>
        <w:drawing>
          <wp:inline distT="0" distB="0" distL="0" distR="0">
            <wp:extent cx="5278120" cy="5025390"/>
            <wp:effectExtent l="0" t="0" r="10160" b="3810"/>
            <wp:docPr id="201432590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4325904" name="图片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5278120" cy="5025390"/>
                    </a:xfrm>
                    <a:prstGeom prst="rect">
                      <a:avLst/>
                    </a:prstGeom>
                    <a:noFill/>
                    <a:ln>
                      <a:noFill/>
                    </a:ln>
                  </pic:spPr>
                </pic:pic>
              </a:graphicData>
            </a:graphic>
          </wp:inline>
        </w:drawing>
      </w:r>
    </w:p>
    <w:p>
      <w:pPr>
        <w:spacing w:line="560" w:lineRule="exact"/>
        <w:rPr>
          <w:color w:val="auto"/>
          <w:highlight w:val="none"/>
        </w:rPr>
      </w:pPr>
      <w:r>
        <w:rPr>
          <w:color w:val="auto"/>
          <w:highlight w:val="none"/>
        </w:rPr>
        <w:t>完成部署在政务外网和互联网区的信息系统数据归集，主数据库放在政务外网区。对内与市文化旅游局现有业务系统之间实现数据交换，对外同市大数据中心、一网通办、市民云等平台进行对接，实现交换数据进行管理，确保数据交换与共享过程留痕等功能。</w:t>
      </w:r>
    </w:p>
    <w:p>
      <w:pPr>
        <w:pStyle w:val="5"/>
        <w:ind w:left="480"/>
        <w:rPr>
          <w:color w:val="auto"/>
          <w:highlight w:val="none"/>
        </w:rPr>
      </w:pPr>
      <w:r>
        <w:rPr>
          <w:rFonts w:hint="eastAsia"/>
          <w:color w:val="auto"/>
          <w:highlight w:val="none"/>
        </w:rPr>
        <w:t>数据要求</w:t>
      </w:r>
    </w:p>
    <w:p>
      <w:pPr>
        <w:rPr>
          <w:color w:val="auto"/>
          <w:highlight w:val="none"/>
        </w:rPr>
      </w:pPr>
      <w:r>
        <w:rPr>
          <w:color w:val="auto"/>
          <w:highlight w:val="none"/>
        </w:rPr>
        <w:t>1、</w:t>
      </w:r>
      <w:r>
        <w:rPr>
          <w:rFonts w:hint="eastAsia"/>
          <w:color w:val="auto"/>
          <w:highlight w:val="none"/>
        </w:rPr>
        <w:t>本项目</w:t>
      </w:r>
      <w:r>
        <w:rPr>
          <w:color w:val="auto"/>
          <w:highlight w:val="none"/>
        </w:rPr>
        <w:t>数据库设计文档中，原则上应包括新增/升级改造的二级功能模块对应的数据库表。</w:t>
      </w:r>
    </w:p>
    <w:p>
      <w:pPr>
        <w:rPr>
          <w:color w:val="auto"/>
          <w:highlight w:val="none"/>
        </w:rPr>
      </w:pPr>
      <w:r>
        <w:rPr>
          <w:color w:val="auto"/>
          <w:highlight w:val="none"/>
        </w:rPr>
        <w:t>2、新增/升级改造的业务功能模块涉及的业务对象、业务结果的数据库表应完成数据编目上链。</w:t>
      </w:r>
    </w:p>
    <w:p>
      <w:pPr>
        <w:rPr>
          <w:color w:val="auto"/>
          <w:highlight w:val="none"/>
        </w:rPr>
      </w:pPr>
      <w:r>
        <w:rPr>
          <w:color w:val="auto"/>
          <w:highlight w:val="none"/>
        </w:rPr>
        <w:t>3、数据目录名称应符合上海市《公共数据上链实施指南》数据资源命名规范。数据目录中的数据项应包含数据库表的核心数据项，其核心数据项应包含业务主体（人、企、事、产品、地址）、主体唯一标识、时间等关键信息。</w:t>
      </w:r>
    </w:p>
    <w:p>
      <w:pPr>
        <w:rPr>
          <w:color w:val="auto"/>
          <w:highlight w:val="none"/>
        </w:rPr>
      </w:pPr>
      <w:r>
        <w:rPr>
          <w:color w:val="auto"/>
          <w:highlight w:val="none"/>
        </w:rPr>
        <w:t>4、系统升级改造后应具备与</w:t>
      </w:r>
      <w:r>
        <w:rPr>
          <w:rFonts w:hint="eastAsia"/>
          <w:color w:val="auto"/>
          <w:highlight w:val="none"/>
        </w:rPr>
        <w:t>市大数据</w:t>
      </w:r>
      <w:r>
        <w:rPr>
          <w:color w:val="auto"/>
          <w:highlight w:val="none"/>
        </w:rPr>
        <w:t>中心</w:t>
      </w:r>
      <w:r>
        <w:rPr>
          <w:rFonts w:hint="eastAsia"/>
          <w:color w:val="auto"/>
          <w:highlight w:val="none"/>
        </w:rPr>
        <w:t>信息化服务第二分中心</w:t>
      </w:r>
      <w:r>
        <w:rPr>
          <w:color w:val="auto"/>
          <w:highlight w:val="none"/>
        </w:rPr>
        <w:t>指定的数据中台对接并实现数据归集和共享的能力。</w:t>
      </w:r>
    </w:p>
    <w:p>
      <w:pPr>
        <w:rPr>
          <w:color w:val="auto"/>
          <w:highlight w:val="none"/>
        </w:rPr>
      </w:pPr>
      <w:r>
        <w:rPr>
          <w:color w:val="auto"/>
          <w:highlight w:val="none"/>
        </w:rPr>
        <w:t>5、配合完成业务数据标准编制，并按照相关管理规则和技术规范完成数据归集。</w:t>
      </w:r>
    </w:p>
    <w:p>
      <w:pPr>
        <w:rPr>
          <w:color w:val="auto"/>
          <w:highlight w:val="none"/>
        </w:rPr>
      </w:pPr>
    </w:p>
    <w:p>
      <w:pPr>
        <w:pStyle w:val="4"/>
        <w:rPr>
          <w:color w:val="auto"/>
          <w:highlight w:val="none"/>
        </w:rPr>
      </w:pPr>
      <w:r>
        <w:rPr>
          <w:rFonts w:hint="eastAsia"/>
          <w:color w:val="auto"/>
          <w:highlight w:val="none"/>
        </w:rPr>
        <w:t>电子政务云资源需求</w:t>
      </w:r>
      <w:bookmarkEnd w:id="22"/>
    </w:p>
    <w:p>
      <w:pPr>
        <w:ind w:firstLine="0" w:firstLineChars="0"/>
        <w:rPr>
          <w:color w:val="auto"/>
          <w:highlight w:val="none"/>
        </w:rPr>
      </w:pPr>
      <w:r>
        <w:rPr>
          <w:rFonts w:hint="eastAsia"/>
          <w:color w:val="auto"/>
          <w:highlight w:val="none"/>
        </w:rPr>
        <w:t>系统拟申请政务云服务器主机资源如下：</w:t>
      </w:r>
    </w:p>
    <w:tbl>
      <w:tblPr>
        <w:tblStyle w:val="3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2"/>
        <w:gridCol w:w="1313"/>
        <w:gridCol w:w="2294"/>
        <w:gridCol w:w="988"/>
        <w:gridCol w:w="2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963" w:type="pct"/>
            <w:shd w:val="clear" w:color="auto" w:fill="auto"/>
            <w:noWrap/>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资源类型</w:t>
            </w:r>
          </w:p>
        </w:tc>
        <w:tc>
          <w:tcPr>
            <w:tcW w:w="770"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资源核心（核）</w:t>
            </w:r>
          </w:p>
        </w:tc>
        <w:tc>
          <w:tcPr>
            <w:tcW w:w="1345" w:type="pct"/>
            <w:shd w:val="clear" w:color="auto" w:fill="auto"/>
            <w:noWrap/>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资源内存</w:t>
            </w:r>
            <w:r>
              <w:rPr>
                <w:rFonts w:cs="宋体"/>
                <w:color w:val="auto"/>
                <w:kern w:val="0"/>
                <w:sz w:val="21"/>
                <w:szCs w:val="21"/>
                <w:highlight w:val="none"/>
              </w:rPr>
              <w:t>(GB)</w:t>
            </w:r>
          </w:p>
        </w:tc>
        <w:tc>
          <w:tcPr>
            <w:tcW w:w="579"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存储数量</w:t>
            </w:r>
            <w:r>
              <w:rPr>
                <w:rFonts w:cs="宋体"/>
                <w:color w:val="auto"/>
                <w:kern w:val="0"/>
                <w:sz w:val="21"/>
                <w:szCs w:val="21"/>
                <w:highlight w:val="none"/>
              </w:rPr>
              <w:t>(GB)</w:t>
            </w:r>
          </w:p>
        </w:tc>
        <w:tc>
          <w:tcPr>
            <w:tcW w:w="1344" w:type="pct"/>
            <w:shd w:val="clear" w:color="auto" w:fill="auto"/>
            <w:noWrap/>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资源数量</w:t>
            </w:r>
            <w:r>
              <w:rPr>
                <w:rFonts w:cs="宋体"/>
                <w:color w:val="auto"/>
                <w:kern w:val="0"/>
                <w:sz w:val="21"/>
                <w:szCs w:val="21"/>
                <w:highlight w:val="none"/>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63"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虚拟机</w:t>
            </w:r>
          </w:p>
        </w:tc>
        <w:tc>
          <w:tcPr>
            <w:tcW w:w="770"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16</w:t>
            </w:r>
          </w:p>
        </w:tc>
        <w:tc>
          <w:tcPr>
            <w:tcW w:w="1345"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32</w:t>
            </w:r>
          </w:p>
        </w:tc>
        <w:tc>
          <w:tcPr>
            <w:tcW w:w="579"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500</w:t>
            </w:r>
          </w:p>
        </w:tc>
        <w:tc>
          <w:tcPr>
            <w:tcW w:w="1344"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963"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虚拟机</w:t>
            </w:r>
          </w:p>
        </w:tc>
        <w:tc>
          <w:tcPr>
            <w:tcW w:w="770"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32</w:t>
            </w:r>
          </w:p>
        </w:tc>
        <w:tc>
          <w:tcPr>
            <w:tcW w:w="1345"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64</w:t>
            </w:r>
          </w:p>
        </w:tc>
        <w:tc>
          <w:tcPr>
            <w:tcW w:w="579"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500</w:t>
            </w:r>
          </w:p>
        </w:tc>
        <w:tc>
          <w:tcPr>
            <w:tcW w:w="1344"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63"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虚拟机</w:t>
            </w:r>
          </w:p>
        </w:tc>
        <w:tc>
          <w:tcPr>
            <w:tcW w:w="770"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16</w:t>
            </w:r>
          </w:p>
        </w:tc>
        <w:tc>
          <w:tcPr>
            <w:tcW w:w="1345"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32</w:t>
            </w:r>
          </w:p>
        </w:tc>
        <w:tc>
          <w:tcPr>
            <w:tcW w:w="579"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5</w:t>
            </w:r>
            <w:r>
              <w:rPr>
                <w:rFonts w:cs="宋体"/>
                <w:color w:val="auto"/>
                <w:kern w:val="0"/>
                <w:sz w:val="21"/>
                <w:szCs w:val="21"/>
                <w:highlight w:val="none"/>
              </w:rPr>
              <w:t>00</w:t>
            </w:r>
          </w:p>
        </w:tc>
        <w:tc>
          <w:tcPr>
            <w:tcW w:w="1344"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63"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虚拟机</w:t>
            </w:r>
          </w:p>
        </w:tc>
        <w:tc>
          <w:tcPr>
            <w:tcW w:w="770"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32</w:t>
            </w:r>
          </w:p>
        </w:tc>
        <w:tc>
          <w:tcPr>
            <w:tcW w:w="1345"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64</w:t>
            </w:r>
          </w:p>
        </w:tc>
        <w:tc>
          <w:tcPr>
            <w:tcW w:w="579"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5</w:t>
            </w:r>
            <w:r>
              <w:rPr>
                <w:rFonts w:cs="宋体"/>
                <w:color w:val="auto"/>
                <w:kern w:val="0"/>
                <w:sz w:val="21"/>
                <w:szCs w:val="21"/>
                <w:highlight w:val="none"/>
              </w:rPr>
              <w:t>00</w:t>
            </w:r>
          </w:p>
        </w:tc>
        <w:tc>
          <w:tcPr>
            <w:tcW w:w="1344" w:type="pct"/>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1</w:t>
            </w:r>
          </w:p>
        </w:tc>
      </w:tr>
    </w:tbl>
    <w:p>
      <w:pPr>
        <w:ind w:firstLine="0" w:firstLineChars="0"/>
        <w:rPr>
          <w:color w:val="auto"/>
          <w:highlight w:val="none"/>
        </w:rPr>
      </w:pPr>
      <w:r>
        <w:rPr>
          <w:rFonts w:hint="eastAsia"/>
          <w:color w:val="auto"/>
          <w:highlight w:val="none"/>
        </w:rPr>
        <w:t>系统拟申请</w:t>
      </w:r>
      <w:r>
        <w:rPr>
          <w:color w:val="auto"/>
          <w:highlight w:val="none"/>
        </w:rPr>
        <w:t>PaaS服务</w:t>
      </w:r>
      <w:r>
        <w:rPr>
          <w:rFonts w:hint="eastAsia"/>
          <w:color w:val="auto"/>
          <w:highlight w:val="none"/>
        </w:rPr>
        <w:t>资源如下：</w:t>
      </w:r>
    </w:p>
    <w:tbl>
      <w:tblPr>
        <w:tblStyle w:val="36"/>
        <w:tblW w:w="5000" w:type="pct"/>
        <w:tblInd w:w="0" w:type="dxa"/>
        <w:tblLayout w:type="autofit"/>
        <w:tblCellMar>
          <w:top w:w="0" w:type="dxa"/>
          <w:left w:w="108" w:type="dxa"/>
          <w:bottom w:w="0" w:type="dxa"/>
          <w:right w:w="108" w:type="dxa"/>
        </w:tblCellMar>
      </w:tblPr>
      <w:tblGrid>
        <w:gridCol w:w="4076"/>
        <w:gridCol w:w="2035"/>
        <w:gridCol w:w="2417"/>
      </w:tblGrid>
      <w:tr>
        <w:tblPrEx>
          <w:tblCellMar>
            <w:top w:w="0" w:type="dxa"/>
            <w:left w:w="108" w:type="dxa"/>
            <w:bottom w:w="0" w:type="dxa"/>
            <w:right w:w="108" w:type="dxa"/>
          </w:tblCellMar>
        </w:tblPrEx>
        <w:trPr>
          <w:trHeight w:val="263" w:hRule="atLeast"/>
        </w:trPr>
        <w:tc>
          <w:tcPr>
            <w:tcW w:w="2389" w:type="pct"/>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资源名称</w:t>
            </w:r>
          </w:p>
        </w:tc>
        <w:tc>
          <w:tcPr>
            <w:tcW w:w="1193" w:type="pct"/>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数量</w:t>
            </w:r>
          </w:p>
        </w:tc>
        <w:tc>
          <w:tcPr>
            <w:tcW w:w="1416" w:type="pct"/>
            <w:tcBorders>
              <w:top w:val="single" w:color="auto" w:sz="4" w:space="0"/>
              <w:left w:val="nil"/>
              <w:bottom w:val="single" w:color="auto" w:sz="4" w:space="0"/>
              <w:right w:val="single" w:color="auto"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单位</w:t>
            </w:r>
          </w:p>
        </w:tc>
      </w:tr>
      <w:tr>
        <w:tblPrEx>
          <w:tblCellMar>
            <w:top w:w="0" w:type="dxa"/>
            <w:left w:w="108" w:type="dxa"/>
            <w:bottom w:w="0" w:type="dxa"/>
            <w:right w:w="108" w:type="dxa"/>
          </w:tblCellMar>
        </w:tblPrEx>
        <w:trPr>
          <w:trHeight w:val="28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安全防病毒(服务器端)</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7</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套*年</w:t>
            </w:r>
          </w:p>
        </w:tc>
      </w:tr>
      <w:tr>
        <w:tblPrEx>
          <w:tblCellMar>
            <w:top w:w="0" w:type="dxa"/>
            <w:left w:w="108" w:type="dxa"/>
            <w:bottom w:w="0" w:type="dxa"/>
            <w:right w:w="108" w:type="dxa"/>
          </w:tblCellMar>
        </w:tblPrEx>
        <w:trPr>
          <w:trHeight w:val="28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数字证书服务 - SSL证书-单域名</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1</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张*年</w:t>
            </w:r>
          </w:p>
        </w:tc>
      </w:tr>
      <w:tr>
        <w:tblPrEx>
          <w:tblCellMar>
            <w:top w:w="0" w:type="dxa"/>
            <w:left w:w="108" w:type="dxa"/>
            <w:bottom w:w="0" w:type="dxa"/>
            <w:right w:w="108" w:type="dxa"/>
          </w:tblCellMar>
        </w:tblPrEx>
        <w:trPr>
          <w:trHeight w:val="28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安全认证网关服务</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2</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套*年</w:t>
            </w:r>
          </w:p>
        </w:tc>
      </w:tr>
      <w:tr>
        <w:tblPrEx>
          <w:tblCellMar>
            <w:top w:w="0" w:type="dxa"/>
            <w:left w:w="108" w:type="dxa"/>
            <w:bottom w:w="0" w:type="dxa"/>
            <w:right w:w="108" w:type="dxa"/>
          </w:tblCellMar>
        </w:tblPrEx>
        <w:trPr>
          <w:trHeight w:val="28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签名验签服务</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1</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套*年</w:t>
            </w:r>
          </w:p>
        </w:tc>
      </w:tr>
      <w:tr>
        <w:tblPrEx>
          <w:tblCellMar>
            <w:top w:w="0" w:type="dxa"/>
            <w:left w:w="108" w:type="dxa"/>
            <w:bottom w:w="0" w:type="dxa"/>
            <w:right w:w="108" w:type="dxa"/>
          </w:tblCellMar>
        </w:tblPrEx>
        <w:trPr>
          <w:trHeight w:val="36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可信密码服务</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1</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应用*年</w:t>
            </w:r>
          </w:p>
        </w:tc>
      </w:tr>
      <w:tr>
        <w:tblPrEx>
          <w:tblCellMar>
            <w:top w:w="0" w:type="dxa"/>
            <w:left w:w="108" w:type="dxa"/>
            <w:bottom w:w="0" w:type="dxa"/>
            <w:right w:w="108" w:type="dxa"/>
          </w:tblCellMar>
        </w:tblPrEx>
        <w:trPr>
          <w:trHeight w:val="36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数字证书服务 - SSL证书-单域名</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2</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张*年</w:t>
            </w:r>
          </w:p>
        </w:tc>
      </w:tr>
      <w:tr>
        <w:tblPrEx>
          <w:tblCellMar>
            <w:top w:w="0" w:type="dxa"/>
            <w:left w:w="108" w:type="dxa"/>
            <w:bottom w:w="0" w:type="dxa"/>
            <w:right w:w="108" w:type="dxa"/>
          </w:tblCellMar>
        </w:tblPrEx>
        <w:trPr>
          <w:trHeight w:val="366"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数字证书服务 - SSL证书-单域名</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1</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张*年</w:t>
            </w:r>
          </w:p>
        </w:tc>
      </w:tr>
      <w:tr>
        <w:tblPrEx>
          <w:tblCellMar>
            <w:top w:w="0" w:type="dxa"/>
            <w:left w:w="108" w:type="dxa"/>
            <w:bottom w:w="0" w:type="dxa"/>
            <w:right w:w="108" w:type="dxa"/>
          </w:tblCellMar>
        </w:tblPrEx>
        <w:trPr>
          <w:trHeight w:val="28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操作系统服务-统信UOS、麒麟</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7</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套*年</w:t>
            </w:r>
          </w:p>
        </w:tc>
      </w:tr>
      <w:tr>
        <w:tblPrEx>
          <w:tblCellMar>
            <w:top w:w="0" w:type="dxa"/>
            <w:left w:w="108" w:type="dxa"/>
            <w:bottom w:w="0" w:type="dxa"/>
            <w:right w:w="108" w:type="dxa"/>
          </w:tblCellMar>
        </w:tblPrEx>
        <w:trPr>
          <w:trHeight w:val="28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中间件-东方通、普元、金蝶</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3</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套*年</w:t>
            </w:r>
          </w:p>
        </w:tc>
      </w:tr>
      <w:tr>
        <w:tblPrEx>
          <w:tblCellMar>
            <w:top w:w="0" w:type="dxa"/>
            <w:left w:w="108" w:type="dxa"/>
            <w:bottom w:w="0" w:type="dxa"/>
            <w:right w:w="108" w:type="dxa"/>
          </w:tblCellMar>
        </w:tblPrEx>
        <w:trPr>
          <w:trHeight w:val="285" w:hRule="atLeast"/>
        </w:trPr>
        <w:tc>
          <w:tcPr>
            <w:tcW w:w="2389"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数据库服务-达梦、人大金仓</w:t>
            </w:r>
          </w:p>
        </w:tc>
        <w:tc>
          <w:tcPr>
            <w:tcW w:w="1193"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3</w:t>
            </w:r>
          </w:p>
        </w:tc>
        <w:tc>
          <w:tcPr>
            <w:tcW w:w="1416" w:type="pct"/>
            <w:tcBorders>
              <w:top w:val="single" w:color="000000" w:sz="4" w:space="0"/>
              <w:left w:val="nil"/>
              <w:bottom w:val="single" w:color="000000" w:sz="4" w:space="0"/>
              <w:right w:val="single" w:color="000000" w:sz="4" w:space="0"/>
            </w:tcBorders>
            <w:shd w:val="clear" w:color="auto" w:fill="auto"/>
            <w:vAlign w:val="center"/>
          </w:tcPr>
          <w:p>
            <w:pPr>
              <w:widowControl/>
              <w:spacing w:line="240" w:lineRule="auto"/>
              <w:ind w:firstLine="0" w:firstLineChars="0"/>
              <w:jc w:val="center"/>
              <w:rPr>
                <w:rFonts w:cs="宋体"/>
                <w:color w:val="auto"/>
                <w:kern w:val="0"/>
                <w:sz w:val="21"/>
                <w:szCs w:val="21"/>
                <w:highlight w:val="none"/>
              </w:rPr>
            </w:pPr>
            <w:r>
              <w:rPr>
                <w:rFonts w:hint="eastAsia" w:cs="宋体"/>
                <w:color w:val="auto"/>
                <w:kern w:val="0"/>
                <w:sz w:val="21"/>
                <w:szCs w:val="21"/>
                <w:highlight w:val="none"/>
              </w:rPr>
              <w:t>套*年</w:t>
            </w:r>
          </w:p>
        </w:tc>
      </w:tr>
    </w:tbl>
    <w:p>
      <w:pPr>
        <w:ind w:firstLine="0" w:firstLineChars="0"/>
        <w:rPr>
          <w:color w:val="auto"/>
          <w:highlight w:val="none"/>
        </w:rPr>
      </w:pPr>
    </w:p>
    <w:p>
      <w:pPr>
        <w:pStyle w:val="4"/>
        <w:rPr>
          <w:color w:val="auto"/>
          <w:highlight w:val="none"/>
        </w:rPr>
      </w:pPr>
      <w:bookmarkStart w:id="23" w:name="_Toc63785503"/>
      <w:r>
        <w:rPr>
          <w:rFonts w:hint="eastAsia"/>
          <w:color w:val="auto"/>
          <w:highlight w:val="none"/>
        </w:rPr>
        <w:t>其他工作要求</w:t>
      </w:r>
      <w:bookmarkEnd w:id="23"/>
    </w:p>
    <w:p>
      <w:pPr>
        <w:pStyle w:val="5"/>
        <w:ind w:left="480"/>
        <w:rPr>
          <w:color w:val="auto"/>
          <w:highlight w:val="none"/>
        </w:rPr>
      </w:pPr>
      <w:bookmarkStart w:id="24" w:name="_Toc62209488"/>
      <w:bookmarkEnd w:id="24"/>
      <w:bookmarkStart w:id="25" w:name="_Toc63151871"/>
      <w:bookmarkEnd w:id="25"/>
      <w:bookmarkStart w:id="26" w:name="_Toc63785504"/>
      <w:bookmarkEnd w:id="26"/>
      <w:bookmarkStart w:id="27" w:name="_Toc62219358"/>
      <w:bookmarkEnd w:id="27"/>
      <w:bookmarkStart w:id="28" w:name="_Toc61968111"/>
      <w:bookmarkEnd w:id="28"/>
      <w:bookmarkStart w:id="29" w:name="_Toc63585480"/>
      <w:bookmarkEnd w:id="29"/>
      <w:bookmarkStart w:id="30" w:name="_Toc63785439"/>
      <w:bookmarkEnd w:id="30"/>
      <w:bookmarkStart w:id="31" w:name="_Toc63762370"/>
      <w:bookmarkEnd w:id="31"/>
      <w:bookmarkStart w:id="32" w:name="_Toc63785505"/>
      <w:r>
        <w:rPr>
          <w:rFonts w:hint="eastAsia"/>
          <w:color w:val="auto"/>
          <w:highlight w:val="none"/>
        </w:rPr>
        <w:t>售后服务要求</w:t>
      </w:r>
      <w:bookmarkEnd w:id="32"/>
    </w:p>
    <w:p>
      <w:pPr>
        <w:pStyle w:val="107"/>
        <w:snapToGrid w:val="0"/>
        <w:spacing w:line="360" w:lineRule="auto"/>
        <w:ind w:firstLine="480"/>
        <w:rPr>
          <w:rFonts w:ascii="宋体" w:hAnsi="宋体"/>
          <w:color w:val="auto"/>
          <w:sz w:val="24"/>
          <w:szCs w:val="24"/>
          <w:highlight w:val="none"/>
        </w:rPr>
      </w:pPr>
      <w:r>
        <w:rPr>
          <w:rFonts w:hint="eastAsia" w:ascii="宋体" w:hAnsi="宋体"/>
          <w:color w:val="auto"/>
          <w:sz w:val="24"/>
          <w:szCs w:val="24"/>
          <w:highlight w:val="none"/>
        </w:rPr>
        <w:t>本项目从系统验收通过之日起1年内提供</w:t>
      </w:r>
      <w:r>
        <w:rPr>
          <w:rFonts w:ascii="宋体" w:hAnsi="宋体"/>
          <w:color w:val="auto"/>
          <w:sz w:val="24"/>
          <w:szCs w:val="24"/>
          <w:highlight w:val="none"/>
        </w:rPr>
        <w:t>7*24小时免费技术支持</w:t>
      </w:r>
      <w:r>
        <w:rPr>
          <w:rFonts w:hint="eastAsia" w:ascii="宋体" w:hAnsi="宋体"/>
          <w:color w:val="auto"/>
          <w:sz w:val="24"/>
          <w:szCs w:val="24"/>
          <w:highlight w:val="none"/>
        </w:rPr>
        <w:t>和售后服务，1年后进入有偿维护期。</w:t>
      </w:r>
    </w:p>
    <w:p>
      <w:pPr>
        <w:pStyle w:val="107"/>
        <w:snapToGrid w:val="0"/>
        <w:spacing w:line="360" w:lineRule="auto"/>
        <w:ind w:firstLine="480"/>
        <w:rPr>
          <w:rFonts w:ascii="宋体" w:hAnsi="宋体"/>
          <w:color w:val="auto"/>
          <w:sz w:val="24"/>
          <w:szCs w:val="24"/>
          <w:highlight w:val="none"/>
        </w:rPr>
      </w:pPr>
      <w:r>
        <w:rPr>
          <w:rFonts w:hint="eastAsia" w:ascii="宋体" w:hAnsi="宋体"/>
          <w:color w:val="auto"/>
          <w:sz w:val="24"/>
          <w:szCs w:val="24"/>
          <w:highlight w:val="none"/>
        </w:rPr>
        <w:t>在质量保证期内，供应商将按照售后服务的承诺提供保修和运行维护服务，如果厂商对信息系统中软件设备等产品中的部分保修期超过上述期限的，则按照厂商的规定进行免费保修。</w:t>
      </w:r>
    </w:p>
    <w:p>
      <w:pPr>
        <w:jc w:val="left"/>
        <w:rPr>
          <w:color w:val="auto"/>
          <w:highlight w:val="none"/>
        </w:rPr>
      </w:pPr>
      <w:r>
        <w:rPr>
          <w:rFonts w:hint="eastAsia"/>
          <w:color w:val="auto"/>
          <w:highlight w:val="none"/>
        </w:rPr>
        <w:t>在质量保证期内，供应商负责信息系统的运行维护工作，确保信息系统安全、稳定、可靠地运行。本项目涉及的运行维护工作范围为：</w:t>
      </w:r>
    </w:p>
    <w:p>
      <w:pPr>
        <w:jc w:val="left"/>
        <w:rPr>
          <w:rFonts w:hAnsi="仿宋" w:cs="仿宋"/>
          <w:bCs/>
          <w:color w:val="auto"/>
          <w:szCs w:val="28"/>
          <w:highlight w:val="none"/>
        </w:rPr>
      </w:pPr>
      <w:r>
        <w:rPr>
          <w:rFonts w:hint="eastAsia" w:hAnsi="仿宋" w:cs="仿宋"/>
          <w:bCs/>
          <w:color w:val="auto"/>
          <w:szCs w:val="28"/>
          <w:highlight w:val="none"/>
        </w:rPr>
        <w:t>项目运维团队应负责项目相关软件的安装、调试、软件集成、日常巡查、故障修复以及日常运维管理工作，协助对接完成云资源租赁服务。项目运维团队按照服务质量保证的标准要求提供各种售后服务，负责对其提供的系统进行维护或升级。</w:t>
      </w:r>
    </w:p>
    <w:p>
      <w:pPr>
        <w:jc w:val="left"/>
        <w:rPr>
          <w:rFonts w:hAnsi="仿宋" w:cs="仿宋"/>
          <w:bCs/>
          <w:color w:val="auto"/>
          <w:szCs w:val="28"/>
          <w:highlight w:val="none"/>
        </w:rPr>
      </w:pPr>
      <w:r>
        <w:rPr>
          <w:rFonts w:hint="eastAsia" w:hAnsi="仿宋" w:cs="仿宋"/>
          <w:bCs/>
          <w:color w:val="auto"/>
          <w:szCs w:val="28"/>
          <w:highlight w:val="none"/>
        </w:rPr>
        <w:t>项目运维团队应提供热线电话、电子邮件或在线网站等技术支持方式，提供7*24小时电话响应服务重大故障4小时恢复业务，重要时间段应提供强化安全保障，确保系统整体可用性不低于99.9%。</w:t>
      </w:r>
    </w:p>
    <w:p>
      <w:pPr>
        <w:jc w:val="left"/>
        <w:rPr>
          <w:rFonts w:hAnsi="仿宋" w:cs="仿宋"/>
          <w:bCs/>
          <w:color w:val="auto"/>
          <w:szCs w:val="28"/>
          <w:highlight w:val="none"/>
        </w:rPr>
      </w:pPr>
      <w:r>
        <w:rPr>
          <w:rFonts w:hint="eastAsia" w:hAnsi="仿宋" w:cs="仿宋"/>
          <w:bCs/>
          <w:color w:val="auto"/>
          <w:szCs w:val="28"/>
          <w:highlight w:val="none"/>
        </w:rPr>
        <w:t>日常监控、巡检：项目运维团队应负责对系统进行日常监控、巡检，对监控告警和巡检异常内容进行处理。项目运维团队需制定维护规范，按照规范要求的维护项目、周期制定详细的作业计划并执行。</w:t>
      </w:r>
    </w:p>
    <w:p>
      <w:pPr>
        <w:jc w:val="left"/>
        <w:rPr>
          <w:rFonts w:hAnsi="仿宋" w:cs="仿宋"/>
          <w:bCs/>
          <w:color w:val="auto"/>
          <w:szCs w:val="28"/>
          <w:highlight w:val="none"/>
        </w:rPr>
      </w:pPr>
      <w:r>
        <w:rPr>
          <w:rFonts w:hint="eastAsia" w:hAnsi="仿宋" w:cs="仿宋"/>
          <w:bCs/>
          <w:color w:val="auto"/>
          <w:szCs w:val="28"/>
          <w:highlight w:val="none"/>
        </w:rPr>
        <w:t>系统扩容：日常运维过程中当系统资源使用率超出限定额度或平台资源数量、功能、性能等方面不满足最终用户使用要求时，项目运维团队应及时对现有平台进行扩容申请。项目单位发起扩容需求后，项目运维团队需在60个自然日内完成扩容任务。</w:t>
      </w:r>
    </w:p>
    <w:p>
      <w:pPr>
        <w:jc w:val="left"/>
        <w:rPr>
          <w:rFonts w:hAnsi="仿宋" w:cs="仿宋"/>
          <w:bCs/>
          <w:color w:val="auto"/>
          <w:szCs w:val="28"/>
          <w:highlight w:val="none"/>
        </w:rPr>
      </w:pPr>
      <w:r>
        <w:rPr>
          <w:rFonts w:hint="eastAsia" w:hAnsi="仿宋" w:cs="仿宋"/>
          <w:bCs/>
          <w:color w:val="auto"/>
          <w:szCs w:val="28"/>
          <w:highlight w:val="none"/>
        </w:rPr>
        <w:t>应急演练与应急响应：根据系统高可用设计特性和各组件的重要性进行针对性演练，制订应急预案，每年组织至少1次应急演练。当发生重大应急事件时，应根据项目单位要求及时实施应急响应操作，并在事后编制重大事件报告。</w:t>
      </w:r>
    </w:p>
    <w:p>
      <w:pPr>
        <w:jc w:val="left"/>
        <w:rPr>
          <w:rFonts w:hAnsi="仿宋" w:cs="仿宋"/>
          <w:bCs/>
          <w:color w:val="auto"/>
          <w:szCs w:val="28"/>
          <w:highlight w:val="none"/>
        </w:rPr>
      </w:pPr>
      <w:r>
        <w:rPr>
          <w:rFonts w:hAnsi="仿宋" w:cs="仿宋"/>
          <w:bCs/>
          <w:color w:val="auto"/>
          <w:szCs w:val="28"/>
          <w:highlight w:val="none"/>
        </w:rPr>
        <w:t>安全扫描与</w:t>
      </w:r>
      <w:r>
        <w:rPr>
          <w:rFonts w:hint="eastAsia" w:hAnsi="仿宋" w:cs="仿宋"/>
          <w:bCs/>
          <w:color w:val="auto"/>
          <w:szCs w:val="28"/>
          <w:highlight w:val="none"/>
        </w:rPr>
        <w:t>加固：项目运维团队应定期实施对系统各个基础模块进行安全策略配置、安全扫描和系统漏洞加固，并对扫描结果和系统加固要求给出建议，协助进行安全加固。</w:t>
      </w:r>
    </w:p>
    <w:p>
      <w:pPr>
        <w:jc w:val="left"/>
        <w:rPr>
          <w:rFonts w:hAnsi="仿宋" w:cs="仿宋"/>
          <w:bCs/>
          <w:color w:val="auto"/>
          <w:szCs w:val="28"/>
          <w:highlight w:val="none"/>
        </w:rPr>
      </w:pPr>
      <w:r>
        <w:rPr>
          <w:rFonts w:hint="eastAsia" w:hAnsi="仿宋" w:cs="仿宋"/>
          <w:bCs/>
          <w:color w:val="auto"/>
          <w:szCs w:val="28"/>
          <w:highlight w:val="none"/>
        </w:rPr>
        <w:t>配置实施及管理：进行系统软件角色用途、账号密码等的统一配置实施及配置管理。</w:t>
      </w:r>
    </w:p>
    <w:p>
      <w:pPr>
        <w:jc w:val="left"/>
        <w:rPr>
          <w:rFonts w:hAnsi="仿宋" w:cs="仿宋"/>
          <w:bCs/>
          <w:color w:val="auto"/>
          <w:szCs w:val="28"/>
          <w:highlight w:val="none"/>
        </w:rPr>
      </w:pPr>
      <w:r>
        <w:rPr>
          <w:rFonts w:hint="eastAsia" w:hAnsi="仿宋" w:cs="仿宋"/>
          <w:bCs/>
          <w:color w:val="auto"/>
          <w:szCs w:val="28"/>
          <w:highlight w:val="none"/>
        </w:rPr>
        <w:t>节假日保障：重大节假日期间进行系统运行和信息安全的重点保障。</w:t>
      </w:r>
    </w:p>
    <w:p>
      <w:pPr>
        <w:snapToGrid w:val="0"/>
        <w:jc w:val="left"/>
        <w:rPr>
          <w:color w:val="auto"/>
          <w:highlight w:val="none"/>
        </w:rPr>
      </w:pPr>
      <w:r>
        <w:rPr>
          <w:rFonts w:hint="eastAsia" w:hAnsi="仿宋" w:cs="仿宋"/>
          <w:bCs/>
          <w:color w:val="auto"/>
          <w:szCs w:val="28"/>
          <w:highlight w:val="none"/>
        </w:rPr>
        <w:t>故障处理和响应：项目运维团队应建立完善的系统故障管理体系，管理体系涵盖故障处理的故障等级、职责分工和处理界面，每个处理流程留有电子化记录并在每个处理环节中落实到项目运维团队的部门和相应的处理接口人。按照故障等级不同，需要有不同的处理时长和故障恢复时限。</w:t>
      </w:r>
    </w:p>
    <w:p>
      <w:pPr>
        <w:pStyle w:val="5"/>
        <w:ind w:left="480"/>
        <w:rPr>
          <w:color w:val="auto"/>
          <w:highlight w:val="none"/>
        </w:rPr>
      </w:pPr>
      <w:bookmarkStart w:id="33" w:name="_Toc63785506"/>
      <w:r>
        <w:rPr>
          <w:rFonts w:hint="eastAsia"/>
          <w:color w:val="auto"/>
          <w:highlight w:val="none"/>
        </w:rPr>
        <w:t>应急响应要求</w:t>
      </w:r>
      <w:bookmarkEnd w:id="33"/>
    </w:p>
    <w:p>
      <w:pPr>
        <w:pStyle w:val="107"/>
        <w:snapToGrid w:val="0"/>
        <w:spacing w:line="360" w:lineRule="auto"/>
        <w:ind w:firstLine="480"/>
        <w:rPr>
          <w:rFonts w:ascii="宋体" w:hAnsi="宋体"/>
          <w:color w:val="auto"/>
          <w:sz w:val="24"/>
          <w:szCs w:val="24"/>
          <w:highlight w:val="none"/>
        </w:rPr>
      </w:pPr>
      <w:r>
        <w:rPr>
          <w:rFonts w:hint="eastAsia" w:ascii="宋体" w:hAnsi="宋体"/>
          <w:color w:val="auto"/>
          <w:sz w:val="24"/>
          <w:szCs w:val="24"/>
          <w:highlight w:val="none"/>
        </w:rPr>
        <w:t>供应商对系统故障应能够实时响应，若系统发生故障，接到通知后</w:t>
      </w:r>
      <w:r>
        <w:rPr>
          <w:rFonts w:ascii="宋体" w:hAnsi="宋体"/>
          <w:color w:val="auto"/>
          <w:sz w:val="24"/>
          <w:szCs w:val="24"/>
          <w:highlight w:val="none"/>
        </w:rPr>
        <w:t>30分钟之内响应，专业工程师2小时内到达现场</w:t>
      </w:r>
      <w:r>
        <w:rPr>
          <w:rFonts w:hint="eastAsia" w:ascii="宋体" w:hAnsi="宋体"/>
          <w:color w:val="auto"/>
          <w:sz w:val="24"/>
          <w:szCs w:val="24"/>
          <w:highlight w:val="none"/>
        </w:rPr>
        <w:t>。特殊故障与客户沟通协商后，按照协商的方式制定解决方案并进行处理。</w:t>
      </w:r>
    </w:p>
    <w:p>
      <w:pPr>
        <w:pStyle w:val="107"/>
        <w:snapToGrid w:val="0"/>
        <w:spacing w:line="360" w:lineRule="auto"/>
        <w:ind w:firstLine="480"/>
        <w:rPr>
          <w:rFonts w:ascii="宋体" w:hAnsi="宋体"/>
          <w:color w:val="auto"/>
          <w:sz w:val="24"/>
          <w:szCs w:val="24"/>
          <w:highlight w:val="none"/>
        </w:rPr>
      </w:pPr>
      <w:r>
        <w:rPr>
          <w:rFonts w:hint="eastAsia" w:ascii="宋体" w:hAnsi="宋体"/>
          <w:color w:val="auto"/>
          <w:sz w:val="24"/>
          <w:szCs w:val="24"/>
          <w:highlight w:val="none"/>
        </w:rPr>
        <w:t>具体故障级别及对应的应急响应要求如下：</w:t>
      </w:r>
    </w:p>
    <w:p>
      <w:pPr>
        <w:pStyle w:val="107"/>
        <w:snapToGrid w:val="0"/>
        <w:spacing w:line="360" w:lineRule="auto"/>
        <w:ind w:firstLine="480"/>
        <w:rPr>
          <w:rFonts w:ascii="宋体" w:hAnsi="宋体"/>
          <w:color w:val="auto"/>
          <w:sz w:val="24"/>
          <w:szCs w:val="24"/>
          <w:highlight w:val="none"/>
        </w:rPr>
      </w:pPr>
      <w:r>
        <w:rPr>
          <w:rFonts w:hint="eastAsia" w:ascii="宋体" w:hAnsi="宋体"/>
          <w:color w:val="auto"/>
          <w:sz w:val="24"/>
          <w:szCs w:val="24"/>
          <w:highlight w:val="none"/>
        </w:rPr>
        <w:t>一级故障：在</w:t>
      </w:r>
      <w:r>
        <w:rPr>
          <w:rFonts w:ascii="宋体" w:hAnsi="宋体"/>
          <w:color w:val="auto"/>
          <w:sz w:val="24"/>
          <w:szCs w:val="24"/>
          <w:highlight w:val="none"/>
        </w:rPr>
        <w:t>1小时内确诊，总故障解决时间不超过4小时。</w:t>
      </w:r>
    </w:p>
    <w:p>
      <w:pPr>
        <w:pStyle w:val="107"/>
        <w:snapToGrid w:val="0"/>
        <w:spacing w:line="360" w:lineRule="auto"/>
        <w:ind w:firstLine="480"/>
        <w:rPr>
          <w:rFonts w:ascii="宋体" w:hAnsi="宋体"/>
          <w:color w:val="auto"/>
          <w:sz w:val="24"/>
          <w:szCs w:val="24"/>
          <w:highlight w:val="none"/>
        </w:rPr>
      </w:pPr>
      <w:r>
        <w:rPr>
          <w:rFonts w:hint="eastAsia" w:ascii="宋体" w:hAnsi="宋体"/>
          <w:color w:val="auto"/>
          <w:sz w:val="24"/>
          <w:szCs w:val="24"/>
          <w:highlight w:val="none"/>
        </w:rPr>
        <w:t>二级故障：在</w:t>
      </w:r>
      <w:r>
        <w:rPr>
          <w:rFonts w:ascii="宋体" w:hAnsi="宋体"/>
          <w:color w:val="auto"/>
          <w:sz w:val="24"/>
          <w:szCs w:val="24"/>
          <w:highlight w:val="none"/>
        </w:rPr>
        <w:t>2小时内确诊，并在4小时内由专家到达现场确诊并解决，总故障解决时间不超过8小时</w:t>
      </w:r>
      <w:r>
        <w:rPr>
          <w:rFonts w:hint="eastAsia" w:ascii="宋体" w:hAnsi="宋体"/>
          <w:color w:val="auto"/>
          <w:sz w:val="24"/>
          <w:szCs w:val="24"/>
          <w:highlight w:val="none"/>
        </w:rPr>
        <w:t>。</w:t>
      </w:r>
    </w:p>
    <w:p>
      <w:pPr>
        <w:pStyle w:val="107"/>
        <w:snapToGrid w:val="0"/>
        <w:spacing w:line="360" w:lineRule="auto"/>
        <w:ind w:firstLine="480"/>
        <w:rPr>
          <w:rFonts w:ascii="宋体" w:hAnsi="宋体"/>
          <w:color w:val="auto"/>
          <w:sz w:val="24"/>
          <w:szCs w:val="24"/>
          <w:highlight w:val="none"/>
        </w:rPr>
      </w:pPr>
      <w:r>
        <w:rPr>
          <w:rFonts w:hint="eastAsia" w:ascii="宋体" w:hAnsi="宋体"/>
          <w:color w:val="auto"/>
          <w:sz w:val="24"/>
          <w:szCs w:val="24"/>
          <w:highlight w:val="none"/>
        </w:rPr>
        <w:t>三、四级故障：在</w:t>
      </w:r>
      <w:r>
        <w:rPr>
          <w:rFonts w:ascii="宋体" w:hAnsi="宋体"/>
          <w:color w:val="auto"/>
          <w:sz w:val="24"/>
          <w:szCs w:val="24"/>
          <w:highlight w:val="none"/>
        </w:rPr>
        <w:t>4小时内确诊故障，总故障解决时间不超过16小时。</w:t>
      </w:r>
    </w:p>
    <w:p>
      <w:pPr>
        <w:pStyle w:val="5"/>
        <w:ind w:left="480"/>
        <w:rPr>
          <w:color w:val="auto"/>
          <w:highlight w:val="none"/>
        </w:rPr>
      </w:pPr>
      <w:bookmarkStart w:id="34" w:name="_Toc63785507"/>
      <w:r>
        <w:rPr>
          <w:rFonts w:hint="eastAsia"/>
          <w:color w:val="auto"/>
          <w:highlight w:val="none"/>
        </w:rPr>
        <w:t>培训要求</w:t>
      </w:r>
      <w:bookmarkEnd w:id="34"/>
    </w:p>
    <w:p>
      <w:pPr>
        <w:rPr>
          <w:color w:val="auto"/>
          <w:highlight w:val="none"/>
        </w:rPr>
      </w:pPr>
      <w:r>
        <w:rPr>
          <w:rFonts w:hint="eastAsia"/>
          <w:color w:val="auto"/>
          <w:highlight w:val="none"/>
        </w:rPr>
        <w:t>对系统使用单位提供业务操作培训，应提供详细培训方案。</w:t>
      </w:r>
    </w:p>
    <w:p>
      <w:pPr>
        <w:rPr>
          <w:color w:val="auto"/>
          <w:highlight w:val="none"/>
        </w:rPr>
      </w:pPr>
      <w:r>
        <w:rPr>
          <w:rFonts w:hint="eastAsia"/>
          <w:color w:val="auto"/>
          <w:highlight w:val="none"/>
        </w:rPr>
        <w:t>(1)在12个月的质量保证期内，提供2次与项目相关的必要培训。</w:t>
      </w:r>
    </w:p>
    <w:p>
      <w:pPr>
        <w:rPr>
          <w:color w:val="auto"/>
          <w:highlight w:val="none"/>
        </w:rPr>
      </w:pPr>
      <w:r>
        <w:rPr>
          <w:rFonts w:hint="eastAsia"/>
          <w:color w:val="auto"/>
          <w:highlight w:val="none"/>
        </w:rPr>
        <w:t>(2)供应商需要开展分层次的人员培训工作，每次培训后应对参加培训人员进行测试，评估培训成果。培训应具有培训教材、培训环境和高水平的培训讲师。</w:t>
      </w:r>
    </w:p>
    <w:p>
      <w:pPr>
        <w:rPr>
          <w:color w:val="auto"/>
          <w:highlight w:val="none"/>
        </w:rPr>
      </w:pPr>
      <w:r>
        <w:rPr>
          <w:rFonts w:hint="eastAsia"/>
          <w:color w:val="auto"/>
          <w:highlight w:val="none"/>
        </w:rPr>
        <w:t>(3)供应商应提供一般用户的基础操作培训和部门信息管理员的日常应用维护的培训，确保用户对象能够掌握对应的操作技能。</w:t>
      </w:r>
    </w:p>
    <w:p>
      <w:pPr>
        <w:pStyle w:val="5"/>
        <w:ind w:left="480"/>
        <w:rPr>
          <w:color w:val="auto"/>
          <w:highlight w:val="none"/>
        </w:rPr>
      </w:pPr>
      <w:bookmarkStart w:id="35" w:name="_Toc63785508"/>
      <w:r>
        <w:rPr>
          <w:rFonts w:hint="eastAsia"/>
          <w:color w:val="auto"/>
          <w:highlight w:val="none"/>
        </w:rPr>
        <w:t>验收要求</w:t>
      </w:r>
      <w:bookmarkEnd w:id="35"/>
    </w:p>
    <w:p>
      <w:pPr>
        <w:rPr>
          <w:color w:val="auto"/>
          <w:szCs w:val="21"/>
          <w:highlight w:val="none"/>
        </w:rPr>
      </w:pPr>
      <w:r>
        <w:rPr>
          <w:rFonts w:hint="eastAsia"/>
          <w:color w:val="auto"/>
          <w:szCs w:val="21"/>
          <w:highlight w:val="none"/>
        </w:rPr>
        <w:t>本项目按下述方式开展验收。</w:t>
      </w:r>
    </w:p>
    <w:p>
      <w:pPr>
        <w:rPr>
          <w:color w:val="auto"/>
          <w:szCs w:val="21"/>
          <w:highlight w:val="none"/>
        </w:rPr>
      </w:pPr>
      <w:r>
        <w:rPr>
          <w:rFonts w:hint="eastAsia"/>
          <w:color w:val="auto"/>
          <w:szCs w:val="21"/>
          <w:highlight w:val="none"/>
        </w:rPr>
        <w:t>（</w:t>
      </w:r>
      <w:r>
        <w:rPr>
          <w:color w:val="auto"/>
          <w:szCs w:val="21"/>
          <w:highlight w:val="none"/>
        </w:rPr>
        <w:t>1）验收分初验和终验。</w:t>
      </w:r>
    </w:p>
    <w:p>
      <w:pPr>
        <w:rPr>
          <w:color w:val="auto"/>
          <w:szCs w:val="21"/>
          <w:highlight w:val="none"/>
        </w:rPr>
      </w:pPr>
      <w:r>
        <w:rPr>
          <w:rFonts w:hint="eastAsia"/>
          <w:color w:val="auto"/>
          <w:szCs w:val="21"/>
          <w:highlight w:val="none"/>
        </w:rPr>
        <w:t>（</w:t>
      </w:r>
      <w:r>
        <w:rPr>
          <w:color w:val="auto"/>
          <w:szCs w:val="21"/>
          <w:highlight w:val="none"/>
        </w:rPr>
        <w:t>2）初验前，供应商须完成软件开发、软件安装和信息系统的调试等，并对本项目进行功能和运行检测，确保所有信息系统功能模块能够正常运行且已达到本项目约定的各类标准要求。供应商应以书面形式向招标方递交初验通知书。招标方应当在接到通知后的5个工作日内确定初验的具体日期，由双方按照本项目的约定完成本项目的初验。招标方有权委托第三方检测机构进行验收，对此供应商应当配合。</w:t>
      </w:r>
    </w:p>
    <w:p>
      <w:pPr>
        <w:rPr>
          <w:color w:val="auto"/>
          <w:szCs w:val="21"/>
          <w:highlight w:val="none"/>
        </w:rPr>
      </w:pPr>
      <w:r>
        <w:rPr>
          <w:rFonts w:hint="eastAsia"/>
          <w:color w:val="auto"/>
          <w:szCs w:val="21"/>
          <w:highlight w:val="none"/>
        </w:rPr>
        <w:t>（</w:t>
      </w:r>
      <w:r>
        <w:rPr>
          <w:color w:val="auto"/>
          <w:szCs w:val="21"/>
          <w:highlight w:val="none"/>
        </w:rPr>
        <w:t>3）初验时，供应商须提供软件文档包括《用户需求说明书》、《系统概要设计说明书》、《系统详细设计说明书》、</w:t>
      </w:r>
      <w:r>
        <w:rPr>
          <w:rFonts w:hint="eastAsia"/>
          <w:color w:val="auto"/>
          <w:szCs w:val="21"/>
          <w:highlight w:val="none"/>
        </w:rPr>
        <w:t>《三方功能需求确认单》、</w:t>
      </w:r>
      <w:r>
        <w:rPr>
          <w:color w:val="auto"/>
          <w:szCs w:val="21"/>
          <w:highlight w:val="none"/>
        </w:rPr>
        <w:t>《测试报告》、《用户使用手册》、《系统部署文档》等）及可安装的程序运行文件。所交付的文档与文件应当是可供自然人阅读的书面和电子文档。软件文档及可安装的程序运行文件验收通过后，视为初验通过。如有缺陷，招标方应向供应商出具书面报告，陈述需要改进的缺陷。供应商应立即严格依照招标方的书面报告中的要求改进缺陷，并再次进行初验。</w:t>
      </w:r>
    </w:p>
    <w:p>
      <w:pPr>
        <w:rPr>
          <w:color w:val="auto"/>
          <w:szCs w:val="21"/>
          <w:highlight w:val="none"/>
        </w:rPr>
      </w:pPr>
      <w:r>
        <w:rPr>
          <w:rFonts w:hint="eastAsia"/>
          <w:color w:val="auto"/>
          <w:szCs w:val="21"/>
          <w:highlight w:val="none"/>
        </w:rPr>
        <w:t>（</w:t>
      </w:r>
      <w:r>
        <w:rPr>
          <w:color w:val="auto"/>
          <w:szCs w:val="21"/>
          <w:highlight w:val="none"/>
        </w:rPr>
        <w:t>4）自初验通过之日起，招标方享有供应商免费提供的</w:t>
      </w:r>
      <w:r>
        <w:rPr>
          <w:rFonts w:hint="eastAsia"/>
          <w:color w:val="auto"/>
          <w:szCs w:val="21"/>
          <w:highlight w:val="none"/>
        </w:rPr>
        <w:t>30</w:t>
      </w:r>
      <w:r>
        <w:rPr>
          <w:color w:val="auto"/>
          <w:szCs w:val="21"/>
          <w:highlight w:val="none"/>
        </w:rPr>
        <w:t>天的信息系统试运行服务期。该期间内，供应商应当按照招标方的要求提供技术支持服务，解决信息系统试运行期间可能出现的各类问题，或进一步提高与完善信息系统运行水平。</w:t>
      </w:r>
    </w:p>
    <w:p>
      <w:pPr>
        <w:rPr>
          <w:color w:val="auto"/>
          <w:szCs w:val="21"/>
          <w:highlight w:val="none"/>
        </w:rPr>
      </w:pPr>
      <w:r>
        <w:rPr>
          <w:rFonts w:hint="eastAsia"/>
          <w:color w:val="auto"/>
          <w:szCs w:val="21"/>
          <w:highlight w:val="none"/>
        </w:rPr>
        <w:t>（</w:t>
      </w:r>
      <w:r>
        <w:rPr>
          <w:color w:val="auto"/>
          <w:szCs w:val="21"/>
          <w:highlight w:val="none"/>
        </w:rPr>
        <w:t>5）初验通过且信息系统试运行期已经达到本项目约定的时间，经供应商确认信息系统具备正常运行条件，且信息系统通过运行测试，供应商应以书面形式通知招标方信息系统已准备就绪等待终验。招标方在收到终验通知后的</w:t>
      </w:r>
      <w:r>
        <w:rPr>
          <w:rFonts w:hint="eastAsia"/>
          <w:color w:val="auto"/>
          <w:szCs w:val="21"/>
          <w:highlight w:val="none"/>
        </w:rPr>
        <w:t>10</w:t>
      </w:r>
      <w:r>
        <w:rPr>
          <w:color w:val="auto"/>
          <w:szCs w:val="21"/>
          <w:highlight w:val="none"/>
        </w:rPr>
        <w:t>个工作日内发起组织专家验收会。</w:t>
      </w:r>
    </w:p>
    <w:p>
      <w:pPr>
        <w:rPr>
          <w:color w:val="auto"/>
          <w:szCs w:val="21"/>
          <w:highlight w:val="none"/>
        </w:rPr>
      </w:pPr>
      <w:r>
        <w:rPr>
          <w:rFonts w:hint="eastAsia"/>
          <w:color w:val="auto"/>
          <w:szCs w:val="21"/>
          <w:highlight w:val="none"/>
        </w:rPr>
        <w:t>（6</w:t>
      </w:r>
      <w:r>
        <w:rPr>
          <w:color w:val="auto"/>
          <w:szCs w:val="21"/>
          <w:highlight w:val="none"/>
        </w:rPr>
        <w:t>）如果属于供应商原因致使本项目未能通过终验，供应商应当排除缺陷，直至本项目完全符合验收标准，由上述情形而产生的相关费用应由供应商自行承担。</w:t>
      </w:r>
    </w:p>
    <w:p>
      <w:pPr>
        <w:rPr>
          <w:color w:val="auto"/>
          <w:szCs w:val="21"/>
          <w:highlight w:val="none"/>
        </w:rPr>
      </w:pPr>
      <w:r>
        <w:rPr>
          <w:rFonts w:hint="eastAsia"/>
          <w:color w:val="auto"/>
          <w:szCs w:val="21"/>
          <w:highlight w:val="none"/>
        </w:rPr>
        <w:t>（7</w:t>
      </w:r>
      <w:r>
        <w:rPr>
          <w:color w:val="auto"/>
          <w:szCs w:val="21"/>
          <w:highlight w:val="none"/>
        </w:rPr>
        <w:t>）如果由于招标方原因导致本项目在终验通过前出现故障或问题，供应商应及时配合排除该方面的故障或问题。</w:t>
      </w:r>
    </w:p>
    <w:p>
      <w:pPr>
        <w:rPr>
          <w:color w:val="auto"/>
          <w:szCs w:val="21"/>
          <w:highlight w:val="none"/>
        </w:rPr>
      </w:pPr>
      <w:r>
        <w:rPr>
          <w:rFonts w:hint="eastAsia"/>
          <w:color w:val="auto"/>
          <w:szCs w:val="21"/>
          <w:highlight w:val="none"/>
        </w:rPr>
        <w:t>（8</w:t>
      </w:r>
      <w:r>
        <w:rPr>
          <w:color w:val="auto"/>
          <w:szCs w:val="21"/>
          <w:highlight w:val="none"/>
        </w:rPr>
        <w:t>）如本项目连续3次验收未通过（含初验未通过或终验未通过），招标方有权解除项目，并有权依照本项目约定的违约条款追究供应商的违约责任。</w:t>
      </w:r>
    </w:p>
    <w:p>
      <w:pPr>
        <w:pStyle w:val="5"/>
        <w:ind w:left="480"/>
        <w:rPr>
          <w:color w:val="auto"/>
          <w:highlight w:val="none"/>
        </w:rPr>
      </w:pPr>
      <w:bookmarkStart w:id="36" w:name="_Toc63785509"/>
      <w:r>
        <w:rPr>
          <w:rFonts w:hint="eastAsia"/>
          <w:color w:val="auto"/>
          <w:highlight w:val="none"/>
        </w:rPr>
        <w:t>进度要求</w:t>
      </w:r>
      <w:bookmarkEnd w:id="36"/>
    </w:p>
    <w:p>
      <w:pPr>
        <w:rPr>
          <w:color w:val="auto"/>
          <w:highlight w:val="none"/>
        </w:rPr>
      </w:pPr>
      <w:r>
        <w:rPr>
          <w:rFonts w:hint="eastAsia"/>
          <w:color w:val="auto"/>
          <w:highlight w:val="none"/>
        </w:rPr>
        <w:t>投标人应根据建设内容，分阶段制定合理的时间进度，并且应根据招标方要求进行调整和细化。</w:t>
      </w:r>
    </w:p>
    <w:p>
      <w:pPr>
        <w:spacing w:line="560" w:lineRule="exact"/>
        <w:rPr>
          <w:color w:val="auto"/>
          <w:highlight w:val="none"/>
        </w:rPr>
      </w:pPr>
      <w:r>
        <w:rPr>
          <w:rFonts w:hint="eastAsia"/>
          <w:color w:val="auto"/>
          <w:highlight w:val="none"/>
        </w:rPr>
        <w:t>项目总体建设周期为自合同签订之日起至2025年</w:t>
      </w:r>
      <w:r>
        <w:rPr>
          <w:color w:val="auto"/>
          <w:highlight w:val="none"/>
        </w:rPr>
        <w:t>10</w:t>
      </w:r>
      <w:r>
        <w:rPr>
          <w:rFonts w:hint="eastAsia"/>
          <w:color w:val="auto"/>
          <w:highlight w:val="none"/>
        </w:rPr>
        <w:t>月31日。分为以下四个阶段：</w:t>
      </w:r>
    </w:p>
    <w:p>
      <w:pPr>
        <w:rPr>
          <w:color w:val="auto"/>
          <w:highlight w:val="none"/>
        </w:rPr>
      </w:pPr>
      <w:r>
        <w:rPr>
          <w:rFonts w:hint="eastAsia"/>
          <w:color w:val="auto"/>
          <w:highlight w:val="none"/>
        </w:rPr>
        <w:t>第一阶段为1个月，完成规划设计。</w:t>
      </w:r>
    </w:p>
    <w:p>
      <w:pPr>
        <w:rPr>
          <w:color w:val="auto"/>
          <w:highlight w:val="none"/>
        </w:rPr>
      </w:pPr>
      <w:r>
        <w:rPr>
          <w:rFonts w:hint="eastAsia"/>
          <w:color w:val="auto"/>
          <w:highlight w:val="none"/>
        </w:rPr>
        <w:t>第二阶段为</w:t>
      </w:r>
      <w:r>
        <w:rPr>
          <w:color w:val="auto"/>
          <w:highlight w:val="none"/>
        </w:rPr>
        <w:t>3</w:t>
      </w:r>
      <w:r>
        <w:rPr>
          <w:rFonts w:hint="eastAsia"/>
          <w:color w:val="auto"/>
          <w:highlight w:val="none"/>
        </w:rPr>
        <w:t>个月，完成开发测试。</w:t>
      </w:r>
    </w:p>
    <w:p>
      <w:pPr>
        <w:rPr>
          <w:color w:val="auto"/>
          <w:highlight w:val="none"/>
        </w:rPr>
      </w:pPr>
      <w:r>
        <w:rPr>
          <w:rFonts w:hint="eastAsia"/>
          <w:color w:val="auto"/>
          <w:highlight w:val="none"/>
        </w:rPr>
        <w:t>第三阶段为1个月，完成试运行、迭代开发和系统测试。</w:t>
      </w:r>
    </w:p>
    <w:p>
      <w:pPr>
        <w:rPr>
          <w:color w:val="auto"/>
          <w:highlight w:val="none"/>
        </w:rPr>
      </w:pPr>
      <w:r>
        <w:rPr>
          <w:rFonts w:hint="eastAsia"/>
          <w:color w:val="auto"/>
          <w:highlight w:val="none"/>
        </w:rPr>
        <w:t>第四阶段为</w:t>
      </w:r>
      <w:r>
        <w:rPr>
          <w:rFonts w:hint="eastAsia"/>
          <w:color w:val="auto"/>
          <w:highlight w:val="none"/>
          <w:lang w:eastAsia="zh-CN"/>
        </w:rPr>
        <w:t>完成系统测试后到</w:t>
      </w:r>
      <w:r>
        <w:rPr>
          <w:rFonts w:hint="eastAsia"/>
          <w:color w:val="auto"/>
          <w:highlight w:val="none"/>
          <w:lang w:val="en-US" w:eastAsia="zh-CN"/>
        </w:rPr>
        <w:t>2025年10月31日前</w:t>
      </w:r>
      <w:r>
        <w:rPr>
          <w:rFonts w:hint="eastAsia"/>
          <w:color w:val="auto"/>
          <w:highlight w:val="none"/>
        </w:rPr>
        <w:t>，完成验收。</w:t>
      </w:r>
    </w:p>
    <w:p>
      <w:pPr>
        <w:pStyle w:val="5"/>
        <w:ind w:left="480"/>
        <w:rPr>
          <w:color w:val="auto"/>
          <w:highlight w:val="none"/>
        </w:rPr>
      </w:pPr>
      <w:bookmarkStart w:id="37" w:name="_Toc63785510"/>
      <w:r>
        <w:rPr>
          <w:rFonts w:hint="eastAsia"/>
          <w:color w:val="auto"/>
          <w:highlight w:val="none"/>
        </w:rPr>
        <w:t>项目团队及驻场人员要求</w:t>
      </w:r>
      <w:bookmarkEnd w:id="37"/>
    </w:p>
    <w:p>
      <w:pPr>
        <w:rPr>
          <w:color w:val="auto"/>
          <w:highlight w:val="none"/>
        </w:rPr>
      </w:pPr>
      <w:r>
        <w:rPr>
          <w:color w:val="auto"/>
          <w:highlight w:val="none"/>
        </w:rPr>
        <w:t>1）投标人须具有稳定的在职技术保障力量，能够提供及时的技术支援或服务，应针对本项目提供不少于</w:t>
      </w:r>
      <w:r>
        <w:rPr>
          <w:rFonts w:hint="eastAsia"/>
          <w:color w:val="auto"/>
          <w:highlight w:val="none"/>
        </w:rPr>
        <w:t>9</w:t>
      </w:r>
      <w:r>
        <w:rPr>
          <w:color w:val="auto"/>
          <w:highlight w:val="none"/>
        </w:rPr>
        <w:t>人的项目服务团队（包括项目经理、研发等），投标单位的相关服务人员需具备相应的服务能力，需提供相关证明。</w:t>
      </w: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2987"/>
        <w:gridCol w:w="1180"/>
        <w:gridCol w:w="2454"/>
        <w:gridCol w:w="7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176"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角色</w:t>
            </w:r>
          </w:p>
        </w:tc>
        <w:tc>
          <w:tcPr>
            <w:tcW w:w="2987"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主要职责</w:t>
            </w:r>
          </w:p>
        </w:tc>
        <w:tc>
          <w:tcPr>
            <w:tcW w:w="1180"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人员数量</w:t>
            </w:r>
          </w:p>
        </w:tc>
        <w:tc>
          <w:tcPr>
            <w:tcW w:w="2454" w:type="dxa"/>
            <w:vAlign w:val="center"/>
          </w:tcPr>
          <w:p>
            <w:pPr>
              <w:widowControl/>
              <w:spacing w:line="240" w:lineRule="auto"/>
              <w:ind w:firstLine="0" w:firstLineChars="0"/>
              <w:jc w:val="center"/>
              <w:rPr>
                <w:b/>
                <w:color w:val="auto"/>
                <w:highlight w:val="none"/>
              </w:rPr>
            </w:pPr>
            <w:r>
              <w:rPr>
                <w:rFonts w:hint="eastAsia"/>
                <w:b/>
                <w:color w:val="auto"/>
                <w:highlight w:val="none"/>
              </w:rPr>
              <w:t>人员要求</w:t>
            </w:r>
          </w:p>
        </w:tc>
        <w:tc>
          <w:tcPr>
            <w:tcW w:w="731"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驻场要求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176"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项目经理（项目负责人）</w:t>
            </w:r>
          </w:p>
        </w:tc>
        <w:tc>
          <w:tcPr>
            <w:tcW w:w="2987" w:type="dxa"/>
            <w:shd w:val="clear" w:color="auto" w:fill="auto"/>
            <w:vAlign w:val="center"/>
          </w:tcPr>
          <w:p>
            <w:pPr>
              <w:widowControl/>
              <w:spacing w:line="240" w:lineRule="auto"/>
              <w:ind w:firstLine="0" w:firstLineChars="0"/>
              <w:jc w:val="center"/>
              <w:rPr>
                <w:color w:val="auto"/>
                <w:highlight w:val="none"/>
              </w:rPr>
            </w:pPr>
            <w:r>
              <w:rPr>
                <w:rFonts w:hint="eastAsia"/>
                <w:color w:val="auto"/>
                <w:highlight w:val="none"/>
              </w:rPr>
              <w:t>负责项目质量和进度控制</w:t>
            </w:r>
          </w:p>
        </w:tc>
        <w:tc>
          <w:tcPr>
            <w:tcW w:w="1180"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1人</w:t>
            </w:r>
          </w:p>
        </w:tc>
        <w:tc>
          <w:tcPr>
            <w:tcW w:w="2454" w:type="dxa"/>
            <w:vAlign w:val="center"/>
          </w:tcPr>
          <w:p>
            <w:pPr>
              <w:widowControl/>
              <w:spacing w:line="240" w:lineRule="auto"/>
              <w:ind w:firstLine="0" w:firstLineChars="0"/>
              <w:jc w:val="center"/>
              <w:rPr>
                <w:color w:val="auto"/>
                <w:highlight w:val="none"/>
              </w:rPr>
            </w:pPr>
            <w:r>
              <w:rPr>
                <w:rFonts w:hint="eastAsia"/>
                <w:color w:val="auto"/>
                <w:highlight w:val="none"/>
              </w:rPr>
              <w:t>本科以上学历，具备资深项目管理经验；具备信息系统项目管理师证书</w:t>
            </w:r>
          </w:p>
        </w:tc>
        <w:tc>
          <w:tcPr>
            <w:tcW w:w="731"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不驻场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176"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研发</w:t>
            </w:r>
          </w:p>
        </w:tc>
        <w:tc>
          <w:tcPr>
            <w:tcW w:w="2987"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负责项目需求评估、产品设计、具体开发及实施等工作</w:t>
            </w:r>
          </w:p>
        </w:tc>
        <w:tc>
          <w:tcPr>
            <w:tcW w:w="1180"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8人</w:t>
            </w:r>
          </w:p>
        </w:tc>
        <w:tc>
          <w:tcPr>
            <w:tcW w:w="2454" w:type="dxa"/>
            <w:vAlign w:val="center"/>
          </w:tcPr>
          <w:p>
            <w:pPr>
              <w:widowControl/>
              <w:spacing w:line="240" w:lineRule="auto"/>
              <w:ind w:firstLine="0" w:firstLineChars="0"/>
              <w:jc w:val="center"/>
              <w:rPr>
                <w:color w:val="auto"/>
                <w:highlight w:val="none"/>
              </w:rPr>
            </w:pPr>
            <w:r>
              <w:rPr>
                <w:rFonts w:hint="eastAsia"/>
                <w:color w:val="auto"/>
                <w:highlight w:val="none"/>
              </w:rPr>
              <w:t>本科以上学历，具备资深产品设计、软件开发等经验；具有系统架构设计师、软件设计师、信息安全工程师、系统集成项目管理师等证书。</w:t>
            </w:r>
          </w:p>
        </w:tc>
        <w:tc>
          <w:tcPr>
            <w:tcW w:w="731"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不驻场</w:t>
            </w:r>
          </w:p>
        </w:tc>
      </w:tr>
    </w:tbl>
    <w:p>
      <w:pPr>
        <w:rPr>
          <w:color w:val="auto"/>
          <w:highlight w:val="none"/>
        </w:rPr>
      </w:pPr>
      <w:r>
        <w:rPr>
          <w:color w:val="auto"/>
          <w:highlight w:val="none"/>
        </w:rPr>
        <w:t>2）投标人应针对本项目提供不少于</w:t>
      </w:r>
      <w:r>
        <w:rPr>
          <w:rFonts w:hint="eastAsia"/>
          <w:color w:val="auto"/>
          <w:highlight w:val="none"/>
        </w:rPr>
        <w:t>3</w:t>
      </w:r>
      <w:r>
        <w:rPr>
          <w:color w:val="auto"/>
          <w:highlight w:val="none"/>
        </w:rPr>
        <w:t>人的质保期间</w:t>
      </w:r>
      <w:r>
        <w:rPr>
          <w:rFonts w:hint="eastAsia"/>
          <w:color w:val="auto"/>
          <w:highlight w:val="none"/>
        </w:rPr>
        <w:t>的维保</w:t>
      </w:r>
      <w:r>
        <w:rPr>
          <w:color w:val="auto"/>
          <w:highlight w:val="none"/>
        </w:rPr>
        <w:t>支撑团队（</w:t>
      </w:r>
      <w:r>
        <w:rPr>
          <w:rFonts w:hint="eastAsia"/>
          <w:color w:val="auto"/>
          <w:highlight w:val="none"/>
        </w:rPr>
        <w:t>包含运维组长、运维工程师</w:t>
      </w:r>
      <w:r>
        <w:rPr>
          <w:color w:val="auto"/>
          <w:highlight w:val="none"/>
        </w:rPr>
        <w:t>）</w:t>
      </w:r>
      <w:r>
        <w:rPr>
          <w:rFonts w:hint="eastAsia"/>
          <w:color w:val="auto"/>
          <w:highlight w:val="none"/>
        </w:rPr>
        <w:t>，</w:t>
      </w:r>
      <w:r>
        <w:rPr>
          <w:color w:val="auto"/>
          <w:highlight w:val="none"/>
        </w:rPr>
        <w:t>投标单位的相关服务人员需具备相应的服务能力，需提供相关证明。</w:t>
      </w:r>
    </w:p>
    <w:tbl>
      <w:tblPr>
        <w:tblStyle w:val="36"/>
        <w:tblW w:w="8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2967"/>
        <w:gridCol w:w="1200"/>
        <w:gridCol w:w="2456"/>
        <w:gridCol w:w="7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180"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角色</w:t>
            </w:r>
          </w:p>
        </w:tc>
        <w:tc>
          <w:tcPr>
            <w:tcW w:w="2967"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主要职责</w:t>
            </w:r>
          </w:p>
        </w:tc>
        <w:tc>
          <w:tcPr>
            <w:tcW w:w="1200"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人员数量</w:t>
            </w:r>
          </w:p>
        </w:tc>
        <w:tc>
          <w:tcPr>
            <w:tcW w:w="2456" w:type="dxa"/>
            <w:vAlign w:val="center"/>
          </w:tcPr>
          <w:p>
            <w:pPr>
              <w:widowControl/>
              <w:spacing w:line="240" w:lineRule="auto"/>
              <w:ind w:firstLine="0" w:firstLineChars="0"/>
              <w:jc w:val="center"/>
              <w:rPr>
                <w:b/>
                <w:color w:val="auto"/>
                <w:highlight w:val="none"/>
              </w:rPr>
            </w:pPr>
            <w:r>
              <w:rPr>
                <w:rFonts w:hint="eastAsia"/>
                <w:b/>
                <w:color w:val="auto"/>
                <w:highlight w:val="none"/>
              </w:rPr>
              <w:t>人员要求</w:t>
            </w:r>
          </w:p>
        </w:tc>
        <w:tc>
          <w:tcPr>
            <w:tcW w:w="725" w:type="dxa"/>
            <w:shd w:val="clear" w:color="auto" w:fill="auto"/>
            <w:noWrap/>
            <w:vAlign w:val="center"/>
          </w:tcPr>
          <w:p>
            <w:pPr>
              <w:widowControl/>
              <w:spacing w:line="240" w:lineRule="auto"/>
              <w:ind w:firstLine="0" w:firstLineChars="0"/>
              <w:jc w:val="center"/>
              <w:rPr>
                <w:b/>
                <w:color w:val="auto"/>
                <w:highlight w:val="none"/>
              </w:rPr>
            </w:pPr>
            <w:r>
              <w:rPr>
                <w:rFonts w:hint="eastAsia"/>
                <w:b/>
                <w:color w:val="auto"/>
                <w:highlight w:val="none"/>
              </w:rPr>
              <w:t>驻场要求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180"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运维组长</w:t>
            </w:r>
          </w:p>
        </w:tc>
        <w:tc>
          <w:tcPr>
            <w:tcW w:w="2967" w:type="dxa"/>
            <w:shd w:val="clear" w:color="auto" w:fill="auto"/>
            <w:vAlign w:val="center"/>
          </w:tcPr>
          <w:p>
            <w:pPr>
              <w:widowControl/>
              <w:spacing w:line="240" w:lineRule="auto"/>
              <w:ind w:firstLine="0" w:firstLineChars="0"/>
              <w:jc w:val="center"/>
              <w:rPr>
                <w:color w:val="auto"/>
                <w:highlight w:val="none"/>
              </w:rPr>
            </w:pPr>
            <w:r>
              <w:rPr>
                <w:rFonts w:hint="eastAsia"/>
                <w:color w:val="auto"/>
                <w:highlight w:val="none"/>
              </w:rPr>
              <w:t>负责项目运维质量和安全控制</w:t>
            </w:r>
          </w:p>
        </w:tc>
        <w:tc>
          <w:tcPr>
            <w:tcW w:w="1200"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1人</w:t>
            </w:r>
          </w:p>
        </w:tc>
        <w:tc>
          <w:tcPr>
            <w:tcW w:w="2456" w:type="dxa"/>
            <w:vAlign w:val="center"/>
          </w:tcPr>
          <w:p>
            <w:pPr>
              <w:widowControl/>
              <w:spacing w:line="240" w:lineRule="auto"/>
              <w:ind w:firstLine="0" w:firstLineChars="0"/>
              <w:jc w:val="center"/>
              <w:rPr>
                <w:color w:val="auto"/>
                <w:highlight w:val="none"/>
              </w:rPr>
            </w:pPr>
            <w:r>
              <w:rPr>
                <w:rFonts w:hint="eastAsia"/>
                <w:color w:val="auto"/>
                <w:highlight w:val="none"/>
              </w:rPr>
              <w:t>本科以上学历，具备资深运维经验，具备CISP（注册信息安全专业人员）证书。</w:t>
            </w:r>
          </w:p>
        </w:tc>
        <w:tc>
          <w:tcPr>
            <w:tcW w:w="725"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不驻场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1180"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运维工程师</w:t>
            </w:r>
          </w:p>
        </w:tc>
        <w:tc>
          <w:tcPr>
            <w:tcW w:w="2967" w:type="dxa"/>
            <w:shd w:val="clear" w:color="auto" w:fill="auto"/>
            <w:vAlign w:val="center"/>
          </w:tcPr>
          <w:p>
            <w:pPr>
              <w:widowControl/>
              <w:spacing w:line="240" w:lineRule="auto"/>
              <w:ind w:firstLine="0" w:firstLineChars="0"/>
              <w:jc w:val="center"/>
              <w:rPr>
                <w:color w:val="auto"/>
                <w:highlight w:val="none"/>
              </w:rPr>
            </w:pPr>
            <w:r>
              <w:rPr>
                <w:rFonts w:hint="eastAsia"/>
                <w:color w:val="auto"/>
                <w:highlight w:val="none"/>
              </w:rPr>
              <w:t>负责项目安全运行维护工作</w:t>
            </w:r>
          </w:p>
        </w:tc>
        <w:tc>
          <w:tcPr>
            <w:tcW w:w="1200"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2人</w:t>
            </w:r>
          </w:p>
        </w:tc>
        <w:tc>
          <w:tcPr>
            <w:tcW w:w="2456" w:type="dxa"/>
            <w:vAlign w:val="center"/>
          </w:tcPr>
          <w:p>
            <w:pPr>
              <w:widowControl/>
              <w:spacing w:line="240" w:lineRule="auto"/>
              <w:ind w:firstLine="0" w:firstLineChars="0"/>
              <w:jc w:val="center"/>
              <w:rPr>
                <w:color w:val="auto"/>
                <w:highlight w:val="none"/>
              </w:rPr>
            </w:pPr>
            <w:r>
              <w:rPr>
                <w:rFonts w:hint="eastAsia"/>
                <w:color w:val="auto"/>
                <w:highlight w:val="none"/>
              </w:rPr>
              <w:t>本科以上学历，具备资深运维经验</w:t>
            </w:r>
          </w:p>
        </w:tc>
        <w:tc>
          <w:tcPr>
            <w:tcW w:w="725" w:type="dxa"/>
            <w:shd w:val="clear" w:color="auto" w:fill="auto"/>
            <w:noWrap/>
            <w:vAlign w:val="center"/>
          </w:tcPr>
          <w:p>
            <w:pPr>
              <w:widowControl/>
              <w:spacing w:line="240" w:lineRule="auto"/>
              <w:ind w:firstLine="0" w:firstLineChars="0"/>
              <w:jc w:val="center"/>
              <w:rPr>
                <w:color w:val="auto"/>
                <w:highlight w:val="none"/>
              </w:rPr>
            </w:pPr>
            <w:r>
              <w:rPr>
                <w:rFonts w:hint="eastAsia"/>
                <w:color w:val="auto"/>
                <w:highlight w:val="none"/>
              </w:rPr>
              <w:t>不驻场</w:t>
            </w:r>
          </w:p>
        </w:tc>
      </w:tr>
    </w:tbl>
    <w:p>
      <w:pPr>
        <w:pStyle w:val="5"/>
        <w:ind w:left="480"/>
        <w:rPr>
          <w:color w:val="auto"/>
          <w:highlight w:val="none"/>
        </w:rPr>
      </w:pPr>
      <w:bookmarkStart w:id="38" w:name="_Toc63785511"/>
      <w:r>
        <w:rPr>
          <w:color w:val="auto"/>
          <w:highlight w:val="none"/>
        </w:rPr>
        <w:t>等级保护要求</w:t>
      </w:r>
      <w:bookmarkEnd w:id="38"/>
    </w:p>
    <w:p>
      <w:pPr>
        <w:rPr>
          <w:color w:val="auto"/>
          <w:highlight w:val="none"/>
        </w:rPr>
      </w:pPr>
      <w:r>
        <w:rPr>
          <w:color w:val="auto"/>
          <w:highlight w:val="none"/>
        </w:rPr>
        <w:t>本项目</w:t>
      </w:r>
      <w:r>
        <w:rPr>
          <w:rFonts w:hint="eastAsia"/>
          <w:color w:val="auto"/>
          <w:highlight w:val="none"/>
        </w:rPr>
        <w:t>参照信息安全等级保护二级建设，项目验收前应通过安全测评，报告关键要素应</w:t>
      </w:r>
      <w:r>
        <w:rPr>
          <w:rFonts w:hint="eastAsia"/>
          <w:color w:val="auto"/>
          <w:highlight w:val="none"/>
          <w:lang w:bidi="ar"/>
        </w:rPr>
        <w:t>符合上海市大数据中心相关要求。</w:t>
      </w:r>
    </w:p>
    <w:p>
      <w:pPr>
        <w:pStyle w:val="5"/>
        <w:ind w:left="480"/>
        <w:rPr>
          <w:color w:val="auto"/>
          <w:highlight w:val="none"/>
        </w:rPr>
      </w:pPr>
      <w:r>
        <w:rPr>
          <w:rFonts w:hint="eastAsia"/>
          <w:color w:val="auto"/>
          <w:highlight w:val="none"/>
        </w:rPr>
        <w:t>商业密码应用需求</w:t>
      </w:r>
    </w:p>
    <w:p>
      <w:pPr>
        <w:rPr>
          <w:color w:val="auto"/>
          <w:highlight w:val="none"/>
        </w:rPr>
      </w:pPr>
      <w:r>
        <w:rPr>
          <w:color w:val="auto"/>
          <w:highlight w:val="none"/>
        </w:rPr>
        <w:t>本项目</w:t>
      </w:r>
      <w:r>
        <w:rPr>
          <w:rFonts w:hint="eastAsia"/>
          <w:color w:val="auto"/>
          <w:highlight w:val="none"/>
          <w:lang w:bidi="ar"/>
        </w:rPr>
        <w:t>验收前应通过密码应用测评，报告关键要素应符合上海市大数据中心相关要求。</w:t>
      </w:r>
    </w:p>
    <w:p>
      <w:pPr>
        <w:pStyle w:val="5"/>
        <w:ind w:left="480"/>
        <w:rPr>
          <w:color w:val="auto"/>
          <w:highlight w:val="none"/>
        </w:rPr>
      </w:pPr>
      <w:bookmarkStart w:id="39" w:name="_Toc63785512"/>
      <w:r>
        <w:rPr>
          <w:rFonts w:hint="eastAsia"/>
          <w:color w:val="auto"/>
          <w:highlight w:val="none"/>
        </w:rPr>
        <w:t>技术文件要求</w:t>
      </w:r>
    </w:p>
    <w:p>
      <w:pPr>
        <w:rPr>
          <w:color w:val="auto"/>
          <w:highlight w:val="none"/>
        </w:rPr>
      </w:pPr>
      <w:r>
        <w:rPr>
          <w:rFonts w:hint="eastAsia"/>
          <w:color w:val="auto"/>
          <w:highlight w:val="none"/>
        </w:rPr>
        <w:t>投标人提供的书面技术资料应能确保系统正常运行所需的管理、运营及维护有关的全套文件。技术文件应该全面、完整、详细。投标人提供的技术文件至少应包括：</w:t>
      </w:r>
    </w:p>
    <w:p>
      <w:pPr>
        <w:rPr>
          <w:color w:val="auto"/>
          <w:highlight w:val="none"/>
        </w:rPr>
      </w:pPr>
      <w:r>
        <w:rPr>
          <w:rFonts w:hint="eastAsia"/>
          <w:color w:val="auto"/>
          <w:highlight w:val="none"/>
        </w:rPr>
        <w:t>－</w:t>
      </w:r>
      <w:r>
        <w:rPr>
          <w:color w:val="auto"/>
          <w:highlight w:val="none"/>
        </w:rPr>
        <w:t xml:space="preserve"> 系统说明文件； </w:t>
      </w:r>
    </w:p>
    <w:p>
      <w:pPr>
        <w:rPr>
          <w:color w:val="auto"/>
          <w:highlight w:val="none"/>
        </w:rPr>
      </w:pPr>
      <w:r>
        <w:rPr>
          <w:rFonts w:hint="eastAsia"/>
          <w:color w:val="auto"/>
          <w:highlight w:val="none"/>
        </w:rPr>
        <w:t>－ 技术手册(安装、测试、操作、维护、故障排除等)； </w:t>
      </w:r>
    </w:p>
    <w:p>
      <w:pPr>
        <w:rPr>
          <w:color w:val="auto"/>
          <w:highlight w:val="none"/>
        </w:rPr>
      </w:pPr>
      <w:r>
        <w:rPr>
          <w:rFonts w:hint="eastAsia"/>
          <w:color w:val="auto"/>
          <w:highlight w:val="none"/>
        </w:rPr>
        <w:t>－ 项目文档，应该包括但不限于：</w:t>
      </w:r>
    </w:p>
    <w:p>
      <w:pPr>
        <w:ind w:firstLine="720" w:firstLineChars="300"/>
        <w:rPr>
          <w:color w:val="auto"/>
          <w:highlight w:val="none"/>
        </w:rPr>
      </w:pPr>
      <w:r>
        <w:rPr>
          <w:rFonts w:hint="eastAsia"/>
          <w:color w:val="auto"/>
          <w:highlight w:val="none"/>
        </w:rPr>
        <w:t>（1）软件需求说明书</w:t>
      </w:r>
    </w:p>
    <w:p>
      <w:pPr>
        <w:ind w:firstLine="720" w:firstLineChars="300"/>
        <w:rPr>
          <w:color w:val="auto"/>
          <w:highlight w:val="none"/>
        </w:rPr>
      </w:pPr>
      <w:r>
        <w:rPr>
          <w:rFonts w:hint="eastAsia"/>
          <w:color w:val="auto"/>
          <w:highlight w:val="none"/>
        </w:rPr>
        <w:t>（2）系统概要设计说明书</w:t>
      </w:r>
    </w:p>
    <w:p>
      <w:pPr>
        <w:ind w:firstLine="720" w:firstLineChars="300"/>
        <w:rPr>
          <w:color w:val="auto"/>
          <w:highlight w:val="none"/>
        </w:rPr>
      </w:pPr>
      <w:r>
        <w:rPr>
          <w:rFonts w:hint="eastAsia"/>
          <w:color w:val="auto"/>
          <w:highlight w:val="none"/>
        </w:rPr>
        <w:t>（3）系统详细设计说明书</w:t>
      </w:r>
    </w:p>
    <w:p>
      <w:pPr>
        <w:ind w:firstLine="720" w:firstLineChars="300"/>
        <w:rPr>
          <w:color w:val="auto"/>
          <w:highlight w:val="none"/>
        </w:rPr>
      </w:pPr>
      <w:r>
        <w:rPr>
          <w:rFonts w:hint="eastAsia"/>
          <w:color w:val="auto"/>
          <w:highlight w:val="none"/>
        </w:rPr>
        <w:t>（4）数据库设计说明书</w:t>
      </w:r>
    </w:p>
    <w:p>
      <w:pPr>
        <w:ind w:firstLine="720" w:firstLineChars="300"/>
        <w:rPr>
          <w:color w:val="auto"/>
          <w:highlight w:val="none"/>
        </w:rPr>
      </w:pPr>
      <w:r>
        <w:rPr>
          <w:rFonts w:hint="eastAsia"/>
          <w:color w:val="auto"/>
          <w:highlight w:val="none"/>
        </w:rPr>
        <w:t>（5）实施方案</w:t>
      </w:r>
    </w:p>
    <w:p>
      <w:pPr>
        <w:ind w:firstLine="720" w:firstLineChars="300"/>
        <w:rPr>
          <w:color w:val="auto"/>
          <w:highlight w:val="none"/>
        </w:rPr>
      </w:pPr>
      <w:r>
        <w:rPr>
          <w:rFonts w:hint="eastAsia"/>
          <w:color w:val="auto"/>
          <w:highlight w:val="none"/>
        </w:rPr>
        <w:t>（6）应用软件功能清单</w:t>
      </w:r>
    </w:p>
    <w:p>
      <w:pPr>
        <w:rPr>
          <w:color w:val="auto"/>
          <w:highlight w:val="none"/>
        </w:rPr>
      </w:pPr>
      <w:r>
        <w:rPr>
          <w:rFonts w:hint="eastAsia"/>
          <w:color w:val="auto"/>
          <w:highlight w:val="none"/>
        </w:rPr>
        <w:t>提供全套技术文件纸介质</w:t>
      </w:r>
      <w:r>
        <w:rPr>
          <w:color w:val="auto"/>
          <w:highlight w:val="none"/>
        </w:rPr>
        <w:t>3套以及电子文件1套。</w:t>
      </w:r>
    </w:p>
    <w:p>
      <w:pPr>
        <w:pStyle w:val="4"/>
        <w:rPr>
          <w:color w:val="auto"/>
          <w:highlight w:val="none"/>
        </w:rPr>
      </w:pPr>
      <w:r>
        <w:rPr>
          <w:rFonts w:hint="eastAsia"/>
          <w:color w:val="auto"/>
          <w:highlight w:val="none"/>
        </w:rPr>
        <w:t>供应商管理要求</w:t>
      </w:r>
      <w:bookmarkEnd w:id="39"/>
    </w:p>
    <w:p>
      <w:pPr>
        <w:pStyle w:val="82"/>
        <w:ind w:firstLine="480"/>
        <w:rPr>
          <w:color w:val="auto"/>
          <w:sz w:val="24"/>
          <w:szCs w:val="24"/>
          <w:highlight w:val="none"/>
        </w:rPr>
      </w:pPr>
      <w:r>
        <w:rPr>
          <w:rFonts w:hint="eastAsia"/>
          <w:color w:val="auto"/>
          <w:sz w:val="24"/>
          <w:szCs w:val="24"/>
          <w:highlight w:val="none"/>
        </w:rPr>
        <w:t>1、在项目实施期间，中标人应严格执行国家、地方、行业有关本项目业务管理和安全作业的法律、法规和制度并按规定承担相应的费用。中标人因违反规定等原因造成的一切损失和责任由中标人自行承担。</w:t>
      </w:r>
    </w:p>
    <w:p>
      <w:pPr>
        <w:pStyle w:val="82"/>
        <w:ind w:firstLine="480"/>
        <w:rPr>
          <w:color w:val="auto"/>
          <w:sz w:val="24"/>
          <w:szCs w:val="24"/>
          <w:highlight w:val="none"/>
        </w:rPr>
      </w:pPr>
      <w:r>
        <w:rPr>
          <w:rFonts w:hint="eastAsia"/>
          <w:color w:val="auto"/>
          <w:sz w:val="24"/>
          <w:szCs w:val="24"/>
          <w:highlight w:val="none"/>
        </w:rPr>
        <w:t>2、中标人在投标书中承诺并经招标人认定的项目负责人及专业技术人员必须是本单位职工（在本单位缴纳社会保障金）和该项目实施现场的实际操作者，应具有类似本项目的实施经验，并应在软件应用调研、安装、试运行等期间常驻项目现场。未经采购人同意，中标人不得调换或撤离上述人员。如采购人认为有必要，可要求中标人对上述人员中的部分人员做出更好的调整。</w:t>
      </w:r>
    </w:p>
    <w:p>
      <w:pPr>
        <w:pStyle w:val="82"/>
        <w:ind w:firstLine="480"/>
        <w:rPr>
          <w:color w:val="auto"/>
          <w:sz w:val="24"/>
          <w:szCs w:val="24"/>
          <w:highlight w:val="none"/>
        </w:rPr>
      </w:pPr>
      <w:r>
        <w:rPr>
          <w:rFonts w:hint="eastAsia"/>
          <w:color w:val="auto"/>
          <w:sz w:val="24"/>
          <w:szCs w:val="24"/>
          <w:highlight w:val="none"/>
        </w:rPr>
        <w:t>3、中标人在项目实施期间，应按项目实际进度与环节落实所对应项目整体及各环节管理工作，按照规范做好项目实施期间相关管理与实施记录。</w:t>
      </w:r>
    </w:p>
    <w:p>
      <w:pPr>
        <w:pStyle w:val="82"/>
        <w:ind w:firstLine="480"/>
        <w:rPr>
          <w:color w:val="auto"/>
          <w:sz w:val="24"/>
          <w:szCs w:val="24"/>
          <w:highlight w:val="none"/>
        </w:rPr>
      </w:pPr>
      <w:r>
        <w:rPr>
          <w:rFonts w:hint="eastAsia"/>
          <w:color w:val="auto"/>
          <w:sz w:val="24"/>
          <w:szCs w:val="24"/>
          <w:highlight w:val="none"/>
        </w:rPr>
        <w:t>4、参与本项目的工作人员应严格遵循采购人的安全制度，保障采购人资料和设备的安全。中标方如需进入采购人机房工作，只能在采购人规定的工作区域内对项目涉及的设备进行操作，严禁触动与项目无关的任何设备（包括任何操作行为），如需跨区操作必须得到采购人项目联系人确认。</w:t>
      </w:r>
    </w:p>
    <w:p>
      <w:pPr>
        <w:pStyle w:val="82"/>
        <w:ind w:firstLine="480"/>
        <w:rPr>
          <w:color w:val="auto"/>
          <w:sz w:val="24"/>
          <w:szCs w:val="24"/>
          <w:highlight w:val="none"/>
        </w:rPr>
      </w:pPr>
      <w:r>
        <w:rPr>
          <w:rFonts w:hint="eastAsia"/>
          <w:color w:val="auto"/>
          <w:sz w:val="24"/>
          <w:szCs w:val="24"/>
          <w:highlight w:val="none"/>
        </w:rPr>
        <w:t>5、中标人在项目实施期间必须遵守采购人的规章制度并提供实施人员名单。</w:t>
      </w:r>
    </w:p>
    <w:p>
      <w:pPr>
        <w:pStyle w:val="82"/>
        <w:ind w:firstLine="480"/>
        <w:rPr>
          <w:color w:val="auto"/>
          <w:sz w:val="24"/>
          <w:szCs w:val="24"/>
          <w:highlight w:val="none"/>
        </w:rPr>
      </w:pPr>
      <w:r>
        <w:rPr>
          <w:rFonts w:hint="eastAsia"/>
          <w:color w:val="auto"/>
          <w:sz w:val="24"/>
          <w:szCs w:val="24"/>
          <w:highlight w:val="none"/>
        </w:rPr>
        <w:t>6、各投标人在投标文件中要结合本项目的特点和采购人上述的具体要求制定相应的管理措施，并在报价中列支相应的费用清单，投标人报价中未列支上述费用清单的，上述费用视为已包含在投标人的投标总报价中。</w:t>
      </w:r>
    </w:p>
    <w:p>
      <w:pPr>
        <w:pStyle w:val="82"/>
        <w:ind w:firstLine="480"/>
        <w:rPr>
          <w:color w:val="auto"/>
          <w:sz w:val="24"/>
          <w:szCs w:val="24"/>
          <w:highlight w:val="none"/>
        </w:rPr>
      </w:pPr>
      <w:r>
        <w:rPr>
          <w:rFonts w:hint="eastAsia"/>
          <w:color w:val="auto"/>
          <w:sz w:val="24"/>
          <w:szCs w:val="24"/>
          <w:highlight w:val="none"/>
        </w:rPr>
        <w:t>7、本项目软件开发及调试将纳入采购人的管理范围，中标人在此过程中须服从上述单位的管理协调。</w:t>
      </w:r>
    </w:p>
    <w:p>
      <w:pPr>
        <w:pStyle w:val="82"/>
        <w:ind w:firstLine="480"/>
        <w:rPr>
          <w:color w:val="auto"/>
          <w:sz w:val="24"/>
          <w:szCs w:val="24"/>
          <w:highlight w:val="none"/>
        </w:rPr>
      </w:pPr>
      <w:r>
        <w:rPr>
          <w:rFonts w:hint="eastAsia"/>
          <w:color w:val="auto"/>
          <w:sz w:val="24"/>
          <w:szCs w:val="24"/>
          <w:highlight w:val="none"/>
        </w:rPr>
        <w:t>8、优先考虑商具有信息安全管理体系认证(GB/T22080-2016或ISO/IEC 27001:2013 认证)、质量管理体系认证(GB/T19001-2016或IS0 9001:2015 认证)、信息技术服务管理体系认证（ISO/IEC20000:2018认证）并在有效期内的供应商。</w:t>
      </w:r>
    </w:p>
    <w:p>
      <w:pPr>
        <w:pStyle w:val="82"/>
        <w:ind w:firstLine="480"/>
        <w:rPr>
          <w:color w:val="auto"/>
          <w:sz w:val="24"/>
          <w:szCs w:val="24"/>
          <w:highlight w:val="none"/>
        </w:rPr>
      </w:pPr>
      <w:r>
        <w:rPr>
          <w:rFonts w:hint="eastAsia"/>
          <w:color w:val="auto"/>
          <w:sz w:val="24"/>
          <w:szCs w:val="24"/>
          <w:highlight w:val="none"/>
        </w:rPr>
        <w:t>9、供应商应具有与本项目主要建设内容业务相关的应用软件著作权登记证书：数据处理类、文旅类</w:t>
      </w:r>
      <w:r>
        <w:rPr>
          <w:rFonts w:hint="eastAsia"/>
          <w:color w:val="auto"/>
          <w:sz w:val="24"/>
          <w:szCs w:val="24"/>
          <w:highlight w:val="none"/>
          <w:lang w:eastAsia="zh-CN"/>
        </w:rPr>
        <w:t>（</w:t>
      </w:r>
      <w:r>
        <w:rPr>
          <w:rFonts w:hint="eastAsia"/>
          <w:color w:val="auto"/>
          <w:sz w:val="24"/>
          <w:szCs w:val="24"/>
          <w:highlight w:val="none"/>
        </w:rPr>
        <w:t>软件著作权名称可不完全相同，需提供上述软件著作权登记证书扫描件</w:t>
      </w:r>
      <w:r>
        <w:rPr>
          <w:rFonts w:hint="eastAsia"/>
          <w:color w:val="auto"/>
          <w:sz w:val="24"/>
          <w:szCs w:val="24"/>
          <w:highlight w:val="none"/>
          <w:lang w:eastAsia="zh-CN"/>
        </w:rPr>
        <w:t>）。</w:t>
      </w:r>
    </w:p>
    <w:p>
      <w:pPr>
        <w:pStyle w:val="82"/>
        <w:ind w:firstLine="480"/>
        <w:rPr>
          <w:color w:val="auto"/>
          <w:sz w:val="24"/>
          <w:szCs w:val="24"/>
          <w:highlight w:val="none"/>
        </w:rPr>
      </w:pPr>
    </w:p>
    <w:p>
      <w:pPr>
        <w:pStyle w:val="4"/>
        <w:rPr>
          <w:color w:val="auto"/>
          <w:highlight w:val="none"/>
        </w:rPr>
      </w:pPr>
      <w:bookmarkStart w:id="40" w:name="_Toc63785513"/>
      <w:r>
        <w:rPr>
          <w:rFonts w:hint="eastAsia"/>
          <w:color w:val="auto"/>
          <w:highlight w:val="none"/>
        </w:rPr>
        <w:t>知识产权及保密要求</w:t>
      </w:r>
      <w:bookmarkEnd w:id="40"/>
    </w:p>
    <w:p>
      <w:pPr>
        <w:rPr>
          <w:b/>
          <w:color w:val="auto"/>
          <w:highlight w:val="none"/>
        </w:rPr>
      </w:pPr>
      <w:r>
        <w:rPr>
          <w:b/>
          <w:color w:val="auto"/>
          <w:highlight w:val="none"/>
        </w:rPr>
        <w:t>1、中标人数据、文件、资料知识产权</w:t>
      </w:r>
    </w:p>
    <w:p>
      <w:pPr>
        <w:rPr>
          <w:color w:val="auto"/>
          <w:highlight w:val="none"/>
        </w:rPr>
      </w:pPr>
      <w:r>
        <w:rPr>
          <w:rFonts w:hint="eastAsia"/>
          <w:color w:val="auto"/>
          <w:highlight w:val="none"/>
        </w:rPr>
        <w:t>中标人保证其所提供的服务和交付的成果以及在履行本项目义务中使用到的所有数据、文件、信息不会引起任何第三方在专利权、著作权、商标权等知识产权方面向采购人或采购人的关联方及合作方（包括但不限于采购人的主管单位和采购人的合作单位等）发出侵权指控或提出索赔。若有，中标人应负责与第三方解决纠纷，若因此导致采购人损失的，采购人有权要求中标人赔偿采购人因此遭受的全部损失，包括但不限于直接损失、间接损失、诉讼费／仲裁费、律师费、公证费、鉴定费等。</w:t>
      </w:r>
    </w:p>
    <w:p>
      <w:pPr>
        <w:rPr>
          <w:color w:val="auto"/>
          <w:highlight w:val="none"/>
        </w:rPr>
      </w:pPr>
      <w:r>
        <w:rPr>
          <w:rFonts w:hint="eastAsia"/>
          <w:color w:val="auto"/>
          <w:highlight w:val="none"/>
        </w:rPr>
        <w:t>中标人因履行本项目而产生的所有成果的知识产权等权利均归采购人所有，中标人应配合采购人进行相关权利登记或申请。未经采购人书面同意，中标人不得以任何形式使用或许可他人使用本项目成果的相关内容，不得擅自对外公开发表或向任何第三方透露。</w:t>
      </w:r>
    </w:p>
    <w:p>
      <w:pPr>
        <w:rPr>
          <w:color w:val="auto"/>
          <w:highlight w:val="none"/>
        </w:rPr>
      </w:pPr>
      <w:r>
        <w:rPr>
          <w:rFonts w:hint="eastAsia"/>
          <w:color w:val="auto"/>
          <w:highlight w:val="none"/>
        </w:rPr>
        <w:t>在不影响上述条款规定的由采购人取得所有成果的知识产权的前提下，双方因履行本项目而被授权接触或使用对方之知识产权（包括但不限于商标、专利、著作权等），和/或任何其他相关资料、数据等涉及的任何权利，均不视为向另一方转让上述权利或在本项目范围外授权许可另一方使用上述权利，上述权利仍应属于提供方，并仅可使用于本项目，被授权接触或使用方未经提供方书面同意，不得擅自挪作他用。</w:t>
      </w:r>
    </w:p>
    <w:p>
      <w:pPr>
        <w:rPr>
          <w:b/>
          <w:color w:val="auto"/>
          <w:highlight w:val="none"/>
        </w:rPr>
      </w:pPr>
      <w:r>
        <w:rPr>
          <w:b/>
          <w:color w:val="auto"/>
          <w:highlight w:val="none"/>
        </w:rPr>
        <w:t>2、项目保密要求</w:t>
      </w:r>
    </w:p>
    <w:p>
      <w:pPr>
        <w:rPr>
          <w:color w:val="auto"/>
          <w:highlight w:val="none"/>
        </w:rPr>
      </w:pPr>
      <w:r>
        <w:rPr>
          <w:rFonts w:hint="eastAsia"/>
          <w:color w:val="auto"/>
          <w:highlight w:val="none"/>
        </w:rPr>
        <w:t>中标人因履行本项目而知悉的所有数据、信息和资料（包括但不限于账号信息、图表、文字、计算过程、任何形式的文件、访谈记录、现场实测数据、采购人相关工作程序等）以及因履行本项目而形成的数据、信息和任何形式的工作成果，均是采购人要求保密的信息。未经采购人书面同意，中标人不得对外泄露采购人要求保密的信息，不得用于其他用途，否则中标人需承担由此引起的法律责任和经济责任，包括但不限于直接损失、间接损失、律师费、诉讼费/仲裁费、调查费、公证费等。</w:t>
      </w:r>
    </w:p>
    <w:p>
      <w:pPr>
        <w:rPr>
          <w:color w:val="auto"/>
          <w:highlight w:val="none"/>
        </w:rPr>
      </w:pPr>
      <w:r>
        <w:rPr>
          <w:rFonts w:hint="eastAsia"/>
          <w:color w:val="auto"/>
          <w:highlight w:val="none"/>
        </w:rPr>
        <w:t>中标人应采取必要的有效措施保证其参与本项目的人员（包括中标人聘用的人员、借调的人员、实习的人员）无论是在职或离职后，以及中标人的合作方无论是合作中或合作终止后，都能够履行本项目约定的保密义务。若中标人人员或中标人合作方违反保密规定，中标人应承担连带责任。</w:t>
      </w:r>
    </w:p>
    <w:p>
      <w:pPr>
        <w:rPr>
          <w:color w:val="auto"/>
          <w:highlight w:val="none"/>
        </w:rPr>
      </w:pPr>
      <w:r>
        <w:rPr>
          <w:rFonts w:hint="eastAsia"/>
          <w:color w:val="auto"/>
          <w:highlight w:val="none"/>
        </w:rPr>
        <w:t>中标人（含中标人参与本项目的人员以及其合作方）未经采购方书面许可，不得以任何形式自行使用或以任何方式向第三方披露、转让、授权、出售与本项目有关的技术成果、计算机软件、源代码、策划文档、技术诀窍、秘密信息、技术资料和其他文件。</w:t>
      </w:r>
    </w:p>
    <w:p>
      <w:pPr>
        <w:rPr>
          <w:color w:val="auto"/>
          <w:highlight w:val="none"/>
        </w:rPr>
      </w:pPr>
      <w:r>
        <w:rPr>
          <w:rFonts w:hint="eastAsia"/>
          <w:color w:val="auto"/>
          <w:highlight w:val="none"/>
        </w:rPr>
        <w:t>以上内容的保密期限自中标人知悉保密信息起始至保密信息被合法公开之日止。</w:t>
      </w:r>
    </w:p>
    <w:p>
      <w:pPr>
        <w:rPr>
          <w:b/>
          <w:color w:val="auto"/>
          <w:highlight w:val="none"/>
        </w:rPr>
      </w:pPr>
      <w:r>
        <w:rPr>
          <w:b/>
          <w:color w:val="auto"/>
          <w:highlight w:val="none"/>
        </w:rPr>
        <w:t>3、临时账号等使用要求</w:t>
      </w:r>
    </w:p>
    <w:p>
      <w:pPr>
        <w:rPr>
          <w:color w:val="auto"/>
          <w:highlight w:val="none"/>
        </w:rPr>
      </w:pPr>
      <w:r>
        <w:rPr>
          <w:rFonts w:hint="eastAsia"/>
          <w:color w:val="auto"/>
          <w:highlight w:val="none"/>
        </w:rPr>
        <w:t>中标人对采购人提拱的临时使用账号要保密，不得公开，对组件开发的账号密码需进行加密，避免信息安全的泄露。未经采购人的同意不得利用采购人的网络及平台进行短信、彩信、微信发送</w:t>
      </w:r>
      <w:r>
        <w:rPr>
          <w:color w:val="auto"/>
          <w:highlight w:val="none"/>
        </w:rPr>
        <w:t>,造成的一切后果由中标人负责。</w:t>
      </w:r>
    </w:p>
    <w:p>
      <w:pPr>
        <w:ind w:firstLine="0" w:firstLineChars="0"/>
        <w:jc w:val="left"/>
        <w:rPr>
          <w:b/>
          <w:bCs/>
          <w:color w:val="auto"/>
          <w:highlight w:val="none"/>
        </w:rPr>
      </w:pPr>
    </w:p>
    <w:sectPr>
      <w:footerReference r:id="rId11" w:type="first"/>
      <w:pgSz w:w="11906" w:h="16838"/>
      <w:pgMar w:top="1134" w:right="1797" w:bottom="1135" w:left="1797" w:header="340" w:footer="7" w:gutter="0"/>
      <w:pgNumType w:start="1"/>
      <w:cols w:space="720" w:num="1"/>
      <w:titlePg/>
      <w:docGrid w:type="linesAndChar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10002FF" w:usb1="4000ACFF" w:usb2="00000009" w:usb3="00000000" w:csb0="2000019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ambria">
    <w:panose1 w:val="02040503050406030204"/>
    <w:charset w:val="00"/>
    <w:family w:val="auto"/>
    <w:pitch w:val="default"/>
    <w:sig w:usb0="A00002EF" w:usb1="4000004B" w:usb2="00000000" w:usb3="00000000" w:csb0="200000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1F00FF" w:csb1="FFFF0000"/>
  </w:font>
  <w:font w:name="仿宋">
    <w:altName w:val="Arial Unicode MS"/>
    <w:panose1 w:val="02010609060101010101"/>
    <w:charset w:val="86"/>
    <w:family w:val="auto"/>
    <w:pitch w:val="default"/>
    <w:sig w:usb0="00000000" w:usb1="00000000" w:usb2="00000016" w:usb3="00000000" w:csb0="00040001" w:csb1="00000000"/>
  </w:font>
  <w:font w:name="Calibri Light">
    <w:altName w:val="Century Gothic"/>
    <w:panose1 w:val="020F0302020204030204"/>
    <w:charset w:val="00"/>
    <w:family w:val="auto"/>
    <w:pitch w:val="default"/>
    <w:sig w:usb0="00000000" w:usb1="00000000" w:usb2="00000009" w:usb3="00000000" w:csb0="200001FF" w:csb1="00000000"/>
  </w:font>
  <w:font w:name="Century Gothic">
    <w:panose1 w:val="020B0502020202020204"/>
    <w:charset w:val="00"/>
    <w:family w:val="auto"/>
    <w:pitch w:val="default"/>
    <w:sig w:usb0="00000287" w:usb1="00000000" w:usb2="00000000" w:usb3="00000000" w:csb0="2000009F" w:csb1="DFD70000"/>
  </w:font>
  <w:font w:name="等线 Light">
    <w:altName w:val="書體坊顏體㊣"/>
    <w:panose1 w:val="02010600030101010101"/>
    <w:charset w:val="86"/>
    <w:family w:val="auto"/>
    <w:pitch w:val="default"/>
    <w:sig w:usb0="00000000" w:usb1="00000000" w:usb2="00000016" w:usb3="00000000" w:csb0="0004000F" w:csb1="00000000"/>
  </w:font>
  <w:font w:name="書體坊顏體㊣">
    <w:panose1 w:val="02010600030101010101"/>
    <w:charset w:val="86"/>
    <w:family w:val="auto"/>
    <w:pitch w:val="default"/>
    <w:sig w:usb0="00000001" w:usb1="080E0000" w:usb2="00000000" w:usb3="00000000" w:csb0="00040000" w:csb1="00000000"/>
  </w:font>
  <w:font w:name="time">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0F3C52" w:usb2="00000016" w:usb3="00000000" w:csb0="0004001F" w:csb1="00000000"/>
  </w:font>
  <w:font w:name="Microsoft YaHei UI">
    <w:altName w:val="微软雅黑"/>
    <w:panose1 w:val="020B0503020204020204"/>
    <w:charset w:val="86"/>
    <w:family w:val="swiss"/>
    <w:pitch w:val="default"/>
    <w:sig w:usb0="00000000" w:usb1="00000000" w:usb2="00000016" w:usb3="00000000" w:csb0="0004001F" w:csb1="00000000"/>
  </w:font>
  <w:font w:name="Microsoft Sans Serif">
    <w:panose1 w:val="020B0604020202020204"/>
    <w:charset w:val="00"/>
    <w:family w:val="auto"/>
    <w:pitch w:val="default"/>
    <w:sig w:usb0="61007BDF" w:usb1="80000000" w:usb2="00000008" w:usb3="00000000" w:csb0="200101FF" w:csb1="2028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jc w:val="center"/>
    </w:pPr>
    <w:r>
      <w:fldChar w:fldCharType="begin"/>
    </w:r>
    <w:r>
      <w:instrText xml:space="preserve">PAGE   \* MERGEFORMAT</w:instrText>
    </w:r>
    <w:r>
      <w:fldChar w:fldCharType="separate"/>
    </w:r>
    <w:r>
      <w:rPr>
        <w:lang w:val="zh-CN"/>
      </w:rPr>
      <w:t>2</w:t>
    </w:r>
    <w:r>
      <w:rPr>
        <w:lang w:val="zh-CN"/>
      </w:rPr>
      <w:fldChar w:fldCharType="end"/>
    </w:r>
  </w:p>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0" w:firstLineChars="0"/>
      <w:jc w:val="center"/>
      <w:rPr>
        <w:lang w:val="zh-CN"/>
      </w:rPr>
    </w:pPr>
    <w:r>
      <w:rPr>
        <w:lang w:val="zh-CN"/>
      </w:rPr>
      <w:fldChar w:fldCharType="begin"/>
    </w:r>
    <w:r>
      <w:rPr>
        <w:lang w:val="zh-CN"/>
      </w:rPr>
      <w:instrText xml:space="preserve">PAGE   \* MERGEFORMAT</w:instrText>
    </w:r>
    <w:r>
      <w:rPr>
        <w:lang w:val="zh-CN"/>
      </w:rPr>
      <w:fldChar w:fldCharType="separate"/>
    </w:r>
    <w:r>
      <w:rPr>
        <w:lang w:val="zh-CN"/>
      </w:rPr>
      <w:t>1</w:t>
    </w:r>
    <w:r>
      <w:rPr>
        <w:lang w:val="zh-CN"/>
      </w:rPr>
      <w:fldChar w:fldCharType="end"/>
    </w:r>
  </w:p>
  <w:p/>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C9E6275"/>
    <w:multiLevelType w:val="singleLevel"/>
    <w:tmpl w:val="3C9E6275"/>
    <w:lvl w:ilvl="0" w:tentative="0">
      <w:start w:val="1"/>
      <w:numFmt w:val="decimal"/>
      <w:lvlText w:val="%1)"/>
      <w:lvlJc w:val="left"/>
      <w:pPr>
        <w:ind w:left="425" w:hanging="425"/>
      </w:pPr>
      <w:rPr>
        <w:rFonts w:hint="default"/>
      </w:rPr>
    </w:lvl>
  </w:abstractNum>
  <w:abstractNum w:abstractNumId="1">
    <w:nsid w:val="6350366A"/>
    <w:multiLevelType w:val="multilevel"/>
    <w:tmpl w:val="6350366A"/>
    <w:lvl w:ilvl="0" w:tentative="0">
      <w:start w:val="1"/>
      <w:numFmt w:val="none"/>
      <w:pStyle w:val="113"/>
      <w:lvlText w:val="%1●　"/>
      <w:lvlJc w:val="left"/>
      <w:pPr>
        <w:tabs>
          <w:tab w:val="left" w:pos="760"/>
        </w:tabs>
        <w:ind w:left="717" w:hanging="317"/>
      </w:pPr>
      <w:rPr>
        <w:rFonts w:hint="eastAsia" w:ascii="宋体" w:hAnsi="Times New Roman" w:eastAsia="宋体"/>
        <w:b w:val="0"/>
        <w:i w:val="0"/>
        <w:position w:val="4"/>
        <w:sz w:val="13"/>
      </w:rPr>
    </w:lvl>
    <w:lvl w:ilvl="1" w:tentative="0">
      <w:start w:val="1"/>
      <w:numFmt w:val="lowerLetter"/>
      <w:lvlText w:val="%2)"/>
      <w:lvlJc w:val="left"/>
      <w:pPr>
        <w:tabs>
          <w:tab w:val="left" w:pos="780"/>
        </w:tabs>
        <w:ind w:left="780" w:hanging="360"/>
      </w:pPr>
      <w:rPr>
        <w:rFonts w:hint="eastAsia"/>
      </w:rPr>
    </w:lvl>
    <w:lvl w:ilvl="2" w:tentative="0">
      <w:start w:val="1"/>
      <w:numFmt w:val="decimal"/>
      <w:lvlText w:val="%3)"/>
      <w:lvlJc w:val="left"/>
      <w:pPr>
        <w:tabs>
          <w:tab w:val="left" w:pos="1200"/>
        </w:tabs>
        <w:ind w:left="1200" w:hanging="36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6A2F4AB3"/>
    <w:multiLevelType w:val="multilevel"/>
    <w:tmpl w:val="6A2F4AB3"/>
    <w:lvl w:ilvl="0" w:tentative="0">
      <w:start w:val="1"/>
      <w:numFmt w:val="chineseCountingThousand"/>
      <w:pStyle w:val="4"/>
      <w:suff w:val="nothing"/>
      <w:lvlText w:val="%1、"/>
      <w:lvlJc w:val="left"/>
      <w:pPr>
        <w:ind w:left="425" w:hanging="425"/>
      </w:pPr>
      <w:rPr>
        <w:rFonts w:hint="eastAsia"/>
        <w:sz w:val="32"/>
        <w:szCs w:val="32"/>
      </w:rPr>
    </w:lvl>
    <w:lvl w:ilvl="1" w:tentative="0">
      <w:start w:val="1"/>
      <w:numFmt w:val="decimal"/>
      <w:pStyle w:val="5"/>
      <w:isLgl/>
      <w:suff w:val="nothing"/>
      <w:lvlText w:val="%1.%2、"/>
      <w:lvlJc w:val="left"/>
      <w:pPr>
        <w:ind w:left="3031" w:hanging="567"/>
      </w:pPr>
    </w:lvl>
    <w:lvl w:ilvl="2" w:tentative="0">
      <w:start w:val="1"/>
      <w:numFmt w:val="decimal"/>
      <w:pStyle w:val="6"/>
      <w:isLgl/>
      <w:suff w:val="nothing"/>
      <w:lvlText w:val="%1.%2.%3、"/>
      <w:lvlJc w:val="left"/>
      <w:pPr>
        <w:ind w:left="1069" w:hanging="1069"/>
      </w:pPr>
      <w:rPr>
        <w:rFonts w:hint="default" w:ascii="宋体" w:hAnsi="宋体" w:eastAsia="宋体" w:cs="Arial"/>
      </w:rPr>
    </w:lvl>
    <w:lvl w:ilvl="3" w:tentative="0">
      <w:start w:val="1"/>
      <w:numFmt w:val="decimal"/>
      <w:pStyle w:val="7"/>
      <w:isLgl/>
      <w:suff w:val="nothing"/>
      <w:lvlText w:val="%1.%2.%3.%4、"/>
      <w:lvlJc w:val="left"/>
      <w:pPr>
        <w:ind w:left="3403" w:hanging="851"/>
      </w:pPr>
    </w:lvl>
    <w:lvl w:ilvl="4" w:tentative="0">
      <w:start w:val="1"/>
      <w:numFmt w:val="decimal"/>
      <w:pStyle w:val="8"/>
      <w:isLgl/>
      <w:suff w:val="nothing"/>
      <w:lvlText w:val="%1.%2.%3.%4.%5、"/>
      <w:lvlJc w:val="left"/>
      <w:pPr>
        <w:ind w:left="3544" w:hanging="992"/>
      </w:pPr>
      <w:rPr>
        <w:rFonts w:hint="eastAsia"/>
      </w:rPr>
    </w:lvl>
    <w:lvl w:ilvl="5" w:tentative="0">
      <w:start w:val="1"/>
      <w:numFmt w:val="decimal"/>
      <w:pStyle w:val="9"/>
      <w:isLgl/>
      <w:suff w:val="nothing"/>
      <w:lvlText w:val="%1.%2.%3.%4.%5.%6、"/>
      <w:lvlJc w:val="left"/>
      <w:pPr>
        <w:ind w:left="1134" w:hanging="1134"/>
      </w:pPr>
      <w:rPr>
        <w:rFonts w:hint="eastAsia"/>
      </w:rPr>
    </w:lvl>
    <w:lvl w:ilvl="6" w:tentative="0">
      <w:start w:val="1"/>
      <w:numFmt w:val="decimal"/>
      <w:isLgl/>
      <w:lvlText w:val="%1.%2.%3.%4.%5.%6.%7"/>
      <w:lvlJc w:val="left"/>
      <w:pPr>
        <w:tabs>
          <w:tab w:val="left" w:pos="1800"/>
        </w:tabs>
        <w:ind w:left="1276" w:hanging="1276"/>
      </w:pPr>
      <w:rPr>
        <w:rFonts w:hint="eastAsia"/>
      </w:rPr>
    </w:lvl>
    <w:lvl w:ilvl="7" w:tentative="0">
      <w:start w:val="1"/>
      <w:numFmt w:val="decimal"/>
      <w:isLgl/>
      <w:lvlText w:val="%1.%2.%3.%4.%5.%6.%7.%8"/>
      <w:lvlJc w:val="left"/>
      <w:pPr>
        <w:tabs>
          <w:tab w:val="left" w:pos="1800"/>
        </w:tabs>
        <w:ind w:left="1418" w:hanging="1418"/>
      </w:pPr>
      <w:rPr>
        <w:rFonts w:hint="eastAsia"/>
      </w:rPr>
    </w:lvl>
    <w:lvl w:ilvl="8" w:tentative="0">
      <w:start w:val="1"/>
      <w:numFmt w:val="decimal"/>
      <w:isLgl/>
      <w:lvlText w:val="%1.%2.%3.%4.%5.%6.%7.%8.%9"/>
      <w:lvlJc w:val="left"/>
      <w:pPr>
        <w:tabs>
          <w:tab w:val="left" w:pos="2160"/>
        </w:tabs>
        <w:ind w:left="1559" w:hanging="1559"/>
      </w:pPr>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nforcement="0"/>
  <w:defaultTabStop w:val="420"/>
  <w:drawingGridHorizontalSpacing w:val="120"/>
  <w:drawingGridVerticalSpacing w:val="163"/>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Y5ZjczMmFhYWIwYjQ3ZTg1YTQzZmQ3OTNlZmY3ZjUifQ=="/>
  </w:docVars>
  <w:rsids>
    <w:rsidRoot w:val="006910C0"/>
    <w:rsid w:val="0000005A"/>
    <w:rsid w:val="00000AED"/>
    <w:rsid w:val="00003516"/>
    <w:rsid w:val="0000380E"/>
    <w:rsid w:val="00004523"/>
    <w:rsid w:val="00005AFD"/>
    <w:rsid w:val="00006563"/>
    <w:rsid w:val="000074F1"/>
    <w:rsid w:val="00007A41"/>
    <w:rsid w:val="00007DA7"/>
    <w:rsid w:val="00012EF0"/>
    <w:rsid w:val="000156DE"/>
    <w:rsid w:val="000165AD"/>
    <w:rsid w:val="000179E9"/>
    <w:rsid w:val="00020C18"/>
    <w:rsid w:val="00021EE6"/>
    <w:rsid w:val="0002280E"/>
    <w:rsid w:val="00022C74"/>
    <w:rsid w:val="00025122"/>
    <w:rsid w:val="000252D5"/>
    <w:rsid w:val="00026997"/>
    <w:rsid w:val="00027A64"/>
    <w:rsid w:val="00031368"/>
    <w:rsid w:val="00032D27"/>
    <w:rsid w:val="00033A31"/>
    <w:rsid w:val="00035325"/>
    <w:rsid w:val="00035D5B"/>
    <w:rsid w:val="00036C1E"/>
    <w:rsid w:val="000378D0"/>
    <w:rsid w:val="00037F2C"/>
    <w:rsid w:val="0004269D"/>
    <w:rsid w:val="00042C2A"/>
    <w:rsid w:val="000430EC"/>
    <w:rsid w:val="00043295"/>
    <w:rsid w:val="000447CB"/>
    <w:rsid w:val="00047915"/>
    <w:rsid w:val="00047D06"/>
    <w:rsid w:val="00050FBD"/>
    <w:rsid w:val="0005107A"/>
    <w:rsid w:val="0005192C"/>
    <w:rsid w:val="00052929"/>
    <w:rsid w:val="0005299F"/>
    <w:rsid w:val="00053F3A"/>
    <w:rsid w:val="000541D7"/>
    <w:rsid w:val="000545C0"/>
    <w:rsid w:val="00054C49"/>
    <w:rsid w:val="0005586D"/>
    <w:rsid w:val="00056C0E"/>
    <w:rsid w:val="000574A8"/>
    <w:rsid w:val="000574F8"/>
    <w:rsid w:val="00057A49"/>
    <w:rsid w:val="0006147E"/>
    <w:rsid w:val="0006231F"/>
    <w:rsid w:val="00062A05"/>
    <w:rsid w:val="00062EE6"/>
    <w:rsid w:val="0006344E"/>
    <w:rsid w:val="000649E6"/>
    <w:rsid w:val="0006794B"/>
    <w:rsid w:val="00067DCA"/>
    <w:rsid w:val="00070063"/>
    <w:rsid w:val="0007087A"/>
    <w:rsid w:val="000710EC"/>
    <w:rsid w:val="00072237"/>
    <w:rsid w:val="00072ABE"/>
    <w:rsid w:val="0007682E"/>
    <w:rsid w:val="00080B39"/>
    <w:rsid w:val="00083950"/>
    <w:rsid w:val="0008452F"/>
    <w:rsid w:val="00084E8E"/>
    <w:rsid w:val="00085A68"/>
    <w:rsid w:val="00090625"/>
    <w:rsid w:val="00090948"/>
    <w:rsid w:val="00091CD1"/>
    <w:rsid w:val="0009460E"/>
    <w:rsid w:val="000951D4"/>
    <w:rsid w:val="000A2146"/>
    <w:rsid w:val="000A2930"/>
    <w:rsid w:val="000A3276"/>
    <w:rsid w:val="000A3C35"/>
    <w:rsid w:val="000A3E30"/>
    <w:rsid w:val="000A5876"/>
    <w:rsid w:val="000A61D0"/>
    <w:rsid w:val="000A6C67"/>
    <w:rsid w:val="000A6DB8"/>
    <w:rsid w:val="000A7596"/>
    <w:rsid w:val="000B0D21"/>
    <w:rsid w:val="000B11A8"/>
    <w:rsid w:val="000B1959"/>
    <w:rsid w:val="000B2E1C"/>
    <w:rsid w:val="000B4279"/>
    <w:rsid w:val="000B4459"/>
    <w:rsid w:val="000B4B46"/>
    <w:rsid w:val="000B5363"/>
    <w:rsid w:val="000B53BA"/>
    <w:rsid w:val="000B642F"/>
    <w:rsid w:val="000B6C99"/>
    <w:rsid w:val="000C3F3C"/>
    <w:rsid w:val="000C5A75"/>
    <w:rsid w:val="000C75F7"/>
    <w:rsid w:val="000D0AB2"/>
    <w:rsid w:val="000D225C"/>
    <w:rsid w:val="000D36F2"/>
    <w:rsid w:val="000D4B26"/>
    <w:rsid w:val="000D74DB"/>
    <w:rsid w:val="000E24D6"/>
    <w:rsid w:val="000E6072"/>
    <w:rsid w:val="000E6D61"/>
    <w:rsid w:val="000E7A23"/>
    <w:rsid w:val="000F1C29"/>
    <w:rsid w:val="000F1E9E"/>
    <w:rsid w:val="000F2B10"/>
    <w:rsid w:val="000F3F72"/>
    <w:rsid w:val="000F5AA6"/>
    <w:rsid w:val="001024A1"/>
    <w:rsid w:val="001055B2"/>
    <w:rsid w:val="001068F0"/>
    <w:rsid w:val="00106AB8"/>
    <w:rsid w:val="00106C9E"/>
    <w:rsid w:val="00106E16"/>
    <w:rsid w:val="0010768B"/>
    <w:rsid w:val="0011043C"/>
    <w:rsid w:val="001113C3"/>
    <w:rsid w:val="00111701"/>
    <w:rsid w:val="00112A29"/>
    <w:rsid w:val="001144BA"/>
    <w:rsid w:val="001167F6"/>
    <w:rsid w:val="00116C86"/>
    <w:rsid w:val="00121ACF"/>
    <w:rsid w:val="00121BAF"/>
    <w:rsid w:val="00121D8F"/>
    <w:rsid w:val="00122037"/>
    <w:rsid w:val="0012210C"/>
    <w:rsid w:val="00122A7F"/>
    <w:rsid w:val="00123B57"/>
    <w:rsid w:val="00123F98"/>
    <w:rsid w:val="001242A5"/>
    <w:rsid w:val="00124531"/>
    <w:rsid w:val="00126EDF"/>
    <w:rsid w:val="00127BBE"/>
    <w:rsid w:val="00131D52"/>
    <w:rsid w:val="001329C1"/>
    <w:rsid w:val="00132C16"/>
    <w:rsid w:val="00135212"/>
    <w:rsid w:val="00136320"/>
    <w:rsid w:val="00136FFA"/>
    <w:rsid w:val="00137AC6"/>
    <w:rsid w:val="00145512"/>
    <w:rsid w:val="001465BD"/>
    <w:rsid w:val="00147B45"/>
    <w:rsid w:val="00150803"/>
    <w:rsid w:val="00151D83"/>
    <w:rsid w:val="001546C9"/>
    <w:rsid w:val="00154FAE"/>
    <w:rsid w:val="00155E77"/>
    <w:rsid w:val="00156A70"/>
    <w:rsid w:val="00160479"/>
    <w:rsid w:val="00160A61"/>
    <w:rsid w:val="00160FC0"/>
    <w:rsid w:val="0016429B"/>
    <w:rsid w:val="00164525"/>
    <w:rsid w:val="00164C50"/>
    <w:rsid w:val="00165CB2"/>
    <w:rsid w:val="00166203"/>
    <w:rsid w:val="00166767"/>
    <w:rsid w:val="001707CB"/>
    <w:rsid w:val="00171477"/>
    <w:rsid w:val="00172A1A"/>
    <w:rsid w:val="00173251"/>
    <w:rsid w:val="00176BED"/>
    <w:rsid w:val="0017759D"/>
    <w:rsid w:val="001804A5"/>
    <w:rsid w:val="00181C94"/>
    <w:rsid w:val="00182AFE"/>
    <w:rsid w:val="00182C84"/>
    <w:rsid w:val="00187031"/>
    <w:rsid w:val="00190E76"/>
    <w:rsid w:val="00191EA4"/>
    <w:rsid w:val="00192B6C"/>
    <w:rsid w:val="00192C30"/>
    <w:rsid w:val="0019381E"/>
    <w:rsid w:val="00194CF5"/>
    <w:rsid w:val="0019503C"/>
    <w:rsid w:val="00195D94"/>
    <w:rsid w:val="00196F7B"/>
    <w:rsid w:val="001971CB"/>
    <w:rsid w:val="0019795C"/>
    <w:rsid w:val="001A053A"/>
    <w:rsid w:val="001A22A2"/>
    <w:rsid w:val="001A2817"/>
    <w:rsid w:val="001A2971"/>
    <w:rsid w:val="001A3D52"/>
    <w:rsid w:val="001A460A"/>
    <w:rsid w:val="001A4A4C"/>
    <w:rsid w:val="001A5029"/>
    <w:rsid w:val="001B0230"/>
    <w:rsid w:val="001B13AB"/>
    <w:rsid w:val="001B1DA8"/>
    <w:rsid w:val="001B3907"/>
    <w:rsid w:val="001B3B49"/>
    <w:rsid w:val="001B4907"/>
    <w:rsid w:val="001B4DC5"/>
    <w:rsid w:val="001B5505"/>
    <w:rsid w:val="001C2180"/>
    <w:rsid w:val="001C29CC"/>
    <w:rsid w:val="001C3217"/>
    <w:rsid w:val="001C3B98"/>
    <w:rsid w:val="001C6028"/>
    <w:rsid w:val="001C6365"/>
    <w:rsid w:val="001C7F57"/>
    <w:rsid w:val="001D0E79"/>
    <w:rsid w:val="001D1D68"/>
    <w:rsid w:val="001D6049"/>
    <w:rsid w:val="001D6A6F"/>
    <w:rsid w:val="001D7339"/>
    <w:rsid w:val="001E2750"/>
    <w:rsid w:val="001E4343"/>
    <w:rsid w:val="001E52BB"/>
    <w:rsid w:val="001E660A"/>
    <w:rsid w:val="001F05D6"/>
    <w:rsid w:val="001F097E"/>
    <w:rsid w:val="001F5B0A"/>
    <w:rsid w:val="001F640F"/>
    <w:rsid w:val="001F6794"/>
    <w:rsid w:val="001F6F65"/>
    <w:rsid w:val="002002DF"/>
    <w:rsid w:val="00203A6F"/>
    <w:rsid w:val="00205646"/>
    <w:rsid w:val="002063F7"/>
    <w:rsid w:val="00210D7D"/>
    <w:rsid w:val="002129E5"/>
    <w:rsid w:val="00212AA4"/>
    <w:rsid w:val="00212E13"/>
    <w:rsid w:val="002163C8"/>
    <w:rsid w:val="002179FE"/>
    <w:rsid w:val="002204BA"/>
    <w:rsid w:val="00220CC0"/>
    <w:rsid w:val="00221A36"/>
    <w:rsid w:val="00223296"/>
    <w:rsid w:val="0022329B"/>
    <w:rsid w:val="002240F7"/>
    <w:rsid w:val="0022486F"/>
    <w:rsid w:val="00225314"/>
    <w:rsid w:val="00225DF4"/>
    <w:rsid w:val="00226C70"/>
    <w:rsid w:val="00230C8A"/>
    <w:rsid w:val="00231F98"/>
    <w:rsid w:val="002324F8"/>
    <w:rsid w:val="002348B0"/>
    <w:rsid w:val="00235CDC"/>
    <w:rsid w:val="00237E76"/>
    <w:rsid w:val="00240BBE"/>
    <w:rsid w:val="00241525"/>
    <w:rsid w:val="00241D87"/>
    <w:rsid w:val="00243C55"/>
    <w:rsid w:val="00243D5E"/>
    <w:rsid w:val="002451EC"/>
    <w:rsid w:val="00245ED4"/>
    <w:rsid w:val="00246B41"/>
    <w:rsid w:val="0025002B"/>
    <w:rsid w:val="002500DE"/>
    <w:rsid w:val="00252457"/>
    <w:rsid w:val="00252581"/>
    <w:rsid w:val="002535B5"/>
    <w:rsid w:val="002538CB"/>
    <w:rsid w:val="002542BD"/>
    <w:rsid w:val="0025774E"/>
    <w:rsid w:val="00257D64"/>
    <w:rsid w:val="0026340A"/>
    <w:rsid w:val="002654EA"/>
    <w:rsid w:val="002704EA"/>
    <w:rsid w:val="0027061A"/>
    <w:rsid w:val="002719CC"/>
    <w:rsid w:val="002730C5"/>
    <w:rsid w:val="0027337C"/>
    <w:rsid w:val="0027602B"/>
    <w:rsid w:val="00277F5E"/>
    <w:rsid w:val="00280084"/>
    <w:rsid w:val="00280490"/>
    <w:rsid w:val="002860B8"/>
    <w:rsid w:val="0029206E"/>
    <w:rsid w:val="00293382"/>
    <w:rsid w:val="00294F51"/>
    <w:rsid w:val="002A2342"/>
    <w:rsid w:val="002A279E"/>
    <w:rsid w:val="002A4FA3"/>
    <w:rsid w:val="002B3606"/>
    <w:rsid w:val="002B3D80"/>
    <w:rsid w:val="002B4402"/>
    <w:rsid w:val="002B4946"/>
    <w:rsid w:val="002B4C41"/>
    <w:rsid w:val="002B588D"/>
    <w:rsid w:val="002C1839"/>
    <w:rsid w:val="002C214A"/>
    <w:rsid w:val="002C28E8"/>
    <w:rsid w:val="002C3027"/>
    <w:rsid w:val="002C674D"/>
    <w:rsid w:val="002C7648"/>
    <w:rsid w:val="002C7DC4"/>
    <w:rsid w:val="002D0821"/>
    <w:rsid w:val="002D1929"/>
    <w:rsid w:val="002D1B73"/>
    <w:rsid w:val="002D2F9D"/>
    <w:rsid w:val="002D3CB0"/>
    <w:rsid w:val="002D4800"/>
    <w:rsid w:val="002D5B21"/>
    <w:rsid w:val="002D6F6D"/>
    <w:rsid w:val="002E1FE6"/>
    <w:rsid w:val="002E2EA7"/>
    <w:rsid w:val="002E36D2"/>
    <w:rsid w:val="002E65FE"/>
    <w:rsid w:val="002E748B"/>
    <w:rsid w:val="002F2002"/>
    <w:rsid w:val="002F335D"/>
    <w:rsid w:val="002F4E32"/>
    <w:rsid w:val="002F503F"/>
    <w:rsid w:val="002F51DD"/>
    <w:rsid w:val="002F5D08"/>
    <w:rsid w:val="002F6895"/>
    <w:rsid w:val="002F6D13"/>
    <w:rsid w:val="003038D3"/>
    <w:rsid w:val="003049C7"/>
    <w:rsid w:val="00305DAE"/>
    <w:rsid w:val="00305F0E"/>
    <w:rsid w:val="0030667A"/>
    <w:rsid w:val="003106DE"/>
    <w:rsid w:val="00311530"/>
    <w:rsid w:val="00312D31"/>
    <w:rsid w:val="00315216"/>
    <w:rsid w:val="0031691C"/>
    <w:rsid w:val="00317AEF"/>
    <w:rsid w:val="00317F49"/>
    <w:rsid w:val="0032089B"/>
    <w:rsid w:val="00323450"/>
    <w:rsid w:val="00323D93"/>
    <w:rsid w:val="00324776"/>
    <w:rsid w:val="0032489B"/>
    <w:rsid w:val="0032525B"/>
    <w:rsid w:val="00326A7A"/>
    <w:rsid w:val="00326FEE"/>
    <w:rsid w:val="0032731C"/>
    <w:rsid w:val="00330AEC"/>
    <w:rsid w:val="003315D7"/>
    <w:rsid w:val="00334DE6"/>
    <w:rsid w:val="0033536D"/>
    <w:rsid w:val="003353FF"/>
    <w:rsid w:val="003366D2"/>
    <w:rsid w:val="00337C79"/>
    <w:rsid w:val="00337FEF"/>
    <w:rsid w:val="0034084C"/>
    <w:rsid w:val="00340D5E"/>
    <w:rsid w:val="003420B5"/>
    <w:rsid w:val="00343646"/>
    <w:rsid w:val="00344CCB"/>
    <w:rsid w:val="00345897"/>
    <w:rsid w:val="00347CA1"/>
    <w:rsid w:val="00351BFC"/>
    <w:rsid w:val="0035575E"/>
    <w:rsid w:val="003565B4"/>
    <w:rsid w:val="00362E75"/>
    <w:rsid w:val="003631AA"/>
    <w:rsid w:val="003632D5"/>
    <w:rsid w:val="00363575"/>
    <w:rsid w:val="00364EF9"/>
    <w:rsid w:val="00367579"/>
    <w:rsid w:val="0036795B"/>
    <w:rsid w:val="00370A29"/>
    <w:rsid w:val="003722F9"/>
    <w:rsid w:val="00372349"/>
    <w:rsid w:val="00372CBC"/>
    <w:rsid w:val="00373A61"/>
    <w:rsid w:val="00374BDE"/>
    <w:rsid w:val="00376B39"/>
    <w:rsid w:val="003772C0"/>
    <w:rsid w:val="00377BAC"/>
    <w:rsid w:val="00380142"/>
    <w:rsid w:val="00380558"/>
    <w:rsid w:val="00381D3C"/>
    <w:rsid w:val="0038223E"/>
    <w:rsid w:val="00382D92"/>
    <w:rsid w:val="00383402"/>
    <w:rsid w:val="00385AEF"/>
    <w:rsid w:val="003860EA"/>
    <w:rsid w:val="0038781A"/>
    <w:rsid w:val="0039080B"/>
    <w:rsid w:val="0039326E"/>
    <w:rsid w:val="00394E22"/>
    <w:rsid w:val="003967A4"/>
    <w:rsid w:val="00397FA3"/>
    <w:rsid w:val="003A1596"/>
    <w:rsid w:val="003A317E"/>
    <w:rsid w:val="003A345B"/>
    <w:rsid w:val="003A49EE"/>
    <w:rsid w:val="003A674D"/>
    <w:rsid w:val="003A7123"/>
    <w:rsid w:val="003B102E"/>
    <w:rsid w:val="003B2167"/>
    <w:rsid w:val="003B5F5D"/>
    <w:rsid w:val="003B62C8"/>
    <w:rsid w:val="003C0C62"/>
    <w:rsid w:val="003C12DC"/>
    <w:rsid w:val="003C2CDA"/>
    <w:rsid w:val="003D000A"/>
    <w:rsid w:val="003D0FF0"/>
    <w:rsid w:val="003D31E9"/>
    <w:rsid w:val="003D4244"/>
    <w:rsid w:val="003D544E"/>
    <w:rsid w:val="003D5980"/>
    <w:rsid w:val="003E0842"/>
    <w:rsid w:val="003E13B0"/>
    <w:rsid w:val="003E2580"/>
    <w:rsid w:val="003E3DEE"/>
    <w:rsid w:val="003E3EBB"/>
    <w:rsid w:val="003E4A4C"/>
    <w:rsid w:val="003E4CBA"/>
    <w:rsid w:val="003E4D2F"/>
    <w:rsid w:val="003E4EDC"/>
    <w:rsid w:val="003E599D"/>
    <w:rsid w:val="003E5C81"/>
    <w:rsid w:val="003E6965"/>
    <w:rsid w:val="003F00E8"/>
    <w:rsid w:val="003F1936"/>
    <w:rsid w:val="003F1BDD"/>
    <w:rsid w:val="003F3A71"/>
    <w:rsid w:val="003F3BA3"/>
    <w:rsid w:val="003F3BD5"/>
    <w:rsid w:val="003F400E"/>
    <w:rsid w:val="003F6F35"/>
    <w:rsid w:val="003F7768"/>
    <w:rsid w:val="00400E8C"/>
    <w:rsid w:val="004017DC"/>
    <w:rsid w:val="00401B53"/>
    <w:rsid w:val="00402668"/>
    <w:rsid w:val="00404FEC"/>
    <w:rsid w:val="0040534D"/>
    <w:rsid w:val="00405FAD"/>
    <w:rsid w:val="00407FD0"/>
    <w:rsid w:val="004117AB"/>
    <w:rsid w:val="00412B2F"/>
    <w:rsid w:val="00415281"/>
    <w:rsid w:val="00415716"/>
    <w:rsid w:val="0041604D"/>
    <w:rsid w:val="00417842"/>
    <w:rsid w:val="00417A6E"/>
    <w:rsid w:val="0042285D"/>
    <w:rsid w:val="00427D2B"/>
    <w:rsid w:val="00430B13"/>
    <w:rsid w:val="00430CE5"/>
    <w:rsid w:val="0043153C"/>
    <w:rsid w:val="00431D0F"/>
    <w:rsid w:val="0043481C"/>
    <w:rsid w:val="00444307"/>
    <w:rsid w:val="0044436F"/>
    <w:rsid w:val="004443EB"/>
    <w:rsid w:val="00444432"/>
    <w:rsid w:val="00444673"/>
    <w:rsid w:val="00444DB6"/>
    <w:rsid w:val="0044621E"/>
    <w:rsid w:val="00447BF1"/>
    <w:rsid w:val="00450BA4"/>
    <w:rsid w:val="004511FC"/>
    <w:rsid w:val="00456784"/>
    <w:rsid w:val="00456DCA"/>
    <w:rsid w:val="00461140"/>
    <w:rsid w:val="004611DB"/>
    <w:rsid w:val="004658B0"/>
    <w:rsid w:val="0046614B"/>
    <w:rsid w:val="00467A4B"/>
    <w:rsid w:val="00467FD7"/>
    <w:rsid w:val="00470073"/>
    <w:rsid w:val="0047091D"/>
    <w:rsid w:val="004716B9"/>
    <w:rsid w:val="004730F8"/>
    <w:rsid w:val="00474353"/>
    <w:rsid w:val="00474555"/>
    <w:rsid w:val="00474D23"/>
    <w:rsid w:val="004750F4"/>
    <w:rsid w:val="00476CB1"/>
    <w:rsid w:val="00476F22"/>
    <w:rsid w:val="00477C60"/>
    <w:rsid w:val="00480A48"/>
    <w:rsid w:val="00482501"/>
    <w:rsid w:val="00482E7D"/>
    <w:rsid w:val="00484395"/>
    <w:rsid w:val="004865FB"/>
    <w:rsid w:val="00486C03"/>
    <w:rsid w:val="00491AB3"/>
    <w:rsid w:val="00497A33"/>
    <w:rsid w:val="004A1112"/>
    <w:rsid w:val="004A1DA0"/>
    <w:rsid w:val="004A1F20"/>
    <w:rsid w:val="004A2393"/>
    <w:rsid w:val="004A3569"/>
    <w:rsid w:val="004A452A"/>
    <w:rsid w:val="004A5F2C"/>
    <w:rsid w:val="004A6E4F"/>
    <w:rsid w:val="004A720D"/>
    <w:rsid w:val="004B00D0"/>
    <w:rsid w:val="004B5433"/>
    <w:rsid w:val="004B585A"/>
    <w:rsid w:val="004B6084"/>
    <w:rsid w:val="004B7AE0"/>
    <w:rsid w:val="004C0BC4"/>
    <w:rsid w:val="004C260D"/>
    <w:rsid w:val="004C2D47"/>
    <w:rsid w:val="004C4357"/>
    <w:rsid w:val="004C4477"/>
    <w:rsid w:val="004C4DC1"/>
    <w:rsid w:val="004C5730"/>
    <w:rsid w:val="004C6397"/>
    <w:rsid w:val="004C668F"/>
    <w:rsid w:val="004C682B"/>
    <w:rsid w:val="004D142C"/>
    <w:rsid w:val="004D29F7"/>
    <w:rsid w:val="004D36D8"/>
    <w:rsid w:val="004D4C5C"/>
    <w:rsid w:val="004D5AB0"/>
    <w:rsid w:val="004D5EAE"/>
    <w:rsid w:val="004D6790"/>
    <w:rsid w:val="004D7A0E"/>
    <w:rsid w:val="004E06E7"/>
    <w:rsid w:val="004E0AE3"/>
    <w:rsid w:val="004E20D3"/>
    <w:rsid w:val="004E2C82"/>
    <w:rsid w:val="004E4FAE"/>
    <w:rsid w:val="004E62C7"/>
    <w:rsid w:val="004E68FF"/>
    <w:rsid w:val="004E7A1B"/>
    <w:rsid w:val="004F0B7F"/>
    <w:rsid w:val="004F1193"/>
    <w:rsid w:val="004F11DC"/>
    <w:rsid w:val="004F2124"/>
    <w:rsid w:val="004F271B"/>
    <w:rsid w:val="004F3A52"/>
    <w:rsid w:val="004F449F"/>
    <w:rsid w:val="004F4E7E"/>
    <w:rsid w:val="004F63AB"/>
    <w:rsid w:val="004F6B76"/>
    <w:rsid w:val="004F6C7C"/>
    <w:rsid w:val="004F7F1A"/>
    <w:rsid w:val="004F7FBB"/>
    <w:rsid w:val="00503B9E"/>
    <w:rsid w:val="005042B3"/>
    <w:rsid w:val="005045AB"/>
    <w:rsid w:val="00507D43"/>
    <w:rsid w:val="005103F2"/>
    <w:rsid w:val="00510E2C"/>
    <w:rsid w:val="00511FDC"/>
    <w:rsid w:val="005124C6"/>
    <w:rsid w:val="0051327E"/>
    <w:rsid w:val="00513EBC"/>
    <w:rsid w:val="00514CE1"/>
    <w:rsid w:val="00517155"/>
    <w:rsid w:val="00517D2D"/>
    <w:rsid w:val="00517DB3"/>
    <w:rsid w:val="005200DC"/>
    <w:rsid w:val="005200F2"/>
    <w:rsid w:val="0052369D"/>
    <w:rsid w:val="005271DB"/>
    <w:rsid w:val="00530D2F"/>
    <w:rsid w:val="00532DCF"/>
    <w:rsid w:val="00533902"/>
    <w:rsid w:val="0053487C"/>
    <w:rsid w:val="005356E1"/>
    <w:rsid w:val="00536A8B"/>
    <w:rsid w:val="00540418"/>
    <w:rsid w:val="00541A96"/>
    <w:rsid w:val="00541C6A"/>
    <w:rsid w:val="00542C54"/>
    <w:rsid w:val="00544DC8"/>
    <w:rsid w:val="00546A43"/>
    <w:rsid w:val="00546C70"/>
    <w:rsid w:val="00547258"/>
    <w:rsid w:val="00550CF0"/>
    <w:rsid w:val="005545D1"/>
    <w:rsid w:val="00555920"/>
    <w:rsid w:val="005559FE"/>
    <w:rsid w:val="005560D6"/>
    <w:rsid w:val="00556D07"/>
    <w:rsid w:val="005611F2"/>
    <w:rsid w:val="00561734"/>
    <w:rsid w:val="00561952"/>
    <w:rsid w:val="005619AF"/>
    <w:rsid w:val="00564B9A"/>
    <w:rsid w:val="00565694"/>
    <w:rsid w:val="00566DD6"/>
    <w:rsid w:val="005714EF"/>
    <w:rsid w:val="00571CEC"/>
    <w:rsid w:val="00572FCE"/>
    <w:rsid w:val="005746BF"/>
    <w:rsid w:val="005750DB"/>
    <w:rsid w:val="005753FC"/>
    <w:rsid w:val="005759FC"/>
    <w:rsid w:val="00575B85"/>
    <w:rsid w:val="00576DB9"/>
    <w:rsid w:val="0057738F"/>
    <w:rsid w:val="005805E4"/>
    <w:rsid w:val="00581D60"/>
    <w:rsid w:val="0058202F"/>
    <w:rsid w:val="00584221"/>
    <w:rsid w:val="00584EB6"/>
    <w:rsid w:val="00586B68"/>
    <w:rsid w:val="0058774E"/>
    <w:rsid w:val="005878CF"/>
    <w:rsid w:val="00590CA0"/>
    <w:rsid w:val="00595B01"/>
    <w:rsid w:val="00596D98"/>
    <w:rsid w:val="005979A5"/>
    <w:rsid w:val="005A0021"/>
    <w:rsid w:val="005A017B"/>
    <w:rsid w:val="005A2AEC"/>
    <w:rsid w:val="005A412D"/>
    <w:rsid w:val="005A5212"/>
    <w:rsid w:val="005B002D"/>
    <w:rsid w:val="005B0FFF"/>
    <w:rsid w:val="005B19AF"/>
    <w:rsid w:val="005B258C"/>
    <w:rsid w:val="005B61DD"/>
    <w:rsid w:val="005B6735"/>
    <w:rsid w:val="005B6D45"/>
    <w:rsid w:val="005B7831"/>
    <w:rsid w:val="005C05B4"/>
    <w:rsid w:val="005C0CD6"/>
    <w:rsid w:val="005C12D9"/>
    <w:rsid w:val="005C20CF"/>
    <w:rsid w:val="005C2146"/>
    <w:rsid w:val="005C309D"/>
    <w:rsid w:val="005C544B"/>
    <w:rsid w:val="005C5916"/>
    <w:rsid w:val="005C5AEE"/>
    <w:rsid w:val="005C774A"/>
    <w:rsid w:val="005D07A4"/>
    <w:rsid w:val="005D0845"/>
    <w:rsid w:val="005D319F"/>
    <w:rsid w:val="005D3734"/>
    <w:rsid w:val="005D4F16"/>
    <w:rsid w:val="005D5A53"/>
    <w:rsid w:val="005D5DA0"/>
    <w:rsid w:val="005D6A7B"/>
    <w:rsid w:val="005D7EA9"/>
    <w:rsid w:val="005D7FBD"/>
    <w:rsid w:val="005E19B4"/>
    <w:rsid w:val="005E1D6B"/>
    <w:rsid w:val="005E227A"/>
    <w:rsid w:val="005E2CF8"/>
    <w:rsid w:val="005E3126"/>
    <w:rsid w:val="005E5A9D"/>
    <w:rsid w:val="005E7075"/>
    <w:rsid w:val="005E75A7"/>
    <w:rsid w:val="005F38E2"/>
    <w:rsid w:val="005F3EE6"/>
    <w:rsid w:val="005F5B0C"/>
    <w:rsid w:val="005F6736"/>
    <w:rsid w:val="005F6754"/>
    <w:rsid w:val="00602C10"/>
    <w:rsid w:val="00602EBD"/>
    <w:rsid w:val="00604CF2"/>
    <w:rsid w:val="00606DFF"/>
    <w:rsid w:val="00606FB7"/>
    <w:rsid w:val="00610533"/>
    <w:rsid w:val="00610BFD"/>
    <w:rsid w:val="006110F6"/>
    <w:rsid w:val="00611FA1"/>
    <w:rsid w:val="00612522"/>
    <w:rsid w:val="00612DA6"/>
    <w:rsid w:val="0061365B"/>
    <w:rsid w:val="006138B6"/>
    <w:rsid w:val="00614BC6"/>
    <w:rsid w:val="00614E33"/>
    <w:rsid w:val="006158B8"/>
    <w:rsid w:val="0061706D"/>
    <w:rsid w:val="006173DA"/>
    <w:rsid w:val="00617EF9"/>
    <w:rsid w:val="00620295"/>
    <w:rsid w:val="00622F8E"/>
    <w:rsid w:val="00626AC8"/>
    <w:rsid w:val="00627912"/>
    <w:rsid w:val="0063195F"/>
    <w:rsid w:val="00635F44"/>
    <w:rsid w:val="00636C0A"/>
    <w:rsid w:val="00637EC6"/>
    <w:rsid w:val="0064240C"/>
    <w:rsid w:val="00642FF5"/>
    <w:rsid w:val="006430FB"/>
    <w:rsid w:val="00643992"/>
    <w:rsid w:val="00644DBC"/>
    <w:rsid w:val="00646FE6"/>
    <w:rsid w:val="006474CD"/>
    <w:rsid w:val="00647744"/>
    <w:rsid w:val="006479A0"/>
    <w:rsid w:val="006500D9"/>
    <w:rsid w:val="00650232"/>
    <w:rsid w:val="00653B54"/>
    <w:rsid w:val="006541A3"/>
    <w:rsid w:val="00654FAD"/>
    <w:rsid w:val="00655C9F"/>
    <w:rsid w:val="006567FF"/>
    <w:rsid w:val="00656867"/>
    <w:rsid w:val="0066109F"/>
    <w:rsid w:val="00664B26"/>
    <w:rsid w:val="0066596B"/>
    <w:rsid w:val="00670295"/>
    <w:rsid w:val="006704F5"/>
    <w:rsid w:val="00672894"/>
    <w:rsid w:val="00674B47"/>
    <w:rsid w:val="0067534A"/>
    <w:rsid w:val="00676022"/>
    <w:rsid w:val="0067609E"/>
    <w:rsid w:val="00677749"/>
    <w:rsid w:val="00680E07"/>
    <w:rsid w:val="0068114A"/>
    <w:rsid w:val="00682B9D"/>
    <w:rsid w:val="00683806"/>
    <w:rsid w:val="00686AF9"/>
    <w:rsid w:val="006878F6"/>
    <w:rsid w:val="006910C0"/>
    <w:rsid w:val="00691954"/>
    <w:rsid w:val="0069320E"/>
    <w:rsid w:val="00693D13"/>
    <w:rsid w:val="00694F58"/>
    <w:rsid w:val="006955BC"/>
    <w:rsid w:val="006959E2"/>
    <w:rsid w:val="00696920"/>
    <w:rsid w:val="00697EB9"/>
    <w:rsid w:val="006A20D4"/>
    <w:rsid w:val="006A268D"/>
    <w:rsid w:val="006A350F"/>
    <w:rsid w:val="006A3957"/>
    <w:rsid w:val="006A39A4"/>
    <w:rsid w:val="006A41D6"/>
    <w:rsid w:val="006A669D"/>
    <w:rsid w:val="006A6E41"/>
    <w:rsid w:val="006B012F"/>
    <w:rsid w:val="006B1DF9"/>
    <w:rsid w:val="006B27CF"/>
    <w:rsid w:val="006B3BA9"/>
    <w:rsid w:val="006B41BD"/>
    <w:rsid w:val="006B5678"/>
    <w:rsid w:val="006B62B2"/>
    <w:rsid w:val="006C180C"/>
    <w:rsid w:val="006C18DC"/>
    <w:rsid w:val="006C1C57"/>
    <w:rsid w:val="006C5760"/>
    <w:rsid w:val="006C6D6F"/>
    <w:rsid w:val="006D0D78"/>
    <w:rsid w:val="006D1128"/>
    <w:rsid w:val="006D2848"/>
    <w:rsid w:val="006D30E0"/>
    <w:rsid w:val="006D5521"/>
    <w:rsid w:val="006D5FE9"/>
    <w:rsid w:val="006D6CBB"/>
    <w:rsid w:val="006D76A9"/>
    <w:rsid w:val="006D77F4"/>
    <w:rsid w:val="006E0898"/>
    <w:rsid w:val="006E41CD"/>
    <w:rsid w:val="006F3BEC"/>
    <w:rsid w:val="00703C00"/>
    <w:rsid w:val="007057CC"/>
    <w:rsid w:val="007066F2"/>
    <w:rsid w:val="00706AE5"/>
    <w:rsid w:val="0070740A"/>
    <w:rsid w:val="00711F93"/>
    <w:rsid w:val="00712940"/>
    <w:rsid w:val="007133FD"/>
    <w:rsid w:val="0071428C"/>
    <w:rsid w:val="00715A16"/>
    <w:rsid w:val="007164B0"/>
    <w:rsid w:val="007166FF"/>
    <w:rsid w:val="007260CC"/>
    <w:rsid w:val="007264F4"/>
    <w:rsid w:val="00726543"/>
    <w:rsid w:val="0073353E"/>
    <w:rsid w:val="00736633"/>
    <w:rsid w:val="00741EE7"/>
    <w:rsid w:val="00743A79"/>
    <w:rsid w:val="007444D4"/>
    <w:rsid w:val="0074594D"/>
    <w:rsid w:val="007459F3"/>
    <w:rsid w:val="00746E35"/>
    <w:rsid w:val="007470E2"/>
    <w:rsid w:val="00751A0A"/>
    <w:rsid w:val="0075232F"/>
    <w:rsid w:val="00753132"/>
    <w:rsid w:val="007550B3"/>
    <w:rsid w:val="00760451"/>
    <w:rsid w:val="00763A58"/>
    <w:rsid w:val="00763C36"/>
    <w:rsid w:val="0077182A"/>
    <w:rsid w:val="00771913"/>
    <w:rsid w:val="00772718"/>
    <w:rsid w:val="00774DDF"/>
    <w:rsid w:val="00775BCF"/>
    <w:rsid w:val="007818AA"/>
    <w:rsid w:val="0078206B"/>
    <w:rsid w:val="00783140"/>
    <w:rsid w:val="00783676"/>
    <w:rsid w:val="007838B6"/>
    <w:rsid w:val="00783E77"/>
    <w:rsid w:val="007906F1"/>
    <w:rsid w:val="0079243D"/>
    <w:rsid w:val="00794A9B"/>
    <w:rsid w:val="0079583B"/>
    <w:rsid w:val="00796602"/>
    <w:rsid w:val="00797185"/>
    <w:rsid w:val="007976B7"/>
    <w:rsid w:val="00797A7E"/>
    <w:rsid w:val="00797D6F"/>
    <w:rsid w:val="007B014B"/>
    <w:rsid w:val="007B0D88"/>
    <w:rsid w:val="007B306F"/>
    <w:rsid w:val="007B39BD"/>
    <w:rsid w:val="007B4714"/>
    <w:rsid w:val="007B4E82"/>
    <w:rsid w:val="007C1996"/>
    <w:rsid w:val="007C3773"/>
    <w:rsid w:val="007C3F1F"/>
    <w:rsid w:val="007C4797"/>
    <w:rsid w:val="007D26AC"/>
    <w:rsid w:val="007D2D0D"/>
    <w:rsid w:val="007D3325"/>
    <w:rsid w:val="007D3818"/>
    <w:rsid w:val="007D6DC5"/>
    <w:rsid w:val="007D7425"/>
    <w:rsid w:val="007E320E"/>
    <w:rsid w:val="007E3280"/>
    <w:rsid w:val="007E4A02"/>
    <w:rsid w:val="007E595C"/>
    <w:rsid w:val="007E59A5"/>
    <w:rsid w:val="007F0C18"/>
    <w:rsid w:val="007F3B8C"/>
    <w:rsid w:val="007F41D0"/>
    <w:rsid w:val="007F4B8B"/>
    <w:rsid w:val="007F5957"/>
    <w:rsid w:val="007F70B6"/>
    <w:rsid w:val="007F74CA"/>
    <w:rsid w:val="00800F1E"/>
    <w:rsid w:val="0080195A"/>
    <w:rsid w:val="00801ABE"/>
    <w:rsid w:val="0080239C"/>
    <w:rsid w:val="00802841"/>
    <w:rsid w:val="008037D5"/>
    <w:rsid w:val="00805447"/>
    <w:rsid w:val="008054FA"/>
    <w:rsid w:val="0080717A"/>
    <w:rsid w:val="00807DFA"/>
    <w:rsid w:val="0081009F"/>
    <w:rsid w:val="00810152"/>
    <w:rsid w:val="00810799"/>
    <w:rsid w:val="008115AB"/>
    <w:rsid w:val="00812D2C"/>
    <w:rsid w:val="008159F4"/>
    <w:rsid w:val="008167C1"/>
    <w:rsid w:val="008167C6"/>
    <w:rsid w:val="00816B8F"/>
    <w:rsid w:val="00820331"/>
    <w:rsid w:val="00820BF5"/>
    <w:rsid w:val="008212B1"/>
    <w:rsid w:val="0082155A"/>
    <w:rsid w:val="0082209F"/>
    <w:rsid w:val="008223C2"/>
    <w:rsid w:val="0082253C"/>
    <w:rsid w:val="008250A2"/>
    <w:rsid w:val="00825D64"/>
    <w:rsid w:val="0082650B"/>
    <w:rsid w:val="008301CE"/>
    <w:rsid w:val="008312E3"/>
    <w:rsid w:val="00831D5B"/>
    <w:rsid w:val="00832DD6"/>
    <w:rsid w:val="00832F0C"/>
    <w:rsid w:val="008336F2"/>
    <w:rsid w:val="008345D9"/>
    <w:rsid w:val="008347CB"/>
    <w:rsid w:val="00835647"/>
    <w:rsid w:val="00837A2E"/>
    <w:rsid w:val="00841558"/>
    <w:rsid w:val="00842A68"/>
    <w:rsid w:val="008435BA"/>
    <w:rsid w:val="0084558B"/>
    <w:rsid w:val="0084654A"/>
    <w:rsid w:val="00847654"/>
    <w:rsid w:val="00851064"/>
    <w:rsid w:val="00855543"/>
    <w:rsid w:val="008566B3"/>
    <w:rsid w:val="008576B7"/>
    <w:rsid w:val="00857F7B"/>
    <w:rsid w:val="00863DA1"/>
    <w:rsid w:val="008654A6"/>
    <w:rsid w:val="00865D86"/>
    <w:rsid w:val="00870495"/>
    <w:rsid w:val="00870D5B"/>
    <w:rsid w:val="00870EA1"/>
    <w:rsid w:val="008710C5"/>
    <w:rsid w:val="008728C1"/>
    <w:rsid w:val="00874438"/>
    <w:rsid w:val="00874E75"/>
    <w:rsid w:val="008767F3"/>
    <w:rsid w:val="00876CEF"/>
    <w:rsid w:val="00877342"/>
    <w:rsid w:val="008803C3"/>
    <w:rsid w:val="00881450"/>
    <w:rsid w:val="008817C7"/>
    <w:rsid w:val="00881875"/>
    <w:rsid w:val="008848A3"/>
    <w:rsid w:val="00884AF1"/>
    <w:rsid w:val="00885F7A"/>
    <w:rsid w:val="00890712"/>
    <w:rsid w:val="00890D81"/>
    <w:rsid w:val="00892955"/>
    <w:rsid w:val="00893628"/>
    <w:rsid w:val="008941EB"/>
    <w:rsid w:val="0089545A"/>
    <w:rsid w:val="00895A02"/>
    <w:rsid w:val="008A01EE"/>
    <w:rsid w:val="008A0DAC"/>
    <w:rsid w:val="008A1E85"/>
    <w:rsid w:val="008A3B78"/>
    <w:rsid w:val="008A4166"/>
    <w:rsid w:val="008A7DBF"/>
    <w:rsid w:val="008B136C"/>
    <w:rsid w:val="008B3C52"/>
    <w:rsid w:val="008B55EF"/>
    <w:rsid w:val="008B6910"/>
    <w:rsid w:val="008C0B5C"/>
    <w:rsid w:val="008C1343"/>
    <w:rsid w:val="008C3912"/>
    <w:rsid w:val="008C5598"/>
    <w:rsid w:val="008C69EA"/>
    <w:rsid w:val="008C6F8B"/>
    <w:rsid w:val="008C7AB7"/>
    <w:rsid w:val="008C7FB4"/>
    <w:rsid w:val="008D2C8C"/>
    <w:rsid w:val="008D3040"/>
    <w:rsid w:val="008D3ECD"/>
    <w:rsid w:val="008D5C03"/>
    <w:rsid w:val="008D7580"/>
    <w:rsid w:val="008D7C35"/>
    <w:rsid w:val="008E48E6"/>
    <w:rsid w:val="008E5698"/>
    <w:rsid w:val="008E5733"/>
    <w:rsid w:val="008E77D2"/>
    <w:rsid w:val="008E78FD"/>
    <w:rsid w:val="008F199D"/>
    <w:rsid w:val="008F38A0"/>
    <w:rsid w:val="008F39C9"/>
    <w:rsid w:val="008F5EB5"/>
    <w:rsid w:val="008F678C"/>
    <w:rsid w:val="008F75A7"/>
    <w:rsid w:val="008F7E5A"/>
    <w:rsid w:val="00900A7F"/>
    <w:rsid w:val="00901665"/>
    <w:rsid w:val="009036EE"/>
    <w:rsid w:val="00905815"/>
    <w:rsid w:val="00905D1D"/>
    <w:rsid w:val="0091016D"/>
    <w:rsid w:val="00910C98"/>
    <w:rsid w:val="00911910"/>
    <w:rsid w:val="00912A58"/>
    <w:rsid w:val="00913908"/>
    <w:rsid w:val="00913D26"/>
    <w:rsid w:val="0091438B"/>
    <w:rsid w:val="009147E3"/>
    <w:rsid w:val="00920FD2"/>
    <w:rsid w:val="00923A43"/>
    <w:rsid w:val="0092439C"/>
    <w:rsid w:val="0092498E"/>
    <w:rsid w:val="00925B91"/>
    <w:rsid w:val="00934461"/>
    <w:rsid w:val="00934F7E"/>
    <w:rsid w:val="00936A1C"/>
    <w:rsid w:val="00943E35"/>
    <w:rsid w:val="00943F2A"/>
    <w:rsid w:val="00945278"/>
    <w:rsid w:val="0094658D"/>
    <w:rsid w:val="00947678"/>
    <w:rsid w:val="00947878"/>
    <w:rsid w:val="009504C2"/>
    <w:rsid w:val="0095254A"/>
    <w:rsid w:val="0095273B"/>
    <w:rsid w:val="009559E1"/>
    <w:rsid w:val="009568D5"/>
    <w:rsid w:val="00957CD3"/>
    <w:rsid w:val="0096269B"/>
    <w:rsid w:val="00963FB0"/>
    <w:rsid w:val="00964C86"/>
    <w:rsid w:val="00965875"/>
    <w:rsid w:val="00965E82"/>
    <w:rsid w:val="009664BB"/>
    <w:rsid w:val="009669F8"/>
    <w:rsid w:val="00966F89"/>
    <w:rsid w:val="00971DC6"/>
    <w:rsid w:val="00973B5D"/>
    <w:rsid w:val="0097755E"/>
    <w:rsid w:val="00981467"/>
    <w:rsid w:val="00981C24"/>
    <w:rsid w:val="009852F6"/>
    <w:rsid w:val="00985DE5"/>
    <w:rsid w:val="00986254"/>
    <w:rsid w:val="0098729E"/>
    <w:rsid w:val="00990067"/>
    <w:rsid w:val="00992977"/>
    <w:rsid w:val="00993093"/>
    <w:rsid w:val="009937D4"/>
    <w:rsid w:val="00993C78"/>
    <w:rsid w:val="009948C7"/>
    <w:rsid w:val="00995850"/>
    <w:rsid w:val="009974EE"/>
    <w:rsid w:val="0099796C"/>
    <w:rsid w:val="009A0D23"/>
    <w:rsid w:val="009A194E"/>
    <w:rsid w:val="009A1EA2"/>
    <w:rsid w:val="009A209E"/>
    <w:rsid w:val="009A3FD7"/>
    <w:rsid w:val="009A6652"/>
    <w:rsid w:val="009A74FD"/>
    <w:rsid w:val="009B25D8"/>
    <w:rsid w:val="009B42E3"/>
    <w:rsid w:val="009B5859"/>
    <w:rsid w:val="009C0FD6"/>
    <w:rsid w:val="009C6D07"/>
    <w:rsid w:val="009C7CEC"/>
    <w:rsid w:val="009D03E4"/>
    <w:rsid w:val="009D154D"/>
    <w:rsid w:val="009D18EF"/>
    <w:rsid w:val="009D3BE8"/>
    <w:rsid w:val="009D44E0"/>
    <w:rsid w:val="009D573B"/>
    <w:rsid w:val="009D59A0"/>
    <w:rsid w:val="009D716A"/>
    <w:rsid w:val="009E1AC4"/>
    <w:rsid w:val="009E20B8"/>
    <w:rsid w:val="009E29A0"/>
    <w:rsid w:val="009E41B5"/>
    <w:rsid w:val="009E55D7"/>
    <w:rsid w:val="009E627C"/>
    <w:rsid w:val="009F110B"/>
    <w:rsid w:val="009F1498"/>
    <w:rsid w:val="009F1E9F"/>
    <w:rsid w:val="009F3793"/>
    <w:rsid w:val="009F54F2"/>
    <w:rsid w:val="00A0056B"/>
    <w:rsid w:val="00A01657"/>
    <w:rsid w:val="00A0197D"/>
    <w:rsid w:val="00A01C65"/>
    <w:rsid w:val="00A0213D"/>
    <w:rsid w:val="00A04C73"/>
    <w:rsid w:val="00A0679A"/>
    <w:rsid w:val="00A07A2B"/>
    <w:rsid w:val="00A12375"/>
    <w:rsid w:val="00A125B8"/>
    <w:rsid w:val="00A13124"/>
    <w:rsid w:val="00A15370"/>
    <w:rsid w:val="00A156AB"/>
    <w:rsid w:val="00A16B8D"/>
    <w:rsid w:val="00A21293"/>
    <w:rsid w:val="00A2134B"/>
    <w:rsid w:val="00A21623"/>
    <w:rsid w:val="00A220EB"/>
    <w:rsid w:val="00A22302"/>
    <w:rsid w:val="00A226FA"/>
    <w:rsid w:val="00A25F1B"/>
    <w:rsid w:val="00A276D3"/>
    <w:rsid w:val="00A325F3"/>
    <w:rsid w:val="00A33103"/>
    <w:rsid w:val="00A33294"/>
    <w:rsid w:val="00A35DCB"/>
    <w:rsid w:val="00A3690E"/>
    <w:rsid w:val="00A37751"/>
    <w:rsid w:val="00A406B1"/>
    <w:rsid w:val="00A4113E"/>
    <w:rsid w:val="00A42435"/>
    <w:rsid w:val="00A438BA"/>
    <w:rsid w:val="00A446FD"/>
    <w:rsid w:val="00A46F46"/>
    <w:rsid w:val="00A52CB6"/>
    <w:rsid w:val="00A52F99"/>
    <w:rsid w:val="00A538BB"/>
    <w:rsid w:val="00A54164"/>
    <w:rsid w:val="00A56737"/>
    <w:rsid w:val="00A56A7D"/>
    <w:rsid w:val="00A60002"/>
    <w:rsid w:val="00A603D8"/>
    <w:rsid w:val="00A60AE2"/>
    <w:rsid w:val="00A61834"/>
    <w:rsid w:val="00A618B0"/>
    <w:rsid w:val="00A62790"/>
    <w:rsid w:val="00A6291F"/>
    <w:rsid w:val="00A63F53"/>
    <w:rsid w:val="00A70B08"/>
    <w:rsid w:val="00A7111E"/>
    <w:rsid w:val="00A755B6"/>
    <w:rsid w:val="00A75B1A"/>
    <w:rsid w:val="00A80ED4"/>
    <w:rsid w:val="00A816C4"/>
    <w:rsid w:val="00A82551"/>
    <w:rsid w:val="00A82981"/>
    <w:rsid w:val="00A86F10"/>
    <w:rsid w:val="00A87AF2"/>
    <w:rsid w:val="00A90B23"/>
    <w:rsid w:val="00A93193"/>
    <w:rsid w:val="00A93C2B"/>
    <w:rsid w:val="00A94556"/>
    <w:rsid w:val="00A974CB"/>
    <w:rsid w:val="00AA1EAC"/>
    <w:rsid w:val="00AA45E2"/>
    <w:rsid w:val="00AA7AC1"/>
    <w:rsid w:val="00AB6327"/>
    <w:rsid w:val="00AB6B8F"/>
    <w:rsid w:val="00AC0C65"/>
    <w:rsid w:val="00AC0FB2"/>
    <w:rsid w:val="00AC3721"/>
    <w:rsid w:val="00AC41C6"/>
    <w:rsid w:val="00AC4713"/>
    <w:rsid w:val="00AC70C7"/>
    <w:rsid w:val="00AC76B7"/>
    <w:rsid w:val="00AD0223"/>
    <w:rsid w:val="00AD123A"/>
    <w:rsid w:val="00AD15FF"/>
    <w:rsid w:val="00AD1AA5"/>
    <w:rsid w:val="00AD2920"/>
    <w:rsid w:val="00AD2CD5"/>
    <w:rsid w:val="00AD2DFC"/>
    <w:rsid w:val="00AD38C4"/>
    <w:rsid w:val="00AD5A4A"/>
    <w:rsid w:val="00AD60EE"/>
    <w:rsid w:val="00AD6A2B"/>
    <w:rsid w:val="00AD73D4"/>
    <w:rsid w:val="00AE1EA2"/>
    <w:rsid w:val="00AE2874"/>
    <w:rsid w:val="00AE2BA2"/>
    <w:rsid w:val="00AE2F98"/>
    <w:rsid w:val="00AE3602"/>
    <w:rsid w:val="00AE5342"/>
    <w:rsid w:val="00AE57C6"/>
    <w:rsid w:val="00AE5987"/>
    <w:rsid w:val="00AE5FF1"/>
    <w:rsid w:val="00AE6472"/>
    <w:rsid w:val="00AF1345"/>
    <w:rsid w:val="00AF38A8"/>
    <w:rsid w:val="00AF4DC3"/>
    <w:rsid w:val="00AF63EB"/>
    <w:rsid w:val="00B011FB"/>
    <w:rsid w:val="00B016D2"/>
    <w:rsid w:val="00B018EC"/>
    <w:rsid w:val="00B060C7"/>
    <w:rsid w:val="00B11AB7"/>
    <w:rsid w:val="00B12213"/>
    <w:rsid w:val="00B13710"/>
    <w:rsid w:val="00B13E0F"/>
    <w:rsid w:val="00B15142"/>
    <w:rsid w:val="00B2233F"/>
    <w:rsid w:val="00B22881"/>
    <w:rsid w:val="00B23EFC"/>
    <w:rsid w:val="00B24B72"/>
    <w:rsid w:val="00B25DB8"/>
    <w:rsid w:val="00B2656C"/>
    <w:rsid w:val="00B266E6"/>
    <w:rsid w:val="00B3094D"/>
    <w:rsid w:val="00B30B04"/>
    <w:rsid w:val="00B311BC"/>
    <w:rsid w:val="00B31810"/>
    <w:rsid w:val="00B31C10"/>
    <w:rsid w:val="00B3446D"/>
    <w:rsid w:val="00B34652"/>
    <w:rsid w:val="00B34F89"/>
    <w:rsid w:val="00B358C8"/>
    <w:rsid w:val="00B36185"/>
    <w:rsid w:val="00B3662F"/>
    <w:rsid w:val="00B373CD"/>
    <w:rsid w:val="00B377C8"/>
    <w:rsid w:val="00B400B8"/>
    <w:rsid w:val="00B404DE"/>
    <w:rsid w:val="00B40765"/>
    <w:rsid w:val="00B4232D"/>
    <w:rsid w:val="00B42682"/>
    <w:rsid w:val="00B43065"/>
    <w:rsid w:val="00B44784"/>
    <w:rsid w:val="00B449D0"/>
    <w:rsid w:val="00B456AB"/>
    <w:rsid w:val="00B46C2A"/>
    <w:rsid w:val="00B47E8B"/>
    <w:rsid w:val="00B51C67"/>
    <w:rsid w:val="00B53F86"/>
    <w:rsid w:val="00B53FDC"/>
    <w:rsid w:val="00B55431"/>
    <w:rsid w:val="00B55CAE"/>
    <w:rsid w:val="00B576C6"/>
    <w:rsid w:val="00B615F2"/>
    <w:rsid w:val="00B61A28"/>
    <w:rsid w:val="00B61B16"/>
    <w:rsid w:val="00B63FDA"/>
    <w:rsid w:val="00B65C6D"/>
    <w:rsid w:val="00B66B06"/>
    <w:rsid w:val="00B67862"/>
    <w:rsid w:val="00B70634"/>
    <w:rsid w:val="00B70BE4"/>
    <w:rsid w:val="00B73880"/>
    <w:rsid w:val="00B73CF1"/>
    <w:rsid w:val="00B745B3"/>
    <w:rsid w:val="00B7599D"/>
    <w:rsid w:val="00B7648F"/>
    <w:rsid w:val="00B76E13"/>
    <w:rsid w:val="00B771EE"/>
    <w:rsid w:val="00B7765B"/>
    <w:rsid w:val="00B77B4B"/>
    <w:rsid w:val="00B80ABC"/>
    <w:rsid w:val="00B814C2"/>
    <w:rsid w:val="00B862D4"/>
    <w:rsid w:val="00B900FE"/>
    <w:rsid w:val="00B9064C"/>
    <w:rsid w:val="00B9262D"/>
    <w:rsid w:val="00BA0A14"/>
    <w:rsid w:val="00BA228D"/>
    <w:rsid w:val="00BA398D"/>
    <w:rsid w:val="00BA39D3"/>
    <w:rsid w:val="00BA5C56"/>
    <w:rsid w:val="00BA776F"/>
    <w:rsid w:val="00BB0C0D"/>
    <w:rsid w:val="00BB0D69"/>
    <w:rsid w:val="00BB366E"/>
    <w:rsid w:val="00BB3AF0"/>
    <w:rsid w:val="00BB4F70"/>
    <w:rsid w:val="00BB67FF"/>
    <w:rsid w:val="00BC11B9"/>
    <w:rsid w:val="00BC138C"/>
    <w:rsid w:val="00BC14CF"/>
    <w:rsid w:val="00BC1659"/>
    <w:rsid w:val="00BC2C91"/>
    <w:rsid w:val="00BC3A9C"/>
    <w:rsid w:val="00BC5288"/>
    <w:rsid w:val="00BC6A71"/>
    <w:rsid w:val="00BC6B2F"/>
    <w:rsid w:val="00BD0637"/>
    <w:rsid w:val="00BD08A8"/>
    <w:rsid w:val="00BD1BAC"/>
    <w:rsid w:val="00BD1FA8"/>
    <w:rsid w:val="00BD25A6"/>
    <w:rsid w:val="00BD467F"/>
    <w:rsid w:val="00BD4C95"/>
    <w:rsid w:val="00BD65FC"/>
    <w:rsid w:val="00BD7660"/>
    <w:rsid w:val="00BD7A26"/>
    <w:rsid w:val="00BE0666"/>
    <w:rsid w:val="00BE1FD4"/>
    <w:rsid w:val="00BE24B9"/>
    <w:rsid w:val="00BE2AE8"/>
    <w:rsid w:val="00BE2D55"/>
    <w:rsid w:val="00BE38DD"/>
    <w:rsid w:val="00BE4AB1"/>
    <w:rsid w:val="00BF16C3"/>
    <w:rsid w:val="00BF38E0"/>
    <w:rsid w:val="00BF44FA"/>
    <w:rsid w:val="00BF57E1"/>
    <w:rsid w:val="00C003B4"/>
    <w:rsid w:val="00C00A5F"/>
    <w:rsid w:val="00C042E0"/>
    <w:rsid w:val="00C051D9"/>
    <w:rsid w:val="00C06333"/>
    <w:rsid w:val="00C06F68"/>
    <w:rsid w:val="00C075BA"/>
    <w:rsid w:val="00C10A3A"/>
    <w:rsid w:val="00C11E20"/>
    <w:rsid w:val="00C15D16"/>
    <w:rsid w:val="00C20015"/>
    <w:rsid w:val="00C21323"/>
    <w:rsid w:val="00C247DD"/>
    <w:rsid w:val="00C25B43"/>
    <w:rsid w:val="00C26A54"/>
    <w:rsid w:val="00C3261C"/>
    <w:rsid w:val="00C3318B"/>
    <w:rsid w:val="00C33C20"/>
    <w:rsid w:val="00C35362"/>
    <w:rsid w:val="00C357EA"/>
    <w:rsid w:val="00C379F8"/>
    <w:rsid w:val="00C37A1C"/>
    <w:rsid w:val="00C40190"/>
    <w:rsid w:val="00C42323"/>
    <w:rsid w:val="00C4316E"/>
    <w:rsid w:val="00C453A9"/>
    <w:rsid w:val="00C465D5"/>
    <w:rsid w:val="00C4756A"/>
    <w:rsid w:val="00C47C39"/>
    <w:rsid w:val="00C50649"/>
    <w:rsid w:val="00C50E1F"/>
    <w:rsid w:val="00C51C09"/>
    <w:rsid w:val="00C52BB6"/>
    <w:rsid w:val="00C53471"/>
    <w:rsid w:val="00C55143"/>
    <w:rsid w:val="00C5611B"/>
    <w:rsid w:val="00C5695E"/>
    <w:rsid w:val="00C61528"/>
    <w:rsid w:val="00C61AE3"/>
    <w:rsid w:val="00C61B12"/>
    <w:rsid w:val="00C63457"/>
    <w:rsid w:val="00C64964"/>
    <w:rsid w:val="00C6631E"/>
    <w:rsid w:val="00C67473"/>
    <w:rsid w:val="00C67AA4"/>
    <w:rsid w:val="00C70AFC"/>
    <w:rsid w:val="00C7148C"/>
    <w:rsid w:val="00C72192"/>
    <w:rsid w:val="00C732E5"/>
    <w:rsid w:val="00C73D0B"/>
    <w:rsid w:val="00C748E1"/>
    <w:rsid w:val="00C75017"/>
    <w:rsid w:val="00C765B4"/>
    <w:rsid w:val="00C813EA"/>
    <w:rsid w:val="00C81496"/>
    <w:rsid w:val="00C82CE6"/>
    <w:rsid w:val="00C82E22"/>
    <w:rsid w:val="00C85144"/>
    <w:rsid w:val="00C86738"/>
    <w:rsid w:val="00C86A27"/>
    <w:rsid w:val="00C8701A"/>
    <w:rsid w:val="00C908AB"/>
    <w:rsid w:val="00C91517"/>
    <w:rsid w:val="00C929BD"/>
    <w:rsid w:val="00C931A2"/>
    <w:rsid w:val="00CA02E1"/>
    <w:rsid w:val="00CA15DA"/>
    <w:rsid w:val="00CA224E"/>
    <w:rsid w:val="00CA2772"/>
    <w:rsid w:val="00CA41C5"/>
    <w:rsid w:val="00CA42B7"/>
    <w:rsid w:val="00CA4A53"/>
    <w:rsid w:val="00CA51F5"/>
    <w:rsid w:val="00CB218A"/>
    <w:rsid w:val="00CB225A"/>
    <w:rsid w:val="00CB69E6"/>
    <w:rsid w:val="00CB761B"/>
    <w:rsid w:val="00CB7E33"/>
    <w:rsid w:val="00CC13DF"/>
    <w:rsid w:val="00CC1EEE"/>
    <w:rsid w:val="00CC562B"/>
    <w:rsid w:val="00CC6C15"/>
    <w:rsid w:val="00CC7FCF"/>
    <w:rsid w:val="00CD1749"/>
    <w:rsid w:val="00CD2749"/>
    <w:rsid w:val="00CD2A60"/>
    <w:rsid w:val="00CD306F"/>
    <w:rsid w:val="00CD3971"/>
    <w:rsid w:val="00CD3DAB"/>
    <w:rsid w:val="00CE0DF1"/>
    <w:rsid w:val="00CE3786"/>
    <w:rsid w:val="00CE4027"/>
    <w:rsid w:val="00CE47CC"/>
    <w:rsid w:val="00CE68F6"/>
    <w:rsid w:val="00CE7E27"/>
    <w:rsid w:val="00CF22AC"/>
    <w:rsid w:val="00CF2F0A"/>
    <w:rsid w:val="00CF79E8"/>
    <w:rsid w:val="00D015AA"/>
    <w:rsid w:val="00D017A7"/>
    <w:rsid w:val="00D021B8"/>
    <w:rsid w:val="00D03D90"/>
    <w:rsid w:val="00D04024"/>
    <w:rsid w:val="00D043EB"/>
    <w:rsid w:val="00D06705"/>
    <w:rsid w:val="00D06A9B"/>
    <w:rsid w:val="00D0727D"/>
    <w:rsid w:val="00D0750D"/>
    <w:rsid w:val="00D07DD8"/>
    <w:rsid w:val="00D1038F"/>
    <w:rsid w:val="00D10BF7"/>
    <w:rsid w:val="00D10FEB"/>
    <w:rsid w:val="00D140A0"/>
    <w:rsid w:val="00D203D1"/>
    <w:rsid w:val="00D2054F"/>
    <w:rsid w:val="00D2057A"/>
    <w:rsid w:val="00D21D98"/>
    <w:rsid w:val="00D2317F"/>
    <w:rsid w:val="00D231A9"/>
    <w:rsid w:val="00D24391"/>
    <w:rsid w:val="00D2472B"/>
    <w:rsid w:val="00D253DD"/>
    <w:rsid w:val="00D26FFA"/>
    <w:rsid w:val="00D3215D"/>
    <w:rsid w:val="00D33352"/>
    <w:rsid w:val="00D347D9"/>
    <w:rsid w:val="00D35565"/>
    <w:rsid w:val="00D358D3"/>
    <w:rsid w:val="00D36A19"/>
    <w:rsid w:val="00D36E45"/>
    <w:rsid w:val="00D40DCF"/>
    <w:rsid w:val="00D41075"/>
    <w:rsid w:val="00D41C76"/>
    <w:rsid w:val="00D41DD8"/>
    <w:rsid w:val="00D4222C"/>
    <w:rsid w:val="00D425CE"/>
    <w:rsid w:val="00D42F40"/>
    <w:rsid w:val="00D4396C"/>
    <w:rsid w:val="00D4446F"/>
    <w:rsid w:val="00D44B55"/>
    <w:rsid w:val="00D45490"/>
    <w:rsid w:val="00D457B8"/>
    <w:rsid w:val="00D457E1"/>
    <w:rsid w:val="00D47BEB"/>
    <w:rsid w:val="00D50487"/>
    <w:rsid w:val="00D50563"/>
    <w:rsid w:val="00D50F50"/>
    <w:rsid w:val="00D5235F"/>
    <w:rsid w:val="00D52F50"/>
    <w:rsid w:val="00D5306D"/>
    <w:rsid w:val="00D55A98"/>
    <w:rsid w:val="00D56B49"/>
    <w:rsid w:val="00D60218"/>
    <w:rsid w:val="00D6053F"/>
    <w:rsid w:val="00D6073D"/>
    <w:rsid w:val="00D618D6"/>
    <w:rsid w:val="00D62084"/>
    <w:rsid w:val="00D62426"/>
    <w:rsid w:val="00D62804"/>
    <w:rsid w:val="00D707E4"/>
    <w:rsid w:val="00D70F55"/>
    <w:rsid w:val="00D70FA5"/>
    <w:rsid w:val="00D74171"/>
    <w:rsid w:val="00D7474C"/>
    <w:rsid w:val="00D8032C"/>
    <w:rsid w:val="00D80CE2"/>
    <w:rsid w:val="00D80CFC"/>
    <w:rsid w:val="00D83080"/>
    <w:rsid w:val="00D84D5F"/>
    <w:rsid w:val="00D851E2"/>
    <w:rsid w:val="00D87AF9"/>
    <w:rsid w:val="00D87FFA"/>
    <w:rsid w:val="00D90CF0"/>
    <w:rsid w:val="00D91419"/>
    <w:rsid w:val="00D92A09"/>
    <w:rsid w:val="00D92D2A"/>
    <w:rsid w:val="00D92EEC"/>
    <w:rsid w:val="00D93470"/>
    <w:rsid w:val="00D93572"/>
    <w:rsid w:val="00D9395F"/>
    <w:rsid w:val="00D93D55"/>
    <w:rsid w:val="00D941FA"/>
    <w:rsid w:val="00D94B59"/>
    <w:rsid w:val="00D95315"/>
    <w:rsid w:val="00D958AB"/>
    <w:rsid w:val="00D95EAB"/>
    <w:rsid w:val="00DA0B39"/>
    <w:rsid w:val="00DA1203"/>
    <w:rsid w:val="00DA2316"/>
    <w:rsid w:val="00DA25E0"/>
    <w:rsid w:val="00DA2700"/>
    <w:rsid w:val="00DA3001"/>
    <w:rsid w:val="00DA3C5D"/>
    <w:rsid w:val="00DA3EFF"/>
    <w:rsid w:val="00DA7769"/>
    <w:rsid w:val="00DA7C8B"/>
    <w:rsid w:val="00DB08C6"/>
    <w:rsid w:val="00DB1BC2"/>
    <w:rsid w:val="00DB1CBB"/>
    <w:rsid w:val="00DB24DB"/>
    <w:rsid w:val="00DB31ED"/>
    <w:rsid w:val="00DB4124"/>
    <w:rsid w:val="00DB4511"/>
    <w:rsid w:val="00DB4F0C"/>
    <w:rsid w:val="00DC0176"/>
    <w:rsid w:val="00DC043F"/>
    <w:rsid w:val="00DC093E"/>
    <w:rsid w:val="00DC0E29"/>
    <w:rsid w:val="00DC0E7A"/>
    <w:rsid w:val="00DC2A65"/>
    <w:rsid w:val="00DC2A86"/>
    <w:rsid w:val="00DC3631"/>
    <w:rsid w:val="00DC37F7"/>
    <w:rsid w:val="00DC6F54"/>
    <w:rsid w:val="00DD0C00"/>
    <w:rsid w:val="00DD0F8C"/>
    <w:rsid w:val="00DD116C"/>
    <w:rsid w:val="00DD23D5"/>
    <w:rsid w:val="00DD2AF1"/>
    <w:rsid w:val="00DD46DA"/>
    <w:rsid w:val="00DD5DFD"/>
    <w:rsid w:val="00DD6072"/>
    <w:rsid w:val="00DD62BE"/>
    <w:rsid w:val="00DD77D9"/>
    <w:rsid w:val="00DD7CA4"/>
    <w:rsid w:val="00DE167C"/>
    <w:rsid w:val="00DE27B4"/>
    <w:rsid w:val="00DE3B70"/>
    <w:rsid w:val="00DE5813"/>
    <w:rsid w:val="00DF10B1"/>
    <w:rsid w:val="00DF1FDA"/>
    <w:rsid w:val="00DF3599"/>
    <w:rsid w:val="00DF3DD0"/>
    <w:rsid w:val="00DF4D50"/>
    <w:rsid w:val="00DF538C"/>
    <w:rsid w:val="00E021C2"/>
    <w:rsid w:val="00E024A3"/>
    <w:rsid w:val="00E0423D"/>
    <w:rsid w:val="00E04318"/>
    <w:rsid w:val="00E046EA"/>
    <w:rsid w:val="00E057B5"/>
    <w:rsid w:val="00E0581E"/>
    <w:rsid w:val="00E079C5"/>
    <w:rsid w:val="00E07CBD"/>
    <w:rsid w:val="00E07F56"/>
    <w:rsid w:val="00E10A16"/>
    <w:rsid w:val="00E1112F"/>
    <w:rsid w:val="00E1318F"/>
    <w:rsid w:val="00E13B3B"/>
    <w:rsid w:val="00E13E29"/>
    <w:rsid w:val="00E16857"/>
    <w:rsid w:val="00E16C3A"/>
    <w:rsid w:val="00E20651"/>
    <w:rsid w:val="00E2107C"/>
    <w:rsid w:val="00E21E70"/>
    <w:rsid w:val="00E224DE"/>
    <w:rsid w:val="00E23DCE"/>
    <w:rsid w:val="00E24ED3"/>
    <w:rsid w:val="00E2550C"/>
    <w:rsid w:val="00E26363"/>
    <w:rsid w:val="00E272A4"/>
    <w:rsid w:val="00E305F9"/>
    <w:rsid w:val="00E306AC"/>
    <w:rsid w:val="00E34446"/>
    <w:rsid w:val="00E3633B"/>
    <w:rsid w:val="00E36870"/>
    <w:rsid w:val="00E374E1"/>
    <w:rsid w:val="00E417AB"/>
    <w:rsid w:val="00E43D48"/>
    <w:rsid w:val="00E4542D"/>
    <w:rsid w:val="00E45BE0"/>
    <w:rsid w:val="00E46CAD"/>
    <w:rsid w:val="00E47521"/>
    <w:rsid w:val="00E4760C"/>
    <w:rsid w:val="00E507A6"/>
    <w:rsid w:val="00E519DE"/>
    <w:rsid w:val="00E5375C"/>
    <w:rsid w:val="00E561AD"/>
    <w:rsid w:val="00E57FAF"/>
    <w:rsid w:val="00E60BA9"/>
    <w:rsid w:val="00E63510"/>
    <w:rsid w:val="00E635EA"/>
    <w:rsid w:val="00E655E5"/>
    <w:rsid w:val="00E65F4E"/>
    <w:rsid w:val="00E662E0"/>
    <w:rsid w:val="00E66E66"/>
    <w:rsid w:val="00E67D5D"/>
    <w:rsid w:val="00E71C7A"/>
    <w:rsid w:val="00E73119"/>
    <w:rsid w:val="00E73E1E"/>
    <w:rsid w:val="00E767FF"/>
    <w:rsid w:val="00E84C91"/>
    <w:rsid w:val="00E84E60"/>
    <w:rsid w:val="00E85284"/>
    <w:rsid w:val="00E854E1"/>
    <w:rsid w:val="00E8556E"/>
    <w:rsid w:val="00E85AA7"/>
    <w:rsid w:val="00E86B2D"/>
    <w:rsid w:val="00E86F4D"/>
    <w:rsid w:val="00E87D08"/>
    <w:rsid w:val="00E90D0E"/>
    <w:rsid w:val="00E91B2D"/>
    <w:rsid w:val="00E92FCA"/>
    <w:rsid w:val="00E95CAA"/>
    <w:rsid w:val="00EA0A39"/>
    <w:rsid w:val="00EA0EB2"/>
    <w:rsid w:val="00EA236F"/>
    <w:rsid w:val="00EA3023"/>
    <w:rsid w:val="00EA3E49"/>
    <w:rsid w:val="00EA3FC8"/>
    <w:rsid w:val="00EA5B8C"/>
    <w:rsid w:val="00EB0DC9"/>
    <w:rsid w:val="00EB1383"/>
    <w:rsid w:val="00EB252D"/>
    <w:rsid w:val="00EB29FA"/>
    <w:rsid w:val="00EB2CCE"/>
    <w:rsid w:val="00EB385F"/>
    <w:rsid w:val="00EB3E49"/>
    <w:rsid w:val="00EB5929"/>
    <w:rsid w:val="00EB5FC3"/>
    <w:rsid w:val="00EB6DA9"/>
    <w:rsid w:val="00EC1561"/>
    <w:rsid w:val="00EC3880"/>
    <w:rsid w:val="00EC462E"/>
    <w:rsid w:val="00EC6CD8"/>
    <w:rsid w:val="00EC786F"/>
    <w:rsid w:val="00ED1866"/>
    <w:rsid w:val="00ED3134"/>
    <w:rsid w:val="00ED38E2"/>
    <w:rsid w:val="00ED5C44"/>
    <w:rsid w:val="00ED635B"/>
    <w:rsid w:val="00EE742D"/>
    <w:rsid w:val="00EF0A22"/>
    <w:rsid w:val="00EF10B5"/>
    <w:rsid w:val="00EF1267"/>
    <w:rsid w:val="00EF180C"/>
    <w:rsid w:val="00EF3B6B"/>
    <w:rsid w:val="00EF4B43"/>
    <w:rsid w:val="00EF506B"/>
    <w:rsid w:val="00EF5526"/>
    <w:rsid w:val="00EF6750"/>
    <w:rsid w:val="00EF76AE"/>
    <w:rsid w:val="00EF770B"/>
    <w:rsid w:val="00F02836"/>
    <w:rsid w:val="00F02FB5"/>
    <w:rsid w:val="00F0534E"/>
    <w:rsid w:val="00F05C30"/>
    <w:rsid w:val="00F10F1B"/>
    <w:rsid w:val="00F14179"/>
    <w:rsid w:val="00F15242"/>
    <w:rsid w:val="00F15786"/>
    <w:rsid w:val="00F167C5"/>
    <w:rsid w:val="00F20B5A"/>
    <w:rsid w:val="00F21C72"/>
    <w:rsid w:val="00F21F0B"/>
    <w:rsid w:val="00F236AB"/>
    <w:rsid w:val="00F24EA4"/>
    <w:rsid w:val="00F26224"/>
    <w:rsid w:val="00F27087"/>
    <w:rsid w:val="00F2773C"/>
    <w:rsid w:val="00F300B3"/>
    <w:rsid w:val="00F30DB9"/>
    <w:rsid w:val="00F30FB8"/>
    <w:rsid w:val="00F31D68"/>
    <w:rsid w:val="00F33152"/>
    <w:rsid w:val="00F338F2"/>
    <w:rsid w:val="00F349D3"/>
    <w:rsid w:val="00F3533E"/>
    <w:rsid w:val="00F35B84"/>
    <w:rsid w:val="00F36F0F"/>
    <w:rsid w:val="00F402B5"/>
    <w:rsid w:val="00F4072F"/>
    <w:rsid w:val="00F42839"/>
    <w:rsid w:val="00F44CC0"/>
    <w:rsid w:val="00F450BA"/>
    <w:rsid w:val="00F46541"/>
    <w:rsid w:val="00F4684B"/>
    <w:rsid w:val="00F46BE9"/>
    <w:rsid w:val="00F47C3B"/>
    <w:rsid w:val="00F506CA"/>
    <w:rsid w:val="00F53A7A"/>
    <w:rsid w:val="00F54FCD"/>
    <w:rsid w:val="00F5785C"/>
    <w:rsid w:val="00F65E3C"/>
    <w:rsid w:val="00F67076"/>
    <w:rsid w:val="00F677FA"/>
    <w:rsid w:val="00F7115A"/>
    <w:rsid w:val="00F717AA"/>
    <w:rsid w:val="00F72714"/>
    <w:rsid w:val="00F744C3"/>
    <w:rsid w:val="00F75EE2"/>
    <w:rsid w:val="00F75F69"/>
    <w:rsid w:val="00F76014"/>
    <w:rsid w:val="00F77492"/>
    <w:rsid w:val="00F77CA2"/>
    <w:rsid w:val="00F802D3"/>
    <w:rsid w:val="00F80F94"/>
    <w:rsid w:val="00F81BA2"/>
    <w:rsid w:val="00F823A4"/>
    <w:rsid w:val="00F8390A"/>
    <w:rsid w:val="00F8412F"/>
    <w:rsid w:val="00F84791"/>
    <w:rsid w:val="00F85995"/>
    <w:rsid w:val="00F85FC5"/>
    <w:rsid w:val="00F86C22"/>
    <w:rsid w:val="00F90CB3"/>
    <w:rsid w:val="00F912A2"/>
    <w:rsid w:val="00F913A3"/>
    <w:rsid w:val="00F925C3"/>
    <w:rsid w:val="00F92EF6"/>
    <w:rsid w:val="00F93987"/>
    <w:rsid w:val="00F93CB1"/>
    <w:rsid w:val="00FA0109"/>
    <w:rsid w:val="00FA0386"/>
    <w:rsid w:val="00FA458B"/>
    <w:rsid w:val="00FA5EC5"/>
    <w:rsid w:val="00FA7016"/>
    <w:rsid w:val="00FA7174"/>
    <w:rsid w:val="00FA793D"/>
    <w:rsid w:val="00FB020E"/>
    <w:rsid w:val="00FB02F4"/>
    <w:rsid w:val="00FB0F17"/>
    <w:rsid w:val="00FB4B9D"/>
    <w:rsid w:val="00FB50ED"/>
    <w:rsid w:val="00FB6E18"/>
    <w:rsid w:val="00FC144B"/>
    <w:rsid w:val="00FC2169"/>
    <w:rsid w:val="00FC28E2"/>
    <w:rsid w:val="00FC3BF6"/>
    <w:rsid w:val="00FC3D22"/>
    <w:rsid w:val="00FC6FE1"/>
    <w:rsid w:val="00FD0C3D"/>
    <w:rsid w:val="00FD2F6B"/>
    <w:rsid w:val="00FE064A"/>
    <w:rsid w:val="00FE0B55"/>
    <w:rsid w:val="00FE1E98"/>
    <w:rsid w:val="00FE2452"/>
    <w:rsid w:val="00FE5469"/>
    <w:rsid w:val="00FE66C2"/>
    <w:rsid w:val="00FE684A"/>
    <w:rsid w:val="00FE6F23"/>
    <w:rsid w:val="00FF0F8C"/>
    <w:rsid w:val="00FF408B"/>
    <w:rsid w:val="00FF43E1"/>
    <w:rsid w:val="01193F1F"/>
    <w:rsid w:val="013A4168"/>
    <w:rsid w:val="01977D78"/>
    <w:rsid w:val="01C66A79"/>
    <w:rsid w:val="01F50B3E"/>
    <w:rsid w:val="03265180"/>
    <w:rsid w:val="03430854"/>
    <w:rsid w:val="03706FE3"/>
    <w:rsid w:val="037412BB"/>
    <w:rsid w:val="039F5FA6"/>
    <w:rsid w:val="045B4210"/>
    <w:rsid w:val="05911A20"/>
    <w:rsid w:val="05AB5967"/>
    <w:rsid w:val="074B6D90"/>
    <w:rsid w:val="079C6EB3"/>
    <w:rsid w:val="07EF64B6"/>
    <w:rsid w:val="07FD446B"/>
    <w:rsid w:val="08766407"/>
    <w:rsid w:val="08BD1986"/>
    <w:rsid w:val="0911211D"/>
    <w:rsid w:val="09305ADA"/>
    <w:rsid w:val="09D26061"/>
    <w:rsid w:val="0A011910"/>
    <w:rsid w:val="0A793353"/>
    <w:rsid w:val="0ABF426A"/>
    <w:rsid w:val="0ADE5666"/>
    <w:rsid w:val="0B621B3C"/>
    <w:rsid w:val="0B766AA4"/>
    <w:rsid w:val="0B847567"/>
    <w:rsid w:val="0C0C1EE9"/>
    <w:rsid w:val="0DA32C6D"/>
    <w:rsid w:val="0E8013B7"/>
    <w:rsid w:val="0EA462F8"/>
    <w:rsid w:val="0EC71F0D"/>
    <w:rsid w:val="0F297DEE"/>
    <w:rsid w:val="0F727591"/>
    <w:rsid w:val="0F985657"/>
    <w:rsid w:val="0FF71E3C"/>
    <w:rsid w:val="0FFF04C0"/>
    <w:rsid w:val="104B26C9"/>
    <w:rsid w:val="10D604C6"/>
    <w:rsid w:val="10EA53C4"/>
    <w:rsid w:val="11B31A31"/>
    <w:rsid w:val="11B515E0"/>
    <w:rsid w:val="11F50C5F"/>
    <w:rsid w:val="12C0739F"/>
    <w:rsid w:val="12D14C81"/>
    <w:rsid w:val="12F24C9D"/>
    <w:rsid w:val="13A53267"/>
    <w:rsid w:val="13F970D2"/>
    <w:rsid w:val="14213E6D"/>
    <w:rsid w:val="14A147C7"/>
    <w:rsid w:val="14AA4136"/>
    <w:rsid w:val="15830B37"/>
    <w:rsid w:val="15887EFF"/>
    <w:rsid w:val="159F14ED"/>
    <w:rsid w:val="15E24476"/>
    <w:rsid w:val="163A420B"/>
    <w:rsid w:val="164107F7"/>
    <w:rsid w:val="164C3DFF"/>
    <w:rsid w:val="16555AE7"/>
    <w:rsid w:val="167E1239"/>
    <w:rsid w:val="17211D83"/>
    <w:rsid w:val="17264C2E"/>
    <w:rsid w:val="182E17B5"/>
    <w:rsid w:val="18BA5E1D"/>
    <w:rsid w:val="19413B26"/>
    <w:rsid w:val="19816855"/>
    <w:rsid w:val="19AD1CFF"/>
    <w:rsid w:val="1A5A6F3E"/>
    <w:rsid w:val="1A707743"/>
    <w:rsid w:val="1A9B129F"/>
    <w:rsid w:val="1AF52DE0"/>
    <w:rsid w:val="1BA86ADE"/>
    <w:rsid w:val="1BB2263E"/>
    <w:rsid w:val="1C1D13BE"/>
    <w:rsid w:val="1C210CC5"/>
    <w:rsid w:val="1C6D3688"/>
    <w:rsid w:val="1CA4721D"/>
    <w:rsid w:val="1CC63D0A"/>
    <w:rsid w:val="1D9D3ED0"/>
    <w:rsid w:val="1DA219D3"/>
    <w:rsid w:val="1DC2081A"/>
    <w:rsid w:val="1DD94266"/>
    <w:rsid w:val="1F4202D5"/>
    <w:rsid w:val="1F9D0947"/>
    <w:rsid w:val="1FFB29C6"/>
    <w:rsid w:val="20BA495F"/>
    <w:rsid w:val="20F052A1"/>
    <w:rsid w:val="22AF3620"/>
    <w:rsid w:val="22E70AD4"/>
    <w:rsid w:val="23C76D98"/>
    <w:rsid w:val="24533695"/>
    <w:rsid w:val="24CF260D"/>
    <w:rsid w:val="24F1508D"/>
    <w:rsid w:val="250174C1"/>
    <w:rsid w:val="2527505B"/>
    <w:rsid w:val="252F5CBE"/>
    <w:rsid w:val="254174BE"/>
    <w:rsid w:val="25843179"/>
    <w:rsid w:val="265B36D9"/>
    <w:rsid w:val="266F634F"/>
    <w:rsid w:val="267A3989"/>
    <w:rsid w:val="276D4FC0"/>
    <w:rsid w:val="27712E33"/>
    <w:rsid w:val="27C14351"/>
    <w:rsid w:val="27F03B88"/>
    <w:rsid w:val="28731566"/>
    <w:rsid w:val="28956780"/>
    <w:rsid w:val="28F60875"/>
    <w:rsid w:val="291059EA"/>
    <w:rsid w:val="2A3C59A2"/>
    <w:rsid w:val="2A841716"/>
    <w:rsid w:val="2BBF12EC"/>
    <w:rsid w:val="2BC649D9"/>
    <w:rsid w:val="2C300C99"/>
    <w:rsid w:val="2D883E36"/>
    <w:rsid w:val="2F335FFD"/>
    <w:rsid w:val="2FD22068"/>
    <w:rsid w:val="2FE43C2D"/>
    <w:rsid w:val="2FF615A9"/>
    <w:rsid w:val="300A2A41"/>
    <w:rsid w:val="30576C24"/>
    <w:rsid w:val="310435D7"/>
    <w:rsid w:val="31931576"/>
    <w:rsid w:val="320E382B"/>
    <w:rsid w:val="33A20D45"/>
    <w:rsid w:val="3420206B"/>
    <w:rsid w:val="349A5902"/>
    <w:rsid w:val="34EE70D2"/>
    <w:rsid w:val="3515160D"/>
    <w:rsid w:val="356831C6"/>
    <w:rsid w:val="36316394"/>
    <w:rsid w:val="37857DB8"/>
    <w:rsid w:val="37F96192"/>
    <w:rsid w:val="387A3968"/>
    <w:rsid w:val="38945432"/>
    <w:rsid w:val="391B3287"/>
    <w:rsid w:val="39506224"/>
    <w:rsid w:val="39947C24"/>
    <w:rsid w:val="39F33B7B"/>
    <w:rsid w:val="3A43428E"/>
    <w:rsid w:val="3A9E7EEB"/>
    <w:rsid w:val="3AE17DB9"/>
    <w:rsid w:val="3BE21D8B"/>
    <w:rsid w:val="3BFB3225"/>
    <w:rsid w:val="3C7D00D8"/>
    <w:rsid w:val="3CA06C0C"/>
    <w:rsid w:val="3CB80649"/>
    <w:rsid w:val="3CC80A7A"/>
    <w:rsid w:val="3D281F5A"/>
    <w:rsid w:val="3D484312"/>
    <w:rsid w:val="3D9714A2"/>
    <w:rsid w:val="3EA25851"/>
    <w:rsid w:val="3F6C3757"/>
    <w:rsid w:val="405D6A10"/>
    <w:rsid w:val="40B934EB"/>
    <w:rsid w:val="40D65E6D"/>
    <w:rsid w:val="41DA6594"/>
    <w:rsid w:val="43AE09CA"/>
    <w:rsid w:val="43AE4E0D"/>
    <w:rsid w:val="43D51888"/>
    <w:rsid w:val="444C1A75"/>
    <w:rsid w:val="44953938"/>
    <w:rsid w:val="44A3526F"/>
    <w:rsid w:val="44B032F4"/>
    <w:rsid w:val="457D25F7"/>
    <w:rsid w:val="458B0897"/>
    <w:rsid w:val="46125401"/>
    <w:rsid w:val="46683856"/>
    <w:rsid w:val="466F79A1"/>
    <w:rsid w:val="468341CD"/>
    <w:rsid w:val="469E060D"/>
    <w:rsid w:val="472C2589"/>
    <w:rsid w:val="478F14DD"/>
    <w:rsid w:val="48DD7295"/>
    <w:rsid w:val="49390E63"/>
    <w:rsid w:val="49D91326"/>
    <w:rsid w:val="4A760AEB"/>
    <w:rsid w:val="4A777B73"/>
    <w:rsid w:val="4AC250B5"/>
    <w:rsid w:val="4ACA13D6"/>
    <w:rsid w:val="4AF541A2"/>
    <w:rsid w:val="4B930809"/>
    <w:rsid w:val="4BAE7318"/>
    <w:rsid w:val="4BFB49C8"/>
    <w:rsid w:val="4C064018"/>
    <w:rsid w:val="4C4D1B19"/>
    <w:rsid w:val="4C6C2FF7"/>
    <w:rsid w:val="4D090374"/>
    <w:rsid w:val="4D992743"/>
    <w:rsid w:val="4E5D6421"/>
    <w:rsid w:val="4E740A62"/>
    <w:rsid w:val="4E760913"/>
    <w:rsid w:val="4E9A0D78"/>
    <w:rsid w:val="4EA87FBA"/>
    <w:rsid w:val="4EBD2D0D"/>
    <w:rsid w:val="4F3162CA"/>
    <w:rsid w:val="4F5145AF"/>
    <w:rsid w:val="5039786D"/>
    <w:rsid w:val="503A709C"/>
    <w:rsid w:val="5043085C"/>
    <w:rsid w:val="50D95873"/>
    <w:rsid w:val="51646257"/>
    <w:rsid w:val="519A049A"/>
    <w:rsid w:val="526102AF"/>
    <w:rsid w:val="528444DA"/>
    <w:rsid w:val="529E198B"/>
    <w:rsid w:val="53634D55"/>
    <w:rsid w:val="537745D5"/>
    <w:rsid w:val="541D74A6"/>
    <w:rsid w:val="543B5D87"/>
    <w:rsid w:val="543F64EF"/>
    <w:rsid w:val="54425230"/>
    <w:rsid w:val="552306F6"/>
    <w:rsid w:val="55805F3E"/>
    <w:rsid w:val="55810DCC"/>
    <w:rsid w:val="55D46FB4"/>
    <w:rsid w:val="55FBF534"/>
    <w:rsid w:val="5610775B"/>
    <w:rsid w:val="56C24012"/>
    <w:rsid w:val="56E352D5"/>
    <w:rsid w:val="56F7501E"/>
    <w:rsid w:val="57E435FE"/>
    <w:rsid w:val="582D0655"/>
    <w:rsid w:val="584A2FE9"/>
    <w:rsid w:val="588D4BFA"/>
    <w:rsid w:val="58E82AC2"/>
    <w:rsid w:val="59036C6A"/>
    <w:rsid w:val="5911722F"/>
    <w:rsid w:val="5951205C"/>
    <w:rsid w:val="599B0974"/>
    <w:rsid w:val="59D079E8"/>
    <w:rsid w:val="59D40847"/>
    <w:rsid w:val="5A362E3A"/>
    <w:rsid w:val="5AE37F25"/>
    <w:rsid w:val="5AF7D1E1"/>
    <w:rsid w:val="5B610959"/>
    <w:rsid w:val="5B8D2D21"/>
    <w:rsid w:val="5BCD6E31"/>
    <w:rsid w:val="5C190272"/>
    <w:rsid w:val="5C7A5AAE"/>
    <w:rsid w:val="5CB23D47"/>
    <w:rsid w:val="5E674B42"/>
    <w:rsid w:val="5F17346F"/>
    <w:rsid w:val="5F205D2A"/>
    <w:rsid w:val="5FAF09C4"/>
    <w:rsid w:val="5FCB0682"/>
    <w:rsid w:val="5FEF0025"/>
    <w:rsid w:val="60761E68"/>
    <w:rsid w:val="608C4642"/>
    <w:rsid w:val="60AA02F0"/>
    <w:rsid w:val="60C46E36"/>
    <w:rsid w:val="60E65A85"/>
    <w:rsid w:val="61135EB8"/>
    <w:rsid w:val="618808CC"/>
    <w:rsid w:val="61FE5B5C"/>
    <w:rsid w:val="62083F6C"/>
    <w:rsid w:val="621E4B15"/>
    <w:rsid w:val="626A7694"/>
    <w:rsid w:val="62795572"/>
    <w:rsid w:val="63724D2E"/>
    <w:rsid w:val="63A864ED"/>
    <w:rsid w:val="63F94CDF"/>
    <w:rsid w:val="64174882"/>
    <w:rsid w:val="64DD6417"/>
    <w:rsid w:val="657C0A3E"/>
    <w:rsid w:val="66004745"/>
    <w:rsid w:val="666047BB"/>
    <w:rsid w:val="66FB7795"/>
    <w:rsid w:val="671A3D37"/>
    <w:rsid w:val="698A17CC"/>
    <w:rsid w:val="6A567F20"/>
    <w:rsid w:val="6A641996"/>
    <w:rsid w:val="6B6243E1"/>
    <w:rsid w:val="6B92518A"/>
    <w:rsid w:val="6BCA27C2"/>
    <w:rsid w:val="6C1F1BB5"/>
    <w:rsid w:val="6C6652A3"/>
    <w:rsid w:val="6CD97953"/>
    <w:rsid w:val="6D156B14"/>
    <w:rsid w:val="6D5C2995"/>
    <w:rsid w:val="6DA9153D"/>
    <w:rsid w:val="6DB63E53"/>
    <w:rsid w:val="6DE05374"/>
    <w:rsid w:val="6E7B6E4B"/>
    <w:rsid w:val="6ED30FD7"/>
    <w:rsid w:val="70D077C0"/>
    <w:rsid w:val="70E64818"/>
    <w:rsid w:val="70ED6C30"/>
    <w:rsid w:val="718F5750"/>
    <w:rsid w:val="727D78FD"/>
    <w:rsid w:val="72EC5558"/>
    <w:rsid w:val="72EF2473"/>
    <w:rsid w:val="731A35FD"/>
    <w:rsid w:val="73CC655F"/>
    <w:rsid w:val="748A3CCF"/>
    <w:rsid w:val="752718BC"/>
    <w:rsid w:val="75957445"/>
    <w:rsid w:val="75973F1C"/>
    <w:rsid w:val="759926FC"/>
    <w:rsid w:val="75AE3B86"/>
    <w:rsid w:val="75D01AE1"/>
    <w:rsid w:val="768C7E47"/>
    <w:rsid w:val="76F595FF"/>
    <w:rsid w:val="77130569"/>
    <w:rsid w:val="77524363"/>
    <w:rsid w:val="77B917B5"/>
    <w:rsid w:val="77FC2DAB"/>
    <w:rsid w:val="786739B5"/>
    <w:rsid w:val="78703975"/>
    <w:rsid w:val="78AA6CAB"/>
    <w:rsid w:val="78E7623F"/>
    <w:rsid w:val="78FC05C3"/>
    <w:rsid w:val="7936485A"/>
    <w:rsid w:val="7936662D"/>
    <w:rsid w:val="79BFE917"/>
    <w:rsid w:val="7B1D5B9E"/>
    <w:rsid w:val="7B606B27"/>
    <w:rsid w:val="7B8E4662"/>
    <w:rsid w:val="7BE420FD"/>
    <w:rsid w:val="7BECEE42"/>
    <w:rsid w:val="7BF0655B"/>
    <w:rsid w:val="7BFA1CF7"/>
    <w:rsid w:val="7D0D296B"/>
    <w:rsid w:val="7D240F5F"/>
    <w:rsid w:val="7D47BCE1"/>
    <w:rsid w:val="7D4E0B54"/>
    <w:rsid w:val="7D503E78"/>
    <w:rsid w:val="7E0160D4"/>
    <w:rsid w:val="7ED542D0"/>
    <w:rsid w:val="7EE6106F"/>
    <w:rsid w:val="7EFB200E"/>
    <w:rsid w:val="7F45445C"/>
    <w:rsid w:val="7F6C669F"/>
    <w:rsid w:val="7FBD1882"/>
    <w:rsid w:val="9AFDCC87"/>
    <w:rsid w:val="ADAB7228"/>
    <w:rsid w:val="B7F2B903"/>
    <w:rsid w:val="B94DEB93"/>
    <w:rsid w:val="BFFC014E"/>
    <w:rsid w:val="DF5F3362"/>
    <w:rsid w:val="F3B20658"/>
    <w:rsid w:val="FA4FE3C8"/>
    <w:rsid w:val="FB67C1D8"/>
    <w:rsid w:val="FEBFA667"/>
    <w:rsid w:val="FF4EEC4B"/>
    <w:rsid w:val="FF6B7954"/>
  </w:rsids>
  <m:mathPr>
    <m:mathFont m:val="Cambria Math"/>
    <m:brkBin m:val="before"/>
    <m:brkBinSub m:val="--"/>
    <m:smallFrac m:val="1"/>
    <m:dispDef/>
    <m:lMargin m:val="0"/>
    <m:rMargin m:val="0"/>
    <m:defJc m:val="centerGroup"/>
    <m:wrapIndent m:val="1440"/>
    <m:intLim m:val="subSup"/>
    <m:naryLim m:val="undOvr"/>
  </m:mathPr>
  <w:themeFontLang w:val="en-US" w:eastAsia="zh-CN" w:bidi="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99"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480" w:firstLineChars="200"/>
      <w:jc w:val="both"/>
    </w:pPr>
    <w:rPr>
      <w:rFonts w:ascii="宋体" w:hAnsi="宋体" w:eastAsia="宋体" w:cs="Times New Roman"/>
      <w:kern w:val="2"/>
      <w:sz w:val="24"/>
      <w:szCs w:val="24"/>
      <w:lang w:val="en-US" w:eastAsia="zh-CN" w:bidi="ar-SA"/>
    </w:rPr>
  </w:style>
  <w:style w:type="paragraph" w:styleId="4">
    <w:name w:val="heading 1"/>
    <w:basedOn w:val="1"/>
    <w:next w:val="1"/>
    <w:link w:val="77"/>
    <w:qFormat/>
    <w:uiPriority w:val="0"/>
    <w:pPr>
      <w:keepNext/>
      <w:keepLines/>
      <w:numPr>
        <w:ilvl w:val="0"/>
        <w:numId w:val="1"/>
      </w:numPr>
      <w:spacing w:before="120" w:after="120"/>
      <w:ind w:firstLine="0" w:firstLineChars="0"/>
      <w:outlineLvl w:val="0"/>
    </w:pPr>
    <w:rPr>
      <w:rFonts w:eastAsia="黑体"/>
      <w:b/>
      <w:bCs/>
      <w:kern w:val="44"/>
      <w:sz w:val="32"/>
      <w:szCs w:val="28"/>
    </w:rPr>
  </w:style>
  <w:style w:type="paragraph" w:styleId="5">
    <w:name w:val="heading 2"/>
    <w:basedOn w:val="1"/>
    <w:next w:val="1"/>
    <w:link w:val="43"/>
    <w:qFormat/>
    <w:uiPriority w:val="9"/>
    <w:pPr>
      <w:keepNext/>
      <w:keepLines/>
      <w:numPr>
        <w:ilvl w:val="1"/>
        <w:numId w:val="1"/>
      </w:numPr>
      <w:spacing w:before="120" w:after="120"/>
      <w:ind w:left="1135" w:firstLine="0" w:firstLineChars="0"/>
      <w:outlineLvl w:val="1"/>
    </w:pPr>
    <w:rPr>
      <w:b/>
      <w:bCs/>
      <w:sz w:val="30"/>
      <w:szCs w:val="32"/>
    </w:rPr>
  </w:style>
  <w:style w:type="paragraph" w:styleId="6">
    <w:name w:val="heading 3"/>
    <w:basedOn w:val="1"/>
    <w:next w:val="1"/>
    <w:link w:val="83"/>
    <w:qFormat/>
    <w:uiPriority w:val="0"/>
    <w:pPr>
      <w:keepNext/>
      <w:keepLines/>
      <w:numPr>
        <w:ilvl w:val="2"/>
        <w:numId w:val="1"/>
      </w:numPr>
      <w:spacing w:before="120" w:after="120"/>
      <w:ind w:firstLine="0" w:firstLineChars="0"/>
      <w:outlineLvl w:val="2"/>
    </w:pPr>
    <w:rPr>
      <w:b/>
      <w:bCs/>
      <w:sz w:val="28"/>
      <w:szCs w:val="28"/>
    </w:rPr>
  </w:style>
  <w:style w:type="paragraph" w:styleId="7">
    <w:name w:val="heading 4"/>
    <w:basedOn w:val="1"/>
    <w:next w:val="1"/>
    <w:link w:val="60"/>
    <w:qFormat/>
    <w:uiPriority w:val="0"/>
    <w:pPr>
      <w:keepNext/>
      <w:keepLines/>
      <w:numPr>
        <w:ilvl w:val="3"/>
        <w:numId w:val="1"/>
      </w:numPr>
      <w:spacing w:before="120" w:after="120"/>
      <w:ind w:left="851" w:firstLine="0" w:firstLineChars="0"/>
      <w:outlineLvl w:val="3"/>
    </w:pPr>
    <w:rPr>
      <w:b/>
      <w:bCs/>
      <w:sz w:val="30"/>
      <w:szCs w:val="30"/>
    </w:rPr>
  </w:style>
  <w:style w:type="paragraph" w:styleId="8">
    <w:name w:val="heading 5"/>
    <w:basedOn w:val="1"/>
    <w:next w:val="1"/>
    <w:link w:val="88"/>
    <w:qFormat/>
    <w:uiPriority w:val="0"/>
    <w:pPr>
      <w:keepNext/>
      <w:keepLines/>
      <w:numPr>
        <w:ilvl w:val="4"/>
        <w:numId w:val="1"/>
      </w:numPr>
      <w:spacing w:before="120" w:after="120"/>
      <w:ind w:left="0" w:firstLine="0" w:firstLineChars="0"/>
      <w:outlineLvl w:val="4"/>
    </w:pPr>
    <w:rPr>
      <w:b/>
      <w:bCs/>
      <w:szCs w:val="28"/>
    </w:rPr>
  </w:style>
  <w:style w:type="paragraph" w:styleId="9">
    <w:name w:val="heading 6"/>
    <w:basedOn w:val="1"/>
    <w:next w:val="1"/>
    <w:link w:val="100"/>
    <w:qFormat/>
    <w:uiPriority w:val="0"/>
    <w:pPr>
      <w:keepNext/>
      <w:keepLines/>
      <w:numPr>
        <w:ilvl w:val="5"/>
        <w:numId w:val="1"/>
      </w:numPr>
      <w:spacing w:before="120" w:after="120"/>
      <w:ind w:firstLine="0" w:firstLineChars="0"/>
      <w:outlineLvl w:val="5"/>
    </w:pPr>
    <w:rPr>
      <w:rFonts w:ascii="Cambria" w:hAnsi="Cambria"/>
      <w:b/>
      <w:bCs/>
    </w:rPr>
  </w:style>
  <w:style w:type="paragraph" w:styleId="10">
    <w:name w:val="heading 7"/>
    <w:basedOn w:val="1"/>
    <w:next w:val="1"/>
    <w:link w:val="74"/>
    <w:qFormat/>
    <w:uiPriority w:val="9"/>
    <w:pPr>
      <w:keepNext/>
      <w:keepLines/>
      <w:spacing w:before="240" w:after="64" w:line="319" w:lineRule="auto"/>
      <w:ind w:firstLine="0" w:firstLineChars="0"/>
      <w:outlineLvl w:val="6"/>
    </w:pPr>
    <w:rPr>
      <w:rFonts w:ascii="Times New Roman" w:hAnsi="Times New Roman"/>
      <w:b/>
      <w:bCs/>
      <w:sz w:val="21"/>
    </w:rPr>
  </w:style>
  <w:style w:type="paragraph" w:styleId="11">
    <w:name w:val="heading 8"/>
    <w:basedOn w:val="1"/>
    <w:next w:val="1"/>
    <w:link w:val="99"/>
    <w:qFormat/>
    <w:uiPriority w:val="9"/>
    <w:pPr>
      <w:keepNext/>
      <w:keepLines/>
      <w:spacing w:before="240" w:after="64" w:line="319" w:lineRule="auto"/>
      <w:ind w:firstLine="0" w:firstLineChars="0"/>
      <w:outlineLvl w:val="7"/>
    </w:pPr>
    <w:rPr>
      <w:rFonts w:ascii="Cambria" w:hAnsi="Cambria"/>
      <w:sz w:val="21"/>
    </w:rPr>
  </w:style>
  <w:style w:type="paragraph" w:styleId="12">
    <w:name w:val="heading 9"/>
    <w:basedOn w:val="1"/>
    <w:next w:val="1"/>
    <w:link w:val="51"/>
    <w:qFormat/>
    <w:uiPriority w:val="9"/>
    <w:pPr>
      <w:keepNext/>
      <w:keepLines/>
      <w:spacing w:before="240" w:after="64" w:line="319" w:lineRule="auto"/>
      <w:ind w:firstLine="0" w:firstLineChars="0"/>
      <w:outlineLvl w:val="8"/>
    </w:pPr>
    <w:rPr>
      <w:rFonts w:ascii="Cambria" w:hAnsi="Cambria"/>
      <w:sz w:val="21"/>
      <w:szCs w:val="21"/>
    </w:rPr>
  </w:style>
  <w:style w:type="character" w:default="1" w:styleId="38">
    <w:name w:val="Default Paragraph Font"/>
    <w:semiHidden/>
    <w:unhideWhenUsed/>
    <w:qFormat/>
    <w:uiPriority w:val="1"/>
  </w:style>
  <w:style w:type="table" w:default="1" w:styleId="36">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2"/>
    <w:link w:val="61"/>
    <w:unhideWhenUsed/>
    <w:qFormat/>
    <w:uiPriority w:val="0"/>
    <w:pPr>
      <w:spacing w:after="120" w:line="240" w:lineRule="auto"/>
      <w:ind w:firstLine="0" w:firstLineChars="0"/>
    </w:pPr>
    <w:rPr>
      <w:rFonts w:ascii="Times New Roman" w:hAnsi="Times New Roman"/>
      <w:sz w:val="21"/>
    </w:rPr>
  </w:style>
  <w:style w:type="paragraph" w:styleId="13">
    <w:name w:val="toc 7"/>
    <w:basedOn w:val="1"/>
    <w:next w:val="1"/>
    <w:unhideWhenUsed/>
    <w:qFormat/>
    <w:uiPriority w:val="39"/>
    <w:pPr>
      <w:ind w:left="2520" w:leftChars="1200"/>
    </w:pPr>
    <w:rPr>
      <w:rFonts w:ascii="等线" w:hAnsi="等线" w:eastAsia="等线"/>
      <w:szCs w:val="22"/>
    </w:rPr>
  </w:style>
  <w:style w:type="paragraph" w:styleId="14">
    <w:name w:val="Normal Indent"/>
    <w:basedOn w:val="1"/>
    <w:unhideWhenUsed/>
    <w:qFormat/>
    <w:uiPriority w:val="99"/>
    <w:pPr>
      <w:spacing w:line="240" w:lineRule="auto"/>
      <w:ind w:firstLine="420"/>
    </w:pPr>
    <w:rPr>
      <w:rFonts w:ascii="Calibri" w:hAnsi="Calibri"/>
      <w:sz w:val="21"/>
    </w:rPr>
  </w:style>
  <w:style w:type="paragraph" w:styleId="15">
    <w:name w:val="caption"/>
    <w:basedOn w:val="1"/>
    <w:next w:val="1"/>
    <w:link w:val="56"/>
    <w:qFormat/>
    <w:uiPriority w:val="0"/>
    <w:pPr>
      <w:spacing w:afterLines="50"/>
      <w:ind w:firstLine="200"/>
    </w:pPr>
    <w:rPr>
      <w:rFonts w:ascii="Arial" w:hAnsi="Arial" w:eastAsia="黑体"/>
      <w:sz w:val="20"/>
      <w:szCs w:val="20"/>
    </w:rPr>
  </w:style>
  <w:style w:type="paragraph" w:styleId="16">
    <w:name w:val="Document Map"/>
    <w:basedOn w:val="1"/>
    <w:link w:val="92"/>
    <w:qFormat/>
    <w:uiPriority w:val="0"/>
    <w:rPr>
      <w:rFonts w:hAnsi="Times New Roman"/>
      <w:sz w:val="18"/>
      <w:szCs w:val="18"/>
    </w:rPr>
  </w:style>
  <w:style w:type="paragraph" w:styleId="17">
    <w:name w:val="annotation text"/>
    <w:basedOn w:val="1"/>
    <w:link w:val="48"/>
    <w:qFormat/>
    <w:uiPriority w:val="99"/>
    <w:pPr>
      <w:ind w:firstLine="560"/>
      <w:jc w:val="left"/>
    </w:pPr>
    <w:rPr>
      <w:rFonts w:ascii="Times New Roman" w:hAnsi="Times New Roman" w:eastAsia="仿宋"/>
      <w:sz w:val="28"/>
    </w:rPr>
  </w:style>
  <w:style w:type="paragraph" w:styleId="18">
    <w:name w:val="Body Text Indent"/>
    <w:basedOn w:val="1"/>
    <w:link w:val="87"/>
    <w:qFormat/>
    <w:uiPriority w:val="0"/>
    <w:pPr>
      <w:spacing w:after="120"/>
      <w:ind w:firstLine="200"/>
    </w:pPr>
    <w:rPr>
      <w:rFonts w:ascii="Times New Roman" w:hAnsi="Times New Roman"/>
      <w:sz w:val="21"/>
      <w:szCs w:val="20"/>
    </w:rPr>
  </w:style>
  <w:style w:type="paragraph" w:styleId="19">
    <w:name w:val="toc 5"/>
    <w:basedOn w:val="1"/>
    <w:next w:val="1"/>
    <w:unhideWhenUsed/>
    <w:qFormat/>
    <w:uiPriority w:val="39"/>
    <w:pPr>
      <w:ind w:left="1680" w:leftChars="800"/>
    </w:pPr>
    <w:rPr>
      <w:rFonts w:ascii="等线" w:hAnsi="等线" w:eastAsia="等线"/>
      <w:szCs w:val="22"/>
    </w:rPr>
  </w:style>
  <w:style w:type="paragraph" w:styleId="20">
    <w:name w:val="toc 3"/>
    <w:basedOn w:val="1"/>
    <w:next w:val="1"/>
    <w:qFormat/>
    <w:uiPriority w:val="39"/>
    <w:pPr>
      <w:tabs>
        <w:tab w:val="right" w:leader="dot" w:pos="8302"/>
      </w:tabs>
      <w:ind w:left="840" w:leftChars="400"/>
    </w:pPr>
  </w:style>
  <w:style w:type="paragraph" w:styleId="21">
    <w:name w:val="Plain Text"/>
    <w:basedOn w:val="1"/>
    <w:link w:val="68"/>
    <w:qFormat/>
    <w:uiPriority w:val="0"/>
    <w:pPr>
      <w:spacing w:line="240" w:lineRule="auto"/>
      <w:ind w:firstLine="0" w:firstLineChars="0"/>
    </w:pPr>
    <w:rPr>
      <w:rFonts w:hAnsi="Courier New"/>
      <w:sz w:val="21"/>
      <w:szCs w:val="20"/>
    </w:rPr>
  </w:style>
  <w:style w:type="paragraph" w:styleId="22">
    <w:name w:val="toc 8"/>
    <w:basedOn w:val="1"/>
    <w:next w:val="1"/>
    <w:unhideWhenUsed/>
    <w:qFormat/>
    <w:uiPriority w:val="39"/>
    <w:pPr>
      <w:ind w:left="2940" w:leftChars="1400"/>
    </w:pPr>
    <w:rPr>
      <w:rFonts w:ascii="等线" w:hAnsi="等线" w:eastAsia="等线"/>
      <w:szCs w:val="22"/>
    </w:rPr>
  </w:style>
  <w:style w:type="paragraph" w:styleId="23">
    <w:name w:val="Date"/>
    <w:basedOn w:val="1"/>
    <w:next w:val="1"/>
    <w:link w:val="50"/>
    <w:qFormat/>
    <w:uiPriority w:val="0"/>
    <w:pPr>
      <w:ind w:left="100" w:leftChars="2500"/>
    </w:pPr>
    <w:rPr>
      <w:rFonts w:ascii="Times New Roman" w:hAnsi="Times New Roman"/>
      <w:sz w:val="21"/>
    </w:rPr>
  </w:style>
  <w:style w:type="paragraph" w:styleId="24">
    <w:name w:val="Balloon Text"/>
    <w:basedOn w:val="1"/>
    <w:link w:val="97"/>
    <w:qFormat/>
    <w:uiPriority w:val="0"/>
    <w:rPr>
      <w:rFonts w:ascii="Times New Roman" w:hAnsi="Times New Roman"/>
      <w:sz w:val="18"/>
      <w:szCs w:val="18"/>
    </w:rPr>
  </w:style>
  <w:style w:type="paragraph" w:styleId="25">
    <w:name w:val="footer"/>
    <w:basedOn w:val="1"/>
    <w:link w:val="90"/>
    <w:qFormat/>
    <w:uiPriority w:val="99"/>
    <w:pPr>
      <w:tabs>
        <w:tab w:val="center" w:pos="4153"/>
        <w:tab w:val="right" w:pos="8306"/>
      </w:tabs>
      <w:snapToGrid w:val="0"/>
      <w:jc w:val="center"/>
    </w:pPr>
    <w:rPr>
      <w:rFonts w:ascii="Times New Roman" w:hAnsi="Times New Roman"/>
      <w:sz w:val="18"/>
      <w:szCs w:val="18"/>
    </w:rPr>
  </w:style>
  <w:style w:type="paragraph" w:styleId="26">
    <w:name w:val="header"/>
    <w:basedOn w:val="1"/>
    <w:link w:val="98"/>
    <w:qFormat/>
    <w:uiPriority w:val="99"/>
    <w:pPr>
      <w:pBdr>
        <w:bottom w:val="single" w:color="auto" w:sz="4" w:space="0"/>
      </w:pBdr>
      <w:tabs>
        <w:tab w:val="center" w:pos="4153"/>
        <w:tab w:val="right" w:pos="8306"/>
      </w:tabs>
      <w:snapToGrid w:val="0"/>
      <w:jc w:val="center"/>
    </w:pPr>
    <w:rPr>
      <w:rFonts w:ascii="Times New Roman" w:hAnsi="Times New Roman"/>
      <w:sz w:val="18"/>
      <w:szCs w:val="18"/>
    </w:rPr>
  </w:style>
  <w:style w:type="paragraph" w:styleId="27">
    <w:name w:val="toc 1"/>
    <w:basedOn w:val="1"/>
    <w:next w:val="1"/>
    <w:qFormat/>
    <w:uiPriority w:val="39"/>
  </w:style>
  <w:style w:type="paragraph" w:styleId="28">
    <w:name w:val="toc 4"/>
    <w:basedOn w:val="1"/>
    <w:next w:val="1"/>
    <w:unhideWhenUsed/>
    <w:qFormat/>
    <w:uiPriority w:val="39"/>
    <w:pPr>
      <w:ind w:left="1260" w:leftChars="600"/>
    </w:pPr>
    <w:rPr>
      <w:rFonts w:ascii="等线" w:hAnsi="等线" w:eastAsia="等线"/>
      <w:szCs w:val="22"/>
    </w:rPr>
  </w:style>
  <w:style w:type="paragraph" w:styleId="29">
    <w:name w:val="Subtitle"/>
    <w:basedOn w:val="1"/>
    <w:next w:val="1"/>
    <w:link w:val="89"/>
    <w:qFormat/>
    <w:uiPriority w:val="0"/>
    <w:pPr>
      <w:spacing w:before="240" w:after="60" w:line="312" w:lineRule="auto"/>
      <w:jc w:val="center"/>
      <w:outlineLvl w:val="1"/>
    </w:pPr>
    <w:rPr>
      <w:rFonts w:ascii="Calibri Light" w:hAnsi="Calibri Light"/>
      <w:b/>
      <w:bCs/>
      <w:kern w:val="28"/>
      <w:sz w:val="32"/>
      <w:szCs w:val="32"/>
    </w:rPr>
  </w:style>
  <w:style w:type="paragraph" w:styleId="30">
    <w:name w:val="toc 6"/>
    <w:basedOn w:val="1"/>
    <w:next w:val="1"/>
    <w:unhideWhenUsed/>
    <w:qFormat/>
    <w:uiPriority w:val="39"/>
    <w:pPr>
      <w:ind w:left="2100" w:leftChars="1000"/>
    </w:pPr>
    <w:rPr>
      <w:rFonts w:ascii="等线" w:hAnsi="等线" w:eastAsia="等线"/>
      <w:szCs w:val="22"/>
    </w:rPr>
  </w:style>
  <w:style w:type="paragraph" w:styleId="31">
    <w:name w:val="toc 2"/>
    <w:basedOn w:val="1"/>
    <w:next w:val="1"/>
    <w:qFormat/>
    <w:uiPriority w:val="39"/>
    <w:pPr>
      <w:tabs>
        <w:tab w:val="right" w:leader="dot" w:pos="8302"/>
      </w:tabs>
      <w:ind w:left="420" w:leftChars="200"/>
    </w:pPr>
  </w:style>
  <w:style w:type="paragraph" w:styleId="32">
    <w:name w:val="toc 9"/>
    <w:basedOn w:val="1"/>
    <w:next w:val="1"/>
    <w:unhideWhenUsed/>
    <w:qFormat/>
    <w:uiPriority w:val="39"/>
    <w:pPr>
      <w:ind w:left="3360" w:leftChars="1600"/>
    </w:pPr>
    <w:rPr>
      <w:rFonts w:ascii="等线" w:hAnsi="等线" w:eastAsia="等线"/>
      <w:szCs w:val="22"/>
    </w:rPr>
  </w:style>
  <w:style w:type="paragraph" w:styleId="33">
    <w:name w:val="Normal (Web)"/>
    <w:basedOn w:val="1"/>
    <w:qFormat/>
    <w:uiPriority w:val="99"/>
    <w:pPr>
      <w:widowControl/>
      <w:spacing w:before="100" w:after="100"/>
      <w:jc w:val="left"/>
    </w:pPr>
    <w:rPr>
      <w:rFonts w:hint="eastAsia" w:ascii="Arial Unicode MS" w:hAnsi="Arial Unicode MS" w:eastAsia="Arial Unicode MS"/>
      <w:kern w:val="0"/>
    </w:rPr>
  </w:style>
  <w:style w:type="paragraph" w:styleId="34">
    <w:name w:val="Title"/>
    <w:basedOn w:val="1"/>
    <w:next w:val="1"/>
    <w:link w:val="96"/>
    <w:qFormat/>
    <w:uiPriority w:val="0"/>
    <w:pPr>
      <w:spacing w:before="240" w:after="60" w:line="960" w:lineRule="auto"/>
      <w:jc w:val="center"/>
    </w:pPr>
    <w:rPr>
      <w:rFonts w:ascii="Cambria" w:hAnsi="Cambria" w:eastAsia="黑体"/>
      <w:b/>
      <w:bCs/>
      <w:sz w:val="52"/>
      <w:szCs w:val="32"/>
    </w:rPr>
  </w:style>
  <w:style w:type="paragraph" w:styleId="35">
    <w:name w:val="annotation subject"/>
    <w:basedOn w:val="17"/>
    <w:next w:val="17"/>
    <w:link w:val="85"/>
    <w:qFormat/>
    <w:uiPriority w:val="0"/>
    <w:rPr>
      <w:b/>
      <w:bCs/>
      <w:sz w:val="21"/>
    </w:rPr>
  </w:style>
  <w:style w:type="table" w:styleId="37">
    <w:name w:val="Table Grid"/>
    <w:basedOn w:val="36"/>
    <w:qFormat/>
    <w:uiPriority w:val="5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page number"/>
    <w:basedOn w:val="38"/>
    <w:qFormat/>
    <w:uiPriority w:val="0"/>
  </w:style>
  <w:style w:type="character" w:styleId="40">
    <w:name w:val="FollowedHyperlink"/>
    <w:unhideWhenUsed/>
    <w:qFormat/>
    <w:uiPriority w:val="99"/>
    <w:rPr>
      <w:color w:val="954F72"/>
      <w:u w:val="single"/>
    </w:rPr>
  </w:style>
  <w:style w:type="character" w:styleId="41">
    <w:name w:val="Hyperlink"/>
    <w:qFormat/>
    <w:uiPriority w:val="99"/>
    <w:rPr>
      <w:color w:val="0000FF"/>
      <w:u w:val="single"/>
    </w:rPr>
  </w:style>
  <w:style w:type="character" w:styleId="42">
    <w:name w:val="annotation reference"/>
    <w:qFormat/>
    <w:uiPriority w:val="99"/>
    <w:rPr>
      <w:sz w:val="21"/>
      <w:szCs w:val="21"/>
    </w:rPr>
  </w:style>
  <w:style w:type="character" w:customStyle="1" w:styleId="43">
    <w:name w:val="标题 2字符"/>
    <w:link w:val="5"/>
    <w:qFormat/>
    <w:uiPriority w:val="9"/>
    <w:rPr>
      <w:rFonts w:ascii="宋体" w:hAnsi="宋体"/>
      <w:b/>
      <w:bCs/>
      <w:kern w:val="2"/>
      <w:sz w:val="30"/>
      <w:szCs w:val="32"/>
    </w:rPr>
  </w:style>
  <w:style w:type="character" w:customStyle="1" w:styleId="44">
    <w:name w:val="标题 3 字符"/>
    <w:semiHidden/>
    <w:qFormat/>
    <w:uiPriority w:val="9"/>
    <w:rPr>
      <w:rFonts w:ascii="宋体" w:hAnsi="宋体"/>
      <w:b/>
      <w:bCs/>
      <w:kern w:val="2"/>
      <w:sz w:val="32"/>
      <w:szCs w:val="32"/>
    </w:rPr>
  </w:style>
  <w:style w:type="character" w:customStyle="1" w:styleId="45">
    <w:name w:val="标题 3 字符1"/>
    <w:qFormat/>
    <w:uiPriority w:val="0"/>
    <w:rPr>
      <w:rFonts w:ascii="宋体" w:hAnsi="宋体"/>
      <w:b/>
      <w:bCs/>
      <w:kern w:val="2"/>
      <w:sz w:val="28"/>
      <w:szCs w:val="28"/>
    </w:rPr>
  </w:style>
  <w:style w:type="character" w:customStyle="1" w:styleId="46">
    <w:name w:val="首行缩进正文 Char"/>
    <w:link w:val="47"/>
    <w:qFormat/>
    <w:uiPriority w:val="0"/>
    <w:rPr>
      <w:kern w:val="2"/>
      <w:sz w:val="24"/>
    </w:rPr>
  </w:style>
  <w:style w:type="paragraph" w:customStyle="1" w:styleId="47">
    <w:name w:val="首行缩进正文"/>
    <w:basedOn w:val="1"/>
    <w:link w:val="46"/>
    <w:qFormat/>
    <w:uiPriority w:val="0"/>
    <w:pPr>
      <w:widowControl/>
      <w:adjustRightInd w:val="0"/>
      <w:snapToGrid w:val="0"/>
      <w:spacing w:afterLines="50" w:line="276" w:lineRule="auto"/>
      <w:ind w:firstLine="420" w:firstLineChars="0"/>
      <w:jc w:val="left"/>
    </w:pPr>
    <w:rPr>
      <w:rFonts w:ascii="Times New Roman" w:hAnsi="Times New Roman"/>
      <w:szCs w:val="20"/>
    </w:rPr>
  </w:style>
  <w:style w:type="character" w:customStyle="1" w:styleId="48">
    <w:name w:val="批注文字字符"/>
    <w:link w:val="17"/>
    <w:qFormat/>
    <w:uiPriority w:val="99"/>
    <w:rPr>
      <w:rFonts w:eastAsia="仿宋"/>
      <w:kern w:val="2"/>
      <w:sz w:val="28"/>
      <w:szCs w:val="24"/>
    </w:rPr>
  </w:style>
  <w:style w:type="character" w:customStyle="1" w:styleId="49">
    <w:name w:val="日期 字符"/>
    <w:semiHidden/>
    <w:qFormat/>
    <w:uiPriority w:val="99"/>
    <w:rPr>
      <w:rFonts w:ascii="宋体" w:hAnsi="宋体"/>
      <w:kern w:val="2"/>
      <w:sz w:val="24"/>
      <w:szCs w:val="24"/>
    </w:rPr>
  </w:style>
  <w:style w:type="character" w:customStyle="1" w:styleId="50">
    <w:name w:val="日期字符"/>
    <w:link w:val="23"/>
    <w:qFormat/>
    <w:uiPriority w:val="0"/>
    <w:rPr>
      <w:kern w:val="2"/>
      <w:sz w:val="21"/>
      <w:szCs w:val="24"/>
    </w:rPr>
  </w:style>
  <w:style w:type="character" w:customStyle="1" w:styleId="51">
    <w:name w:val="标题 9字符"/>
    <w:link w:val="12"/>
    <w:qFormat/>
    <w:uiPriority w:val="9"/>
    <w:rPr>
      <w:rFonts w:ascii="Cambria" w:hAnsi="Cambria"/>
      <w:kern w:val="2"/>
      <w:sz w:val="21"/>
      <w:szCs w:val="21"/>
    </w:rPr>
  </w:style>
  <w:style w:type="character" w:customStyle="1" w:styleId="52">
    <w:name w:val="未处理的提及1"/>
    <w:unhideWhenUsed/>
    <w:qFormat/>
    <w:uiPriority w:val="99"/>
    <w:rPr>
      <w:color w:val="605E5C"/>
      <w:shd w:val="clear" w:color="auto" w:fill="E1DFDD"/>
    </w:rPr>
  </w:style>
  <w:style w:type="character" w:customStyle="1" w:styleId="53">
    <w:name w:val="标题 1 字符"/>
    <w:qFormat/>
    <w:uiPriority w:val="9"/>
    <w:rPr>
      <w:rFonts w:ascii="宋体" w:hAnsi="宋体"/>
      <w:b/>
      <w:bCs/>
      <w:kern w:val="44"/>
      <w:sz w:val="44"/>
      <w:szCs w:val="44"/>
    </w:rPr>
  </w:style>
  <w:style w:type="character" w:customStyle="1" w:styleId="54">
    <w:name w:val="页脚 字符"/>
    <w:qFormat/>
    <w:uiPriority w:val="99"/>
  </w:style>
  <w:style w:type="character" w:customStyle="1" w:styleId="55">
    <w:name w:val="标题 5 字符"/>
    <w:semiHidden/>
    <w:qFormat/>
    <w:uiPriority w:val="9"/>
    <w:rPr>
      <w:rFonts w:ascii="宋体" w:hAnsi="宋体"/>
      <w:b/>
      <w:bCs/>
      <w:kern w:val="2"/>
      <w:sz w:val="28"/>
      <w:szCs w:val="28"/>
    </w:rPr>
  </w:style>
  <w:style w:type="character" w:customStyle="1" w:styleId="56">
    <w:name w:val="题注字符"/>
    <w:link w:val="15"/>
    <w:qFormat/>
    <w:locked/>
    <w:uiPriority w:val="0"/>
    <w:rPr>
      <w:rFonts w:ascii="Arial" w:hAnsi="Arial" w:eastAsia="黑体"/>
      <w:kern w:val="2"/>
    </w:rPr>
  </w:style>
  <w:style w:type="character" w:customStyle="1" w:styleId="57">
    <w:name w:val="标题 2 字符"/>
    <w:semiHidden/>
    <w:qFormat/>
    <w:uiPriority w:val="9"/>
    <w:rPr>
      <w:rFonts w:ascii="等线 Light" w:hAnsi="等线 Light" w:eastAsia="等线 Light" w:cs="Times New Roman"/>
      <w:b/>
      <w:bCs/>
      <w:kern w:val="2"/>
      <w:sz w:val="32"/>
      <w:szCs w:val="32"/>
    </w:rPr>
  </w:style>
  <w:style w:type="character" w:customStyle="1" w:styleId="58">
    <w:name w:val="纯文本 字符"/>
    <w:qFormat/>
    <w:uiPriority w:val="0"/>
    <w:rPr>
      <w:rFonts w:ascii="宋体" w:hAnsi="Courier New" w:cs="Courier New"/>
      <w:kern w:val="2"/>
      <w:sz w:val="21"/>
      <w:szCs w:val="21"/>
    </w:rPr>
  </w:style>
  <w:style w:type="character" w:customStyle="1" w:styleId="59">
    <w:name w:val="列表段落 字符"/>
    <w:qFormat/>
    <w:uiPriority w:val="34"/>
    <w:rPr>
      <w:kern w:val="2"/>
      <w:sz w:val="21"/>
      <w:szCs w:val="22"/>
    </w:rPr>
  </w:style>
  <w:style w:type="character" w:customStyle="1" w:styleId="60">
    <w:name w:val="标题 4字符"/>
    <w:link w:val="7"/>
    <w:qFormat/>
    <w:uiPriority w:val="0"/>
    <w:rPr>
      <w:rFonts w:ascii="宋体" w:hAnsi="宋体"/>
      <w:b/>
      <w:bCs/>
      <w:kern w:val="2"/>
      <w:sz w:val="30"/>
      <w:szCs w:val="30"/>
    </w:rPr>
  </w:style>
  <w:style w:type="character" w:customStyle="1" w:styleId="61">
    <w:name w:val="正文文本字符"/>
    <w:link w:val="3"/>
    <w:qFormat/>
    <w:uiPriority w:val="0"/>
    <w:rPr>
      <w:kern w:val="2"/>
      <w:sz w:val="21"/>
      <w:szCs w:val="24"/>
    </w:rPr>
  </w:style>
  <w:style w:type="character" w:customStyle="1" w:styleId="62">
    <w:name w:val="列出段落字符"/>
    <w:link w:val="63"/>
    <w:qFormat/>
    <w:uiPriority w:val="34"/>
    <w:rPr>
      <w:kern w:val="2"/>
      <w:sz w:val="21"/>
      <w:szCs w:val="24"/>
    </w:rPr>
  </w:style>
  <w:style w:type="paragraph" w:styleId="63">
    <w:name w:val="List Paragraph"/>
    <w:basedOn w:val="1"/>
    <w:link w:val="62"/>
    <w:qFormat/>
    <w:uiPriority w:val="34"/>
    <w:pPr>
      <w:ind w:firstLine="420"/>
    </w:pPr>
    <w:rPr>
      <w:rFonts w:ascii="Times New Roman" w:hAnsi="Times New Roman"/>
      <w:sz w:val="21"/>
    </w:rPr>
  </w:style>
  <w:style w:type="character" w:customStyle="1" w:styleId="64">
    <w:name w:val="font21"/>
    <w:qFormat/>
    <w:uiPriority w:val="0"/>
    <w:rPr>
      <w:rFonts w:ascii="Calibri" w:hAnsi="Calibri" w:cs="Calibri"/>
      <w:color w:val="000000"/>
      <w:sz w:val="21"/>
      <w:szCs w:val="21"/>
      <w:u w:val="none"/>
    </w:rPr>
  </w:style>
  <w:style w:type="character" w:customStyle="1" w:styleId="65">
    <w:name w:val="*正文 Char"/>
    <w:link w:val="66"/>
    <w:qFormat/>
    <w:uiPriority w:val="0"/>
    <w:rPr>
      <w:rFonts w:ascii="time" w:hAnsi="time"/>
      <w:sz w:val="24"/>
      <w:szCs w:val="24"/>
      <w:lang w:bidi="en-US"/>
    </w:rPr>
  </w:style>
  <w:style w:type="paragraph" w:customStyle="1" w:styleId="66">
    <w:name w:val="*正文"/>
    <w:basedOn w:val="1"/>
    <w:link w:val="65"/>
    <w:qFormat/>
    <w:uiPriority w:val="0"/>
    <w:pPr>
      <w:widowControl/>
      <w:ind w:firstLine="200"/>
      <w:contextualSpacing/>
    </w:pPr>
    <w:rPr>
      <w:rFonts w:ascii="time" w:hAnsi="time"/>
      <w:kern w:val="0"/>
      <w:lang w:bidi="en-US"/>
    </w:rPr>
  </w:style>
  <w:style w:type="character" w:customStyle="1" w:styleId="67">
    <w:name w:val="正文文本缩进 字符"/>
    <w:semiHidden/>
    <w:qFormat/>
    <w:uiPriority w:val="99"/>
    <w:rPr>
      <w:rFonts w:ascii="宋体" w:hAnsi="宋体"/>
      <w:kern w:val="2"/>
      <w:sz w:val="24"/>
      <w:szCs w:val="24"/>
    </w:rPr>
  </w:style>
  <w:style w:type="character" w:customStyle="1" w:styleId="68">
    <w:name w:val="纯文本字符"/>
    <w:link w:val="21"/>
    <w:qFormat/>
    <w:locked/>
    <w:uiPriority w:val="0"/>
    <w:rPr>
      <w:rFonts w:ascii="宋体" w:hAnsi="Courier New"/>
      <w:kern w:val="2"/>
      <w:sz w:val="21"/>
    </w:rPr>
  </w:style>
  <w:style w:type="character" w:customStyle="1" w:styleId="69">
    <w:name w:val="my正文 Char"/>
    <w:link w:val="70"/>
    <w:qFormat/>
    <w:uiPriority w:val="0"/>
    <w:rPr>
      <w:kern w:val="2"/>
      <w:sz w:val="21"/>
      <w:szCs w:val="24"/>
    </w:rPr>
  </w:style>
  <w:style w:type="paragraph" w:customStyle="1" w:styleId="70">
    <w:name w:val="my正文"/>
    <w:basedOn w:val="1"/>
    <w:link w:val="69"/>
    <w:qFormat/>
    <w:uiPriority w:val="0"/>
    <w:pPr>
      <w:spacing w:line="240" w:lineRule="auto"/>
      <w:ind w:firstLine="0" w:firstLineChars="0"/>
    </w:pPr>
    <w:rPr>
      <w:rFonts w:ascii="Times New Roman" w:hAnsi="Times New Roman"/>
      <w:sz w:val="21"/>
    </w:rPr>
  </w:style>
  <w:style w:type="character" w:customStyle="1" w:styleId="71">
    <w:name w:val="正文2 字符"/>
    <w:link w:val="72"/>
    <w:qFormat/>
    <w:uiPriority w:val="0"/>
    <w:rPr>
      <w:kern w:val="2"/>
      <w:sz w:val="21"/>
      <w:szCs w:val="24"/>
    </w:rPr>
  </w:style>
  <w:style w:type="paragraph" w:customStyle="1" w:styleId="72">
    <w:name w:val="正文2"/>
    <w:basedOn w:val="1"/>
    <w:link w:val="71"/>
    <w:qFormat/>
    <w:uiPriority w:val="0"/>
    <w:pPr>
      <w:ind w:firstLine="420"/>
    </w:pPr>
    <w:rPr>
      <w:rFonts w:ascii="Times New Roman" w:hAnsi="Times New Roman"/>
      <w:sz w:val="21"/>
    </w:rPr>
  </w:style>
  <w:style w:type="character" w:customStyle="1" w:styleId="73">
    <w:name w:val="font41"/>
    <w:qFormat/>
    <w:uiPriority w:val="0"/>
    <w:rPr>
      <w:rFonts w:hint="eastAsia" w:ascii="宋体" w:hAnsi="宋体" w:eastAsia="宋体" w:cs="宋体"/>
      <w:color w:val="000000"/>
      <w:sz w:val="21"/>
      <w:szCs w:val="21"/>
      <w:u w:val="none"/>
    </w:rPr>
  </w:style>
  <w:style w:type="character" w:customStyle="1" w:styleId="74">
    <w:name w:val="标题 7字符"/>
    <w:link w:val="10"/>
    <w:qFormat/>
    <w:uiPriority w:val="9"/>
    <w:rPr>
      <w:b/>
      <w:bCs/>
      <w:kern w:val="2"/>
      <w:sz w:val="21"/>
      <w:szCs w:val="24"/>
    </w:rPr>
  </w:style>
  <w:style w:type="character" w:customStyle="1" w:styleId="75">
    <w:name w:val="批注框文本 字符"/>
    <w:semiHidden/>
    <w:qFormat/>
    <w:uiPriority w:val="99"/>
    <w:rPr>
      <w:rFonts w:ascii="宋体" w:hAnsi="宋体"/>
      <w:kern w:val="2"/>
      <w:sz w:val="18"/>
      <w:szCs w:val="18"/>
    </w:rPr>
  </w:style>
  <w:style w:type="character" w:customStyle="1" w:styleId="76">
    <w:name w:val="副标题 Char1"/>
    <w:qFormat/>
    <w:uiPriority w:val="0"/>
    <w:rPr>
      <w:rFonts w:ascii="Calibri Light" w:hAnsi="Calibri Light" w:cs="Times New Roman"/>
      <w:b/>
      <w:bCs/>
      <w:kern w:val="28"/>
      <w:sz w:val="32"/>
      <w:szCs w:val="32"/>
    </w:rPr>
  </w:style>
  <w:style w:type="character" w:customStyle="1" w:styleId="77">
    <w:name w:val="标题 1字符"/>
    <w:link w:val="4"/>
    <w:qFormat/>
    <w:uiPriority w:val="0"/>
    <w:rPr>
      <w:rFonts w:ascii="宋体" w:hAnsi="宋体" w:eastAsia="黑体"/>
      <w:b/>
      <w:bCs/>
      <w:kern w:val="44"/>
      <w:sz w:val="32"/>
      <w:szCs w:val="28"/>
    </w:rPr>
  </w:style>
  <w:style w:type="character" w:customStyle="1" w:styleId="78">
    <w:name w:val="批注文字 字符"/>
    <w:qFormat/>
    <w:uiPriority w:val="99"/>
    <w:rPr>
      <w:rFonts w:ascii="宋体" w:hAnsi="宋体"/>
      <w:kern w:val="2"/>
      <w:sz w:val="24"/>
      <w:szCs w:val="24"/>
    </w:rPr>
  </w:style>
  <w:style w:type="character" w:customStyle="1" w:styleId="79">
    <w:name w:val="文档结构图 字符"/>
    <w:semiHidden/>
    <w:qFormat/>
    <w:uiPriority w:val="99"/>
    <w:rPr>
      <w:rFonts w:ascii="Microsoft YaHei UI" w:hAnsi="宋体" w:eastAsia="Microsoft YaHei UI"/>
      <w:kern w:val="2"/>
      <w:sz w:val="18"/>
      <w:szCs w:val="18"/>
    </w:rPr>
  </w:style>
  <w:style w:type="character" w:customStyle="1" w:styleId="80">
    <w:name w:val="标题 6 字符"/>
    <w:semiHidden/>
    <w:qFormat/>
    <w:uiPriority w:val="9"/>
    <w:rPr>
      <w:rFonts w:ascii="等线 Light" w:hAnsi="等线 Light" w:eastAsia="等线 Light" w:cs="Times New Roman"/>
      <w:b/>
      <w:bCs/>
      <w:kern w:val="2"/>
      <w:sz w:val="24"/>
      <w:szCs w:val="24"/>
    </w:rPr>
  </w:style>
  <w:style w:type="character" w:customStyle="1" w:styleId="81">
    <w:name w:val="正文正文2 Char"/>
    <w:link w:val="82"/>
    <w:qFormat/>
    <w:uiPriority w:val="0"/>
    <w:rPr>
      <w:rFonts w:ascii="宋体" w:hAnsi="宋体"/>
      <w:kern w:val="2"/>
      <w:sz w:val="21"/>
      <w:szCs w:val="21"/>
    </w:rPr>
  </w:style>
  <w:style w:type="paragraph" w:customStyle="1" w:styleId="82">
    <w:name w:val="正文正文2"/>
    <w:basedOn w:val="1"/>
    <w:link w:val="81"/>
    <w:qFormat/>
    <w:uiPriority w:val="0"/>
    <w:pPr>
      <w:ind w:firstLine="460"/>
    </w:pPr>
    <w:rPr>
      <w:sz w:val="21"/>
      <w:szCs w:val="21"/>
    </w:rPr>
  </w:style>
  <w:style w:type="character" w:customStyle="1" w:styleId="83">
    <w:name w:val="标题 3字符"/>
    <w:link w:val="6"/>
    <w:qFormat/>
    <w:uiPriority w:val="0"/>
    <w:rPr>
      <w:rFonts w:ascii="宋体" w:hAnsi="宋体"/>
      <w:b/>
      <w:bCs/>
      <w:kern w:val="2"/>
      <w:sz w:val="28"/>
      <w:szCs w:val="28"/>
    </w:rPr>
  </w:style>
  <w:style w:type="character" w:customStyle="1" w:styleId="84">
    <w:name w:val="标题 4 字符"/>
    <w:semiHidden/>
    <w:qFormat/>
    <w:uiPriority w:val="9"/>
    <w:rPr>
      <w:rFonts w:ascii="等线 Light" w:hAnsi="等线 Light" w:eastAsia="等线 Light" w:cs="Times New Roman"/>
      <w:b/>
      <w:bCs/>
      <w:kern w:val="2"/>
      <w:sz w:val="28"/>
      <w:szCs w:val="28"/>
    </w:rPr>
  </w:style>
  <w:style w:type="character" w:customStyle="1" w:styleId="85">
    <w:name w:val="批注主题字符"/>
    <w:link w:val="35"/>
    <w:qFormat/>
    <w:uiPriority w:val="0"/>
    <w:rPr>
      <w:rFonts w:eastAsia="仿宋"/>
      <w:b/>
      <w:bCs/>
      <w:kern w:val="2"/>
      <w:sz w:val="21"/>
      <w:szCs w:val="24"/>
    </w:rPr>
  </w:style>
  <w:style w:type="character" w:customStyle="1" w:styleId="86">
    <w:name w:val="页眉 字符"/>
    <w:semiHidden/>
    <w:qFormat/>
    <w:uiPriority w:val="99"/>
    <w:rPr>
      <w:rFonts w:ascii="宋体" w:hAnsi="宋体"/>
      <w:kern w:val="2"/>
      <w:sz w:val="18"/>
      <w:szCs w:val="18"/>
    </w:rPr>
  </w:style>
  <w:style w:type="character" w:customStyle="1" w:styleId="87">
    <w:name w:val="正文文本缩进字符"/>
    <w:link w:val="18"/>
    <w:qFormat/>
    <w:uiPriority w:val="0"/>
    <w:rPr>
      <w:kern w:val="2"/>
      <w:sz w:val="21"/>
    </w:rPr>
  </w:style>
  <w:style w:type="character" w:customStyle="1" w:styleId="88">
    <w:name w:val="标题 5字符"/>
    <w:link w:val="8"/>
    <w:qFormat/>
    <w:uiPriority w:val="0"/>
    <w:rPr>
      <w:rFonts w:ascii="宋体" w:hAnsi="宋体"/>
      <w:b/>
      <w:bCs/>
      <w:kern w:val="2"/>
      <w:sz w:val="24"/>
      <w:szCs w:val="28"/>
    </w:rPr>
  </w:style>
  <w:style w:type="character" w:customStyle="1" w:styleId="89">
    <w:name w:val="副标题字符"/>
    <w:link w:val="29"/>
    <w:qFormat/>
    <w:uiPriority w:val="0"/>
    <w:rPr>
      <w:rFonts w:ascii="Calibri Light" w:hAnsi="Calibri Light"/>
      <w:b/>
      <w:bCs/>
      <w:kern w:val="28"/>
      <w:sz w:val="32"/>
      <w:szCs w:val="32"/>
    </w:rPr>
  </w:style>
  <w:style w:type="character" w:customStyle="1" w:styleId="90">
    <w:name w:val="页脚字符"/>
    <w:link w:val="25"/>
    <w:qFormat/>
    <w:uiPriority w:val="99"/>
    <w:rPr>
      <w:kern w:val="2"/>
      <w:sz w:val="18"/>
      <w:szCs w:val="18"/>
    </w:rPr>
  </w:style>
  <w:style w:type="character" w:customStyle="1" w:styleId="91">
    <w:name w:val="批注主题 字符"/>
    <w:semiHidden/>
    <w:qFormat/>
    <w:uiPriority w:val="99"/>
    <w:rPr>
      <w:rFonts w:ascii="宋体" w:hAnsi="宋体"/>
      <w:b/>
      <w:bCs/>
      <w:kern w:val="2"/>
      <w:sz w:val="24"/>
      <w:szCs w:val="24"/>
    </w:rPr>
  </w:style>
  <w:style w:type="character" w:customStyle="1" w:styleId="92">
    <w:name w:val="文档结构图字符"/>
    <w:link w:val="16"/>
    <w:qFormat/>
    <w:uiPriority w:val="0"/>
    <w:rPr>
      <w:rFonts w:ascii="宋体"/>
      <w:kern w:val="2"/>
      <w:sz w:val="18"/>
      <w:szCs w:val="18"/>
    </w:rPr>
  </w:style>
  <w:style w:type="character" w:customStyle="1" w:styleId="93">
    <w:name w:val="font31"/>
    <w:qFormat/>
    <w:uiPriority w:val="0"/>
    <w:rPr>
      <w:rFonts w:hint="eastAsia" w:ascii="宋体" w:hAnsi="宋体" w:eastAsia="宋体" w:cs="宋体"/>
      <w:color w:val="000000"/>
      <w:sz w:val="21"/>
      <w:szCs w:val="21"/>
      <w:u w:val="none"/>
    </w:rPr>
  </w:style>
  <w:style w:type="character" w:customStyle="1" w:styleId="94">
    <w:name w:val="标准正文 Char"/>
    <w:link w:val="95"/>
    <w:qFormat/>
    <w:uiPriority w:val="0"/>
    <w:rPr>
      <w:rFonts w:ascii="Arial" w:hAnsi="Arial"/>
      <w:kern w:val="2"/>
      <w:sz w:val="24"/>
    </w:rPr>
  </w:style>
  <w:style w:type="paragraph" w:customStyle="1" w:styleId="95">
    <w:name w:val="标准正文"/>
    <w:basedOn w:val="18"/>
    <w:link w:val="94"/>
    <w:qFormat/>
    <w:uiPriority w:val="0"/>
    <w:pPr>
      <w:spacing w:before="60" w:after="60"/>
      <w:ind w:firstLine="482" w:firstLineChars="0"/>
    </w:pPr>
    <w:rPr>
      <w:rFonts w:ascii="Arial" w:hAnsi="Arial"/>
      <w:sz w:val="24"/>
    </w:rPr>
  </w:style>
  <w:style w:type="character" w:customStyle="1" w:styleId="96">
    <w:name w:val="标题字符"/>
    <w:link w:val="34"/>
    <w:qFormat/>
    <w:uiPriority w:val="0"/>
    <w:rPr>
      <w:rFonts w:ascii="Cambria" w:hAnsi="Cambria" w:eastAsia="黑体"/>
      <w:b/>
      <w:bCs/>
      <w:kern w:val="2"/>
      <w:sz w:val="52"/>
      <w:szCs w:val="32"/>
    </w:rPr>
  </w:style>
  <w:style w:type="character" w:customStyle="1" w:styleId="97">
    <w:name w:val="批注框文本字符"/>
    <w:link w:val="24"/>
    <w:qFormat/>
    <w:uiPriority w:val="0"/>
    <w:rPr>
      <w:kern w:val="2"/>
      <w:sz w:val="18"/>
      <w:szCs w:val="18"/>
    </w:rPr>
  </w:style>
  <w:style w:type="character" w:customStyle="1" w:styleId="98">
    <w:name w:val="页眉字符"/>
    <w:link w:val="26"/>
    <w:qFormat/>
    <w:uiPriority w:val="99"/>
    <w:rPr>
      <w:kern w:val="2"/>
      <w:sz w:val="18"/>
      <w:szCs w:val="18"/>
    </w:rPr>
  </w:style>
  <w:style w:type="character" w:customStyle="1" w:styleId="99">
    <w:name w:val="标题 8字符"/>
    <w:link w:val="11"/>
    <w:qFormat/>
    <w:uiPriority w:val="9"/>
    <w:rPr>
      <w:rFonts w:ascii="Cambria" w:hAnsi="Cambria"/>
      <w:kern w:val="2"/>
      <w:sz w:val="21"/>
      <w:szCs w:val="24"/>
    </w:rPr>
  </w:style>
  <w:style w:type="character" w:customStyle="1" w:styleId="100">
    <w:name w:val="标题 6字符"/>
    <w:link w:val="9"/>
    <w:qFormat/>
    <w:uiPriority w:val="0"/>
    <w:rPr>
      <w:rFonts w:ascii="Cambria" w:hAnsi="Cambria"/>
      <w:b/>
      <w:bCs/>
      <w:kern w:val="2"/>
      <w:sz w:val="24"/>
      <w:szCs w:val="24"/>
    </w:rPr>
  </w:style>
  <w:style w:type="character" w:customStyle="1" w:styleId="101">
    <w:name w:val="标题 字符"/>
    <w:qFormat/>
    <w:uiPriority w:val="10"/>
    <w:rPr>
      <w:rFonts w:ascii="等线 Light" w:hAnsi="等线 Light" w:eastAsia="等线 Light" w:cs="Times New Roman"/>
      <w:b/>
      <w:bCs/>
      <w:kern w:val="2"/>
      <w:sz w:val="32"/>
      <w:szCs w:val="32"/>
    </w:rPr>
  </w:style>
  <w:style w:type="character" w:customStyle="1" w:styleId="102">
    <w:name w:val="副标题 字符"/>
    <w:qFormat/>
    <w:uiPriority w:val="11"/>
    <w:rPr>
      <w:rFonts w:ascii="等线" w:hAnsi="等线" w:eastAsia="等线" w:cs="Times New Roman"/>
      <w:b/>
      <w:bCs/>
      <w:kern w:val="28"/>
      <w:sz w:val="32"/>
      <w:szCs w:val="32"/>
    </w:rPr>
  </w:style>
  <w:style w:type="paragraph" w:customStyle="1" w:styleId="103">
    <w:name w:val="xl72"/>
    <w:basedOn w:val="1"/>
    <w:qFormat/>
    <w:uiPriority w:val="0"/>
    <w:pPr>
      <w:widowControl/>
      <w:spacing w:before="100" w:beforeAutospacing="1" w:after="100" w:afterAutospacing="1" w:line="240" w:lineRule="auto"/>
      <w:ind w:firstLine="0" w:firstLineChars="0"/>
      <w:jc w:val="center"/>
    </w:pPr>
    <w:rPr>
      <w:rFonts w:cs="宋体"/>
      <w:kern w:val="0"/>
    </w:rPr>
  </w:style>
  <w:style w:type="paragraph" w:customStyle="1" w:styleId="104">
    <w:name w:val="正文（深信服）"/>
    <w:qFormat/>
    <w:uiPriority w:val="0"/>
    <w:pPr>
      <w:spacing w:line="360" w:lineRule="auto"/>
      <w:ind w:firstLine="420"/>
    </w:pPr>
    <w:rPr>
      <w:rFonts w:ascii="Arial" w:hAnsi="Arial" w:eastAsia="宋体" w:cs="Times New Roman"/>
      <w:kern w:val="2"/>
      <w:sz w:val="24"/>
      <w:szCs w:val="21"/>
      <w:shd w:val="clear" w:color="auto" w:fill="FFFFFF"/>
      <w:lang w:val="en-US" w:eastAsia="zh-CN" w:bidi="ar-SA"/>
    </w:rPr>
  </w:style>
  <w:style w:type="paragraph" w:customStyle="1" w:styleId="105">
    <w:name w:val="xl70"/>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right"/>
      <w:textAlignment w:val="center"/>
    </w:pPr>
    <w:rPr>
      <w:rFonts w:ascii="Microsoft Sans Serif" w:hAnsi="Microsoft Sans Serif" w:cs="Microsoft Sans Serif"/>
      <w:kern w:val="0"/>
      <w:sz w:val="18"/>
      <w:szCs w:val="18"/>
    </w:rPr>
  </w:style>
  <w:style w:type="paragraph" w:customStyle="1" w:styleId="106">
    <w:name w:val="_Style 2"/>
    <w:basedOn w:val="4"/>
    <w:next w:val="1"/>
    <w:qFormat/>
    <w:uiPriority w:val="39"/>
    <w:pPr>
      <w:widowControl/>
      <w:numPr>
        <w:numId w:val="0"/>
      </w:numPr>
      <w:spacing w:before="480" w:after="0" w:line="276" w:lineRule="auto"/>
      <w:jc w:val="left"/>
      <w:outlineLvl w:val="9"/>
    </w:pPr>
    <w:rPr>
      <w:rFonts w:ascii="Cambria" w:hAnsi="Cambria" w:eastAsia="宋体"/>
      <w:color w:val="365F91"/>
      <w:kern w:val="0"/>
      <w:sz w:val="28"/>
    </w:rPr>
  </w:style>
  <w:style w:type="paragraph" w:customStyle="1" w:styleId="107">
    <w:name w:val="正文缩进1"/>
    <w:basedOn w:val="1"/>
    <w:qFormat/>
    <w:uiPriority w:val="0"/>
    <w:pPr>
      <w:spacing w:line="240" w:lineRule="auto"/>
      <w:ind w:firstLine="420"/>
    </w:pPr>
    <w:rPr>
      <w:rFonts w:ascii="Times New Roman" w:hAnsi="Times New Roman"/>
      <w:sz w:val="21"/>
      <w:szCs w:val="20"/>
    </w:rPr>
  </w:style>
  <w:style w:type="paragraph" w:customStyle="1" w:styleId="108">
    <w:name w:val="xl68"/>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Microsoft Sans Serif" w:hAnsi="Microsoft Sans Serif" w:cs="Microsoft Sans Serif"/>
      <w:kern w:val="0"/>
      <w:sz w:val="18"/>
      <w:szCs w:val="18"/>
    </w:rPr>
  </w:style>
  <w:style w:type="paragraph" w:customStyle="1" w:styleId="109">
    <w:name w:val="前言、引言标题"/>
    <w:next w:val="1"/>
    <w:qFormat/>
    <w:uiPriority w:val="99"/>
    <w:pPr>
      <w:shd w:val="clear" w:color="FFFFFF" w:fill="FFFFFF"/>
      <w:tabs>
        <w:tab w:val="left" w:pos="425"/>
      </w:tabs>
      <w:spacing w:before="640" w:after="560"/>
      <w:jc w:val="center"/>
      <w:outlineLvl w:val="0"/>
    </w:pPr>
    <w:rPr>
      <w:rFonts w:ascii="黑体" w:hAnsi="Times New Roman" w:eastAsia="黑体" w:cs="Times New Roman"/>
      <w:kern w:val="2"/>
      <w:sz w:val="32"/>
      <w:szCs w:val="24"/>
      <w:lang w:val="en-US" w:eastAsia="zh-CN" w:bidi="ar-SA"/>
    </w:rPr>
  </w:style>
  <w:style w:type="paragraph" w:customStyle="1" w:styleId="110">
    <w:name w:val="Indent Normal"/>
    <w:basedOn w:val="1"/>
    <w:qFormat/>
    <w:uiPriority w:val="0"/>
    <w:pPr>
      <w:ind w:firstLine="150" w:firstLineChars="150"/>
    </w:pPr>
  </w:style>
  <w:style w:type="paragraph" w:customStyle="1" w:styleId="111">
    <w:name w:val="msonormal"/>
    <w:basedOn w:val="1"/>
    <w:qFormat/>
    <w:uiPriority w:val="0"/>
    <w:pPr>
      <w:widowControl/>
      <w:spacing w:before="100" w:beforeAutospacing="1" w:after="100" w:afterAutospacing="1" w:line="240" w:lineRule="auto"/>
      <w:ind w:firstLine="0" w:firstLineChars="0"/>
      <w:jc w:val="left"/>
    </w:pPr>
    <w:rPr>
      <w:rFonts w:cs="宋体"/>
      <w:kern w:val="0"/>
    </w:rPr>
  </w:style>
  <w:style w:type="paragraph" w:customStyle="1" w:styleId="112">
    <w:name w:val="正文 缩进2字符"/>
    <w:basedOn w:val="1"/>
    <w:qFormat/>
    <w:uiPriority w:val="0"/>
    <w:pPr>
      <w:spacing w:afterLines="50" w:line="240" w:lineRule="auto"/>
      <w:ind w:firstLine="0" w:firstLineChars="0"/>
    </w:pPr>
    <w:rPr>
      <w:rFonts w:ascii="Times New Roman" w:hAnsi="Times New Roman" w:cs="宋体"/>
      <w:sz w:val="21"/>
      <w:szCs w:val="20"/>
    </w:rPr>
  </w:style>
  <w:style w:type="paragraph" w:customStyle="1" w:styleId="113">
    <w:name w:val="列项●（二级）"/>
    <w:qFormat/>
    <w:uiPriority w:val="0"/>
    <w:pPr>
      <w:numPr>
        <w:ilvl w:val="0"/>
        <w:numId w:val="2"/>
      </w:numPr>
      <w:tabs>
        <w:tab w:val="left" w:pos="840"/>
      </w:tabs>
      <w:ind w:left="600" w:leftChars="400" w:hanging="200" w:hangingChars="200"/>
      <w:jc w:val="both"/>
    </w:pPr>
    <w:rPr>
      <w:rFonts w:ascii="宋体" w:hAnsi="Times New Roman" w:eastAsia="宋体" w:cs="Times New Roman"/>
      <w:kern w:val="2"/>
      <w:sz w:val="21"/>
      <w:szCs w:val="24"/>
      <w:lang w:val="en-US" w:eastAsia="zh-CN" w:bidi="ar-SA"/>
    </w:rPr>
  </w:style>
  <w:style w:type="paragraph" w:customStyle="1" w:styleId="114">
    <w:name w:val="助手文本"/>
    <w:basedOn w:val="1"/>
    <w:qFormat/>
    <w:uiPriority w:val="0"/>
    <w:pPr>
      <w:autoSpaceDE w:val="0"/>
      <w:autoSpaceDN w:val="0"/>
      <w:adjustRightInd w:val="0"/>
      <w:spacing w:beforeLines="50" w:afterLines="50"/>
      <w:ind w:left="14" w:firstLine="434"/>
      <w:textAlignment w:val="baseline"/>
    </w:pPr>
    <w:rPr>
      <w:rFonts w:ascii="楷体_GB2312" w:eastAsia="楷体_GB2312"/>
      <w:kern w:val="0"/>
      <w:szCs w:val="20"/>
      <w:u w:val="single"/>
    </w:rPr>
  </w:style>
  <w:style w:type="paragraph" w:customStyle="1" w:styleId="115">
    <w:name w:val="xl67"/>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b/>
      <w:bCs/>
      <w:kern w:val="0"/>
      <w:sz w:val="18"/>
      <w:szCs w:val="18"/>
    </w:rPr>
  </w:style>
  <w:style w:type="paragraph" w:customStyle="1" w:styleId="116">
    <w:name w:val="段"/>
    <w:qFormat/>
    <w:uiPriority w:val="0"/>
    <w:pPr>
      <w:autoSpaceDE w:val="0"/>
      <w:autoSpaceDN w:val="0"/>
      <w:ind w:firstLine="200" w:firstLineChars="200"/>
      <w:jc w:val="both"/>
    </w:pPr>
    <w:rPr>
      <w:rFonts w:ascii="宋体" w:hAnsi="Times New Roman" w:eastAsia="宋体" w:cs="Calibri"/>
      <w:kern w:val="2"/>
      <w:sz w:val="21"/>
      <w:szCs w:val="24"/>
      <w:lang w:val="en-US" w:eastAsia="zh-CN" w:bidi="ar-SA"/>
    </w:rPr>
  </w:style>
  <w:style w:type="paragraph" w:customStyle="1" w:styleId="117">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cs="宋体"/>
      <w:kern w:val="0"/>
    </w:rPr>
  </w:style>
  <w:style w:type="paragraph" w:customStyle="1" w:styleId="118">
    <w:name w:val="Char Char Char Char Char Char1 Char"/>
    <w:basedOn w:val="1"/>
    <w:qFormat/>
    <w:uiPriority w:val="0"/>
    <w:pPr>
      <w:widowControl/>
      <w:spacing w:after="160" w:line="240" w:lineRule="exact"/>
      <w:jc w:val="left"/>
    </w:pPr>
  </w:style>
  <w:style w:type="paragraph" w:customStyle="1" w:styleId="119">
    <w:name w:val="PM_Body"/>
    <w:basedOn w:val="1"/>
    <w:qFormat/>
    <w:locked/>
    <w:uiPriority w:val="0"/>
    <w:rPr>
      <w:szCs w:val="21"/>
    </w:rPr>
  </w:style>
  <w:style w:type="paragraph" w:customStyle="1" w:styleId="120">
    <w:name w:val="Char Char1"/>
    <w:basedOn w:val="1"/>
    <w:qFormat/>
    <w:uiPriority w:val="0"/>
    <w:pPr>
      <w:widowControl/>
      <w:spacing w:before="120" w:after="120"/>
    </w:pPr>
    <w:rPr>
      <w:rFonts w:ascii="Times New Roman" w:hAnsi="Times New Roman" w:cs="宋体"/>
    </w:rPr>
  </w:style>
  <w:style w:type="paragraph" w:customStyle="1" w:styleId="121">
    <w:name w:val="xl71"/>
    <w:basedOn w:val="1"/>
    <w:qFormat/>
    <w:uiPriority w:val="0"/>
    <w:pPr>
      <w:widowControl/>
      <w:spacing w:before="100" w:beforeAutospacing="1" w:after="100" w:afterAutospacing="1" w:line="240" w:lineRule="auto"/>
      <w:ind w:firstLine="0" w:firstLineChars="0"/>
      <w:jc w:val="right"/>
      <w:textAlignment w:val="center"/>
    </w:pPr>
    <w:rPr>
      <w:rFonts w:ascii="Microsoft Sans Serif" w:hAnsi="Microsoft Sans Serif" w:cs="Microsoft Sans Serif"/>
      <w:kern w:val="0"/>
      <w:sz w:val="18"/>
      <w:szCs w:val="18"/>
    </w:rPr>
  </w:style>
  <w:style w:type="paragraph" w:customStyle="1" w:styleId="122">
    <w:name w:val="修订1"/>
    <w:unhideWhenUsed/>
    <w:qFormat/>
    <w:uiPriority w:val="99"/>
    <w:rPr>
      <w:rFonts w:ascii="宋体" w:hAnsi="宋体" w:eastAsia="宋体" w:cs="Times New Roman"/>
      <w:kern w:val="2"/>
      <w:sz w:val="24"/>
      <w:szCs w:val="24"/>
      <w:lang w:val="en-US" w:eastAsia="zh-CN" w:bidi="ar-SA"/>
    </w:rPr>
  </w:style>
  <w:style w:type="paragraph" w:customStyle="1" w:styleId="123">
    <w:name w:val="列出段落2"/>
    <w:basedOn w:val="1"/>
    <w:qFormat/>
    <w:uiPriority w:val="0"/>
    <w:pPr>
      <w:spacing w:line="240" w:lineRule="auto"/>
      <w:ind w:firstLine="420"/>
    </w:pPr>
    <w:rPr>
      <w:rFonts w:ascii="等线" w:hAnsi="等线" w:eastAsia="等线" w:cs="等线"/>
      <w:sz w:val="21"/>
      <w:szCs w:val="21"/>
    </w:rPr>
  </w:style>
  <w:style w:type="paragraph" w:customStyle="1" w:styleId="124">
    <w:name w:val="xl69"/>
    <w:basedOn w:val="1"/>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kern w:val="0"/>
      <w:sz w:val="18"/>
      <w:szCs w:val="18"/>
    </w:rPr>
  </w:style>
  <w:style w:type="paragraph" w:customStyle="1" w:styleId="125">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Microsoft Sans Serif" w:hAnsi="Microsoft Sans Serif" w:cs="Microsoft Sans Serif"/>
      <w:b/>
      <w:bCs/>
      <w:kern w:val="0"/>
      <w:sz w:val="18"/>
      <w:szCs w:val="18"/>
    </w:rPr>
  </w:style>
  <w:style w:type="paragraph" w:customStyle="1" w:styleId="126">
    <w:name w:val="文档正文文本（中安网脉）"/>
    <w:basedOn w:val="1"/>
    <w:qFormat/>
    <w:uiPriority w:val="0"/>
    <w:pPr>
      <w:ind w:firstLine="200"/>
    </w:pPr>
    <w:rPr>
      <w:rFonts w:ascii="Times New Roman" w:hAnsi="Times New Roman" w:eastAsia="仿宋_GB2312"/>
      <w:color w:val="000000"/>
      <w:szCs w:val="28"/>
    </w:rPr>
  </w:style>
  <w:style w:type="paragraph" w:customStyle="1" w:styleId="127">
    <w:name w:val="xl65"/>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Microsoft Sans Serif" w:hAnsi="Microsoft Sans Serif" w:cs="Microsoft Sans Serif"/>
      <w:kern w:val="0"/>
      <w:sz w:val="18"/>
      <w:szCs w:val="18"/>
    </w:rPr>
  </w:style>
  <w:style w:type="paragraph" w:customStyle="1" w:styleId="128">
    <w:name w:val="正文样式"/>
    <w:unhideWhenUsed/>
    <w:qFormat/>
    <w:uiPriority w:val="0"/>
    <w:pPr>
      <w:widowControl w:val="0"/>
      <w:adjustRightInd w:val="0"/>
      <w:snapToGrid w:val="0"/>
      <w:spacing w:line="360" w:lineRule="auto"/>
      <w:ind w:firstLine="200" w:firstLineChars="200"/>
      <w:jc w:val="both"/>
    </w:pPr>
    <w:rPr>
      <w:rFonts w:ascii="Times New Roman" w:hAnsi="Times New Roman" w:eastAsia="宋体" w:cs="Times New Roman"/>
      <w:bCs/>
      <w:snapToGrid w:val="0"/>
      <w:kern w:val="2"/>
      <w:sz w:val="24"/>
      <w:szCs w:val="44"/>
      <w:lang w:val="en-US" w:eastAsia="zh-CN" w:bidi="ar-SA"/>
    </w:rPr>
  </w:style>
  <w:style w:type="paragraph" w:customStyle="1" w:styleId="129">
    <w:name w:val="样式 行距: 1.5 倍行距 首行缩进:  2 字符"/>
    <w:basedOn w:val="1"/>
    <w:qFormat/>
    <w:uiPriority w:val="0"/>
    <w:pPr>
      <w:ind w:firstLine="560"/>
      <w:jc w:val="left"/>
    </w:pPr>
    <w:rPr>
      <w:rFonts w:ascii="仿宋" w:hAnsi="仿宋" w:eastAsia="仿宋" w:cs="宋体"/>
      <w:sz w:val="28"/>
      <w:szCs w:val="20"/>
    </w:rPr>
  </w:style>
  <w:style w:type="paragraph" w:customStyle="1" w:styleId="130">
    <w:name w:val="TOC 标题1"/>
    <w:basedOn w:val="4"/>
    <w:next w:val="1"/>
    <w:qFormat/>
    <w:uiPriority w:val="39"/>
    <w:pPr>
      <w:widowControl/>
      <w:numPr>
        <w:numId w:val="0"/>
      </w:numPr>
      <w:spacing w:before="480" w:after="0" w:line="276" w:lineRule="auto"/>
      <w:jc w:val="left"/>
      <w:outlineLvl w:val="9"/>
    </w:pPr>
    <w:rPr>
      <w:rFonts w:ascii="Cambria" w:hAnsi="Cambria" w:eastAsia="宋体"/>
      <w:color w:val="365F91"/>
      <w:kern w:val="0"/>
      <w:sz w:val="28"/>
    </w:rPr>
  </w:style>
  <w:style w:type="table" w:customStyle="1" w:styleId="131">
    <w:name w:val="!我的表格1"/>
    <w:basedOn w:val="36"/>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2">
    <w:name w:val="网格型1"/>
    <w:basedOn w:val="36"/>
    <w:unhideWhenUsed/>
    <w:qFormat/>
    <w:uiPriority w:val="59"/>
    <w:rPr>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33">
    <w:name w:val="标题 1 Char"/>
    <w:qFormat/>
    <w:uiPriority w:val="0"/>
    <w:rPr>
      <w:rFonts w:ascii="宋体" w:hAnsi="宋体" w:eastAsia="黑体"/>
      <w:b/>
      <w:bCs/>
      <w:kern w:val="44"/>
      <w:sz w:val="32"/>
      <w:szCs w:val="28"/>
    </w:rPr>
  </w:style>
  <w:style w:type="character" w:customStyle="1" w:styleId="134">
    <w:name w:val="纯文本 Char2"/>
    <w:qFormat/>
    <w:uiPriority w:val="0"/>
    <w:rPr>
      <w:rFonts w:ascii="宋体" w:hAnsi="宋体" w:eastAsia="宋体" w:cs="Times New Roman"/>
      <w:color w:val="000000"/>
      <w:kern w:val="0"/>
      <w:sz w:val="24"/>
      <w:szCs w:val="24"/>
    </w:rPr>
  </w:style>
  <w:style w:type="paragraph" w:customStyle="1" w:styleId="135">
    <w:name w:val="可研正文"/>
    <w:basedOn w:val="1"/>
    <w:qFormat/>
    <w:uiPriority w:val="0"/>
    <w:pPr>
      <w:ind w:firstLine="560"/>
    </w:pPr>
    <w:rPr>
      <w:rFonts w:ascii="仿宋_GB2312" w:eastAsia="仿宋_GB2312"/>
      <w:szCs w:val="20"/>
      <w:lang w:val="zh-CN"/>
    </w:rPr>
  </w:style>
  <w:style w:type="paragraph" w:customStyle="1" w:styleId="136">
    <w:name w:val="ces正文"/>
    <w:basedOn w:val="1"/>
    <w:qFormat/>
    <w:uiPriority w:val="0"/>
    <w:pPr>
      <w:widowControl/>
      <w:jc w:val="left"/>
    </w:pPr>
    <w:rPr>
      <w:rFonts w:ascii="Times New Roman" w:hAnsi="Times New Roman"/>
    </w:rPr>
  </w:style>
  <w:style w:type="paragraph" w:customStyle="1" w:styleId="137">
    <w:name w:val="修订2"/>
    <w:hidden/>
    <w:unhideWhenUsed/>
    <w:qFormat/>
    <w:uiPriority w:val="99"/>
    <w:rPr>
      <w:rFonts w:ascii="宋体" w:hAnsi="宋体" w:eastAsia="宋体" w:cs="Times New Roman"/>
      <w:kern w:val="2"/>
      <w:sz w:val="24"/>
      <w:szCs w:val="24"/>
      <w:lang w:val="en-US" w:eastAsia="zh-CN" w:bidi="ar-SA"/>
    </w:rPr>
  </w:style>
  <w:style w:type="paragraph" w:customStyle="1" w:styleId="138">
    <w:name w:val="修订3"/>
    <w:hidden/>
    <w:unhideWhenUsed/>
    <w:qFormat/>
    <w:uiPriority w:val="99"/>
    <w:rPr>
      <w:rFonts w:ascii="宋体" w:hAnsi="宋体" w:eastAsia="宋体" w:cs="Times New Roman"/>
      <w:kern w:val="2"/>
      <w:sz w:val="24"/>
      <w:szCs w:val="24"/>
      <w:lang w:val="en-US" w:eastAsia="zh-CN" w:bidi="ar-SA"/>
    </w:rPr>
  </w:style>
  <w:style w:type="paragraph" w:customStyle="1" w:styleId="139">
    <w:name w:val="修订4"/>
    <w:hidden/>
    <w:unhideWhenUsed/>
    <w:qFormat/>
    <w:uiPriority w:val="99"/>
    <w:rPr>
      <w:rFonts w:ascii="宋体" w:hAnsi="宋体" w:eastAsia="宋体" w:cs="Times New Roman"/>
      <w:kern w:val="2"/>
      <w:sz w:val="24"/>
      <w:szCs w:val="24"/>
      <w:lang w:val="en-US" w:eastAsia="zh-CN" w:bidi="ar-SA"/>
    </w:rPr>
  </w:style>
  <w:style w:type="table" w:customStyle="1" w:styleId="140">
    <w:name w:val="无格式表格 11"/>
    <w:basedOn w:val="36"/>
    <w:qFormat/>
    <w:uiPriority w:val="41"/>
    <w:tblPr>
      <w:tblBorders>
        <w:top w:val="single" w:color="BEBEBE" w:sz="4" w:space="0"/>
        <w:left w:val="single" w:color="BEBEBE" w:sz="4" w:space="0"/>
        <w:bottom w:val="single" w:color="BEBEBE" w:sz="4" w:space="0"/>
        <w:right w:val="single" w:color="BEBEBE" w:sz="4" w:space="0"/>
        <w:insideH w:val="single" w:color="BEBEBE" w:sz="4" w:space="0"/>
        <w:insideV w:val="single" w:color="BEBEBE" w:sz="4" w:space="0"/>
      </w:tblBorders>
      <w:tblCellMar>
        <w:top w:w="0" w:type="dxa"/>
        <w:left w:w="108" w:type="dxa"/>
        <w:bottom w:w="0" w:type="dxa"/>
        <w:right w:w="108" w:type="dxa"/>
      </w:tblCellMar>
    </w:tblPr>
    <w:tblStylePr w:type="firstRow">
      <w:rPr>
        <w:b/>
        <w:bCs/>
      </w:rPr>
    </w:tblStylePr>
    <w:tblStylePr w:type="lastRow">
      <w:rPr>
        <w:b/>
        <w:bCs/>
      </w:rPr>
      <w:tcPr>
        <w:tcBorders>
          <w:top w:val="double" w:color="BEBEBE"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1F1F1"/>
      </w:tcPr>
    </w:tblStylePr>
    <w:tblStylePr w:type="band1Horz">
      <w:tcPr>
        <w:shd w:val="clear" w:color="auto" w:fill="F1F1F1"/>
      </w:tcPr>
    </w:tblStylePr>
  </w:style>
  <w:style w:type="paragraph" w:customStyle="1" w:styleId="141">
    <w:name w:val="0表格"/>
    <w:basedOn w:val="1"/>
    <w:qFormat/>
    <w:uiPriority w:val="0"/>
    <w:pPr>
      <w:widowControl/>
      <w:spacing w:line="276" w:lineRule="auto"/>
      <w:jc w:val="left"/>
    </w:pPr>
    <w:rPr>
      <w:rFonts w:hAnsi="仿宋"/>
      <w:color w:val="000000"/>
    </w:rPr>
  </w:style>
  <w:style w:type="paragraph" w:customStyle="1" w:styleId="142">
    <w:name w:val="表正文"/>
    <w:qFormat/>
    <w:uiPriority w:val="0"/>
    <w:rPr>
      <w:rFonts w:ascii="Times New Roman" w:hAnsi="Times New Roman" w:eastAsia="仿宋" w:cstheme="minorBidi"/>
      <w:kern w:val="2"/>
      <w:sz w:val="21"/>
      <w:szCs w:val="24"/>
      <w:lang w:val="en-US" w:eastAsia="zh-CN" w:bidi="ar-SA"/>
    </w:rPr>
  </w:style>
  <w:style w:type="paragraph" w:customStyle="1" w:styleId="143">
    <w:name w:val="B-表正文"/>
    <w:basedOn w:val="1"/>
    <w:qFormat/>
    <w:uiPriority w:val="0"/>
    <w:pPr>
      <w:spacing w:line="240" w:lineRule="auto"/>
      <w:ind w:firstLine="0" w:firstLineChars="0"/>
      <w:jc w:val="left"/>
    </w:pPr>
    <w:rPr>
      <w:rFonts w:ascii="Times New Roman" w:hAnsi="Times New Roman"/>
      <w:sz w:val="21"/>
    </w:rPr>
  </w:style>
  <w:style w:type="paragraph" w:customStyle="1" w:styleId="144">
    <w:name w:val="修订5"/>
    <w:hidden/>
    <w:unhideWhenUsed/>
    <w:qFormat/>
    <w:uiPriority w:val="99"/>
    <w:rPr>
      <w:rFonts w:ascii="宋体" w:hAnsi="宋体" w:eastAsia="宋体" w:cs="Times New Roman"/>
      <w:kern w:val="2"/>
      <w:sz w:val="24"/>
      <w:szCs w:val="24"/>
      <w:lang w:val="en-US" w:eastAsia="zh-CN" w:bidi="ar-SA"/>
    </w:rPr>
  </w:style>
  <w:style w:type="paragraph" w:customStyle="1" w:styleId="145">
    <w:name w:val="修订6"/>
    <w:hidden/>
    <w:unhideWhenUsed/>
    <w:qFormat/>
    <w:uiPriority w:val="99"/>
    <w:rPr>
      <w:rFonts w:ascii="宋体" w:hAnsi="宋体"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25</Pages>
  <Words>2572</Words>
  <Characters>14661</Characters>
  <Lines>122</Lines>
  <Paragraphs>34</Paragraphs>
  <TotalTime>3</TotalTime>
  <ScaleCrop>false</ScaleCrop>
  <LinksUpToDate>false</LinksUpToDate>
  <CharactersWithSpaces>17199</CharactersWithSpaces>
  <Application>WPS Office_12.8.2.1113_F1E327BC-269C-435d-A152-05C5408002CA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2025-03-29T04:52:00Z</dcterms:created>
  <dc:creator>gtig_tzb</dc:creator>
  <cp:lastModifiedBy>高际航</cp:lastModifiedBy>
  <cp:lastPrinted>2020-08-08T20:08:00Z</cp:lastPrinted>
  <dcterms:modified xsi:type="dcterms:W3CDTF">2025-04-02T11:10:25Z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2052-12.8.2.1113</vt:lpwstr>
  </property>
  <property fmtid="{D5CDD505-2E9C-101B-9397-08002B2CF9AE}" pid="3" name="ICV">
    <vt:lpwstr>A6C5937558A1AFDCA1AAEC67D3086E90_43</vt:lpwstr>
  </property>
  <property fmtid="{D5CDD505-2E9C-101B-9397-08002B2CF9AE}" pid="4" name="KSOTemplateDocerSaveRecord">
    <vt:lpwstr>eyJoZGlkIjoiZDk2MDdlOTYxZGExYzliY2MxOTU5ZmFmYTE4OTE5ZTkiLCJ1c2VySWQiOiIxMDI4MzYwMjQwIn0=</vt:lpwstr>
  </property>
</Properties>
</file>