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r>
        <w:rPr>
          <w:rFonts w:hint="eastAsia" w:ascii="黑体" w:hAnsi="黑体" w:eastAsia="黑体" w:cs="黑体"/>
          <w:sz w:val="48"/>
          <w:szCs w:val="48"/>
          <w:lang w:val="zh-TW"/>
        </w:rPr>
        <w:t>可信政务数据共享生态环境局配套场景（一期）建设项目</w:t>
      </w:r>
      <w:r>
        <w:rPr>
          <w:rFonts w:hint="eastAsia" w:ascii="黑体" w:hAnsi="黑体" w:eastAsia="黑体"/>
          <w:sz w:val="52"/>
          <w:szCs w:val="52"/>
        </w:rPr>
        <w:t>采购需求</w:t>
      </w:r>
    </w:p>
    <w:p>
      <w:pPr>
        <w:ind w:firstLine="0" w:firstLineChars="0"/>
        <w:jc w:val="center"/>
        <w:rPr>
          <w:rFonts w:hint="eastAsia" w:ascii="黑体" w:hAnsi="黑体" w:eastAsia="黑体"/>
          <w:sz w:val="72"/>
          <w:szCs w:val="72"/>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p>
    <w:p>
      <w:pPr>
        <w:ind w:firstLine="1040"/>
        <w:rPr>
          <w:rFonts w:hint="eastAsia" w:ascii="黑体" w:hAnsi="黑体" w:eastAsia="黑体"/>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ind w:firstLine="1040"/>
        <w:rPr>
          <w:rFonts w:hint="eastAsia" w:ascii="黑体" w:hAnsi="黑体" w:eastAsia="黑体"/>
          <w:sz w:val="52"/>
          <w:szCs w:val="52"/>
        </w:rPr>
      </w:pPr>
    </w:p>
    <w:p>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rPr>
      </w:pPr>
      <w:bookmarkStart w:id="0" w:name="_Toc63785461"/>
      <w:r>
        <w:rPr>
          <w:rFonts w:hint="eastAsia"/>
        </w:rPr>
        <w:t>项目概况</w:t>
      </w:r>
      <w:bookmarkEnd w:id="0"/>
    </w:p>
    <w:p>
      <w:pPr>
        <w:spacing w:line="500" w:lineRule="exact"/>
        <w:rPr>
          <w:rFonts w:hint="eastAsia"/>
        </w:rPr>
      </w:pPr>
      <w:r>
        <w:rPr>
          <w:rFonts w:hint="eastAsia"/>
        </w:rPr>
        <w:t>项目背景和现状：随着政府对危险废物管理的愈加重视，“区块链+固体废物管理”新模式也为危险废物管理带来了新的管理思路。另外，碳普惠机制建设和推广离不开区块链技术对个人数据的保护。配合生态环境局固废数字化综合监管系统、碳排放综合管理系统的建设，需要利用政务区块链实现跨部门、跨平台的数据可信共享。</w:t>
      </w:r>
    </w:p>
    <w:p>
      <w:pPr>
        <w:spacing w:line="560" w:lineRule="exact"/>
        <w:rPr>
          <w:rFonts w:hint="eastAsia"/>
        </w:rPr>
      </w:pPr>
      <w:r>
        <w:rPr>
          <w:rFonts w:hint="eastAsia"/>
        </w:rPr>
        <w:t>建设期限：自合同签订之日起6个月内</w:t>
      </w:r>
    </w:p>
    <w:p>
      <w:pPr>
        <w:spacing w:line="560" w:lineRule="exact"/>
        <w:rPr>
          <w:rFonts w:hint="eastAsia"/>
        </w:rPr>
      </w:pPr>
      <w:r>
        <w:rPr>
          <w:rFonts w:hint="eastAsia"/>
        </w:rPr>
        <w:t xml:space="preserve">建设地点：上海市大数据中心 </w:t>
      </w:r>
    </w:p>
    <w:p>
      <w:pPr>
        <w:rPr>
          <w:rFonts w:hint="eastAsia"/>
        </w:rPr>
      </w:pPr>
      <w:r>
        <w:t>是否</w:t>
      </w:r>
      <w:r>
        <w:rPr>
          <w:rFonts w:hint="eastAsia"/>
          <w:lang w:eastAsia="zh-CN"/>
        </w:rPr>
        <w:t>信</w:t>
      </w:r>
      <w:r>
        <w:rPr>
          <w:rFonts w:hint="eastAsia"/>
          <w:lang w:val="en-US" w:eastAsia="zh-CN"/>
        </w:rPr>
        <w:t xml:space="preserve"> </w:t>
      </w:r>
      <w:r>
        <w:rPr>
          <w:rFonts w:hint="eastAsia"/>
          <w:lang w:eastAsia="zh-CN"/>
        </w:rPr>
        <w:t>创</w:t>
      </w:r>
      <w:r>
        <w:t>要求建设：是</w:t>
      </w:r>
    </w:p>
    <w:p>
      <w:pPr>
        <w:rPr>
          <w:rFonts w:hint="eastAsia"/>
        </w:rPr>
      </w:pPr>
      <w:r>
        <w:rPr>
          <w:rFonts w:hint="eastAsia"/>
        </w:rPr>
        <w:t>运维后所属大系统：生态环境综合监管大系统</w:t>
      </w:r>
    </w:p>
    <w:p>
      <w:pPr>
        <w:pStyle w:val="2"/>
        <w:rPr>
          <w:rFonts w:hint="eastAsia"/>
        </w:rPr>
      </w:pPr>
      <w:bookmarkStart w:id="1" w:name="_Toc47536644"/>
      <w:bookmarkEnd w:id="1"/>
      <w:bookmarkStart w:id="2" w:name="_Toc47536272"/>
      <w:bookmarkEnd w:id="2"/>
      <w:bookmarkStart w:id="3" w:name="_Toc47537134"/>
      <w:bookmarkEnd w:id="3"/>
      <w:bookmarkStart w:id="4" w:name="_Toc47539070"/>
      <w:bookmarkEnd w:id="4"/>
      <w:bookmarkStart w:id="5" w:name="_Toc47533256"/>
      <w:bookmarkEnd w:id="5"/>
      <w:bookmarkStart w:id="6" w:name="_Toc47532891"/>
      <w:bookmarkEnd w:id="6"/>
      <w:bookmarkStart w:id="7" w:name="_Toc47532255"/>
      <w:bookmarkEnd w:id="7"/>
      <w:bookmarkStart w:id="8" w:name="_Toc47531634"/>
      <w:bookmarkEnd w:id="8"/>
      <w:bookmarkStart w:id="9" w:name="_Toc48223882"/>
      <w:bookmarkStart w:id="10" w:name="_Toc63785463"/>
      <w:r>
        <w:rPr>
          <w:rFonts w:hint="eastAsia"/>
        </w:rPr>
        <w:t>建设目标</w:t>
      </w:r>
      <w:bookmarkEnd w:id="9"/>
      <w:bookmarkEnd w:id="10"/>
    </w:p>
    <w:p>
      <w:pPr>
        <w:pStyle w:val="3"/>
        <w:rPr>
          <w:rFonts w:hint="eastAsia"/>
        </w:rPr>
      </w:pPr>
      <w:r>
        <w:rPr>
          <w:rFonts w:hint="eastAsia"/>
        </w:rPr>
        <w:t>危险废物可信共享管理</w:t>
      </w:r>
    </w:p>
    <w:p>
      <w:pPr>
        <w:spacing w:line="500" w:lineRule="exact"/>
        <w:rPr>
          <w:rFonts w:hint="eastAsia"/>
        </w:rPr>
      </w:pPr>
      <w:bookmarkStart w:id="11" w:name="_Toc139883486"/>
      <w:bookmarkStart w:id="12" w:name="_Toc175952118"/>
      <w:r>
        <w:rPr>
          <w:rFonts w:hint="eastAsia"/>
        </w:rPr>
        <w:t>配合生态环境局固废数字化综合监管系统，将危险废物的全生命数字化监管数据上链，实现危废转移全程跨部门实时跟踪，防范运输途中的倾倒风险。另外实现工况监控数据与经营台账数据比对，便于管理部门掌握经营单位的实际运行情况。</w:t>
      </w:r>
    </w:p>
    <w:p>
      <w:pPr>
        <w:pStyle w:val="3"/>
        <w:rPr>
          <w:rFonts w:hint="eastAsia"/>
        </w:rPr>
      </w:pPr>
      <w:r>
        <w:rPr>
          <w:rFonts w:hint="eastAsia"/>
        </w:rPr>
        <w:t>碳普惠可信共享管理</w:t>
      </w:r>
    </w:p>
    <w:p>
      <w:pPr>
        <w:spacing w:line="500" w:lineRule="exact"/>
        <w:rPr>
          <w:rFonts w:hint="eastAsia"/>
        </w:rPr>
      </w:pPr>
      <w:r>
        <w:rPr>
          <w:rFonts w:hint="eastAsia"/>
        </w:rPr>
        <w:t>通过开发碳账户管理合约、里程码表合约、一般减排量管理合约、碳积分管理合约、整存减排量管理合约、碳市场交易减排量管理合约、项目减排量管理合约、隐私计算复核合约等业务合约，应用到碳普惠业务全流程，覆盖从方法学申报及审核、场景/权益方申请接入、碳账户开通、用户场景授权、减排量签发、兑换积分、积分兑换权益的每一个关键环节，实现对碳减排量的全生命周期进行管控，形成完整的可信证据链，来源可溯，去向可追，为构建可信碳资产打下坚实基础，为后续对接碳市场交易提供完整的追溯闭环。</w:t>
      </w:r>
    </w:p>
    <w:p>
      <w:pPr>
        <w:pStyle w:val="3"/>
        <w:rPr>
          <w:rFonts w:hint="eastAsia"/>
        </w:rPr>
      </w:pPr>
      <w:r>
        <w:t>业务绩效考核目标</w:t>
      </w:r>
      <w:bookmarkEnd w:id="11"/>
      <w:bookmarkEnd w:id="12"/>
    </w:p>
    <w:tbl>
      <w:tblPr>
        <w:tblStyle w:val="36"/>
        <w:tblW w:w="4998" w:type="pct"/>
        <w:tblInd w:w="0" w:type="dxa"/>
        <w:shd w:val="clear" w:color="auto" w:fill="FFFFFF" w:themeFill="background1"/>
        <w:tblLayout w:type="autofit"/>
        <w:tblCellMar>
          <w:top w:w="0" w:type="dxa"/>
          <w:left w:w="108" w:type="dxa"/>
          <w:bottom w:w="0" w:type="dxa"/>
          <w:right w:w="108" w:type="dxa"/>
        </w:tblCellMar>
      </w:tblPr>
      <w:tblGrid>
        <w:gridCol w:w="742"/>
        <w:gridCol w:w="1056"/>
        <w:gridCol w:w="1056"/>
        <w:gridCol w:w="2316"/>
        <w:gridCol w:w="846"/>
        <w:gridCol w:w="1767"/>
        <w:gridCol w:w="742"/>
      </w:tblGrid>
      <w:tr>
        <w:tblPrEx>
          <w:shd w:val="clear" w:color="auto" w:fill="FFFFFF" w:themeFill="background1"/>
          <w:tblCellMar>
            <w:top w:w="0" w:type="dxa"/>
            <w:left w:w="108" w:type="dxa"/>
            <w:bottom w:w="0" w:type="dxa"/>
            <w:right w:w="108" w:type="dxa"/>
          </w:tblCellMar>
        </w:tblPrEx>
        <w:trPr>
          <w:trHeight w:val="280" w:hRule="atLeast"/>
        </w:trPr>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序号</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二级指标</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三级指标</w:t>
            </w:r>
          </w:p>
        </w:tc>
        <w:tc>
          <w:tcPr>
            <w:tcW w:w="136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四级指标</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运算符</w:t>
            </w:r>
          </w:p>
        </w:tc>
        <w:tc>
          <w:tcPr>
            <w:tcW w:w="11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目标值</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单位</w:t>
            </w:r>
          </w:p>
        </w:tc>
      </w:tr>
      <w:tr>
        <w:tblPrEx>
          <w:shd w:val="clear" w:color="auto" w:fill="FFFFFF" w:themeFill="background1"/>
          <w:tblCellMar>
            <w:top w:w="0" w:type="dxa"/>
            <w:left w:w="108" w:type="dxa"/>
            <w:bottom w:w="0" w:type="dxa"/>
            <w:right w:w="108" w:type="dxa"/>
          </w:tblCellMar>
        </w:tblPrEx>
        <w:trPr>
          <w:trHeight w:val="280" w:hRule="atLeast"/>
        </w:trPr>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生态效益</w:t>
            </w:r>
          </w:p>
        </w:tc>
        <w:tc>
          <w:tcPr>
            <w:tcW w:w="136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支撑危废处置监管</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11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万吨</w:t>
            </w:r>
          </w:p>
        </w:tc>
      </w:tr>
      <w:tr>
        <w:tblPrEx>
          <w:shd w:val="clear" w:color="auto" w:fill="FFFFFF" w:themeFill="background1"/>
          <w:tblCellMar>
            <w:top w:w="0" w:type="dxa"/>
            <w:left w:w="108" w:type="dxa"/>
            <w:bottom w:w="0" w:type="dxa"/>
            <w:right w:w="108" w:type="dxa"/>
          </w:tblCellMar>
        </w:tblPrEx>
        <w:trPr>
          <w:trHeight w:val="280" w:hRule="atLeast"/>
        </w:trPr>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2</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生态效益</w:t>
            </w:r>
          </w:p>
        </w:tc>
        <w:tc>
          <w:tcPr>
            <w:tcW w:w="136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支撑碳减排量签发</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11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50000</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吨</w:t>
            </w:r>
          </w:p>
        </w:tc>
      </w:tr>
      <w:tr>
        <w:tblPrEx>
          <w:shd w:val="clear" w:color="auto" w:fill="FFFFFF" w:themeFill="background1"/>
          <w:tblCellMar>
            <w:top w:w="0" w:type="dxa"/>
            <w:left w:w="108" w:type="dxa"/>
            <w:bottom w:w="0" w:type="dxa"/>
            <w:right w:w="108" w:type="dxa"/>
          </w:tblCellMar>
        </w:tblPrEx>
        <w:trPr>
          <w:trHeight w:val="280" w:hRule="atLeast"/>
        </w:trPr>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3</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社会效益</w:t>
            </w:r>
          </w:p>
        </w:tc>
        <w:tc>
          <w:tcPr>
            <w:tcW w:w="136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激励公众自愿碳减排</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11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100000</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人</w:t>
            </w:r>
          </w:p>
        </w:tc>
      </w:tr>
      <w:tr>
        <w:tblPrEx>
          <w:shd w:val="clear" w:color="auto" w:fill="FFFFFF" w:themeFill="background1"/>
          <w:tblCellMar>
            <w:top w:w="0" w:type="dxa"/>
            <w:left w:w="108" w:type="dxa"/>
            <w:bottom w:w="0" w:type="dxa"/>
            <w:right w:w="108" w:type="dxa"/>
          </w:tblCellMar>
        </w:tblPrEx>
        <w:trPr>
          <w:trHeight w:val="280" w:hRule="atLeast"/>
        </w:trPr>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4</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产出数量</w:t>
            </w:r>
          </w:p>
        </w:tc>
        <w:tc>
          <w:tcPr>
            <w:tcW w:w="136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支撑碳普惠方法学申报</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11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5</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个</w:t>
            </w:r>
          </w:p>
        </w:tc>
      </w:tr>
    </w:tbl>
    <w:p>
      <w:pPr>
        <w:rPr>
          <w:rFonts w:hint="eastAsia"/>
        </w:rPr>
      </w:pPr>
    </w:p>
    <w:p>
      <w:pPr>
        <w:pStyle w:val="3"/>
        <w:rPr>
          <w:rFonts w:hint="eastAsia"/>
        </w:rPr>
      </w:pPr>
      <w:bookmarkStart w:id="13" w:name="_Toc139883487"/>
      <w:bookmarkStart w:id="14" w:name="_Toc175952119"/>
      <w:r>
        <w:rPr>
          <w:rFonts w:hint="eastAsia"/>
        </w:rPr>
        <w:t>技术绩效考核目标</w:t>
      </w:r>
      <w:bookmarkEnd w:id="13"/>
      <w:bookmarkEnd w:id="14"/>
    </w:p>
    <w:tbl>
      <w:tblPr>
        <w:tblStyle w:val="36"/>
        <w:tblW w:w="4886" w:type="pct"/>
        <w:tblInd w:w="0" w:type="dxa"/>
        <w:shd w:val="clear" w:color="auto" w:fill="FFFFFF" w:themeFill="background1"/>
        <w:tblLayout w:type="autofit"/>
        <w:tblCellMar>
          <w:top w:w="0" w:type="dxa"/>
          <w:left w:w="108" w:type="dxa"/>
          <w:bottom w:w="0" w:type="dxa"/>
          <w:right w:w="108" w:type="dxa"/>
        </w:tblCellMar>
      </w:tblPr>
      <w:tblGrid>
        <w:gridCol w:w="754"/>
        <w:gridCol w:w="1203"/>
        <w:gridCol w:w="1203"/>
        <w:gridCol w:w="1203"/>
        <w:gridCol w:w="1271"/>
        <w:gridCol w:w="962"/>
        <w:gridCol w:w="1018"/>
        <w:gridCol w:w="720"/>
      </w:tblGrid>
      <w:tr>
        <w:tblPrEx>
          <w:shd w:val="clear" w:color="auto" w:fill="FFFFFF" w:themeFill="background1"/>
          <w:tblCellMar>
            <w:top w:w="0" w:type="dxa"/>
            <w:left w:w="108" w:type="dxa"/>
            <w:bottom w:w="0" w:type="dxa"/>
            <w:right w:w="108" w:type="dxa"/>
          </w:tblCellMar>
        </w:tblPrEx>
        <w:trPr>
          <w:trHeight w:val="280"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序号</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三级指标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四级指标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定性/定量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运算符</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目标值</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单位</w:t>
            </w:r>
          </w:p>
        </w:tc>
      </w:tr>
      <w:tr>
        <w:tblPrEx>
          <w:shd w:val="clear" w:color="auto" w:fill="FFFFFF" w:themeFill="background1"/>
          <w:tblCellMar>
            <w:top w:w="0" w:type="dxa"/>
            <w:left w:w="108" w:type="dxa"/>
            <w:bottom w:w="0" w:type="dxa"/>
            <w:right w:w="108" w:type="dxa"/>
          </w:tblCellMar>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产出数量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软件开发完成率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w:t>
            </w: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2</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软件测试达标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r>
      <w:tr>
        <w:tblPrEx>
          <w:shd w:val="clear" w:color="auto" w:fill="FFFFFF" w:themeFill="background1"/>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3</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一次性验收合格率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w:t>
            </w: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4</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安全事件发生次数</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次</w:t>
            </w: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5</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网络安全等级保护</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三级</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r>
      <w:tr>
        <w:tblPrEx>
          <w:shd w:val="clear" w:color="auto" w:fill="FFFFFF" w:themeFill="background1"/>
          <w:tblCellMar>
            <w:top w:w="0" w:type="dxa"/>
            <w:left w:w="108" w:type="dxa"/>
            <w:bottom w:w="0" w:type="dxa"/>
            <w:right w:w="108" w:type="dxa"/>
          </w:tblCellMar>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6</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系统可靠性</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98</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w:t>
            </w:r>
          </w:p>
        </w:tc>
      </w:tr>
      <w:tr>
        <w:tblPrEx>
          <w:shd w:val="clear" w:color="auto" w:fill="FFFFFF" w:themeFill="background1"/>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7</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安全测试达标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90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8</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密码测试达标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90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9</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产出指标</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产出时效</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项目建设周期</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6</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月</w:t>
            </w:r>
          </w:p>
        </w:tc>
      </w:tr>
      <w:tr>
        <w:tblPrEx>
          <w:shd w:val="clear" w:color="auto" w:fill="FFFFFF" w:themeFill="background1"/>
          <w:tblCellMar>
            <w:top w:w="0" w:type="dxa"/>
            <w:left w:w="108" w:type="dxa"/>
            <w:bottom w:w="0" w:type="dxa"/>
            <w:right w:w="108" w:type="dxa"/>
          </w:tblCellMar>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共性平台</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系统共享水平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跨部门数据共享程度</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70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w:t>
            </w:r>
          </w:p>
        </w:tc>
      </w:tr>
      <w:tr>
        <w:tblPrEx>
          <w:shd w:val="clear" w:color="auto" w:fill="FFFFFF" w:themeFill="background1"/>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11</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共性平台</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数据质量水平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核心数据缺失率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5</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w:t>
            </w: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12</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应用系统</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用户使用情况</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月活跃用户量</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10000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人次/月</w:t>
            </w: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13</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应用系统</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用户使用情况</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系统用户量</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100000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个</w:t>
            </w:r>
          </w:p>
        </w:tc>
      </w:tr>
      <w:tr>
        <w:tblPrEx>
          <w:shd w:val="clear" w:color="auto" w:fill="FFFFFF" w:themeFill="background1"/>
          <w:tblCellMar>
            <w:top w:w="0" w:type="dxa"/>
            <w:left w:w="108" w:type="dxa"/>
            <w:bottom w:w="0" w:type="dxa"/>
            <w:right w:w="108" w:type="dxa"/>
          </w:tblCellMar>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14</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应用系统</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区块链技术利用水平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支撑业务数量</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2</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个</w:t>
            </w:r>
          </w:p>
        </w:tc>
      </w:tr>
      <w:tr>
        <w:tblPrEx>
          <w:shd w:val="clear" w:color="auto" w:fill="FFFFFF" w:themeFill="background1"/>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15</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应用系统</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区块链技术利用水平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数据上链条目数</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条</w:t>
            </w:r>
          </w:p>
        </w:tc>
      </w:tr>
      <w:tr>
        <w:tblPrEx>
          <w:shd w:val="clear" w:color="auto" w:fill="FFFFFF" w:themeFill="background1"/>
          <w:tblCellMar>
            <w:top w:w="0" w:type="dxa"/>
            <w:left w:w="108" w:type="dxa"/>
            <w:bottom w:w="0" w:type="dxa"/>
            <w:right w:w="108" w:type="dxa"/>
          </w:tblCellMar>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16</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安全体系</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安全建设水平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数据风险监测覆盖率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90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w:t>
            </w:r>
          </w:p>
        </w:tc>
      </w:tr>
      <w:tr>
        <w:tblPrEx>
          <w:shd w:val="clear" w:color="auto" w:fill="FFFFFF" w:themeFill="background1"/>
          <w:tblCellMar>
            <w:top w:w="0" w:type="dxa"/>
            <w:left w:w="108" w:type="dxa"/>
            <w:bottom w:w="0" w:type="dxa"/>
            <w:right w:w="108" w:type="dxa"/>
          </w:tblCellMar>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17</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安全体系</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安全建设水平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信息系统安全监管覆盖率</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定量</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w:t>
            </w: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18</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安全体系</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安全建设水平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系统安全措施</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是</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r>
      <w:tr>
        <w:tblPrEx>
          <w:shd w:val="clear" w:color="auto" w:fill="FFFFFF" w:themeFill="background1"/>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19</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安全体系</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安全建设水平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网络安全措施</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是</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r>
      <w:tr>
        <w:tblPrEx>
          <w:shd w:val="clear" w:color="auto" w:fill="FFFFFF" w:themeFill="background1"/>
          <w:tblCellMar>
            <w:top w:w="0" w:type="dxa"/>
            <w:left w:w="108" w:type="dxa"/>
            <w:bottom w:w="0" w:type="dxa"/>
            <w:right w:w="108" w:type="dxa"/>
          </w:tblCellMar>
        </w:tblPrEx>
        <w:trPr>
          <w:trHeight w:val="535"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20</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安全体系</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安全建设水平</w:t>
            </w:r>
          </w:p>
        </w:tc>
        <w:tc>
          <w:tcPr>
            <w:tcW w:w="7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数据安全措施</w:t>
            </w:r>
          </w:p>
        </w:tc>
        <w:tc>
          <w:tcPr>
            <w:tcW w:w="7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139"/>
            </w:pPr>
            <w:r>
              <w:rPr>
                <w:rFonts w:hint="eastAsia"/>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c>
          <w:tcPr>
            <w:tcW w:w="5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r>
              <w:rPr>
                <w:rFonts w:hint="eastAsia"/>
              </w:rPr>
              <w:t>是</w:t>
            </w:r>
          </w:p>
        </w:tc>
        <w:tc>
          <w:tcPr>
            <w:tcW w:w="4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pStyle w:val="139"/>
            </w:pPr>
          </w:p>
        </w:tc>
      </w:tr>
    </w:tbl>
    <w:p>
      <w:pPr>
        <w:ind w:firstLine="482"/>
        <w:rPr>
          <w:rFonts w:hint="eastAsia"/>
          <w:b/>
        </w:rPr>
      </w:pPr>
    </w:p>
    <w:p>
      <w:pPr>
        <w:pStyle w:val="2"/>
        <w:rPr>
          <w:rFonts w:hint="eastAsia"/>
        </w:rPr>
      </w:pPr>
      <w:bookmarkStart w:id="15" w:name="_Toc47537166"/>
      <w:bookmarkEnd w:id="15"/>
      <w:bookmarkStart w:id="16" w:name="_Toc47536304"/>
      <w:bookmarkEnd w:id="16"/>
      <w:bookmarkStart w:id="17" w:name="_Toc47533288"/>
      <w:bookmarkEnd w:id="17"/>
      <w:bookmarkStart w:id="18" w:name="_Toc47539102"/>
      <w:bookmarkEnd w:id="18"/>
      <w:bookmarkStart w:id="19" w:name="_Toc47532923"/>
      <w:bookmarkEnd w:id="19"/>
      <w:bookmarkStart w:id="20" w:name="_Toc47536676"/>
      <w:bookmarkEnd w:id="20"/>
      <w:r>
        <w:rPr>
          <w:rFonts w:hint="eastAsia"/>
        </w:rPr>
        <w:t>项目建设内容</w:t>
      </w:r>
    </w:p>
    <w:p>
      <w:pPr>
        <w:pStyle w:val="3"/>
        <w:ind w:left="0"/>
        <w:rPr>
          <w:rFonts w:hint="eastAsia"/>
        </w:rPr>
      </w:pPr>
      <w:r>
        <w:rPr>
          <w:rFonts w:hint="eastAsia"/>
        </w:rPr>
        <w:t>危险废物管理政务数据共享配套场景</w:t>
      </w:r>
    </w:p>
    <w:p>
      <w:pPr>
        <w:spacing w:line="500" w:lineRule="exact"/>
      </w:pPr>
      <w:r>
        <w:rPr>
          <w:rFonts w:hint="eastAsia"/>
        </w:rPr>
        <w:t>危险废物管理政务数据共享配套场景系统架构图如下：</w:t>
      </w:r>
    </w:p>
    <w:p>
      <w:pPr>
        <w:ind w:firstLine="0" w:firstLineChars="0"/>
        <w:jc w:val="center"/>
        <w:rPr>
          <w:rFonts w:hint="eastAsia"/>
        </w:rPr>
      </w:pPr>
      <w:r>
        <w:drawing>
          <wp:inline distT="0" distB="0" distL="114300" distR="114300">
            <wp:extent cx="5245100" cy="1530350"/>
            <wp:effectExtent l="0" t="0" r="12700" b="8890"/>
            <wp:docPr id="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pic:cNvPicPr>
                      <a:picLocks noChangeAspect="1"/>
                    </pic:cNvPicPr>
                  </pic:nvPicPr>
                  <pic:blipFill>
                    <a:blip r:embed="rId13"/>
                    <a:stretch>
                      <a:fillRect/>
                    </a:stretch>
                  </pic:blipFill>
                  <pic:spPr>
                    <a:xfrm>
                      <a:off x="0" y="0"/>
                      <a:ext cx="5264959" cy="1536467"/>
                    </a:xfrm>
                    <a:prstGeom prst="rect">
                      <a:avLst/>
                    </a:prstGeom>
                    <a:noFill/>
                    <a:ln>
                      <a:noFill/>
                    </a:ln>
                  </pic:spPr>
                </pic:pic>
              </a:graphicData>
            </a:graphic>
          </wp:inline>
        </w:drawing>
      </w:r>
    </w:p>
    <w:p>
      <w:pPr>
        <w:pStyle w:val="4"/>
        <w:ind w:hanging="1069"/>
        <w:rPr>
          <w:rFonts w:hint="eastAsia"/>
        </w:rPr>
      </w:pPr>
      <w:r>
        <w:rPr>
          <w:rFonts w:hint="eastAsia"/>
        </w:rPr>
        <w:t>固废企业电子台账信息管理</w:t>
      </w:r>
    </w:p>
    <w:p>
      <w:pPr>
        <w:spacing w:line="500" w:lineRule="exact"/>
        <w:rPr>
          <w:rFonts w:hint="eastAsia"/>
        </w:rPr>
      </w:pPr>
      <w:r>
        <w:rPr>
          <w:rFonts w:hint="eastAsia"/>
        </w:rPr>
        <w:t>包括企业基本信息，以及许可证信息管理、管理计划备案信息管理、固废电子标签信息管理、出入库信息管理等。</w:t>
      </w:r>
    </w:p>
    <w:p>
      <w:pPr>
        <w:pStyle w:val="4"/>
        <w:ind w:hanging="1069"/>
        <w:rPr>
          <w:rFonts w:hint="eastAsia"/>
        </w:rPr>
      </w:pPr>
      <w:r>
        <w:rPr>
          <w:rFonts w:hint="eastAsia"/>
        </w:rPr>
        <w:t>危化企业生产存储信息管理</w:t>
      </w:r>
    </w:p>
    <w:p>
      <w:pPr>
        <w:spacing w:line="500" w:lineRule="exact"/>
        <w:rPr>
          <w:rFonts w:hint="eastAsia"/>
        </w:rPr>
      </w:pPr>
      <w:r>
        <w:rPr>
          <w:rFonts w:hint="eastAsia"/>
        </w:rPr>
        <w:t>包括危化企业基本信息管理，以及危化品生产信息管理、危化品经营利用信息管理、危化品仓储信息管理、危化品处置信息管理、联单填领信息管理、联单运输信息管理、联单签收信息管理等。</w:t>
      </w:r>
    </w:p>
    <w:p>
      <w:pPr>
        <w:pStyle w:val="4"/>
        <w:ind w:hanging="1069"/>
        <w:rPr>
          <w:rFonts w:hint="eastAsia"/>
        </w:rPr>
      </w:pPr>
      <w:r>
        <w:rPr>
          <w:rFonts w:hint="eastAsia"/>
        </w:rPr>
        <w:t>执法处罚信息管理</w:t>
      </w:r>
    </w:p>
    <w:p>
      <w:pPr>
        <w:spacing w:line="500" w:lineRule="exact"/>
        <w:rPr>
          <w:rFonts w:hint="eastAsia"/>
        </w:rPr>
      </w:pPr>
      <w:r>
        <w:rPr>
          <w:rFonts w:hint="eastAsia"/>
        </w:rPr>
        <w:t>包括行政检查、执法数据管理，以及执法处罚数据管理、企业环境信用信息管理、企业信用修复信息管理等。</w:t>
      </w:r>
    </w:p>
    <w:p>
      <w:pPr>
        <w:pStyle w:val="3"/>
        <w:ind w:left="0"/>
        <w:rPr>
          <w:rFonts w:hint="eastAsia"/>
        </w:rPr>
      </w:pPr>
      <w:bookmarkStart w:id="21" w:name="_Toc25322"/>
      <w:bookmarkStart w:id="22" w:name="_Toc13510"/>
      <w:bookmarkStart w:id="23" w:name="_Toc13556"/>
      <w:bookmarkStart w:id="24" w:name="_Toc3551"/>
      <w:bookmarkStart w:id="25" w:name="_Toc29697"/>
      <w:bookmarkStart w:id="26" w:name="_Toc21315"/>
      <w:bookmarkStart w:id="27" w:name="_Toc26521"/>
      <w:r>
        <w:rPr>
          <w:rFonts w:hint="eastAsia"/>
        </w:rPr>
        <w:t>碳普惠管理政务数据共享配套场景</w:t>
      </w:r>
      <w:bookmarkEnd w:id="21"/>
      <w:bookmarkEnd w:id="22"/>
      <w:bookmarkEnd w:id="23"/>
      <w:bookmarkEnd w:id="24"/>
      <w:bookmarkEnd w:id="25"/>
      <w:bookmarkEnd w:id="26"/>
      <w:bookmarkEnd w:id="27"/>
    </w:p>
    <w:p>
      <w:r>
        <w:rPr>
          <w:rFonts w:hint="eastAsia"/>
        </w:rPr>
        <w:t>碳普惠管理政务数据共享配套场景系统架构图如下：</w:t>
      </w:r>
    </w:p>
    <w:p>
      <w:r>
        <w:drawing>
          <wp:inline distT="0" distB="0" distL="114300" distR="114300">
            <wp:extent cx="4787265" cy="2432050"/>
            <wp:effectExtent l="0" t="0" r="13335" b="6350"/>
            <wp:docPr id="6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7"/>
                    <pic:cNvPicPr>
                      <a:picLocks noChangeAspect="1"/>
                    </pic:cNvPicPr>
                  </pic:nvPicPr>
                  <pic:blipFill>
                    <a:blip r:embed="rId14"/>
                    <a:stretch>
                      <a:fillRect/>
                    </a:stretch>
                  </pic:blipFill>
                  <pic:spPr>
                    <a:xfrm>
                      <a:off x="0" y="0"/>
                      <a:ext cx="4787265" cy="2432050"/>
                    </a:xfrm>
                    <a:prstGeom prst="rect">
                      <a:avLst/>
                    </a:prstGeom>
                    <a:noFill/>
                    <a:ln>
                      <a:noFill/>
                    </a:ln>
                  </pic:spPr>
                </pic:pic>
              </a:graphicData>
            </a:graphic>
          </wp:inline>
        </w:drawing>
      </w:r>
    </w:p>
    <w:p>
      <w:pPr>
        <w:pStyle w:val="4"/>
        <w:ind w:hanging="1069"/>
        <w:rPr>
          <w:rFonts w:hint="eastAsia"/>
        </w:rPr>
      </w:pPr>
      <w:r>
        <w:rPr>
          <w:rFonts w:hint="eastAsia"/>
        </w:rPr>
        <w:t>方法学入库管理</w:t>
      </w:r>
      <w:r>
        <w:rPr>
          <w:rFonts w:hint="eastAsia"/>
        </w:rPr>
        <w:tab/>
      </w:r>
    </w:p>
    <w:p>
      <w:pPr>
        <w:pStyle w:val="5"/>
        <w:numPr>
          <w:ilvl w:val="0"/>
          <w:numId w:val="0"/>
        </w:numPr>
        <w:spacing w:before="190"/>
        <w:ind w:firstLine="480" w:firstLineChars="200"/>
        <w:rPr>
          <w:rFonts w:hint="eastAsia"/>
          <w:b w:val="0"/>
          <w:bCs w:val="0"/>
          <w:sz w:val="24"/>
          <w:szCs w:val="24"/>
        </w:rPr>
      </w:pPr>
      <w:r>
        <w:rPr>
          <w:rFonts w:hint="eastAsia"/>
          <w:b w:val="0"/>
          <w:bCs w:val="0"/>
          <w:sz w:val="24"/>
          <w:szCs w:val="24"/>
        </w:rPr>
        <w:t>包括方法学公开、方法学查询、方法学废止、方法学更新方法学查询及追溯管理等。</w:t>
      </w:r>
    </w:p>
    <w:p>
      <w:pPr>
        <w:pStyle w:val="4"/>
        <w:ind w:hanging="1069"/>
        <w:rPr>
          <w:rFonts w:hint="eastAsia"/>
        </w:rPr>
      </w:pPr>
      <w:r>
        <w:rPr>
          <w:rFonts w:hint="eastAsia"/>
        </w:rPr>
        <w:t>方法学查询</w:t>
      </w:r>
    </w:p>
    <w:p>
      <w:pPr>
        <w:pStyle w:val="6"/>
        <w:numPr>
          <w:ilvl w:val="0"/>
          <w:numId w:val="0"/>
        </w:numPr>
        <w:spacing w:before="190"/>
        <w:ind w:firstLine="480" w:firstLineChars="200"/>
        <w:rPr>
          <w:rFonts w:hint="eastAsia"/>
          <w:b w:val="0"/>
          <w:bCs w:val="0"/>
          <w:sz w:val="24"/>
          <w:szCs w:val="24"/>
        </w:rPr>
      </w:pPr>
      <w:r>
        <w:rPr>
          <w:rFonts w:hint="eastAsia"/>
          <w:b w:val="0"/>
          <w:bCs w:val="0"/>
          <w:sz w:val="24"/>
          <w:szCs w:val="24"/>
        </w:rPr>
        <w:t>包括方法学的查验功能，支持用户验证方法学的有效性；提供方法学追溯功能，支持事后追溯方法学的修订记录。</w:t>
      </w:r>
    </w:p>
    <w:p>
      <w:pPr>
        <w:pStyle w:val="4"/>
        <w:ind w:hanging="1069"/>
        <w:rPr>
          <w:rFonts w:hint="eastAsia"/>
        </w:rPr>
      </w:pPr>
      <w:r>
        <w:rPr>
          <w:rFonts w:hint="eastAsia"/>
        </w:rPr>
        <w:t>场景方接入授权管理</w:t>
      </w:r>
    </w:p>
    <w:p>
      <w:pPr>
        <w:spacing w:line="500" w:lineRule="exact"/>
        <w:rPr>
          <w:rFonts w:hint="eastAsia"/>
        </w:rPr>
      </w:pPr>
      <w:r>
        <w:rPr>
          <w:rFonts w:hint="eastAsia"/>
        </w:rPr>
        <w:t>提供接入授权查验功能，为各方提供权威证明，并支持在后续的碳资产签发流转环节，验证是否具备参与资格。</w:t>
      </w:r>
    </w:p>
    <w:p>
      <w:pPr>
        <w:pStyle w:val="4"/>
        <w:ind w:hanging="1069"/>
        <w:rPr>
          <w:rFonts w:hint="eastAsia"/>
        </w:rPr>
      </w:pPr>
      <w:r>
        <w:rPr>
          <w:rFonts w:hint="eastAsia"/>
        </w:rPr>
        <w:t>权益方接入授权管理</w:t>
      </w:r>
    </w:p>
    <w:p>
      <w:pPr>
        <w:spacing w:line="500" w:lineRule="exact"/>
        <w:rPr>
          <w:rFonts w:hint="eastAsia"/>
        </w:rPr>
      </w:pPr>
      <w:r>
        <w:rPr>
          <w:rFonts w:hint="eastAsia"/>
        </w:rPr>
        <w:t>支持生成权益方接入授权凭证，作为权益方参与碳普惠业务的鉴权依据。提供接入授权查验功能，为各方提供权威证明。并支持在后续的碳资产签发流转环节，验证是否具备参与资格。</w:t>
      </w:r>
    </w:p>
    <w:p>
      <w:pPr>
        <w:pStyle w:val="4"/>
        <w:ind w:hanging="1069"/>
        <w:rPr>
          <w:rFonts w:hint="eastAsia"/>
        </w:rPr>
      </w:pPr>
      <w:r>
        <w:rPr>
          <w:rFonts w:hint="eastAsia"/>
        </w:rPr>
        <w:t>项目方接入授权管理</w:t>
      </w:r>
    </w:p>
    <w:p>
      <w:pPr>
        <w:spacing w:line="500" w:lineRule="exact"/>
        <w:rPr>
          <w:rFonts w:hint="eastAsia"/>
        </w:rPr>
      </w:pPr>
      <w:r>
        <w:rPr>
          <w:rFonts w:hint="eastAsia"/>
        </w:rPr>
        <w:t>当项目方通过碳普惠官方审核后，支持生成项目方接入授权凭证，作为项目方参与碳普惠业务的鉴权依据。提供接入授权查验功能，为各方提供权威证明。并支持在后续的碳资产签发流转环节，验证是否具备参与资格</w:t>
      </w:r>
    </w:p>
    <w:p>
      <w:pPr>
        <w:pStyle w:val="4"/>
        <w:ind w:hanging="1069"/>
        <w:rPr>
          <w:rFonts w:hint="eastAsia"/>
        </w:rPr>
      </w:pPr>
      <w:r>
        <w:rPr>
          <w:rFonts w:hint="eastAsia"/>
        </w:rPr>
        <w:t>碳账户管理</w:t>
      </w:r>
    </w:p>
    <w:p>
      <w:pPr>
        <w:spacing w:line="500" w:lineRule="exact"/>
        <w:rPr>
          <w:rFonts w:hint="eastAsia"/>
        </w:rPr>
      </w:pPr>
      <w:r>
        <w:rPr>
          <w:rFonts w:hint="eastAsia"/>
        </w:rPr>
        <w:t>支持碳普惠许可参与方参与碳普惠业务用户创建碳主账户。创建碳主账户时必须先获取有效的碳账户CID；提供查询碳主账户功能，支持有权限的参与方，根据CID查询碳主账户相关信息。</w:t>
      </w:r>
    </w:p>
    <w:p>
      <w:pPr>
        <w:pStyle w:val="4"/>
        <w:ind w:hanging="1069"/>
        <w:rPr>
          <w:rFonts w:hint="eastAsia"/>
        </w:rPr>
      </w:pPr>
      <w:r>
        <w:rPr>
          <w:rFonts w:hint="eastAsia"/>
        </w:rPr>
        <w:t>用户授权管理</w:t>
      </w:r>
    </w:p>
    <w:p>
      <w:pPr>
        <w:spacing w:line="500" w:lineRule="exact"/>
        <w:rPr>
          <w:rFonts w:hint="eastAsia"/>
        </w:rPr>
      </w:pPr>
      <w:r>
        <w:rPr>
          <w:rFonts w:hint="eastAsia"/>
        </w:rPr>
        <w:t>支持有权限的参与方为场景方生成用户数据授权凭证；取消授权更新有效时段，支持有权限的参与方，为用户撤销已授权的用户数据授权凭证。</w:t>
      </w:r>
    </w:p>
    <w:p>
      <w:pPr>
        <w:pStyle w:val="4"/>
        <w:ind w:hanging="1069"/>
        <w:rPr>
          <w:rFonts w:hint="eastAsia"/>
        </w:rPr>
      </w:pPr>
      <w:r>
        <w:rPr>
          <w:rFonts w:hint="eastAsia"/>
        </w:rPr>
        <w:t>数据授权查验管理</w:t>
      </w:r>
    </w:p>
    <w:p>
      <w:pPr>
        <w:spacing w:line="500" w:lineRule="exact"/>
        <w:rPr>
          <w:rFonts w:hint="eastAsia"/>
        </w:rPr>
      </w:pPr>
      <w:r>
        <w:rPr>
          <w:rFonts w:hint="eastAsia"/>
        </w:rPr>
        <w:t>为有权限的参与方，提供对用户授权数据的查验功能，验证是否存在有效的授权凭证，另外需要为有权限的参与方，提供用户针对某场景方的数据授权列表的查询功能。</w:t>
      </w:r>
    </w:p>
    <w:p>
      <w:pPr>
        <w:pStyle w:val="4"/>
        <w:ind w:hanging="1069"/>
        <w:rPr>
          <w:rFonts w:hint="eastAsia"/>
        </w:rPr>
      </w:pPr>
      <w:r>
        <w:rPr>
          <w:rFonts w:hint="eastAsia"/>
        </w:rPr>
        <w:t>减排行为数据管理</w:t>
      </w:r>
    </w:p>
    <w:p>
      <w:pPr>
        <w:spacing w:line="500" w:lineRule="exact"/>
        <w:rPr>
          <w:rFonts w:hint="eastAsia"/>
        </w:rPr>
      </w:pPr>
      <w:r>
        <w:rPr>
          <w:rFonts w:hint="eastAsia"/>
        </w:rPr>
        <w:t>支持获取接入凭证的场景方，在获得用户数据授权后，将用户减排行为数据作为减排量资产生成凭证；减排行为数据查询，支持获得许可的参与方查询减排行为数据，用于检查状态，获取减排量资产生成凭证；支持已获得减排行为数据的验证方，验证减排行为数据是否真实有效；支持减排量资产签发环节，验证签发申请中绑定的减排行为数据是否有效。</w:t>
      </w:r>
    </w:p>
    <w:p>
      <w:pPr>
        <w:pStyle w:val="4"/>
        <w:ind w:hanging="1069"/>
        <w:rPr>
          <w:rFonts w:hint="eastAsia"/>
        </w:rPr>
      </w:pPr>
      <w:r>
        <w:rPr>
          <w:rFonts w:hint="eastAsia"/>
        </w:rPr>
        <w:t>一般减排量签发管理</w:t>
      </w:r>
    </w:p>
    <w:p>
      <w:pPr>
        <w:spacing w:line="500" w:lineRule="exact"/>
        <w:rPr>
          <w:rFonts w:hint="eastAsia"/>
        </w:rPr>
      </w:pPr>
      <w:r>
        <w:rPr>
          <w:rFonts w:hint="eastAsia"/>
        </w:rPr>
        <w:t>支持获得许可的场景方，以每一条减排行为数据作为资产生成凭证，依据方法学生成减排量签发申请记录；在申请签发减排量时，对减排量所依赖的减排行为数据进行验证；对减排量是否有序签发进行检查，拒绝不符合业务规则约定顺序的减排量签发申请；支持在场景方签发一般减排量环节，扣减多条减排量签发申请记录中的可用减排量。</w:t>
      </w:r>
    </w:p>
    <w:p>
      <w:pPr>
        <w:pStyle w:val="4"/>
        <w:ind w:hanging="1069"/>
        <w:rPr>
          <w:rFonts w:hint="eastAsia"/>
        </w:rPr>
      </w:pPr>
      <w:r>
        <w:rPr>
          <w:rFonts w:hint="eastAsia"/>
        </w:rPr>
        <w:t>一般减排量资产管理</w:t>
      </w:r>
    </w:p>
    <w:p>
      <w:pPr>
        <w:spacing w:line="500" w:lineRule="exact"/>
        <w:rPr>
          <w:rFonts w:hint="eastAsia"/>
        </w:rPr>
      </w:pPr>
      <w:r>
        <w:rPr>
          <w:rFonts w:hint="eastAsia"/>
        </w:rPr>
        <w:t>对减排量签发申请方是否有权进行签发确认，并确认归属；支持获得许可的参与方，根据业务用户需要，聚合已经生成的减排量签发申请记录，签发形成数额符合用户所需的减排量资产；检查一般减排量符合追溯要求和约定规则，否则拒绝签发减排量，从而确保碳普惠场景中减排量资产的权威有效性。</w:t>
      </w:r>
    </w:p>
    <w:p>
      <w:pPr>
        <w:pStyle w:val="4"/>
        <w:ind w:hanging="1069"/>
        <w:rPr>
          <w:rFonts w:hint="eastAsia"/>
        </w:rPr>
      </w:pPr>
      <w:r>
        <w:rPr>
          <w:rFonts w:hint="eastAsia"/>
        </w:rPr>
        <w:t>碳积分管理</w:t>
      </w:r>
    </w:p>
    <w:p>
      <w:pPr>
        <w:spacing w:line="500" w:lineRule="exact"/>
        <w:rPr>
          <w:rFonts w:hint="eastAsia"/>
        </w:rPr>
      </w:pPr>
      <w:r>
        <w:rPr>
          <w:rFonts w:hint="eastAsia"/>
        </w:rPr>
        <w:t>支持获得许可的参与方为业务用户将符合条件的一般减排量转换成碳积分；支持获得许可的参与方，为业务用户将碳积分资产兑换成权益。</w:t>
      </w:r>
    </w:p>
    <w:p>
      <w:pPr>
        <w:pStyle w:val="4"/>
        <w:ind w:hanging="1069"/>
        <w:rPr>
          <w:rFonts w:hint="eastAsia"/>
        </w:rPr>
      </w:pPr>
      <w:r>
        <w:rPr>
          <w:rFonts w:hint="eastAsia"/>
        </w:rPr>
        <w:t>个人数字身份管理</w:t>
      </w:r>
    </w:p>
    <w:p>
      <w:pPr>
        <w:pStyle w:val="6"/>
        <w:numPr>
          <w:ilvl w:val="0"/>
          <w:numId w:val="0"/>
        </w:numPr>
        <w:spacing w:before="190"/>
        <w:ind w:firstLine="480" w:firstLineChars="200"/>
        <w:rPr>
          <w:rFonts w:hint="eastAsia"/>
          <w:b w:val="0"/>
          <w:bCs w:val="0"/>
          <w:sz w:val="24"/>
          <w:szCs w:val="24"/>
        </w:rPr>
      </w:pPr>
      <w:r>
        <w:rPr>
          <w:rFonts w:hint="eastAsia"/>
          <w:b w:val="0"/>
          <w:bCs w:val="0"/>
          <w:sz w:val="24"/>
          <w:szCs w:val="24"/>
        </w:rPr>
        <w:t>与身份信息管理平台对接进行用户实名认证，并获取可控匿名碳身份标识CID；基于CID作为可控匿名数字身份标识为个人开立碳账户；与碳普惠对接，将碳账户与CID绑定，创建个人碳账户。</w:t>
      </w:r>
    </w:p>
    <w:p>
      <w:pPr>
        <w:pStyle w:val="4"/>
        <w:ind w:hanging="1069"/>
        <w:rPr>
          <w:rFonts w:hint="eastAsia"/>
        </w:rPr>
      </w:pPr>
      <w:r>
        <w:rPr>
          <w:rFonts w:hint="eastAsia"/>
        </w:rPr>
        <w:t>个人碳资产数据管理</w:t>
      </w:r>
    </w:p>
    <w:p>
      <w:pPr>
        <w:pStyle w:val="6"/>
        <w:numPr>
          <w:ilvl w:val="0"/>
          <w:numId w:val="0"/>
        </w:numPr>
        <w:spacing w:before="190"/>
        <w:ind w:firstLine="480" w:firstLineChars="200"/>
        <w:rPr>
          <w:rFonts w:hint="eastAsia"/>
          <w:b w:val="0"/>
          <w:bCs w:val="0"/>
          <w:sz w:val="24"/>
          <w:szCs w:val="24"/>
        </w:rPr>
      </w:pPr>
      <w:r>
        <w:rPr>
          <w:rFonts w:hint="eastAsia"/>
          <w:b w:val="0"/>
          <w:bCs w:val="0"/>
          <w:sz w:val="24"/>
          <w:szCs w:val="24"/>
        </w:rPr>
        <w:t>在碳减排签发数据生成时，与碳普惠平台对接，按照业务规则进行数据管理；在进行减排量和碳积分转换时，与碳普惠平台对接，按照业务规则将减排量和碳积分转换相关数据及时更新；在个人碳积分兑换时，与碳普惠平台对接，按照业务规则将个人碳积分兑换相关数据及时更新。</w:t>
      </w:r>
    </w:p>
    <w:p>
      <w:pPr>
        <w:pStyle w:val="4"/>
        <w:ind w:hanging="1069"/>
        <w:rPr>
          <w:rFonts w:hint="eastAsia"/>
        </w:rPr>
      </w:pPr>
      <w:r>
        <w:rPr>
          <w:rFonts w:hint="eastAsia"/>
        </w:rPr>
        <w:t>碳普惠统计分析</w:t>
      </w:r>
    </w:p>
    <w:p>
      <w:pPr>
        <w:pStyle w:val="6"/>
        <w:numPr>
          <w:ilvl w:val="0"/>
          <w:numId w:val="0"/>
        </w:numPr>
        <w:spacing w:before="190"/>
        <w:ind w:firstLine="480" w:firstLineChars="200"/>
        <w:rPr>
          <w:rFonts w:hint="eastAsia"/>
          <w:b w:val="0"/>
          <w:bCs w:val="0"/>
          <w:sz w:val="24"/>
          <w:szCs w:val="24"/>
        </w:rPr>
      </w:pPr>
      <w:r>
        <w:rPr>
          <w:rFonts w:hint="eastAsia"/>
          <w:b w:val="0"/>
          <w:bCs w:val="0"/>
          <w:sz w:val="24"/>
          <w:szCs w:val="24"/>
        </w:rPr>
        <w:t>在应用系统关键页面中对开立的碳账户数据进行多维度统计分析和展示；在应用系统关键页面中对减排量签发与消纳数据进行多维度统计分析和展示。</w:t>
      </w:r>
    </w:p>
    <w:p>
      <w:pPr>
        <w:ind w:firstLine="0" w:firstLineChars="0"/>
        <w:rPr>
          <w:rFonts w:hint="eastAsia"/>
        </w:rPr>
      </w:pPr>
    </w:p>
    <w:p>
      <w:pPr>
        <w:pStyle w:val="3"/>
        <w:rPr>
          <w:rFonts w:hint="eastAsia"/>
        </w:rPr>
      </w:pPr>
      <w:r>
        <w:rPr>
          <w:rFonts w:hint="eastAsia"/>
        </w:rPr>
        <w:t>项目内容明细</w:t>
      </w:r>
    </w:p>
    <w:p>
      <w:pPr>
        <w:numPr>
          <w:ilvl w:val="0"/>
          <w:numId w:val="3"/>
        </w:numPr>
        <w:ind w:firstLine="482"/>
        <w:rPr>
          <w:rFonts w:hint="eastAsia"/>
          <w:b/>
        </w:rPr>
      </w:pPr>
      <w:r>
        <w:rPr>
          <w:rFonts w:hint="eastAsia"/>
          <w:b/>
        </w:rPr>
        <w:t>软件开发清单：</w:t>
      </w:r>
    </w:p>
    <w:tbl>
      <w:tblPr>
        <w:tblStyle w:val="36"/>
        <w:tblW w:w="10305" w:type="dxa"/>
        <w:tblInd w:w="-714" w:type="dxa"/>
        <w:tblLayout w:type="fixed"/>
        <w:tblCellMar>
          <w:top w:w="0" w:type="dxa"/>
          <w:left w:w="108" w:type="dxa"/>
          <w:bottom w:w="0" w:type="dxa"/>
          <w:right w:w="108" w:type="dxa"/>
        </w:tblCellMar>
      </w:tblPr>
      <w:tblGrid>
        <w:gridCol w:w="753"/>
        <w:gridCol w:w="1134"/>
        <w:gridCol w:w="2366"/>
        <w:gridCol w:w="6052"/>
      </w:tblGrid>
      <w:tr>
        <w:tblPrEx>
          <w:tblCellMar>
            <w:top w:w="0" w:type="dxa"/>
            <w:left w:w="108" w:type="dxa"/>
            <w:bottom w:w="0" w:type="dxa"/>
            <w:right w:w="108" w:type="dxa"/>
          </w:tblCellMar>
        </w:tblPrEx>
        <w:trPr>
          <w:trHeight w:val="510" w:hRule="atLeast"/>
        </w:trPr>
        <w:tc>
          <w:tcPr>
            <w:tcW w:w="75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rPr>
                <w:rFonts w:hint="eastAsia" w:ascii="仿宋" w:hAnsi="仿宋" w:eastAsia="仿宋" w:cs="仿宋"/>
                <w:sz w:val="21"/>
                <w:szCs w:val="21"/>
              </w:rPr>
            </w:pPr>
            <w:r>
              <w:rPr>
                <w:rFonts w:hint="eastAsia" w:ascii="仿宋" w:hAnsi="仿宋" w:eastAsia="仿宋" w:cs="仿宋"/>
                <w:sz w:val="21"/>
                <w:szCs w:val="21"/>
                <w:lang w:bidi="ar"/>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模块名称</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left"/>
              <w:rPr>
                <w:rFonts w:hint="eastAsia" w:ascii="仿宋" w:hAnsi="仿宋" w:eastAsia="仿宋" w:cs="仿宋"/>
                <w:sz w:val="21"/>
                <w:szCs w:val="21"/>
              </w:rPr>
            </w:pPr>
            <w:r>
              <w:rPr>
                <w:rFonts w:hint="eastAsia" w:ascii="仿宋" w:hAnsi="仿宋" w:eastAsia="仿宋" w:cs="仿宋"/>
                <w:sz w:val="21"/>
                <w:szCs w:val="21"/>
                <w:lang w:bidi="ar"/>
              </w:rPr>
              <w:t>功能名称</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仿宋" w:hAnsi="仿宋" w:eastAsia="仿宋" w:cs="仿宋"/>
                <w:sz w:val="21"/>
                <w:szCs w:val="21"/>
              </w:rPr>
            </w:pPr>
            <w:r>
              <w:rPr>
                <w:rFonts w:hint="eastAsia" w:ascii="仿宋" w:hAnsi="仿宋" w:eastAsia="仿宋" w:cs="仿宋"/>
                <w:sz w:val="21"/>
                <w:szCs w:val="21"/>
                <w:lang w:bidi="ar"/>
              </w:rPr>
              <w:t>功能描述</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rPr>
                <w:rFonts w:hint="eastAsia" w:ascii="仿宋" w:hAnsi="仿宋" w:eastAsia="仿宋" w:cs="仿宋"/>
                <w:sz w:val="21"/>
                <w:szCs w:val="21"/>
              </w:rPr>
            </w:pPr>
            <w:r>
              <w:rPr>
                <w:rFonts w:hint="eastAsia" w:ascii="仿宋" w:hAnsi="仿宋" w:eastAsia="仿宋" w:cs="仿宋"/>
                <w:sz w:val="21"/>
                <w:szCs w:val="21"/>
                <w:lang w:bidi="ar"/>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危险废物管理政务数据共享配套场景</w:t>
            </w: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固废企业电子台账信息管理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包括企业基本信息、危废经营许可信息、管理计划备案信息、固废电子标签信息以及出入库信息共享与管理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危化企业生产存储信息管理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包括危化企业基本信息、危化品生产信息、经营利用信息、仓储信息、处置信息、联单填领信息、联单运输信息、联单签收等信息的共享管理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执法处罚信息管理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包括行政检查、执法数据、执法处置数据、企业环境信用信息以及企业信用修复信息等的共享管理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4</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碳普惠管理政务数据共享配套场景</w:t>
            </w: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方法学入库管理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提供方法学审核记录登记、关键因子管理，以及方法学版本更新、废止等功能，支持方法学信息库共享管理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方法学查询及追溯管理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提供方法学的查询、核验以及版本追溯等功能，支持方法学的可信共享管理。</w:t>
            </w:r>
          </w:p>
        </w:tc>
      </w:tr>
      <w:tr>
        <w:tblPrEx>
          <w:tblCellMar>
            <w:top w:w="0" w:type="dxa"/>
            <w:left w:w="108" w:type="dxa"/>
            <w:bottom w:w="0" w:type="dxa"/>
            <w:right w:w="108" w:type="dxa"/>
          </w:tblCellMar>
        </w:tblPrEx>
        <w:trPr>
          <w:trHeight w:val="88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场景方接入授权管理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场景方审核数据、授权协议、接入凭证等数据共享管理，作为场景方参与碳普惠业务的鉴权依据。</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权益方接入授权管理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权益方审核数据、授权协议、接入凭证等数据共享管理，作为权益方参与碳普惠业务的鉴权依据。</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项目方接入授权管理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项目方审核数据、授权协议、接入凭证等数据共享管理，作为项目方参与碳普惠业务的鉴权依据。</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碳账户管理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碳普惠各类授权方根据碳普惠用户CID创建有效碳账户，并通过碳普惠总平台进行共享管理。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用户授权管理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碳普惠各类授权方对用户数据授权凭证、用户授权撤销凭证的共享管理。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用户授权查验管理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为有权限的参与方查验用户授权数据，以及查询某场景方的数据授权列表的功能。</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减排行为数据管理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碳普惠授权场景方对用户减排行为数据进行共享管理，作为减排量资产生成凭证；支持碳普惠总平台验证减排行为数据是否真实有效。</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一般减排量签发管理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碳普惠授权场景方依据方法学生成减排量签发申请记录、核验记录、审批记录、修正记录等数据的共享管理。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一般减排量资产管理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碳普惠授权场景方、权益方、总平台中个人碳账户中减排量资产的查询、核验等共享管理。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碳积分管理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碳普惠授权场景方、权益方、总平台中个人碳账户中碳积分的查询、核验等共享管理。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个人数字身份管理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经用户实名认证后获得的可控匿名身份标识CID以及碳账户信息的共享管理。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个人碳资产数据管理</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个人碳减排量转换碳积分记录、碳积分兑换权益交易记录、总余额、可用余额记录等数据的共享管理</w:t>
            </w:r>
          </w:p>
        </w:tc>
      </w:tr>
      <w:tr>
        <w:tblPrEx>
          <w:tblCellMar>
            <w:top w:w="0" w:type="dxa"/>
            <w:left w:w="108" w:type="dxa"/>
            <w:bottom w:w="0" w:type="dxa"/>
            <w:right w:w="108"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18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ind w:firstLine="420"/>
              <w:rPr>
                <w:rFonts w:hint="eastAsia" w:ascii="仿宋" w:hAnsi="仿宋" w:eastAsia="仿宋" w:cs="仿宋"/>
                <w:sz w:val="21"/>
                <w:szCs w:val="21"/>
              </w:rPr>
            </w:pPr>
          </w:p>
        </w:tc>
        <w:tc>
          <w:tcPr>
            <w:tcW w:w="236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碳普惠统计分析</w:t>
            </w:r>
          </w:p>
        </w:tc>
        <w:tc>
          <w:tcPr>
            <w:tcW w:w="60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rPr>
                <w:rFonts w:hint="eastAsia" w:ascii="仿宋" w:hAnsi="仿宋" w:eastAsia="仿宋" w:cs="仿宋"/>
                <w:sz w:val="21"/>
                <w:szCs w:val="21"/>
              </w:rPr>
            </w:pPr>
            <w:r>
              <w:rPr>
                <w:rFonts w:hint="eastAsia" w:ascii="仿宋" w:hAnsi="仿宋" w:eastAsia="仿宋" w:cs="仿宋"/>
                <w:sz w:val="21"/>
                <w:szCs w:val="21"/>
                <w:lang w:bidi="ar"/>
              </w:rPr>
              <w:t>在应用系统关键页面中进行碳账户数据、碳减排量数据的共享、多维分析和展示。</w:t>
            </w:r>
          </w:p>
        </w:tc>
      </w:tr>
    </w:tbl>
    <w:p>
      <w:pPr>
        <w:pStyle w:val="7"/>
        <w:numPr>
          <w:ilvl w:val="5"/>
          <w:numId w:val="0"/>
        </w:numPr>
        <w:ind w:left="1134"/>
      </w:pPr>
    </w:p>
    <w:p>
      <w:pPr>
        <w:ind w:firstLine="0" w:firstLineChars="0"/>
        <w:rPr>
          <w:rFonts w:hint="eastAsia"/>
        </w:rPr>
      </w:pPr>
    </w:p>
    <w:p>
      <w:pPr>
        <w:pStyle w:val="2"/>
        <w:rPr>
          <w:rFonts w:hint="eastAsia"/>
        </w:rPr>
      </w:pPr>
      <w:bookmarkStart w:id="28" w:name="_Toc63785502"/>
      <w:r>
        <w:rPr>
          <w:rFonts w:hint="eastAsia"/>
        </w:rPr>
        <w:t>电子政务云资源需求</w:t>
      </w:r>
      <w:bookmarkEnd w:id="28"/>
    </w:p>
    <w:p>
      <w:pPr>
        <w:rPr>
          <w:rFonts w:hint="eastAsia"/>
        </w:rPr>
      </w:pPr>
      <w:r>
        <w:rPr>
          <w:rFonts w:hint="eastAsia"/>
        </w:rPr>
        <w:t>根据项目前期资源现状，本次建设根据估算拟向电子政务云申请服务器资源、PaaS服务资源，明细分别如下：</w:t>
      </w:r>
    </w:p>
    <w:p>
      <w:pPr>
        <w:pStyle w:val="3"/>
        <w:rPr>
          <w:rFonts w:hint="eastAsia"/>
        </w:rPr>
      </w:pPr>
      <w:r>
        <w:rPr>
          <w:rFonts w:hint="eastAsia"/>
        </w:rPr>
        <w:t>主机资源</w:t>
      </w:r>
    </w:p>
    <w:p>
      <w:pPr>
        <w:ind w:firstLine="0" w:firstLineChars="0"/>
        <w:rPr>
          <w:rFonts w:hint="eastAsia"/>
        </w:rPr>
      </w:pPr>
      <w:r>
        <w:drawing>
          <wp:inline distT="0" distB="0" distL="0" distR="0">
            <wp:extent cx="5278120" cy="1348740"/>
            <wp:effectExtent l="0" t="0" r="0" b="3810"/>
            <wp:docPr id="9310782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78288" name="图片 1"/>
                    <pic:cNvPicPr>
                      <a:picLocks noChangeAspect="1"/>
                    </pic:cNvPicPr>
                  </pic:nvPicPr>
                  <pic:blipFill>
                    <a:blip r:embed="rId15"/>
                    <a:stretch>
                      <a:fillRect/>
                    </a:stretch>
                  </pic:blipFill>
                  <pic:spPr>
                    <a:xfrm>
                      <a:off x="0" y="0"/>
                      <a:ext cx="5278120" cy="1348740"/>
                    </a:xfrm>
                    <a:prstGeom prst="rect">
                      <a:avLst/>
                    </a:prstGeom>
                  </pic:spPr>
                </pic:pic>
              </a:graphicData>
            </a:graphic>
          </wp:inline>
        </w:drawing>
      </w:r>
    </w:p>
    <w:p>
      <w:pPr>
        <w:pStyle w:val="3"/>
        <w:rPr>
          <w:rFonts w:hint="eastAsia"/>
        </w:rPr>
      </w:pPr>
      <w:r>
        <w:rPr>
          <w:rFonts w:hint="eastAsia"/>
        </w:rPr>
        <w:t>PAAS 服务资源</w:t>
      </w:r>
    </w:p>
    <w:p>
      <w:pPr>
        <w:ind w:firstLine="0" w:firstLineChars="0"/>
        <w:rPr>
          <w:rFonts w:hint="eastAsia"/>
        </w:rPr>
      </w:pPr>
      <w:r>
        <w:drawing>
          <wp:inline distT="0" distB="0" distL="0" distR="0">
            <wp:extent cx="5489575" cy="1381125"/>
            <wp:effectExtent l="0" t="0" r="0" b="0"/>
            <wp:docPr id="7316413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41385" name="图片 1"/>
                    <pic:cNvPicPr>
                      <a:picLocks noChangeAspect="1"/>
                    </pic:cNvPicPr>
                  </pic:nvPicPr>
                  <pic:blipFill>
                    <a:blip r:embed="rId16"/>
                    <a:stretch>
                      <a:fillRect/>
                    </a:stretch>
                  </pic:blipFill>
                  <pic:spPr>
                    <a:xfrm>
                      <a:off x="0" y="0"/>
                      <a:ext cx="5492272" cy="1381658"/>
                    </a:xfrm>
                    <a:prstGeom prst="rect">
                      <a:avLst/>
                    </a:prstGeom>
                  </pic:spPr>
                </pic:pic>
              </a:graphicData>
            </a:graphic>
          </wp:inline>
        </w:drawing>
      </w:r>
    </w:p>
    <w:p>
      <w:pPr>
        <w:pStyle w:val="2"/>
        <w:rPr>
          <w:rFonts w:hint="eastAsia"/>
        </w:rPr>
      </w:pPr>
      <w:bookmarkStart w:id="29" w:name="_Toc63785503"/>
      <w:r>
        <w:rPr>
          <w:rFonts w:hint="eastAsia"/>
        </w:rPr>
        <w:t>其他工作要求</w:t>
      </w:r>
      <w:bookmarkEnd w:id="29"/>
    </w:p>
    <w:p>
      <w:pPr>
        <w:pStyle w:val="3"/>
        <w:rPr>
          <w:rFonts w:hint="eastAsia"/>
        </w:rPr>
      </w:pPr>
      <w:bookmarkStart w:id="30" w:name="_Toc63762370"/>
      <w:bookmarkEnd w:id="30"/>
      <w:bookmarkStart w:id="31" w:name="_Toc63151871"/>
      <w:bookmarkEnd w:id="31"/>
      <w:bookmarkStart w:id="32" w:name="_Toc63785504"/>
      <w:bookmarkEnd w:id="32"/>
      <w:bookmarkStart w:id="33" w:name="_Toc62219358"/>
      <w:bookmarkEnd w:id="33"/>
      <w:bookmarkStart w:id="34" w:name="_Toc62209488"/>
      <w:bookmarkEnd w:id="34"/>
      <w:bookmarkStart w:id="35" w:name="_Toc63585480"/>
      <w:bookmarkEnd w:id="35"/>
      <w:bookmarkStart w:id="36" w:name="_Toc63785439"/>
      <w:bookmarkEnd w:id="36"/>
      <w:bookmarkStart w:id="37" w:name="_Toc61968111"/>
      <w:bookmarkEnd w:id="37"/>
      <w:bookmarkStart w:id="38" w:name="_Toc63785505"/>
      <w:r>
        <w:rPr>
          <w:rFonts w:hint="eastAsia"/>
        </w:rPr>
        <w:t>售后服务要求</w:t>
      </w:r>
      <w:bookmarkEnd w:id="38"/>
    </w:p>
    <w:p>
      <w:pPr>
        <w:pStyle w:val="107"/>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07"/>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7"/>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w:t>
      </w:r>
    </w:p>
    <w:p>
      <w:pPr>
        <w:pStyle w:val="3"/>
        <w:rPr>
          <w:rFonts w:hint="eastAsia"/>
        </w:rPr>
      </w:pPr>
      <w:bookmarkStart w:id="39" w:name="_Toc63785506"/>
      <w:r>
        <w:rPr>
          <w:rFonts w:hint="eastAsia"/>
        </w:rPr>
        <w:t>应急响应要求</w:t>
      </w:r>
      <w:bookmarkEnd w:id="39"/>
    </w:p>
    <w:p>
      <w:pPr>
        <w:pStyle w:val="107"/>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07"/>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pPr>
        <w:pStyle w:val="107"/>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07"/>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07"/>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rPr>
          <w:rFonts w:hint="eastAsia"/>
        </w:rPr>
      </w:pPr>
      <w:bookmarkStart w:id="40" w:name="_Toc63785507"/>
      <w:r>
        <w:rPr>
          <w:rFonts w:hint="eastAsia"/>
        </w:rPr>
        <w:t>培训要求</w:t>
      </w:r>
      <w:bookmarkEnd w:id="40"/>
    </w:p>
    <w:p>
      <w:pPr>
        <w:rPr>
          <w:rFonts w:hint="eastAsia"/>
        </w:rPr>
      </w:pPr>
      <w:r>
        <w:rPr>
          <w:rFonts w:hint="eastAsia"/>
        </w:rPr>
        <w:t>对系统使用单位提供业务操作培训，应提供详细培训方案。</w:t>
      </w:r>
    </w:p>
    <w:p>
      <w:pPr>
        <w:rPr>
          <w:rFonts w:hint="eastAsia"/>
        </w:rPr>
      </w:pPr>
      <w:r>
        <w:rPr>
          <w:rFonts w:hint="eastAsia"/>
        </w:rPr>
        <w:t>(1)在12个月的质量保证期内，提供2次与项目相关的必要培训。</w:t>
      </w:r>
    </w:p>
    <w:p>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pPr>
        <w:rPr>
          <w:rFonts w:hint="eastAsia"/>
        </w:rPr>
      </w:pPr>
      <w:r>
        <w:rPr>
          <w:rFonts w:hint="eastAsia"/>
        </w:rPr>
        <w:t>(3)供应商应提供一般用户的基础操作培训和部门信息管理员的日常应用维护的培训，确保用户对象能够掌握对应的操作技能。</w:t>
      </w:r>
    </w:p>
    <w:p>
      <w:pPr>
        <w:pStyle w:val="3"/>
        <w:rPr>
          <w:rFonts w:hint="eastAsia"/>
        </w:rPr>
      </w:pPr>
      <w:bookmarkStart w:id="41" w:name="_Toc63785508"/>
      <w:r>
        <w:rPr>
          <w:rFonts w:hint="eastAsia"/>
        </w:rPr>
        <w:t>验收要求</w:t>
      </w:r>
      <w:bookmarkEnd w:id="41"/>
    </w:p>
    <w:p>
      <w:pPr>
        <w:rPr>
          <w:rFonts w:hint="eastAsia"/>
          <w:szCs w:val="21"/>
        </w:rPr>
      </w:pPr>
      <w:r>
        <w:rPr>
          <w:rFonts w:hint="eastAsia"/>
          <w:szCs w:val="21"/>
        </w:rPr>
        <w:t>本项目按下述方式开展验收。</w:t>
      </w:r>
    </w:p>
    <w:p>
      <w:pPr>
        <w:rPr>
          <w:rFonts w:hint="eastAsia"/>
          <w:szCs w:val="21"/>
        </w:rPr>
      </w:pPr>
      <w:r>
        <w:rPr>
          <w:rFonts w:hint="eastAsia"/>
          <w:szCs w:val="21"/>
        </w:rPr>
        <w:t>（</w:t>
      </w:r>
      <w:r>
        <w:rPr>
          <w:szCs w:val="21"/>
        </w:rPr>
        <w:t>1）验收分初验和终验。</w:t>
      </w:r>
    </w:p>
    <w:p>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lang w:eastAsia="zh-CN"/>
        </w:rPr>
        <w:t>采购人</w:t>
      </w:r>
      <w:r>
        <w:rPr>
          <w:szCs w:val="21"/>
        </w:rPr>
        <w:t>递交初验通知书。</w:t>
      </w:r>
      <w:r>
        <w:rPr>
          <w:rFonts w:hint="eastAsia"/>
          <w:szCs w:val="21"/>
          <w:lang w:eastAsia="zh-CN"/>
        </w:rPr>
        <w:t>采购人</w:t>
      </w:r>
      <w:r>
        <w:rPr>
          <w:szCs w:val="21"/>
        </w:rPr>
        <w:t>应当在接到通知后的5个工作日内确定初验的具体日期，由双方按照本项目的约定完成本项目的初验。</w:t>
      </w:r>
      <w:r>
        <w:rPr>
          <w:rFonts w:hint="eastAsia"/>
          <w:szCs w:val="21"/>
          <w:lang w:eastAsia="zh-CN"/>
        </w:rPr>
        <w:t>采购人</w:t>
      </w:r>
      <w:r>
        <w:rPr>
          <w:szCs w:val="21"/>
        </w:rPr>
        <w:t>有权委托第三方检测机构进行验收，对此供应商应当配合。</w:t>
      </w:r>
    </w:p>
    <w:p>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lang w:eastAsia="zh-CN"/>
        </w:rPr>
        <w:t>采购人</w:t>
      </w:r>
      <w:r>
        <w:rPr>
          <w:szCs w:val="21"/>
        </w:rPr>
        <w:t>应向供应商出具书面报告，陈述需要改进的缺陷。供应商应立即严格依照</w:t>
      </w:r>
      <w:r>
        <w:rPr>
          <w:rFonts w:hint="eastAsia"/>
          <w:szCs w:val="21"/>
          <w:lang w:eastAsia="zh-CN"/>
        </w:rPr>
        <w:t>采购人</w:t>
      </w:r>
      <w:r>
        <w:rPr>
          <w:szCs w:val="21"/>
        </w:rPr>
        <w:t>的书面报告中的要求改进缺陷，并再次进行初验。</w:t>
      </w:r>
    </w:p>
    <w:p>
      <w:pPr>
        <w:rPr>
          <w:rFonts w:hint="eastAsia"/>
          <w:szCs w:val="21"/>
        </w:rPr>
      </w:pPr>
      <w:r>
        <w:rPr>
          <w:rFonts w:hint="eastAsia"/>
          <w:szCs w:val="21"/>
        </w:rPr>
        <w:t>（</w:t>
      </w:r>
      <w:r>
        <w:rPr>
          <w:szCs w:val="21"/>
        </w:rPr>
        <w:t>4）自初验通过之日起，</w:t>
      </w:r>
      <w:r>
        <w:rPr>
          <w:rFonts w:hint="eastAsia"/>
          <w:szCs w:val="21"/>
          <w:lang w:eastAsia="zh-CN"/>
        </w:rPr>
        <w:t>采购人</w:t>
      </w:r>
      <w:r>
        <w:rPr>
          <w:szCs w:val="21"/>
        </w:rPr>
        <w:t>享有供应商免费提供的</w:t>
      </w:r>
      <w:r>
        <w:rPr>
          <w:rFonts w:hint="eastAsia"/>
          <w:szCs w:val="21"/>
        </w:rPr>
        <w:t>30</w:t>
      </w:r>
      <w:r>
        <w:rPr>
          <w:szCs w:val="21"/>
        </w:rPr>
        <w:t>天的信息系统试运行现场驻场服务期。该期间内，供应商应当按照</w:t>
      </w:r>
      <w:r>
        <w:rPr>
          <w:rFonts w:hint="eastAsia"/>
          <w:szCs w:val="21"/>
          <w:lang w:eastAsia="zh-CN"/>
        </w:rPr>
        <w:t>采购人</w:t>
      </w:r>
      <w:r>
        <w:rPr>
          <w:szCs w:val="21"/>
        </w:rPr>
        <w:t>的要求提供现场技术支持服务，解决信息系统试运行期间可能出现的各类问题，或进一步提高与完善信息系统运行水平。</w:t>
      </w:r>
    </w:p>
    <w:p>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lang w:eastAsia="zh-CN"/>
        </w:rPr>
        <w:t>采购人</w:t>
      </w:r>
      <w:r>
        <w:rPr>
          <w:szCs w:val="21"/>
        </w:rPr>
        <w:t>信息系统已准备就绪等待终验。</w:t>
      </w:r>
      <w:r>
        <w:rPr>
          <w:rFonts w:hint="eastAsia"/>
          <w:szCs w:val="21"/>
          <w:lang w:eastAsia="zh-CN"/>
        </w:rPr>
        <w:t>采购人</w:t>
      </w:r>
      <w:r>
        <w:rPr>
          <w:szCs w:val="21"/>
        </w:rPr>
        <w:t>在收到终验通知后的</w:t>
      </w:r>
      <w:r>
        <w:rPr>
          <w:rFonts w:hint="eastAsia"/>
          <w:szCs w:val="21"/>
        </w:rPr>
        <w:t>10</w:t>
      </w:r>
      <w:r>
        <w:rPr>
          <w:szCs w:val="21"/>
        </w:rPr>
        <w:t>个工作日内发起组织专家验收会。</w:t>
      </w:r>
    </w:p>
    <w:p>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pPr>
        <w:rPr>
          <w:rFonts w:hint="eastAsia"/>
          <w:szCs w:val="21"/>
        </w:rPr>
      </w:pPr>
      <w:r>
        <w:rPr>
          <w:rFonts w:hint="eastAsia"/>
          <w:szCs w:val="21"/>
        </w:rPr>
        <w:t>（7</w:t>
      </w:r>
      <w:r>
        <w:rPr>
          <w:szCs w:val="21"/>
        </w:rPr>
        <w:t>）如果由于</w:t>
      </w:r>
      <w:r>
        <w:rPr>
          <w:rFonts w:hint="eastAsia"/>
          <w:szCs w:val="21"/>
          <w:lang w:eastAsia="zh-CN"/>
        </w:rPr>
        <w:t>采购人</w:t>
      </w:r>
      <w:r>
        <w:rPr>
          <w:szCs w:val="21"/>
        </w:rPr>
        <w:t>原因导致本项目在终验通过前出现故障或问题，供应商应及时配合排除该方面的故障或问题。</w:t>
      </w:r>
    </w:p>
    <w:p>
      <w:pPr>
        <w:rPr>
          <w:rFonts w:hint="eastAsia"/>
          <w:szCs w:val="21"/>
        </w:rPr>
      </w:pPr>
      <w:r>
        <w:rPr>
          <w:rFonts w:hint="eastAsia"/>
          <w:szCs w:val="21"/>
        </w:rPr>
        <w:t>（8</w:t>
      </w:r>
      <w:r>
        <w:rPr>
          <w:szCs w:val="21"/>
        </w:rPr>
        <w:t>）如本项目连续3次验收未通过（含初验未通过或终验未通过），</w:t>
      </w:r>
      <w:r>
        <w:rPr>
          <w:rFonts w:hint="eastAsia"/>
          <w:szCs w:val="21"/>
          <w:lang w:eastAsia="zh-CN"/>
        </w:rPr>
        <w:t>采购人</w:t>
      </w:r>
      <w:r>
        <w:rPr>
          <w:szCs w:val="21"/>
        </w:rPr>
        <w:t>有权解除项目，并有权依照本项目约定的违约条款追究供应商的违约责任。</w:t>
      </w:r>
    </w:p>
    <w:p>
      <w:pPr>
        <w:pStyle w:val="3"/>
        <w:rPr>
          <w:rFonts w:hint="eastAsia"/>
        </w:rPr>
      </w:pPr>
      <w:bookmarkStart w:id="42" w:name="_Toc63785509"/>
      <w:r>
        <w:rPr>
          <w:rFonts w:hint="eastAsia"/>
        </w:rPr>
        <w:t>进度要求</w:t>
      </w:r>
      <w:bookmarkEnd w:id="42"/>
    </w:p>
    <w:p>
      <w:pPr>
        <w:rPr>
          <w:rFonts w:hint="eastAsia"/>
        </w:rPr>
      </w:pPr>
      <w:r>
        <w:rPr>
          <w:rFonts w:hint="eastAsia"/>
          <w:lang w:eastAsia="zh-CN"/>
        </w:rPr>
        <w:t>供应商</w:t>
      </w:r>
      <w:r>
        <w:rPr>
          <w:rFonts w:hint="eastAsia"/>
        </w:rPr>
        <w:t>应根据建设内容，分阶段制定合理的时间进度，并且应根据</w:t>
      </w:r>
      <w:r>
        <w:rPr>
          <w:rFonts w:hint="eastAsia"/>
          <w:lang w:eastAsia="zh-CN"/>
        </w:rPr>
        <w:t>采购人</w:t>
      </w:r>
      <w:r>
        <w:rPr>
          <w:rFonts w:hint="eastAsia"/>
        </w:rPr>
        <w:t>要求进行调整和细化。</w:t>
      </w:r>
    </w:p>
    <w:p>
      <w:pPr>
        <w:pStyle w:val="135"/>
        <w:ind w:firstLine="480"/>
        <w:rPr>
          <w:rFonts w:hint="eastAsia"/>
        </w:rPr>
      </w:pPr>
      <w:r>
        <w:rPr>
          <w:rFonts w:hint="eastAsia"/>
        </w:rPr>
        <w:t>本项目升级改造建设周期为6个月，主要划分为以下几个阶段：</w:t>
      </w:r>
    </w:p>
    <w:p>
      <w:pPr>
        <w:pStyle w:val="135"/>
        <w:numPr>
          <w:ilvl w:val="0"/>
          <w:numId w:val="4"/>
        </w:numPr>
        <w:ind w:firstLineChars="0"/>
        <w:rPr>
          <w:rFonts w:hint="eastAsia"/>
        </w:rPr>
      </w:pPr>
      <w:bookmarkStart w:id="43" w:name="_Toc130815383"/>
      <w:bookmarkStart w:id="44" w:name="_Toc109408053"/>
      <w:r>
        <w:rPr>
          <w:rFonts w:hint="eastAsia"/>
        </w:rPr>
        <w:t>项目规划设计阶段</w:t>
      </w:r>
      <w:bookmarkEnd w:id="43"/>
      <w:bookmarkEnd w:id="44"/>
    </w:p>
    <w:p>
      <w:pPr>
        <w:pStyle w:val="135"/>
        <w:ind w:firstLine="480"/>
        <w:rPr>
          <w:rFonts w:hint="eastAsia"/>
        </w:rPr>
      </w:pPr>
      <w:r>
        <w:rPr>
          <w:rFonts w:hint="eastAsia"/>
        </w:rPr>
        <w:t>本阶段主要完成项目有关业务、系统和需求的调研，制定通用类标准规范，形成总体设计方案，完成系统架构、数据库、基础资源、功能等详细设计，并提供主体建设内容的部分系统原型。</w:t>
      </w:r>
    </w:p>
    <w:p>
      <w:pPr>
        <w:pStyle w:val="135"/>
        <w:ind w:firstLine="480"/>
        <w:rPr>
          <w:rFonts w:hint="eastAsia"/>
        </w:rPr>
      </w:pPr>
      <w:r>
        <w:rPr>
          <w:rFonts w:hint="eastAsia"/>
        </w:rPr>
        <w:t>本阶段周期为1个月。</w:t>
      </w:r>
    </w:p>
    <w:p>
      <w:pPr>
        <w:pStyle w:val="135"/>
        <w:numPr>
          <w:ilvl w:val="0"/>
          <w:numId w:val="4"/>
        </w:numPr>
        <w:ind w:firstLineChars="0"/>
        <w:rPr>
          <w:rFonts w:hint="eastAsia"/>
        </w:rPr>
      </w:pPr>
      <w:bookmarkStart w:id="45" w:name="_Toc109408054"/>
      <w:bookmarkStart w:id="46" w:name="_Toc130815384"/>
      <w:r>
        <w:rPr>
          <w:rFonts w:hint="eastAsia"/>
        </w:rPr>
        <w:t>项目开发测试阶段</w:t>
      </w:r>
      <w:bookmarkEnd w:id="45"/>
      <w:bookmarkEnd w:id="46"/>
    </w:p>
    <w:p>
      <w:pPr>
        <w:pStyle w:val="135"/>
        <w:ind w:firstLine="480"/>
        <w:rPr>
          <w:rFonts w:hint="eastAsia"/>
        </w:rPr>
      </w:pPr>
      <w:r>
        <w:rPr>
          <w:rFonts w:hint="eastAsia"/>
        </w:rPr>
        <w:t>本阶段主要进行数据汇集与加工、技术体系搭建、资源申请和各模块的开发与测试工作，完成系统联调与部署，发布beta测试版本。根据建设计划，本项工作分两轮进行，每一轮实现相应建设内容的开发测试工作。</w:t>
      </w:r>
    </w:p>
    <w:p>
      <w:pPr>
        <w:pStyle w:val="135"/>
        <w:ind w:firstLine="480"/>
        <w:rPr>
          <w:rFonts w:hint="eastAsia"/>
        </w:rPr>
      </w:pPr>
      <w:r>
        <w:rPr>
          <w:rFonts w:hint="eastAsia"/>
        </w:rPr>
        <w:t>本阶段周期总计为3个月。</w:t>
      </w:r>
    </w:p>
    <w:p>
      <w:pPr>
        <w:pStyle w:val="135"/>
        <w:numPr>
          <w:ilvl w:val="0"/>
          <w:numId w:val="4"/>
        </w:numPr>
        <w:ind w:firstLineChars="0"/>
        <w:rPr>
          <w:rFonts w:hint="eastAsia"/>
        </w:rPr>
      </w:pPr>
      <w:bookmarkStart w:id="47" w:name="_Toc109408055"/>
      <w:bookmarkStart w:id="48" w:name="_Toc130815385"/>
      <w:r>
        <w:rPr>
          <w:rFonts w:hint="eastAsia"/>
        </w:rPr>
        <w:t>项目试运行和迭代开发阶段</w:t>
      </w:r>
      <w:bookmarkEnd w:id="47"/>
      <w:bookmarkEnd w:id="48"/>
    </w:p>
    <w:p>
      <w:pPr>
        <w:pStyle w:val="135"/>
        <w:ind w:firstLine="480"/>
        <w:rPr>
          <w:rFonts w:hint="eastAsia"/>
        </w:rPr>
      </w:pPr>
      <w:r>
        <w:rPr>
          <w:rFonts w:hint="eastAsia"/>
        </w:rPr>
        <w:t>本阶段主要进行项目功能试运行，修正各模块联调中出现的问题，完成系统完善和功能迭代，直至发布正式运行版本，同时形成完整的标准规范体系。根据建设计划，本项工作分两轮进行，每一轮实现相应建设内容的试运行与迭代开发工作。</w:t>
      </w:r>
    </w:p>
    <w:p>
      <w:pPr>
        <w:pStyle w:val="135"/>
        <w:ind w:firstLine="480"/>
        <w:rPr>
          <w:rFonts w:hint="eastAsia"/>
        </w:rPr>
      </w:pPr>
      <w:r>
        <w:rPr>
          <w:rFonts w:hint="eastAsia"/>
        </w:rPr>
        <w:t>本阶段周期总计为1个月。</w:t>
      </w:r>
    </w:p>
    <w:p>
      <w:pPr>
        <w:pStyle w:val="135"/>
        <w:numPr>
          <w:ilvl w:val="0"/>
          <w:numId w:val="4"/>
        </w:numPr>
        <w:ind w:firstLineChars="0"/>
        <w:rPr>
          <w:rFonts w:hint="eastAsia"/>
        </w:rPr>
      </w:pPr>
      <w:bookmarkStart w:id="49" w:name="_Toc130815386"/>
      <w:bookmarkStart w:id="50" w:name="_Toc109408056"/>
      <w:r>
        <w:rPr>
          <w:rFonts w:hint="eastAsia"/>
        </w:rPr>
        <w:t>项目验收阶段</w:t>
      </w:r>
      <w:bookmarkEnd w:id="49"/>
      <w:bookmarkEnd w:id="50"/>
    </w:p>
    <w:p>
      <w:pPr>
        <w:pStyle w:val="135"/>
        <w:ind w:firstLine="480"/>
        <w:rPr>
          <w:rFonts w:hint="eastAsia"/>
        </w:rPr>
      </w:pPr>
      <w:r>
        <w:rPr>
          <w:rFonts w:hint="eastAsia"/>
        </w:rPr>
        <w:t>本阶段主要实施项目验收并启动项目的正式运行，根据项目运行情况和验收要求开展项目测评、功能优化和绩效评价等工作。</w:t>
      </w:r>
    </w:p>
    <w:p>
      <w:pPr>
        <w:pStyle w:val="135"/>
        <w:ind w:firstLine="480"/>
        <w:rPr>
          <w:rFonts w:hint="eastAsia"/>
        </w:rPr>
      </w:pPr>
      <w:r>
        <w:rPr>
          <w:rFonts w:hint="eastAsia"/>
        </w:rPr>
        <w:t>本阶段周期为1个月。</w:t>
      </w:r>
    </w:p>
    <w:p>
      <w:pPr>
        <w:pStyle w:val="3"/>
        <w:rPr>
          <w:rFonts w:hint="eastAsia"/>
        </w:rPr>
      </w:pPr>
      <w:bookmarkStart w:id="51" w:name="_Toc63785510"/>
      <w:r>
        <w:rPr>
          <w:rFonts w:hint="eastAsia"/>
        </w:rPr>
        <w:t>项目团队及驻场人员要求</w:t>
      </w:r>
      <w:bookmarkEnd w:id="51"/>
    </w:p>
    <w:p>
      <w:pPr>
        <w:rPr>
          <w:rFonts w:hint="eastAsia"/>
        </w:rPr>
      </w:pPr>
      <w:r>
        <w:t>1）供应商须具有稳定的在职技术保障力量，能够提供及时的技术支援或服务，应针对本项目提供</w:t>
      </w:r>
      <w:r>
        <w:rPr>
          <w:highlight w:val="none"/>
        </w:rPr>
        <w:t>不少于</w:t>
      </w:r>
      <w:r>
        <w:rPr>
          <w:rFonts w:hint="eastAsia"/>
          <w:highlight w:val="none"/>
        </w:rPr>
        <w:t>12</w:t>
      </w:r>
      <w:r>
        <w:rPr>
          <w:highlight w:val="none"/>
        </w:rPr>
        <w:t>人的项目服务团队</w:t>
      </w:r>
      <w:r>
        <w:t>（包括项目经理、技术负责人、研发等），项目</w:t>
      </w:r>
      <w:r>
        <w:rPr>
          <w:rFonts w:hint="eastAsia"/>
          <w:lang w:eastAsia="zh-CN"/>
        </w:rPr>
        <w:t>经理</w:t>
      </w:r>
      <w:r>
        <w:t>需</w:t>
      </w:r>
      <w:r>
        <w:rPr>
          <w:rFonts w:hint="eastAsia"/>
        </w:rPr>
        <w:t>具有</w:t>
      </w:r>
      <w:r>
        <w:t>8年</w:t>
      </w:r>
      <w:r>
        <w:rPr>
          <w:rFonts w:hint="eastAsia"/>
          <w:lang w:eastAsia="zh-CN"/>
        </w:rPr>
        <w:t>及</w:t>
      </w:r>
      <w:r>
        <w:t>以上政务信息系统开发项目且担任项目经理职务的工作经验</w:t>
      </w:r>
      <w:r>
        <w:rPr>
          <w:rFonts w:hint="eastAsia"/>
          <w:lang w:eastAsia="zh-CN"/>
        </w:rPr>
        <w:t>。供应商</w:t>
      </w:r>
      <w:r>
        <w:t>的相关服务人员需具备相应的服务能力，需提供相关证明（最近一个季度依法缴纳社保费的证明）。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56"/>
        <w:gridCol w:w="1180"/>
        <w:gridCol w:w="189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widowControl/>
              <w:spacing w:line="240" w:lineRule="auto"/>
              <w:ind w:firstLine="0" w:firstLineChars="0"/>
              <w:jc w:val="center"/>
              <w:rPr>
                <w:rFonts w:hint="eastAsia"/>
                <w:b/>
              </w:rPr>
            </w:pPr>
            <w:r>
              <w:rPr>
                <w:rFonts w:hint="eastAsia"/>
                <w:b/>
              </w:rPr>
              <w:t>角色</w:t>
            </w:r>
          </w:p>
        </w:tc>
        <w:tc>
          <w:tcPr>
            <w:tcW w:w="0" w:type="auto"/>
            <w:noWrap/>
            <w:vAlign w:val="center"/>
          </w:tcPr>
          <w:p>
            <w:pPr>
              <w:widowControl/>
              <w:spacing w:line="240" w:lineRule="auto"/>
              <w:ind w:firstLine="0" w:firstLineChars="0"/>
              <w:jc w:val="center"/>
              <w:rPr>
                <w:rFonts w:hint="eastAsia"/>
                <w:b/>
              </w:rPr>
            </w:pPr>
            <w:r>
              <w:rPr>
                <w:rFonts w:hint="eastAsia"/>
                <w:b/>
              </w:rPr>
              <w:t>主要职责</w:t>
            </w:r>
          </w:p>
        </w:tc>
        <w:tc>
          <w:tcPr>
            <w:tcW w:w="0" w:type="auto"/>
            <w:noWrap/>
            <w:vAlign w:val="center"/>
          </w:tcPr>
          <w:p>
            <w:pPr>
              <w:widowControl/>
              <w:spacing w:line="240" w:lineRule="auto"/>
              <w:ind w:firstLine="0" w:firstLineChars="0"/>
              <w:jc w:val="center"/>
              <w:rPr>
                <w:rFonts w:hint="eastAsia"/>
                <w:b/>
              </w:rPr>
            </w:pPr>
            <w:r>
              <w:rPr>
                <w:rFonts w:hint="eastAsia"/>
                <w:b/>
              </w:rPr>
              <w:t>人员数量</w:t>
            </w:r>
          </w:p>
        </w:tc>
        <w:tc>
          <w:tcPr>
            <w:tcW w:w="0" w:type="auto"/>
            <w:vAlign w:val="center"/>
          </w:tcPr>
          <w:p>
            <w:pPr>
              <w:widowControl/>
              <w:spacing w:line="240" w:lineRule="auto"/>
              <w:ind w:firstLine="0" w:firstLineChars="0"/>
              <w:jc w:val="center"/>
              <w:rPr>
                <w:rFonts w:hint="eastAsia"/>
                <w:b/>
              </w:rPr>
            </w:pPr>
            <w:r>
              <w:rPr>
                <w:rFonts w:hint="eastAsia"/>
                <w:b/>
              </w:rPr>
              <w:t>人员要求</w:t>
            </w:r>
          </w:p>
        </w:tc>
        <w:tc>
          <w:tcPr>
            <w:tcW w:w="0" w:type="auto"/>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项目经理</w:t>
            </w:r>
          </w:p>
        </w:tc>
        <w:tc>
          <w:tcPr>
            <w:tcW w:w="0" w:type="auto"/>
            <w:vAlign w:val="center"/>
          </w:tcPr>
          <w:p>
            <w:pPr>
              <w:widowControl/>
              <w:spacing w:line="240" w:lineRule="auto"/>
              <w:ind w:firstLine="0" w:firstLineChars="0"/>
              <w:jc w:val="center"/>
              <w:rPr>
                <w:rFonts w:hint="eastAsia"/>
                <w:highlight w:val="none"/>
              </w:rPr>
            </w:pPr>
            <w:r>
              <w:rPr>
                <w:rFonts w:hint="eastAsia"/>
                <w:highlight w:val="none"/>
              </w:rPr>
              <w:t>负责项目质量和进度控制</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1人</w:t>
            </w:r>
          </w:p>
        </w:tc>
        <w:tc>
          <w:tcPr>
            <w:tcW w:w="0" w:type="auto"/>
            <w:vAlign w:val="center"/>
          </w:tcPr>
          <w:p>
            <w:pPr>
              <w:widowControl/>
              <w:spacing w:line="240" w:lineRule="auto"/>
              <w:ind w:firstLine="0" w:firstLineChars="0"/>
              <w:jc w:val="center"/>
              <w:rPr>
                <w:rFonts w:hint="eastAsia" w:eastAsia="宋体"/>
                <w:highlight w:val="none"/>
                <w:lang w:eastAsia="zh-CN"/>
              </w:rPr>
            </w:pPr>
            <w:r>
              <w:rPr>
                <w:rFonts w:hint="eastAsia"/>
                <w:highlight w:val="none"/>
              </w:rPr>
              <w:t>本科及以上学历，具有8年</w:t>
            </w:r>
            <w:r>
              <w:rPr>
                <w:rFonts w:hint="eastAsia"/>
                <w:highlight w:val="none"/>
                <w:lang w:eastAsia="zh-CN"/>
              </w:rPr>
              <w:t>及</w:t>
            </w:r>
            <w:r>
              <w:rPr>
                <w:highlight w:val="none"/>
              </w:rPr>
              <w:t>以上政务信息系统开发项目且担任项目经理职务的工作经验</w:t>
            </w:r>
            <w:r>
              <w:rPr>
                <w:rFonts w:hint="eastAsia"/>
                <w:highlight w:val="none"/>
                <w:lang w:eastAsia="zh-CN"/>
              </w:rPr>
              <w:t>，具备信息系统项目管理师资质</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技术经理</w:t>
            </w:r>
          </w:p>
        </w:tc>
        <w:tc>
          <w:tcPr>
            <w:tcW w:w="0" w:type="auto"/>
            <w:vAlign w:val="center"/>
          </w:tcPr>
          <w:p>
            <w:pPr>
              <w:widowControl/>
              <w:spacing w:line="240" w:lineRule="auto"/>
              <w:ind w:firstLine="0" w:firstLineChars="0"/>
              <w:jc w:val="left"/>
              <w:rPr>
                <w:rFonts w:hint="eastAsia"/>
                <w:highlight w:val="none"/>
              </w:rPr>
            </w:pPr>
            <w:r>
              <w:rPr>
                <w:rFonts w:hint="eastAsia" w:cs="宋体"/>
                <w:color w:val="000000"/>
                <w:kern w:val="0"/>
                <w:highlight w:val="none"/>
                <w:lang w:bidi="ar"/>
              </w:rPr>
              <w:t>负责项目技术架构路线</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1人</w:t>
            </w:r>
          </w:p>
        </w:tc>
        <w:tc>
          <w:tcPr>
            <w:tcW w:w="0" w:type="auto"/>
            <w:vAlign w:val="center"/>
          </w:tcPr>
          <w:p>
            <w:pPr>
              <w:widowControl/>
              <w:spacing w:line="240" w:lineRule="auto"/>
              <w:ind w:firstLine="0" w:firstLineChars="0"/>
              <w:jc w:val="center"/>
              <w:rPr>
                <w:rFonts w:hint="eastAsia"/>
                <w:highlight w:val="none"/>
              </w:rPr>
            </w:pPr>
            <w:r>
              <w:rPr>
                <w:rFonts w:hint="eastAsia"/>
                <w:highlight w:val="none"/>
              </w:rPr>
              <w:t>相关资质证书</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1人驻场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数据分析师</w:t>
            </w:r>
          </w:p>
        </w:tc>
        <w:tc>
          <w:tcPr>
            <w:tcW w:w="0" w:type="auto"/>
            <w:vAlign w:val="center"/>
          </w:tcPr>
          <w:p>
            <w:pPr>
              <w:widowControl/>
              <w:spacing w:line="240" w:lineRule="auto"/>
              <w:ind w:firstLine="0" w:firstLineChars="0"/>
              <w:jc w:val="left"/>
              <w:rPr>
                <w:rFonts w:hint="eastAsia" w:cs="宋体"/>
                <w:color w:val="000000"/>
                <w:kern w:val="0"/>
                <w:highlight w:val="none"/>
                <w:lang w:bidi="ar"/>
              </w:rPr>
            </w:pPr>
            <w:r>
              <w:rPr>
                <w:rFonts w:hint="eastAsia" w:cs="宋体"/>
                <w:color w:val="000000"/>
                <w:kern w:val="0"/>
                <w:highlight w:val="none"/>
                <w:lang w:bidi="ar"/>
              </w:rPr>
              <w:t>负责项目数据分析</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1人</w:t>
            </w:r>
          </w:p>
        </w:tc>
        <w:tc>
          <w:tcPr>
            <w:tcW w:w="0" w:type="auto"/>
            <w:vAlign w:val="center"/>
          </w:tcPr>
          <w:p>
            <w:pPr>
              <w:widowControl/>
              <w:spacing w:line="240" w:lineRule="auto"/>
              <w:ind w:firstLine="0" w:firstLineChars="0"/>
              <w:jc w:val="center"/>
              <w:rPr>
                <w:rFonts w:hint="eastAsia"/>
                <w:highlight w:val="none"/>
              </w:rPr>
            </w:pPr>
            <w:r>
              <w:rPr>
                <w:rFonts w:hint="eastAsia"/>
                <w:highlight w:val="none"/>
              </w:rPr>
              <w:t>相关资质证书</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1人驻场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研发工程师</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负责项目具体开发与实施</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9人</w:t>
            </w:r>
          </w:p>
        </w:tc>
        <w:tc>
          <w:tcPr>
            <w:tcW w:w="0" w:type="auto"/>
            <w:vAlign w:val="center"/>
          </w:tcPr>
          <w:p>
            <w:pPr>
              <w:widowControl/>
              <w:spacing w:line="240" w:lineRule="auto"/>
              <w:ind w:firstLine="0" w:firstLineChars="0"/>
              <w:jc w:val="center"/>
              <w:rPr>
                <w:rFonts w:hint="eastAsia"/>
                <w:highlight w:val="none"/>
              </w:rPr>
            </w:pPr>
            <w:r>
              <w:rPr>
                <w:rFonts w:hint="eastAsia"/>
                <w:highlight w:val="none"/>
              </w:rPr>
              <w:t>本科及以上学历</w:t>
            </w:r>
          </w:p>
        </w:tc>
        <w:tc>
          <w:tcPr>
            <w:tcW w:w="0" w:type="auto"/>
            <w:noWrap/>
            <w:vAlign w:val="center"/>
          </w:tcPr>
          <w:p>
            <w:pPr>
              <w:widowControl/>
              <w:spacing w:line="240" w:lineRule="auto"/>
              <w:ind w:firstLine="0" w:firstLineChars="0"/>
              <w:jc w:val="center"/>
              <w:rPr>
                <w:rFonts w:hint="eastAsia"/>
                <w:highlight w:val="none"/>
              </w:rPr>
            </w:pPr>
            <w:r>
              <w:rPr>
                <w:rFonts w:hint="eastAsia"/>
                <w:highlight w:val="none"/>
              </w:rPr>
              <w:t>按需驻场</w:t>
            </w:r>
          </w:p>
        </w:tc>
      </w:tr>
    </w:tbl>
    <w:p>
      <w:pPr>
        <w:rPr>
          <w:rFonts w:hint="eastAsia"/>
        </w:rPr>
      </w:pPr>
      <w:r>
        <w:rPr>
          <w:highlight w:val="none"/>
        </w:rPr>
        <w:t>2）</w:t>
      </w:r>
      <w:r>
        <w:rPr>
          <w:rFonts w:hint="eastAsia"/>
          <w:highlight w:val="none"/>
          <w:lang w:eastAsia="zh-CN"/>
        </w:rPr>
        <w:t>供应商</w:t>
      </w:r>
      <w:r>
        <w:rPr>
          <w:highlight w:val="none"/>
        </w:rPr>
        <w:t>应针对本项目提供不少于</w:t>
      </w:r>
      <w:r>
        <w:rPr>
          <w:rFonts w:hint="eastAsia"/>
          <w:highlight w:val="none"/>
        </w:rPr>
        <w:t>5</w:t>
      </w:r>
      <w:r>
        <w:rPr>
          <w:highlight w:val="none"/>
        </w:rPr>
        <w:t>人的质保期间支撑团队（</w:t>
      </w:r>
      <w:r>
        <w:t>其中</w:t>
      </w:r>
      <w:r>
        <w:rPr>
          <w:rFonts w:hint="eastAsia"/>
        </w:rPr>
        <w:t>运维</w:t>
      </w:r>
      <w:r>
        <w:t>经理</w:t>
      </w:r>
      <w:r>
        <w:rPr>
          <w:rFonts w:hint="eastAsia"/>
        </w:rPr>
        <w:t>1</w:t>
      </w:r>
      <w:r>
        <w:t>人，技术支持不少于</w:t>
      </w:r>
      <w:r>
        <w:rPr>
          <w:rFonts w:hint="eastAsia"/>
        </w:rPr>
        <w:t>2</w:t>
      </w:r>
      <w:r>
        <w:t>人</w:t>
      </w:r>
      <w:r>
        <w:rPr>
          <w:rFonts w:hint="eastAsia"/>
        </w:rPr>
        <w:t>，软件</w:t>
      </w:r>
      <w:r>
        <w:t>工程师不少于</w:t>
      </w:r>
      <w:r>
        <w:rPr>
          <w:rFonts w:hint="eastAsia"/>
        </w:rPr>
        <w:t>2</w:t>
      </w:r>
      <w:r>
        <w:t>人）；</w:t>
      </w:r>
      <w:r>
        <w:rPr>
          <w:rFonts w:hint="eastAsia"/>
          <w:lang w:eastAsia="zh-CN"/>
        </w:rPr>
        <w:t>供应商</w:t>
      </w:r>
      <w:r>
        <w:t>的相关服务人员需具备相应的服务能力，需提供相关证明（最近一个季度依法缴纳社保费的证明）。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260"/>
        <w:gridCol w:w="1417"/>
        <w:gridCol w:w="1055"/>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noWrap/>
            <w:vAlign w:val="center"/>
          </w:tcPr>
          <w:p>
            <w:pPr>
              <w:widowControl/>
              <w:spacing w:line="240" w:lineRule="auto"/>
              <w:ind w:firstLine="0" w:firstLineChars="0"/>
              <w:jc w:val="center"/>
              <w:rPr>
                <w:rFonts w:hint="eastAsia"/>
                <w:b/>
              </w:rPr>
            </w:pPr>
            <w:r>
              <w:rPr>
                <w:rFonts w:hint="eastAsia"/>
                <w:b/>
              </w:rPr>
              <w:t>角色</w:t>
            </w:r>
          </w:p>
        </w:tc>
        <w:tc>
          <w:tcPr>
            <w:tcW w:w="3260" w:type="dxa"/>
            <w:noWrap/>
            <w:vAlign w:val="center"/>
          </w:tcPr>
          <w:p>
            <w:pPr>
              <w:widowControl/>
              <w:spacing w:line="240" w:lineRule="auto"/>
              <w:ind w:firstLine="0" w:firstLineChars="0"/>
              <w:jc w:val="center"/>
              <w:rPr>
                <w:rFonts w:hint="eastAsia"/>
                <w:b/>
              </w:rPr>
            </w:pPr>
            <w:r>
              <w:rPr>
                <w:rFonts w:hint="eastAsia"/>
                <w:b/>
              </w:rPr>
              <w:t>主要职责</w:t>
            </w:r>
          </w:p>
        </w:tc>
        <w:tc>
          <w:tcPr>
            <w:tcW w:w="1417" w:type="dxa"/>
            <w:noWrap/>
            <w:vAlign w:val="center"/>
          </w:tcPr>
          <w:p>
            <w:pPr>
              <w:widowControl/>
              <w:spacing w:line="240" w:lineRule="auto"/>
              <w:ind w:firstLine="0" w:firstLineChars="0"/>
              <w:jc w:val="center"/>
              <w:rPr>
                <w:rFonts w:hint="eastAsia"/>
                <w:b/>
              </w:rPr>
            </w:pPr>
            <w:r>
              <w:rPr>
                <w:rFonts w:hint="eastAsia"/>
                <w:b/>
              </w:rPr>
              <w:t>人员数量</w:t>
            </w:r>
          </w:p>
        </w:tc>
        <w:tc>
          <w:tcPr>
            <w:tcW w:w="1055" w:type="dxa"/>
            <w:vAlign w:val="center"/>
          </w:tcPr>
          <w:p>
            <w:pPr>
              <w:widowControl/>
              <w:spacing w:line="240" w:lineRule="auto"/>
              <w:ind w:firstLine="0" w:firstLineChars="0"/>
              <w:jc w:val="center"/>
              <w:rPr>
                <w:rFonts w:hint="eastAsia"/>
                <w:b/>
              </w:rPr>
            </w:pPr>
            <w:r>
              <w:rPr>
                <w:rFonts w:hint="eastAsia"/>
                <w:b/>
              </w:rPr>
              <w:t>人员要求</w:t>
            </w:r>
          </w:p>
        </w:tc>
        <w:tc>
          <w:tcPr>
            <w:tcW w:w="1128" w:type="dxa"/>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noWrap/>
            <w:vAlign w:val="center"/>
          </w:tcPr>
          <w:p>
            <w:pPr>
              <w:widowControl/>
              <w:spacing w:line="240" w:lineRule="auto"/>
              <w:ind w:firstLine="0" w:firstLineChars="0"/>
              <w:jc w:val="center"/>
              <w:rPr>
                <w:rFonts w:hint="eastAsia"/>
              </w:rPr>
            </w:pPr>
            <w:r>
              <w:rPr>
                <w:rFonts w:hint="eastAsia"/>
              </w:rPr>
              <w:t>运维项目经理</w:t>
            </w:r>
          </w:p>
        </w:tc>
        <w:tc>
          <w:tcPr>
            <w:tcW w:w="3260" w:type="dxa"/>
            <w:vAlign w:val="center"/>
          </w:tcPr>
          <w:p>
            <w:pPr>
              <w:widowControl/>
              <w:spacing w:line="240" w:lineRule="auto"/>
              <w:ind w:firstLine="0" w:firstLineChars="0"/>
              <w:jc w:val="center"/>
              <w:rPr>
                <w:rFonts w:hint="eastAsia"/>
              </w:rPr>
            </w:pPr>
            <w:r>
              <w:rPr>
                <w:rFonts w:hint="eastAsia"/>
              </w:rPr>
              <w:t>负责统筹运维工作</w:t>
            </w:r>
          </w:p>
        </w:tc>
        <w:tc>
          <w:tcPr>
            <w:tcW w:w="1417" w:type="dxa"/>
            <w:noWrap/>
            <w:vAlign w:val="center"/>
          </w:tcPr>
          <w:p>
            <w:pPr>
              <w:widowControl/>
              <w:spacing w:line="240" w:lineRule="auto"/>
              <w:ind w:firstLine="0" w:firstLineChars="0"/>
              <w:jc w:val="center"/>
              <w:rPr>
                <w:rFonts w:hint="eastAsia"/>
              </w:rPr>
            </w:pPr>
            <w:r>
              <w:rPr>
                <w:rFonts w:hint="eastAsia"/>
              </w:rPr>
              <w:t>1人</w:t>
            </w:r>
          </w:p>
        </w:tc>
        <w:tc>
          <w:tcPr>
            <w:tcW w:w="1055" w:type="dxa"/>
            <w:vAlign w:val="center"/>
          </w:tcPr>
          <w:p>
            <w:pPr>
              <w:widowControl/>
              <w:spacing w:line="240" w:lineRule="auto"/>
              <w:ind w:firstLine="0" w:firstLineChars="0"/>
              <w:jc w:val="center"/>
              <w:rPr>
                <w:rFonts w:hint="eastAsia"/>
              </w:rPr>
            </w:pPr>
            <w:r>
              <w:rPr>
                <w:rFonts w:hint="eastAsia"/>
              </w:rPr>
              <w:t>本科及以上学历</w:t>
            </w:r>
          </w:p>
        </w:tc>
        <w:tc>
          <w:tcPr>
            <w:tcW w:w="1128"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noWrap/>
            <w:vAlign w:val="center"/>
          </w:tcPr>
          <w:p>
            <w:pPr>
              <w:widowControl/>
              <w:spacing w:line="240" w:lineRule="auto"/>
              <w:ind w:firstLine="0" w:firstLineChars="0"/>
              <w:jc w:val="center"/>
              <w:rPr>
                <w:rFonts w:hint="eastAsia"/>
              </w:rPr>
            </w:pPr>
            <w:r>
              <w:rPr>
                <w:rFonts w:hint="eastAsia"/>
              </w:rPr>
              <w:t>技术支持</w:t>
            </w:r>
          </w:p>
        </w:tc>
        <w:tc>
          <w:tcPr>
            <w:tcW w:w="3260" w:type="dxa"/>
            <w:vAlign w:val="center"/>
          </w:tcPr>
          <w:p>
            <w:pPr>
              <w:widowControl/>
              <w:spacing w:line="240" w:lineRule="auto"/>
              <w:ind w:firstLine="0" w:firstLineChars="0"/>
              <w:jc w:val="center"/>
              <w:rPr>
                <w:rFonts w:hint="eastAsia"/>
              </w:rPr>
            </w:pPr>
            <w:r>
              <w:rPr>
                <w:rFonts w:hint="eastAsia"/>
              </w:rPr>
              <w:t>负责运维技术支持</w:t>
            </w:r>
          </w:p>
        </w:tc>
        <w:tc>
          <w:tcPr>
            <w:tcW w:w="1417" w:type="dxa"/>
            <w:noWrap/>
            <w:vAlign w:val="center"/>
          </w:tcPr>
          <w:p>
            <w:pPr>
              <w:widowControl/>
              <w:spacing w:line="240" w:lineRule="auto"/>
              <w:ind w:firstLine="0" w:firstLineChars="0"/>
              <w:jc w:val="center"/>
              <w:rPr>
                <w:rFonts w:hint="eastAsia"/>
              </w:rPr>
            </w:pPr>
            <w:r>
              <w:rPr>
                <w:rFonts w:hint="eastAsia"/>
              </w:rPr>
              <w:t>2人</w:t>
            </w:r>
          </w:p>
        </w:tc>
        <w:tc>
          <w:tcPr>
            <w:tcW w:w="1055" w:type="dxa"/>
            <w:vAlign w:val="center"/>
          </w:tcPr>
          <w:p>
            <w:pPr>
              <w:widowControl/>
              <w:spacing w:line="240" w:lineRule="auto"/>
              <w:ind w:firstLine="0" w:firstLineChars="0"/>
              <w:jc w:val="center"/>
              <w:rPr>
                <w:rFonts w:hint="eastAsia"/>
              </w:rPr>
            </w:pPr>
            <w:r>
              <w:rPr>
                <w:rFonts w:hint="eastAsia"/>
              </w:rPr>
              <w:t>本科及以上学历</w:t>
            </w:r>
          </w:p>
        </w:tc>
        <w:tc>
          <w:tcPr>
            <w:tcW w:w="1128" w:type="dxa"/>
            <w:noWrap/>
            <w:vAlign w:val="center"/>
          </w:tcPr>
          <w:p>
            <w:pPr>
              <w:widowControl/>
              <w:spacing w:line="240" w:lineRule="auto"/>
              <w:ind w:firstLine="0" w:firstLineChars="0"/>
              <w:jc w:val="center"/>
              <w:rPr>
                <w:rFonts w:hint="eastAsia"/>
              </w:rPr>
            </w:pPr>
            <w:r>
              <w:rPr>
                <w:rFonts w:hint="eastAsia"/>
              </w:rPr>
              <w:t>1人驻场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noWrap/>
            <w:vAlign w:val="center"/>
          </w:tcPr>
          <w:p>
            <w:pPr>
              <w:widowControl/>
              <w:spacing w:line="240" w:lineRule="auto"/>
              <w:ind w:firstLine="0" w:firstLineChars="0"/>
              <w:jc w:val="center"/>
              <w:rPr>
                <w:rFonts w:hint="eastAsia"/>
              </w:rPr>
            </w:pPr>
            <w:r>
              <w:rPr>
                <w:rFonts w:hint="eastAsia"/>
              </w:rPr>
              <w:t>软件工程师</w:t>
            </w:r>
          </w:p>
        </w:tc>
        <w:tc>
          <w:tcPr>
            <w:tcW w:w="3260" w:type="dxa"/>
            <w:noWrap/>
            <w:vAlign w:val="center"/>
          </w:tcPr>
          <w:p>
            <w:pPr>
              <w:widowControl/>
              <w:spacing w:line="240" w:lineRule="auto"/>
              <w:ind w:firstLine="0" w:firstLineChars="0"/>
              <w:jc w:val="center"/>
              <w:rPr>
                <w:rFonts w:hint="eastAsia"/>
              </w:rPr>
            </w:pPr>
            <w:r>
              <w:rPr>
                <w:rFonts w:hint="eastAsia"/>
              </w:rPr>
              <w:t>负责项目运行维护、bug修复、功能迭代</w:t>
            </w:r>
          </w:p>
        </w:tc>
        <w:tc>
          <w:tcPr>
            <w:tcW w:w="1417" w:type="dxa"/>
            <w:noWrap/>
            <w:vAlign w:val="center"/>
          </w:tcPr>
          <w:p>
            <w:pPr>
              <w:widowControl/>
              <w:spacing w:line="240" w:lineRule="auto"/>
              <w:ind w:firstLine="0" w:firstLineChars="0"/>
              <w:jc w:val="center"/>
              <w:rPr>
                <w:rFonts w:hint="eastAsia"/>
              </w:rPr>
            </w:pPr>
            <w:r>
              <w:rPr>
                <w:rFonts w:hint="eastAsia"/>
              </w:rPr>
              <w:t>2人</w:t>
            </w:r>
          </w:p>
        </w:tc>
        <w:tc>
          <w:tcPr>
            <w:tcW w:w="1055" w:type="dxa"/>
            <w:vAlign w:val="center"/>
          </w:tcPr>
          <w:p>
            <w:pPr>
              <w:widowControl/>
              <w:spacing w:line="240" w:lineRule="auto"/>
              <w:ind w:firstLine="0" w:firstLineChars="0"/>
              <w:jc w:val="center"/>
              <w:rPr>
                <w:rFonts w:hint="eastAsia"/>
              </w:rPr>
            </w:pPr>
            <w:r>
              <w:rPr>
                <w:rFonts w:hint="eastAsia"/>
              </w:rPr>
              <w:t>本科及以上学历</w:t>
            </w:r>
          </w:p>
        </w:tc>
        <w:tc>
          <w:tcPr>
            <w:tcW w:w="1128" w:type="dxa"/>
            <w:noWrap/>
            <w:vAlign w:val="center"/>
          </w:tcPr>
          <w:p>
            <w:pPr>
              <w:widowControl/>
              <w:spacing w:line="240" w:lineRule="auto"/>
              <w:ind w:firstLine="0" w:firstLineChars="0"/>
              <w:jc w:val="center"/>
              <w:rPr>
                <w:rFonts w:hint="eastAsia"/>
              </w:rPr>
            </w:pPr>
            <w:r>
              <w:rPr>
                <w:rFonts w:hint="eastAsia"/>
              </w:rPr>
              <w:t>不驻场</w:t>
            </w:r>
          </w:p>
        </w:tc>
      </w:tr>
    </w:tbl>
    <w:p>
      <w:pPr>
        <w:rPr>
          <w:rFonts w:hint="eastAsia"/>
        </w:rPr>
      </w:pPr>
    </w:p>
    <w:p>
      <w:pPr>
        <w:pStyle w:val="3"/>
        <w:rPr>
          <w:rFonts w:hint="eastAsia"/>
        </w:rPr>
      </w:pPr>
      <w:bookmarkStart w:id="52" w:name="_Toc63785511"/>
      <w:r>
        <w:t>等级保护要求</w:t>
      </w:r>
      <w:bookmarkEnd w:id="52"/>
    </w:p>
    <w:p>
      <w:pPr>
        <w:rPr>
          <w:rFonts w:hint="eastAsia" w:ascii="仿宋_GB2312" w:eastAsia="仿宋_GB2312" w:cs="仿宋_GB2312"/>
          <w:color w:val="000000"/>
          <w:kern w:val="0"/>
          <w:sz w:val="28"/>
          <w:szCs w:val="28"/>
        </w:rPr>
      </w:pPr>
      <w:r>
        <w:t>本项目等级保护要求：参照等保</w:t>
      </w:r>
      <w:r>
        <w:rPr>
          <w:rFonts w:hint="eastAsia"/>
        </w:rPr>
        <w:t>三</w:t>
      </w:r>
      <w:r>
        <w:t>级要求建设。</w:t>
      </w:r>
    </w:p>
    <w:p>
      <w:pPr>
        <w:pStyle w:val="3"/>
        <w:rPr>
          <w:rFonts w:hint="eastAsia"/>
        </w:rPr>
      </w:pPr>
      <w:r>
        <w:rPr>
          <w:rFonts w:hint="eastAsia"/>
        </w:rPr>
        <w:t>商业密码应用需求</w:t>
      </w:r>
    </w:p>
    <w:p>
      <w:pPr>
        <w:rPr>
          <w:rFonts w:hint="eastAsia"/>
        </w:rPr>
      </w:pPr>
      <w:r>
        <w:rPr>
          <w:rFonts w:hint="eastAsia"/>
        </w:rPr>
        <w:t>商业密码应用需求：参照商业密码应用第三级建设。</w:t>
      </w:r>
    </w:p>
    <w:p>
      <w:pPr>
        <w:rPr>
          <w:rFonts w:hint="eastAsia"/>
        </w:rPr>
      </w:pPr>
      <w:r>
        <w:rPr>
          <w:rFonts w:hint="eastAsia"/>
        </w:rPr>
        <w:t>基于云平台提供的安全认证网关、签名验签、数据库加密等密码服务以及系统的应用功能，需开发适配若干密码应用功能模块，以实现网络和通信、设备和计算、应用和数据等层面的各密码应用功能。</w:t>
      </w:r>
    </w:p>
    <w:p>
      <w:pPr>
        <w:pStyle w:val="3"/>
        <w:rPr>
          <w:rFonts w:hint="eastAsia"/>
        </w:rPr>
      </w:pPr>
      <w:bookmarkStart w:id="53" w:name="_Toc63785512"/>
      <w:r>
        <w:rPr>
          <w:rFonts w:hint="eastAsia"/>
        </w:rPr>
        <w:t>技术文件要求</w:t>
      </w:r>
    </w:p>
    <w:p>
      <w:pPr>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pPr>
        <w:rPr>
          <w:rFonts w:hint="eastAsia"/>
        </w:rPr>
      </w:pPr>
      <w:r>
        <w:rPr>
          <w:rFonts w:hint="eastAsia"/>
        </w:rPr>
        <w:t>－</w:t>
      </w:r>
      <w:r>
        <w:t xml:space="preserve"> 系统说明文件； </w:t>
      </w:r>
    </w:p>
    <w:p>
      <w:pPr>
        <w:rPr>
          <w:rFonts w:hint="eastAsia"/>
        </w:rPr>
      </w:pPr>
      <w:r>
        <w:rPr>
          <w:rFonts w:hint="eastAsia"/>
        </w:rPr>
        <w:t>－</w:t>
      </w:r>
      <w:r>
        <w:t xml:space="preserve"> 技术手册(安装、测试、操作、维护、故障排除等)； </w:t>
      </w:r>
    </w:p>
    <w:p>
      <w:pPr>
        <w:rPr>
          <w:rFonts w:hint="eastAsia"/>
        </w:rPr>
      </w:pPr>
      <w:r>
        <w:rPr>
          <w:rFonts w:hint="eastAsia"/>
        </w:rPr>
        <w:t>－</w:t>
      </w:r>
      <w:r>
        <w:t xml:space="preserve"> 项目文档，应该包括：</w:t>
      </w:r>
    </w:p>
    <w:p>
      <w:pPr>
        <w:ind w:left="360"/>
        <w:rPr>
          <w:rFonts w:hint="eastAsia"/>
        </w:rPr>
      </w:pPr>
      <w:r>
        <w:t>(1)软件需求说明书</w:t>
      </w:r>
    </w:p>
    <w:p>
      <w:pPr>
        <w:ind w:left="360"/>
        <w:rPr>
          <w:rFonts w:hint="eastAsia"/>
        </w:rPr>
      </w:pPr>
      <w:r>
        <w:t>(2)</w:t>
      </w:r>
      <w:r>
        <w:tab/>
      </w:r>
      <w:r>
        <w:t>系统总体设计说明书</w:t>
      </w:r>
    </w:p>
    <w:p>
      <w:pPr>
        <w:ind w:left="360"/>
        <w:rPr>
          <w:rFonts w:hint="eastAsia"/>
        </w:rPr>
      </w:pPr>
      <w:r>
        <w:t>(3)</w:t>
      </w:r>
      <w:r>
        <w:tab/>
      </w:r>
      <w:r>
        <w:t>应用软件功能清单</w:t>
      </w:r>
    </w:p>
    <w:p>
      <w:pPr>
        <w:rPr>
          <w:rFonts w:hint="eastAsia"/>
        </w:rPr>
      </w:pPr>
      <w:r>
        <w:rPr>
          <w:rFonts w:hint="eastAsia"/>
        </w:rPr>
        <w:t>提供全套技术文件纸介质</w:t>
      </w:r>
      <w:r>
        <w:t>3套以及电子文件1套。</w:t>
      </w:r>
    </w:p>
    <w:p>
      <w:pPr>
        <w:pStyle w:val="2"/>
        <w:rPr>
          <w:rFonts w:hint="eastAsia"/>
        </w:rPr>
      </w:pPr>
      <w:r>
        <w:rPr>
          <w:rFonts w:hint="eastAsia"/>
        </w:rPr>
        <w:t>供应商管理要求</w:t>
      </w:r>
      <w:bookmarkEnd w:id="53"/>
    </w:p>
    <w:p>
      <w:pPr>
        <w:pStyle w:val="81"/>
        <w:ind w:firstLine="480"/>
        <w:rPr>
          <w:rFonts w:hint="eastAsia"/>
          <w:sz w:val="24"/>
          <w:szCs w:val="24"/>
        </w:rPr>
      </w:pPr>
      <w:r>
        <w:rPr>
          <w:rFonts w:hint="eastAsia"/>
          <w:sz w:val="24"/>
          <w:szCs w:val="24"/>
        </w:rPr>
        <w:t>1、在项目实施期间，成交供应商应严格执行国家、地方、行业有关本项目业务管理和安全作业的法律、法规和制度并按规定承担相应的费用。成交供应商因违反规定等原因造成的一切损失和责任由成交供应商自行承担。</w:t>
      </w:r>
    </w:p>
    <w:p>
      <w:pPr>
        <w:pStyle w:val="81"/>
        <w:ind w:firstLine="480"/>
        <w:rPr>
          <w:rFonts w:hint="eastAsia"/>
          <w:sz w:val="24"/>
          <w:szCs w:val="24"/>
        </w:rPr>
      </w:pPr>
      <w:r>
        <w:rPr>
          <w:rFonts w:hint="eastAsia"/>
          <w:sz w:val="24"/>
          <w:szCs w:val="24"/>
        </w:rPr>
        <w:t>2、成交供应商在响应文件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成交供应商不得调换或撤离上述人员。如采购人认为有必要，可要求成交供应商对上述人员中的部分人员作出更好的调整。</w:t>
      </w:r>
    </w:p>
    <w:p>
      <w:pPr>
        <w:pStyle w:val="81"/>
        <w:ind w:firstLine="480"/>
        <w:rPr>
          <w:rFonts w:hint="eastAsia"/>
          <w:sz w:val="24"/>
          <w:szCs w:val="24"/>
        </w:rPr>
      </w:pPr>
      <w:r>
        <w:rPr>
          <w:rFonts w:hint="eastAsia"/>
          <w:sz w:val="24"/>
          <w:szCs w:val="24"/>
        </w:rPr>
        <w:t>3、成交供应商在项目实施期间，应按项目实际进度与环节落实所对应项目整体及各环节管理工作，按照规范做好项目实施期间相关管理与实施记录。</w:t>
      </w:r>
    </w:p>
    <w:p>
      <w:pPr>
        <w:pStyle w:val="81"/>
        <w:ind w:firstLine="480"/>
        <w:rPr>
          <w:rFonts w:hint="eastAsia"/>
          <w:sz w:val="24"/>
          <w:szCs w:val="24"/>
        </w:rPr>
      </w:pPr>
      <w:r>
        <w:rPr>
          <w:rFonts w:hint="eastAsia"/>
          <w:sz w:val="24"/>
          <w:szCs w:val="24"/>
        </w:rPr>
        <w:t>4、参与本项目的工作人员应严格遵循采购人的安全制度，保障采购人资料和设备的安全。成交供应商如需进入采购人机房工作，只能在采购人规定的工作区域内对项目涉及的设备进行操作，严禁触动与项目</w:t>
      </w:r>
      <w:bookmarkStart w:id="56" w:name="_GoBack"/>
      <w:bookmarkEnd w:id="56"/>
      <w:r>
        <w:rPr>
          <w:rFonts w:hint="eastAsia"/>
          <w:sz w:val="24"/>
          <w:szCs w:val="24"/>
        </w:rPr>
        <w:t>无关的任何设备（包括任何操作行为），如需跨区操作必须得到采购人项目联系人确认。</w:t>
      </w:r>
    </w:p>
    <w:p>
      <w:pPr>
        <w:pStyle w:val="81"/>
        <w:ind w:firstLine="480"/>
        <w:rPr>
          <w:rFonts w:hint="eastAsia"/>
          <w:sz w:val="24"/>
          <w:szCs w:val="24"/>
        </w:rPr>
      </w:pPr>
      <w:r>
        <w:rPr>
          <w:rFonts w:hint="eastAsia"/>
          <w:sz w:val="24"/>
          <w:szCs w:val="24"/>
        </w:rPr>
        <w:t>5、成交供应商在项目实施期间必须遵守采购人的规章制度并提供实施人员名单。</w:t>
      </w:r>
    </w:p>
    <w:p>
      <w:pPr>
        <w:pStyle w:val="81"/>
        <w:ind w:firstLine="480"/>
        <w:rPr>
          <w:rFonts w:hint="eastAsia"/>
          <w:sz w:val="24"/>
          <w:szCs w:val="24"/>
        </w:rPr>
      </w:pPr>
      <w:r>
        <w:rPr>
          <w:rFonts w:hint="eastAsia"/>
          <w:sz w:val="24"/>
          <w:szCs w:val="24"/>
        </w:rPr>
        <w:t>6、各供应商在响应文件中要结合本项目的特点和采购人上述的具体要求制定相应的管理措施，并在报价中列支相应的费用清单，供应商报价中未列支上述费用清单的，上述费用视为已包含在供应商的总报价中。</w:t>
      </w:r>
    </w:p>
    <w:p>
      <w:pPr>
        <w:pStyle w:val="81"/>
        <w:ind w:firstLine="480"/>
        <w:rPr>
          <w:rFonts w:hint="eastAsia"/>
          <w:sz w:val="24"/>
          <w:szCs w:val="24"/>
        </w:rPr>
      </w:pPr>
      <w:r>
        <w:rPr>
          <w:rFonts w:hint="eastAsia"/>
          <w:sz w:val="24"/>
          <w:szCs w:val="24"/>
        </w:rPr>
        <w:t>7、本项目软件开发及调试将纳入采购人的管理范围，成交供应商在此过程中须服从上述单位的管理协调。</w:t>
      </w:r>
    </w:p>
    <w:p>
      <w:pPr>
        <w:pStyle w:val="81"/>
        <w:ind w:firstLine="480"/>
        <w:rPr>
          <w:rFonts w:hint="eastAsia" w:eastAsia="宋体"/>
          <w:sz w:val="24"/>
          <w:szCs w:val="24"/>
          <w:lang w:val="en-US" w:eastAsia="zh-CN"/>
        </w:rPr>
      </w:pPr>
      <w:r>
        <w:rPr>
          <w:rFonts w:hint="eastAsia"/>
          <w:sz w:val="24"/>
          <w:szCs w:val="24"/>
          <w:lang w:val="en-US" w:eastAsia="zh-CN"/>
        </w:rPr>
        <w:t>8、供应商应具有质量管理体系认证、信息安全管理体系认证、隐私信息管理体系认证、DCMM数据管理能力成熟度等级证书等能证明企业实力的资质证明文件。</w:t>
      </w:r>
    </w:p>
    <w:p>
      <w:pPr>
        <w:pStyle w:val="81"/>
        <w:ind w:firstLine="420"/>
        <w:rPr>
          <w:rFonts w:hint="eastAsia"/>
        </w:rPr>
      </w:pPr>
    </w:p>
    <w:p>
      <w:pPr>
        <w:pStyle w:val="2"/>
        <w:rPr>
          <w:rFonts w:hint="eastAsia"/>
        </w:rPr>
      </w:pPr>
      <w:bookmarkStart w:id="54" w:name="_Toc65170093"/>
      <w:r>
        <w:t>项目的变更、解除和终止</w:t>
      </w:r>
    </w:p>
    <w:p>
      <w:pPr>
        <w:rPr>
          <w:rFonts w:hint="eastAsia"/>
        </w:rPr>
      </w:pPr>
      <w:r>
        <w:rPr>
          <w:rFonts w:hint="eastAsia"/>
        </w:rPr>
        <w:t>如果成交供应商丧失履约能力、发生资不抵债或进入破产程序，采购人可在任何时候以书面形式通知成交供应商终止本项目的执行而不给予成交供应商补偿。该终止本项目将不损害或影响采购人已经采取或将要采取任何行动或补救措施的权利。</w:t>
      </w:r>
    </w:p>
    <w:p>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bookmarkEnd w:id="54"/>
    <w:p>
      <w:pPr>
        <w:pStyle w:val="2"/>
        <w:rPr>
          <w:rFonts w:hint="eastAsia"/>
        </w:rPr>
      </w:pPr>
      <w:bookmarkStart w:id="55" w:name="_Toc68798863"/>
      <w:r>
        <w:rPr>
          <w:rFonts w:hint="eastAsia"/>
        </w:rPr>
        <w:t>附录</w:t>
      </w:r>
      <w:bookmarkEnd w:id="55"/>
    </w:p>
    <w:p>
      <w:pPr>
        <w:ind w:firstLine="482"/>
        <w:rPr>
          <w:rFonts w:hint="eastAsia"/>
        </w:rPr>
      </w:pPr>
      <w:r>
        <w:rPr>
          <w:rFonts w:hint="eastAsia"/>
          <w:b/>
        </w:rPr>
        <w:t>项目建设过程中需符合相关技术标准或规范文件的要求，参考如下：</w:t>
      </w:r>
    </w:p>
    <w:p>
      <w:pPr>
        <w:ind w:firstLine="0" w:firstLineChars="0"/>
        <w:rPr>
          <w:rFonts w:hint="eastAsia"/>
        </w:rPr>
      </w:pPr>
      <w:r>
        <w:rPr>
          <w:rFonts w:hint="eastAsia"/>
        </w:rPr>
        <w:t>1、</w:t>
      </w:r>
      <w:r>
        <w:t>《政务网络安全监测平台总体技术要求》</w:t>
      </w:r>
    </w:p>
    <w:p>
      <w:pPr>
        <w:ind w:firstLine="0" w:firstLineChars="0"/>
        <w:jc w:val="left"/>
        <w:rPr>
          <w:rFonts w:hint="eastAsia"/>
        </w:rPr>
      </w:pPr>
      <w:r>
        <w:rPr>
          <w:rFonts w:hint="eastAsia"/>
        </w:rPr>
        <w:t>2、《上海市电子政务外网建设和运行管理指南（试行）》</w:t>
      </w:r>
    </w:p>
    <w:p>
      <w:pPr>
        <w:ind w:firstLine="0" w:firstLineChars="0"/>
        <w:jc w:val="left"/>
        <w:rPr>
          <w:rFonts w:hint="eastAsia"/>
        </w:rPr>
      </w:pPr>
      <w:r>
        <w:rPr>
          <w:rFonts w:hint="eastAsia"/>
        </w:rPr>
        <w:t>3、GB/T 25070-2019《信息安全技术 网络安全等级保护安全设计技术要求》</w:t>
      </w:r>
    </w:p>
    <w:p>
      <w:pPr>
        <w:ind w:firstLine="0" w:firstLineChars="0"/>
        <w:jc w:val="left"/>
        <w:rPr>
          <w:rFonts w:hint="eastAsia"/>
          <w:b/>
          <w:bCs/>
        </w:rPr>
      </w:pPr>
      <w:r>
        <w:rPr>
          <w:rFonts w:hint="eastAsia"/>
        </w:rPr>
        <w:t>4、GB/T 43697-2024《数据安全技术 数据分类分级规则》</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time">
    <w:altName w:val="华文中宋"/>
    <w:panose1 w:val="00000000000000000000"/>
    <w:charset w:val="00"/>
    <w:family w:val="roman"/>
    <w:pitch w:val="default"/>
    <w:sig w:usb0="00000000" w:usb1="00000000" w:usb2="00000000"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文泉驿微米黑"/>
    <w:panose1 w:val="02010600040101010101"/>
    <w:charset w:val="86"/>
    <w:family w:val="auto"/>
    <w:pitch w:val="default"/>
    <w:sig w:usb0="00000000" w:usb1="0000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16</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22D20"/>
    <w:multiLevelType w:val="singleLevel"/>
    <w:tmpl w:val="E7B22D20"/>
    <w:lvl w:ilvl="0" w:tentative="0">
      <w:start w:val="1"/>
      <w:numFmt w:val="decimal"/>
      <w:suff w:val="nothing"/>
      <w:lvlText w:val="%1、"/>
      <w:lvlJc w:val="left"/>
    </w:lvl>
  </w:abstractNum>
  <w:abstractNum w:abstractNumId="1">
    <w:nsid w:val="17124226"/>
    <w:multiLevelType w:val="multilevel"/>
    <w:tmpl w:val="17124226"/>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xYTNiNjU4OTI5YzE5YTM3YzVjMjMwYWU5MDUwNDg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442F"/>
    <w:rsid w:val="000A4FC7"/>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4D30"/>
    <w:rsid w:val="00145512"/>
    <w:rsid w:val="001465BD"/>
    <w:rsid w:val="00147B45"/>
    <w:rsid w:val="00150803"/>
    <w:rsid w:val="00151D83"/>
    <w:rsid w:val="001546C9"/>
    <w:rsid w:val="00154FAE"/>
    <w:rsid w:val="00155E77"/>
    <w:rsid w:val="00156A70"/>
    <w:rsid w:val="00160A61"/>
    <w:rsid w:val="00160FC0"/>
    <w:rsid w:val="001612D8"/>
    <w:rsid w:val="0016429B"/>
    <w:rsid w:val="00164525"/>
    <w:rsid w:val="00164C50"/>
    <w:rsid w:val="00165CB2"/>
    <w:rsid w:val="00166203"/>
    <w:rsid w:val="00166767"/>
    <w:rsid w:val="001707CB"/>
    <w:rsid w:val="00171477"/>
    <w:rsid w:val="00172A1A"/>
    <w:rsid w:val="00173251"/>
    <w:rsid w:val="001762C1"/>
    <w:rsid w:val="00176BED"/>
    <w:rsid w:val="0017759D"/>
    <w:rsid w:val="001804A5"/>
    <w:rsid w:val="00181C94"/>
    <w:rsid w:val="00182C84"/>
    <w:rsid w:val="00185742"/>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68F"/>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2FFE"/>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185D"/>
    <w:rsid w:val="0029206E"/>
    <w:rsid w:val="00293382"/>
    <w:rsid w:val="00294F51"/>
    <w:rsid w:val="002A2342"/>
    <w:rsid w:val="002A279E"/>
    <w:rsid w:val="002A4FA3"/>
    <w:rsid w:val="002A7C1E"/>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5894"/>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0DC4"/>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206B"/>
    <w:rsid w:val="003F3BA3"/>
    <w:rsid w:val="003F3BD5"/>
    <w:rsid w:val="003F400E"/>
    <w:rsid w:val="003F6F35"/>
    <w:rsid w:val="003F7768"/>
    <w:rsid w:val="00400E8C"/>
    <w:rsid w:val="004017DC"/>
    <w:rsid w:val="00401B53"/>
    <w:rsid w:val="00402668"/>
    <w:rsid w:val="00404FEC"/>
    <w:rsid w:val="0040534D"/>
    <w:rsid w:val="0040540E"/>
    <w:rsid w:val="00405FAD"/>
    <w:rsid w:val="004117AB"/>
    <w:rsid w:val="00412B2F"/>
    <w:rsid w:val="00415281"/>
    <w:rsid w:val="00415716"/>
    <w:rsid w:val="00415FD5"/>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2019"/>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19E"/>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D7B95"/>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68D3"/>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4EC5"/>
    <w:rsid w:val="00565694"/>
    <w:rsid w:val="00566DD6"/>
    <w:rsid w:val="005714EF"/>
    <w:rsid w:val="00571CEC"/>
    <w:rsid w:val="00572FCE"/>
    <w:rsid w:val="005750DB"/>
    <w:rsid w:val="005759FC"/>
    <w:rsid w:val="00575B85"/>
    <w:rsid w:val="00576DB9"/>
    <w:rsid w:val="0057738F"/>
    <w:rsid w:val="00577ACB"/>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4690"/>
    <w:rsid w:val="005A5212"/>
    <w:rsid w:val="005A6D28"/>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5CF8"/>
    <w:rsid w:val="0067609E"/>
    <w:rsid w:val="00677749"/>
    <w:rsid w:val="00680E07"/>
    <w:rsid w:val="00682B9D"/>
    <w:rsid w:val="00683806"/>
    <w:rsid w:val="00686AF9"/>
    <w:rsid w:val="006910C0"/>
    <w:rsid w:val="00691954"/>
    <w:rsid w:val="0069320E"/>
    <w:rsid w:val="00693691"/>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3A2E"/>
    <w:rsid w:val="00734A6D"/>
    <w:rsid w:val="00736633"/>
    <w:rsid w:val="007405A4"/>
    <w:rsid w:val="00741EE7"/>
    <w:rsid w:val="00743A79"/>
    <w:rsid w:val="007444D4"/>
    <w:rsid w:val="0074594D"/>
    <w:rsid w:val="007459F3"/>
    <w:rsid w:val="00746E35"/>
    <w:rsid w:val="007470E2"/>
    <w:rsid w:val="0075232F"/>
    <w:rsid w:val="00753132"/>
    <w:rsid w:val="007550B3"/>
    <w:rsid w:val="00760451"/>
    <w:rsid w:val="0076600F"/>
    <w:rsid w:val="0077182A"/>
    <w:rsid w:val="00771913"/>
    <w:rsid w:val="00772718"/>
    <w:rsid w:val="00775BCF"/>
    <w:rsid w:val="007818AA"/>
    <w:rsid w:val="00783140"/>
    <w:rsid w:val="007838B6"/>
    <w:rsid w:val="00783E77"/>
    <w:rsid w:val="0078492D"/>
    <w:rsid w:val="007906F1"/>
    <w:rsid w:val="007920A4"/>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4636"/>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01C"/>
    <w:rsid w:val="00841558"/>
    <w:rsid w:val="00842A68"/>
    <w:rsid w:val="008435BA"/>
    <w:rsid w:val="0084558B"/>
    <w:rsid w:val="0084654A"/>
    <w:rsid w:val="00847654"/>
    <w:rsid w:val="00851064"/>
    <w:rsid w:val="00852948"/>
    <w:rsid w:val="00855543"/>
    <w:rsid w:val="008566B3"/>
    <w:rsid w:val="008576B7"/>
    <w:rsid w:val="00857F7B"/>
    <w:rsid w:val="00863DA1"/>
    <w:rsid w:val="008654A6"/>
    <w:rsid w:val="00865D86"/>
    <w:rsid w:val="00870495"/>
    <w:rsid w:val="00870EA1"/>
    <w:rsid w:val="008710C5"/>
    <w:rsid w:val="00871460"/>
    <w:rsid w:val="00873EE6"/>
    <w:rsid w:val="00874438"/>
    <w:rsid w:val="00874E75"/>
    <w:rsid w:val="008767F3"/>
    <w:rsid w:val="00876CEF"/>
    <w:rsid w:val="00877342"/>
    <w:rsid w:val="008803C3"/>
    <w:rsid w:val="00881450"/>
    <w:rsid w:val="008817C7"/>
    <w:rsid w:val="00881875"/>
    <w:rsid w:val="00881C86"/>
    <w:rsid w:val="008848A3"/>
    <w:rsid w:val="00884AF1"/>
    <w:rsid w:val="00885F7A"/>
    <w:rsid w:val="00887E75"/>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118"/>
    <w:rsid w:val="008C1343"/>
    <w:rsid w:val="008C3912"/>
    <w:rsid w:val="008C5598"/>
    <w:rsid w:val="008C69EA"/>
    <w:rsid w:val="008C6F8B"/>
    <w:rsid w:val="008C7AB7"/>
    <w:rsid w:val="008C7FB4"/>
    <w:rsid w:val="008D2C8C"/>
    <w:rsid w:val="008D3040"/>
    <w:rsid w:val="008D3ECD"/>
    <w:rsid w:val="008D5C03"/>
    <w:rsid w:val="008D7580"/>
    <w:rsid w:val="008D7C35"/>
    <w:rsid w:val="008E1556"/>
    <w:rsid w:val="008E5698"/>
    <w:rsid w:val="008E5733"/>
    <w:rsid w:val="008E77D2"/>
    <w:rsid w:val="008E78FD"/>
    <w:rsid w:val="008F0EC8"/>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220B"/>
    <w:rsid w:val="00923A43"/>
    <w:rsid w:val="0092439C"/>
    <w:rsid w:val="0092498E"/>
    <w:rsid w:val="00925B91"/>
    <w:rsid w:val="00934461"/>
    <w:rsid w:val="00934F7E"/>
    <w:rsid w:val="00936A1C"/>
    <w:rsid w:val="009432AF"/>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2A3"/>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71E"/>
    <w:rsid w:val="00A90B23"/>
    <w:rsid w:val="00A91F69"/>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13D34"/>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5794B"/>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3E4F"/>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4C1C"/>
    <w:rsid w:val="00BC5288"/>
    <w:rsid w:val="00BC6A71"/>
    <w:rsid w:val="00BC6B2F"/>
    <w:rsid w:val="00BD0637"/>
    <w:rsid w:val="00BD08A8"/>
    <w:rsid w:val="00BD1BAC"/>
    <w:rsid w:val="00BD1FA8"/>
    <w:rsid w:val="00BD2022"/>
    <w:rsid w:val="00BD25A6"/>
    <w:rsid w:val="00BD4C95"/>
    <w:rsid w:val="00BD65FC"/>
    <w:rsid w:val="00BD7114"/>
    <w:rsid w:val="00BD7660"/>
    <w:rsid w:val="00BE0666"/>
    <w:rsid w:val="00BE24B9"/>
    <w:rsid w:val="00BE2AE8"/>
    <w:rsid w:val="00BE2D55"/>
    <w:rsid w:val="00BE38DD"/>
    <w:rsid w:val="00BE4AB1"/>
    <w:rsid w:val="00BF1093"/>
    <w:rsid w:val="00BF16C3"/>
    <w:rsid w:val="00BF38E0"/>
    <w:rsid w:val="00BF44FA"/>
    <w:rsid w:val="00BF57E1"/>
    <w:rsid w:val="00C003B4"/>
    <w:rsid w:val="00C00A5F"/>
    <w:rsid w:val="00C042E0"/>
    <w:rsid w:val="00C051D9"/>
    <w:rsid w:val="00C06333"/>
    <w:rsid w:val="00C06F68"/>
    <w:rsid w:val="00C075BA"/>
    <w:rsid w:val="00C10A3A"/>
    <w:rsid w:val="00C11E20"/>
    <w:rsid w:val="00C15B94"/>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54BE"/>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420B"/>
    <w:rsid w:val="00C75017"/>
    <w:rsid w:val="00C765B4"/>
    <w:rsid w:val="00C813EA"/>
    <w:rsid w:val="00C81496"/>
    <w:rsid w:val="00C82CE6"/>
    <w:rsid w:val="00C82E22"/>
    <w:rsid w:val="00C85144"/>
    <w:rsid w:val="00C86738"/>
    <w:rsid w:val="00C86A27"/>
    <w:rsid w:val="00C91517"/>
    <w:rsid w:val="00C929BD"/>
    <w:rsid w:val="00C931A2"/>
    <w:rsid w:val="00C9458B"/>
    <w:rsid w:val="00CA02E1"/>
    <w:rsid w:val="00CA0D66"/>
    <w:rsid w:val="00CA15DA"/>
    <w:rsid w:val="00CA224E"/>
    <w:rsid w:val="00CA41C5"/>
    <w:rsid w:val="00CA42B7"/>
    <w:rsid w:val="00CA4A53"/>
    <w:rsid w:val="00CA51F5"/>
    <w:rsid w:val="00CB218A"/>
    <w:rsid w:val="00CB225A"/>
    <w:rsid w:val="00CB69E6"/>
    <w:rsid w:val="00CB761B"/>
    <w:rsid w:val="00CB7E33"/>
    <w:rsid w:val="00CC13DF"/>
    <w:rsid w:val="00CC1EEE"/>
    <w:rsid w:val="00CC2469"/>
    <w:rsid w:val="00CC4113"/>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16D5E"/>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5D"/>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352F"/>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C75E4"/>
    <w:rsid w:val="00DD0C00"/>
    <w:rsid w:val="00DD0F8C"/>
    <w:rsid w:val="00DD116C"/>
    <w:rsid w:val="00DD1BE6"/>
    <w:rsid w:val="00DD23D5"/>
    <w:rsid w:val="00DD2AF1"/>
    <w:rsid w:val="00DD46DA"/>
    <w:rsid w:val="00DD6072"/>
    <w:rsid w:val="00DD62BE"/>
    <w:rsid w:val="00DD77D9"/>
    <w:rsid w:val="00DD7CA4"/>
    <w:rsid w:val="00DE167C"/>
    <w:rsid w:val="00DE3B70"/>
    <w:rsid w:val="00DE5813"/>
    <w:rsid w:val="00DF10B1"/>
    <w:rsid w:val="00DF1FDA"/>
    <w:rsid w:val="00DF3DD0"/>
    <w:rsid w:val="00DF4A7B"/>
    <w:rsid w:val="00DF4D50"/>
    <w:rsid w:val="00DF538C"/>
    <w:rsid w:val="00E021C2"/>
    <w:rsid w:val="00E024A3"/>
    <w:rsid w:val="00E0423D"/>
    <w:rsid w:val="00E05257"/>
    <w:rsid w:val="00E057B5"/>
    <w:rsid w:val="00E0581E"/>
    <w:rsid w:val="00E079C5"/>
    <w:rsid w:val="00E07CBD"/>
    <w:rsid w:val="00E07F56"/>
    <w:rsid w:val="00E10A16"/>
    <w:rsid w:val="00E1112F"/>
    <w:rsid w:val="00E1318F"/>
    <w:rsid w:val="00E13B3B"/>
    <w:rsid w:val="00E13E29"/>
    <w:rsid w:val="00E166BA"/>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2A1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2480"/>
    <w:rsid w:val="00EC462E"/>
    <w:rsid w:val="00EC6CD8"/>
    <w:rsid w:val="00EC786F"/>
    <w:rsid w:val="00ED1866"/>
    <w:rsid w:val="00ED3134"/>
    <w:rsid w:val="00ED38E2"/>
    <w:rsid w:val="00ED5C44"/>
    <w:rsid w:val="00ED635B"/>
    <w:rsid w:val="00EE742D"/>
    <w:rsid w:val="00EF029F"/>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2F07"/>
    <w:rsid w:val="00F65E3C"/>
    <w:rsid w:val="00F66275"/>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6B64"/>
    <w:rsid w:val="00FA7016"/>
    <w:rsid w:val="00FA7174"/>
    <w:rsid w:val="00FA793D"/>
    <w:rsid w:val="00FB020E"/>
    <w:rsid w:val="00FB0F17"/>
    <w:rsid w:val="00FB2843"/>
    <w:rsid w:val="00FB4B9D"/>
    <w:rsid w:val="00FB50ED"/>
    <w:rsid w:val="00FB6E18"/>
    <w:rsid w:val="00FC13AF"/>
    <w:rsid w:val="00FC144B"/>
    <w:rsid w:val="00FC2169"/>
    <w:rsid w:val="00FC28E2"/>
    <w:rsid w:val="00FC3BF6"/>
    <w:rsid w:val="00FC3D22"/>
    <w:rsid w:val="00FC6FE1"/>
    <w:rsid w:val="00FD0C3D"/>
    <w:rsid w:val="00FD157A"/>
    <w:rsid w:val="00FD2F6B"/>
    <w:rsid w:val="00FE064A"/>
    <w:rsid w:val="00FE0B55"/>
    <w:rsid w:val="00FE1E98"/>
    <w:rsid w:val="00FE2452"/>
    <w:rsid w:val="00FE5469"/>
    <w:rsid w:val="00FE66C2"/>
    <w:rsid w:val="00FE684A"/>
    <w:rsid w:val="00FE6F23"/>
    <w:rsid w:val="00FF0F8C"/>
    <w:rsid w:val="00FF408B"/>
    <w:rsid w:val="00FF43E1"/>
    <w:rsid w:val="01E23011"/>
    <w:rsid w:val="02E941D7"/>
    <w:rsid w:val="033F7E40"/>
    <w:rsid w:val="03430854"/>
    <w:rsid w:val="035C474C"/>
    <w:rsid w:val="039F5FA6"/>
    <w:rsid w:val="08404F68"/>
    <w:rsid w:val="08E30F28"/>
    <w:rsid w:val="09305ADA"/>
    <w:rsid w:val="0CB9007B"/>
    <w:rsid w:val="0CFF0F1B"/>
    <w:rsid w:val="0DA273CD"/>
    <w:rsid w:val="0E4A19D9"/>
    <w:rsid w:val="0E8013B7"/>
    <w:rsid w:val="109A0CB7"/>
    <w:rsid w:val="10D604C6"/>
    <w:rsid w:val="11B515E0"/>
    <w:rsid w:val="13A53267"/>
    <w:rsid w:val="13F970D2"/>
    <w:rsid w:val="1404274B"/>
    <w:rsid w:val="14AA4136"/>
    <w:rsid w:val="1557566D"/>
    <w:rsid w:val="163A420B"/>
    <w:rsid w:val="17801629"/>
    <w:rsid w:val="193E0E70"/>
    <w:rsid w:val="19413B26"/>
    <w:rsid w:val="1B2A1F4C"/>
    <w:rsid w:val="1C111F24"/>
    <w:rsid w:val="1C6D3688"/>
    <w:rsid w:val="1CC63D0A"/>
    <w:rsid w:val="1CEE0AE4"/>
    <w:rsid w:val="1D0048A3"/>
    <w:rsid w:val="1D351C11"/>
    <w:rsid w:val="1DC2081A"/>
    <w:rsid w:val="1DD94266"/>
    <w:rsid w:val="1E5135A1"/>
    <w:rsid w:val="1E7C7CCC"/>
    <w:rsid w:val="1E8411D7"/>
    <w:rsid w:val="1E91503C"/>
    <w:rsid w:val="1EAF02C7"/>
    <w:rsid w:val="1EFB263F"/>
    <w:rsid w:val="1F6748AB"/>
    <w:rsid w:val="1F9D0947"/>
    <w:rsid w:val="1FFB29C6"/>
    <w:rsid w:val="20210D51"/>
    <w:rsid w:val="222C235B"/>
    <w:rsid w:val="229062E4"/>
    <w:rsid w:val="22AF3620"/>
    <w:rsid w:val="22E70AD4"/>
    <w:rsid w:val="2464432F"/>
    <w:rsid w:val="24F1508D"/>
    <w:rsid w:val="250E582F"/>
    <w:rsid w:val="266F634F"/>
    <w:rsid w:val="291059EA"/>
    <w:rsid w:val="29B85DD6"/>
    <w:rsid w:val="2BBF12EC"/>
    <w:rsid w:val="2BC649D9"/>
    <w:rsid w:val="2D0108D6"/>
    <w:rsid w:val="2F605D68"/>
    <w:rsid w:val="2FA64655"/>
    <w:rsid w:val="306219F6"/>
    <w:rsid w:val="31547273"/>
    <w:rsid w:val="34BC5077"/>
    <w:rsid w:val="3515160D"/>
    <w:rsid w:val="37264376"/>
    <w:rsid w:val="378679C0"/>
    <w:rsid w:val="38D9375C"/>
    <w:rsid w:val="39D9050A"/>
    <w:rsid w:val="3A2416BE"/>
    <w:rsid w:val="3A781428"/>
    <w:rsid w:val="3B6A778B"/>
    <w:rsid w:val="3BCB453B"/>
    <w:rsid w:val="3C6932A9"/>
    <w:rsid w:val="3C7D00D8"/>
    <w:rsid w:val="3C80774A"/>
    <w:rsid w:val="3CA06C0C"/>
    <w:rsid w:val="3CA134EE"/>
    <w:rsid w:val="3D017F7A"/>
    <w:rsid w:val="3D2263DC"/>
    <w:rsid w:val="3D8E5B63"/>
    <w:rsid w:val="3D9578A8"/>
    <w:rsid w:val="3EA25851"/>
    <w:rsid w:val="3F201EA8"/>
    <w:rsid w:val="3F406FEE"/>
    <w:rsid w:val="3F6A0496"/>
    <w:rsid w:val="3F6C3757"/>
    <w:rsid w:val="3F7D5B4C"/>
    <w:rsid w:val="405D6A10"/>
    <w:rsid w:val="40E63890"/>
    <w:rsid w:val="418B457A"/>
    <w:rsid w:val="41DA6594"/>
    <w:rsid w:val="444C1A75"/>
    <w:rsid w:val="44A3526F"/>
    <w:rsid w:val="44B032F4"/>
    <w:rsid w:val="457D25F7"/>
    <w:rsid w:val="46515900"/>
    <w:rsid w:val="468341CD"/>
    <w:rsid w:val="472C2589"/>
    <w:rsid w:val="4A0E1789"/>
    <w:rsid w:val="4A760AEB"/>
    <w:rsid w:val="4ACB5E86"/>
    <w:rsid w:val="4AF40DEB"/>
    <w:rsid w:val="4E955161"/>
    <w:rsid w:val="4EF61477"/>
    <w:rsid w:val="4F093661"/>
    <w:rsid w:val="4F3162CA"/>
    <w:rsid w:val="50D95873"/>
    <w:rsid w:val="52560BEF"/>
    <w:rsid w:val="526102AF"/>
    <w:rsid w:val="528444DA"/>
    <w:rsid w:val="530F7CCA"/>
    <w:rsid w:val="537745D5"/>
    <w:rsid w:val="53FF1F1A"/>
    <w:rsid w:val="541A3860"/>
    <w:rsid w:val="54AD054A"/>
    <w:rsid w:val="54E400A3"/>
    <w:rsid w:val="552306F6"/>
    <w:rsid w:val="564D60F9"/>
    <w:rsid w:val="56E352D5"/>
    <w:rsid w:val="5714693E"/>
    <w:rsid w:val="57B7489D"/>
    <w:rsid w:val="57E435FE"/>
    <w:rsid w:val="57F15E21"/>
    <w:rsid w:val="581320CD"/>
    <w:rsid w:val="582D0655"/>
    <w:rsid w:val="58F17FDB"/>
    <w:rsid w:val="5951205C"/>
    <w:rsid w:val="59CF2FF0"/>
    <w:rsid w:val="59D079E8"/>
    <w:rsid w:val="59D40847"/>
    <w:rsid w:val="5AE37F25"/>
    <w:rsid w:val="5AED7BD2"/>
    <w:rsid w:val="5CB23D47"/>
    <w:rsid w:val="5E296543"/>
    <w:rsid w:val="5FAF09C4"/>
    <w:rsid w:val="5FED36B9"/>
    <w:rsid w:val="5FFF7EDD"/>
    <w:rsid w:val="608C4642"/>
    <w:rsid w:val="62795572"/>
    <w:rsid w:val="63423E07"/>
    <w:rsid w:val="64147677"/>
    <w:rsid w:val="64DD6417"/>
    <w:rsid w:val="66004745"/>
    <w:rsid w:val="68CD04AE"/>
    <w:rsid w:val="6A567F20"/>
    <w:rsid w:val="6B4D6633"/>
    <w:rsid w:val="6CD97953"/>
    <w:rsid w:val="6D64390C"/>
    <w:rsid w:val="6ED30FD7"/>
    <w:rsid w:val="6EDB1659"/>
    <w:rsid w:val="6F4E7ADC"/>
    <w:rsid w:val="727D78FD"/>
    <w:rsid w:val="72E362E2"/>
    <w:rsid w:val="73820CE8"/>
    <w:rsid w:val="73A31938"/>
    <w:rsid w:val="73CC655F"/>
    <w:rsid w:val="75957445"/>
    <w:rsid w:val="75D01AE1"/>
    <w:rsid w:val="76BAA09C"/>
    <w:rsid w:val="77441F93"/>
    <w:rsid w:val="77524363"/>
    <w:rsid w:val="77754D7F"/>
    <w:rsid w:val="77B917B5"/>
    <w:rsid w:val="781B3612"/>
    <w:rsid w:val="78562188"/>
    <w:rsid w:val="78703975"/>
    <w:rsid w:val="7AB1578A"/>
    <w:rsid w:val="7B7FB3D6"/>
    <w:rsid w:val="7BE420FD"/>
    <w:rsid w:val="7D0D296B"/>
    <w:rsid w:val="7D4E0B54"/>
    <w:rsid w:val="7D503E78"/>
    <w:rsid w:val="7DBF6C62"/>
    <w:rsid w:val="7E0160D4"/>
    <w:rsid w:val="8FFF8AB8"/>
    <w:rsid w:val="973F0213"/>
    <w:rsid w:val="BFFF187B"/>
    <w:rsid w:val="CFFFEBA5"/>
    <w:rsid w:val="FF7F8989"/>
    <w:rsid w:val="FFE5516B"/>
    <w:rsid w:val="FFF78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9"/>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4"/>
    <w:next w:val="1"/>
    <w:link w:val="60"/>
    <w:qFormat/>
    <w:uiPriority w:val="0"/>
    <w:pPr>
      <w:numPr>
        <w:ilvl w:val="3"/>
      </w:numPr>
      <w:ind w:left="851" w:firstLine="0"/>
      <w:outlineLvl w:val="3"/>
    </w:pPr>
    <w:rPr>
      <w:sz w:val="30"/>
      <w:szCs w:val="30"/>
    </w:rPr>
  </w:style>
  <w:style w:type="paragraph" w:styleId="6">
    <w:name w:val="heading 5"/>
    <w:basedOn w:val="5"/>
    <w:next w:val="1"/>
    <w:link w:val="87"/>
    <w:qFormat/>
    <w:uiPriority w:val="0"/>
    <w:pPr>
      <w:numPr>
        <w:ilvl w:val="4"/>
      </w:numPr>
      <w:ind w:left="0" w:firstLine="0"/>
      <w:outlineLvl w:val="4"/>
    </w:pPr>
    <w:rPr>
      <w:szCs w:val="28"/>
    </w:rPr>
  </w:style>
  <w:style w:type="paragraph" w:styleId="7">
    <w:name w:val="heading 6"/>
    <w:basedOn w:val="1"/>
    <w:next w:val="1"/>
    <w:link w:val="100"/>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Document Map"/>
    <w:basedOn w:val="1"/>
    <w:link w:val="92"/>
    <w:qFormat/>
    <w:uiPriority w:val="0"/>
    <w:rPr>
      <w:rFonts w:hAnsi="Times New Roman"/>
      <w:sz w:val="18"/>
      <w:szCs w:val="18"/>
    </w:rPr>
  </w:style>
  <w:style w:type="paragraph" w:styleId="15">
    <w:name w:val="annotation text"/>
    <w:basedOn w:val="1"/>
    <w:link w:val="47"/>
    <w:qFormat/>
    <w:uiPriority w:val="99"/>
    <w:pPr>
      <w:jc w:val="left"/>
    </w:pPr>
    <w:rPr>
      <w:rFonts w:ascii="Times New Roman" w:hAnsi="Times New Roman" w:eastAsia="仿宋"/>
      <w:sz w:val="28"/>
    </w:rPr>
  </w:style>
  <w:style w:type="paragraph" w:styleId="16">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6"/>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7"/>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9"/>
    <w:qFormat/>
    <w:uiPriority w:val="0"/>
    <w:pPr>
      <w:ind w:left="100" w:leftChars="2500"/>
    </w:pPr>
    <w:rPr>
      <w:rFonts w:ascii="Times New Roman" w:hAnsi="Times New Roman"/>
      <w:sz w:val="21"/>
    </w:rPr>
  </w:style>
  <w:style w:type="paragraph" w:styleId="23">
    <w:name w:val="Balloon Text"/>
    <w:basedOn w:val="1"/>
    <w:link w:val="97"/>
    <w:qFormat/>
    <w:uiPriority w:val="0"/>
    <w:rPr>
      <w:rFonts w:ascii="Times New Roman" w:hAnsi="Times New Roman"/>
      <w:sz w:val="18"/>
      <w:szCs w:val="18"/>
    </w:rPr>
  </w:style>
  <w:style w:type="paragraph" w:styleId="24">
    <w:name w:val="footer"/>
    <w:basedOn w:val="1"/>
    <w:link w:val="90"/>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8"/>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Body Text 2"/>
    <w:basedOn w:val="1"/>
    <w:qFormat/>
    <w:uiPriority w:val="99"/>
    <w:pPr>
      <w:spacing w:after="120" w:line="480" w:lineRule="auto"/>
      <w:ind w:firstLine="0" w:firstLineChars="0"/>
    </w:pPr>
    <w:rPr>
      <w:kern w:val="0"/>
      <w:sz w:val="20"/>
      <w:szCs w:val="20"/>
    </w:rPr>
  </w:style>
  <w:style w:type="paragraph" w:styleId="33">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4">
    <w:name w:val="Title"/>
    <w:basedOn w:val="1"/>
    <w:next w:val="1"/>
    <w:link w:val="96"/>
    <w:qFormat/>
    <w:uiPriority w:val="0"/>
    <w:pPr>
      <w:spacing w:before="240" w:after="60" w:line="960" w:lineRule="auto"/>
      <w:jc w:val="center"/>
    </w:pPr>
    <w:rPr>
      <w:rFonts w:ascii="Cambria" w:hAnsi="Cambria" w:eastAsia="黑体"/>
      <w:b/>
      <w:bCs/>
      <w:sz w:val="52"/>
      <w:szCs w:val="32"/>
    </w:rPr>
  </w:style>
  <w:style w:type="paragraph" w:styleId="35">
    <w:name w:val="annotation subject"/>
    <w:basedOn w:val="15"/>
    <w:next w:val="15"/>
    <w:link w:val="84"/>
    <w:qFormat/>
    <w:uiPriority w:val="0"/>
    <w:rPr>
      <w:b/>
      <w:bCs/>
      <w:sz w:val="21"/>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customStyle="1" w:styleId="43">
    <w:name w:val="*正文"/>
    <w:basedOn w:val="1"/>
    <w:link w:val="65"/>
    <w:qFormat/>
    <w:uiPriority w:val="0"/>
    <w:pPr>
      <w:widowControl/>
      <w:ind w:firstLine="200"/>
      <w:contextualSpacing/>
    </w:pPr>
    <w:rPr>
      <w:rFonts w:ascii="time" w:hAnsi="time"/>
      <w:kern w:val="0"/>
      <w:lang w:bidi="en-US"/>
    </w:rPr>
  </w:style>
  <w:style w:type="character" w:customStyle="1" w:styleId="44">
    <w:name w:val="标题 3 字符1"/>
    <w:qFormat/>
    <w:uiPriority w:val="0"/>
    <w:rPr>
      <w:rFonts w:ascii="宋体" w:hAnsi="宋体"/>
      <w:b/>
      <w:bCs/>
      <w:kern w:val="2"/>
      <w:sz w:val="28"/>
      <w:szCs w:val="28"/>
    </w:rPr>
  </w:style>
  <w:style w:type="character" w:customStyle="1" w:styleId="45">
    <w:name w:val="首行缩进正文 Char"/>
    <w:link w:val="46"/>
    <w:qFormat/>
    <w:uiPriority w:val="0"/>
    <w:rPr>
      <w:kern w:val="2"/>
      <w:sz w:val="24"/>
    </w:rPr>
  </w:style>
  <w:style w:type="paragraph" w:customStyle="1" w:styleId="46">
    <w:name w:val="首行缩进正文"/>
    <w:basedOn w:val="1"/>
    <w:link w:val="45"/>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7">
    <w:name w:val="批注文字 字符1"/>
    <w:link w:val="15"/>
    <w:qFormat/>
    <w:uiPriority w:val="99"/>
    <w:rPr>
      <w:rFonts w:eastAsia="仿宋"/>
      <w:kern w:val="2"/>
      <w:sz w:val="28"/>
      <w:szCs w:val="24"/>
    </w:rPr>
  </w:style>
  <w:style w:type="character" w:customStyle="1" w:styleId="48">
    <w:name w:val="日期 字符"/>
    <w:semiHidden/>
    <w:qFormat/>
    <w:uiPriority w:val="99"/>
    <w:rPr>
      <w:rFonts w:ascii="宋体" w:hAnsi="宋体"/>
      <w:kern w:val="2"/>
      <w:sz w:val="24"/>
      <w:szCs w:val="24"/>
    </w:rPr>
  </w:style>
  <w:style w:type="character" w:customStyle="1" w:styleId="49">
    <w:name w:val="日期 字符1"/>
    <w:link w:val="22"/>
    <w:qFormat/>
    <w:uiPriority w:val="0"/>
    <w:rPr>
      <w:kern w:val="2"/>
      <w:sz w:val="21"/>
      <w:szCs w:val="24"/>
    </w:rPr>
  </w:style>
  <w:style w:type="character" w:customStyle="1" w:styleId="50">
    <w:name w:val="标题 9 字符"/>
    <w:link w:val="10"/>
    <w:qFormat/>
    <w:uiPriority w:val="9"/>
    <w:rPr>
      <w:rFonts w:ascii="Cambria" w:hAnsi="Cambria"/>
      <w:kern w:val="2"/>
      <w:sz w:val="21"/>
      <w:szCs w:val="21"/>
    </w:rPr>
  </w:style>
  <w:style w:type="character" w:customStyle="1" w:styleId="51">
    <w:name w:val="未处理的提及1"/>
    <w:unhideWhenUsed/>
    <w:qFormat/>
    <w:uiPriority w:val="99"/>
    <w:rPr>
      <w:color w:val="605E5C"/>
      <w:shd w:val="clear" w:color="auto" w:fill="E1DFDD"/>
    </w:rPr>
  </w:style>
  <w:style w:type="character" w:customStyle="1" w:styleId="52">
    <w:name w:val="标题 1 字符"/>
    <w:qFormat/>
    <w:uiPriority w:val="9"/>
    <w:rPr>
      <w:rFonts w:ascii="宋体" w:hAnsi="宋体"/>
      <w:b/>
      <w:bCs/>
      <w:kern w:val="44"/>
      <w:sz w:val="44"/>
      <w:szCs w:val="44"/>
    </w:rPr>
  </w:style>
  <w:style w:type="character" w:customStyle="1" w:styleId="53">
    <w:name w:val="标题 3 字符"/>
    <w:semiHidden/>
    <w:qFormat/>
    <w:uiPriority w:val="9"/>
    <w:rPr>
      <w:rFonts w:ascii="宋体" w:hAnsi="宋体"/>
      <w:b/>
      <w:bCs/>
      <w:kern w:val="2"/>
      <w:sz w:val="32"/>
      <w:szCs w:val="32"/>
    </w:rPr>
  </w:style>
  <w:style w:type="character" w:customStyle="1" w:styleId="54">
    <w:name w:val="页脚 字符"/>
    <w:qFormat/>
    <w:uiPriority w:val="99"/>
  </w:style>
  <w:style w:type="character" w:customStyle="1" w:styleId="55">
    <w:name w:val="标题 5 字符"/>
    <w:semiHidden/>
    <w:qFormat/>
    <w:uiPriority w:val="9"/>
    <w:rPr>
      <w:rFonts w:ascii="宋体" w:hAnsi="宋体"/>
      <w:b/>
      <w:bCs/>
      <w:kern w:val="2"/>
      <w:sz w:val="28"/>
      <w:szCs w:val="28"/>
    </w:rPr>
  </w:style>
  <w:style w:type="character" w:customStyle="1" w:styleId="56">
    <w:name w:val="题注 字符"/>
    <w:link w:val="13"/>
    <w:qFormat/>
    <w:locked/>
    <w:uiPriority w:val="0"/>
    <w:rPr>
      <w:rFonts w:ascii="Arial" w:hAnsi="Arial" w:eastAsia="黑体"/>
      <w:kern w:val="2"/>
    </w:rPr>
  </w:style>
  <w:style w:type="character" w:customStyle="1" w:styleId="57">
    <w:name w:val="标题 2 字符"/>
    <w:semiHidden/>
    <w:qFormat/>
    <w:uiPriority w:val="9"/>
    <w:rPr>
      <w:rFonts w:ascii="等线 Light" w:hAnsi="等线 Light" w:eastAsia="等线 Light" w:cs="Times New Roman"/>
      <w:b/>
      <w:bCs/>
      <w:kern w:val="2"/>
      <w:sz w:val="32"/>
      <w:szCs w:val="3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字符1"/>
    <w:link w:val="5"/>
    <w:qFormat/>
    <w:uiPriority w:val="0"/>
    <w:rPr>
      <w:rFonts w:ascii="宋体" w:hAnsi="宋体"/>
      <w:b/>
      <w:bCs/>
      <w:kern w:val="2"/>
      <w:sz w:val="30"/>
      <w:szCs w:val="30"/>
    </w:rPr>
  </w:style>
  <w:style w:type="character" w:customStyle="1" w:styleId="61">
    <w:name w:val="正文文本 字符"/>
    <w:link w:val="16"/>
    <w:qFormat/>
    <w:uiPriority w:val="0"/>
    <w:rPr>
      <w:kern w:val="2"/>
      <w:sz w:val="21"/>
      <w:szCs w:val="24"/>
    </w:rPr>
  </w:style>
  <w:style w:type="character" w:customStyle="1" w:styleId="62">
    <w:name w:val="列表段落 字符1"/>
    <w:link w:val="63"/>
    <w:qFormat/>
    <w:uiPriority w:val="34"/>
    <w:rPr>
      <w:kern w:val="2"/>
      <w:sz w:val="21"/>
      <w:szCs w:val="24"/>
    </w:rPr>
  </w:style>
  <w:style w:type="paragraph"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43"/>
    <w:qFormat/>
    <w:uiPriority w:val="0"/>
    <w:rPr>
      <w:rFonts w:ascii="time" w:hAnsi="time"/>
      <w:sz w:val="24"/>
      <w:szCs w:val="24"/>
      <w:lang w:bidi="en-US"/>
    </w:rPr>
  </w:style>
  <w:style w:type="character" w:customStyle="1" w:styleId="66">
    <w:name w:val="正文文本缩进 字符"/>
    <w:semiHidden/>
    <w:qFormat/>
    <w:uiPriority w:val="99"/>
    <w:rPr>
      <w:rFonts w:ascii="宋体" w:hAnsi="宋体"/>
      <w:kern w:val="2"/>
      <w:sz w:val="24"/>
      <w:szCs w:val="24"/>
    </w:rPr>
  </w:style>
  <w:style w:type="character" w:customStyle="1" w:styleId="67">
    <w:name w:val="纯文本 字符1"/>
    <w:link w:val="20"/>
    <w:qFormat/>
    <w:locked/>
    <w:uiPriority w:val="0"/>
    <w:rPr>
      <w:rFonts w:ascii="宋体" w:hAnsi="Courier New"/>
      <w:kern w:val="2"/>
      <w:sz w:val="21"/>
    </w:rPr>
  </w:style>
  <w:style w:type="character" w:customStyle="1" w:styleId="68">
    <w:name w:val="my正文 Char"/>
    <w:link w:val="69"/>
    <w:qFormat/>
    <w:uiPriority w:val="0"/>
    <w:rPr>
      <w:kern w:val="2"/>
      <w:sz w:val="21"/>
      <w:szCs w:val="24"/>
    </w:rPr>
  </w:style>
  <w:style w:type="paragraph" w:customStyle="1" w:styleId="69">
    <w:name w:val="my正文"/>
    <w:basedOn w:val="1"/>
    <w:link w:val="68"/>
    <w:qFormat/>
    <w:uiPriority w:val="0"/>
    <w:pPr>
      <w:spacing w:line="240" w:lineRule="auto"/>
      <w:ind w:firstLine="0" w:firstLineChars="0"/>
    </w:pPr>
    <w:rPr>
      <w:rFonts w:ascii="Times New Roman" w:hAnsi="Times New Roman"/>
      <w:sz w:val="21"/>
    </w:rPr>
  </w:style>
  <w:style w:type="character" w:customStyle="1" w:styleId="70">
    <w:name w:val="正文2 字符"/>
    <w:link w:val="71"/>
    <w:qFormat/>
    <w:uiPriority w:val="0"/>
    <w:rPr>
      <w:kern w:val="2"/>
      <w:sz w:val="21"/>
      <w:szCs w:val="24"/>
    </w:rPr>
  </w:style>
  <w:style w:type="paragraph" w:customStyle="1" w:styleId="71">
    <w:name w:val="正文2"/>
    <w:basedOn w:val="1"/>
    <w:link w:val="70"/>
    <w:qFormat/>
    <w:uiPriority w:val="0"/>
    <w:pPr>
      <w:ind w:firstLine="420"/>
    </w:pPr>
    <w:rPr>
      <w:rFonts w:ascii="Times New Roman" w:hAnsi="Times New Roman"/>
      <w:sz w:val="21"/>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标题 7 字符"/>
    <w:link w:val="8"/>
    <w:qFormat/>
    <w:uiPriority w:val="9"/>
    <w:rPr>
      <w:b/>
      <w:bCs/>
      <w:kern w:val="2"/>
      <w:sz w:val="21"/>
      <w:szCs w:val="24"/>
    </w:rPr>
  </w:style>
  <w:style w:type="character" w:customStyle="1" w:styleId="74">
    <w:name w:val="批注框文本 字符"/>
    <w:semiHidden/>
    <w:qFormat/>
    <w:uiPriority w:val="99"/>
    <w:rPr>
      <w:rFonts w:ascii="宋体" w:hAnsi="宋体"/>
      <w:kern w:val="2"/>
      <w:sz w:val="18"/>
      <w:szCs w:val="18"/>
    </w:rPr>
  </w:style>
  <w:style w:type="character" w:customStyle="1" w:styleId="75">
    <w:name w:val="副标题 Char1"/>
    <w:qFormat/>
    <w:uiPriority w:val="0"/>
    <w:rPr>
      <w:rFonts w:ascii="Calibri Light" w:hAnsi="Calibri Light" w:cs="Times New Roman"/>
      <w:b/>
      <w:bCs/>
      <w:kern w:val="28"/>
      <w:sz w:val="32"/>
      <w:szCs w:val="32"/>
    </w:rPr>
  </w:style>
  <w:style w:type="character" w:customStyle="1" w:styleId="76">
    <w:name w:val="标题 1 字符1"/>
    <w:link w:val="2"/>
    <w:qFormat/>
    <w:uiPriority w:val="0"/>
    <w:rPr>
      <w:rFonts w:ascii="宋体" w:hAnsi="宋体" w:eastAsia="黑体"/>
      <w:b/>
      <w:bCs/>
      <w:kern w:val="44"/>
      <w:sz w:val="32"/>
      <w:szCs w:val="28"/>
    </w:rPr>
  </w:style>
  <w:style w:type="character" w:customStyle="1" w:styleId="77">
    <w:name w:val="批注文字 字符"/>
    <w:qFormat/>
    <w:uiPriority w:val="99"/>
    <w:rPr>
      <w:rFonts w:ascii="宋体" w:hAnsi="宋体"/>
      <w:kern w:val="2"/>
      <w:sz w:val="24"/>
      <w:szCs w:val="24"/>
    </w:rPr>
  </w:style>
  <w:style w:type="character" w:customStyle="1" w:styleId="78">
    <w:name w:val="文档结构图 字符"/>
    <w:semiHidden/>
    <w:qFormat/>
    <w:uiPriority w:val="99"/>
    <w:rPr>
      <w:rFonts w:ascii="Microsoft YaHei UI" w:hAnsi="宋体" w:eastAsia="Microsoft YaHei UI"/>
      <w:kern w:val="2"/>
      <w:sz w:val="18"/>
      <w:szCs w:val="18"/>
    </w:rPr>
  </w:style>
  <w:style w:type="character" w:customStyle="1" w:styleId="79">
    <w:name w:val="标题 6 字符"/>
    <w:semiHidden/>
    <w:qFormat/>
    <w:uiPriority w:val="9"/>
    <w:rPr>
      <w:rFonts w:ascii="等线 Light" w:hAnsi="等线 Light" w:eastAsia="等线 Light" w:cs="Times New Roman"/>
      <w:b/>
      <w:bCs/>
      <w:kern w:val="2"/>
      <w:sz w:val="24"/>
      <w:szCs w:val="24"/>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字符2"/>
    <w:link w:val="4"/>
    <w:qFormat/>
    <w:uiPriority w:val="0"/>
    <w:rPr>
      <w:rFonts w:ascii="宋体" w:hAnsi="宋体"/>
      <w:b/>
      <w:bCs/>
      <w:kern w:val="2"/>
      <w:sz w:val="28"/>
      <w:szCs w:val="28"/>
    </w:rPr>
  </w:style>
  <w:style w:type="character" w:customStyle="1" w:styleId="83">
    <w:name w:val="标题 4 字符"/>
    <w:semiHidden/>
    <w:qFormat/>
    <w:uiPriority w:val="9"/>
    <w:rPr>
      <w:rFonts w:ascii="等线 Light" w:hAnsi="等线 Light" w:eastAsia="等线 Light" w:cs="Times New Roman"/>
      <w:b/>
      <w:bCs/>
      <w:kern w:val="2"/>
      <w:sz w:val="28"/>
      <w:szCs w:val="28"/>
    </w:rPr>
  </w:style>
  <w:style w:type="character" w:customStyle="1" w:styleId="84">
    <w:name w:val="批注主题 字符1"/>
    <w:link w:val="35"/>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字符1"/>
    <w:link w:val="17"/>
    <w:qFormat/>
    <w:uiPriority w:val="0"/>
    <w:rPr>
      <w:kern w:val="2"/>
      <w:sz w:val="21"/>
    </w:rPr>
  </w:style>
  <w:style w:type="character" w:customStyle="1" w:styleId="87">
    <w:name w:val="标题 5 字符1"/>
    <w:link w:val="6"/>
    <w:qFormat/>
    <w:uiPriority w:val="0"/>
    <w:rPr>
      <w:rFonts w:ascii="宋体" w:hAnsi="宋体"/>
      <w:b/>
      <w:bCs/>
      <w:kern w:val="2"/>
      <w:sz w:val="24"/>
      <w:szCs w:val="28"/>
    </w:rPr>
  </w:style>
  <w:style w:type="character" w:customStyle="1" w:styleId="88">
    <w:name w:val="副标题 字符1"/>
    <w:link w:val="28"/>
    <w:qFormat/>
    <w:uiPriority w:val="0"/>
    <w:rPr>
      <w:rFonts w:ascii="Calibri Light" w:hAnsi="Calibri Light"/>
      <w:b/>
      <w:bCs/>
      <w:kern w:val="28"/>
      <w:sz w:val="32"/>
      <w:szCs w:val="32"/>
    </w:rPr>
  </w:style>
  <w:style w:type="character" w:customStyle="1" w:styleId="89">
    <w:name w:val="标题 2 字符1"/>
    <w:link w:val="3"/>
    <w:qFormat/>
    <w:uiPriority w:val="9"/>
    <w:rPr>
      <w:rFonts w:ascii="宋体" w:hAnsi="宋体"/>
      <w:b/>
      <w:bCs/>
      <w:kern w:val="2"/>
      <w:sz w:val="30"/>
      <w:szCs w:val="32"/>
    </w:rPr>
  </w:style>
  <w:style w:type="character" w:customStyle="1" w:styleId="90">
    <w:name w:val="页脚 字符1"/>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字符1"/>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字符1"/>
    <w:link w:val="34"/>
    <w:qFormat/>
    <w:uiPriority w:val="0"/>
    <w:rPr>
      <w:rFonts w:ascii="Cambria" w:hAnsi="Cambria" w:eastAsia="黑体"/>
      <w:b/>
      <w:bCs/>
      <w:kern w:val="2"/>
      <w:sz w:val="52"/>
      <w:szCs w:val="32"/>
    </w:rPr>
  </w:style>
  <w:style w:type="character" w:customStyle="1" w:styleId="97">
    <w:name w:val="批注框文本 字符1"/>
    <w:link w:val="23"/>
    <w:qFormat/>
    <w:uiPriority w:val="0"/>
    <w:rPr>
      <w:kern w:val="2"/>
      <w:sz w:val="18"/>
      <w:szCs w:val="18"/>
    </w:rPr>
  </w:style>
  <w:style w:type="character" w:customStyle="1" w:styleId="98">
    <w:name w:val="页眉 字符1"/>
    <w:link w:val="25"/>
    <w:qFormat/>
    <w:uiPriority w:val="99"/>
    <w:rPr>
      <w:kern w:val="2"/>
      <w:sz w:val="18"/>
      <w:szCs w:val="18"/>
    </w:rPr>
  </w:style>
  <w:style w:type="character" w:customStyle="1" w:styleId="99">
    <w:name w:val="标题 8 字符"/>
    <w:link w:val="9"/>
    <w:qFormat/>
    <w:uiPriority w:val="9"/>
    <w:rPr>
      <w:rFonts w:ascii="Cambria" w:hAnsi="Cambria"/>
      <w:kern w:val="2"/>
      <w:sz w:val="21"/>
      <w:szCs w:val="24"/>
    </w:rPr>
  </w:style>
  <w:style w:type="character" w:customStyle="1" w:styleId="100">
    <w:name w:val="标题 6 字符1"/>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spacing w:line="240" w:lineRule="auto"/>
      <w:ind w:firstLine="420"/>
    </w:pPr>
    <w:rPr>
      <w:rFonts w:ascii="Times New Roman" w:hAnsi="Times New Roman"/>
      <w:sz w:val="21"/>
      <w:szCs w:val="20"/>
    </w:rPr>
  </w:style>
  <w:style w:type="paragraph" w:customStyle="1" w:styleId="108">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ind w:firstLine="150" w:firstLineChars="150"/>
    </w:pPr>
  </w:style>
  <w:style w:type="paragraph" w:customStyle="1" w:styleId="111">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qFormat/>
    <w:uiPriority w:val="0"/>
    <w:pPr>
      <w:widowControl/>
      <w:spacing w:after="160" w:line="240" w:lineRule="exact"/>
      <w:jc w:val="left"/>
    </w:pPr>
  </w:style>
  <w:style w:type="paragraph" w:customStyle="1" w:styleId="119">
    <w:name w:val="PM_Body"/>
    <w:basedOn w:val="1"/>
    <w:qFormat/>
    <w:locked/>
    <w:uiPriority w:val="0"/>
    <w:rPr>
      <w:szCs w:val="21"/>
    </w:rPr>
  </w:style>
  <w:style w:type="paragraph" w:customStyle="1" w:styleId="120">
    <w:name w:val="Char Char1"/>
    <w:basedOn w:val="1"/>
    <w:qFormat/>
    <w:uiPriority w:val="0"/>
    <w:pPr>
      <w:widowControl/>
      <w:spacing w:before="120" w:after="120"/>
    </w:pPr>
    <w:rPr>
      <w:rFonts w:ascii="Times New Roman" w:hAnsi="Times New Roman" w:cs="宋体"/>
    </w:rPr>
  </w:style>
  <w:style w:type="paragraph" w:customStyle="1" w:styleId="121">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spacing w:line="240" w:lineRule="auto"/>
      <w:ind w:firstLine="420"/>
    </w:pPr>
    <w:rPr>
      <w:rFonts w:ascii="等线" w:hAnsi="等线" w:eastAsia="等线" w:cs="等线"/>
      <w:sz w:val="21"/>
      <w:szCs w:val="21"/>
    </w:rPr>
  </w:style>
  <w:style w:type="paragraph" w:customStyle="1" w:styleId="124">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可研正文"/>
    <w:basedOn w:val="1"/>
    <w:qFormat/>
    <w:uiPriority w:val="0"/>
    <w:pPr>
      <w:ind w:firstLine="200"/>
    </w:pPr>
    <w:rPr>
      <w:rFonts w:ascii="仿宋" w:hAnsi="仿宋"/>
      <w:szCs w:val="28"/>
    </w:rPr>
  </w:style>
  <w:style w:type="paragraph" w:customStyle="1" w:styleId="136">
    <w:name w:val="表格内容（SANGFOR）"/>
    <w:qFormat/>
    <w:uiPriority w:val="0"/>
    <w:pPr>
      <w:snapToGrid w:val="0"/>
      <w:spacing w:before="80" w:after="80"/>
    </w:pPr>
    <w:rPr>
      <w:rFonts w:ascii="Arial" w:hAnsi="Arial" w:eastAsia="仿宋" w:cs="Times New Roman"/>
      <w:sz w:val="21"/>
      <w:lang w:val="en-US" w:eastAsia="zh-CN" w:bidi="ar-SA"/>
    </w:rPr>
  </w:style>
  <w:style w:type="paragraph" w:customStyle="1" w:styleId="137">
    <w:name w:val="00封-2评估报告"/>
    <w:basedOn w:val="138"/>
    <w:qFormat/>
    <w:uiPriority w:val="0"/>
    <w:pPr>
      <w:adjustRightInd/>
      <w:textAlignment w:val="auto"/>
    </w:pPr>
    <w:rPr>
      <w:rFonts w:ascii="Times New Roman" w:hAnsi="Times New Roman"/>
      <w:bCs/>
      <w:kern w:val="2"/>
      <w:sz w:val="72"/>
      <w:szCs w:val="22"/>
    </w:rPr>
  </w:style>
  <w:style w:type="paragraph" w:customStyle="1" w:styleId="138">
    <w:name w:val="00封-1项目名称"/>
    <w:basedOn w:val="1"/>
    <w:qFormat/>
    <w:uiPriority w:val="0"/>
    <w:pPr>
      <w:adjustRightInd w:val="0"/>
      <w:spacing w:beforeLines="100" w:afterLines="100"/>
      <w:ind w:firstLine="0" w:firstLineChars="0"/>
      <w:jc w:val="center"/>
      <w:textAlignment w:val="baseline"/>
    </w:pPr>
    <w:rPr>
      <w:rFonts w:ascii="黑体" w:hAnsi="华文细黑" w:eastAsia="黑体"/>
      <w:b/>
      <w:kern w:val="0"/>
      <w:sz w:val="48"/>
      <w:szCs w:val="48"/>
    </w:rPr>
  </w:style>
  <w:style w:type="paragraph" w:customStyle="1" w:styleId="139">
    <w:name w:val="B-表正文"/>
    <w:qFormat/>
    <w:uiPriority w:val="0"/>
    <w:rPr>
      <w:rFonts w:ascii="Times New Roman" w:hAnsi="Times New Roman" w:eastAsia="仿宋" w:cstheme="minorBidi"/>
      <w:kern w:val="2"/>
      <w:sz w:val="21"/>
      <w:szCs w:val="24"/>
      <w:lang w:val="en-US" w:eastAsia="zh-CN" w:bidi="ar-SA"/>
    </w:rPr>
  </w:style>
  <w:style w:type="paragraph" w:customStyle="1" w:styleId="140">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14331</Words>
  <Characters>14608</Characters>
  <Lines>715</Lines>
  <Paragraphs>861</Paragraphs>
  <TotalTime>0</TotalTime>
  <ScaleCrop>false</ScaleCrop>
  <LinksUpToDate>false</LinksUpToDate>
  <CharactersWithSpaces>14630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2025-09-24T01:31:00Z</dcterms:created>
  <dc:creator>gtig_tzb</dc:creator>
  <cp:lastModifiedBy>user</cp:lastModifiedBy>
  <cp:lastPrinted>2020-08-07T12:08:00Z</cp:lastPrinted>
  <dcterms:modified xsi:type="dcterms:W3CDTF">2025-10-24T10:23:14Z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B497E121B71913C291E7F66882D8EAA6_43</vt:lpwstr>
  </property>
  <property fmtid="{D5CDD505-2E9C-101B-9397-08002B2CF9AE}" pid="4" name="KSOTemplateDocerSaveRecord">
    <vt:lpwstr>eyJoZGlkIjoiY2ZiZjZkODVkNjEzZDJiZGQzNDZhNjA1YzEwZWEzMTMiLCJ1c2VySWQiOiI0MjcwNTMxNjYifQ==</vt:lpwstr>
  </property>
</Properties>
</file>